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4"/>
        <w:jc w:val="center"/>
        <w:spacing w:line="360" w:lineRule="auto"/>
        <w:rPr>
          <w:rFonts w:ascii="宋体" w:hAnsi="宋体" w:cs="宋体"/>
          <w:color w:val="000000"/>
          <w:sz w:val="30"/>
          <w:szCs w:val="30"/>
          <w:highlight w:val="none"/>
        </w:rPr>
      </w:pPr>
      <w:r>
        <w:rPr>
          <w:rFonts w:ascii="宋体" w:hAnsi="宋体" w:cs="宋体"/>
          <w:color w:val="000000"/>
          <w:sz w:val="30"/>
          <w:szCs w:val="30"/>
          <w:highlight w:val="none"/>
        </w:rPr>
      </w:r>
      <w:r/>
    </w:p>
    <w:p>
      <w:pPr>
        <w:pStyle w:val="884"/>
        <w:jc w:val="center"/>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84"/>
        <w:jc w:val="center"/>
        <w:spacing w:line="360" w:lineRule="auto"/>
        <w:rPr>
          <w:rFonts w:hint="eastAsia" w:ascii="宋体" w:hAnsi="宋体" w:cs="宋体"/>
          <w:color w:val="000000"/>
          <w:sz w:val="24"/>
          <w:szCs w:val="30"/>
          <w:highlight w:val="none"/>
        </w:rPr>
      </w:pPr>
      <w:r>
        <w:rPr>
          <w:rFonts w:hint="eastAsia" w:ascii="宋体" w:hAnsi="宋体" w:cs="宋体"/>
          <w:color w:val="000000"/>
          <w:sz w:val="24"/>
          <w:szCs w:val="30"/>
          <w:highlight w:val="none"/>
        </w:rPr>
      </w:r>
      <w:r/>
    </w:p>
    <w:p>
      <w:pPr>
        <w:pStyle w:val="884"/>
        <w:jc w:val="center"/>
        <w:spacing w:line="360" w:lineRule="auto"/>
        <w:rPr>
          <w:rFonts w:hint="eastAsia" w:ascii="宋体" w:hAnsi="宋体" w:cs="宋体"/>
          <w:color w:val="000000"/>
          <w:sz w:val="24"/>
          <w:szCs w:val="30"/>
          <w:highlight w:val="none"/>
        </w:rPr>
      </w:pPr>
      <w:r>
        <w:rPr>
          <w:rFonts w:hint="eastAsia" w:ascii="宋体" w:hAnsi="宋体" w:cs="宋体"/>
          <w:color w:val="000000"/>
          <w:sz w:val="24"/>
          <w:szCs w:val="30"/>
          <w:highlight w:val="none"/>
        </w:rPr>
      </w:r>
      <w:r/>
    </w:p>
    <w:p>
      <w:pPr>
        <w:pStyle w:val="884"/>
        <w:jc w:val="center"/>
        <w:spacing w:line="360" w:lineRule="auto"/>
        <w:rPr>
          <w:rFonts w:hint="eastAsia" w:ascii="宋体" w:hAnsi="宋体" w:cs="宋体"/>
          <w:b/>
          <w:color w:val="000000"/>
          <w:sz w:val="84"/>
          <w:szCs w:val="84"/>
          <w:highlight w:val="none"/>
        </w:rPr>
      </w:pPr>
      <w:r>
        <w:rPr>
          <w:rFonts w:hint="eastAsia" w:ascii="宋体" w:hAnsi="宋体" w:cs="宋体"/>
          <w:b/>
          <w:color w:val="000000"/>
          <w:sz w:val="84"/>
          <w:szCs w:val="84"/>
          <w:highlight w:val="none"/>
        </w:rPr>
        <w:t xml:space="preserve">招 标 文 件</w:t>
      </w:r>
      <w:r>
        <w:rPr>
          <w:rFonts w:hint="eastAsia" w:ascii="宋体" w:hAnsi="宋体" w:cs="宋体"/>
          <w:b/>
          <w:color w:val="000000"/>
          <w:sz w:val="84"/>
          <w:szCs w:val="84"/>
          <w:highlight w:val="none"/>
        </w:rPr>
      </w:r>
      <w:r/>
    </w:p>
    <w:p>
      <w:pPr>
        <w:pStyle w:val="884"/>
        <w:jc w:val="center"/>
        <w:spacing w:line="360" w:lineRule="auto"/>
        <w:rPr>
          <w:rFonts w:hint="eastAsia" w:ascii="宋体" w:hAnsi="宋体" w:cs="宋体"/>
          <w:b/>
          <w:color w:val="000000"/>
          <w:sz w:val="32"/>
          <w:szCs w:val="84"/>
          <w:highlight w:val="none"/>
        </w:rPr>
      </w:pPr>
      <w:r>
        <w:rPr>
          <w:rFonts w:hint="eastAsia" w:ascii="宋体" w:hAnsi="宋体" w:cs="宋体"/>
          <w:b/>
          <w:color w:val="000000"/>
          <w:sz w:val="32"/>
          <w:szCs w:val="84"/>
          <w:highlight w:val="none"/>
        </w:rPr>
      </w:r>
      <w:r/>
    </w:p>
    <w:p>
      <w:pPr>
        <w:pStyle w:val="884"/>
        <w:jc w:val="center"/>
        <w:spacing w:line="360" w:lineRule="auto"/>
        <w:rPr>
          <w:rFonts w:hint="eastAsia" w:ascii="宋体" w:hAnsi="宋体" w:cs="宋体"/>
          <w:b/>
          <w:color w:val="000000"/>
          <w:sz w:val="84"/>
          <w:szCs w:val="84"/>
          <w:highlight w:val="none"/>
        </w:rPr>
      </w:pPr>
      <w:r>
        <w:rPr>
          <w:rFonts w:hint="eastAsia" w:ascii="宋体" w:hAnsi="宋体" w:cs="宋体"/>
          <w:b/>
          <w:color w:val="000000"/>
          <w:sz w:val="32"/>
          <w:szCs w:val="84"/>
          <w:highlight w:val="none"/>
        </w:rPr>
        <w:t xml:space="preserve">（全流程电子化不见面开标）</w:t>
      </w:r>
      <w:r>
        <w:rPr>
          <w:rFonts w:hint="eastAsia" w:ascii="宋体" w:hAnsi="宋体" w:cs="宋体"/>
          <w:b/>
          <w:color w:val="000000"/>
          <w:sz w:val="84"/>
          <w:szCs w:val="84"/>
          <w:highlight w:val="none"/>
        </w:rPr>
      </w:r>
      <w:r/>
    </w:p>
    <w:p>
      <w:pPr>
        <w:pStyle w:val="884"/>
        <w:spacing w:line="360" w:lineRule="auto"/>
        <w:rPr>
          <w:rFonts w:ascii="宋体" w:hAnsi="宋体" w:cs="宋体"/>
          <w:b/>
          <w:color w:val="000000"/>
          <w:sz w:val="32"/>
          <w:szCs w:val="84"/>
          <w:highlight w:val="none"/>
        </w:rPr>
      </w:pPr>
      <w:r>
        <w:rPr>
          <w:rFonts w:ascii="宋体" w:hAnsi="宋体" w:cs="宋体"/>
          <w:b/>
          <w:color w:val="000000"/>
          <w:sz w:val="32"/>
          <w:szCs w:val="84"/>
          <w:highlight w:val="none"/>
        </w:rPr>
      </w:r>
      <w:r/>
    </w:p>
    <w:p>
      <w:pPr>
        <w:pStyle w:val="884"/>
        <w:jc w:val="center"/>
        <w:spacing w:line="360" w:lineRule="auto"/>
        <w:rPr>
          <w:color w:val="000000"/>
          <w:szCs w:val="24"/>
          <w:highlight w:val="none"/>
        </w:rPr>
        <w:outlineLvl w:val="0"/>
      </w:pPr>
      <w:r/>
      <w:bookmarkStart w:id="0" w:name="_Toc31093"/>
      <w:r>
        <w:rPr>
          <w:rFonts w:hint="eastAsia" w:ascii="宋体" w:hAnsi="宋体" w:cs="宋体"/>
          <w:color w:val="000000"/>
          <w:sz w:val="28"/>
          <w:szCs w:val="28"/>
          <w:highlight w:val="none"/>
        </w:rPr>
        <w:t xml:space="preserve">项目名称：</w:t>
      </w:r>
      <w:bookmarkEnd w:id="0"/>
      <w:r>
        <w:rPr>
          <w:rFonts w:hint="eastAsia" w:ascii="宋体" w:hAnsi="宋体" w:cs="宋体"/>
          <w:color w:val="000000"/>
          <w:sz w:val="28"/>
          <w:szCs w:val="28"/>
          <w:highlight w:val="none"/>
        </w:rPr>
        <w:t xml:space="preserve">泰州市区直管59条河道保洁服务项目</w:t>
      </w:r>
      <w:r>
        <w:rPr>
          <w:color w:val="000000"/>
          <w:szCs w:val="24"/>
          <w:highlight w:val="none"/>
        </w:rPr>
      </w:r>
      <w:r/>
    </w:p>
    <w:p>
      <w:pPr>
        <w:pStyle w:val="884"/>
        <w:jc w:val="center"/>
        <w:spacing w:line="360" w:lineRule="auto"/>
        <w:rPr>
          <w:rFonts w:hint="eastAsia"/>
          <w:color w:val="000000"/>
          <w:szCs w:val="24"/>
          <w:highlight w:val="none"/>
        </w:rPr>
      </w:pPr>
      <w:r>
        <w:rPr>
          <w:rFonts w:hint="eastAsia" w:ascii="宋体" w:hAnsi="宋体" w:cs="宋体"/>
          <w:color w:val="000000"/>
          <w:sz w:val="28"/>
          <w:szCs w:val="28"/>
          <w:highlight w:val="none"/>
        </w:rPr>
        <w:t xml:space="preserve">项目编号：JSZC-321200-JWKJ-G2026-0004</w:t>
      </w:r>
      <w:r>
        <w:rPr>
          <w:rFonts w:hint="eastAsia"/>
          <w:color w:val="000000"/>
          <w:szCs w:val="24"/>
          <w:highlight w:val="none"/>
        </w:rPr>
      </w:r>
      <w:r/>
    </w:p>
    <w:p>
      <w:pPr>
        <w:pStyle w:val="884"/>
        <w:spacing w:line="360" w:lineRule="auto"/>
        <w:rPr>
          <w:rFonts w:ascii="宋体" w:hAnsi="宋体" w:cs="宋体"/>
          <w:color w:val="000000"/>
          <w:sz w:val="28"/>
          <w:szCs w:val="28"/>
          <w:highlight w:val="none"/>
        </w:rPr>
      </w:pPr>
      <w:r>
        <w:rPr>
          <w:rFonts w:ascii="宋体" w:hAnsi="宋体" w:cs="宋体"/>
          <w:color w:val="000000"/>
          <w:sz w:val="28"/>
          <w:szCs w:val="28"/>
          <w:highlight w:val="none"/>
        </w:rPr>
      </w:r>
      <w:r/>
    </w:p>
    <w:p>
      <w:pPr>
        <w:pStyle w:val="884"/>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4"/>
        <w:ind w:firstLine="480"/>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采购人：泰州市环境卫生管理处</w:t>
      </w:r>
      <w:r>
        <w:rPr>
          <w:rFonts w:hint="eastAsia" w:ascii="宋体" w:hAnsi="宋体" w:cs="宋体"/>
          <w:color w:val="000000"/>
          <w:sz w:val="28"/>
          <w:szCs w:val="28"/>
          <w:highlight w:val="none"/>
        </w:rPr>
      </w:r>
      <w:r/>
    </w:p>
    <w:p>
      <w:pPr>
        <w:pStyle w:val="884"/>
        <w:ind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4"/>
        <w:jc w:val="center"/>
        <w:spacing w:line="360" w:lineRule="auto"/>
        <w:rPr>
          <w:rFonts w:hint="eastAsia"/>
          <w:color w:val="000000"/>
          <w:szCs w:val="24"/>
          <w:highlight w:val="none"/>
        </w:rPr>
      </w:pPr>
      <w:r>
        <w:rPr>
          <w:rFonts w:hint="eastAsia" w:ascii="宋体" w:hAnsi="宋体" w:cs="宋体"/>
          <w:color w:val="000000"/>
          <w:sz w:val="28"/>
          <w:szCs w:val="28"/>
          <w:highlight w:val="none"/>
        </w:rPr>
        <w:t xml:space="preserve">招标代理单位：</w:t>
      </w:r>
      <w:r>
        <w:rPr>
          <w:rFonts w:hint="eastAsia" w:ascii="宋体" w:hAnsi="宋体" w:cs="宋体"/>
          <w:bCs/>
          <w:color w:val="000000"/>
          <w:sz w:val="28"/>
          <w:szCs w:val="28"/>
          <w:highlight w:val="none"/>
        </w:rPr>
        <w:t xml:space="preserve">江苏经纬会计师事务所有限公司</w:t>
      </w:r>
      <w:r>
        <w:rPr>
          <w:rFonts w:hint="eastAsia"/>
          <w:color w:val="000000"/>
          <w:szCs w:val="24"/>
          <w:highlight w:val="none"/>
        </w:rPr>
      </w:r>
      <w:r/>
    </w:p>
    <w:p>
      <w:pPr>
        <w:pStyle w:val="884"/>
        <w:jc w:val="center"/>
        <w:spacing w:line="360" w:lineRule="auto"/>
        <w:rPr>
          <w:rFonts w:ascii="宋体" w:hAnsi="宋体" w:cs="宋体"/>
          <w:color w:val="000000"/>
          <w:sz w:val="28"/>
          <w:szCs w:val="28"/>
          <w:highlight w:val="none"/>
        </w:rPr>
      </w:pPr>
      <w:r>
        <w:rPr>
          <w:rFonts w:ascii="宋体" w:hAnsi="宋体" w:cs="宋体"/>
          <w:color w:val="000000"/>
          <w:sz w:val="28"/>
          <w:szCs w:val="28"/>
          <w:highlight w:val="none"/>
        </w:rPr>
      </w:r>
      <w:r/>
    </w:p>
    <w:p>
      <w:pPr>
        <w:pStyle w:val="884"/>
        <w:jc w:val="center"/>
        <w:spacing w:line="360" w:lineRule="auto"/>
        <w:rPr>
          <w:rFonts w:hint="eastAsia"/>
          <w:color w:val="000000"/>
          <w:szCs w:val="24"/>
          <w:highlight w:val="none"/>
        </w:rPr>
      </w:pPr>
      <w:r>
        <w:rPr>
          <w:rFonts w:hint="eastAsia" w:ascii="宋体" w:hAnsi="宋体" w:cs="宋体"/>
          <w:color w:val="000000"/>
          <w:sz w:val="28"/>
          <w:szCs w:val="28"/>
          <w:highlight w:val="none"/>
        </w:rPr>
        <w:t xml:space="preserve">2026年6月</w:t>
      </w:r>
      <w:r>
        <w:rPr>
          <w:rFonts w:hint="eastAsia"/>
          <w:color w:val="000000"/>
          <w:szCs w:val="24"/>
          <w:highlight w:val="none"/>
        </w:rPr>
      </w:r>
      <w:r/>
    </w:p>
    <w:p>
      <w:pPr>
        <w:pStyle w:val="884"/>
        <w:jc w:val="center"/>
        <w:rPr>
          <w:rFonts w:ascii="宋体" w:hAnsi="宋体"/>
          <w:color w:val="000000"/>
          <w:szCs w:val="24"/>
          <w:highlight w:val="none"/>
        </w:rPr>
      </w:pPr>
      <w:r>
        <w:rPr>
          <w:rFonts w:ascii="宋体" w:hAnsi="宋体"/>
          <w:color w:val="000000"/>
          <w:szCs w:val="24"/>
          <w:highlight w:val="none"/>
        </w:rPr>
      </w:r>
      <w:r/>
    </w:p>
    <w:p>
      <w:pPr>
        <w:pStyle w:val="884"/>
        <w:jc w:val="center"/>
        <w:rPr>
          <w:rFonts w:hint="eastAsia" w:ascii="宋体" w:hAnsi="宋体"/>
          <w:color w:val="000000"/>
          <w:szCs w:val="24"/>
          <w:highlight w:val="none"/>
        </w:rPr>
      </w:pPr>
      <w:r>
        <w:rPr>
          <w:rFonts w:hint="eastAsia" w:ascii="宋体" w:hAnsi="宋体"/>
          <w:color w:val="000000"/>
          <w:szCs w:val="24"/>
          <w:highlight w:val="none"/>
        </w:rPr>
      </w:r>
      <w:r/>
    </w:p>
    <w:p>
      <w:pPr>
        <w:pStyle w:val="884"/>
        <w:jc w:val="center"/>
        <w:rPr>
          <w:rFonts w:hint="eastAsia" w:ascii="宋体" w:hAnsi="宋体"/>
          <w:color w:val="000000"/>
          <w:szCs w:val="24"/>
          <w:highlight w:val="none"/>
        </w:rPr>
      </w:pPr>
      <w:r>
        <w:rPr>
          <w:rFonts w:hint="eastAsia" w:ascii="宋体" w:hAnsi="宋体"/>
          <w:color w:val="000000"/>
          <w:szCs w:val="24"/>
          <w:highlight w:val="none"/>
        </w:rPr>
      </w:r>
      <w:r/>
    </w:p>
    <w:p>
      <w:pPr>
        <w:pStyle w:val="910"/>
        <w:ind w:firstLine="420"/>
        <w:rPr>
          <w:rFonts w:hint="eastAsia"/>
          <w:color w:val="000000"/>
          <w:highlight w:val="none"/>
        </w:rPr>
      </w:pPr>
      <w:r>
        <w:rPr>
          <w:rFonts w:hint="eastAsia"/>
          <w:color w:val="000000"/>
          <w:highlight w:val="none"/>
        </w:rPr>
      </w:r>
      <w:r/>
    </w:p>
    <w:p>
      <w:pPr>
        <w:pStyle w:val="884"/>
        <w:jc w:val="center"/>
        <w:rPr>
          <w:rFonts w:hint="eastAsia" w:ascii="宋体" w:hAnsi="宋体"/>
          <w:color w:val="000000"/>
          <w:szCs w:val="24"/>
          <w:highlight w:val="none"/>
        </w:rPr>
      </w:pPr>
      <w:r>
        <w:rPr>
          <w:rFonts w:hint="eastAsia" w:ascii="宋体" w:hAnsi="宋体"/>
          <w:color w:val="000000"/>
          <w:szCs w:val="24"/>
          <w:highlight w:val="none"/>
        </w:rPr>
      </w:r>
      <w:r/>
    </w:p>
    <w:p>
      <w:pPr>
        <w:pStyle w:val="884"/>
        <w:jc w:val="center"/>
        <w:rPr>
          <w:rFonts w:hint="eastAsia" w:ascii="宋体" w:hAnsi="宋体"/>
          <w:color w:val="000000"/>
          <w:szCs w:val="24"/>
          <w:highlight w:val="none"/>
        </w:rPr>
      </w:pPr>
      <w:r>
        <w:rPr>
          <w:rFonts w:hint="eastAsia" w:ascii="宋体" w:hAnsi="宋体"/>
          <w:color w:val="000000"/>
          <w:szCs w:val="24"/>
          <w:highlight w:val="none"/>
        </w:rPr>
      </w:r>
      <w:r/>
    </w:p>
    <w:p>
      <w:pPr>
        <w:pStyle w:val="884"/>
        <w:jc w:val="center"/>
        <w:rPr>
          <w:rFonts w:hint="eastAsia" w:ascii="宋体" w:hAnsi="宋体"/>
          <w:color w:val="000000"/>
          <w:szCs w:val="24"/>
          <w:highlight w:val="none"/>
        </w:rPr>
      </w:pPr>
      <w:r>
        <w:rPr>
          <w:rFonts w:hint="eastAsia" w:ascii="宋体" w:hAnsi="宋体"/>
          <w:color w:val="000000"/>
          <w:szCs w:val="24"/>
          <w:highlight w:val="none"/>
        </w:rPr>
      </w:r>
      <w:r/>
    </w:p>
    <w:p>
      <w:pPr>
        <w:pStyle w:val="884"/>
        <w:rPr>
          <w:rFonts w:hint="eastAsia" w:ascii="宋体" w:hAnsi="宋体"/>
          <w:color w:val="000000"/>
          <w:szCs w:val="24"/>
          <w:highlight w:val="none"/>
        </w:rPr>
      </w:pPr>
      <w:r>
        <w:rPr>
          <w:rFonts w:hint="eastAsia" w:ascii="宋体" w:hAnsi="宋体"/>
          <w:color w:val="000000"/>
          <w:szCs w:val="24"/>
          <w:highlight w:val="none"/>
        </w:rPr>
      </w:r>
      <w:r/>
    </w:p>
    <w:p>
      <w:pPr>
        <w:pStyle w:val="884"/>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目   录</w:t>
      </w:r>
      <w:r>
        <w:rPr>
          <w:rFonts w:hint="eastAsia" w:ascii="宋体" w:hAnsi="宋体" w:cs="宋体"/>
          <w:color w:val="000000"/>
          <w:sz w:val="28"/>
          <w:szCs w:val="28"/>
          <w:highlight w:val="none"/>
        </w:rPr>
      </w:r>
      <w:r/>
    </w:p>
    <w:p>
      <w:pPr>
        <w:pStyle w:val="884"/>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03"/>
        <w:spacing w:line="480" w:lineRule="auto"/>
        <w:tabs>
          <w:tab w:val="right" w:pos="8306" w:leader="dot"/>
        </w:tabs>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TOC \o "1-1" \h \u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\l _Toc22825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第一章  招标公告</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_Toc22825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r>
      <w:r/>
    </w:p>
    <w:p>
      <w:pPr>
        <w:pStyle w:val="903"/>
        <w:spacing w:line="480" w:lineRule="auto"/>
        <w:tabs>
          <w:tab w:val="right" w:pos="8306" w:leader="dot"/>
        </w:tabs>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\l _Toc25250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第二章  投标人须知</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_Toc25250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r>
      <w:r/>
    </w:p>
    <w:p>
      <w:pPr>
        <w:pStyle w:val="903"/>
        <w:spacing w:line="480" w:lineRule="auto"/>
        <w:tabs>
          <w:tab w:val="right" w:pos="8306" w:leader="dot"/>
        </w:tabs>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\l _Toc30697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第三章  政府采购合同</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_Toc30697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r>
      <w:r/>
    </w:p>
    <w:p>
      <w:pPr>
        <w:pStyle w:val="903"/>
        <w:spacing w:line="480" w:lineRule="auto"/>
        <w:tabs>
          <w:tab w:val="right" w:pos="8306" w:leader="dot"/>
        </w:tabs>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\l _Toc24746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第四章  项目内容及基本要求</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_Toc24746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21</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r>
      <w:r/>
    </w:p>
    <w:p>
      <w:pPr>
        <w:pStyle w:val="903"/>
        <w:spacing w:line="480" w:lineRule="auto"/>
        <w:tabs>
          <w:tab w:val="right" w:pos="8306" w:leader="dot"/>
        </w:tabs>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\l _Toc13209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第五章  评 审 办 法</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_Toc13209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35</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r>
      <w:r/>
    </w:p>
    <w:p>
      <w:pPr>
        <w:pStyle w:val="903"/>
        <w:spacing w:line="480" w:lineRule="auto"/>
        <w:tabs>
          <w:tab w:val="right" w:pos="8306" w:leader="dot"/>
        </w:tabs>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\l _Toc15976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第六章  投标文件格式</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_Toc15976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42</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r>
      <w:r/>
    </w:p>
    <w:p>
      <w:pPr>
        <w:pStyle w:val="884"/>
        <w:ind w:right="181"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r>
      <w:r/>
    </w:p>
    <w:p>
      <w:pPr>
        <w:pStyle w:val="884"/>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4"/>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4"/>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4"/>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4"/>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4"/>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4"/>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4"/>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4"/>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4"/>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4"/>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4"/>
        <w:ind w:right="181"/>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4"/>
        <w:ind w:firstLine="3132"/>
        <w:keepLines/>
        <w:keepNext/>
        <w:spacing w:before="340" w:after="330" w:line="576" w:lineRule="auto"/>
        <w:tabs>
          <w:tab w:val="left" w:pos="0" w:leader="none"/>
        </w:tabs>
        <w:rPr>
          <w:rFonts w:hint="eastAsia" w:ascii="宋体" w:hAnsi="宋体" w:cs="宋体"/>
          <w:b/>
          <w:bCs/>
          <w:color w:val="000000"/>
          <w:sz w:val="24"/>
          <w:szCs w:val="24"/>
          <w:highlight w:val="none"/>
        </w:rPr>
        <w:outlineLvl w:val="0"/>
      </w:pPr>
      <w:r/>
      <w:bookmarkStart w:id="1" w:name="_Toc22825"/>
      <w:r>
        <w:rPr>
          <w:rFonts w:hint="eastAsia"/>
          <w:b/>
          <w:color w:val="000000"/>
          <w:sz w:val="24"/>
          <w:szCs w:val="24"/>
          <w:highlight w:val="none"/>
        </w:rPr>
        <w:t xml:space="preserve">第一章  招标公告</w:t>
      </w:r>
      <w:bookmarkEnd w:id="1"/>
      <w:r>
        <w:rPr>
          <w:rFonts w:hint="eastAsia" w:ascii="宋体" w:hAnsi="宋体" w:cs="宋体"/>
          <w:b/>
          <w:bCs/>
          <w:color w:val="000000"/>
          <w:sz w:val="24"/>
          <w:szCs w:val="24"/>
          <w:highlight w:val="none"/>
        </w:rPr>
      </w:r>
      <w:r/>
    </w:p>
    <w:p>
      <w:pPr>
        <w:pStyle w:val="884"/>
        <w:spacing w:line="480" w:lineRule="auto"/>
        <w:rPr>
          <w:rFonts w:hint="eastAsia"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bookmarkStart w:id="2" w:name="_Hlk117514583"/>
      <w:r>
        <w:rPr>
          <w:rFonts w:hint="eastAsia" w:ascii="宋体" w:hAnsi="宋体" w:cs="宋体"/>
          <w:color w:val="000000"/>
          <w:sz w:val="24"/>
          <w:szCs w:val="24"/>
          <w:highlight w:val="none"/>
        </w:rPr>
        <w:t xml:space="preserve">项目概况</w:t>
      </w:r>
      <w:r>
        <w:rPr>
          <w:rFonts w:hint="eastAsia" w:ascii="宋体" w:hAnsi="宋体" w:cs="宋体"/>
          <w:color w:val="000000"/>
          <w:sz w:val="24"/>
          <w:szCs w:val="24"/>
          <w:highlight w:val="none"/>
        </w:rPr>
      </w:r>
      <w:r/>
    </w:p>
    <w:p>
      <w:pPr>
        <w:pStyle w:val="884"/>
        <w:ind w:firstLine="480"/>
        <w:spacing w:line="480" w:lineRule="auto"/>
        <w:rPr>
          <w:rFonts w:hint="eastAsia"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u w:val="single"/>
        </w:rPr>
        <w:t xml:space="preserve">泰州市区直管59条河道保洁服务项目</w:t>
      </w:r>
      <w:r>
        <w:rPr>
          <w:rFonts w:hint="eastAsia" w:ascii="宋体" w:hAnsi="宋体" w:cs="宋体"/>
          <w:color w:val="000000"/>
          <w:sz w:val="24"/>
          <w:szCs w:val="24"/>
          <w:highlight w:val="none"/>
        </w:rPr>
        <w:t xml:space="preserve">的潜在供应商应在</w:t>
      </w:r>
      <w:r>
        <w:rPr>
          <w:rFonts w:hint="eastAsia" w:ascii="宋体" w:hAnsi="宋体" w:cs="宋体"/>
          <w:color w:val="000000"/>
          <w:sz w:val="24"/>
          <w:szCs w:val="24"/>
          <w:highlight w:val="none"/>
          <w:u w:val="single"/>
        </w:rPr>
        <w:t xml:space="preserve">“苏采云”政府采购一体化平台</w:t>
      </w:r>
      <w:r>
        <w:rPr>
          <w:rFonts w:hint="eastAsia" w:ascii="宋体" w:hAnsi="宋体" w:cs="宋体"/>
          <w:color w:val="000000"/>
          <w:sz w:val="24"/>
          <w:szCs w:val="24"/>
          <w:highlight w:val="none"/>
        </w:rPr>
        <w:t xml:space="preserve">系统获取招标文件，并于</w:t>
      </w:r>
      <w:r>
        <w:rPr>
          <w:rFonts w:hint="eastAsia" w:ascii="宋体" w:hAnsi="宋体" w:cs="宋体"/>
          <w:color w:val="000000"/>
          <w:sz w:val="24"/>
          <w:szCs w:val="24"/>
          <w:highlight w:val="none"/>
          <w:u w:val="single"/>
        </w:rPr>
        <w:t xml:space="preserve"> 2026</w:t>
      </w:r>
      <w:r>
        <w:rPr>
          <w:rFonts w:hint="eastAsia" w:ascii="宋体" w:hAnsi="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7</w:t>
      </w:r>
      <w:r>
        <w:rPr>
          <w:rFonts w:hint="eastAsia" w:ascii="宋体" w:hAnsi="宋体" w:cs="宋体"/>
          <w:bCs/>
          <w:color w:val="000000"/>
          <w:sz w:val="24"/>
          <w:szCs w:val="24"/>
          <w:highlight w:val="none"/>
          <w:u w:val="single"/>
        </w:rPr>
        <w:t xml:space="preserve">月</w:t>
      </w:r>
      <w:r>
        <w:rPr>
          <w:rFonts w:hint="eastAsia" w:ascii="宋体" w:hAnsi="宋体" w:cs="宋体"/>
          <w:bCs/>
          <w:color w:val="000000"/>
          <w:sz w:val="24"/>
          <w:szCs w:val="24"/>
          <w:highlight w:val="none"/>
          <w:u w:val="single"/>
        </w:rPr>
        <w:t xml:space="preserve">14日09点00分（</w:t>
      </w:r>
      <w:r>
        <w:rPr>
          <w:rFonts w:hint="eastAsia" w:ascii="宋体" w:hAnsi="宋体" w:cs="宋体"/>
          <w:bCs/>
          <w:color w:val="000000"/>
          <w:sz w:val="24"/>
          <w:szCs w:val="24"/>
          <w:highlight w:val="none"/>
        </w:rPr>
        <w:t xml:space="preserve">北京时间）前递交投标文件</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84"/>
        <w:ind w:firstLine="482"/>
        <w:spacing w:line="480" w:lineRule="auto"/>
        <w:rPr>
          <w:rFonts w:hint="eastAsia" w:ascii="宋体" w:hAnsi="宋体" w:cs="宋体"/>
          <w:color w:val="000000"/>
          <w:sz w:val="24"/>
          <w:szCs w:val="24"/>
          <w:highlight w:val="none"/>
        </w:rPr>
      </w:pPr>
      <w:r/>
      <w:bookmarkStart w:id="3" w:name="_Hlk24379207"/>
      <w:r>
        <w:rPr>
          <w:rFonts w:hint="eastAsia" w:ascii="宋体" w:hAnsi="宋体" w:cs="宋体"/>
          <w:b/>
          <w:bCs/>
          <w:color w:val="000000"/>
          <w:sz w:val="24"/>
          <w:szCs w:val="24"/>
          <w:highlight w:val="none"/>
        </w:rPr>
        <w:t xml:space="preserve">一、项目基本情况</w:t>
      </w:r>
      <w:r>
        <w:rPr>
          <w:rFonts w:hint="eastAsia" w:ascii="宋体" w:hAnsi="宋体" w:cs="宋体"/>
          <w:color w:val="000000"/>
          <w:sz w:val="24"/>
          <w:szCs w:val="24"/>
          <w:highlight w:val="none"/>
        </w:rPr>
      </w:r>
      <w:r/>
    </w:p>
    <w:p>
      <w:pPr>
        <w:pStyle w:val="884"/>
        <w:ind w:firstLine="480"/>
        <w:spacing w:line="48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项目编号：JSZC-321200-JWKJ-G2026-0004</w:t>
      </w:r>
      <w:r>
        <w:rPr>
          <w:rFonts w:hint="eastAsia" w:ascii="宋体" w:hAnsi="宋体" w:cs="宋体"/>
          <w:b/>
          <w:bCs/>
          <w:color w:val="000000"/>
          <w:sz w:val="24"/>
          <w:szCs w:val="24"/>
          <w:highlight w:val="none"/>
        </w:rPr>
      </w:r>
      <w:r/>
    </w:p>
    <w:p>
      <w:pPr>
        <w:pStyle w:val="884"/>
        <w:ind w:firstLine="480"/>
        <w:spacing w:line="48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项目名称：</w:t>
      </w:r>
      <w:bookmarkEnd w:id="3"/>
      <w:r>
        <w:rPr>
          <w:rFonts w:hint="eastAsia" w:ascii="宋体" w:hAnsi="宋体" w:cs="宋体"/>
          <w:color w:val="000000"/>
          <w:sz w:val="24"/>
          <w:szCs w:val="24"/>
          <w:highlight w:val="none"/>
        </w:rPr>
        <w:t xml:space="preserve">泰州市区直管59条河道保洁服务项目</w:t>
      </w:r>
      <w:r>
        <w:rPr>
          <w:rFonts w:hint="eastAsia" w:ascii="宋体" w:hAnsi="宋体" w:cs="宋体"/>
          <w:color w:val="000000"/>
          <w:sz w:val="24"/>
          <w:szCs w:val="24"/>
          <w:highlight w:val="none"/>
        </w:rPr>
      </w:r>
      <w:r/>
    </w:p>
    <w:p>
      <w:pPr>
        <w:pStyle w:val="884"/>
        <w:ind w:firstLine="480"/>
        <w:spacing w:line="48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项目总预算：人民币2058万元</w:t>
      </w:r>
      <w:r>
        <w:rPr>
          <w:rFonts w:hint="eastAsia" w:ascii="宋体" w:hAnsi="宋体" w:cs="宋体"/>
          <w:b/>
          <w:bCs/>
          <w:color w:val="000000"/>
          <w:sz w:val="24"/>
          <w:szCs w:val="24"/>
          <w:highlight w:val="none"/>
        </w:rPr>
      </w:r>
      <w:r/>
    </w:p>
    <w:p>
      <w:pPr>
        <w:pStyle w:val="884"/>
        <w:ind w:firstLine="480"/>
        <w:spacing w:line="48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年服务费最高限价：每年服务费人民币686万元，三年服务费合计人民币2058万元</w:t>
      </w:r>
      <w:r>
        <w:rPr>
          <w:rFonts w:ascii="宋体" w:hAnsi="宋体" w:cs="宋体"/>
          <w:b/>
          <w:bCs/>
          <w:color w:val="000000"/>
          <w:sz w:val="24"/>
          <w:szCs w:val="24"/>
          <w:highlight w:val="none"/>
        </w:rPr>
      </w:r>
      <w:r/>
    </w:p>
    <w:p>
      <w:pPr>
        <w:pStyle w:val="884"/>
        <w:ind w:firstLine="480"/>
        <w:spacing w:line="480" w:lineRule="auto"/>
        <w:rPr>
          <w:rFonts w:ascii="宋体" w:hAnsi="宋体" w:cs="宋体"/>
          <w:color w:val="000000"/>
          <w:sz w:val="24"/>
          <w:szCs w:val="24"/>
          <w:highlight w:val="none"/>
          <w:shd w:val="clear" w:color="auto" w:fill="ffffff"/>
        </w:rPr>
      </w:pPr>
      <w:r>
        <w:rPr>
          <w:rFonts w:hint="eastAsia" w:ascii="宋体" w:hAnsi="宋体" w:cs="宋体"/>
          <w:b/>
          <w:bCs/>
          <w:color w:val="000000"/>
          <w:sz w:val="24"/>
          <w:szCs w:val="24"/>
          <w:highlight w:val="none"/>
          <w:shd w:val="clear" w:color="auto" w:fill="ffffff"/>
        </w:rPr>
        <w:t xml:space="preserve">采购需求：</w:t>
      </w:r>
      <w:r>
        <w:rPr>
          <w:rFonts w:hint="eastAsia" w:ascii="宋体" w:hAnsi="宋体" w:cs="宋体"/>
          <w:color w:val="000000"/>
          <w:sz w:val="24"/>
          <w:szCs w:val="24"/>
          <w:highlight w:val="none"/>
          <w:shd w:val="clear" w:color="auto" w:fill="ffffff"/>
        </w:rPr>
        <w:t xml:space="preserve">泰州市区直管59条河道保洁服务项目，具体详见招标文件。</w:t>
      </w:r>
      <w:r>
        <w:rPr>
          <w:rFonts w:ascii="宋体" w:hAnsi="宋体" w:cs="宋体"/>
          <w:color w:val="000000"/>
          <w:sz w:val="24"/>
          <w:szCs w:val="24"/>
          <w:highlight w:val="none"/>
          <w:shd w:val="clear" w:color="auto" w:fill="ffffff"/>
        </w:rPr>
      </w:r>
      <w:r/>
    </w:p>
    <w:p>
      <w:pPr>
        <w:pStyle w:val="884"/>
        <w:ind w:firstLine="480"/>
        <w:spacing w:line="48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合同履行期限：</w:t>
      </w:r>
      <w:r>
        <w:rPr>
          <w:rFonts w:hint="eastAsia" w:ascii="宋体" w:hAnsi="宋体" w:cs="宋体"/>
          <w:color w:val="000000"/>
          <w:sz w:val="24"/>
          <w:szCs w:val="24"/>
          <w:highlight w:val="none"/>
        </w:rPr>
        <w:t xml:space="preserve">三年</w:t>
      </w:r>
      <w:r>
        <w:rPr>
          <w:rFonts w:hint="eastAsia" w:ascii="宋体" w:hAnsi="宋体" w:cs="宋体"/>
          <w:color w:val="000000"/>
          <w:sz w:val="24"/>
          <w:szCs w:val="24"/>
          <w:highlight w:val="none"/>
        </w:rPr>
      </w:r>
      <w:r/>
    </w:p>
    <w:p>
      <w:pPr>
        <w:pStyle w:val="884"/>
        <w:ind w:firstLine="482"/>
        <w:spacing w:line="48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本项目（是/否）接受联合体投标：</w:t>
      </w:r>
      <w:r>
        <w:rPr>
          <w:rFonts w:hint="eastAsia" w:ascii="宋体" w:hAnsi="宋体" w:cs="宋体"/>
          <w:color w:val="000000"/>
          <w:sz w:val="24"/>
          <w:szCs w:val="24"/>
          <w:highlight w:val="none"/>
        </w:rPr>
        <w:t xml:space="preserve">否</w:t>
      </w:r>
      <w:r>
        <w:rPr>
          <w:rFonts w:hint="eastAsia" w:ascii="宋体" w:hAnsi="宋体" w:cs="宋体"/>
          <w:b/>
          <w:bCs/>
          <w:color w:val="000000"/>
          <w:sz w:val="24"/>
          <w:szCs w:val="24"/>
          <w:highlight w:val="none"/>
        </w:rPr>
      </w:r>
      <w:r/>
    </w:p>
    <w:p>
      <w:pPr>
        <w:pStyle w:val="884"/>
        <w:ind w:firstLine="482"/>
        <w:spacing w:line="48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二、申请人的资格要求</w:t>
      </w:r>
      <w:r>
        <w:rPr>
          <w:rFonts w:hint="eastAsia" w:ascii="宋体" w:hAnsi="宋体" w:cs="宋体"/>
          <w:color w:val="000000"/>
          <w:sz w:val="24"/>
          <w:szCs w:val="24"/>
          <w:highlight w:val="none"/>
        </w:rPr>
      </w:r>
      <w:r/>
    </w:p>
    <w:p>
      <w:pPr>
        <w:pStyle w:val="884"/>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（一）满足《中华人民共和国政府采购法》第二十二条规定：</w:t>
      </w:r>
      <w:r>
        <w:rPr>
          <w:rFonts w:hint="eastAsia" w:ascii="宋体" w:hAnsi="宋体" w:cs="宋体"/>
          <w:color w:val="000000"/>
          <w:sz w:val="24"/>
          <w:szCs w:val="24"/>
          <w:highlight w:val="none"/>
        </w:rPr>
      </w:r>
      <w:r/>
    </w:p>
    <w:p>
      <w:pPr>
        <w:pStyle w:val="884"/>
        <w:ind w:firstLine="480"/>
        <w:spacing w:line="48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1.具有独立承担民事责任的能力；</w:t>
      </w:r>
      <w:r>
        <w:rPr>
          <w:rFonts w:hint="eastAsia" w:ascii="宋体" w:hAnsi="宋体" w:cs="宋体"/>
          <w:color w:val="000000"/>
          <w:sz w:val="24"/>
          <w:szCs w:val="24"/>
          <w:highlight w:val="none"/>
          <w:lang w:val="zh-CN"/>
        </w:rPr>
      </w:r>
      <w:r/>
    </w:p>
    <w:p>
      <w:pPr>
        <w:pStyle w:val="884"/>
        <w:ind w:firstLine="480"/>
        <w:spacing w:line="48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.具有良好的商业信誉和健全的财务会计制度；</w:t>
      </w:r>
      <w:r>
        <w:rPr>
          <w:rFonts w:hint="eastAsia" w:ascii="宋体" w:hAnsi="宋体" w:cs="宋体"/>
          <w:color w:val="000000"/>
          <w:sz w:val="24"/>
          <w:szCs w:val="24"/>
          <w:highlight w:val="none"/>
          <w:lang w:val="zh-CN"/>
        </w:rPr>
      </w:r>
      <w:r/>
    </w:p>
    <w:p>
      <w:pPr>
        <w:pStyle w:val="884"/>
        <w:ind w:firstLine="480"/>
        <w:spacing w:line="48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.具</w:t>
      </w:r>
      <w:r>
        <w:rPr>
          <w:rFonts w:hint="eastAsia" w:ascii="宋体" w:hAnsi="宋体" w:cs="宋体"/>
          <w:color w:val="000000"/>
          <w:sz w:val="24"/>
          <w:szCs w:val="24"/>
          <w:highlight w:val="none"/>
        </w:rPr>
        <w:t xml:space="preserve">有</w:t>
      </w:r>
      <w:r>
        <w:rPr>
          <w:rFonts w:hint="eastAsia" w:ascii="宋体" w:hAnsi="宋体" w:cs="宋体"/>
          <w:color w:val="000000"/>
          <w:sz w:val="24"/>
          <w:szCs w:val="24"/>
          <w:highlight w:val="none"/>
          <w:lang w:val="zh-CN"/>
        </w:rPr>
        <w:t xml:space="preserve">履行合同所必需的设备和专业技术能力；</w:t>
      </w:r>
      <w:r>
        <w:rPr>
          <w:rFonts w:hint="eastAsia" w:ascii="宋体" w:hAnsi="宋体" w:cs="宋体"/>
          <w:color w:val="000000"/>
          <w:sz w:val="24"/>
          <w:szCs w:val="24"/>
          <w:highlight w:val="none"/>
          <w:lang w:val="zh-CN"/>
        </w:rPr>
      </w:r>
      <w:r/>
    </w:p>
    <w:p>
      <w:pPr>
        <w:pStyle w:val="884"/>
        <w:ind w:firstLine="480"/>
        <w:spacing w:line="48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val="zh-CN"/>
        </w:rPr>
        <w:t xml:space="preserve">.有依法缴纳税收和社会保障资金的良好记录；</w:t>
      </w:r>
      <w:r>
        <w:rPr>
          <w:rFonts w:hint="eastAsia" w:ascii="宋体" w:hAnsi="宋体" w:cs="宋体"/>
          <w:color w:val="000000"/>
          <w:sz w:val="24"/>
          <w:szCs w:val="24"/>
          <w:highlight w:val="none"/>
          <w:lang w:val="zh-CN"/>
        </w:rPr>
      </w:r>
      <w:r/>
    </w:p>
    <w:p>
      <w:pPr>
        <w:pStyle w:val="884"/>
        <w:ind w:firstLine="480"/>
        <w:spacing w:line="48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val="zh-CN"/>
        </w:rPr>
        <w:t xml:space="preserve">.参加政府采购活动前三年内，在经营活动中没有重大违法记录；</w:t>
      </w:r>
      <w:r>
        <w:rPr>
          <w:rFonts w:hint="eastAsia" w:ascii="宋体" w:hAnsi="宋体" w:cs="宋体"/>
          <w:color w:val="000000"/>
          <w:sz w:val="24"/>
          <w:szCs w:val="24"/>
          <w:highlight w:val="none"/>
          <w:lang w:val="zh-CN"/>
        </w:rPr>
      </w:r>
      <w:r/>
    </w:p>
    <w:p>
      <w:pPr>
        <w:pStyle w:val="884"/>
        <w:ind w:firstLine="480"/>
        <w:spacing w:line="48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lang w:val="zh-CN"/>
        </w:rPr>
        <w:t xml:space="preserve">.法律、行政法规规定的其他条件。</w:t>
      </w:r>
      <w:r>
        <w:rPr>
          <w:rFonts w:hint="eastAsia" w:ascii="宋体" w:hAnsi="宋体" w:cs="宋体"/>
          <w:color w:val="000000"/>
          <w:sz w:val="24"/>
          <w:szCs w:val="24"/>
          <w:highlight w:val="none"/>
          <w:lang w:val="zh-CN"/>
        </w:rPr>
      </w:r>
      <w:r/>
    </w:p>
    <w:p>
      <w:pPr>
        <w:pStyle w:val="884"/>
        <w:numPr>
          <w:ilvl w:val="0"/>
          <w:numId w:val="2"/>
        </w:numPr>
        <w:ind w:firstLine="480"/>
        <w:spacing w:line="48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落实政府采购政策需满足的资格要求：本项目属于其他未列明行业，不专门面向中小微企业、监狱企业、残疾人福利性单位，对符合条件的小型和微型企业、残疾人福利性单位、监狱企业给予10%的扣除价格，用扣除后的价格参与评审。</w:t>
      </w:r>
      <w:r>
        <w:rPr>
          <w:rFonts w:hint="eastAsia" w:ascii="宋体" w:hAnsi="宋体" w:cs="宋体"/>
          <w:color w:val="000000"/>
          <w:sz w:val="24"/>
          <w:szCs w:val="24"/>
          <w:highlight w:val="none"/>
          <w:u w:val="single"/>
        </w:rPr>
      </w:r>
      <w:r/>
    </w:p>
    <w:p>
      <w:pPr>
        <w:pStyle w:val="884"/>
        <w:numPr>
          <w:ilvl w:val="0"/>
          <w:numId w:val="2"/>
        </w:numPr>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本项目的特定资格要求：</w:t>
      </w:r>
      <w:r>
        <w:rPr>
          <w:rFonts w:hint="eastAsia" w:ascii="宋体" w:hAnsi="宋体" w:cs="宋体"/>
          <w:color w:val="000000"/>
          <w:sz w:val="24"/>
          <w:szCs w:val="24"/>
          <w:highlight w:val="none"/>
        </w:rPr>
      </w:r>
      <w:r/>
    </w:p>
    <w:p>
      <w:pPr>
        <w:pStyle w:val="884"/>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1.未被“信用中国”网站（www.creditchina.gov.cn）列入失信被执行人、重大税收违法案件当事人名单、政府采购严重失信行为记录名单。</w:t>
      </w:r>
      <w:r>
        <w:rPr>
          <w:rFonts w:hint="eastAsia" w:ascii="宋体" w:hAnsi="宋体" w:cs="宋体"/>
          <w:color w:val="000000"/>
          <w:sz w:val="24"/>
          <w:szCs w:val="24"/>
          <w:highlight w:val="none"/>
        </w:rPr>
      </w:r>
      <w:r/>
    </w:p>
    <w:p>
      <w:pPr>
        <w:pStyle w:val="884"/>
        <w:ind w:firstLine="480"/>
        <w:spacing w:line="480" w:lineRule="auto"/>
        <w:rPr>
          <w:rFonts w:hint="eastAsia" w:ascii="宋体" w:hAnsi="宋体" w:cs="宋体"/>
          <w:bCs/>
          <w:color w:val="000000"/>
          <w:sz w:val="24"/>
          <w:szCs w:val="24"/>
          <w:highlight w:val="none"/>
        </w:rPr>
        <w:outlineLvl w:val="1"/>
      </w:pPr>
      <w:r>
        <w:rPr>
          <w:rFonts w:hint="eastAsia" w:ascii="宋体" w:hAnsi="宋体" w:cs="宋体"/>
          <w:bCs/>
          <w:color w:val="000000"/>
          <w:sz w:val="24"/>
          <w:szCs w:val="24"/>
          <w:highlight w:val="none"/>
        </w:rPr>
        <w:t xml:space="preserve">2.拒绝下述供应商参加本次采购活动：</w:t>
      </w:r>
      <w:r>
        <w:rPr>
          <w:rFonts w:hint="eastAsia" w:ascii="宋体" w:hAnsi="宋体" w:cs="宋体"/>
          <w:bCs/>
          <w:color w:val="000000"/>
          <w:sz w:val="24"/>
          <w:szCs w:val="24"/>
          <w:highlight w:val="none"/>
        </w:rPr>
      </w:r>
      <w:r/>
    </w:p>
    <w:p>
      <w:pPr>
        <w:pStyle w:val="884"/>
        <w:ind w:firstLine="480"/>
        <w:spacing w:line="480" w:lineRule="auto"/>
        <w:rPr>
          <w:rFonts w:hint="eastAsia" w:ascii="宋体" w:hAnsi="宋体" w:cs="宋体"/>
          <w:bCs/>
          <w:color w:val="000000"/>
          <w:sz w:val="24"/>
          <w:szCs w:val="24"/>
          <w:highlight w:val="none"/>
        </w:rPr>
        <w:outlineLvl w:val="1"/>
      </w:pPr>
      <w:r>
        <w:rPr>
          <w:rFonts w:hint="eastAsia" w:ascii="宋体" w:hAnsi="宋体" w:cs="宋体"/>
          <w:bCs/>
          <w:color w:val="000000"/>
          <w:sz w:val="24"/>
          <w:szCs w:val="24"/>
          <w:highlight w:val="none"/>
        </w:rPr>
        <w:t xml:space="preserve">2.1供应商单位负责人为同一人或者存在直接控股、管理关系的不同供应商，不得参加同一合同项下的政府采购活动；</w:t>
      </w:r>
      <w:r>
        <w:rPr>
          <w:rFonts w:hint="eastAsia" w:ascii="宋体" w:hAnsi="宋体" w:cs="宋体"/>
          <w:bCs/>
          <w:color w:val="000000"/>
          <w:sz w:val="24"/>
          <w:szCs w:val="24"/>
          <w:highlight w:val="none"/>
        </w:rPr>
      </w:r>
      <w:r/>
    </w:p>
    <w:p>
      <w:pPr>
        <w:pStyle w:val="884"/>
        <w:ind w:firstLine="480"/>
        <w:spacing w:line="480" w:lineRule="auto"/>
        <w:rPr>
          <w:rFonts w:hint="eastAsia" w:ascii="宋体" w:hAnsi="宋体" w:cs="宋体"/>
          <w:bCs/>
          <w:color w:val="000000"/>
          <w:sz w:val="24"/>
          <w:szCs w:val="24"/>
          <w:highlight w:val="none"/>
        </w:rPr>
        <w:outlineLvl w:val="1"/>
      </w:pPr>
      <w:r>
        <w:rPr>
          <w:rFonts w:hint="eastAsia" w:ascii="宋体" w:hAnsi="宋体" w:cs="宋体"/>
          <w:bCs/>
          <w:color w:val="000000"/>
          <w:sz w:val="24"/>
          <w:szCs w:val="24"/>
          <w:highlight w:val="none"/>
        </w:rPr>
        <w:t xml:space="preserve">2.2凡为本采购项目提供整体设计、规范编制或者项目管理、监理、检测等服务的供应商，不得再参加本采购项目的其他采购活动。</w:t>
      </w:r>
      <w:r>
        <w:rPr>
          <w:rFonts w:hint="eastAsia" w:ascii="宋体" w:hAnsi="宋体" w:cs="宋体"/>
          <w:bCs/>
          <w:color w:val="000000"/>
          <w:sz w:val="24"/>
          <w:szCs w:val="24"/>
          <w:highlight w:val="none"/>
        </w:rPr>
      </w:r>
      <w:r/>
    </w:p>
    <w:p>
      <w:pPr>
        <w:pStyle w:val="884"/>
        <w:ind w:firstLine="482"/>
        <w:spacing w:line="48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三、获取招标文件</w:t>
      </w:r>
      <w:r>
        <w:rPr>
          <w:rFonts w:hint="eastAsia" w:ascii="宋体" w:hAnsi="宋体" w:cs="宋体"/>
          <w:color w:val="000000"/>
          <w:sz w:val="24"/>
          <w:szCs w:val="24"/>
          <w:highlight w:val="none"/>
        </w:rPr>
      </w:r>
      <w:r/>
    </w:p>
    <w:p>
      <w:pPr>
        <w:pStyle w:val="884"/>
        <w:ind w:firstLine="482"/>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时间：自招标文件公告发布之日起5个工作日</w:t>
      </w:r>
      <w:r>
        <w:rPr>
          <w:rFonts w:hint="eastAsia" w:ascii="宋体" w:hAnsi="宋体" w:cs="宋体"/>
          <w:color w:val="000000"/>
          <w:sz w:val="24"/>
          <w:szCs w:val="24"/>
          <w:highlight w:val="none"/>
        </w:rPr>
      </w:r>
      <w:r/>
    </w:p>
    <w:p>
      <w:pPr>
        <w:pStyle w:val="884"/>
        <w:ind w:firstLine="482"/>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地点：“苏采云”政府采购一体化平台 </w:t>
      </w:r>
      <w:r>
        <w:rPr>
          <w:rFonts w:hint="eastAsia" w:ascii="宋体" w:hAnsi="宋体" w:cs="宋体"/>
          <w:color w:val="000000"/>
          <w:sz w:val="24"/>
          <w:szCs w:val="24"/>
          <w:highlight w:val="none"/>
        </w:rPr>
      </w:r>
      <w:r/>
    </w:p>
    <w:p>
      <w:pPr>
        <w:pStyle w:val="884"/>
        <w:ind w:firstLine="482"/>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方式：投标人自招标文件公告发布之日起5个工作</w:t>
      </w:r>
      <w:r>
        <w:rPr>
          <w:rFonts w:hint="eastAsia" w:ascii="宋体" w:hAnsi="宋体" w:cs="宋体"/>
          <w:color w:val="000000"/>
          <w:sz w:val="24"/>
          <w:szCs w:val="24"/>
          <w:highlight w:val="none"/>
          <w:lang w:eastAsia="zh-CN"/>
        </w:rPr>
        <w:t xml:space="preserve">日内</w:t>
      </w:r>
      <w:r>
        <w:rPr>
          <w:rFonts w:hint="eastAsia" w:ascii="宋体" w:hAnsi="宋体" w:cs="宋体"/>
          <w:color w:val="000000"/>
          <w:sz w:val="24"/>
          <w:szCs w:val="24"/>
          <w:highlight w:val="none"/>
        </w:rPr>
        <w:t xml:space="preserve">完成注册并办理CA证书后登录“苏采云”政府采购一体化平台 ，选择本项目点击“我要参与”并下载本项目招标文件</w:t>
      </w:r>
      <w:r>
        <w:rPr>
          <w:rFonts w:hint="eastAsia" w:ascii="宋体" w:hAnsi="宋体" w:cs="宋体"/>
          <w:color w:val="000000"/>
          <w:sz w:val="24"/>
          <w:szCs w:val="24"/>
          <w:highlight w:val="none"/>
        </w:rPr>
      </w:r>
      <w:r/>
    </w:p>
    <w:p>
      <w:pPr>
        <w:pStyle w:val="884"/>
        <w:ind w:firstLine="482"/>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售价：免费</w:t>
      </w:r>
      <w:r>
        <w:rPr>
          <w:rFonts w:hint="eastAsia" w:ascii="宋体" w:hAnsi="宋体" w:cs="宋体"/>
          <w:color w:val="000000"/>
          <w:sz w:val="24"/>
          <w:szCs w:val="24"/>
          <w:highlight w:val="none"/>
        </w:rPr>
      </w:r>
      <w:r/>
    </w:p>
    <w:p>
      <w:pPr>
        <w:pStyle w:val="884"/>
        <w:ind w:firstLine="482"/>
        <w:spacing w:line="48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四、提交投标文件截止时间、开标时间和地点</w:t>
      </w:r>
      <w:r>
        <w:rPr>
          <w:rFonts w:hint="eastAsia" w:ascii="宋体" w:hAnsi="宋体" w:cs="宋体"/>
          <w:color w:val="000000"/>
          <w:sz w:val="24"/>
          <w:szCs w:val="24"/>
          <w:highlight w:val="none"/>
        </w:rPr>
      </w:r>
      <w:r/>
    </w:p>
    <w:p>
      <w:pPr>
        <w:pStyle w:val="884"/>
        <w:ind w:firstLine="482"/>
        <w:spacing w:line="48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截止时间：2026年</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rPr>
        <w:t xml:space="preserve">14日09:00（北京时间），投标截止时间后的投标文件恕不接受</w:t>
      </w:r>
      <w:r>
        <w:rPr>
          <w:rFonts w:hint="eastAsia" w:ascii="宋体" w:hAnsi="宋体" w:cs="宋体"/>
          <w:bCs/>
          <w:color w:val="000000"/>
          <w:sz w:val="24"/>
          <w:szCs w:val="24"/>
          <w:highlight w:val="none"/>
        </w:rPr>
      </w:r>
      <w:r/>
    </w:p>
    <w:p>
      <w:pPr>
        <w:pStyle w:val="884"/>
        <w:ind w:firstLine="482"/>
        <w:spacing w:line="480" w:lineRule="auto"/>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 xml:space="preserve">开标地点：“苏采云”政府采购一体化平台不见面开标大厅</w:t>
      </w:r>
      <w:r>
        <w:rPr>
          <w:rFonts w:hint="eastAsia" w:ascii="宋体" w:hAnsi="宋体" w:cs="宋体"/>
          <w:b/>
          <w:bCs/>
          <w:color w:val="000000"/>
          <w:sz w:val="24"/>
          <w:szCs w:val="24"/>
          <w:highlight w:val="none"/>
        </w:rPr>
      </w:r>
      <w:r/>
    </w:p>
    <w:p>
      <w:pPr>
        <w:pStyle w:val="884"/>
        <w:ind w:firstLine="482"/>
        <w:spacing w:line="48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五、公告期限</w:t>
      </w:r>
      <w:r>
        <w:rPr>
          <w:rFonts w:hint="eastAsia" w:ascii="宋体" w:hAnsi="宋体" w:cs="宋体"/>
          <w:color w:val="000000"/>
          <w:sz w:val="24"/>
          <w:szCs w:val="24"/>
          <w:highlight w:val="none"/>
        </w:rPr>
      </w:r>
      <w:r/>
    </w:p>
    <w:p>
      <w:pPr>
        <w:pStyle w:val="884"/>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自本公告发布之日起5个工作日。</w:t>
      </w:r>
      <w:r>
        <w:rPr>
          <w:rFonts w:hint="eastAsia" w:ascii="宋体" w:hAnsi="宋体" w:cs="宋体"/>
          <w:color w:val="000000"/>
          <w:sz w:val="24"/>
          <w:szCs w:val="24"/>
          <w:highlight w:val="none"/>
        </w:rPr>
      </w:r>
      <w:r/>
    </w:p>
    <w:p>
      <w:pPr>
        <w:pStyle w:val="884"/>
        <w:ind w:firstLine="482"/>
        <w:spacing w:line="48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六、其他补充事宜</w:t>
      </w:r>
      <w:r>
        <w:rPr>
          <w:rFonts w:hint="eastAsia" w:ascii="宋体" w:hAnsi="宋体" w:cs="宋体"/>
          <w:color w:val="000000"/>
          <w:sz w:val="24"/>
          <w:szCs w:val="24"/>
          <w:highlight w:val="none"/>
        </w:rPr>
      </w:r>
      <w:r/>
    </w:p>
    <w:p>
      <w:pPr>
        <w:pStyle w:val="884"/>
        <w:ind w:firstLine="480"/>
        <w:jc w:val="left"/>
        <w:spacing w:line="480" w:lineRule="auto"/>
        <w:tabs>
          <w:tab w:val="left" w:pos="0" w:leader="none"/>
        </w:tabs>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t xml:space="preserve">采购项目需要落实的政府采购政策情况：本项目执行《政府采购促进中小企业发展管理办法》《关于政府采购支持监狱企业发展有关问题的通知》《关于促进残疾人就业政府采购政策的通知》《关于调整优化节能产品、环境标志产品政府采购执行机制的通知》《江苏省财政厅关于加强政府绿色采购有关事项的通知》等政府采购政策文件。</w:t>
      </w:r>
      <w:r>
        <w:rPr>
          <w:rFonts w:hint="eastAsia" w:ascii="宋体" w:hAnsi="宋体" w:cs="宋体"/>
          <w:color w:val="000000"/>
          <w:sz w:val="24"/>
          <w:szCs w:val="24"/>
          <w:highlight w:val="none"/>
        </w:rPr>
      </w:r>
      <w:r/>
    </w:p>
    <w:p>
      <w:pPr>
        <w:pStyle w:val="884"/>
        <w:ind w:firstLine="482"/>
        <w:jc w:val="left"/>
        <w:spacing w:line="480" w:lineRule="auto"/>
        <w:tabs>
          <w:tab w:val="left" w:pos="0" w:leader="none"/>
        </w:tabs>
        <w:rPr>
          <w:rFonts w:hint="eastAsia" w:ascii="宋体" w:hAnsi="宋体" w:cs="宋体"/>
          <w:color w:val="000000"/>
          <w:sz w:val="24"/>
          <w:szCs w:val="24"/>
          <w:highlight w:val="none"/>
        </w:rPr>
        <w:outlineLvl w:val="1"/>
      </w:pPr>
      <w:r>
        <w:rPr>
          <w:rFonts w:hint="eastAsia" w:ascii="宋体" w:hAnsi="宋体" w:cs="宋体"/>
          <w:b/>
          <w:bCs/>
          <w:color w:val="000000"/>
          <w:sz w:val="24"/>
          <w:szCs w:val="24"/>
          <w:highlight w:val="none"/>
        </w:rPr>
        <w:t xml:space="preserve">七、对本次招标提出询问，请按以下方式联系。</w:t>
      </w:r>
      <w:r>
        <w:rPr>
          <w:rFonts w:hint="eastAsia" w:ascii="宋体" w:hAnsi="宋体" w:cs="宋体"/>
          <w:color w:val="000000"/>
          <w:sz w:val="24"/>
          <w:szCs w:val="24"/>
          <w:highlight w:val="none"/>
        </w:rPr>
      </w:r>
      <w:r/>
    </w:p>
    <w:p>
      <w:pPr>
        <w:pStyle w:val="884"/>
        <w:ind w:firstLine="480"/>
        <w:jc w:val="left"/>
        <w:spacing w:line="48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1.招标人信息</w:t>
      </w:r>
      <w:r>
        <w:rPr>
          <w:rFonts w:hint="eastAsia" w:ascii="宋体" w:hAnsi="宋体" w:cs="宋体"/>
          <w:color w:val="000000"/>
          <w:sz w:val="24"/>
          <w:szCs w:val="24"/>
          <w:highlight w:val="none"/>
        </w:rPr>
      </w:r>
      <w:r/>
    </w:p>
    <w:p>
      <w:pPr>
        <w:pStyle w:val="884"/>
        <w:ind w:firstLine="480"/>
        <w:jc w:val="left"/>
        <w:spacing w:line="48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 称：泰州市环境卫生管理处</w:t>
      </w:r>
      <w:r>
        <w:rPr>
          <w:rFonts w:hint="eastAsia" w:ascii="宋体" w:hAnsi="宋体" w:cs="宋体"/>
          <w:color w:val="000000"/>
          <w:sz w:val="24"/>
          <w:szCs w:val="24"/>
          <w:highlight w:val="none"/>
        </w:rPr>
      </w:r>
      <w:r/>
    </w:p>
    <w:p>
      <w:pPr>
        <w:pStyle w:val="884"/>
        <w:ind w:firstLine="480"/>
        <w:jc w:val="left"/>
        <w:spacing w:line="48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地址：泰州市梅兰东路169号       </w:t>
      </w:r>
      <w:r>
        <w:rPr>
          <w:rFonts w:hint="eastAsia" w:ascii="宋体" w:hAnsi="宋体" w:cs="宋体"/>
          <w:color w:val="000000"/>
          <w:sz w:val="24"/>
          <w:szCs w:val="24"/>
          <w:highlight w:val="none"/>
        </w:rPr>
      </w:r>
      <w:r/>
    </w:p>
    <w:p>
      <w:pPr>
        <w:pStyle w:val="884"/>
        <w:ind w:firstLine="480"/>
        <w:jc w:val="left"/>
        <w:spacing w:line="48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联系方式：张先生，0523-86551253</w:t>
      </w:r>
      <w:r>
        <w:rPr>
          <w:rFonts w:ascii="宋体" w:hAnsi="宋体" w:cs="宋体"/>
          <w:color w:val="000000"/>
          <w:sz w:val="24"/>
          <w:szCs w:val="24"/>
          <w:highlight w:val="none"/>
        </w:rPr>
      </w:r>
      <w:r/>
    </w:p>
    <w:p>
      <w:pPr>
        <w:pStyle w:val="884"/>
        <w:ind w:firstLine="480"/>
        <w:jc w:val="left"/>
        <w:spacing w:line="48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hint="eastAsia" w:ascii="宋体" w:hAnsi="宋体" w:cs="宋体"/>
          <w:color w:val="000000"/>
          <w:sz w:val="24"/>
          <w:szCs w:val="24"/>
          <w:highlight w:val="none"/>
        </w:rPr>
      </w:r>
      <w:r/>
    </w:p>
    <w:p>
      <w:pPr>
        <w:pStyle w:val="884"/>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 称：江苏经纬会计师事务所有限公司　　　　　　　　　　</w:t>
      </w:r>
      <w:r>
        <w:rPr>
          <w:rFonts w:hint="eastAsia" w:ascii="宋体" w:hAnsi="宋体" w:cs="宋体"/>
          <w:color w:val="000000"/>
          <w:sz w:val="24"/>
          <w:szCs w:val="24"/>
          <w:highlight w:val="none"/>
        </w:rPr>
      </w:r>
      <w:r/>
    </w:p>
    <w:p>
      <w:pPr>
        <w:pStyle w:val="884"/>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址：泰州市人民东路37号　　　　　　　　　　</w:t>
      </w:r>
      <w:r>
        <w:rPr>
          <w:rFonts w:hint="eastAsia" w:ascii="宋体" w:hAnsi="宋体" w:cs="宋体"/>
          <w:color w:val="000000"/>
          <w:sz w:val="24"/>
          <w:szCs w:val="24"/>
          <w:highlight w:val="none"/>
        </w:rPr>
      </w:r>
      <w:r/>
    </w:p>
    <w:p>
      <w:pPr>
        <w:pStyle w:val="884"/>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联系方式：电话，</w:t>
      </w:r>
      <w:r>
        <w:rPr>
          <w:rFonts w:hint="eastAsia" w:ascii="宋体" w:hAnsi="宋体" w:cs="宋体"/>
          <w:color w:val="000000"/>
          <w:spacing w:val="15"/>
          <w:sz w:val="24"/>
          <w:szCs w:val="24"/>
          <w:highlight w:val="none"/>
        </w:rPr>
        <w:t xml:space="preserve">0523-86213810，邮箱，jsjwzbdl@163.com</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884"/>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884"/>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项目联系人：刘先生，</w:t>
      </w:r>
      <w:r>
        <w:rPr>
          <w:rFonts w:hint="eastAsia" w:ascii="宋体" w:hAnsi="宋体" w:cs="宋体"/>
          <w:color w:val="000000"/>
          <w:sz w:val="24"/>
          <w:szCs w:val="24"/>
          <w:highlight w:val="none"/>
        </w:rPr>
        <w:t xml:space="preserve">0523-86213810</w:t>
      </w:r>
      <w:r>
        <w:rPr>
          <w:rFonts w:hint="eastAsia" w:ascii="宋体" w:hAnsi="宋体" w:cs="宋体"/>
          <w:color w:val="000000"/>
          <w:sz w:val="24"/>
          <w:szCs w:val="24"/>
          <w:highlight w:val="none"/>
        </w:rPr>
      </w:r>
      <w:r/>
    </w:p>
    <w:p>
      <w:pPr>
        <w:pStyle w:val="884"/>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4"/>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4"/>
        <w:ind w:firstLine="3132"/>
        <w:keepLines/>
        <w:keepNext/>
        <w:spacing w:line="576" w:lineRule="auto"/>
        <w:rPr>
          <w:rFonts w:hint="eastAsia"/>
          <w:b/>
          <w:color w:val="000000"/>
          <w:sz w:val="24"/>
          <w:szCs w:val="24"/>
          <w:highlight w:val="none"/>
        </w:rPr>
        <w:outlineLvl w:val="0"/>
      </w:pPr>
      <w:r/>
      <w:bookmarkEnd w:id="2"/>
      <w:r/>
      <w:bookmarkStart w:id="4" w:name="_Toc25250"/>
      <w:r>
        <w:rPr>
          <w:rFonts w:hint="eastAsia"/>
          <w:b/>
          <w:color w:val="000000"/>
          <w:sz w:val="24"/>
          <w:szCs w:val="24"/>
          <w:highlight w:val="none"/>
        </w:rPr>
        <w:t xml:space="preserve">第二章</w:t>
      </w:r>
      <w:r>
        <w:rPr>
          <w:b/>
          <w:color w:val="000000"/>
          <w:sz w:val="24"/>
          <w:szCs w:val="24"/>
          <w:highlight w:val="none"/>
        </w:rPr>
        <w:t xml:space="preserve"> </w:t>
      </w:r>
      <w:r>
        <w:rPr>
          <w:rFonts w:hint="eastAsia"/>
          <w:b/>
          <w:color w:val="000000"/>
          <w:sz w:val="24"/>
          <w:szCs w:val="24"/>
          <w:highlight w:val="none"/>
        </w:rPr>
        <w:t xml:space="preserve">投标人须知</w:t>
      </w:r>
      <w:bookmarkEnd w:id="4"/>
      <w:r>
        <w:rPr>
          <w:rFonts w:hint="eastAsia"/>
          <w:b/>
          <w:color w:val="000000"/>
          <w:sz w:val="24"/>
          <w:szCs w:val="24"/>
          <w:highlight w:val="none"/>
        </w:rPr>
      </w:r>
      <w:r/>
    </w:p>
    <w:p>
      <w:pPr>
        <w:pStyle w:val="884"/>
        <w:jc w:val="center"/>
        <w:spacing w:line="480" w:lineRule="auto"/>
        <w:widowControl/>
        <w:rPr>
          <w:rFonts w:ascii="宋体" w:hAnsi="宋体" w:cs="宋体"/>
          <w:color w:val="000000"/>
          <w:sz w:val="24"/>
          <w:szCs w:val="24"/>
          <w:highlight w:val="none"/>
        </w:rPr>
      </w:pPr>
      <w:r>
        <w:rPr>
          <w:rFonts w:hint="eastAsia" w:ascii="宋体" w:hAnsi="宋体" w:cs="宋体"/>
          <w:color w:val="000000"/>
          <w:sz w:val="24"/>
          <w:highlight w:val="none"/>
        </w:rPr>
        <w:t xml:space="preserve">投标须知前附表</w:t>
      </w:r>
      <w:r>
        <w:rPr>
          <w:rFonts w:ascii="宋体" w:hAnsi="宋体" w:cs="宋体"/>
          <w:color w:val="000000"/>
          <w:sz w:val="24"/>
          <w:szCs w:val="24"/>
          <w:highlight w:val="none"/>
        </w:rPr>
      </w:r>
      <w:r/>
    </w:p>
    <w:tbl>
      <w:tblPr>
        <w:tblW w:w="914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9"/>
        <w:gridCol w:w="8395"/>
      </w:tblGrid>
      <w:tr>
        <w:trPr/>
        <w:tc>
          <w:tcPr>
            <w:tcBorders>
              <w:top w:val="single" w:color="000000" w:sz="6" w:space="0"/>
              <w:left w:val="single" w:color="000000" w:sz="6" w:space="0"/>
              <w:bottom w:val="single" w:color="000000" w:sz="6" w:space="0"/>
              <w:right w:val="single" w:color="000000" w:sz="6" w:space="0"/>
            </w:tcBorders>
            <w:tcW w:w="749" w:type="dxa"/>
            <w:vAlign w:val="top"/>
            <w:textDirection w:val="lrTb"/>
            <w:noWrap w:val="false"/>
          </w:tcPr>
          <w:p>
            <w:pPr>
              <w:pStyle w:val="884"/>
              <w:jc w:val="center"/>
              <w:spacing w:line="480" w:lineRule="auto"/>
              <w:rPr>
                <w:rFonts w:hint="eastAsia"/>
                <w:color w:val="000000"/>
                <w:szCs w:val="24"/>
                <w:highlight w:val="none"/>
              </w:rPr>
            </w:pPr>
            <w:r>
              <w:rPr>
                <w:rFonts w:hint="eastAsia" w:ascii="宋体" w:hAnsi="宋体" w:cs="宋体"/>
                <w:b/>
                <w:bCs/>
                <w:color w:val="000000"/>
                <w:sz w:val="24"/>
                <w:szCs w:val="24"/>
                <w:highlight w:val="none"/>
                <w:lang w:val="zh-CN"/>
              </w:rPr>
              <w:t xml:space="preserve">序号</w:t>
            </w:r>
            <w:r>
              <w:rPr>
                <w:rFonts w:hint="eastAsia"/>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884"/>
              <w:jc w:val="center"/>
              <w:spacing w:line="480" w:lineRule="auto"/>
              <w:rPr>
                <w:color w:val="000000"/>
                <w:szCs w:val="24"/>
                <w:highlight w:val="none"/>
              </w:rPr>
            </w:pPr>
            <w:r>
              <w:rPr>
                <w:rFonts w:hint="eastAsia" w:ascii="宋体" w:hAnsi="宋体" w:cs="宋体"/>
                <w:b/>
                <w:bCs/>
                <w:color w:val="000000"/>
                <w:sz w:val="24"/>
                <w:szCs w:val="24"/>
                <w:highlight w:val="none"/>
                <w:lang w:val="zh-CN"/>
              </w:rPr>
              <w:t xml:space="preserve">内  容</w:t>
            </w:r>
            <w:r>
              <w:rPr>
                <w:color w:val="000000"/>
                <w:szCs w:val="24"/>
                <w:highlight w:val="none"/>
              </w:rPr>
            </w:r>
            <w:r/>
          </w:p>
        </w:tc>
      </w:tr>
      <w:tr>
        <w:trPr>
          <w:trHeight w:val="590"/>
        </w:trPr>
        <w:tc>
          <w:tcPr>
            <w:tcBorders>
              <w:top w:val="single" w:color="000000" w:sz="6" w:space="0"/>
              <w:left w:val="single" w:color="000000" w:sz="6" w:space="0"/>
              <w:bottom w:val="none" w:color="000000" w:sz="4" w:space="0"/>
              <w:right w:val="single" w:color="000000" w:sz="6" w:space="0"/>
            </w:tcBorders>
            <w:tcW w:w="749" w:type="dxa"/>
            <w:vAlign w:val="center"/>
            <w:textDirection w:val="lrTb"/>
            <w:noWrap w:val="false"/>
          </w:tcPr>
          <w:p>
            <w:pPr>
              <w:pStyle w:val="884"/>
              <w:jc w:val="center"/>
              <w:spacing w:line="480" w:lineRule="auto"/>
              <w:rPr>
                <w:rFonts w:ascii="仿宋_GB2312" w:hAnsi="仿宋_GB2312" w:eastAsia="仿宋_GB2312" w:cs="宋体"/>
                <w:color w:val="000000"/>
                <w:sz w:val="30"/>
                <w:szCs w:val="24"/>
                <w:highlight w:val="none"/>
              </w:rPr>
            </w:pPr>
            <w:r>
              <w:rPr>
                <w:rFonts w:hint="eastAsia" w:ascii="宋体" w:hAnsi="宋体" w:cs="宋体"/>
                <w:color w:val="000000"/>
                <w:sz w:val="24"/>
                <w:szCs w:val="24"/>
                <w:highlight w:val="none"/>
                <w:lang w:val="zh-CN"/>
              </w:rPr>
              <w:t xml:space="preserve">1</w:t>
            </w:r>
            <w:r>
              <w:rPr>
                <w:rFonts w:ascii="仿宋_GB2312" w:hAnsi="仿宋_GB2312" w:eastAsia="仿宋_GB2312" w:cs="宋体"/>
                <w:color w:val="000000"/>
                <w:sz w:val="30"/>
                <w:szCs w:val="24"/>
                <w:highlight w:val="none"/>
              </w:rPr>
            </w:r>
            <w:r/>
          </w:p>
        </w:tc>
        <w:tc>
          <w:tcPr>
            <w:tcBorders>
              <w:top w:val="single" w:color="000000" w:sz="6" w:space="0"/>
              <w:left w:val="single" w:color="000000" w:sz="6" w:space="0"/>
              <w:bottom w:val="none" w:color="000000" w:sz="4" w:space="0"/>
              <w:right w:val="single" w:color="000000" w:sz="6" w:space="0"/>
            </w:tcBorders>
            <w:tcW w:w="8400" w:type="dxa"/>
            <w:vAlign w:val="center"/>
            <w:textDirection w:val="lrTb"/>
            <w:noWrap w:val="false"/>
          </w:tcPr>
          <w:p>
            <w:pPr>
              <w:pStyle w:val="884"/>
              <w:spacing w:line="480" w:lineRule="auto"/>
              <w:rPr>
                <w:rFonts w:hint="eastAsia"/>
                <w:color w:val="000000"/>
                <w:szCs w:val="24"/>
                <w:highlight w:val="none"/>
              </w:rPr>
            </w:pPr>
            <w:r>
              <w:rPr>
                <w:rFonts w:hint="eastAsia" w:ascii="宋体" w:hAnsi="宋体" w:cs="宋体"/>
                <w:color w:val="000000"/>
                <w:sz w:val="24"/>
                <w:szCs w:val="24"/>
                <w:highlight w:val="none"/>
                <w:lang w:val="zh-CN"/>
              </w:rPr>
              <w:t xml:space="preserve">项目名称：泰州市区直管59条河道保洁服务项目</w:t>
            </w:r>
            <w:r>
              <w:rPr>
                <w:rFonts w:hint="eastAsia"/>
                <w:color w:val="000000"/>
                <w:szCs w:val="24"/>
                <w:highlight w:val="none"/>
              </w:rPr>
            </w:r>
            <w:r/>
          </w:p>
        </w:tc>
      </w:tr>
      <w:tr>
        <w:trPr>
          <w:trHeight w:val="669"/>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pStyle w:val="884"/>
              <w:jc w:val="center"/>
              <w:spacing w:line="480" w:lineRule="auto"/>
              <w:rPr>
                <w:color w:val="000000"/>
                <w:szCs w:val="24"/>
                <w:highlight w:val="none"/>
              </w:rPr>
            </w:pPr>
            <w:r>
              <w:rPr>
                <w:rFonts w:hint="eastAsia" w:ascii="宋体" w:hAnsi="宋体" w:cs="宋体"/>
                <w:color w:val="000000"/>
                <w:sz w:val="24"/>
                <w:szCs w:val="24"/>
                <w:highlight w:val="none"/>
                <w:lang w:val="zh-CN"/>
              </w:rPr>
              <w:t xml:space="preserve">2</w:t>
            </w:r>
            <w:r>
              <w:rPr>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884"/>
              <w:spacing w:line="480" w:lineRule="auto"/>
              <w:rPr>
                <w:color w:val="000000"/>
                <w:szCs w:val="24"/>
                <w:highlight w:val="none"/>
              </w:rPr>
            </w:pPr>
            <w:r>
              <w:rPr>
                <w:rFonts w:hint="eastAsia" w:ascii="宋体" w:hAnsi="宋体" w:cs="宋体"/>
                <w:bCs/>
                <w:color w:val="000000"/>
                <w:sz w:val="24"/>
                <w:szCs w:val="24"/>
                <w:highlight w:val="none"/>
              </w:rPr>
              <w:t xml:space="preserve">招标代理单位</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江苏经纬会计师事务所有限公司</w:t>
            </w:r>
            <w:r>
              <w:rPr>
                <w:color w:val="000000"/>
                <w:szCs w:val="24"/>
                <w:highlight w:val="none"/>
              </w:rPr>
            </w:r>
            <w:r/>
          </w:p>
          <w:p>
            <w:pPr>
              <w:pStyle w:val="884"/>
              <w:spacing w:line="480" w:lineRule="auto"/>
              <w:rPr>
                <w:color w:val="000000"/>
                <w:szCs w:val="24"/>
                <w:highlight w:val="none"/>
              </w:rPr>
            </w:pPr>
            <w:r>
              <w:rPr>
                <w:rFonts w:hint="eastAsia" w:ascii="宋体" w:hAnsi="宋体" w:cs="宋体"/>
                <w:bCs/>
                <w:color w:val="000000"/>
                <w:sz w:val="24"/>
                <w:szCs w:val="24"/>
                <w:highlight w:val="none"/>
              </w:rPr>
              <w:t xml:space="preserve">招标代理单位地址</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泰州市人民东路37号</w:t>
            </w:r>
            <w:r>
              <w:rPr>
                <w:color w:val="000000"/>
                <w:szCs w:val="24"/>
                <w:highlight w:val="none"/>
              </w:rPr>
            </w:r>
            <w:r/>
          </w:p>
        </w:tc>
      </w:tr>
      <w:tr>
        <w:trPr>
          <w:trHeight w:val="551"/>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pStyle w:val="884"/>
              <w:jc w:val="center"/>
              <w:spacing w:line="480" w:lineRule="auto"/>
              <w:rPr>
                <w:color w:val="000000"/>
                <w:szCs w:val="24"/>
                <w:highlight w:val="none"/>
              </w:rPr>
            </w:pPr>
            <w:r>
              <w:rPr>
                <w:rFonts w:hint="eastAsia" w:ascii="宋体" w:hAnsi="宋体" w:cs="宋体"/>
                <w:color w:val="000000"/>
                <w:sz w:val="24"/>
                <w:szCs w:val="24"/>
                <w:highlight w:val="none"/>
                <w:lang w:val="zh-CN"/>
              </w:rPr>
              <w:t xml:space="preserve">3</w:t>
            </w:r>
            <w:r>
              <w:rPr>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884"/>
              <w:spacing w:line="480" w:lineRule="auto"/>
              <w:rPr>
                <w:color w:val="000000"/>
                <w:szCs w:val="24"/>
                <w:highlight w:val="none"/>
              </w:rPr>
            </w:pPr>
            <w:r>
              <w:rPr>
                <w:rFonts w:hint="eastAsia" w:ascii="宋体" w:hAnsi="宋体" w:cs="宋体"/>
                <w:color w:val="000000"/>
                <w:sz w:val="24"/>
                <w:szCs w:val="24"/>
                <w:highlight w:val="none"/>
                <w:lang w:val="zh-CN"/>
              </w:rPr>
              <w:t xml:space="preserve">招标方式：公开招标</w:t>
            </w:r>
            <w:r>
              <w:rPr>
                <w:color w:val="000000"/>
                <w:szCs w:val="24"/>
                <w:highlight w:val="none"/>
              </w:rPr>
            </w:r>
            <w:r/>
          </w:p>
        </w:tc>
      </w:tr>
      <w:tr>
        <w:trPr>
          <w:trHeight w:val="1010"/>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pStyle w:val="884"/>
              <w:jc w:val="center"/>
              <w:spacing w:line="480" w:lineRule="auto"/>
              <w:rPr>
                <w:color w:val="000000"/>
                <w:szCs w:val="24"/>
                <w:highlight w:val="none"/>
              </w:rPr>
            </w:pPr>
            <w:r>
              <w:rPr>
                <w:rFonts w:hint="eastAsia" w:ascii="宋体" w:hAnsi="宋体" w:cs="宋体"/>
                <w:color w:val="000000"/>
                <w:sz w:val="24"/>
                <w:szCs w:val="24"/>
                <w:highlight w:val="none"/>
                <w:lang w:val="zh-CN"/>
              </w:rPr>
              <w:t xml:space="preserve">4</w:t>
            </w:r>
            <w:r>
              <w:rPr>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884"/>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投标保证金：无</w:t>
            </w:r>
            <w:r>
              <w:rPr>
                <w:rFonts w:hint="eastAsia" w:ascii="宋体" w:hAnsi="宋体" w:cs="宋体"/>
                <w:color w:val="000000"/>
                <w:sz w:val="24"/>
                <w:szCs w:val="24"/>
                <w:highlight w:val="none"/>
              </w:rPr>
            </w:r>
            <w:r/>
          </w:p>
          <w:p>
            <w:pPr>
              <w:pStyle w:val="884"/>
              <w:spacing w:line="480" w:lineRule="auto"/>
              <w:rPr>
                <w:rFonts w:eastAsia="仿宋_GB2312"/>
                <w:color w:val="000000"/>
                <w:highlight w:val="none"/>
              </w:rPr>
            </w:pPr>
            <w:r>
              <w:rPr>
                <w:rFonts w:hint="eastAsia" w:ascii="宋体" w:hAnsi="宋体" w:cs="宋体"/>
                <w:color w:val="000000"/>
                <w:sz w:val="24"/>
                <w:szCs w:val="24"/>
                <w:highlight w:val="none"/>
              </w:rPr>
              <w:t xml:space="preserve">履约保证金：</w:t>
            </w:r>
            <w:r>
              <w:rPr>
                <w:rFonts w:hint="eastAsia" w:ascii="宋体" w:hAnsi="宋体"/>
                <w:color w:val="000000"/>
                <w:sz w:val="24"/>
                <w:highlight w:val="none"/>
              </w:rPr>
              <w:t xml:space="preserve">中标总价10%</w:t>
            </w:r>
            <w:r>
              <w:rPr>
                <w:rFonts w:hint="eastAsia" w:ascii="宋体" w:hAnsi="宋体" w:cs="宋体"/>
                <w:color w:val="000000"/>
                <w:sz w:val="24"/>
                <w:szCs w:val="24"/>
                <w:highlight w:val="none"/>
              </w:rPr>
              <w:t xml:space="preserve">，合同签订前以银行转账、支票、汇票、本票或者金融机构出具的保函、电子保函、保险机构出具的保证保险等非现金形式提交；项目服务期满不计利息退还。</w:t>
            </w:r>
            <w:r>
              <w:rPr>
                <w:rFonts w:eastAsia="仿宋_GB2312"/>
                <w:color w:val="000000"/>
                <w:highlight w:val="none"/>
              </w:rPr>
            </w:r>
            <w:r/>
          </w:p>
        </w:tc>
      </w:tr>
      <w:tr>
        <w:trPr>
          <w:trHeight w:val="566"/>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pStyle w:val="884"/>
              <w:jc w:val="center"/>
              <w:spacing w:line="480" w:lineRule="auto"/>
              <w:rPr>
                <w:color w:val="000000"/>
                <w:szCs w:val="24"/>
                <w:highlight w:val="none"/>
              </w:rPr>
            </w:pPr>
            <w:r>
              <w:rPr>
                <w:rFonts w:hint="eastAsia" w:ascii="宋体" w:hAnsi="宋体" w:cs="宋体"/>
                <w:color w:val="000000"/>
                <w:sz w:val="24"/>
                <w:szCs w:val="24"/>
                <w:highlight w:val="none"/>
                <w:lang w:val="zh-CN"/>
              </w:rPr>
              <w:t xml:space="preserve">5</w:t>
            </w:r>
            <w:r>
              <w:rPr>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884"/>
              <w:spacing w:line="480" w:lineRule="auto"/>
              <w:rPr>
                <w:color w:val="000000"/>
                <w:szCs w:val="24"/>
                <w:highlight w:val="none"/>
              </w:rPr>
            </w:pPr>
            <w:r>
              <w:rPr>
                <w:rFonts w:hint="eastAsia" w:ascii="宋体" w:hAnsi="宋体" w:cs="宋体"/>
                <w:color w:val="000000"/>
                <w:sz w:val="24"/>
                <w:szCs w:val="24"/>
                <w:highlight w:val="none"/>
                <w:lang w:val="zh-CN"/>
              </w:rPr>
              <w:t xml:space="preserve">投标有效期：开标后90</w:t>
            </w:r>
            <w:r>
              <w:rPr>
                <w:rFonts w:hint="eastAsia" w:ascii="宋体" w:hAnsi="宋体" w:cs="宋体"/>
                <w:bCs/>
                <w:color w:val="000000"/>
                <w:sz w:val="24"/>
                <w:szCs w:val="24"/>
                <w:highlight w:val="none"/>
                <w:lang w:val="zh-CN"/>
              </w:rPr>
              <w:t xml:space="preserve"> </w:t>
            </w:r>
            <w:r>
              <w:rPr>
                <w:rFonts w:hint="eastAsia" w:ascii="宋体" w:hAnsi="宋体" w:cs="宋体"/>
                <w:color w:val="000000"/>
                <w:sz w:val="24"/>
                <w:szCs w:val="24"/>
                <w:highlight w:val="none"/>
                <w:lang w:val="zh-CN"/>
              </w:rPr>
              <w:t xml:space="preserve">天</w:t>
            </w:r>
            <w:r>
              <w:rPr>
                <w:color w:val="000000"/>
                <w:szCs w:val="24"/>
                <w:highlight w:val="none"/>
              </w:rPr>
            </w:r>
            <w:r/>
          </w:p>
        </w:tc>
      </w:tr>
      <w:tr>
        <w:trPr>
          <w:trHeight w:val="566"/>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pStyle w:val="884"/>
              <w:jc w:val="center"/>
              <w:spacing w:line="48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884"/>
              <w:spacing w:line="48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投标文件的制作要求</w:t>
            </w:r>
            <w:r>
              <w:rPr>
                <w:rFonts w:hint="eastAsia" w:ascii="宋体" w:hAnsi="宋体" w:cs="宋体"/>
                <w:b/>
                <w:bCs/>
                <w:color w:val="000000"/>
                <w:sz w:val="24"/>
                <w:szCs w:val="24"/>
                <w:highlight w:val="none"/>
                <w:lang w:val="zh-CN"/>
              </w:rPr>
            </w:r>
            <w:r/>
          </w:p>
          <w:p>
            <w:pPr>
              <w:pStyle w:val="884"/>
              <w:ind w:firstLine="482"/>
              <w:spacing w:line="480" w:lineRule="auto"/>
              <w:rPr>
                <w:rFonts w:hint="eastAsia" w:ascii="宋体"/>
                <w:b/>
                <w:bCs/>
                <w:color w:val="000000"/>
                <w:sz w:val="24"/>
                <w:szCs w:val="24"/>
                <w:highlight w:val="none"/>
              </w:rPr>
            </w:pPr>
            <w:r>
              <w:rPr>
                <w:rFonts w:hint="eastAsia" w:ascii="宋体"/>
                <w:b/>
                <w:bCs/>
                <w:color w:val="000000"/>
                <w:sz w:val="24"/>
                <w:szCs w:val="24"/>
                <w:highlight w:val="none"/>
              </w:rPr>
              <w:t xml:space="preserve">本次采购采用“苏采云”系统进行政府采购活动。</w:t>
            </w:r>
            <w:r>
              <w:rPr>
                <w:rFonts w:hint="eastAsia" w:ascii="宋体"/>
                <w:b/>
                <w:bCs/>
                <w:color w:val="000000"/>
                <w:sz w:val="24"/>
                <w:szCs w:val="24"/>
                <w:highlight w:val="none"/>
              </w:rPr>
            </w:r>
            <w:r/>
          </w:p>
          <w:p>
            <w:pPr>
              <w:pStyle w:val="884"/>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须在招标公告发布之日起5个工作日内完成注册并办理CA证书后登录“苏采云”政府采购一体化平台，选择本项目点击“我要参与”并下载本项目采购文件，未按上述要求在规定时间内获取采购文件产生的后果由供应商自行承担。</w:t>
            </w:r>
            <w:r>
              <w:rPr>
                <w:rFonts w:hint="eastAsia" w:ascii="宋体" w:hAnsi="宋体" w:cs="宋体"/>
                <w:color w:val="000000"/>
                <w:sz w:val="24"/>
                <w:szCs w:val="24"/>
                <w:highlight w:val="none"/>
              </w:rPr>
            </w:r>
            <w:r/>
          </w:p>
          <w:p>
            <w:pPr>
              <w:pStyle w:val="884"/>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CA办理指南详见：http://www.ccgp-jiangsu.gov.cn/help/help.html</w:t>
            </w:r>
            <w:r>
              <w:rPr>
                <w:rFonts w:hint="eastAsia" w:ascii="宋体" w:hAnsi="宋体" w:cs="宋体"/>
                <w:color w:val="000000"/>
                <w:sz w:val="24"/>
                <w:szCs w:val="24"/>
                <w:highlight w:val="none"/>
              </w:rPr>
            </w:r>
            <w:r/>
          </w:p>
          <w:p>
            <w:pPr>
              <w:pStyle w:val="884"/>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“苏采云”网址：http://jszfcg.jsczt.cn/jszc/login</w:t>
            </w:r>
            <w:r>
              <w:rPr>
                <w:rFonts w:hint="eastAsia" w:ascii="宋体" w:hAnsi="宋体" w:cs="宋体"/>
                <w:color w:val="000000"/>
                <w:sz w:val="24"/>
                <w:szCs w:val="24"/>
                <w:highlight w:val="none"/>
              </w:rPr>
            </w:r>
            <w:r/>
          </w:p>
          <w:p>
            <w:pPr>
              <w:pStyle w:val="884"/>
              <w:ind w:firstLine="480"/>
              <w:spacing w:line="48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须认真阅读操作指南，按要求制作、上传电子响应文件（技术支持电话：0523-87633965、0523-86897512；客服QQ：709339244、1195486789。有关本次采购的事项若存在变动或修改，敬请及时关注“江苏政府采购网”发布的更正公告。</w:t>
            </w:r>
            <w:r>
              <w:rPr>
                <w:rFonts w:ascii="宋体" w:hAnsi="宋体" w:cs="宋体"/>
                <w:color w:val="000000"/>
                <w:sz w:val="24"/>
                <w:szCs w:val="24"/>
                <w:highlight w:val="none"/>
              </w:rPr>
            </w:r>
            <w:r/>
          </w:p>
          <w:p>
            <w:pPr>
              <w:pStyle w:val="884"/>
              <w:ind w:firstLine="480"/>
              <w:spacing w:line="480" w:lineRule="auto"/>
              <w:rPr>
                <w:rFonts w:hint="eastAsia"/>
                <w:color w:val="000000"/>
                <w:szCs w:val="24"/>
                <w:highlight w:val="none"/>
              </w:rPr>
            </w:pPr>
            <w:r>
              <w:rPr>
                <w:rFonts w:ascii="宋体" w:hAnsi="宋体" w:cs="宋体"/>
                <w:color w:val="000000"/>
                <w:sz w:val="24"/>
                <w:szCs w:val="24"/>
                <w:highlight w:val="none"/>
              </w:rPr>
              <w:t xml:space="preserve">有关本次</w:t>
            </w:r>
            <w:r>
              <w:rPr>
                <w:rFonts w:hint="eastAsia" w:ascii="宋体" w:hAnsi="宋体" w:cs="宋体"/>
                <w:color w:val="000000"/>
                <w:sz w:val="24"/>
                <w:szCs w:val="24"/>
                <w:highlight w:val="none"/>
              </w:rPr>
              <w:t xml:space="preserve">招标</w:t>
            </w:r>
            <w:r>
              <w:rPr>
                <w:rFonts w:ascii="宋体" w:hAnsi="宋体" w:cs="宋体"/>
                <w:color w:val="000000"/>
                <w:sz w:val="24"/>
                <w:szCs w:val="24"/>
                <w:highlight w:val="none"/>
              </w:rPr>
              <w:t xml:space="preserve">的事项若存在变动或修改，敬请及时关注“江苏政府采购网”发布的更正公告。</w:t>
            </w:r>
            <w:r>
              <w:rPr>
                <w:rFonts w:hint="eastAsia"/>
                <w:color w:val="000000"/>
                <w:szCs w:val="24"/>
                <w:highlight w:val="none"/>
              </w:rPr>
            </w:r>
            <w:r/>
          </w:p>
        </w:tc>
      </w:tr>
      <w:tr>
        <w:trPr>
          <w:trHeight w:val="619"/>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pStyle w:val="884"/>
              <w:jc w:val="center"/>
              <w:spacing w:line="48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7</w:t>
            </w: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884"/>
              <w:spacing w:line="480" w:lineRule="auto"/>
              <w:rPr>
                <w:rFonts w:hint="eastAsia"/>
                <w:color w:val="000000"/>
                <w:szCs w:val="24"/>
                <w:highlight w:val="none"/>
              </w:rPr>
            </w:pPr>
            <w:r>
              <w:rPr>
                <w:rFonts w:hint="eastAsia" w:ascii="宋体" w:hAnsi="宋体" w:cs="宋体"/>
                <w:color w:val="000000"/>
                <w:sz w:val="24"/>
                <w:szCs w:val="24"/>
                <w:highlight w:val="none"/>
                <w:lang w:val="zh-CN"/>
              </w:rPr>
              <w:t xml:space="preserve">签订合同地点：</w:t>
            </w:r>
            <w:r>
              <w:rPr>
                <w:rFonts w:hint="eastAsia" w:ascii="宋体" w:hAnsi="宋体" w:cs="宋体"/>
                <w:color w:val="000000"/>
                <w:sz w:val="24"/>
                <w:szCs w:val="24"/>
                <w:highlight w:val="none"/>
              </w:rPr>
              <w:t xml:space="preserve">泰州市环境卫生管理处</w:t>
            </w:r>
            <w:r>
              <w:rPr>
                <w:rFonts w:hint="eastAsia"/>
                <w:color w:val="000000"/>
                <w:szCs w:val="24"/>
                <w:highlight w:val="none"/>
              </w:rPr>
            </w:r>
            <w:r/>
          </w:p>
        </w:tc>
      </w:tr>
      <w:tr>
        <w:trPr>
          <w:trHeight w:val="858"/>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pStyle w:val="884"/>
              <w:jc w:val="center"/>
              <w:spacing w:line="48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8</w:t>
            </w: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905"/>
              <w:spacing w:line="480" w:lineRule="auto"/>
              <w:rPr>
                <w:rFonts w:hint="eastAsia" w:ascii="Times New Roman" w:hAnsi="Times New Roman" w:eastAsia="宋体"/>
                <w:color w:val="000000"/>
                <w:highlight w:val="none"/>
                <w:lang w:eastAsia="zh-CN"/>
              </w:rPr>
            </w:pPr>
            <w:r>
              <w:rPr>
                <w:rFonts w:hint="eastAsia"/>
                <w:bCs/>
                <w:color w:val="000000"/>
                <w:highlight w:val="none"/>
              </w:rPr>
              <w:t xml:space="preserve">本项目招标代理费47750元，招标代理工作完成后采购人支付给代理机构</w:t>
            </w:r>
            <w:r>
              <w:rPr>
                <w:rFonts w:hint="eastAsia"/>
                <w:bCs/>
                <w:color w:val="000000"/>
                <w:highlight w:val="none"/>
                <w:lang w:eastAsia="zh-CN"/>
              </w:rPr>
              <w:t xml:space="preserve">。</w:t>
            </w:r>
            <w:r>
              <w:rPr>
                <w:rFonts w:hint="eastAsia" w:ascii="Times New Roman" w:hAnsi="Times New Roman" w:eastAsia="宋体"/>
                <w:color w:val="000000"/>
                <w:highlight w:val="none"/>
                <w:lang w:eastAsia="zh-CN"/>
              </w:rPr>
            </w:r>
            <w:r/>
          </w:p>
        </w:tc>
      </w:tr>
    </w:tbl>
    <w:p>
      <w:pPr>
        <w:pStyle w:val="884"/>
        <w:jc w:val="center"/>
        <w:pageBreakBefore/>
        <w:spacing w:line="360" w:lineRule="auto"/>
        <w:rPr>
          <w:color w:val="000000"/>
          <w:szCs w:val="24"/>
          <w:highlight w:val="none"/>
        </w:rPr>
      </w:pPr>
      <w:r/>
      <w:bookmarkStart w:id="5" w:name="_Hlk117514635"/>
      <w:r>
        <w:rPr>
          <w:rFonts w:hint="eastAsia" w:ascii="宋体" w:hAnsi="宋体" w:cs="宋体"/>
          <w:b/>
          <w:color w:val="000000"/>
          <w:sz w:val="28"/>
          <w:szCs w:val="24"/>
          <w:highlight w:val="none"/>
        </w:rPr>
        <w:t xml:space="preserve">一   总则</w:t>
      </w:r>
      <w:r>
        <w:rPr>
          <w:color w:val="000000"/>
          <w:szCs w:val="24"/>
          <w:highlight w:val="none"/>
        </w:rPr>
      </w:r>
      <w:r/>
    </w:p>
    <w:p>
      <w:pPr>
        <w:pStyle w:val="884"/>
        <w:ind w:firstLine="482"/>
        <w:spacing w:line="360" w:lineRule="auto"/>
        <w:rPr>
          <w:color w:val="000000"/>
          <w:szCs w:val="24"/>
          <w:highlight w:val="none"/>
        </w:rPr>
      </w:pPr>
      <w:r>
        <w:rPr>
          <w:rFonts w:hint="eastAsia" w:ascii="宋体" w:hAnsi="宋体" w:cs="宋体"/>
          <w:b/>
          <w:color w:val="000000"/>
          <w:sz w:val="24"/>
          <w:szCs w:val="24"/>
          <w:highlight w:val="none"/>
        </w:rPr>
        <w:t xml:space="preserve">一、招标项目</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bCs/>
          <w:color w:val="000000"/>
          <w:sz w:val="24"/>
          <w:szCs w:val="24"/>
          <w:highlight w:val="none"/>
        </w:rPr>
        <w:t xml:space="preserve">泰州市区直管59条河道保洁服务项目</w:t>
      </w:r>
      <w:r>
        <w:rPr>
          <w:color w:val="000000"/>
          <w:szCs w:val="24"/>
          <w:highlight w:val="none"/>
        </w:rPr>
      </w:r>
      <w:r/>
    </w:p>
    <w:p>
      <w:pPr>
        <w:pStyle w:val="884"/>
        <w:ind w:firstLine="482"/>
        <w:spacing w:line="360" w:lineRule="auto"/>
        <w:rPr>
          <w:color w:val="000000"/>
          <w:szCs w:val="24"/>
          <w:highlight w:val="none"/>
        </w:rPr>
      </w:pPr>
      <w:r>
        <w:rPr>
          <w:rFonts w:hint="eastAsia" w:ascii="宋体" w:hAnsi="宋体" w:cs="宋体"/>
          <w:b/>
          <w:color w:val="000000"/>
          <w:sz w:val="24"/>
          <w:szCs w:val="24"/>
          <w:highlight w:val="none"/>
        </w:rPr>
        <w:t xml:space="preserve">二、投标费用</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color w:val="000000"/>
          <w:sz w:val="24"/>
          <w:szCs w:val="24"/>
          <w:highlight w:val="none"/>
        </w:rPr>
        <w:t xml:space="preserve">投标人应自行承担其编制投标文件以及递交投标文件参加招投标过程所产生之一切费用。无论招投标结果如何，招标人及其代理机构对上述费用不负任何责任。</w:t>
      </w:r>
      <w:r>
        <w:rPr>
          <w:color w:val="000000"/>
          <w:szCs w:val="24"/>
          <w:highlight w:val="none"/>
        </w:rPr>
      </w:r>
      <w:r/>
    </w:p>
    <w:p>
      <w:pPr>
        <w:pStyle w:val="884"/>
        <w:ind w:firstLine="482"/>
        <w:spacing w:line="360" w:lineRule="auto"/>
        <w:rPr>
          <w:color w:val="000000"/>
          <w:szCs w:val="24"/>
          <w:highlight w:val="none"/>
        </w:rPr>
      </w:pPr>
      <w:r>
        <w:rPr>
          <w:rFonts w:hint="eastAsia" w:ascii="宋体" w:hAnsi="宋体" w:cs="宋体"/>
          <w:b/>
          <w:color w:val="000000"/>
          <w:sz w:val="24"/>
          <w:szCs w:val="24"/>
          <w:highlight w:val="none"/>
        </w:rPr>
        <w:t xml:space="preserve">三、招标文件</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color w:val="000000"/>
          <w:sz w:val="24"/>
          <w:szCs w:val="24"/>
          <w:highlight w:val="none"/>
        </w:rPr>
        <w:t xml:space="preserve">1、招标文件的组成 </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color w:val="000000"/>
          <w:sz w:val="24"/>
          <w:szCs w:val="24"/>
          <w:highlight w:val="none"/>
        </w:rPr>
        <w:t xml:space="preserve">本文件及依法对本文件所做的书面澄清或修改的内容均为招标文件的组成部分。</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color w:val="000000"/>
          <w:sz w:val="24"/>
          <w:szCs w:val="24"/>
          <w:highlight w:val="none"/>
        </w:rPr>
        <w:t xml:space="preserve">2、招标文件的澄清、修改</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color w:val="000000"/>
          <w:sz w:val="24"/>
          <w:szCs w:val="24"/>
          <w:highlight w:val="none"/>
        </w:rPr>
        <w:t xml:space="preserve">投标人在获取招标文件后，如有疑问需要澄清，应在规定的时间前以书面形式向招标人提出，如无疑问,视作投标人完全响应招标文件的条款和要求。</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color w:val="000000"/>
          <w:sz w:val="24"/>
          <w:szCs w:val="24"/>
          <w:highlight w:val="none"/>
        </w:rPr>
        <w:t xml:space="preserve">招标文件各项条款最终解释权归招标人和招标代理机构，投标人对招标人提供的招标文件所做出的推论、解释和结论，招标人概不负责。投标人由于对招标文件的任何推论和误解以及招标人对有关问题的口头解释所造成的后果，均由投标人自负。</w:t>
      </w:r>
      <w:r>
        <w:rPr>
          <w:color w:val="000000"/>
          <w:szCs w:val="24"/>
          <w:highlight w:val="none"/>
        </w:rPr>
      </w:r>
      <w:r/>
    </w:p>
    <w:p>
      <w:pPr>
        <w:pStyle w:val="884"/>
        <w:ind w:firstLine="480"/>
        <w:spacing w:line="360" w:lineRule="auto"/>
        <w:rPr>
          <w:rFonts w:hint="eastAsia"/>
          <w:color w:val="000000"/>
          <w:szCs w:val="24"/>
          <w:highlight w:val="none"/>
        </w:rPr>
      </w:pPr>
      <w:r>
        <w:rPr>
          <w:rFonts w:hint="eastAsia" w:ascii="宋体" w:hAnsi="宋体" w:cs="宋体"/>
          <w:color w:val="000000"/>
          <w:sz w:val="24"/>
          <w:szCs w:val="24"/>
          <w:highlight w:val="none"/>
        </w:rPr>
        <w:t xml:space="preserve">招标人有权对已发出的招标文件进行必要的澄清或修改。招标人可视具体情况，延长投标截止时间和开标时间。</w:t>
      </w:r>
      <w:r>
        <w:rPr>
          <w:rFonts w:hint="eastAsia"/>
          <w:color w:val="000000"/>
          <w:szCs w:val="24"/>
          <w:highlight w:val="none"/>
        </w:rPr>
      </w:r>
      <w:r/>
    </w:p>
    <w:p>
      <w:pPr>
        <w:pStyle w:val="884"/>
        <w:ind w:firstLine="482"/>
        <w:spacing w:line="360" w:lineRule="auto"/>
        <w:rPr>
          <w:color w:val="000000"/>
          <w:szCs w:val="24"/>
          <w:highlight w:val="none"/>
        </w:rPr>
      </w:pPr>
      <w:r>
        <w:rPr>
          <w:rFonts w:hint="eastAsia" w:ascii="宋体" w:hAnsi="宋体" w:cs="宋体"/>
          <w:b/>
          <w:color w:val="000000"/>
          <w:sz w:val="24"/>
          <w:szCs w:val="24"/>
          <w:highlight w:val="none"/>
        </w:rPr>
        <w:t xml:space="preserve">四、投标人的义务</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color w:val="000000"/>
          <w:sz w:val="24"/>
          <w:szCs w:val="24"/>
          <w:highlight w:val="none"/>
        </w:rPr>
        <w:t xml:space="preserve">1、投标人应当认真阅读招标文件，完全明了招标项目之名称、用途、数量、质量要求和履约期限，完全明了投标人所应具备的资格条件。</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color w:val="000000"/>
          <w:sz w:val="24"/>
          <w:szCs w:val="24"/>
          <w:highlight w:val="none"/>
        </w:rPr>
        <w:t xml:space="preserve">2、投标人应当按照招标文件的要求编制投标文件。投标文件应对招标文件提出的实质性要求和条件做出完全响应。</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color w:val="000000"/>
          <w:sz w:val="24"/>
          <w:szCs w:val="24"/>
          <w:highlight w:val="none"/>
        </w:rPr>
        <w:t xml:space="preserve">3、投标人应在投标截止时间前按招标文件规定方式提交投标文件。</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color w:val="000000"/>
          <w:sz w:val="24"/>
          <w:szCs w:val="24"/>
          <w:highlight w:val="none"/>
        </w:rPr>
        <w:t xml:space="preserve">4、投标人不得相互串通投标报价，不得排挤其他投标人的公平竞争，损害招标人或者其他投标人合法权益。投标人不得与招标人串通投标，损害国家利益，公众利益或者他人的合法权益。</w:t>
      </w:r>
      <w:r>
        <w:rPr>
          <w:color w:val="000000"/>
          <w:szCs w:val="24"/>
          <w:highlight w:val="none"/>
        </w:rPr>
      </w:r>
      <w:r/>
    </w:p>
    <w:p>
      <w:pPr>
        <w:pStyle w:val="884"/>
        <w:jc w:val="center"/>
        <w:spacing w:line="360" w:lineRule="auto"/>
        <w:rPr>
          <w:color w:val="000000"/>
          <w:szCs w:val="24"/>
          <w:highlight w:val="none"/>
        </w:rPr>
      </w:pPr>
      <w:r>
        <w:rPr>
          <w:rFonts w:hint="eastAsia" w:ascii="宋体" w:hAnsi="宋体" w:cs="宋体"/>
          <w:b/>
          <w:color w:val="000000"/>
          <w:sz w:val="28"/>
          <w:szCs w:val="24"/>
          <w:highlight w:val="none"/>
        </w:rPr>
        <w:t xml:space="preserve">二   投标文件</w:t>
      </w:r>
      <w:r>
        <w:rPr>
          <w:color w:val="000000"/>
          <w:szCs w:val="24"/>
          <w:highlight w:val="none"/>
        </w:rPr>
      </w:r>
      <w:r/>
    </w:p>
    <w:p>
      <w:pPr>
        <w:pStyle w:val="884"/>
        <w:numPr>
          <w:ilvl w:val="0"/>
          <w:numId w:val="3"/>
        </w:numPr>
        <w:ind w:firstLine="472"/>
        <w:spacing w:line="360" w:lineRule="auto"/>
        <w:rPr>
          <w:rFonts w:hint="eastAsia" w:ascii="宋体"/>
          <w:b/>
          <w:bCs/>
          <w:color w:val="000000"/>
          <w:sz w:val="24"/>
          <w:szCs w:val="24"/>
          <w:highlight w:val="none"/>
        </w:rPr>
      </w:pPr>
      <w:r>
        <w:rPr>
          <w:rFonts w:hint="eastAsia" w:ascii="宋体"/>
          <w:b/>
          <w:bCs/>
          <w:color w:val="000000"/>
          <w:sz w:val="24"/>
          <w:szCs w:val="24"/>
          <w:highlight w:val="none"/>
        </w:rPr>
        <w:t xml:space="preserve">本次采购采用“苏采云”系统进行政府采购活动。</w:t>
      </w:r>
      <w:r>
        <w:rPr>
          <w:rFonts w:hint="eastAsia" w:ascii="宋体"/>
          <w:b/>
          <w:bCs/>
          <w:color w:val="000000"/>
          <w:sz w:val="24"/>
          <w:szCs w:val="24"/>
          <w:highlight w:val="none"/>
        </w:rPr>
      </w:r>
      <w:r/>
    </w:p>
    <w:p>
      <w:pPr>
        <w:pStyle w:val="896"/>
        <w:ind w:left="0" w:firstLine="482"/>
        <w:spacing w:line="360" w:lineRule="auto"/>
        <w:rPr>
          <w:rFonts w:ascii="宋体" w:hAnsi="宋体" w:cs="宋体"/>
          <w:b/>
          <w:bCs/>
          <w:i/>
          <w:iCs/>
          <w:color w:val="000000"/>
          <w:sz w:val="24"/>
          <w:szCs w:val="24"/>
          <w:highlight w:val="none"/>
        </w:rPr>
      </w:pPr>
      <w:r>
        <w:rPr>
          <w:rFonts w:ascii="宋体" w:hAnsi="宋体" w:cs="宋体"/>
          <w:b/>
          <w:bCs/>
          <w:i/>
          <w:iCs/>
          <w:color w:val="000000"/>
          <w:sz w:val="24"/>
          <w:szCs w:val="24"/>
          <w:highlight w:val="none"/>
        </w:rPr>
        <w:t xml:space="preserve">供应商</w:t>
      </w:r>
      <w:r>
        <w:rPr>
          <w:rFonts w:hint="eastAsia" w:ascii="宋体" w:hAnsi="宋体" w:cs="宋体"/>
          <w:b/>
          <w:bCs/>
          <w:i/>
          <w:iCs/>
          <w:color w:val="000000"/>
          <w:sz w:val="24"/>
          <w:szCs w:val="24"/>
          <w:highlight w:val="none"/>
        </w:rPr>
        <w:t xml:space="preserve">须在招标公告发布之日起5个工作日内完成注册并办理CA证书后登录“苏采云”政府采购一体化平台，选择本项目点击“我要参与”并下载本项目采购文件，未按上述要求在规定时间内获取采购文件产生的后果由供应商自行承担。</w:t>
      </w:r>
      <w:r>
        <w:rPr>
          <w:rFonts w:ascii="宋体" w:hAnsi="宋体" w:cs="宋体"/>
          <w:b/>
          <w:bCs/>
          <w:i/>
          <w:iCs/>
          <w:color w:val="000000"/>
          <w:sz w:val="24"/>
          <w:szCs w:val="24"/>
          <w:highlight w:val="none"/>
        </w:rPr>
      </w:r>
      <w:r/>
    </w:p>
    <w:p>
      <w:pPr>
        <w:pStyle w:val="896"/>
        <w:ind w:left="0" w:firstLine="482"/>
        <w:spacing w:line="360" w:lineRule="auto"/>
        <w:rPr>
          <w:rFonts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CA办理指南详见：http://www.ccgp-jiangsu.gov.cn/help/help.html</w:t>
      </w:r>
      <w:r>
        <w:rPr>
          <w:rFonts w:ascii="宋体" w:hAnsi="宋体" w:eastAsia="宋体" w:cs="宋体"/>
          <w:b/>
          <w:bCs/>
          <w:color w:val="000000"/>
          <w:sz w:val="24"/>
          <w:szCs w:val="24"/>
          <w:highlight w:val="none"/>
          <w:lang w:val="en-US" w:eastAsia="zh-CN"/>
        </w:rPr>
      </w:r>
      <w:r/>
    </w:p>
    <w:p>
      <w:pPr>
        <w:pStyle w:val="896"/>
        <w:ind w:left="0" w:firstLine="482"/>
        <w:spacing w:line="360" w:lineRule="auto"/>
        <w:rPr>
          <w:rFonts w:ascii="宋体" w:hAnsi="宋体" w:cs="宋体"/>
          <w:b/>
          <w:bCs/>
          <w:color w:val="000000"/>
          <w:sz w:val="24"/>
          <w:szCs w:val="24"/>
          <w:highlight w:val="none"/>
        </w:rPr>
      </w:pPr>
      <w:r>
        <w:rPr>
          <w:rFonts w:ascii="宋体" w:hAnsi="宋体" w:cs="宋体"/>
          <w:b/>
          <w:bCs/>
          <w:color w:val="000000"/>
          <w:sz w:val="24"/>
          <w:szCs w:val="24"/>
          <w:highlight w:val="none"/>
        </w:rPr>
        <w:t xml:space="preserve">“苏采云”</w:t>
      </w:r>
      <w:r>
        <w:rPr>
          <w:rFonts w:hint="eastAsia" w:ascii="宋体" w:hAnsi="宋体" w:cs="宋体"/>
          <w:b/>
          <w:bCs/>
          <w:color w:val="000000"/>
          <w:sz w:val="24"/>
          <w:szCs w:val="24"/>
          <w:highlight w:val="none"/>
        </w:rPr>
        <w:t xml:space="preserve">网址：</w:t>
      </w:r>
      <w:r>
        <w:rPr>
          <w:rFonts w:ascii="宋体" w:hAnsi="宋体" w:cs="宋体"/>
          <w:b/>
          <w:bCs/>
          <w:color w:val="000000"/>
          <w:sz w:val="24"/>
          <w:szCs w:val="24"/>
          <w:highlight w:val="none"/>
        </w:rPr>
        <w:fldChar w:fldCharType="begin"/>
      </w:r>
      <w:r>
        <w:rPr>
          <w:rFonts w:ascii="宋体" w:hAnsi="宋体" w:cs="宋体"/>
          <w:b/>
          <w:bCs/>
          <w:color w:val="000000"/>
          <w:sz w:val="24"/>
          <w:szCs w:val="24"/>
          <w:highlight w:val="none"/>
        </w:rPr>
        <w:instrText xml:space="preserve"> HYPERLINK "http://jszfcg.jsczt.cn/jszc/login" </w:instrText>
      </w:r>
      <w:r>
        <w:rPr>
          <w:rFonts w:ascii="宋体" w:hAnsi="宋体" w:cs="宋体"/>
          <w:b/>
          <w:bCs/>
          <w:color w:val="000000"/>
          <w:sz w:val="24"/>
          <w:szCs w:val="24"/>
          <w:highlight w:val="none"/>
        </w:rPr>
        <w:fldChar w:fldCharType="separate"/>
      </w:r>
      <w:r>
        <w:rPr>
          <w:rStyle w:val="909"/>
          <w:rFonts w:ascii="宋体" w:hAnsi="宋体" w:cs="宋体"/>
          <w:b/>
          <w:bCs/>
          <w:color w:val="000000"/>
          <w:sz w:val="24"/>
          <w:szCs w:val="24"/>
          <w:highlight w:val="none"/>
        </w:rPr>
        <w:t xml:space="preserve">http://jszfcg.jsczt.cn/jszc/login</w:t>
      </w:r>
      <w:r>
        <w:rPr>
          <w:rFonts w:ascii="宋体" w:hAnsi="宋体" w:cs="宋体"/>
          <w:b/>
          <w:bCs/>
          <w:color w:val="000000"/>
          <w:sz w:val="24"/>
          <w:szCs w:val="24"/>
          <w:highlight w:val="none"/>
        </w:rPr>
        <w:fldChar w:fldCharType="end"/>
      </w:r>
      <w:r>
        <w:rPr>
          <w:rFonts w:ascii="宋体" w:hAnsi="宋体" w:cs="宋体"/>
          <w:b/>
          <w:bCs/>
          <w:color w:val="000000"/>
          <w:sz w:val="24"/>
          <w:szCs w:val="24"/>
          <w:highlight w:val="none"/>
        </w:rPr>
      </w:r>
      <w:r/>
    </w:p>
    <w:p>
      <w:pPr>
        <w:pStyle w:val="896"/>
        <w:ind w:left="0" w:firstLine="482"/>
        <w:spacing w:line="360" w:lineRule="auto"/>
        <w:rPr>
          <w:b/>
          <w:bCs/>
          <w:color w:val="000000"/>
          <w:highlight w:val="none"/>
        </w:rPr>
      </w:pPr>
      <w:r>
        <w:rPr>
          <w:rFonts w:hint="eastAsia" w:ascii="宋体" w:hAnsi="宋体" w:cs="宋体"/>
          <w:b/>
          <w:bCs/>
          <w:color w:val="000000"/>
          <w:sz w:val="24"/>
          <w:szCs w:val="24"/>
          <w:highlight w:val="none"/>
        </w:rPr>
        <w:t xml:space="preserve">供应商须认真阅读操作指南，</w:t>
      </w:r>
      <w:r>
        <w:rPr>
          <w:rFonts w:ascii="宋体" w:hAnsi="宋体" w:cs="宋体"/>
          <w:b/>
          <w:bCs/>
          <w:color w:val="000000"/>
          <w:sz w:val="24"/>
          <w:szCs w:val="24"/>
          <w:highlight w:val="none"/>
        </w:rPr>
        <w:t xml:space="preserve">按要求制作、上传电子响应文件（技术支持电话：0523-87633965、0523-86897512；客服QQ：709339244、1195486789。有关本次</w:t>
      </w:r>
      <w:r>
        <w:rPr>
          <w:rFonts w:hint="eastAsia" w:ascii="宋体" w:hAnsi="宋体" w:cs="宋体"/>
          <w:b/>
          <w:bCs/>
          <w:color w:val="000000"/>
          <w:sz w:val="24"/>
          <w:szCs w:val="24"/>
          <w:highlight w:val="none"/>
        </w:rPr>
        <w:t xml:space="preserve">采购</w:t>
      </w:r>
      <w:r>
        <w:rPr>
          <w:rFonts w:ascii="宋体" w:hAnsi="宋体" w:cs="宋体"/>
          <w:b/>
          <w:bCs/>
          <w:color w:val="000000"/>
          <w:sz w:val="24"/>
          <w:szCs w:val="24"/>
          <w:highlight w:val="none"/>
        </w:rPr>
        <w:t xml:space="preserve">的事项若存在变动或修改，敬请及时关注“江苏政府采购网”发布的更正公告。</w:t>
      </w:r>
      <w:r>
        <w:rPr>
          <w:b/>
          <w:bCs/>
          <w:color w:val="000000"/>
          <w:highlight w:val="none"/>
        </w:rPr>
      </w:r>
      <w:r/>
    </w:p>
    <w:p>
      <w:pPr>
        <w:pStyle w:val="884"/>
        <w:ind w:firstLine="482"/>
        <w:spacing w:line="360" w:lineRule="auto"/>
        <w:rPr>
          <w:rFonts w:hint="eastAsia" w:ascii="宋体" w:hAnsi="宋体" w:cs="宋体"/>
          <w:i/>
          <w:iCs/>
          <w:color w:val="000000"/>
          <w:sz w:val="24"/>
          <w:szCs w:val="24"/>
          <w:highlight w:val="none"/>
        </w:rPr>
      </w:pPr>
      <w:r>
        <w:rPr>
          <w:rFonts w:hint="eastAsia" w:ascii="宋体" w:hAnsi="宋体" w:cs="宋体"/>
          <w:b/>
          <w:i/>
          <w:iCs/>
          <w:color w:val="000000"/>
          <w:sz w:val="24"/>
          <w:szCs w:val="24"/>
          <w:highlight w:val="none"/>
        </w:rPr>
        <w:t xml:space="preserve">请供应商在“苏采云”系统中操作成功参与项目后，必须在“已参与项目”界面中下载电子征集文件（后缀名为“.kedt”）并导入政府采购客户端工具后方可进行响应文件制作和提交。电子投标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i/>
          <w:iCs/>
          <w:color w:val="000000"/>
          <w:sz w:val="24"/>
          <w:szCs w:val="24"/>
          <w:highlight w:val="none"/>
        </w:rPr>
      </w:r>
      <w:r/>
    </w:p>
    <w:p>
      <w:pPr>
        <w:pStyle w:val="884"/>
        <w:numPr>
          <w:ilvl w:val="0"/>
          <w:numId w:val="3"/>
        </w:numPr>
        <w:ind w:firstLine="472"/>
        <w:spacing w:line="360" w:lineRule="auto"/>
        <w:rPr>
          <w:color w:val="000000"/>
          <w:sz w:val="24"/>
          <w:szCs w:val="24"/>
          <w:highlight w:val="none"/>
        </w:rPr>
      </w:pPr>
      <w:r>
        <w:rPr>
          <w:rFonts w:hint="eastAsia" w:ascii="宋体" w:hAnsi="宋体" w:cs="宋体"/>
          <w:b/>
          <w:color w:val="000000"/>
          <w:sz w:val="24"/>
          <w:szCs w:val="24"/>
          <w:highlight w:val="none"/>
        </w:rPr>
        <w:t xml:space="preserve">投标人应认真检查招标文件的内容是否齐全，如有遗漏，应及时向招标人索取，否则责任自负。</w:t>
      </w:r>
      <w:r>
        <w:rPr>
          <w:color w:val="000000"/>
          <w:sz w:val="24"/>
          <w:szCs w:val="24"/>
          <w:highlight w:val="none"/>
        </w:rPr>
      </w:r>
      <w:r/>
    </w:p>
    <w:p>
      <w:pPr>
        <w:pStyle w:val="884"/>
        <w:ind w:firstLine="482"/>
        <w:spacing w:line="360" w:lineRule="auto"/>
        <w:rPr>
          <w:color w:val="000000"/>
          <w:szCs w:val="24"/>
          <w:highlight w:val="none"/>
        </w:rPr>
      </w:pPr>
      <w:r>
        <w:rPr>
          <w:rFonts w:hint="eastAsia" w:ascii="宋体" w:hAnsi="宋体" w:cs="宋体"/>
          <w:b/>
          <w:bCs/>
          <w:color w:val="000000"/>
          <w:sz w:val="24"/>
          <w:szCs w:val="24"/>
          <w:highlight w:val="none"/>
        </w:rPr>
        <w:t xml:space="preserve">七、投标文件的制作应当符合以下要求：</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color w:val="000000"/>
          <w:sz w:val="24"/>
          <w:szCs w:val="24"/>
          <w:highlight w:val="none"/>
        </w:rPr>
        <w:t xml:space="preserve">1、投标人必须依照招标文件提供的表式制作投标文件，对表式投标人可以按同样格式进行扩展。</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color w:val="000000"/>
          <w:sz w:val="24"/>
          <w:szCs w:val="24"/>
          <w:highlight w:val="none"/>
        </w:rPr>
        <w:t xml:space="preserve">2、投标报价清晰准确，不存在影响其他投标人评分的严重错误。</w:t>
      </w:r>
      <w:r>
        <w:rPr>
          <w:color w:val="000000"/>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3、投标文件主要由以下部分构成： </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资格条件证明文件：</w:t>
      </w:r>
      <w:r>
        <w:rPr>
          <w:rFonts w:hint="eastAsia" w:ascii="宋体" w:hAnsi="宋体" w:cs="宋体"/>
          <w:b/>
          <w:bCs/>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（1）★具有独立承担民事责任的能力：</w:t>
      </w:r>
      <w:r>
        <w:rPr>
          <w:rFonts w:hint="eastAsia" w:ascii="宋体" w:hAnsi="宋体" w:cs="宋体"/>
          <w:bCs/>
          <w:color w:val="000000"/>
          <w:sz w:val="24"/>
          <w:szCs w:val="24"/>
          <w:highlight w:val="none"/>
        </w:rPr>
        <w:t xml:space="preserve">提供法人或者其他组织的营业执照等证明文件，自然人的身份证明</w:t>
      </w:r>
      <w:r>
        <w:rPr>
          <w:rFonts w:hint="eastAsia" w:ascii="宋体" w:hAnsi="宋体" w:cs="宋体"/>
          <w:color w:val="000000"/>
          <w:sz w:val="24"/>
          <w:szCs w:val="24"/>
          <w:highlight w:val="none"/>
        </w:rPr>
        <w:t xml:space="preserve">；（扫描件加盖投标人电子公章）</w:t>
      </w:r>
      <w:r>
        <w:rPr>
          <w:rFonts w:hint="eastAsia" w:ascii="宋体" w:hAnsi="宋体" w:cs="宋体"/>
          <w:color w:val="000000"/>
          <w:sz w:val="24"/>
          <w:szCs w:val="24"/>
          <w:highlight w:val="none"/>
        </w:rPr>
      </w:r>
      <w:r/>
    </w:p>
    <w:p>
      <w:pPr>
        <w:pStyle w:val="884"/>
        <w:ind w:firstLine="480"/>
        <w:spacing w:line="360" w:lineRule="auto"/>
        <w:rPr>
          <w:rFonts w:hint="eastAsia"/>
          <w:color w:val="000000"/>
          <w:sz w:val="24"/>
          <w:szCs w:val="24"/>
          <w:highlight w:val="none"/>
        </w:rPr>
      </w:pPr>
      <w:r>
        <w:rPr>
          <w:rFonts w:hint="eastAsia" w:ascii="宋体" w:hAnsi="宋体" w:cs="宋体"/>
          <w:color w:val="000000"/>
          <w:sz w:val="24"/>
          <w:szCs w:val="24"/>
          <w:highlight w:val="none"/>
        </w:rPr>
        <w:t xml:space="preserve">（2）★具有良好的商业信誉和健全的财务会计制度：提供2025年度的财务状况报告（提供审计报告或财务报表，成立不满一年不需提供）；</w:t>
      </w:r>
      <w:r>
        <w:rPr>
          <w:rFonts w:hint="eastAsia"/>
          <w:color w:val="000000"/>
          <w:sz w:val="24"/>
          <w:szCs w:val="24"/>
          <w:highlight w:val="none"/>
        </w:rPr>
      </w:r>
      <w:r/>
    </w:p>
    <w:p>
      <w:pPr>
        <w:pStyle w:val="884"/>
        <w:ind w:firstLine="480"/>
        <w:spacing w:line="360" w:lineRule="auto"/>
        <w:rPr>
          <w:rFonts w:hint="eastAsia"/>
          <w:color w:val="000000"/>
          <w:sz w:val="24"/>
          <w:szCs w:val="24"/>
          <w:highlight w:val="none"/>
        </w:rPr>
      </w:pPr>
      <w:r>
        <w:rPr>
          <w:rFonts w:hint="eastAsia" w:ascii="宋体" w:hAnsi="宋体" w:cs="宋体"/>
          <w:color w:val="000000"/>
          <w:sz w:val="24"/>
          <w:szCs w:val="24"/>
          <w:highlight w:val="none"/>
        </w:rPr>
        <w:t xml:space="preserve">（3）★有依法缴纳税收和社会保障资金的良好记录：提供2025年12月以来不少于1个月依法缴纳税收（不包括个人所得税）的相关材料，如依法免税或不需要纳税的，则应提供相应证明材料复印件；提供2025年12月以来不少于1个月的依法缴纳社会保障资金的相关材料，如依法不需要缴纳社会保障资金的，则应提供相应证明材料扫描件；新成立距投标文件递交截止不足30日供应商可不提供该项材料。</w:t>
      </w:r>
      <w:r>
        <w:rPr>
          <w:rFonts w:hint="eastAsia"/>
          <w:color w:val="000000"/>
          <w:sz w:val="24"/>
          <w:szCs w:val="24"/>
          <w:highlight w:val="none"/>
        </w:rPr>
      </w:r>
      <w:r/>
    </w:p>
    <w:p>
      <w:pPr>
        <w:pStyle w:val="884"/>
        <w:ind w:firstLine="480"/>
        <w:spacing w:line="360" w:lineRule="auto"/>
        <w:rPr>
          <w:color w:val="000000"/>
          <w:sz w:val="24"/>
          <w:szCs w:val="24"/>
          <w:highlight w:val="none"/>
        </w:rPr>
      </w:pPr>
      <w:r>
        <w:rPr>
          <w:rFonts w:hint="eastAsia" w:ascii="宋体" w:hAnsi="宋体" w:cs="宋体"/>
          <w:color w:val="000000"/>
          <w:sz w:val="24"/>
          <w:szCs w:val="24"/>
          <w:highlight w:val="none"/>
        </w:rPr>
        <w:t xml:space="preserve">（4）★具有履行合同所必需的设备和专业技术能力：提供证明材料，格式自定</w:t>
      </w:r>
      <w:r>
        <w:rPr>
          <w:rFonts w:hint="eastAsia" w:ascii="宋体" w:hAnsi="宋体" w:cs="宋体"/>
          <w:b/>
          <w:bCs/>
          <w:color w:val="000000"/>
          <w:sz w:val="24"/>
          <w:szCs w:val="24"/>
          <w:highlight w:val="none"/>
        </w:rPr>
        <w:t xml:space="preserve">； </w:t>
      </w:r>
      <w:r>
        <w:rPr>
          <w:color w:val="000000"/>
          <w:sz w:val="24"/>
          <w:szCs w:val="24"/>
          <w:highlight w:val="none"/>
        </w:rPr>
      </w:r>
      <w:r/>
    </w:p>
    <w:p>
      <w:pPr>
        <w:pStyle w:val="884"/>
        <w:ind w:firstLine="480"/>
        <w:spacing w:line="360" w:lineRule="auto"/>
        <w:rPr>
          <w:rFonts w:hint="eastAsia" w:ascii="宋体" w:hAnsi="宋体" w:cs="宋体"/>
          <w:b/>
          <w:bCs/>
          <w:color w:val="000000"/>
          <w:sz w:val="24"/>
          <w:highlight w:val="none"/>
        </w:rPr>
      </w:pPr>
      <w:r>
        <w:rPr>
          <w:rFonts w:hint="eastAsia" w:ascii="宋体" w:hAnsi="宋体" w:cs="宋体"/>
          <w:color w:val="000000"/>
          <w:sz w:val="24"/>
          <w:szCs w:val="24"/>
          <w:highlight w:val="none"/>
        </w:rPr>
        <w:t xml:space="preserve">（5）★参加政府采购活动前三年内，在经营活动中没有重大违法记录：提供书面声明</w:t>
      </w:r>
      <w:r>
        <w:rPr>
          <w:rFonts w:hint="eastAsia" w:ascii="宋体" w:hAnsi="宋体" w:cs="宋体"/>
          <w:b/>
          <w:bCs/>
          <w:color w:val="000000"/>
          <w:sz w:val="24"/>
          <w:highlight w:val="none"/>
        </w:rPr>
        <w:t xml:space="preserve">； </w:t>
      </w:r>
      <w:r>
        <w:rPr>
          <w:rFonts w:hint="eastAsia" w:ascii="宋体" w:hAnsi="宋体" w:cs="宋体"/>
          <w:b/>
          <w:bCs/>
          <w:color w:val="000000"/>
          <w:sz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（6）法律、行政法规规定的其他条件。（如有）</w:t>
      </w:r>
      <w:r>
        <w:rPr>
          <w:rFonts w:hint="eastAsia" w:ascii="宋体" w:hAnsi="宋体" w:cs="宋体"/>
          <w:color w:val="000000"/>
          <w:sz w:val="24"/>
          <w:szCs w:val="24"/>
          <w:highlight w:val="none"/>
        </w:rPr>
      </w:r>
      <w:r/>
    </w:p>
    <w:p>
      <w:pPr>
        <w:pStyle w:val="884"/>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（7）小微企业声明函、残疾人福利性单位声明、监狱企业证明材料。（如有）</w:t>
      </w:r>
      <w:r>
        <w:rPr>
          <w:rFonts w:ascii="宋体" w:hAnsi="宋体" w:cs="宋体"/>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（8）未被“信用中国”网站（www.creditchina.gov.cn）列入失信被执行人、重大税收违法案件当事人名单、政府采购严重失信行为记录名单：提供信用中国查询报告），</w:t>
      </w:r>
      <w:r>
        <w:rPr>
          <w:rFonts w:ascii="宋体" w:hAnsi="宋体" w:cs="宋体"/>
          <w:color w:val="000000"/>
          <w:sz w:val="24"/>
          <w:szCs w:val="24"/>
          <w:highlight w:val="none"/>
        </w:rPr>
        <w:t xml:space="preserve">在上述指定网站不能查询信用信息的投标人，应提供相关证明材料（加盖</w:t>
      </w:r>
      <w:r>
        <w:rPr>
          <w:rFonts w:hint="eastAsia" w:ascii="宋体" w:hAnsi="宋体" w:cs="宋体"/>
          <w:color w:val="000000"/>
          <w:sz w:val="24"/>
          <w:szCs w:val="24"/>
          <w:highlight w:val="none"/>
        </w:rPr>
        <w:t xml:space="preserve">电子</w:t>
      </w:r>
      <w:r>
        <w:rPr>
          <w:rFonts w:ascii="宋体" w:hAnsi="宋体" w:cs="宋体"/>
          <w:color w:val="000000"/>
          <w:sz w:val="24"/>
          <w:szCs w:val="24"/>
          <w:highlight w:val="none"/>
        </w:rPr>
        <w:t xml:space="preserve">公章）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拒绝下述供应商参加本次采购活动：供应商单位负责人为同一人或者存在直接控股、管理关系的不同供应商，不得参加同一合同项下的政府采购活动。凡为本采购项目提供整体设计、规范编制或者项目管理、监理、检测等服务的供应商，不得再参加本采购项目的其他采购活动；</w:t>
      </w:r>
      <w:r>
        <w:rPr>
          <w:rFonts w:hint="eastAsia" w:ascii="宋体" w:hAnsi="宋体" w:cs="宋体"/>
          <w:b/>
          <w:bCs/>
          <w:color w:val="000000"/>
          <w:sz w:val="24"/>
          <w:szCs w:val="24"/>
          <w:highlight w:val="none"/>
        </w:rPr>
        <w:t xml:space="preserve">提供声明函；</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符合性审查：</w:t>
      </w:r>
      <w:r>
        <w:rPr>
          <w:rFonts w:hint="eastAsia" w:ascii="宋体" w:hAnsi="宋体" w:cs="宋体"/>
          <w:b/>
          <w:bCs/>
          <w:color w:val="000000"/>
          <w:sz w:val="24"/>
          <w:szCs w:val="24"/>
          <w:highlight w:val="none"/>
        </w:rPr>
      </w:r>
      <w:r/>
    </w:p>
    <w:p>
      <w:pPr>
        <w:pStyle w:val="884"/>
        <w:numPr>
          <w:ilvl w:val="0"/>
          <w:numId w:val="4"/>
        </w:num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★投标函</w:t>
      </w:r>
      <w:r>
        <w:rPr>
          <w:rFonts w:hint="eastAsia" w:ascii="宋体" w:hAnsi="宋体" w:cs="宋体"/>
          <w:color w:val="000000"/>
          <w:sz w:val="24"/>
          <w:highlight w:val="none"/>
        </w:rPr>
        <w:t xml:space="preserve">；</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（2）★投标人法定代表人授权委托书（格式见附件，法定代表人亲自参加投标的除外）、投标人法定代表人身份证复印件、授权代表身份证复印件（法定代表人亲自参加投标的除外）</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（3）★商务条款响应表；</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（4）★采购需求响应表；</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（5）★设备配置响应：</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1.所有船只及非机动车辆如为投标人自有或租赁的，投标时须提供船舶所有权登记证书和非机动车辆自有有效证明材料扫描件或租赁协议。</w:t>
      </w:r>
      <w:r>
        <w:rPr>
          <w:rFonts w:hint="eastAsia" w:ascii="宋体" w:hAnsi="宋体" w:cs="宋体"/>
          <w:b/>
          <w:bCs/>
          <w:color w:val="000000"/>
          <w:sz w:val="24"/>
          <w:szCs w:val="24"/>
          <w:highlight w:val="none"/>
        </w:rPr>
      </w:r>
      <w:r/>
    </w:p>
    <w:p>
      <w:pPr>
        <w:pStyle w:val="884"/>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投标人投标时无法提供上述船只及非机动车辆自有或租赁协议，则投标时需提供中标后完全响应招标文件要求的自有或租赁船只及非机动车辆的承诺函（提供承诺函并加盖公章），投标人不提供承诺函则视为无效投标。</w:t>
      </w:r>
      <w:r>
        <w:rPr>
          <w:rFonts w:hint="eastAsia" w:ascii="宋体" w:hAnsi="宋体" w:cs="宋体"/>
          <w:b/>
          <w:bCs/>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(6)★工作人员工资明细表</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（7）投标人认为需要提供的其他材料；</w:t>
      </w:r>
      <w:r>
        <w:rPr>
          <w:rFonts w:hint="eastAsia" w:ascii="宋体" w:hAnsi="宋体" w:cs="宋体"/>
          <w:color w:val="000000"/>
          <w:sz w:val="24"/>
          <w:szCs w:val="24"/>
          <w:highlight w:val="none"/>
        </w:rPr>
      </w:r>
      <w:r/>
    </w:p>
    <w:p>
      <w:pPr>
        <w:pStyle w:val="886"/>
        <w:numPr>
          <w:ilvl w:val="0"/>
          <w:numId w:val="0"/>
        </w:numPr>
        <w:ind w:left="-2" w:right="210" w:firstLine="482"/>
        <w:tabs>
          <w:tab w:val="left" w:pos="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综合评审评分项：</w:t>
      </w:r>
      <w:r>
        <w:rPr>
          <w:rFonts w:hint="eastAsia" w:ascii="宋体" w:hAnsi="宋体" w:eastAsia="宋体" w:cs="宋体"/>
          <w:b/>
          <w:bCs/>
          <w:color w:val="000000"/>
          <w:sz w:val="24"/>
          <w:szCs w:val="24"/>
          <w:highlight w:val="none"/>
        </w:rPr>
      </w:r>
      <w:r/>
    </w:p>
    <w:p>
      <w:pPr>
        <w:pStyle w:val="886"/>
        <w:numPr>
          <w:ilvl w:val="0"/>
          <w:numId w:val="0"/>
        </w:numPr>
        <w:ind w:left="-2" w:right="210" w:firstLine="480"/>
        <w:spacing w:line="360" w:lineRule="auto"/>
        <w:tabs>
          <w:tab w:val="left" w:pos="0" w:leader="none"/>
        </w:tabs>
        <w:rPr>
          <w:rFonts w:hint="eastAsia"/>
          <w:color w:val="000000"/>
          <w:highlight w:val="none"/>
        </w:rPr>
      </w:pPr>
      <w:r>
        <w:rPr>
          <w:rFonts w:hint="eastAsia" w:ascii="宋体" w:hAnsi="宋体" w:eastAsia="宋体" w:cs="宋体"/>
          <w:color w:val="000000"/>
          <w:sz w:val="24"/>
          <w:szCs w:val="24"/>
          <w:highlight w:val="none"/>
        </w:rPr>
        <w:t xml:space="preserve">根据评分细则需要提交的材料</w:t>
      </w:r>
      <w:r>
        <w:rPr>
          <w:rFonts w:hint="eastAsia"/>
          <w:color w:val="000000"/>
          <w:highlight w:val="none"/>
        </w:rPr>
      </w:r>
      <w:r/>
    </w:p>
    <w:p>
      <w:pPr>
        <w:pStyle w:val="886"/>
        <w:numPr>
          <w:ilvl w:val="0"/>
          <w:numId w:val="0"/>
        </w:numPr>
        <w:ind w:left="-2" w:right="210" w:firstLine="482"/>
        <w:tabs>
          <w:tab w:val="left" w:pos="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价格折扣文件格式</w:t>
      </w:r>
      <w:r>
        <w:rPr>
          <w:rFonts w:hint="eastAsia" w:ascii="宋体" w:hAnsi="宋体" w:eastAsia="宋体" w:cs="宋体"/>
          <w:b/>
          <w:bCs/>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（1）小微企业声明函</w:t>
      </w:r>
      <w:r>
        <w:rPr>
          <w:rFonts w:hint="eastAsia" w:ascii="宋体" w:hAnsi="宋体" w:cs="宋体"/>
          <w:color w:val="000000"/>
          <w:sz w:val="24"/>
          <w:szCs w:val="24"/>
          <w:highlight w:val="none"/>
        </w:rPr>
      </w:r>
      <w:r/>
    </w:p>
    <w:p>
      <w:pPr>
        <w:pStyle w:val="894"/>
        <w:ind w:firstLine="480"/>
        <w:spacing w:line="480" w:lineRule="auto"/>
        <w:rPr>
          <w:rFonts w:hint="eastAsia" w:ascii="宋体" w:hAnsi="宋体" w:cs="宋体"/>
          <w:b/>
          <w:bCs/>
          <w:color w:val="000000"/>
          <w:szCs w:val="24"/>
          <w:highlight w:val="none"/>
        </w:rPr>
      </w:pPr>
      <w:r>
        <w:rPr>
          <w:rFonts w:hint="eastAsia" w:ascii="宋体" w:hAnsi="宋体" w:cs="宋体"/>
          <w:color w:val="000000"/>
          <w:szCs w:val="21"/>
          <w:highlight w:val="none"/>
        </w:rPr>
        <w:t xml:space="preserve">落实政府采购政策需满足的资格要求证明材料，其中如为中小微企业提供符合要求的中小企业声明函；如为监狱和戒毒企业（简称监狱企业）提供由省级以上监狱管理局、戒毒管理局（含新疆生产建设兵团）出具的属于监狱企业的证明文件；如为残疾人福利性单位提供符合要求的残疾人福利性单位声明函。</w:t>
      </w:r>
      <w:r>
        <w:rPr>
          <w:rFonts w:hint="eastAsia" w:ascii="宋体" w:hAnsi="宋体" w:cs="宋体"/>
          <w:b/>
          <w:bCs/>
          <w:color w:val="000000"/>
          <w:szCs w:val="24"/>
          <w:highlight w:val="none"/>
        </w:rPr>
      </w:r>
      <w:r/>
    </w:p>
    <w:p>
      <w:pPr>
        <w:pStyle w:val="884"/>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上述加★项目若有缺失或无效，将导致该投标文件作无效投标文件评定，且不允许在投标截止时间后补正。资格证明文件（扫描件须加盖投标人公章，否则视同未提供。本采购文件所表述（指定）的公章是指刻有投标人法定名称的印章，不包括合同、财务、税务、发票等形式的业务专用章）。</w:t>
      </w:r>
      <w:r>
        <w:rPr>
          <w:rFonts w:hint="eastAsia" w:ascii="宋体" w:hAnsi="宋体" w:cs="宋体"/>
          <w:b/>
          <w:bCs/>
          <w:color w:val="000000"/>
          <w:sz w:val="24"/>
          <w:szCs w:val="24"/>
          <w:highlight w:val="none"/>
        </w:rPr>
      </w:r>
      <w:r/>
    </w:p>
    <w:p>
      <w:pPr>
        <w:pStyle w:val="884"/>
        <w:ind w:firstLine="482"/>
        <w:spacing w:line="360" w:lineRule="auto"/>
        <w:rPr>
          <w:rFonts w:hint="eastAsia"/>
          <w:color w:val="000000"/>
          <w:szCs w:val="24"/>
          <w:highlight w:val="none"/>
        </w:rPr>
      </w:pPr>
      <w:r>
        <w:rPr>
          <w:rFonts w:hint="eastAsia" w:ascii="宋体" w:hAnsi="宋体" w:cs="宋体"/>
          <w:b/>
          <w:bCs/>
          <w:color w:val="000000"/>
          <w:sz w:val="24"/>
          <w:szCs w:val="24"/>
          <w:highlight w:val="none"/>
        </w:rPr>
        <w:t xml:space="preserve">八、投标保证金：无</w:t>
      </w:r>
      <w:r>
        <w:rPr>
          <w:rFonts w:hint="eastAsia"/>
          <w:color w:val="000000"/>
          <w:szCs w:val="24"/>
          <w:highlight w:val="none"/>
        </w:rPr>
      </w:r>
      <w:r/>
    </w:p>
    <w:p>
      <w:pPr>
        <w:pStyle w:val="884"/>
        <w:jc w:val="center"/>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884"/>
        <w:jc w:val="center"/>
        <w:spacing w:line="360" w:lineRule="auto"/>
        <w:rPr>
          <w:rFonts w:hint="eastAsia"/>
          <w:color w:val="000000"/>
          <w:szCs w:val="24"/>
          <w:highlight w:val="none"/>
        </w:rPr>
      </w:pPr>
      <w:r>
        <w:rPr>
          <w:rFonts w:hint="eastAsia" w:ascii="宋体" w:hAnsi="宋体" w:cs="宋体"/>
          <w:b/>
          <w:color w:val="000000"/>
          <w:sz w:val="28"/>
          <w:szCs w:val="24"/>
          <w:highlight w:val="none"/>
        </w:rPr>
        <w:t xml:space="preserve">三  投标文件递交</w:t>
      </w:r>
      <w:r>
        <w:rPr>
          <w:rFonts w:hint="eastAsia"/>
          <w:color w:val="000000"/>
          <w:szCs w:val="24"/>
          <w:highlight w:val="none"/>
        </w:rPr>
      </w:r>
      <w:r/>
    </w:p>
    <w:p>
      <w:pPr>
        <w:pStyle w:val="884"/>
        <w:ind w:firstLine="397"/>
        <w:spacing w:line="360" w:lineRule="auto"/>
        <w:rPr>
          <w:color w:val="000000"/>
          <w:szCs w:val="24"/>
          <w:highlight w:val="none"/>
        </w:rPr>
      </w:pPr>
      <w:r>
        <w:rPr>
          <w:rFonts w:hint="eastAsia" w:ascii="宋体" w:hAnsi="宋体" w:cs="宋体"/>
          <w:b/>
          <w:color w:val="000000"/>
          <w:sz w:val="24"/>
          <w:szCs w:val="24"/>
          <w:highlight w:val="none"/>
        </w:rPr>
        <w:t xml:space="preserve">九、投标文件递交</w:t>
      </w:r>
      <w:r>
        <w:rPr>
          <w:color w:val="000000"/>
          <w:szCs w:val="24"/>
          <w:highlight w:val="none"/>
        </w:rPr>
      </w:r>
      <w:r/>
    </w:p>
    <w:p>
      <w:pPr>
        <w:pStyle w:val="884"/>
        <w:ind w:firstLine="397"/>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1、电子投标文件的递交</w:t>
      </w:r>
      <w:r>
        <w:rPr>
          <w:rFonts w:ascii="宋体" w:hAnsi="宋体" w:cs="宋体"/>
          <w:color w:val="000000"/>
          <w:sz w:val="24"/>
          <w:szCs w:val="24"/>
          <w:highlight w:val="none"/>
        </w:rPr>
      </w:r>
      <w:r/>
    </w:p>
    <w:p>
      <w:pPr>
        <w:pStyle w:val="884"/>
        <w:ind w:firstLine="3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投标人应当按照规定，在投标截止时间前制作并上传电子投标文件。</w:t>
      </w:r>
      <w:r>
        <w:rPr>
          <w:rFonts w:hint="eastAsia" w:ascii="宋体" w:hAnsi="宋体" w:cs="宋体"/>
          <w:color w:val="000000"/>
          <w:sz w:val="24"/>
          <w:szCs w:val="24"/>
          <w:highlight w:val="none"/>
        </w:rPr>
      </w:r>
      <w:r/>
    </w:p>
    <w:p>
      <w:pPr>
        <w:pStyle w:val="884"/>
        <w:ind w:firstLine="3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2、投标截止日期</w:t>
      </w:r>
      <w:r>
        <w:rPr>
          <w:rFonts w:hint="eastAsia" w:ascii="宋体" w:hAnsi="宋体" w:cs="宋体"/>
          <w:color w:val="000000"/>
          <w:sz w:val="24"/>
          <w:szCs w:val="24"/>
          <w:highlight w:val="none"/>
        </w:rPr>
      </w:r>
      <w:r/>
    </w:p>
    <w:p>
      <w:pPr>
        <w:pStyle w:val="884"/>
        <w:ind w:firstLine="397"/>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2.1 投标人上传电子投标文件的时间不得迟于招标公告中规定的投标截止时间，系统平台拒绝接收在其规定的投标截止时间后上传的任何投标文件。</w:t>
      </w:r>
      <w:r>
        <w:rPr>
          <w:rFonts w:hint="eastAsia" w:ascii="宋体" w:hAnsi="宋体" w:cs="宋体"/>
          <w:b/>
          <w:bCs/>
          <w:color w:val="000000"/>
          <w:sz w:val="24"/>
          <w:szCs w:val="24"/>
          <w:highlight w:val="none"/>
        </w:rPr>
      </w:r>
      <w:r/>
    </w:p>
    <w:p>
      <w:pPr>
        <w:pStyle w:val="884"/>
        <w:ind w:firstLine="397"/>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投标人应充分考虑网络环境、网络带宽等风险因素，如因投标人自身原因造成的电子投标文件上传不成功由投标人自行承担全部责任。</w:t>
      </w:r>
      <w:r>
        <w:rPr>
          <w:rFonts w:hint="eastAsia" w:ascii="宋体" w:hAnsi="宋体" w:cs="宋体"/>
          <w:b/>
          <w:bCs/>
          <w:color w:val="000000"/>
          <w:sz w:val="24"/>
          <w:szCs w:val="24"/>
          <w:highlight w:val="none"/>
        </w:rPr>
      </w:r>
      <w:r/>
    </w:p>
    <w:p>
      <w:pPr>
        <w:pStyle w:val="884"/>
        <w:ind w:firstLine="397"/>
        <w:spacing w:line="360" w:lineRule="auto"/>
        <w:rPr>
          <w:rFonts w:hint="eastAsia"/>
          <w:color w:val="000000"/>
          <w:szCs w:val="24"/>
          <w:highlight w:val="none"/>
        </w:rPr>
      </w:pPr>
      <w:r>
        <w:rPr>
          <w:rFonts w:hint="eastAsia" w:ascii="宋体" w:hAnsi="宋体" w:cs="宋体"/>
          <w:color w:val="000000"/>
          <w:sz w:val="24"/>
          <w:szCs w:val="24"/>
          <w:highlight w:val="none"/>
        </w:rPr>
        <w:t xml:space="preserve">2.2代理机构可以按照规定，通过修改招标文件酌情延长投标截止日期，在此情况下，投标人的所有权利和义务以及投标人受制的截止日期均应以延长后新的截止日期为准。</w:t>
      </w:r>
      <w:r>
        <w:rPr>
          <w:rFonts w:hint="eastAsia"/>
          <w:color w:val="000000"/>
          <w:szCs w:val="24"/>
          <w:highlight w:val="none"/>
        </w:rPr>
      </w:r>
      <w:r/>
    </w:p>
    <w:p>
      <w:pPr>
        <w:pStyle w:val="884"/>
        <w:ind w:firstLine="397"/>
        <w:spacing w:line="360" w:lineRule="auto"/>
        <w:rPr>
          <w:color w:val="000000"/>
          <w:szCs w:val="24"/>
          <w:highlight w:val="none"/>
        </w:rPr>
      </w:pPr>
      <w:r>
        <w:rPr>
          <w:rFonts w:hint="eastAsia" w:ascii="宋体" w:hAnsi="宋体" w:cs="宋体"/>
          <w:b/>
          <w:color w:val="000000"/>
          <w:sz w:val="24"/>
          <w:szCs w:val="24"/>
          <w:highlight w:val="none"/>
        </w:rPr>
        <w:t xml:space="preserve">十、投标文件的修改和撤回</w:t>
      </w:r>
      <w:r>
        <w:rPr>
          <w:color w:val="000000"/>
          <w:szCs w:val="24"/>
          <w:highlight w:val="none"/>
        </w:rPr>
      </w:r>
      <w:r/>
    </w:p>
    <w:p>
      <w:pPr>
        <w:pStyle w:val="884"/>
        <w:ind w:firstLine="397"/>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1、投标文件的撤回</w:t>
      </w:r>
      <w:r>
        <w:rPr>
          <w:rFonts w:ascii="宋体" w:hAnsi="宋体" w:cs="宋体"/>
          <w:color w:val="000000"/>
          <w:sz w:val="24"/>
          <w:szCs w:val="24"/>
          <w:highlight w:val="none"/>
        </w:rPr>
      </w:r>
      <w:r/>
    </w:p>
    <w:p>
      <w:pPr>
        <w:pStyle w:val="884"/>
        <w:ind w:firstLine="3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投标人可在投标截止时间前，撤回其电子投标文件。</w:t>
      </w:r>
      <w:r>
        <w:rPr>
          <w:rFonts w:hint="eastAsia" w:ascii="宋体" w:hAnsi="宋体" w:cs="宋体"/>
          <w:color w:val="000000"/>
          <w:sz w:val="24"/>
          <w:szCs w:val="24"/>
          <w:highlight w:val="none"/>
        </w:rPr>
      </w:r>
      <w:r/>
    </w:p>
    <w:p>
      <w:pPr>
        <w:pStyle w:val="884"/>
        <w:ind w:firstLine="3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2、投标文件的修改</w:t>
      </w:r>
      <w:r>
        <w:rPr>
          <w:rFonts w:hint="eastAsia" w:ascii="宋体" w:hAnsi="宋体" w:cs="宋体"/>
          <w:color w:val="000000"/>
          <w:sz w:val="24"/>
          <w:szCs w:val="24"/>
          <w:highlight w:val="none"/>
        </w:rPr>
      </w:r>
      <w:r/>
    </w:p>
    <w:p>
      <w:pPr>
        <w:pStyle w:val="884"/>
        <w:ind w:firstLine="3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投标人可在投标截止时间前，对其电子投标文件进行修改。</w:t>
      </w:r>
      <w:r>
        <w:rPr>
          <w:rFonts w:hint="eastAsia" w:ascii="宋体" w:hAnsi="宋体" w:cs="宋体"/>
          <w:color w:val="000000"/>
          <w:sz w:val="24"/>
          <w:szCs w:val="24"/>
          <w:highlight w:val="none"/>
        </w:rPr>
      </w:r>
      <w:r/>
    </w:p>
    <w:p>
      <w:pPr>
        <w:pStyle w:val="884"/>
        <w:ind w:firstLine="397"/>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3、在投标截止时间之后，投标人不得对其电子投标文件作任何修改。</w:t>
      </w:r>
      <w:r>
        <w:rPr>
          <w:rFonts w:hint="eastAsia" w:ascii="宋体" w:hAnsi="宋体" w:cs="宋体"/>
          <w:b/>
          <w:color w:val="000000"/>
          <w:sz w:val="24"/>
          <w:szCs w:val="24"/>
          <w:highlight w:val="none"/>
        </w:rPr>
      </w:r>
      <w:r/>
    </w:p>
    <w:p>
      <w:pPr>
        <w:pStyle w:val="884"/>
        <w:jc w:val="center"/>
        <w:spacing w:line="360" w:lineRule="auto"/>
        <w:rPr>
          <w:rFonts w:hint="eastAsia" w:ascii="宋体" w:hAnsi="宋体" w:cs="宋体"/>
          <w:b/>
          <w:color w:val="000000"/>
          <w:sz w:val="28"/>
          <w:szCs w:val="24"/>
          <w:highlight w:val="none"/>
        </w:rPr>
      </w:pPr>
      <w:r>
        <w:rPr>
          <w:rFonts w:hint="eastAsia" w:ascii="宋体" w:hAnsi="宋体" w:cs="宋体"/>
          <w:b/>
          <w:color w:val="000000"/>
          <w:sz w:val="28"/>
          <w:szCs w:val="24"/>
          <w:highlight w:val="none"/>
        </w:rPr>
      </w:r>
      <w:r/>
    </w:p>
    <w:p>
      <w:pPr>
        <w:pStyle w:val="884"/>
        <w:jc w:val="center"/>
        <w:spacing w:line="360" w:lineRule="auto"/>
        <w:rPr>
          <w:rFonts w:hint="eastAsia"/>
          <w:color w:val="000000"/>
          <w:szCs w:val="24"/>
          <w:highlight w:val="none"/>
        </w:rPr>
      </w:pPr>
      <w:r>
        <w:rPr>
          <w:rFonts w:hint="eastAsia" w:ascii="宋体" w:hAnsi="宋体" w:cs="宋体"/>
          <w:b/>
          <w:color w:val="000000"/>
          <w:sz w:val="28"/>
          <w:szCs w:val="24"/>
          <w:highlight w:val="none"/>
        </w:rPr>
        <w:t xml:space="preserve">四  投标报价</w:t>
      </w:r>
      <w:r>
        <w:rPr>
          <w:rFonts w:hint="eastAsia"/>
          <w:color w:val="000000"/>
          <w:szCs w:val="24"/>
          <w:highlight w:val="none"/>
        </w:rPr>
      </w:r>
      <w:r/>
    </w:p>
    <w:p>
      <w:pPr>
        <w:pStyle w:val="884"/>
        <w:ind w:firstLine="397"/>
        <w:spacing w:line="360" w:lineRule="auto"/>
        <w:rPr>
          <w:color w:val="000000"/>
          <w:szCs w:val="24"/>
          <w:highlight w:val="none"/>
        </w:rPr>
      </w:pPr>
      <w:r>
        <w:rPr>
          <w:rFonts w:hint="eastAsia" w:ascii="宋体" w:hAnsi="宋体" w:cs="宋体"/>
          <w:b/>
          <w:color w:val="000000"/>
          <w:sz w:val="24"/>
          <w:szCs w:val="24"/>
          <w:highlight w:val="none"/>
        </w:rPr>
        <w:t xml:space="preserve">十一、投标报价方式</w:t>
      </w:r>
      <w:r>
        <w:rPr>
          <w:color w:val="000000"/>
          <w:szCs w:val="24"/>
          <w:highlight w:val="none"/>
        </w:rPr>
      </w:r>
      <w:r/>
    </w:p>
    <w:p>
      <w:pPr>
        <w:pStyle w:val="884"/>
        <w:ind w:firstLine="397"/>
        <w:spacing w:line="360" w:lineRule="auto"/>
        <w:rPr>
          <w:color w:val="000000"/>
          <w:szCs w:val="24"/>
          <w:highlight w:val="none"/>
        </w:rPr>
      </w:pPr>
      <w:r>
        <w:rPr>
          <w:rFonts w:hint="eastAsia" w:ascii="宋体" w:hAnsi="宋体" w:cs="宋体"/>
          <w:color w:val="000000"/>
          <w:sz w:val="24"/>
          <w:szCs w:val="24"/>
          <w:highlight w:val="none"/>
        </w:rPr>
        <w:t xml:space="preserve">1、投标人应按照招标文件中提供的格式完整、正确填写投标函、开标一览表。开标一览表中的报价应与投标函中报价完全一致，</w:t>
      </w:r>
      <w:r>
        <w:rPr>
          <w:rFonts w:hint="eastAsia" w:ascii="宋体" w:hAnsi="宋体" w:cs="宋体"/>
          <w:b/>
          <w:bCs/>
          <w:color w:val="000000"/>
          <w:sz w:val="24"/>
          <w:szCs w:val="24"/>
          <w:highlight w:val="none"/>
        </w:rPr>
        <w:t xml:space="preserve">否则评标时一律按开标一览表中内容为准</w:t>
      </w:r>
      <w:r>
        <w:rPr>
          <w:rFonts w:hint="eastAsia" w:ascii="宋体" w:hAnsi="宋体" w:cs="宋体"/>
          <w:color w:val="000000"/>
          <w:sz w:val="24"/>
          <w:szCs w:val="24"/>
          <w:highlight w:val="none"/>
        </w:rPr>
        <w:t xml:space="preserve">。</w:t>
      </w:r>
      <w:r>
        <w:rPr>
          <w:color w:val="000000"/>
          <w:szCs w:val="24"/>
          <w:highlight w:val="none"/>
        </w:rPr>
      </w:r>
      <w:r/>
    </w:p>
    <w:p>
      <w:pPr>
        <w:pStyle w:val="884"/>
        <w:ind w:firstLine="3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2、本项目报价为一次报价，投标人投标文件中的报价作为最终报价。</w:t>
      </w:r>
      <w:r>
        <w:rPr>
          <w:rFonts w:hint="eastAsia" w:ascii="宋体" w:hAnsi="宋体" w:cs="宋体"/>
          <w:color w:val="000000"/>
          <w:sz w:val="24"/>
          <w:szCs w:val="24"/>
          <w:highlight w:val="none"/>
        </w:rPr>
      </w:r>
      <w:r/>
    </w:p>
    <w:p>
      <w:pPr>
        <w:pStyle w:val="884"/>
        <w:ind w:firstLine="397"/>
        <w:spacing w:line="360" w:lineRule="auto"/>
        <w:rPr>
          <w:rFonts w:ascii="宋体" w:hAnsi="宋体" w:cs="Courier New"/>
          <w:color w:val="000000"/>
          <w:sz w:val="20"/>
          <w:szCs w:val="21"/>
          <w:highlight w:val="none"/>
        </w:rPr>
      </w:pPr>
      <w:r>
        <w:rPr>
          <w:rFonts w:hint="eastAsia" w:ascii="宋体" w:hAnsi="宋体" w:cs="宋体"/>
          <w:color w:val="000000"/>
          <w:sz w:val="24"/>
          <w:szCs w:val="21"/>
          <w:highlight w:val="none"/>
        </w:rPr>
        <w:t xml:space="preserve">3、投标报价：是根据招标文件所确定的范围内的全部服务的价格体现，是为完成招标文件规定的工作所涉及的一切费用。报价为综合报价，应包括完成本项目工作所需的各项费用，招标文件未列明，而投标人认为必需的费用也需列入报价。</w:t>
      </w:r>
      <w:r>
        <w:rPr>
          <w:rFonts w:ascii="宋体" w:hAnsi="宋体" w:cs="Courier New"/>
          <w:color w:val="000000"/>
          <w:sz w:val="20"/>
          <w:szCs w:val="21"/>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highlight w:val="none"/>
        </w:rPr>
        <w:t xml:space="preserve">4、报价注意事项：</w:t>
      </w:r>
      <w:r>
        <w:rPr>
          <w:rFonts w:hint="eastAsia" w:ascii="宋体" w:hAnsi="宋体" w:cs="宋体"/>
          <w:color w:val="000000"/>
          <w:sz w:val="24"/>
          <w:szCs w:val="24"/>
          <w:highlight w:val="none"/>
        </w:rPr>
        <w:t xml:space="preserve">投标人报价时应充分考虑所有可能影响到报价的价格因素，一旦评标结束最终中标，总价将包定，不予调整。如发生漏、缺、少项，都将被认为是中标人的报价让利行为，损失自负。</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b/>
          <w:bCs/>
          <w:color w:val="000000"/>
          <w:sz w:val="24"/>
          <w:szCs w:val="24"/>
          <w:highlight w:val="none"/>
        </w:rPr>
        <w:t xml:space="preserve">评审过程中出现下列情形之一的，评审委员会应当启动异常低价投标（响应）审查程序：</w:t>
      </w:r>
      <w:r>
        <w:rPr>
          <w:rFonts w:hint="eastAsia" w:ascii="宋体" w:hAnsi="宋体" w:cs="宋体"/>
          <w:b/>
          <w:bCs/>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（1）投标（响应）报价低于全部通过符合性审查服务供应商投标（响应）报价平均值50%的，即投标（响应）报价&lt;全部通过符合性审查服务供应商投标（响应）报价平均值×50%；</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（2）投标（响应）报价低于通过符合性审查的次低报价服务供应商投标（响应）报价50%的，即投标（响应）报价&lt;通过符合性审查的次低报价服务供应商投标（响应）报价×50%；</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（3）投标（响应）报价低于采购项目最高限价45%的，即投标（响应）报价&lt;采购项目最高限价×45%；</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（4）评审委员会基于专业判断，认为服务供应商报价过低，有可能影响产品质量或者不能诚信履约的其他情形。</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color w:val="000000"/>
          <w:sz w:val="24"/>
          <w:szCs w:val="24"/>
          <w:highlight w:val="none"/>
        </w:rPr>
      </w:r>
      <w:r/>
    </w:p>
    <w:p>
      <w:pPr>
        <w:pStyle w:val="884"/>
        <w:ind w:firstLine="480"/>
        <w:spacing w:line="360" w:lineRule="auto"/>
        <w:rPr>
          <w:rFonts w:ascii="宋体" w:hAnsi="宋体" w:cs="宋体"/>
          <w:b/>
          <w:color w:val="000000"/>
          <w:sz w:val="24"/>
          <w:szCs w:val="24"/>
          <w:highlight w:val="none"/>
        </w:rPr>
      </w:pPr>
      <w:r>
        <w:rPr>
          <w:rFonts w:hint="eastAsia" w:ascii="宋体" w:hAnsi="宋体" w:cs="宋体"/>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b/>
          <w:color w:val="000000"/>
          <w:sz w:val="24"/>
          <w:szCs w:val="24"/>
          <w:highlight w:val="none"/>
        </w:rPr>
      </w:r>
      <w:r/>
    </w:p>
    <w:p>
      <w:pPr>
        <w:pStyle w:val="884"/>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884"/>
        <w:jc w:val="center"/>
        <w:spacing w:line="360" w:lineRule="auto"/>
        <w:rPr>
          <w:rFonts w:hint="eastAsia"/>
          <w:color w:val="000000"/>
          <w:szCs w:val="24"/>
          <w:highlight w:val="none"/>
        </w:rPr>
      </w:pPr>
      <w:r>
        <w:rPr>
          <w:rFonts w:hint="eastAsia" w:ascii="宋体" w:hAnsi="宋体" w:cs="宋体"/>
          <w:b/>
          <w:color w:val="000000"/>
          <w:sz w:val="28"/>
          <w:szCs w:val="24"/>
          <w:highlight w:val="none"/>
        </w:rPr>
        <w:t xml:space="preserve">五  开标、评标、定标</w:t>
      </w:r>
      <w:r>
        <w:rPr>
          <w:rFonts w:hint="eastAsia"/>
          <w:color w:val="000000"/>
          <w:szCs w:val="24"/>
          <w:highlight w:val="none"/>
        </w:rPr>
      </w:r>
      <w:r/>
    </w:p>
    <w:p>
      <w:pPr>
        <w:pStyle w:val="884"/>
        <w:ind w:firstLine="482"/>
        <w:spacing w:line="360" w:lineRule="auto"/>
        <w:rPr>
          <w:color w:val="000000"/>
          <w:szCs w:val="24"/>
          <w:highlight w:val="none"/>
        </w:rPr>
      </w:pPr>
      <w:r>
        <w:rPr>
          <w:rFonts w:hint="eastAsia" w:ascii="宋体" w:hAnsi="宋体" w:cs="宋体"/>
          <w:b/>
          <w:color w:val="000000"/>
          <w:sz w:val="24"/>
          <w:szCs w:val="24"/>
          <w:highlight w:val="none"/>
        </w:rPr>
        <w:t xml:space="preserve">十二、评审、定标方法</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color w:val="000000"/>
          <w:sz w:val="24"/>
          <w:szCs w:val="24"/>
          <w:highlight w:val="none"/>
        </w:rPr>
        <w:t xml:space="preserve">本项目采用综合评分法</w:t>
      </w:r>
      <w:r>
        <w:rPr>
          <w:color w:val="000000"/>
          <w:szCs w:val="24"/>
          <w:highlight w:val="none"/>
        </w:rPr>
      </w:r>
      <w:r/>
    </w:p>
    <w:p>
      <w:pPr>
        <w:pStyle w:val="884"/>
        <w:ind w:firstLine="482"/>
        <w:spacing w:line="360" w:lineRule="auto"/>
        <w:rPr>
          <w:color w:val="000000"/>
          <w:szCs w:val="24"/>
          <w:highlight w:val="none"/>
        </w:rPr>
      </w:pPr>
      <w:r>
        <w:rPr>
          <w:rFonts w:hint="eastAsia" w:ascii="宋体" w:hAnsi="宋体" w:cs="宋体"/>
          <w:b/>
          <w:color w:val="000000"/>
          <w:sz w:val="24"/>
          <w:szCs w:val="24"/>
          <w:highlight w:val="none"/>
        </w:rPr>
        <w:t xml:space="preserve">十三、开标评标会</w:t>
      </w:r>
      <w:r>
        <w:rPr>
          <w:color w:val="000000"/>
          <w:szCs w:val="24"/>
          <w:highlight w:val="none"/>
        </w:rPr>
      </w:r>
      <w:r/>
    </w:p>
    <w:p>
      <w:pPr>
        <w:pStyle w:val="884"/>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代理机构将在招标公告中规定的时间和地点组织公开开标。投标人按照苏采云系统《操作手册》规定，参加开标活动，</w:t>
      </w:r>
      <w:r>
        <w:rPr>
          <w:rFonts w:hint="eastAsia" w:ascii="宋体" w:hAnsi="宋体" w:cs="宋体"/>
          <w:b/>
          <w:bCs/>
          <w:color w:val="000000"/>
          <w:sz w:val="24"/>
          <w:szCs w:val="24"/>
          <w:highlight w:val="none"/>
        </w:rPr>
        <w:t xml:space="preserve">并在苏采云系统规定的时间内对投标文件进行解密。</w:t>
      </w:r>
      <w:r>
        <w:rPr>
          <w:rFonts w:ascii="宋体" w:hAnsi="宋体" w:cs="宋体"/>
          <w:color w:val="000000"/>
          <w:sz w:val="24"/>
          <w:szCs w:val="24"/>
          <w:highlight w:val="none"/>
        </w:rPr>
      </w:r>
      <w:r/>
    </w:p>
    <w:p>
      <w:pPr>
        <w:pStyle w:val="884"/>
        <w:ind w:firstLine="482"/>
        <w:spacing w:line="360" w:lineRule="auto"/>
        <w:rPr>
          <w:rFonts w:hint="eastAsia"/>
          <w:color w:val="000000"/>
          <w:szCs w:val="24"/>
          <w:highlight w:val="none"/>
        </w:rPr>
      </w:pPr>
      <w:r>
        <w:rPr>
          <w:rFonts w:hint="eastAsia" w:ascii="宋体" w:hAnsi="宋体" w:cs="宋体"/>
          <w:b/>
          <w:color w:val="000000"/>
          <w:sz w:val="24"/>
          <w:szCs w:val="24"/>
          <w:highlight w:val="none"/>
        </w:rPr>
        <w:t xml:space="preserve">十四、</w:t>
      </w:r>
      <w:r>
        <w:rPr>
          <w:rFonts w:hint="eastAsia" w:ascii="宋体" w:hAnsi="宋体" w:cs="宋体"/>
          <w:color w:val="000000"/>
          <w:sz w:val="24"/>
          <w:szCs w:val="24"/>
          <w:highlight w:val="none"/>
        </w:rPr>
        <w:t xml:space="preserve">“苏采云”将自动对项目进行开标，并宣读各投标人的《开标一览表》。</w:t>
      </w:r>
      <w:r>
        <w:rPr>
          <w:rFonts w:hint="eastAsia"/>
          <w:color w:val="000000"/>
          <w:szCs w:val="24"/>
          <w:highlight w:val="none"/>
        </w:rPr>
      </w:r>
      <w:r/>
    </w:p>
    <w:p>
      <w:pPr>
        <w:pStyle w:val="884"/>
        <w:ind w:firstLine="482"/>
        <w:spacing w:line="360" w:lineRule="auto"/>
        <w:rPr>
          <w:rFonts w:ascii="宋体" w:hAnsi="宋体" w:cs="宋体"/>
          <w:color w:val="000000"/>
          <w:sz w:val="24"/>
          <w:szCs w:val="24"/>
          <w:highlight w:val="none"/>
        </w:rPr>
      </w:pPr>
      <w:r>
        <w:rPr>
          <w:rFonts w:hint="eastAsia" w:ascii="宋体" w:hAnsi="宋体" w:cs="宋体"/>
          <w:b/>
          <w:color w:val="000000"/>
          <w:sz w:val="24"/>
          <w:szCs w:val="24"/>
          <w:highlight w:val="none"/>
        </w:rPr>
        <w:t xml:space="preserve">十五、</w:t>
      </w:r>
      <w:r>
        <w:rPr>
          <w:rFonts w:hint="eastAsia" w:ascii="宋体" w:hAnsi="宋体" w:cs="宋体"/>
          <w:color w:val="000000"/>
          <w:sz w:val="24"/>
          <w:szCs w:val="24"/>
          <w:highlight w:val="none"/>
        </w:rPr>
        <w:t xml:space="preserve">投标人在开标过程中涉及的签到、投标文件解密、开标结果确认等工作，应按照《江苏省政府采购管理交易系统（苏采云）供应商操作手册》规定执行。</w:t>
      </w:r>
      <w:r>
        <w:rPr>
          <w:rFonts w:hint="eastAsia" w:ascii="宋体" w:hAnsi="宋体" w:cs="宋体"/>
          <w:b/>
          <w:bCs/>
          <w:color w:val="000000"/>
          <w:sz w:val="24"/>
          <w:szCs w:val="24"/>
          <w:highlight w:val="none"/>
        </w:rPr>
        <w:t xml:space="preserve">投标人在苏采云系统规定时间内未解密，超时视同解密失败，放弃投标。</w:t>
      </w:r>
      <w:r>
        <w:rPr>
          <w:rFonts w:ascii="宋体" w:hAnsi="宋体" w:cs="宋体"/>
          <w:color w:val="000000"/>
          <w:sz w:val="24"/>
          <w:szCs w:val="24"/>
          <w:highlight w:val="none"/>
        </w:rPr>
      </w:r>
      <w:r/>
    </w:p>
    <w:p>
      <w:pPr>
        <w:pStyle w:val="884"/>
        <w:ind w:firstLine="48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如果对开标过程和开标记录有疑义，应当根据《江苏省政府采购管理交易系统（苏采云）供应商操作手册》规定提出，如“江苏政府采购‘苏采云’系统”中《开标一览表》宣布后5分钟内未提出的，视同认可开标结果。</w:t>
      </w:r>
      <w:r>
        <w:rPr>
          <w:rFonts w:hint="eastAsia" w:ascii="宋体" w:hAnsi="宋体" w:cs="宋体"/>
          <w:color w:val="000000"/>
          <w:sz w:val="24"/>
          <w:szCs w:val="24"/>
          <w:highlight w:val="none"/>
        </w:rPr>
      </w:r>
      <w:r/>
    </w:p>
    <w:p>
      <w:pPr>
        <w:pStyle w:val="884"/>
        <w:ind w:firstLine="482"/>
        <w:spacing w:line="360" w:lineRule="auto"/>
        <w:rPr>
          <w:color w:val="000000"/>
          <w:szCs w:val="24"/>
          <w:highlight w:val="none"/>
        </w:rPr>
      </w:pPr>
      <w:r>
        <w:rPr>
          <w:rFonts w:hint="eastAsia" w:ascii="宋体" w:hAnsi="宋体" w:cs="宋体"/>
          <w:b/>
          <w:color w:val="000000"/>
          <w:sz w:val="24"/>
          <w:szCs w:val="24"/>
          <w:highlight w:val="none"/>
        </w:rPr>
        <w:t xml:space="preserve">十六、</w:t>
      </w:r>
      <w:r>
        <w:rPr>
          <w:rFonts w:hint="eastAsia" w:ascii="宋体" w:hAnsi="宋体" w:cs="宋体"/>
          <w:color w:val="000000"/>
          <w:sz w:val="24"/>
          <w:szCs w:val="24"/>
          <w:highlight w:val="none"/>
        </w:rPr>
        <w:t xml:space="preserve">投标文件出现下列情况之一的，将作为无效投标文件处理，无效投标文件不予参加评标。</w:t>
      </w:r>
      <w:r>
        <w:rPr>
          <w:color w:val="000000"/>
          <w:szCs w:val="24"/>
          <w:highlight w:val="none"/>
        </w:rPr>
      </w:r>
      <w:r/>
    </w:p>
    <w:p>
      <w:pPr>
        <w:pStyle w:val="884"/>
        <w:ind w:firstLine="480"/>
        <w:spacing w:line="360" w:lineRule="auto"/>
        <w:rPr>
          <w:rFonts w:hint="eastAsia"/>
          <w:b/>
          <w:bCs/>
          <w:color w:val="000000"/>
          <w:szCs w:val="24"/>
          <w:highlight w:val="none"/>
        </w:rPr>
      </w:pPr>
      <w:r>
        <w:rPr>
          <w:rFonts w:hint="eastAsia" w:ascii="宋体" w:hAnsi="宋体" w:cs="宋体"/>
          <w:b/>
          <w:bCs/>
          <w:color w:val="000000"/>
          <w:sz w:val="24"/>
          <w:szCs w:val="24"/>
          <w:highlight w:val="none"/>
        </w:rPr>
        <w:t xml:space="preserve">1、投标人未按照招标文件要求上传电子投标文件的、未在规定时间内成功解密电子投标文件的；</w:t>
      </w:r>
      <w:r>
        <w:rPr>
          <w:rFonts w:hint="eastAsia"/>
          <w:b/>
          <w:bCs/>
          <w:color w:val="000000"/>
          <w:szCs w:val="24"/>
          <w:highlight w:val="none"/>
        </w:rPr>
      </w:r>
      <w:r/>
    </w:p>
    <w:p>
      <w:pPr>
        <w:pStyle w:val="884"/>
        <w:ind w:firstLine="480"/>
        <w:spacing w:line="360" w:lineRule="auto"/>
        <w:rPr>
          <w:color w:val="000000"/>
          <w:szCs w:val="24"/>
          <w:highlight w:val="none"/>
        </w:rPr>
      </w:pPr>
      <w:r>
        <w:rPr>
          <w:rFonts w:hint="eastAsia" w:ascii="宋体" w:hAnsi="宋体" w:cs="宋体"/>
          <w:color w:val="000000"/>
          <w:sz w:val="24"/>
          <w:szCs w:val="24"/>
          <w:highlight w:val="none"/>
        </w:rPr>
        <w:t xml:space="preserve">2、投标函未加盖投标人公章；</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color w:val="000000"/>
          <w:sz w:val="24"/>
          <w:szCs w:val="24"/>
          <w:highlight w:val="none"/>
        </w:rPr>
        <w:t xml:space="preserve">3、授权委托书无投标人公章、法定代表人的印鉴（或签名）；</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color w:val="000000"/>
          <w:sz w:val="24"/>
          <w:szCs w:val="24"/>
          <w:highlight w:val="none"/>
        </w:rPr>
        <w:t xml:space="preserve">4、投标文件未按招标文件规定的格式、内容和要求编制，投标文件字迹潦草、模糊、难以辨认；</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color w:val="000000"/>
          <w:sz w:val="24"/>
          <w:szCs w:val="24"/>
          <w:highlight w:val="none"/>
        </w:rPr>
        <w:t xml:space="preserve">5、投标人在一份投标文件中，对同一招标项目报有两个或多个报价，且未书面确定以哪个报价为准；</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color w:val="000000"/>
          <w:sz w:val="24"/>
          <w:szCs w:val="24"/>
          <w:highlight w:val="none"/>
        </w:rPr>
        <w:t xml:space="preserve">6、投标人在投标报价中存在严重错误，影响对其他投标人的评分；</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color w:val="000000"/>
          <w:sz w:val="24"/>
          <w:szCs w:val="24"/>
          <w:highlight w:val="none"/>
        </w:rPr>
        <w:t xml:space="preserve">7、投标人资格不满足要求，或投标材料所述情况和所附相关资料不实的； </w:t>
      </w:r>
      <w:r>
        <w:rPr>
          <w:color w:val="000000"/>
          <w:szCs w:val="24"/>
          <w:highlight w:val="none"/>
        </w:rPr>
      </w:r>
      <w:r/>
    </w:p>
    <w:p>
      <w:pPr>
        <w:pStyle w:val="884"/>
        <w:ind w:firstLine="482"/>
        <w:spacing w:line="360" w:lineRule="auto"/>
        <w:rPr>
          <w:color w:val="000000"/>
          <w:szCs w:val="24"/>
          <w:highlight w:val="none"/>
        </w:rPr>
      </w:pPr>
      <w:r>
        <w:rPr>
          <w:rFonts w:hint="eastAsia" w:ascii="宋体" w:hAnsi="宋体" w:cs="宋体"/>
          <w:b/>
          <w:color w:val="000000"/>
          <w:sz w:val="24"/>
          <w:szCs w:val="24"/>
          <w:highlight w:val="none"/>
        </w:rPr>
        <w:t xml:space="preserve">十七、评标、定标</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color w:val="000000"/>
          <w:sz w:val="24"/>
          <w:szCs w:val="24"/>
          <w:highlight w:val="none"/>
        </w:rPr>
        <w:t xml:space="preserve">评标由依法组建的评标委员会负责。定标时根据评标委员会的书面评标报告和推荐的中标候选人确定中标人。</w:t>
      </w:r>
      <w:r>
        <w:rPr>
          <w:color w:val="000000"/>
          <w:szCs w:val="24"/>
          <w:highlight w:val="none"/>
        </w:rPr>
      </w:r>
      <w:r/>
    </w:p>
    <w:p>
      <w:pPr>
        <w:pStyle w:val="884"/>
        <w:ind w:firstLine="482"/>
        <w:spacing w:line="360" w:lineRule="auto"/>
        <w:rPr>
          <w:color w:val="000000"/>
          <w:szCs w:val="24"/>
          <w:highlight w:val="none"/>
        </w:rPr>
      </w:pPr>
      <w:r>
        <w:rPr>
          <w:rFonts w:hint="eastAsia" w:ascii="宋体" w:hAnsi="宋体" w:cs="宋体"/>
          <w:b/>
          <w:color w:val="000000"/>
          <w:sz w:val="24"/>
          <w:szCs w:val="24"/>
          <w:highlight w:val="none"/>
        </w:rPr>
        <w:t xml:space="preserve">十八、投标文件的澄清</w:t>
      </w:r>
      <w:r>
        <w:rPr>
          <w:color w:val="000000"/>
          <w:szCs w:val="24"/>
          <w:highlight w:val="none"/>
        </w:rPr>
      </w:r>
      <w:r/>
    </w:p>
    <w:p>
      <w:pPr>
        <w:pStyle w:val="884"/>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对投标文件中含义不明确、同类问题表述不一致或者有明显文字和计算错误的内容，评委会有权要求投标人对其投标文件作出必要的澄清、说明或者纠正，但并非对每个投标人都作澄清要求。接到评委会澄清要求的投标人应派人按评委会规定的时间和格式做出澄清，澄清的内容作为投标文件的补充部分，但投标的价格和实质性的内容不得做任何更改。接到评委会澄清要求的投标人如未按规定作出澄清，其风险由投标人自行承担。</w:t>
      </w:r>
      <w:r>
        <w:rPr>
          <w:rFonts w:ascii="宋体" w:hAnsi="宋体" w:cs="宋体"/>
          <w:color w:val="000000"/>
          <w:sz w:val="24"/>
          <w:szCs w:val="24"/>
          <w:highlight w:val="none"/>
        </w:rPr>
      </w:r>
      <w:r/>
    </w:p>
    <w:p>
      <w:pPr>
        <w:pStyle w:val="884"/>
        <w:ind w:firstLine="482"/>
        <w:spacing w:line="360" w:lineRule="auto"/>
        <w:rPr>
          <w:rFonts w:hint="eastAsia"/>
          <w:color w:val="000000"/>
          <w:szCs w:val="24"/>
          <w:highlight w:val="none"/>
        </w:rPr>
      </w:pPr>
      <w:r>
        <w:rPr>
          <w:rFonts w:hint="eastAsia" w:ascii="宋体" w:hAnsi="宋体" w:cs="宋体"/>
          <w:b/>
          <w:color w:val="000000"/>
          <w:sz w:val="24"/>
          <w:szCs w:val="24"/>
          <w:highlight w:val="none"/>
        </w:rPr>
        <w:t xml:space="preserve">十九、评标中作为废标处理的情况：</w:t>
      </w:r>
      <w:r>
        <w:rPr>
          <w:rFonts w:hint="eastAsia"/>
          <w:color w:val="000000"/>
          <w:szCs w:val="24"/>
          <w:highlight w:val="none"/>
        </w:rPr>
      </w:r>
      <w:r/>
    </w:p>
    <w:p>
      <w:pPr>
        <w:pStyle w:val="884"/>
        <w:ind w:firstLine="480"/>
        <w:spacing w:line="360" w:lineRule="auto"/>
        <w:rPr>
          <w:color w:val="000000"/>
          <w:szCs w:val="24"/>
          <w:highlight w:val="none"/>
        </w:rPr>
      </w:pPr>
      <w:r>
        <w:rPr>
          <w:rFonts w:hint="eastAsia" w:ascii="宋体" w:hAnsi="宋体" w:cs="宋体"/>
          <w:color w:val="000000"/>
          <w:sz w:val="24"/>
          <w:szCs w:val="24"/>
          <w:highlight w:val="none"/>
        </w:rPr>
        <w:t xml:space="preserve">1、在评标过程中，评标委员会若发现投标人以他人的名义投标、串通投标、以行贿手段谋取中标或者以其他弄虚作假方式投标的，该投标人的投标将作废标处理。</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color w:val="000000"/>
          <w:sz w:val="24"/>
          <w:szCs w:val="24"/>
          <w:highlight w:val="none"/>
        </w:rPr>
        <w:t xml:space="preserve">2、投标人报价超过了采购最高限价，采购单位无法承担和支付的，其投标将作废标处理。</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color w:val="000000"/>
          <w:sz w:val="24"/>
          <w:szCs w:val="24"/>
          <w:highlight w:val="none"/>
        </w:rPr>
        <w:t xml:space="preserve">3、投标人资格条件不符合国家有关规定和招标文件要求的，或者拒不按照要求对投标文件进行澄清、说明或者补正的，评标委员会可以否决其投标。</w:t>
      </w:r>
      <w:r>
        <w:rPr>
          <w:color w:val="000000"/>
          <w:szCs w:val="24"/>
          <w:highlight w:val="none"/>
        </w:rPr>
      </w:r>
      <w:r/>
    </w:p>
    <w:p>
      <w:pPr>
        <w:pStyle w:val="884"/>
        <w:ind w:firstLine="482"/>
        <w:spacing w:line="360" w:lineRule="auto"/>
        <w:rPr>
          <w:color w:val="000000"/>
          <w:szCs w:val="24"/>
          <w:highlight w:val="none"/>
        </w:rPr>
      </w:pPr>
      <w:r>
        <w:rPr>
          <w:rFonts w:hint="eastAsia" w:ascii="宋体" w:hAnsi="宋体" w:cs="宋体"/>
          <w:b/>
          <w:color w:val="000000"/>
          <w:sz w:val="24"/>
          <w:szCs w:val="24"/>
          <w:highlight w:val="none"/>
        </w:rPr>
        <w:t xml:space="preserve">二十、中标通知</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color w:val="000000"/>
          <w:sz w:val="24"/>
          <w:szCs w:val="24"/>
          <w:highlight w:val="none"/>
        </w:rPr>
        <w:t xml:space="preserve">中标人确定后，代理机构向中标人发出中标通知，同时将中标结果通知所有未中标的投标人，中标人接到中标通知后的三十日内与招标人签订采购合同。</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color w:val="000000"/>
          <w:sz w:val="24"/>
          <w:szCs w:val="24"/>
          <w:highlight w:val="none"/>
        </w:rPr>
        <w:t xml:space="preserve">中标通知书对招标人和中标人具有法律约束力。</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color w:val="000000"/>
          <w:sz w:val="24"/>
          <w:szCs w:val="24"/>
          <w:highlight w:val="none"/>
        </w:rPr>
        <w:t xml:space="preserve">代理机构不负责向任何投标人说明中标或不中标的原因。</w:t>
      </w:r>
      <w:r>
        <w:rPr>
          <w:color w:val="000000"/>
          <w:szCs w:val="24"/>
          <w:highlight w:val="none"/>
        </w:rPr>
      </w:r>
      <w:r/>
    </w:p>
    <w:p>
      <w:pPr>
        <w:pStyle w:val="884"/>
        <w:ind w:firstLine="482"/>
        <w:spacing w:line="360" w:lineRule="auto"/>
        <w:rPr>
          <w:color w:val="000000"/>
          <w:szCs w:val="24"/>
          <w:highlight w:val="none"/>
        </w:rPr>
      </w:pPr>
      <w:r>
        <w:rPr>
          <w:rFonts w:hint="eastAsia" w:ascii="宋体" w:hAnsi="宋体" w:cs="宋体"/>
          <w:b/>
          <w:color w:val="000000"/>
          <w:sz w:val="24"/>
          <w:szCs w:val="24"/>
          <w:highlight w:val="none"/>
        </w:rPr>
        <w:t xml:space="preserve">二十一、授予合同，合同条款</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color w:val="000000"/>
          <w:sz w:val="24"/>
          <w:szCs w:val="24"/>
          <w:highlight w:val="none"/>
        </w:rPr>
        <w:t xml:space="preserve">中标人应按中标通知书指定的时间、地点派代表前来与招标人具体商谈签订合同。招标文件、中标人的投标文件及澄清文件等，均为签订合同的依据。</w:t>
      </w:r>
      <w:r>
        <w:rPr>
          <w:color w:val="000000"/>
          <w:szCs w:val="24"/>
          <w:highlight w:val="none"/>
        </w:rPr>
      </w:r>
      <w:r/>
    </w:p>
    <w:p>
      <w:pPr>
        <w:pStyle w:val="884"/>
        <w:ind w:firstLine="482"/>
        <w:spacing w:line="360" w:lineRule="auto"/>
        <w:rPr>
          <w:color w:val="000000"/>
          <w:szCs w:val="24"/>
          <w:highlight w:val="none"/>
        </w:rPr>
      </w:pPr>
      <w:r>
        <w:rPr>
          <w:rFonts w:hint="eastAsia" w:ascii="宋体" w:hAnsi="宋体" w:cs="宋体"/>
          <w:b/>
          <w:color w:val="000000"/>
          <w:sz w:val="24"/>
          <w:szCs w:val="24"/>
          <w:highlight w:val="none"/>
        </w:rPr>
        <w:t xml:space="preserve">二十二、质疑和投诉</w:t>
      </w:r>
      <w:r>
        <w:rPr>
          <w:color w:val="000000"/>
          <w:szCs w:val="24"/>
          <w:highlight w:val="none"/>
        </w:rPr>
      </w:r>
      <w:r/>
    </w:p>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认为招标文件、采购过程或成交结果使自己的权益受到损害的，可以在知道或者应知其权益受到损害之日起7个工作日内，以书面形式向采购人或代理机构提出质疑。采购人在收到投标人书面质疑后7个工作日内作出答复。</w:t>
      </w:r>
      <w:r>
        <w:rPr>
          <w:rFonts w:hint="eastAsia" w:ascii="宋体" w:hAnsi="宋体" w:cs="宋体"/>
          <w:color w:val="000000"/>
          <w:sz w:val="24"/>
          <w:szCs w:val="24"/>
          <w:highlight w:val="none"/>
        </w:rPr>
      </w:r>
      <w:r/>
    </w:p>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2、本次招标文件要求供应商在法定质疑期内一次性提出针对同一采购程序环节的质疑。</w:t>
      </w:r>
      <w:r>
        <w:rPr>
          <w:rFonts w:hint="eastAsia" w:ascii="宋体" w:hAnsi="宋体" w:cs="宋体"/>
          <w:color w:val="000000"/>
          <w:sz w:val="24"/>
          <w:szCs w:val="24"/>
          <w:highlight w:val="none"/>
        </w:rPr>
      </w:r>
      <w:r/>
    </w:p>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3、供应商提出质疑应当提交质疑函和必要的证明材料，质疑函应当包括下列内容：</w:t>
      </w:r>
      <w:r>
        <w:rPr>
          <w:rFonts w:hint="eastAsia" w:ascii="宋体" w:hAnsi="宋体" w:cs="宋体"/>
          <w:color w:val="000000"/>
          <w:sz w:val="24"/>
          <w:szCs w:val="24"/>
          <w:highlight w:val="none"/>
        </w:rPr>
      </w:r>
      <w:r/>
    </w:p>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（1）供应商的姓名或者名称（以提供的营业执照副本复印件为准）、地址、邮编、联系人及联系电话；</w:t>
      </w:r>
      <w:r>
        <w:rPr>
          <w:rFonts w:hint="eastAsia" w:ascii="宋体" w:hAnsi="宋体" w:cs="宋体"/>
          <w:color w:val="000000"/>
          <w:sz w:val="24"/>
          <w:szCs w:val="24"/>
          <w:highlight w:val="none"/>
        </w:rPr>
      </w:r>
      <w:r/>
    </w:p>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（2）质疑项目的名称、编号；</w:t>
      </w:r>
      <w:r>
        <w:rPr>
          <w:rFonts w:hint="eastAsia" w:ascii="宋体" w:hAnsi="宋体" w:cs="宋体"/>
          <w:color w:val="000000"/>
          <w:sz w:val="24"/>
          <w:szCs w:val="24"/>
          <w:highlight w:val="none"/>
        </w:rPr>
      </w:r>
      <w:r/>
    </w:p>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（3）具体、明确的质疑事项和与质疑事项相关的请求；</w:t>
      </w:r>
      <w:r>
        <w:rPr>
          <w:rFonts w:hint="eastAsia" w:ascii="宋体" w:hAnsi="宋体" w:cs="宋体"/>
          <w:color w:val="000000"/>
          <w:sz w:val="24"/>
          <w:szCs w:val="24"/>
          <w:highlight w:val="none"/>
        </w:rPr>
      </w:r>
      <w:r/>
    </w:p>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（4）事实依据；</w:t>
      </w:r>
      <w:r>
        <w:rPr>
          <w:rFonts w:hint="eastAsia" w:ascii="宋体" w:hAnsi="宋体" w:cs="宋体"/>
          <w:color w:val="000000"/>
          <w:sz w:val="24"/>
          <w:szCs w:val="24"/>
          <w:highlight w:val="none"/>
        </w:rPr>
      </w:r>
      <w:r/>
    </w:p>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（5）必要的法律依据；</w:t>
      </w:r>
      <w:r>
        <w:rPr>
          <w:rFonts w:hint="eastAsia" w:ascii="宋体" w:hAnsi="宋体" w:cs="宋体"/>
          <w:color w:val="000000"/>
          <w:sz w:val="24"/>
          <w:szCs w:val="24"/>
          <w:highlight w:val="none"/>
        </w:rPr>
      </w:r>
      <w:r/>
    </w:p>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（6）提出质疑的日期。</w:t>
      </w:r>
      <w:r>
        <w:rPr>
          <w:rFonts w:hint="eastAsia" w:ascii="宋体" w:hAnsi="宋体" w:cs="宋体"/>
          <w:color w:val="000000"/>
          <w:sz w:val="24"/>
          <w:szCs w:val="24"/>
          <w:highlight w:val="none"/>
        </w:rPr>
      </w:r>
      <w:r/>
    </w:p>
    <w:p>
      <w:pPr>
        <w:pStyle w:val="924"/>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eastAsia="宋体" w:cs="宋体"/>
          <w:color w:val="000000"/>
          <w:szCs w:val="24"/>
          <w:highlight w:val="none"/>
        </w:rPr>
      </w:r>
      <w:r/>
    </w:p>
    <w:p>
      <w:pPr>
        <w:pStyle w:val="924"/>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w:t>
      </w:r>
      <w:r>
        <w:rPr>
          <w:rFonts w:hint="eastAsia" w:ascii="宋体" w:hAnsi="宋体" w:eastAsia="宋体" w:cs="宋体"/>
          <w:b/>
          <w:color w:val="000000"/>
          <w:szCs w:val="24"/>
          <w:highlight w:val="none"/>
        </w:rPr>
        <w:t xml:space="preserve">（即《供应商参加投标确认函》）</w:t>
      </w:r>
      <w:r>
        <w:rPr>
          <w:rFonts w:hint="eastAsia" w:ascii="宋体" w:hAnsi="宋体" w:eastAsia="宋体" w:cs="宋体"/>
          <w:color w:val="000000"/>
          <w:szCs w:val="24"/>
          <w:highlight w:val="none"/>
        </w:rPr>
        <w:t xml:space="preserve">与质疑函一起递交，否则不予受理。</w:t>
      </w:r>
      <w:r>
        <w:rPr>
          <w:rFonts w:hint="eastAsia" w:ascii="宋体" w:hAnsi="宋体" w:eastAsia="宋体" w:cs="宋体"/>
          <w:color w:val="000000"/>
          <w:szCs w:val="24"/>
          <w:highlight w:val="none"/>
        </w:rPr>
      </w:r>
      <w:r/>
    </w:p>
    <w:p>
      <w:pPr>
        <w:pStyle w:val="924"/>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5、接收质疑函的方式：书面形式（当场送达或邮寄方式）。</w:t>
      </w:r>
      <w:r>
        <w:rPr>
          <w:rFonts w:hint="eastAsia" w:ascii="宋体" w:hAnsi="宋体" w:eastAsia="宋体" w:cs="宋体"/>
          <w:color w:val="000000"/>
          <w:szCs w:val="24"/>
          <w:highlight w:val="none"/>
        </w:rPr>
      </w:r>
      <w:r/>
    </w:p>
    <w:p>
      <w:pPr>
        <w:pStyle w:val="924"/>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6、质疑供应商对采购人、采购代理机构的答复不满意，或者采购人、采购代理机构未在规定时间内作出答复的，可以在答复期满后15个工作日内向同级财政部门提起投诉。</w:t>
      </w:r>
      <w:r>
        <w:rPr>
          <w:rFonts w:hint="eastAsia" w:ascii="宋体" w:hAnsi="宋体" w:eastAsia="宋体" w:cs="宋体"/>
          <w:color w:val="000000"/>
          <w:sz w:val="24"/>
          <w:szCs w:val="24"/>
          <w:highlight w:val="none"/>
          <w:lang w:val="en-US" w:eastAsia="zh-CN" w:bidi="ar-SA"/>
        </w:rPr>
      </w:r>
      <w:r/>
    </w:p>
    <w:p>
      <w:pPr>
        <w:pStyle w:val="884"/>
        <w:ind w:firstLine="480"/>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二十三、特别提醒</w:t>
      </w:r>
      <w:r>
        <w:rPr>
          <w:rFonts w:ascii="宋体" w:hAnsi="宋体" w:cs="宋体"/>
          <w:b/>
          <w:color w:val="000000"/>
          <w:sz w:val="24"/>
          <w:szCs w:val="24"/>
          <w:highlight w:val="none"/>
        </w:rPr>
      </w:r>
      <w:r/>
    </w:p>
    <w:p>
      <w:pPr>
        <w:pStyle w:val="884"/>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投标单位如有提供不实评审材料，弄虚作假者，一律作废标处理，该不良行为将予以公示。</w:t>
      </w:r>
      <w:r>
        <w:rPr>
          <w:rFonts w:ascii="宋体" w:hAnsi="宋体" w:cs="宋体"/>
          <w:color w:val="000000"/>
          <w:sz w:val="24"/>
          <w:szCs w:val="24"/>
          <w:highlight w:val="none"/>
        </w:rPr>
      </w:r>
      <w:r/>
    </w:p>
    <w:p>
      <w:pPr>
        <w:pStyle w:val="884"/>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在本项目评审结束前，</w:t>
      </w:r>
      <w:r>
        <w:rPr>
          <w:rFonts w:hint="eastAsia" w:ascii="宋体" w:hAnsi="宋体" w:cs="宋体"/>
          <w:b/>
          <w:bCs/>
          <w:color w:val="000000"/>
          <w:sz w:val="24"/>
          <w:szCs w:val="24"/>
          <w:highlight w:val="none"/>
        </w:rPr>
        <w:t xml:space="preserve">各供应商授权代表应关注苏采云系统提醒并保持手机畅通，如有必要需供应商针对自身投标文件进行澄清的，供应商需在第一时间内配合评委会的询问进行澄清。</w:t>
      </w:r>
      <w:r>
        <w:rPr>
          <w:rFonts w:hint="eastAsia" w:ascii="宋体" w:hAnsi="宋体" w:cs="宋体"/>
          <w:color w:val="000000"/>
          <w:sz w:val="24"/>
          <w:szCs w:val="24"/>
          <w:highlight w:val="none"/>
        </w:rPr>
        <w:t xml:space="preserve">接到评委会澄清要求的投标人如未按规定作出澄清，其风险由投标人自行承担。</w:t>
      </w:r>
      <w:r>
        <w:rPr>
          <w:rFonts w:ascii="宋体" w:hAnsi="宋体" w:cs="宋体"/>
          <w:color w:val="000000"/>
          <w:sz w:val="24"/>
          <w:szCs w:val="24"/>
          <w:highlight w:val="none"/>
        </w:rPr>
      </w:r>
      <w:r/>
    </w:p>
    <w:p>
      <w:pPr>
        <w:pStyle w:val="910"/>
        <w:ind w:firstLine="0"/>
        <w:rPr>
          <w:rFonts w:hint="eastAsia" w:cs="宋体"/>
          <w:b/>
          <w:color w:val="000000"/>
          <w:sz w:val="24"/>
          <w:szCs w:val="24"/>
          <w:highlight w:val="none"/>
        </w:rPr>
      </w:pPr>
      <w:r>
        <w:rPr>
          <w:rFonts w:hint="eastAsia" w:cs="宋体"/>
          <w:b/>
          <w:color w:val="000000"/>
          <w:sz w:val="24"/>
          <w:szCs w:val="24"/>
          <w:highlight w:val="none"/>
        </w:rPr>
      </w:r>
      <w:r/>
    </w:p>
    <w:p>
      <w:pPr>
        <w:pStyle w:val="885"/>
        <w:jc w:val="center"/>
        <w:rPr>
          <w:color w:val="000000"/>
          <w:sz w:val="28"/>
          <w:szCs w:val="28"/>
          <w:highlight w:val="none"/>
        </w:rPr>
      </w:pPr>
      <w:r/>
      <w:bookmarkStart w:id="6" w:name="_Toc30697"/>
      <w:r>
        <w:rPr>
          <w:rFonts w:hint="eastAsia"/>
          <w:color w:val="000000"/>
          <w:sz w:val="28"/>
          <w:szCs w:val="28"/>
          <w:highlight w:val="none"/>
        </w:rPr>
        <w:t xml:space="preserve">第三章</w:t>
      </w:r>
      <w:r>
        <w:rPr>
          <w:color w:val="000000"/>
          <w:sz w:val="28"/>
          <w:szCs w:val="28"/>
          <w:highlight w:val="none"/>
        </w:rPr>
        <w:t xml:space="preserve">  </w:t>
      </w:r>
      <w:r>
        <w:rPr>
          <w:rFonts w:hint="eastAsia"/>
          <w:color w:val="000000"/>
          <w:sz w:val="28"/>
          <w:szCs w:val="28"/>
          <w:highlight w:val="none"/>
        </w:rPr>
        <w:t xml:space="preserve">政府采购合同（参考）</w:t>
      </w:r>
      <w:bookmarkEnd w:id="6"/>
      <w:r>
        <w:rPr>
          <w:color w:val="000000"/>
          <w:sz w:val="28"/>
          <w:szCs w:val="28"/>
          <w:highlight w:val="none"/>
        </w:rPr>
      </w:r>
      <w:r/>
    </w:p>
    <w:p>
      <w:pPr>
        <w:pStyle w:val="884"/>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884"/>
        <w:spacing w:line="360" w:lineRule="auto"/>
        <w:widowControl/>
        <w:rPr>
          <w:rFonts w:hint="eastAsia"/>
          <w:color w:val="000000"/>
          <w:szCs w:val="24"/>
          <w:highlight w:val="none"/>
        </w:rPr>
      </w:pPr>
      <w:r>
        <w:rPr>
          <w:rFonts w:hint="eastAsia" w:ascii="宋体" w:hAnsi="宋体" w:cs="宋体"/>
          <w:color w:val="000000"/>
          <w:sz w:val="24"/>
          <w:szCs w:val="24"/>
          <w:highlight w:val="none"/>
        </w:rPr>
        <w:t xml:space="preserve">甲方：</w:t>
      </w:r>
      <w:r>
        <w:rPr>
          <w:rFonts w:hint="eastAsia" w:ascii="宋体" w:hAnsi="宋体" w:cs="宋体"/>
          <w:color w:val="000000"/>
          <w:sz w:val="24"/>
          <w:szCs w:val="24"/>
          <w:highlight w:val="none"/>
          <w:u w:val="single"/>
        </w:rPr>
        <w:t xml:space="preserve">泰州市环境卫生管理处</w:t>
      </w:r>
      <w:r>
        <w:rPr>
          <w:rFonts w:hint="eastAsia" w:ascii="宋体" w:hAnsi="宋体" w:cs="宋体"/>
          <w:color w:val="000000"/>
          <w:sz w:val="24"/>
          <w:szCs w:val="24"/>
          <w:highlight w:val="none"/>
        </w:rPr>
        <w:t xml:space="preserve">   </w:t>
      </w:r>
      <w:r>
        <w:rPr>
          <w:rFonts w:hint="eastAsia"/>
          <w:color w:val="000000"/>
          <w:szCs w:val="24"/>
          <w:highlight w:val="none"/>
        </w:rPr>
      </w:r>
      <w:r/>
    </w:p>
    <w:p>
      <w:pPr>
        <w:pStyle w:val="884"/>
        <w:spacing w:line="360" w:lineRule="auto"/>
        <w:widowControl/>
        <w:rPr>
          <w:color w:val="000000"/>
          <w:szCs w:val="24"/>
          <w:highlight w:val="none"/>
        </w:rPr>
      </w:pPr>
      <w:r>
        <w:rPr>
          <w:rFonts w:hint="eastAsia" w:ascii="宋体" w:hAnsi="宋体" w:cs="宋体"/>
          <w:color w:val="000000"/>
          <w:sz w:val="24"/>
          <w:szCs w:val="24"/>
          <w:highlight w:val="none"/>
        </w:rPr>
        <w:t xml:space="preserve">乙方：</w:t>
      </w:r>
      <w:r>
        <w:rPr>
          <w:color w:val="000000"/>
          <w:szCs w:val="24"/>
          <w:highlight w:val="none"/>
        </w:rPr>
      </w:r>
      <w:r/>
    </w:p>
    <w:p>
      <w:pPr>
        <w:pStyle w:val="88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甲乙双方根据《中华人民共和国民法典》和政府采购项目编号***的***项目公开招标采购结果及采购文件的要求，经协商一致，达成如下采购服务合同。</w:t>
      </w:r>
      <w:r>
        <w:rPr>
          <w:rFonts w:ascii="宋体" w:hAnsi="宋体"/>
          <w:color w:val="000000"/>
          <w:sz w:val="24"/>
          <w:highlight w:val="none"/>
        </w:rPr>
      </w:r>
      <w:r/>
    </w:p>
    <w:p>
      <w:pPr>
        <w:pStyle w:val="884"/>
        <w:ind w:firstLine="482"/>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一、采购标的：</w:t>
      </w:r>
      <w:r>
        <w:rPr>
          <w:rFonts w:ascii="宋体" w:hAnsi="宋体"/>
          <w:b/>
          <w:bCs/>
          <w:color w:val="000000"/>
          <w:sz w:val="24"/>
          <w:highlight w:val="none"/>
        </w:rPr>
      </w:r>
      <w:r/>
    </w:p>
    <w:p>
      <w:pPr>
        <w:pStyle w:val="88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1.服务名称：</w:t>
      </w:r>
      <w:r>
        <w:rPr>
          <w:rFonts w:ascii="宋体" w:hAnsi="宋体"/>
          <w:color w:val="000000"/>
          <w:sz w:val="24"/>
          <w:highlight w:val="none"/>
        </w:rPr>
      </w:r>
      <w:r/>
    </w:p>
    <w:p>
      <w:pPr>
        <w:pStyle w:val="88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2.服务内容：按照采购文件的具体要求，具体详见附件清单</w:t>
      </w:r>
      <w:r>
        <w:rPr>
          <w:rFonts w:ascii="宋体" w:hAnsi="宋体"/>
          <w:color w:val="000000"/>
          <w:sz w:val="24"/>
          <w:highlight w:val="none"/>
        </w:rPr>
      </w:r>
      <w:r/>
    </w:p>
    <w:p>
      <w:pPr>
        <w:pStyle w:val="88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3.服务期限：X年X月X日至X年X月X日</w:t>
      </w:r>
      <w:r>
        <w:rPr>
          <w:rFonts w:ascii="宋体" w:hAnsi="宋体"/>
          <w:color w:val="000000"/>
          <w:sz w:val="24"/>
          <w:highlight w:val="none"/>
        </w:rPr>
      </w:r>
      <w:r/>
    </w:p>
    <w:p>
      <w:pPr>
        <w:pStyle w:val="884"/>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二、开立环卫工人工资专用账户要求</w:t>
      </w:r>
      <w:r>
        <w:rPr>
          <w:rFonts w:hint="eastAsia" w:ascii="宋体" w:hAnsi="宋体" w:cs="宋体"/>
          <w:b/>
          <w:bCs/>
          <w:color w:val="000000"/>
          <w:sz w:val="24"/>
          <w:highlight w:val="none"/>
        </w:rPr>
      </w:r>
      <w:r/>
    </w:p>
    <w:p>
      <w:pPr>
        <w:pStyle w:val="884"/>
        <w:contextualSpacing/>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根据相关文件规定，要求中标单位开立专用账户。签订环卫项目服务合同时约定环卫工人人工费用总额、拨付比例和日期，在合同签订之日起30日内，组织环卫企业（中标单位）开立专用账户、签订资金管理三方（采购单位、环卫企业、银行）协议。专用账户名称为环卫企业名称加环卫项目名称后加“环卫工人工资专用账户”，专用账户开立后 30 日内，需报环境卫生主管部门备案。</w:t>
      </w:r>
      <w:r>
        <w:rPr>
          <w:rFonts w:hint="eastAsia" w:ascii="宋体" w:hAnsi="宋体" w:cs="宋体"/>
          <w:color w:val="000000"/>
          <w:sz w:val="24"/>
          <w:highlight w:val="none"/>
        </w:rPr>
      </w:r>
      <w:r/>
    </w:p>
    <w:p>
      <w:pPr>
        <w:pStyle w:val="884"/>
        <w:contextualSpacing/>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人工费用拨付后，采购单位及时审核实名制管理台账、工资支付表、考勤表等资料，银行根据采购单位审核后的工资支付表等，及时将工资通过专用账户直接支付</w:t>
      </w:r>
      <w:r>
        <w:rPr>
          <w:rFonts w:hint="eastAsia" w:ascii="宋体" w:hAnsi="宋体" w:cs="宋体"/>
          <w:color w:val="000000"/>
          <w:sz w:val="24"/>
          <w:highlight w:val="none"/>
        </w:rPr>
        <w:t xml:space="preserve">到环卫工人本人的银行账户。工资发放后，环卫企业（中标单位）应向采购单位提供代发工资凭证。</w:t>
      </w:r>
      <w:r>
        <w:rPr>
          <w:rFonts w:hint="eastAsia" w:ascii="宋体" w:hAnsi="宋体" w:cs="宋体"/>
          <w:color w:val="000000"/>
          <w:sz w:val="24"/>
          <w:highlight w:val="none"/>
        </w:rPr>
      </w:r>
      <w:r/>
    </w:p>
    <w:p>
      <w:pPr>
        <w:pStyle w:val="884"/>
        <w:contextualSpacing/>
        <w:ind w:firstLine="480"/>
        <w:spacing w:line="360" w:lineRule="auto"/>
        <w:rPr>
          <w:rFonts w:hint="eastAsia" w:ascii="宋体" w:hAnsi="宋体"/>
          <w:b/>
          <w:bCs/>
          <w:color w:val="000000"/>
          <w:sz w:val="24"/>
          <w:highlight w:val="none"/>
        </w:rPr>
      </w:pPr>
      <w:r>
        <w:rPr>
          <w:rFonts w:hint="eastAsia" w:ascii="宋体" w:hAnsi="宋体" w:cs="宋体"/>
          <w:color w:val="000000"/>
          <w:sz w:val="24"/>
          <w:highlight w:val="none"/>
        </w:rPr>
        <w:t xml:space="preserve">3.项目合同服务期结束或终止，需要撤销专用账户的，环卫企业（中标单位）应及时向采购单位报告，并将环卫项目无拖欠环卫工人工资情况公示30日后，出具无拖欠环卫工人工资承诺书。银行依据采购单位提供的同意撤销通知书，按程序办理专用账户撤销手续。</w:t>
      </w:r>
      <w:r>
        <w:rPr>
          <w:rFonts w:hint="eastAsia" w:ascii="宋体" w:hAnsi="宋体"/>
          <w:b/>
          <w:bCs/>
          <w:color w:val="000000"/>
          <w:sz w:val="24"/>
          <w:highlight w:val="none"/>
        </w:rPr>
      </w:r>
      <w:r/>
    </w:p>
    <w:p>
      <w:pPr>
        <w:pStyle w:val="884"/>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三、合同价款：</w:t>
      </w:r>
      <w:r>
        <w:rPr>
          <w:rFonts w:hint="eastAsia" w:ascii="宋体" w:hAnsi="宋体"/>
          <w:b/>
          <w:bCs/>
          <w:color w:val="000000"/>
          <w:sz w:val="24"/>
          <w:highlight w:val="none"/>
        </w:rPr>
      </w:r>
      <w:r/>
    </w:p>
    <w:p>
      <w:pPr>
        <w:pStyle w:val="884"/>
        <w:ind w:firstLine="480"/>
        <w:spacing w:line="360" w:lineRule="auto"/>
        <w:widowControl/>
        <w:rPr>
          <w:rFonts w:hint="eastAsia" w:ascii="宋体" w:hAnsi="宋体" w:cs="宋体"/>
          <w:b/>
          <w:bCs/>
          <w:color w:val="000000"/>
          <w:sz w:val="24"/>
          <w:highlight w:val="none"/>
        </w:rPr>
      </w:pPr>
      <w:r>
        <w:rPr>
          <w:rFonts w:hint="eastAsia" w:ascii="宋体" w:hAnsi="宋体" w:cs="宋体"/>
          <w:color w:val="000000"/>
          <w:sz w:val="24"/>
          <w:highlight w:val="none"/>
        </w:rPr>
        <w:t xml:space="preserve">年服务人民币（大写）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其中工作人员工资人民币（大写）</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元（¥</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三年服务费总额合计：人民币（大写）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884"/>
        <w:ind w:firstLine="482"/>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本合同价款包含所有乙方提供合同约定的服务内容的报酬及乙方提供该项服务所支出的必要费用，甲方在上述合同价款之外不再向乙方支付其他任何费用。</w:t>
      </w:r>
      <w:r>
        <w:rPr>
          <w:rFonts w:ascii="宋体" w:hAnsi="宋体"/>
          <w:b/>
          <w:bCs/>
          <w:color w:val="000000"/>
          <w:sz w:val="24"/>
          <w:highlight w:val="none"/>
        </w:rPr>
      </w:r>
      <w:r/>
    </w:p>
    <w:p>
      <w:pPr>
        <w:pStyle w:val="884"/>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人员工资（年工资总额/12）按月拨付至环卫工人工资专用账户，剩余服务费用拨付至乙方指定账户。如遇江苏省一类城市最低工资保障线标准调整，工作人员工资实时调整（年服务费总额不变）。</w:t>
      </w:r>
      <w:r>
        <w:rPr>
          <w:rFonts w:hint="eastAsia" w:ascii="宋体" w:hAnsi="宋体"/>
          <w:b/>
          <w:bCs/>
          <w:color w:val="000000"/>
          <w:sz w:val="24"/>
          <w:highlight w:val="none"/>
        </w:rPr>
      </w:r>
      <w:r/>
    </w:p>
    <w:p>
      <w:pPr>
        <w:pStyle w:val="884"/>
        <w:ind w:firstLine="482"/>
        <w:spacing w:line="360" w:lineRule="auto"/>
        <w:widowControl/>
        <w:rPr>
          <w:rFonts w:ascii="宋体" w:hAnsi="宋体"/>
          <w:color w:val="000000"/>
          <w:sz w:val="24"/>
          <w:highlight w:val="none"/>
        </w:rPr>
      </w:pPr>
      <w:r>
        <w:rPr>
          <w:rFonts w:hint="eastAsia" w:ascii="宋体" w:hAnsi="宋体"/>
          <w:b/>
          <w:bCs/>
          <w:color w:val="000000"/>
          <w:sz w:val="24"/>
          <w:highlight w:val="none"/>
        </w:rPr>
        <w:t xml:space="preserve">四、合同履行：</w:t>
      </w:r>
      <w:r>
        <w:rPr>
          <w:rFonts w:hint="eastAsia" w:ascii="宋体" w:hAnsi="宋体"/>
          <w:color w:val="000000"/>
          <w:sz w:val="24"/>
          <w:highlight w:val="none"/>
        </w:rPr>
        <w:t xml:space="preserve">本合同中约定履行的内容，根据招标文件的具体要求执行，甲乙双方通过补充条款进行特殊约定的从其约定。</w:t>
      </w:r>
      <w:r>
        <w:rPr>
          <w:rFonts w:ascii="宋体" w:hAnsi="宋体"/>
          <w:color w:val="000000"/>
          <w:sz w:val="24"/>
          <w:highlight w:val="none"/>
        </w:rPr>
      </w:r>
      <w:r/>
    </w:p>
    <w:p>
      <w:pPr>
        <w:pStyle w:val="884"/>
        <w:ind w:firstLine="482"/>
        <w:spacing w:line="360" w:lineRule="auto"/>
        <w:widowControl/>
        <w:rPr>
          <w:rFonts w:ascii="宋体" w:hAnsi="宋体"/>
          <w:color w:val="000000"/>
          <w:sz w:val="24"/>
          <w:highlight w:val="none"/>
        </w:rPr>
      </w:pPr>
      <w:r>
        <w:rPr>
          <w:rFonts w:hint="eastAsia" w:ascii="宋体" w:hAnsi="宋体"/>
          <w:b/>
          <w:bCs/>
          <w:color w:val="000000"/>
          <w:sz w:val="24"/>
          <w:highlight w:val="none"/>
        </w:rPr>
        <w:t xml:space="preserve">五、验收：</w:t>
      </w:r>
      <w:r>
        <w:rPr>
          <w:rFonts w:hint="eastAsia" w:ascii="宋体" w:hAnsi="宋体"/>
          <w:color w:val="000000"/>
          <w:sz w:val="24"/>
          <w:highlight w:val="none"/>
        </w:rPr>
        <w:t xml:space="preserve">在合同履行期间，甲方有权依照招标文件相关要求对乙方提供的相关服务或交付的工作成果进行阶段性验收或总体验收。</w:t>
      </w:r>
      <w:r>
        <w:rPr>
          <w:rFonts w:ascii="宋体" w:hAnsi="宋体"/>
          <w:color w:val="000000"/>
          <w:sz w:val="24"/>
          <w:highlight w:val="none"/>
        </w:rPr>
      </w:r>
      <w:r/>
    </w:p>
    <w:p>
      <w:pPr>
        <w:pStyle w:val="88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违约责任。</w:t>
      </w:r>
      <w:r>
        <w:rPr>
          <w:rFonts w:ascii="宋体" w:hAnsi="宋体"/>
          <w:color w:val="000000"/>
          <w:sz w:val="24"/>
          <w:highlight w:val="none"/>
        </w:rPr>
      </w:r>
      <w:r/>
    </w:p>
    <w:p>
      <w:pPr>
        <w:pStyle w:val="884"/>
        <w:ind w:firstLine="482"/>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六、合同责任：</w:t>
      </w:r>
      <w:r>
        <w:rPr>
          <w:rFonts w:ascii="宋体" w:hAnsi="宋体"/>
          <w:b/>
          <w:bCs/>
          <w:color w:val="000000"/>
          <w:sz w:val="24"/>
          <w:highlight w:val="none"/>
        </w:rPr>
      </w:r>
      <w:r/>
    </w:p>
    <w:p>
      <w:pPr>
        <w:pStyle w:val="88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1.甲方应当为乙方履行合同提供必要的支持。</w:t>
      </w:r>
      <w:r>
        <w:rPr>
          <w:rFonts w:ascii="宋体" w:hAnsi="宋体"/>
          <w:color w:val="000000"/>
          <w:sz w:val="24"/>
          <w:highlight w:val="none"/>
        </w:rPr>
      </w:r>
      <w:r/>
    </w:p>
    <w:p>
      <w:pPr>
        <w:pStyle w:val="88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2.乙方保证其对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Pr>
          <w:rFonts w:ascii="宋体" w:hAnsi="宋体"/>
          <w:color w:val="000000"/>
          <w:sz w:val="24"/>
          <w:highlight w:val="none"/>
        </w:rPr>
      </w:r>
      <w:r/>
    </w:p>
    <w:p>
      <w:pPr>
        <w:pStyle w:val="88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3.乙方在履行合同中产生的一切非因甲方过错导致的损失，均由乙方自行承担责任。</w:t>
      </w:r>
      <w:r>
        <w:rPr>
          <w:rFonts w:ascii="宋体" w:hAnsi="宋体"/>
          <w:color w:val="000000"/>
          <w:sz w:val="24"/>
          <w:highlight w:val="none"/>
        </w:rPr>
      </w:r>
      <w:r/>
    </w:p>
    <w:p>
      <w:pPr>
        <w:pStyle w:val="88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4.甲乙双方均应指定专人作为本合同履行期间双方之间的联络人，所有一方向相对方正式知会事项的通知到达相对方指定联络人即视为到达对方。</w:t>
      </w:r>
      <w:r>
        <w:rPr>
          <w:rFonts w:ascii="宋体" w:hAnsi="宋体"/>
          <w:color w:val="000000"/>
          <w:sz w:val="24"/>
          <w:highlight w:val="none"/>
        </w:rPr>
      </w:r>
      <w:r/>
    </w:p>
    <w:p>
      <w:pPr>
        <w:pStyle w:val="88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甲方指定联络人：</w:t>
      </w:r>
      <w:r>
        <w:rPr>
          <w:rFonts w:ascii="宋体" w:hAnsi="宋体"/>
          <w:color w:val="000000"/>
          <w:sz w:val="24"/>
          <w:highlight w:val="none"/>
        </w:rPr>
      </w:r>
      <w:r/>
    </w:p>
    <w:p>
      <w:pPr>
        <w:pStyle w:val="88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联系方式：</w:t>
      </w:r>
      <w:r>
        <w:rPr>
          <w:rFonts w:ascii="宋体" w:hAnsi="宋体"/>
          <w:color w:val="000000"/>
          <w:sz w:val="24"/>
          <w:highlight w:val="none"/>
        </w:rPr>
      </w:r>
      <w:r/>
    </w:p>
    <w:p>
      <w:pPr>
        <w:pStyle w:val="88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乙方指定联络人：</w:t>
      </w:r>
      <w:r>
        <w:rPr>
          <w:rFonts w:ascii="宋体" w:hAnsi="宋体"/>
          <w:color w:val="000000"/>
          <w:sz w:val="24"/>
          <w:highlight w:val="none"/>
        </w:rPr>
      </w:r>
      <w:r/>
    </w:p>
    <w:p>
      <w:pPr>
        <w:pStyle w:val="88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联系方式：</w:t>
      </w:r>
      <w:r>
        <w:rPr>
          <w:rFonts w:ascii="宋体" w:hAnsi="宋体"/>
          <w:color w:val="000000"/>
          <w:sz w:val="24"/>
          <w:highlight w:val="none"/>
        </w:rPr>
      </w:r>
      <w:r/>
    </w:p>
    <w:p>
      <w:pPr>
        <w:pStyle w:val="884"/>
        <w:numPr>
          <w:ilvl w:val="0"/>
          <w:numId w:val="3"/>
        </w:numPr>
        <w:ind w:firstLine="47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安全生产责任</w:t>
      </w:r>
      <w:r>
        <w:rPr>
          <w:rFonts w:hint="eastAsia" w:ascii="宋体" w:hAnsi="宋体"/>
          <w:b/>
          <w:bCs/>
          <w:color w:val="000000"/>
          <w:sz w:val="24"/>
          <w:highlight w:val="none"/>
        </w:rPr>
      </w:r>
      <w:r/>
    </w:p>
    <w:p>
      <w:pPr>
        <w:pStyle w:val="884"/>
        <w:numPr>
          <w:ilvl w:val="0"/>
          <w:numId w:val="5"/>
        </w:numPr>
        <w:ind w:firstLine="480"/>
        <w:spacing w:line="360" w:lineRule="auto"/>
        <w:widowControl/>
        <w:tabs>
          <w:tab w:val="left" w:pos="312" w:leader="none"/>
        </w:tabs>
        <w:rPr>
          <w:rFonts w:ascii="宋体" w:hAnsi="宋体"/>
          <w:color w:val="000000"/>
          <w:sz w:val="24"/>
          <w:highlight w:val="none"/>
        </w:rPr>
      </w:pPr>
      <w:r>
        <w:rPr>
          <w:rFonts w:ascii="宋体" w:hAnsi="宋体"/>
          <w:color w:val="000000"/>
          <w:sz w:val="24"/>
          <w:highlight w:val="none"/>
        </w:rPr>
        <w:t xml:space="preserve">责任主体:乙方是本项目环卫作业唯一安全生产责任主体，对合同范围内全部作业活动负全部安全责任，包括但不限于人员安全、</w:t>
      </w:r>
      <w:r>
        <w:rPr>
          <w:rFonts w:hint="eastAsia" w:ascii="宋体" w:hAnsi="宋体"/>
          <w:color w:val="000000"/>
          <w:sz w:val="24"/>
          <w:highlight w:val="none"/>
        </w:rPr>
        <w:t xml:space="preserve">车辆船舶</w:t>
      </w:r>
      <w:r>
        <w:rPr>
          <w:rFonts w:ascii="宋体" w:hAnsi="宋体"/>
          <w:color w:val="000000"/>
          <w:sz w:val="24"/>
          <w:highlight w:val="none"/>
        </w:rPr>
        <w:t xml:space="preserve">设备安全、作业现场安全、第三方人身/财产安全、公共安全等。</w:t>
      </w:r>
      <w:r>
        <w:rPr>
          <w:rFonts w:ascii="宋体" w:hAnsi="宋体"/>
          <w:color w:val="000000"/>
          <w:sz w:val="24"/>
          <w:highlight w:val="none"/>
        </w:rPr>
      </w:r>
      <w:r/>
    </w:p>
    <w:p>
      <w:pPr>
        <w:pStyle w:val="884"/>
        <w:numPr>
          <w:ilvl w:val="0"/>
          <w:numId w:val="5"/>
        </w:numPr>
        <w:ind w:firstLine="480"/>
        <w:spacing w:line="360" w:lineRule="auto"/>
        <w:widowControl/>
        <w:tabs>
          <w:tab w:val="left" w:pos="312" w:leader="none"/>
        </w:tabs>
        <w:rPr>
          <w:rFonts w:ascii="宋体" w:hAnsi="宋体"/>
          <w:color w:val="000000"/>
          <w:sz w:val="24"/>
          <w:highlight w:val="none"/>
        </w:rPr>
      </w:pPr>
      <w:r>
        <w:rPr>
          <w:rFonts w:ascii="宋体" w:hAnsi="宋体"/>
          <w:color w:val="000000"/>
          <w:sz w:val="24"/>
          <w:highlight w:val="none"/>
        </w:rPr>
        <w:t xml:space="preserve">甲方仅为</w:t>
      </w:r>
      <w:r>
        <w:rPr>
          <w:rFonts w:hint="eastAsia" w:ascii="宋体" w:hAnsi="宋体"/>
          <w:color w:val="000000"/>
          <w:sz w:val="24"/>
          <w:highlight w:val="none"/>
        </w:rPr>
        <w:t xml:space="preserve">本项目</w:t>
      </w:r>
      <w:r>
        <w:rPr>
          <w:rFonts w:ascii="宋体" w:hAnsi="宋体"/>
          <w:color w:val="000000"/>
          <w:sz w:val="24"/>
          <w:highlight w:val="none"/>
        </w:rPr>
        <w:t xml:space="preserve">服务采购方，不承担任何安全责任，不与乙方作业人员建立劳动关系/劳务关系;因乙方作业引发的一切安全事故、伤亡、财产损失、侵权赔偿、行政处罚、仲裁/诉讼等，均与甲方无关，甲方不承担任何法律与经济责任。</w:t>
      </w:r>
      <w:r>
        <w:rPr>
          <w:rFonts w:ascii="宋体" w:hAnsi="宋体"/>
          <w:color w:val="000000"/>
          <w:sz w:val="24"/>
          <w:highlight w:val="none"/>
        </w:rPr>
      </w:r>
      <w:r/>
    </w:p>
    <w:p>
      <w:pPr>
        <w:pStyle w:val="884"/>
        <w:numPr>
          <w:ilvl w:val="0"/>
          <w:numId w:val="5"/>
        </w:numPr>
        <w:ind w:firstLine="480"/>
        <w:spacing w:line="360" w:lineRule="auto"/>
        <w:widowControl/>
        <w:tabs>
          <w:tab w:val="left" w:pos="312" w:leader="none"/>
        </w:tabs>
        <w:rPr>
          <w:rFonts w:ascii="宋体" w:hAnsi="宋体"/>
          <w:color w:val="000000"/>
          <w:sz w:val="24"/>
          <w:highlight w:val="none"/>
        </w:rPr>
      </w:pPr>
      <w:r>
        <w:rPr>
          <w:rFonts w:hint="eastAsia" w:ascii="宋体" w:hAnsi="宋体"/>
          <w:color w:val="000000"/>
          <w:sz w:val="24"/>
          <w:highlight w:val="none"/>
        </w:rPr>
        <w:t xml:space="preserve">乙方全责范围：</w:t>
      </w:r>
      <w:r>
        <w:rPr>
          <w:rFonts w:ascii="宋体" w:hAnsi="宋体"/>
          <w:color w:val="000000"/>
          <w:sz w:val="24"/>
          <w:highlight w:val="none"/>
        </w:rPr>
      </w:r>
      <w:r/>
    </w:p>
    <w:p>
      <w:pPr>
        <w:pStyle w:val="884"/>
        <w:numPr>
          <w:ilvl w:val="0"/>
          <w:numId w:val="6"/>
        </w:numPr>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负责建立安全管理制度、操作规程、安全教育培训、日常安全检查与隐患整改。</w:t>
      </w:r>
      <w:r>
        <w:rPr>
          <w:rFonts w:hint="eastAsia" w:ascii="宋体" w:hAnsi="宋体"/>
          <w:color w:val="000000"/>
          <w:sz w:val="24"/>
          <w:highlight w:val="none"/>
        </w:rPr>
      </w:r>
      <w:r/>
    </w:p>
    <w:p>
      <w:pPr>
        <w:pStyle w:val="884"/>
        <w:numPr>
          <w:ilvl w:val="0"/>
          <w:numId w:val="6"/>
        </w:numPr>
        <w:ind w:firstLine="480"/>
        <w:spacing w:line="360" w:lineRule="auto"/>
        <w:widowControl/>
        <w:rPr>
          <w:rFonts w:ascii="宋体" w:hAnsi="宋体"/>
          <w:color w:val="000000"/>
          <w:sz w:val="24"/>
          <w:highlight w:val="none"/>
        </w:rPr>
      </w:pPr>
      <w:r>
        <w:rPr>
          <w:rFonts w:ascii="宋体" w:hAnsi="宋体"/>
          <w:color w:val="000000"/>
          <w:sz w:val="24"/>
          <w:highlight w:val="none"/>
        </w:rPr>
        <w:t xml:space="preserve">负责为所有作业人员购买足额工伤保险+商业意外险，为车辆设备购买交强险及足额商业险(含第三者责任险)</w:t>
      </w:r>
      <w:r>
        <w:rPr>
          <w:rFonts w:hint="eastAsia" w:ascii="宋体" w:hAnsi="宋体"/>
          <w:color w:val="000000"/>
          <w:sz w:val="24"/>
          <w:highlight w:val="none"/>
        </w:rPr>
        <w:t xml:space="preserve">。</w:t>
      </w:r>
      <w:r>
        <w:rPr>
          <w:rFonts w:ascii="宋体" w:hAnsi="宋体"/>
          <w:color w:val="000000"/>
          <w:sz w:val="24"/>
          <w:highlight w:val="none"/>
        </w:rPr>
      </w:r>
      <w:r/>
    </w:p>
    <w:p>
      <w:pPr>
        <w:pStyle w:val="884"/>
        <w:numPr>
          <w:ilvl w:val="0"/>
          <w:numId w:val="6"/>
        </w:numPr>
        <w:ind w:firstLine="480"/>
        <w:spacing w:line="360" w:lineRule="auto"/>
        <w:widowControl/>
        <w:rPr>
          <w:rFonts w:ascii="宋体" w:hAnsi="宋体"/>
          <w:color w:val="000000"/>
          <w:sz w:val="24"/>
          <w:highlight w:val="none"/>
        </w:rPr>
      </w:pPr>
      <w:r>
        <w:rPr>
          <w:rFonts w:ascii="宋体" w:hAnsi="宋体"/>
          <w:color w:val="000000"/>
          <w:sz w:val="24"/>
          <w:highlight w:val="none"/>
        </w:rPr>
        <w:t xml:space="preserve">作业中发生任何事故(含人员伤亡、车辆损毁、公共设施损坏、路人/第三方受伤等)，由乙方全权负责抢险、救治、赔偿、善后、法律处理，承担全部费用与法律后果。</w:t>
      </w:r>
      <w:r>
        <w:rPr>
          <w:rFonts w:ascii="宋体" w:hAnsi="宋体"/>
          <w:color w:val="000000"/>
          <w:sz w:val="24"/>
          <w:highlight w:val="none"/>
        </w:rPr>
      </w:r>
      <w:r/>
    </w:p>
    <w:p>
      <w:pPr>
        <w:pStyle w:val="884"/>
        <w:numPr>
          <w:ilvl w:val="0"/>
          <w:numId w:val="6"/>
        </w:numPr>
        <w:ind w:firstLine="480"/>
        <w:spacing w:line="360" w:lineRule="auto"/>
        <w:widowControl/>
        <w:rPr>
          <w:rFonts w:ascii="宋体" w:hAnsi="宋体"/>
          <w:color w:val="000000"/>
          <w:sz w:val="24"/>
          <w:highlight w:val="none"/>
        </w:rPr>
      </w:pPr>
      <w:r>
        <w:rPr>
          <w:rFonts w:ascii="宋体" w:hAnsi="宋体"/>
          <w:color w:val="000000"/>
          <w:sz w:val="24"/>
          <w:highlight w:val="none"/>
        </w:rPr>
        <w:t xml:space="preserve">若事故导致甲方被追责、索赔或产生损失(含赔偿金、罚款、诉讼费、律师费、保全费、差旅费等)，乙方须全额赔偿甲方，甲方有权从服务费/履约保证金中直接扣除，不足部分继续追偿。</w:t>
      </w:r>
      <w:r>
        <w:rPr>
          <w:rFonts w:ascii="宋体" w:hAnsi="宋体"/>
          <w:color w:val="000000"/>
          <w:sz w:val="24"/>
          <w:highlight w:val="none"/>
        </w:rPr>
      </w:r>
      <w:r/>
    </w:p>
    <w:p>
      <w:pPr>
        <w:pStyle w:val="884"/>
        <w:numPr>
          <w:ilvl w:val="0"/>
          <w:numId w:val="5"/>
        </w:numPr>
        <w:ind w:firstLine="480"/>
        <w:spacing w:line="360" w:lineRule="auto"/>
        <w:widowControl/>
        <w:tabs>
          <w:tab w:val="left" w:pos="312" w:leader="none"/>
        </w:tabs>
        <w:rPr>
          <w:rFonts w:ascii="宋体" w:hAnsi="宋体"/>
          <w:color w:val="000000"/>
          <w:sz w:val="24"/>
          <w:highlight w:val="none"/>
        </w:rPr>
      </w:pPr>
      <w:r>
        <w:rPr>
          <w:rFonts w:ascii="宋体" w:hAnsi="宋体"/>
          <w:color w:val="000000"/>
          <w:sz w:val="24"/>
          <w:highlight w:val="none"/>
        </w:rPr>
        <w:t xml:space="preserve">乙方须在合同签订前提交安全生产承诺书</w:t>
      </w:r>
      <w:r>
        <w:rPr>
          <w:rFonts w:hint="eastAsia" w:ascii="宋体" w:hAnsi="宋体"/>
          <w:color w:val="000000"/>
          <w:sz w:val="24"/>
          <w:highlight w:val="none"/>
        </w:rPr>
        <w:t xml:space="preserve">。</w:t>
      </w:r>
      <w:r>
        <w:rPr>
          <w:rFonts w:ascii="宋体" w:hAnsi="宋体"/>
          <w:color w:val="000000"/>
          <w:sz w:val="24"/>
          <w:highlight w:val="none"/>
        </w:rPr>
      </w:r>
      <w:r/>
    </w:p>
    <w:p>
      <w:pPr>
        <w:pStyle w:val="884"/>
        <w:numPr>
          <w:ilvl w:val="0"/>
          <w:numId w:val="5"/>
        </w:numPr>
        <w:ind w:firstLine="480"/>
        <w:spacing w:line="360" w:lineRule="auto"/>
        <w:widowControl/>
        <w:tabs>
          <w:tab w:val="left" w:pos="312" w:leader="none"/>
        </w:tabs>
        <w:rPr>
          <w:rFonts w:ascii="宋体" w:hAnsi="宋体"/>
          <w:color w:val="000000"/>
          <w:sz w:val="24"/>
          <w:highlight w:val="none"/>
        </w:rPr>
      </w:pPr>
      <w:r>
        <w:rPr>
          <w:rFonts w:ascii="宋体" w:hAnsi="宋体"/>
          <w:color w:val="000000"/>
          <w:sz w:val="24"/>
          <w:highlight w:val="none"/>
        </w:rPr>
        <w:t xml:space="preserve">义务延续:本条款在合同终止/解除后，对合同期内发生的安全事故继续有效，直至全部责任履行完毕</w:t>
      </w:r>
      <w:r>
        <w:rPr>
          <w:rFonts w:hint="eastAsia" w:ascii="宋体" w:hAnsi="宋体"/>
          <w:color w:val="000000"/>
          <w:sz w:val="24"/>
          <w:highlight w:val="none"/>
        </w:rPr>
        <w:t xml:space="preserve">。</w:t>
      </w:r>
      <w:r>
        <w:rPr>
          <w:rFonts w:ascii="宋体" w:hAnsi="宋体"/>
          <w:color w:val="000000"/>
          <w:sz w:val="24"/>
          <w:highlight w:val="none"/>
        </w:rPr>
      </w:r>
      <w:r/>
    </w:p>
    <w:p>
      <w:pPr>
        <w:pStyle w:val="884"/>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八、履约保证金：中标总价10%，计</w:t>
      </w:r>
      <w:r>
        <w:rPr>
          <w:rFonts w:hint="eastAsia" w:ascii="宋体" w:hAnsi="宋体"/>
          <w:color w:val="000000"/>
          <w:sz w:val="24"/>
          <w:highlight w:val="none"/>
        </w:rPr>
        <w:t xml:space="preserve">人民币</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元；履约保证金缴纳方式：</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；项目服务期满后无息退还。</w:t>
      </w:r>
      <w:r>
        <w:rPr>
          <w:rFonts w:hint="eastAsia" w:ascii="宋体" w:hAnsi="宋体"/>
          <w:b/>
          <w:bCs/>
          <w:color w:val="000000"/>
          <w:sz w:val="24"/>
          <w:highlight w:val="none"/>
        </w:rPr>
      </w:r>
      <w:r/>
    </w:p>
    <w:p>
      <w:pPr>
        <w:pStyle w:val="884"/>
        <w:ind w:firstLine="482"/>
        <w:spacing w:line="360" w:lineRule="auto"/>
        <w:widowControl/>
        <w:rPr>
          <w:rFonts w:hint="eastAsia" w:ascii="宋体" w:hAnsi="宋体"/>
          <w:color w:val="000000"/>
          <w:sz w:val="24"/>
          <w:szCs w:val="24"/>
          <w:highlight w:val="none"/>
        </w:rPr>
      </w:pPr>
      <w:r>
        <w:rPr>
          <w:rFonts w:hint="eastAsia" w:ascii="宋体" w:hAnsi="宋体"/>
          <w:b/>
          <w:bCs/>
          <w:color w:val="000000"/>
          <w:sz w:val="24"/>
          <w:highlight w:val="none"/>
        </w:rPr>
        <w:t xml:space="preserve">九、付款方式：</w:t>
      </w:r>
      <w:r>
        <w:rPr>
          <w:rFonts w:hint="eastAsia" w:ascii="宋体" w:hAnsi="宋体"/>
          <w:color w:val="000000"/>
          <w:sz w:val="24"/>
          <w:szCs w:val="24"/>
          <w:highlight w:val="none"/>
        </w:rPr>
      </w:r>
      <w:r/>
    </w:p>
    <w:p>
      <w:pPr>
        <w:pStyle w:val="884"/>
        <w:ind w:firstLine="480"/>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根据每月综合考核结果，中标人于次月20日前向招标人提供正式发票，经招标人审核后支付费用。</w:t>
      </w:r>
      <w:r>
        <w:rPr>
          <w:rFonts w:hint="eastAsia" w:ascii="宋体" w:hAnsi="宋体"/>
          <w:color w:val="000000"/>
          <w:sz w:val="24"/>
          <w:szCs w:val="24"/>
          <w:highlight w:val="none"/>
        </w:rPr>
      </w:r>
      <w:r/>
    </w:p>
    <w:p>
      <w:pPr>
        <w:pStyle w:val="884"/>
        <w:ind w:firstLine="482"/>
        <w:spacing w:line="360" w:lineRule="auto"/>
        <w:widowControl/>
        <w:rPr>
          <w:rFonts w:hint="eastAsia" w:ascii="宋体" w:hAnsi="宋体"/>
          <w:color w:val="000000"/>
          <w:sz w:val="24"/>
          <w:highlight w:val="none"/>
        </w:rPr>
      </w:pPr>
      <w:r>
        <w:rPr>
          <w:rFonts w:hint="eastAsia" w:ascii="宋体" w:hAnsi="宋体"/>
          <w:b/>
          <w:bCs/>
          <w:color w:val="000000"/>
          <w:sz w:val="24"/>
          <w:highlight w:val="none"/>
        </w:rPr>
        <w:t xml:space="preserve">十、保密条款：</w:t>
      </w:r>
      <w:r>
        <w:rPr>
          <w:rFonts w:hint="eastAsia" w:ascii="宋体" w:hAnsi="宋体"/>
          <w:color w:val="000000"/>
          <w:sz w:val="24"/>
          <w:highlight w:val="none"/>
        </w:rPr>
        <w:t xml:space="preserve">乙方不得将在履行本合同中知悉的甲方任何信息随意泄露、擅自使用。如违反本条款规定，乙方应当承担因此给甲方造成的所有直接和间接损失。</w:t>
      </w:r>
      <w:r>
        <w:rPr>
          <w:rFonts w:hint="eastAsia" w:ascii="宋体" w:hAnsi="宋体"/>
          <w:color w:val="000000"/>
          <w:sz w:val="24"/>
          <w:highlight w:val="none"/>
        </w:rPr>
      </w:r>
      <w:r/>
    </w:p>
    <w:p>
      <w:pPr>
        <w:pStyle w:val="911"/>
        <w:ind w:firstLine="482"/>
        <w:rPr>
          <w:rFonts w:ascii="宋体" w:hAnsi="宋体" w:eastAsia="宋体"/>
          <w:b/>
          <w:bCs/>
          <w:color w:val="000000"/>
          <w:highlight w:val="none"/>
        </w:rPr>
      </w:pPr>
      <w:r>
        <w:rPr>
          <w:rFonts w:ascii="宋体" w:hAnsi="宋体" w:eastAsia="宋体"/>
          <w:b/>
          <w:bCs/>
          <w:color w:val="000000"/>
          <w:highlight w:val="none"/>
        </w:rPr>
        <w:t xml:space="preserve">十一、情势变更：</w:t>
      </w:r>
      <w:r>
        <w:rPr>
          <w:rFonts w:ascii="宋体" w:hAnsi="宋体" w:eastAsia="宋体"/>
          <w:b/>
          <w:bCs/>
          <w:color w:val="000000"/>
          <w:highlight w:val="none"/>
        </w:rPr>
      </w:r>
      <w:r/>
    </w:p>
    <w:p>
      <w:pPr>
        <w:pStyle w:val="88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双方确认，鉴于政府财政政策可能存在的不确定性，若在本合同签订后，因政府的项目实施计划改变或财政政策变化等因素导致甲方未能及时从财政获得本合同项下款项，进而影响甲方按时支付本合同约定的相关费用，甲方应在知晓财政政策变化后的合理时间内，通知乙方，并详细说明情况。在此情况下，甲方不承担因延期支付而产生的违约责任。</w:t>
      </w:r>
      <w:r>
        <w:rPr>
          <w:rFonts w:hint="eastAsia" w:ascii="宋体" w:hAnsi="宋体"/>
          <w:color w:val="000000"/>
          <w:sz w:val="24"/>
          <w:highlight w:val="none"/>
        </w:rPr>
      </w:r>
      <w:r/>
    </w:p>
    <w:p>
      <w:pPr>
        <w:pStyle w:val="88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2.若因上述原因导致甲方无法支付合同款项，致使履行本合同确实存在障碍，任一方有权终止履行合同，且不承担由此产生的违约责任。乙方应理解并接受因财政原因导致的延迟支付或不能支付。</w:t>
      </w:r>
      <w:r>
        <w:rPr>
          <w:rFonts w:hint="eastAsia" w:ascii="宋体" w:hAnsi="宋体"/>
          <w:color w:val="000000"/>
          <w:sz w:val="24"/>
          <w:highlight w:val="none"/>
        </w:rPr>
      </w:r>
      <w:r/>
    </w:p>
    <w:p>
      <w:pPr>
        <w:pStyle w:val="88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3.本条款的适用不影响双方根据合同其他条款享有的权利和承担的义务。</w:t>
      </w:r>
      <w:r>
        <w:rPr>
          <w:rFonts w:hint="eastAsia" w:ascii="宋体" w:hAnsi="宋体"/>
          <w:color w:val="000000"/>
          <w:sz w:val="24"/>
          <w:highlight w:val="none"/>
        </w:rPr>
      </w:r>
      <w:r/>
    </w:p>
    <w:p>
      <w:pPr>
        <w:pStyle w:val="884"/>
        <w:ind w:firstLine="482"/>
        <w:spacing w:line="360" w:lineRule="auto"/>
        <w:widowControl/>
        <w:rPr>
          <w:rFonts w:ascii="宋体" w:hAnsi="宋体"/>
          <w:color w:val="000000"/>
          <w:sz w:val="24"/>
          <w:highlight w:val="none"/>
        </w:rPr>
      </w:pPr>
      <w:r>
        <w:rPr>
          <w:rFonts w:hint="eastAsia" w:ascii="宋体" w:hAnsi="宋体"/>
          <w:b/>
          <w:bCs/>
          <w:color w:val="000000"/>
          <w:sz w:val="24"/>
          <w:highlight w:val="none"/>
        </w:rPr>
        <w:t xml:space="preserve">十二、合同纠纷处理：</w:t>
      </w:r>
      <w:r>
        <w:rPr>
          <w:rFonts w:hint="eastAsia" w:ascii="宋体" w:hAnsi="宋体"/>
          <w:color w:val="000000"/>
          <w:sz w:val="24"/>
          <w:highlight w:val="none"/>
        </w:rPr>
        <w:t xml:space="preserve">本合同执行过程中发生纠纷，由甲乙双方协商处理，若协商不成，提起诉讼。约定由甲方所在地法院管辖。</w:t>
      </w:r>
      <w:r>
        <w:rPr>
          <w:rFonts w:ascii="宋体" w:hAnsi="宋体"/>
          <w:color w:val="000000"/>
          <w:sz w:val="24"/>
          <w:highlight w:val="none"/>
        </w:rPr>
      </w:r>
      <w:r/>
    </w:p>
    <w:p>
      <w:pPr>
        <w:pStyle w:val="884"/>
        <w:ind w:firstLine="482"/>
        <w:spacing w:line="360" w:lineRule="auto"/>
        <w:widowControl/>
        <w:rPr>
          <w:rFonts w:ascii="宋体" w:hAnsi="宋体"/>
          <w:color w:val="000000"/>
          <w:sz w:val="24"/>
          <w:highlight w:val="none"/>
        </w:rPr>
      </w:pPr>
      <w:r>
        <w:rPr>
          <w:rFonts w:hint="eastAsia" w:ascii="宋体" w:hAnsi="宋体"/>
          <w:b/>
          <w:bCs/>
          <w:color w:val="000000"/>
          <w:sz w:val="24"/>
          <w:highlight w:val="none"/>
        </w:rPr>
        <w:t xml:space="preserve">十三、合同生效：</w:t>
      </w:r>
      <w:r>
        <w:rPr>
          <w:rFonts w:hint="eastAsia" w:ascii="宋体" w:hAnsi="宋体"/>
          <w:color w:val="000000"/>
          <w:sz w:val="24"/>
          <w:highlight w:val="none"/>
        </w:rPr>
        <w:t xml:space="preserve">本合同由甲乙双方签字盖章后生效。</w:t>
      </w:r>
      <w:r>
        <w:rPr>
          <w:rFonts w:ascii="宋体" w:hAnsi="宋体"/>
          <w:color w:val="000000"/>
          <w:sz w:val="24"/>
          <w:highlight w:val="none"/>
        </w:rPr>
      </w:r>
      <w:r/>
    </w:p>
    <w:p>
      <w:pPr>
        <w:pStyle w:val="884"/>
        <w:ind w:firstLine="482"/>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十四、组成本合同的文件包括：</w:t>
      </w:r>
      <w:r>
        <w:rPr>
          <w:rFonts w:ascii="宋体" w:hAnsi="宋体"/>
          <w:b/>
          <w:bCs/>
          <w:color w:val="000000"/>
          <w:sz w:val="24"/>
          <w:highlight w:val="none"/>
        </w:rPr>
      </w:r>
      <w:r/>
    </w:p>
    <w:p>
      <w:pPr>
        <w:pStyle w:val="88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1.合同条款；</w:t>
      </w:r>
      <w:r>
        <w:rPr>
          <w:rFonts w:ascii="宋体" w:hAnsi="宋体"/>
          <w:color w:val="000000"/>
          <w:sz w:val="24"/>
          <w:highlight w:val="none"/>
        </w:rPr>
      </w:r>
      <w:r/>
    </w:p>
    <w:p>
      <w:pPr>
        <w:pStyle w:val="88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2.本项目招标文件和乙方的投标文件；</w:t>
      </w:r>
      <w:r>
        <w:rPr>
          <w:rFonts w:ascii="宋体" w:hAnsi="宋体"/>
          <w:color w:val="000000"/>
          <w:sz w:val="24"/>
          <w:highlight w:val="none"/>
        </w:rPr>
      </w:r>
      <w:r/>
    </w:p>
    <w:p>
      <w:pPr>
        <w:pStyle w:val="88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3.中标通知书；</w:t>
      </w:r>
      <w:r>
        <w:rPr>
          <w:rFonts w:ascii="宋体" w:hAnsi="宋体"/>
          <w:color w:val="000000"/>
          <w:sz w:val="24"/>
          <w:highlight w:val="none"/>
        </w:rPr>
      </w:r>
      <w:r/>
    </w:p>
    <w:p>
      <w:pPr>
        <w:pStyle w:val="88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4.甲乙双方商定的其他必要文件。</w:t>
      </w:r>
      <w:r>
        <w:rPr>
          <w:rFonts w:ascii="宋体" w:hAnsi="宋体"/>
          <w:color w:val="000000"/>
          <w:sz w:val="24"/>
          <w:highlight w:val="none"/>
        </w:rPr>
      </w:r>
      <w:r/>
    </w:p>
    <w:p>
      <w:pPr>
        <w:pStyle w:val="88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上述合同文件内容互为补充，如有不明确，由甲方负责解释。</w:t>
      </w:r>
      <w:r>
        <w:rPr>
          <w:rFonts w:ascii="宋体" w:hAnsi="宋体"/>
          <w:color w:val="000000"/>
          <w:sz w:val="24"/>
          <w:highlight w:val="none"/>
        </w:rPr>
      </w:r>
      <w:r/>
    </w:p>
    <w:p>
      <w:pPr>
        <w:pStyle w:val="884"/>
        <w:ind w:firstLine="482"/>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十五、合同备案：</w:t>
      </w:r>
      <w:r>
        <w:rPr>
          <w:rFonts w:ascii="宋体" w:hAnsi="宋体"/>
          <w:b/>
          <w:bCs/>
          <w:color w:val="000000"/>
          <w:sz w:val="24"/>
          <w:highlight w:val="none"/>
        </w:rPr>
      </w:r>
      <w:r/>
    </w:p>
    <w:p>
      <w:pPr>
        <w:pStyle w:val="88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本合同一式陆份，中文书写。甲方肆份，乙方贰份。</w:t>
      </w:r>
      <w:r>
        <w:rPr>
          <w:rFonts w:ascii="宋体" w:hAnsi="宋体"/>
          <w:color w:val="000000"/>
          <w:sz w:val="24"/>
          <w:highlight w:val="none"/>
        </w:rPr>
      </w:r>
      <w:r/>
    </w:p>
    <w:p>
      <w:pPr>
        <w:pStyle w:val="88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甲方（盖章）：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乙方（盖章）：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8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单位地址：</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单位地址：</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8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法定代表人                          法定代表人                </w:t>
      </w:r>
      <w:r>
        <w:rPr>
          <w:rFonts w:hint="eastAsia" w:ascii="宋体" w:hAnsi="宋体"/>
          <w:color w:val="000000"/>
          <w:sz w:val="24"/>
          <w:highlight w:val="none"/>
        </w:rPr>
      </w:r>
      <w:r/>
    </w:p>
    <w:p>
      <w:pPr>
        <w:pStyle w:val="88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（被授权委托人）：                 （被授权委托人）：                   </w:t>
      </w:r>
      <w:r>
        <w:rPr>
          <w:rFonts w:hint="eastAsia" w:ascii="宋体" w:hAnsi="宋体"/>
          <w:color w:val="000000"/>
          <w:sz w:val="24"/>
          <w:highlight w:val="none"/>
        </w:rPr>
      </w:r>
      <w:r/>
    </w:p>
    <w:p>
      <w:pPr>
        <w:pStyle w:val="884"/>
        <w:ind w:firstLine="480"/>
        <w:spacing w:line="360" w:lineRule="auto"/>
        <w:widowControl/>
        <w:rPr>
          <w:rFonts w:hint="eastAsia" w:ascii="宋体" w:hAnsi="宋体"/>
          <w:color w:val="000000"/>
          <w:sz w:val="24"/>
          <w:highlight w:val="none"/>
          <w:u w:val="single"/>
        </w:rPr>
      </w:pPr>
      <w:r>
        <w:rPr>
          <w:rFonts w:hint="eastAsia" w:ascii="宋体" w:hAnsi="宋体"/>
          <w:color w:val="000000"/>
          <w:sz w:val="24"/>
          <w:highlight w:val="none"/>
        </w:rPr>
        <w:t xml:space="preserve">联系电话：</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联系电话：</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884"/>
        <w:ind w:firstLine="480"/>
        <w:spacing w:line="360" w:lineRule="auto"/>
        <w:widowControl/>
        <w:rPr>
          <w:rFonts w:hint="eastAsia" w:ascii="宋体" w:hAnsi="宋体"/>
          <w:color w:val="000000"/>
          <w:sz w:val="24"/>
          <w:highlight w:val="none"/>
          <w:u w:val="single"/>
        </w:rPr>
      </w:pPr>
      <w:r>
        <w:rPr>
          <w:rFonts w:hint="eastAsia" w:ascii="宋体" w:hAnsi="宋体"/>
          <w:color w:val="000000"/>
          <w:sz w:val="24"/>
          <w:highlight w:val="none"/>
        </w:rPr>
        <w:t xml:space="preserve">开户银行：</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开户银行：</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88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账号名称：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账号名称：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84"/>
        <w:ind w:firstLine="480"/>
        <w:spacing w:line="360" w:lineRule="auto"/>
        <w:widowControl/>
        <w:rPr>
          <w:rFonts w:hint="eastAsia" w:ascii="宋体" w:hAnsi="宋体"/>
          <w:color w:val="000000"/>
          <w:sz w:val="24"/>
          <w:highlight w:val="none"/>
          <w:u w:val="single"/>
        </w:rPr>
      </w:pPr>
      <w:r>
        <w:rPr>
          <w:rFonts w:hint="eastAsia" w:ascii="宋体" w:hAnsi="宋体"/>
          <w:color w:val="000000"/>
          <w:sz w:val="24"/>
          <w:highlight w:val="none"/>
        </w:rPr>
        <w:t xml:space="preserve">账号：</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账号：</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884"/>
        <w:ind w:firstLine="480"/>
        <w:spacing w:line="360" w:lineRule="auto"/>
        <w:widowControl/>
        <w:rPr>
          <w:rFonts w:ascii="宋体" w:hAnsi="宋体"/>
          <w:color w:val="000000"/>
          <w:sz w:val="24"/>
          <w:highlight w:val="none"/>
          <w:u w:val="single"/>
        </w:rPr>
      </w:pPr>
      <w:r>
        <w:rPr>
          <w:rFonts w:hint="eastAsia" w:ascii="宋体" w:hAnsi="宋体"/>
          <w:color w:val="000000"/>
          <w:sz w:val="24"/>
          <w:highlight w:val="none"/>
        </w:rPr>
        <w:t xml:space="preserve">组织机构代码：</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组织机构代码：</w:t>
      </w:r>
      <w:r>
        <w:rPr>
          <w:rFonts w:hint="eastAsia" w:ascii="宋体" w:hAnsi="宋体"/>
          <w:color w:val="000000"/>
          <w:sz w:val="24"/>
          <w:highlight w:val="none"/>
          <w:u w:val="single"/>
        </w:rPr>
        <w:t xml:space="preserve">             </w:t>
      </w:r>
      <w:r>
        <w:rPr>
          <w:rFonts w:ascii="宋体" w:hAnsi="宋体"/>
          <w:color w:val="000000"/>
          <w:sz w:val="24"/>
          <w:highlight w:val="none"/>
          <w:u w:val="single"/>
        </w:rPr>
      </w:r>
      <w:r/>
    </w:p>
    <w:p>
      <w:pPr>
        <w:pStyle w:val="88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日期：  年   月  日                  日期：   年   月   日</w:t>
      </w:r>
      <w:r>
        <w:rPr>
          <w:rFonts w:hint="eastAsia" w:ascii="宋体" w:hAnsi="宋体"/>
          <w:color w:val="000000"/>
          <w:sz w:val="24"/>
          <w:highlight w:val="none"/>
        </w:rPr>
      </w:r>
      <w:r/>
    </w:p>
    <w:p>
      <w:pPr>
        <w:pStyle w:val="884"/>
        <w:jc w:val="center"/>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884"/>
        <w:jc w:val="center"/>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904"/>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04"/>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04"/>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04"/>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04"/>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04"/>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04"/>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04"/>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04"/>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04"/>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04"/>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04"/>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04"/>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04"/>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04"/>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04"/>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85"/>
        <w:jc w:val="center"/>
        <w:rPr>
          <w:rFonts w:hint="eastAsia" w:ascii="宋体" w:hAnsi="宋体" w:cs="宋体"/>
          <w:bCs/>
          <w:color w:val="000000"/>
          <w:sz w:val="24"/>
          <w:highlight w:val="none"/>
        </w:rPr>
      </w:pPr>
      <w:r/>
      <w:bookmarkStart w:id="7" w:name="_Toc24746"/>
      <w:r>
        <w:rPr>
          <w:rFonts w:hint="eastAsia"/>
          <w:color w:val="000000"/>
          <w:sz w:val="24"/>
          <w:highlight w:val="none"/>
        </w:rPr>
        <w:t xml:space="preserve">第四章</w:t>
      </w:r>
      <w:r>
        <w:rPr>
          <w:color w:val="000000"/>
          <w:sz w:val="24"/>
          <w:highlight w:val="none"/>
        </w:rPr>
        <w:t xml:space="preserve">  </w:t>
      </w:r>
      <w:r>
        <w:rPr>
          <w:rFonts w:hint="eastAsia"/>
          <w:color w:val="000000"/>
          <w:sz w:val="24"/>
          <w:highlight w:val="none"/>
        </w:rPr>
        <w:t xml:space="preserve">项目内容及基本要求</w:t>
      </w:r>
      <w:bookmarkEnd w:id="7"/>
      <w:r>
        <w:rPr>
          <w:rFonts w:hint="eastAsia" w:ascii="宋体" w:hAnsi="宋体" w:cs="宋体"/>
          <w:bCs/>
          <w:color w:val="000000"/>
          <w:sz w:val="24"/>
          <w:highlight w:val="none"/>
        </w:rPr>
      </w:r>
      <w:r/>
    </w:p>
    <w:p>
      <w:pPr>
        <w:pStyle w:val="926"/>
        <w:numPr>
          <w:ilvl w:val="0"/>
          <w:numId w:val="7"/>
        </w:numPr>
        <w:ind w:firstLine="482"/>
        <w:jc w:val="both"/>
        <w:keepNext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项目概况</w:t>
      </w:r>
      <w:r>
        <w:rPr>
          <w:rFonts w:hint="eastAsia" w:ascii="宋体" w:hAnsi="宋体" w:eastAsia="宋体" w:cs="宋体"/>
          <w:b/>
          <w:bCs/>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bookmarkStart w:id="8" w:name="OLE_LINK93"/>
      <w:r>
        <w:rPr>
          <w:rFonts w:hint="eastAsia" w:ascii="宋体" w:hAnsi="宋体" w:cs="宋体"/>
          <w:color w:val="000000"/>
          <w:sz w:val="24"/>
          <w:szCs w:val="24"/>
          <w:highlight w:val="none"/>
        </w:rPr>
        <w:t xml:space="preserve">本项目采购范围：泰州市水利局确定的市直管59条河道保洁服务权，S231省道以西、引江河（不含）以东、周山河以北、新通扬运河（不含）以南，全长134公里。本项目招标人不组织现场踏勘，投标人自行踏勘河道现场。</w:t>
      </w:r>
      <w:r>
        <w:rPr>
          <w:rFonts w:hint="eastAsia" w:ascii="宋体" w:hAnsi="宋体" w:cs="宋体"/>
          <w:color w:val="000000"/>
          <w:sz w:val="24"/>
          <w:szCs w:val="24"/>
          <w:highlight w:val="none"/>
        </w:rPr>
      </w:r>
      <w:r/>
    </w:p>
    <w:tbl>
      <w:tblPr>
        <w:tblpPr w:horzAnchor="page" w:tblpX="1637" w:vertAnchor="text" w:tblpY="632" w:leftFromText="180" w:topFromText="0" w:rightFromText="180" w:bottomFromText="0"/>
        <w:tblW w:w="8670" w:type="dxa"/>
        <w:tblInd w:w="-15" w:type="dxa"/>
        <w:tblLayout w:type="fixed"/>
        <w:tblCellMar>
          <w:left w:w="15" w:type="dxa"/>
          <w:top w:w="15" w:type="dxa"/>
          <w:right w:w="15" w:type="dxa"/>
          <w:bottom w:w="0" w:type="dxa"/>
        </w:tblCellMar>
        <w:tblLook w:val="04A0" w:firstRow="1" w:lastRow="0" w:firstColumn="1" w:lastColumn="0" w:noHBand="0" w:noVBand="1"/>
      </w:tblPr>
      <w:tblGrid>
        <w:gridCol w:w="969"/>
        <w:gridCol w:w="507"/>
        <w:gridCol w:w="1297"/>
        <w:gridCol w:w="986"/>
        <w:gridCol w:w="1849"/>
        <w:gridCol w:w="2012"/>
        <w:gridCol w:w="1050"/>
      </w:tblGrid>
      <w:tr>
        <w:trPr>
          <w:trHeight w:val="43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7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b/>
                <w:bCs/>
                <w:color w:val="000000"/>
                <w:sz w:val="24"/>
                <w:szCs w:val="24"/>
                <w:highlight w:val="none"/>
              </w:rPr>
              <w:t xml:space="preserve">市直管59条河道类别表</w:t>
            </w:r>
            <w:r>
              <w:rPr>
                <w:rFonts w:hint="eastAsia" w:ascii="宋体" w:hAnsi="宋体" w:cs="宋体"/>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河道名称</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0" w:lineRule="atLeast"/>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长度（米)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起</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讫</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类别</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南城河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2200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老通扬运河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迎春桥</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北城河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1000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南官河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东城河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东城河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1800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南城河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北城河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西玉带河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1190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南玉带河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区农业农村局</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南玉带河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1040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南园泵站</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鸿发小区内</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东玉带河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2400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南城河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审计局涵洞</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中市河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330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南玉带河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虹桥西街</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周桥河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490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鼓楼路东侧</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东玉带河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纪庙河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1100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老通扬运河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朱新河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夏家汪</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100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原中山居委员会</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邑庙街</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11</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东风河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870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东进小区</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智堡河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12</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冠带河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795</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Cs w:val="21"/>
                <w:highlight w:val="none"/>
              </w:rPr>
              <w:framePr w:vAnchor="text" w:hAnchor="page" w:x="1637" w:y="632"/>
            </w:pPr>
            <w:r>
              <w:rPr>
                <w:rFonts w:hint="eastAsia" w:ascii="宋体" w:hAnsi="宋体" w:cs="宋体"/>
                <w:color w:val="000000"/>
                <w:szCs w:val="21"/>
                <w:highlight w:val="none"/>
              </w:rPr>
              <w:t xml:space="preserve">玻璃厂涵闸出水口</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智堡河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969" w:type="dxa"/>
            <w:vAlign w:val="center"/>
            <w:vMerge w:val="restart"/>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13</w:t>
            </w:r>
            <w:r>
              <w:rPr>
                <w:rFonts w:ascii="宋体" w:hAnsi="宋体" w:cs="宋体"/>
                <w:color w:val="000000"/>
                <w:sz w:val="24"/>
                <w:szCs w:val="24"/>
                <w:highlight w:val="none"/>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507" w:type="dxa"/>
            <w:vAlign w:val="center"/>
            <w:vMerge w:val="restart"/>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东</w:t>
            </w:r>
            <w:r>
              <w:rPr>
                <w:rFonts w:hint="eastAsia" w:ascii="宋体" w:hAnsi="宋体" w:cs="宋体"/>
                <w:color w:val="000000"/>
                <w:sz w:val="24"/>
                <w:szCs w:val="24"/>
                <w:highlight w:val="none"/>
              </w:rPr>
            </w:r>
            <w:r/>
          </w:p>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进</w:t>
            </w:r>
            <w:r>
              <w:rPr>
                <w:rFonts w:hint="eastAsia" w:ascii="宋体" w:hAnsi="宋体" w:cs="宋体"/>
                <w:color w:val="000000"/>
                <w:sz w:val="24"/>
                <w:szCs w:val="24"/>
                <w:highlight w:val="none"/>
              </w:rPr>
            </w:r>
            <w:r/>
          </w:p>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河</w:t>
            </w:r>
            <w:r>
              <w:rPr>
                <w:rFonts w:hint="eastAsia" w:ascii="宋体" w:hAnsi="宋体" w:cs="宋体"/>
                <w:color w:val="000000"/>
                <w:sz w:val="24"/>
                <w:szCs w:val="24"/>
                <w:highlight w:val="none"/>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1297"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东进河主河</w:t>
            </w:r>
            <w:r>
              <w:rPr>
                <w:rFonts w:hint="eastAsia" w:ascii="宋体" w:hAnsi="宋体" w:cs="宋体"/>
                <w:color w:val="000000"/>
                <w:sz w:val="24"/>
                <w:szCs w:val="24"/>
                <w:highlight w:val="none"/>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986" w:type="dxa"/>
            <w:vAlign w:val="center"/>
            <w:vMerge w:val="restart"/>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2930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新通扬运河南</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东风河</w:t>
            </w:r>
            <w:r>
              <w:rPr>
                <w:rFonts w:hint="eastAsia" w:ascii="宋体" w:hAnsi="宋体" w:cs="宋体"/>
                <w:color w:val="000000"/>
                <w:sz w:val="24"/>
                <w:szCs w:val="24"/>
                <w:highlight w:val="none"/>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1050" w:type="dxa"/>
            <w:vAlign w:val="center"/>
            <w:vMerge w:val="restart"/>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40"/>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69" w:type="dxa"/>
            <w:vAlign w:val="center"/>
            <w:vMerge w:val="continue"/>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507" w:type="dxa"/>
            <w:vAlign w:val="center"/>
            <w:vMerge w:val="continue"/>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1297"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东进内河</w:t>
            </w:r>
            <w:r>
              <w:rPr>
                <w:rFonts w:hint="eastAsia" w:ascii="宋体" w:hAnsi="宋体" w:cs="宋体"/>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986" w:type="dxa"/>
            <w:vAlign w:val="center"/>
            <w:vMerge w:val="continue"/>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东进河主河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老东河</w:t>
            </w:r>
            <w:r>
              <w:rPr>
                <w:rFonts w:hint="eastAsia" w:ascii="宋体" w:hAnsi="宋体" w:cs="宋体"/>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1050" w:type="dxa"/>
            <w:vAlign w:val="center"/>
            <w:vMerge w:val="continue"/>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r>
            <w:r/>
          </w:p>
        </w:tc>
      </w:tr>
      <w:tr>
        <w:trPr>
          <w:trHeight w:val="549"/>
        </w:trPr>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969" w:type="dxa"/>
            <w:vAlign w:val="center"/>
            <w:vMerge w:val="continue"/>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r>
            <w:r/>
          </w:p>
        </w:tc>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507" w:type="dxa"/>
            <w:vAlign w:val="center"/>
            <w:vMerge w:val="continue"/>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7"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东进前河</w:t>
            </w:r>
            <w:r>
              <w:rPr>
                <w:rFonts w:hint="eastAsia" w:ascii="宋体" w:hAnsi="宋体" w:cs="宋体"/>
                <w:color w:val="000000"/>
                <w:sz w:val="24"/>
                <w:szCs w:val="24"/>
                <w:highlight w:val="none"/>
              </w:rPr>
            </w:r>
            <w:r/>
          </w:p>
        </w:tc>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986" w:type="dxa"/>
            <w:vAlign w:val="center"/>
            <w:vMerge w:val="continue"/>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ind w:firstLine="240"/>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东进河主河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老东河</w:t>
            </w:r>
            <w:r>
              <w:rPr>
                <w:rFonts w:hint="eastAsia" w:ascii="宋体" w:hAnsi="宋体" w:cs="宋体"/>
                <w:color w:val="000000"/>
                <w:sz w:val="24"/>
                <w:szCs w:val="24"/>
                <w:highlight w:val="none"/>
              </w:rPr>
            </w:r>
            <w:r/>
          </w:p>
        </w:tc>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1050" w:type="dxa"/>
            <w:vAlign w:val="center"/>
            <w:vMerge w:val="continue"/>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14</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智堡河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1740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冠带河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新通扬运河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15</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南官河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10355</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周山河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新通扬运河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16</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景庄河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2700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烈士纪念馆</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景庄河闸</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17</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景光排水沟</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471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景庄河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0" w:lineRule="atLeast"/>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海光南村59号楼南侧围墙</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18</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中子河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2200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南官河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老通扬运河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19</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凤凰河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5100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周山河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南城河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20</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城南河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3648</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南官河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0" w:lineRule="atLeast"/>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中子河、凤凰河（人民公园内河段不保洁）、翻身河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21</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草河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1800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草河涵闸</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新通扬运河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22</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稻河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2300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0" w:lineRule="atLeast"/>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科学发展观</w:t>
            </w:r>
            <w:r>
              <w:rPr>
                <w:rFonts w:hint="eastAsia" w:ascii="宋体" w:hAnsi="宋体" w:cs="宋体"/>
                <w:color w:val="000000"/>
                <w:sz w:val="24"/>
                <w:szCs w:val="24"/>
                <w:highlight w:val="none"/>
              </w:rPr>
            </w:r>
            <w:r/>
          </w:p>
          <w:p>
            <w:pPr>
              <w:pStyle w:val="884"/>
              <w:jc w:val="center"/>
              <w:spacing w:line="0" w:lineRule="atLeast"/>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展览馆</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南官河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23</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老西河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650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老西河涵洞</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南官河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24</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朱新河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2400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宫涵河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231省道</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25</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朝阳河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1300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南官河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浏西河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26</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浏西河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1350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周山河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翻身河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27</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老通扬运河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8600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老通西闸西侧</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S231省道东钢坝闸</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28</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老东河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3050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鲍坝闸</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新通扬运河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29</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宫涵河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2400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老通扬运河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老东河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30</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庆丰河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910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石化东厂</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陵光集团</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31</w:t>
            </w:r>
            <w:r>
              <w:rPr>
                <w:rFonts w:hint="eastAsia"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元河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1520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森南河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江州路西侧</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32</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大兴河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880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南官河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五叉港</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33</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先锋河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1000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海阳化纤</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五叉港</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34</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花园新村河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800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草河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智堡河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35</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九里沟</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4850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老通扬运河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新通扬运河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36</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鲍马河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2080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宫涵河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七里河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37</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翻身河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4400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南官河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S231省道东钢坝闸</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38</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王庄河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1740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中子河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老通扬运河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39</w:t>
            </w:r>
            <w:r>
              <w:rPr>
                <w:rFonts w:hint="eastAsia"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东倒沟</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830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森南河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沈家河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40</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三森河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715</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森南河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庆丰河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41</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五叉港</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1800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三森河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南官河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42</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森南河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1500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九里沟</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五叉河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43</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五叉河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1100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Cs w:val="21"/>
                <w:highlight w:val="none"/>
              </w:rPr>
              <w:framePr w:vAnchor="text" w:hAnchor="page" w:x="1637" w:y="632"/>
            </w:pPr>
            <w:r>
              <w:rPr>
                <w:rFonts w:hint="eastAsia" w:ascii="宋体" w:hAnsi="宋体" w:cs="宋体"/>
                <w:color w:val="000000"/>
                <w:szCs w:val="21"/>
                <w:highlight w:val="none"/>
              </w:rPr>
              <w:t xml:space="preserve">先锋桥向南最南头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新通扬运河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44</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沈家河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470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九里沟</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东倒沟</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45</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五里河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1350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鲍马河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赵塘桥</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46</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五圩河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480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春风路</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老通扬运河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47</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海蜇沟</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3500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杜庄河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南官河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48</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杜庄河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2650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扬子港</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老通扬运河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49</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扬子港</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3560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南官河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长江大道东侧</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969" w:type="dxa"/>
            <w:vAlign w:val="center"/>
            <w:vMerge w:val="restart"/>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50</w:t>
            </w:r>
            <w:r>
              <w:rPr>
                <w:rFonts w:ascii="宋体" w:hAnsi="宋体" w:cs="宋体"/>
                <w:color w:val="000000"/>
                <w:sz w:val="24"/>
                <w:szCs w:val="24"/>
                <w:highlight w:val="none"/>
              </w:rPr>
            </w:r>
            <w:r/>
          </w:p>
        </w:tc>
        <w:tc>
          <w:tcPr>
            <w:gridSpan w:val="2"/>
            <w:tcBorders>
              <w:top w:val="single" w:color="000000" w:sz="4" w:space="0"/>
              <w:left w:val="single" w:color="000000" w:sz="4" w:space="0"/>
              <w:bottom w:val="none" w:color="000000" w:sz="0" w:space="0"/>
              <w:right w:val="single" w:color="000000" w:sz="4" w:space="0"/>
            </w:tcBorders>
            <w:tcMar>
              <w:left w:w="15" w:type="dxa"/>
              <w:top w:w="15" w:type="dxa"/>
              <w:right w:w="15" w:type="dxa"/>
            </w:tcMar>
            <w:tcW w:w="1804" w:type="dxa"/>
            <w:vAlign w:val="center"/>
            <w:vMerge w:val="restart"/>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中干河</w:t>
            </w:r>
            <w:r>
              <w:rPr>
                <w:rFonts w:ascii="宋体" w:hAnsi="宋体" w:cs="宋体"/>
                <w:color w:val="000000"/>
                <w:sz w:val="24"/>
                <w:szCs w:val="24"/>
                <w:highlight w:val="none"/>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986" w:type="dxa"/>
            <w:vAlign w:val="center"/>
            <w:vMerge w:val="restart"/>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2500</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vMerge w:val="restart"/>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周山河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扬子港</w:t>
            </w:r>
            <w:r>
              <w:rPr>
                <w:rFonts w:hint="eastAsia" w:ascii="宋体" w:hAnsi="宋体" w:cs="宋体"/>
                <w:color w:val="000000"/>
                <w:sz w:val="24"/>
                <w:szCs w:val="24"/>
                <w:highlight w:val="none"/>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1050" w:type="dxa"/>
            <w:vAlign w:val="center"/>
            <w:vMerge w:val="restart"/>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39"/>
        </w:trPr>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969" w:type="dxa"/>
            <w:vAlign w:val="center"/>
            <w:vMerge w:val="continue"/>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r>
            <w:r/>
          </w:p>
        </w:tc>
        <w:tc>
          <w:tcPr>
            <w:gridSpan w:val="2"/>
            <w:tcBorders>
              <w:top w:val="none" w:color="000000" w:sz="0" w:space="0"/>
              <w:left w:val="single" w:color="000000" w:sz="4" w:space="0"/>
              <w:bottom w:val="single" w:color="000000" w:sz="4" w:space="0"/>
              <w:right w:val="single" w:color="000000" w:sz="4" w:space="0"/>
            </w:tcBorders>
            <w:tcMar>
              <w:left w:w="15" w:type="dxa"/>
              <w:top w:w="15" w:type="dxa"/>
              <w:right w:w="15" w:type="dxa"/>
            </w:tcMar>
            <w:tcW w:w="1804" w:type="dxa"/>
            <w:vAlign w:val="center"/>
            <w:vMerge w:val="continue"/>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r>
            <w:r/>
          </w:p>
        </w:tc>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986" w:type="dxa"/>
            <w:vAlign w:val="center"/>
            <w:vMerge w:val="continue"/>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海蜇沟</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老通扬运河</w:t>
            </w:r>
            <w:r>
              <w:rPr>
                <w:rFonts w:hint="eastAsia" w:ascii="宋体" w:hAnsi="宋体" w:cs="宋体"/>
                <w:color w:val="000000"/>
                <w:sz w:val="24"/>
                <w:szCs w:val="24"/>
                <w:highlight w:val="none"/>
              </w:rPr>
            </w:r>
            <w:r/>
          </w:p>
        </w:tc>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1050" w:type="dxa"/>
            <w:vAlign w:val="center"/>
            <w:vMerge w:val="continue"/>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51</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鲍家河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2100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杜庄河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吴陵南路</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52</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向阳河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1550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南官河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浏西河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53</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盛唐河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1000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翻身河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永定路</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54</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七里河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4550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231省道</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新通扬运河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55</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任庄河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1350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七里河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新通扬运河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56</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赵家河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2400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老东河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Cs w:val="21"/>
                <w:highlight w:val="none"/>
              </w:rPr>
              <w:framePr w:vAnchor="text" w:hAnchor="page" w:x="1637" w:y="632"/>
            </w:pPr>
            <w:r>
              <w:rPr>
                <w:rFonts w:hint="eastAsia" w:ascii="宋体" w:hAnsi="宋体" w:cs="宋体"/>
                <w:color w:val="000000"/>
                <w:szCs w:val="21"/>
                <w:highlight w:val="none"/>
              </w:rPr>
              <w:t xml:space="preserve">玉堂花园向西最西头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57</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薛家河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700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东塘大道</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许郑大道</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58</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许郑河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1880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薛家河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新通扬运河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59</w:t>
            </w:r>
            <w:r>
              <w:rPr>
                <w:rFonts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周山河</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13850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周山河船闸东</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泰镇高速桥下</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4"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合计</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6"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t xml:space="preserve">134324</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49"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84"/>
              <w:jc w:val="center"/>
              <w:spacing w:line="360" w:lineRule="auto"/>
              <w:rPr>
                <w:rFonts w:hint="eastAsia" w:ascii="宋体" w:hAnsi="宋体" w:cs="宋体"/>
                <w:color w:val="000000"/>
                <w:sz w:val="24"/>
                <w:szCs w:val="24"/>
                <w:highlight w:val="none"/>
              </w:rPr>
              <w:framePr w:vAnchor="text" w:hAnchor="page" w:x="1637" w:y="632"/>
            </w:pPr>
            <w:r>
              <w:rPr>
                <w:rFonts w:hint="eastAsia" w:ascii="宋体" w:hAnsi="宋体" w:cs="宋体"/>
                <w:color w:val="000000"/>
                <w:sz w:val="24"/>
                <w:szCs w:val="24"/>
                <w:highlight w:val="none"/>
              </w:rPr>
            </w:r>
            <w:r/>
          </w:p>
        </w:tc>
      </w:tr>
    </w:tbl>
    <w:p>
      <w:pPr>
        <w:pStyle w:val="884"/>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二、项目预算和服务期限</w:t>
      </w:r>
      <w:r>
        <w:rPr>
          <w:rFonts w:ascii="宋体" w:hAnsi="宋体" w:cs="宋体"/>
          <w:b/>
          <w:bCs/>
          <w:color w:val="000000"/>
          <w:sz w:val="24"/>
          <w:highlight w:val="none"/>
        </w:rPr>
      </w:r>
      <w:r/>
    </w:p>
    <w:p>
      <w:pPr>
        <w:pStyle w:val="88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1.预算和服务期</w:t>
      </w:r>
      <w:r>
        <w:rPr>
          <w:rFonts w:ascii="宋体" w:hAnsi="宋体" w:cs="宋体"/>
          <w:color w:val="000000"/>
          <w:sz w:val="24"/>
          <w:highlight w:val="none"/>
        </w:rPr>
      </w:r>
      <w:r/>
    </w:p>
    <w:tbl>
      <w:tblPr>
        <w:tblW w:w="73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91"/>
        <w:gridCol w:w="2357"/>
        <w:gridCol w:w="2357"/>
      </w:tblGrid>
      <w:tr>
        <w:trPr>
          <w:trHeight w:val="647" w:hRule="exact"/>
        </w:trPr>
        <w:tc>
          <w:tcPr>
            <w:tcW w:w="2591" w:type="dxa"/>
            <w:vAlign w:val="center"/>
            <w:textDirection w:val="lrTb"/>
            <w:noWrap w:val="false"/>
          </w:tcPr>
          <w:p>
            <w:pPr>
              <w:pStyle w:val="88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三年服务费预算</w:t>
            </w:r>
            <w:r>
              <w:rPr>
                <w:rFonts w:ascii="宋体" w:hAnsi="宋体" w:cs="宋体"/>
                <w:color w:val="000000"/>
                <w:sz w:val="24"/>
                <w:szCs w:val="24"/>
                <w:highlight w:val="none"/>
              </w:rPr>
            </w:r>
            <w:r/>
          </w:p>
          <w:p>
            <w:pPr>
              <w:pStyle w:val="88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（人民币，万元）</w:t>
            </w:r>
            <w:r>
              <w:rPr>
                <w:rFonts w:ascii="宋体" w:hAnsi="宋体" w:cs="宋体"/>
                <w:color w:val="000000"/>
                <w:sz w:val="24"/>
                <w:szCs w:val="24"/>
                <w:highlight w:val="none"/>
              </w:rPr>
            </w:r>
            <w:r/>
          </w:p>
        </w:tc>
        <w:tc>
          <w:tcPr>
            <w:tcW w:w="2357" w:type="dxa"/>
            <w:vAlign w:val="center"/>
            <w:textDirection w:val="lrTb"/>
            <w:noWrap w:val="false"/>
          </w:tcPr>
          <w:p>
            <w:pPr>
              <w:pStyle w:val="88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三年服务费最高限价（人民币，万元）</w:t>
            </w:r>
            <w:r>
              <w:rPr>
                <w:rFonts w:ascii="宋体" w:hAnsi="宋体" w:cs="宋体"/>
                <w:color w:val="000000"/>
                <w:sz w:val="24"/>
                <w:szCs w:val="24"/>
                <w:highlight w:val="none"/>
              </w:rPr>
            </w:r>
            <w:r/>
          </w:p>
        </w:tc>
        <w:tc>
          <w:tcPr>
            <w:tcW w:w="2357" w:type="dxa"/>
            <w:vAlign w:val="center"/>
            <w:textDirection w:val="lrTb"/>
            <w:noWrap w:val="false"/>
          </w:tcPr>
          <w:p>
            <w:pPr>
              <w:pStyle w:val="88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服务期</w:t>
            </w:r>
            <w:r>
              <w:rPr>
                <w:rFonts w:ascii="宋体" w:hAnsi="宋体" w:cs="宋体"/>
                <w:color w:val="000000"/>
                <w:sz w:val="24"/>
                <w:szCs w:val="24"/>
                <w:highlight w:val="none"/>
              </w:rPr>
            </w:r>
            <w:r/>
          </w:p>
        </w:tc>
      </w:tr>
      <w:tr>
        <w:trPr>
          <w:trHeight w:val="567" w:hRule="exact"/>
        </w:trPr>
        <w:tc>
          <w:tcPr>
            <w:tcW w:w="2591" w:type="dxa"/>
            <w:vAlign w:val="center"/>
            <w:textDirection w:val="lrTb"/>
            <w:noWrap w:val="false"/>
          </w:tcPr>
          <w:p>
            <w:pPr>
              <w:pStyle w:val="884"/>
              <w:jc w:val="center"/>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2058</w:t>
            </w:r>
            <w:r>
              <w:rPr>
                <w:rFonts w:ascii="宋体" w:hAnsi="宋体" w:cs="宋体"/>
                <w:color w:val="000000"/>
                <w:sz w:val="24"/>
                <w:szCs w:val="24"/>
                <w:highlight w:val="none"/>
              </w:rPr>
            </w:r>
            <w:r/>
          </w:p>
        </w:tc>
        <w:tc>
          <w:tcPr>
            <w:tcW w:w="2357" w:type="dxa"/>
            <w:vAlign w:val="center"/>
            <w:textDirection w:val="lrTb"/>
            <w:noWrap w:val="false"/>
          </w:tcPr>
          <w:p>
            <w:pPr>
              <w:pStyle w:val="884"/>
              <w:jc w:val="center"/>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2058</w:t>
            </w:r>
            <w:r>
              <w:rPr>
                <w:rFonts w:ascii="宋体" w:hAnsi="宋体" w:cs="宋体"/>
                <w:color w:val="000000"/>
                <w:sz w:val="24"/>
                <w:szCs w:val="24"/>
                <w:highlight w:val="none"/>
              </w:rPr>
            </w:r>
            <w:r/>
          </w:p>
        </w:tc>
        <w:tc>
          <w:tcPr>
            <w:tcW w:w="2357" w:type="dxa"/>
            <w:vAlign w:val="center"/>
            <w:textDirection w:val="lrTb"/>
            <w:noWrap w:val="false"/>
          </w:tcPr>
          <w:p>
            <w:pPr>
              <w:pStyle w:val="884"/>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服务期3年</w:t>
            </w:r>
            <w:r>
              <w:rPr>
                <w:rFonts w:ascii="宋体" w:hAnsi="宋体" w:cs="宋体"/>
                <w:color w:val="000000"/>
                <w:sz w:val="24"/>
                <w:szCs w:val="24"/>
                <w:highlight w:val="none"/>
              </w:rPr>
            </w:r>
            <w:r/>
          </w:p>
        </w:tc>
      </w:tr>
    </w:tbl>
    <w:p>
      <w:pPr>
        <w:pStyle w:val="884"/>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注：如最终实际服务期限不满三年，则按照年服务费总额/365天×实际服务天数结算。</w:t>
      </w:r>
      <w:r>
        <w:rPr>
          <w:rFonts w:ascii="宋体" w:hAnsi="宋体" w:cs="宋体"/>
          <w:color w:val="000000"/>
          <w:sz w:val="24"/>
          <w:highlight w:val="none"/>
        </w:rPr>
      </w:r>
      <w:r/>
    </w:p>
    <w:p>
      <w:pPr>
        <w:pStyle w:val="884"/>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投标报价包含：船舶、车辆等设备购置折旧费、运行费、作业工属具费用、水电费用、人员工资、加班费用、职工福利费用、工作服费用、各类保险和职工公积金费用、企业合理利润、各种税费、税金及合同包含的所有风险、责任等各项应有的所有费用。</w:t>
      </w:r>
      <w:r>
        <w:rPr>
          <w:rFonts w:ascii="宋体" w:hAnsi="宋体" w:cs="宋体"/>
          <w:color w:val="000000"/>
          <w:sz w:val="24"/>
          <w:highlight w:val="none"/>
        </w:rPr>
      </w:r>
      <w:r/>
    </w:p>
    <w:p>
      <w:pPr>
        <w:pStyle w:val="884"/>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3.合同服务期内，招标人不因国家或地方的政策性变动，增加项目运行费用的支出。如泰州市区最低工资保障线发生变动，投标方须及时按照标准调整，投标报价时应充分考虑相应的投标风险。</w:t>
      </w:r>
      <w:r>
        <w:rPr>
          <w:rFonts w:ascii="宋体" w:hAnsi="宋体" w:cs="宋体"/>
          <w:color w:val="000000"/>
          <w:sz w:val="24"/>
          <w:highlight w:val="none"/>
        </w:rPr>
      </w:r>
      <w:r/>
    </w:p>
    <w:p>
      <w:pPr>
        <w:pStyle w:val="884"/>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三、项目作业要求</w:t>
      </w:r>
      <w:r>
        <w:rPr>
          <w:rFonts w:hint="eastAsia" w:ascii="宋体" w:hAnsi="宋体" w:cs="宋体"/>
          <w:b/>
          <w:bCs/>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（一）项目作业内容</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1.河道人工（无人船）保洁和机械化打捞作业等；</w:t>
      </w:r>
      <w:r>
        <w:rPr>
          <w:rFonts w:hint="eastAsia" w:ascii="宋体" w:hAnsi="宋体" w:cs="宋体"/>
          <w:color w:val="000000"/>
          <w:sz w:val="24"/>
          <w:szCs w:val="24"/>
          <w:highlight w:val="none"/>
        </w:rPr>
      </w:r>
      <w:r/>
    </w:p>
    <w:p>
      <w:pPr>
        <w:pStyle w:val="884"/>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2.冰雪天气铲雪除冰；</w:t>
      </w:r>
      <w:r>
        <w:rPr>
          <w:rFonts w:ascii="宋体" w:hAnsi="宋体" w:cs="宋体"/>
          <w:color w:val="000000"/>
          <w:sz w:val="24"/>
          <w:highlight w:val="none"/>
        </w:rPr>
      </w:r>
      <w:r/>
    </w:p>
    <w:p>
      <w:pPr>
        <w:pStyle w:val="884"/>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3.数字化案件、12345政风行风热线等各类市民投诉件的处理；</w:t>
      </w:r>
      <w:r>
        <w:rPr>
          <w:rFonts w:ascii="宋体" w:hAnsi="宋体" w:cs="宋体"/>
          <w:color w:val="000000"/>
          <w:sz w:val="24"/>
          <w:highlight w:val="none"/>
        </w:rPr>
      </w:r>
      <w:r/>
    </w:p>
    <w:p>
      <w:pPr>
        <w:pStyle w:val="884"/>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4.各类重大创建活动的保障工作；</w:t>
      </w:r>
      <w:r>
        <w:rPr>
          <w:rFonts w:ascii="宋体" w:hAnsi="宋体" w:cs="宋体"/>
          <w:color w:val="000000"/>
          <w:sz w:val="24"/>
          <w:highlight w:val="none"/>
        </w:rPr>
      </w:r>
      <w:r/>
    </w:p>
    <w:p>
      <w:pPr>
        <w:pStyle w:val="884"/>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5.突发情况24小时应急处置，如110、12345政风行风热线等来电；</w:t>
      </w:r>
      <w:r>
        <w:rPr>
          <w:rFonts w:ascii="宋体" w:hAnsi="宋体" w:cs="宋体"/>
          <w:color w:val="000000"/>
          <w:sz w:val="24"/>
          <w:highlight w:val="none"/>
        </w:rPr>
      </w:r>
      <w:r/>
    </w:p>
    <w:p>
      <w:pPr>
        <w:pStyle w:val="884"/>
        <w:contextualSpacing/>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6.项目范围以外的其他区域出现突发事件的应急保障。</w:t>
      </w:r>
      <w:r>
        <w:rPr>
          <w:rFonts w:hint="eastAsia" w:ascii="宋体" w:hAnsi="宋体" w:cs="宋体"/>
          <w:color w:val="000000"/>
          <w:sz w:val="24"/>
          <w:highlight w:val="none"/>
        </w:rPr>
      </w:r>
      <w:r/>
    </w:p>
    <w:p>
      <w:pPr>
        <w:pStyle w:val="884"/>
        <w:contextualSpacing/>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w:t>
      </w:r>
      <w:r>
        <w:rPr>
          <w:rFonts w:hint="eastAsia" w:ascii="宋体" w:hAnsi="宋体" w:cs="宋体"/>
          <w:color w:val="000000"/>
          <w:sz w:val="24"/>
          <w:szCs w:val="24"/>
          <w:highlight w:val="none"/>
        </w:rPr>
        <w:t xml:space="preserve">河道保洁范围</w:t>
      </w:r>
      <w:r>
        <w:rPr>
          <w:rFonts w:hint="eastAsia" w:ascii="宋体" w:hAnsi="宋体" w:cs="宋体"/>
          <w:color w:val="000000"/>
          <w:sz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1.河道水面；2.岸坡栏杆至水面区域；3.护坡至水面区域。</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（三）河道保洁内容</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打捞河道内水面漂浮物、生活垃圾、水生植物、淤泥泛起物等，清除河道水面范围内生长的植物，保洁河道内桥梁支柱及基础设施周围的环境，无害化处理河道中病死动物，清理河道岸坡的各类垃圾及杂物，每日将打捞物运送至指定垃圾转运站，日产日清。</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（四）保洁标准分类</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河道保洁管理标准分为两类：</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级河道：必须做到定员、定岗、定段、定时保洁，具体保洁标准达到无漂浮水生植物和各类垃圾，可视范围内水面漂浮物总面积不超过0.5平方米，发现水面漂浮垃圾或水生植物及时清除；岸坡无积存暴露垃圾，发现岸坡垃圾及时清除。</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河道：必须做到定员、定岗、定段、定时保洁，具体保洁标准达到无明显聚集性漂浮水生植物和各类垃圾，可视范围内水面漂浮物总面积不超过1平方米，发现各类垃圾或水生植物及时清除；岸坡无积存暴露垃圾，发现岸坡各类垃圾及时清除。</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（五）保洁时间要求</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河道保洁全年作业，上午7:30-11:30；下午1:00-5:00，遇有特殊情况时，招标人根据实际生产工作需要及时调整作业时间。同时，要结合季节生长规律，适时开展河面漂浮水草、水生植物及时打捞清理工作，保持水面干净整洁。</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（六）人员配备</w:t>
      </w:r>
      <w:r>
        <w:rPr>
          <w:rFonts w:hint="eastAsia" w:ascii="宋体" w:hAnsi="宋体" w:cs="宋体"/>
          <w:color w:val="000000"/>
          <w:sz w:val="24"/>
          <w:szCs w:val="24"/>
          <w:highlight w:val="none"/>
        </w:rPr>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人员配置：项目总人数119名，其中项目负责人1名；项目管理员4名（含1名专职安全管理人员）；河道保洁人员114名（含配备持有内河船舶船员等级适任证书的驾驶人员和船员）。</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（七）船只和车辆配备</w:t>
      </w:r>
      <w:r>
        <w:rPr>
          <w:rFonts w:hint="eastAsia" w:ascii="宋体" w:hAnsi="宋体" w:cs="宋体"/>
          <w:color w:val="000000"/>
          <w:sz w:val="24"/>
          <w:szCs w:val="24"/>
          <w:highlight w:val="none"/>
        </w:rPr>
      </w:r>
      <w:r/>
    </w:p>
    <w:p>
      <w:pPr>
        <w:pStyle w:val="884"/>
        <w:contextualSpacing/>
        <w:ind w:firstLine="480"/>
        <w:spacing w:line="360" w:lineRule="auto"/>
        <w:rPr>
          <w:rFonts w:hint="eastAsia" w:ascii="宋体" w:hAnsi="宋体" w:cs="宋体"/>
          <w:color w:val="000000"/>
          <w:sz w:val="24"/>
          <w:highlight w:val="none"/>
        </w:rPr>
      </w:pPr>
      <w:r/>
      <w:bookmarkStart w:id="13" w:name="OLE_LINK55"/>
      <w:r/>
      <w:bookmarkStart w:id="14" w:name="OLE_LINK56"/>
      <w:r>
        <w:rPr>
          <w:rFonts w:hint="eastAsia" w:ascii="宋体" w:hAnsi="宋体" w:cs="宋体"/>
          <w:color w:val="000000"/>
          <w:sz w:val="24"/>
          <w:szCs w:val="24"/>
          <w:highlight w:val="none"/>
        </w:rPr>
        <w:t xml:space="preserve">机动巡逻（查）船</w:t>
      </w:r>
      <w:bookmarkEnd w:id="13"/>
      <w:r/>
      <w:bookmarkEnd w:id="14"/>
      <w:r/>
      <w:bookmarkStart w:id="15" w:name="OLE_LINK82"/>
      <w:r>
        <w:rPr>
          <w:rFonts w:hint="eastAsia" w:ascii="宋体" w:hAnsi="宋体" w:cs="宋体"/>
          <w:color w:val="000000"/>
          <w:sz w:val="24"/>
          <w:szCs w:val="24"/>
          <w:highlight w:val="none"/>
        </w:rPr>
        <w:t xml:space="preserve">1艘</w:t>
      </w:r>
      <w:bookmarkEnd w:id="15"/>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84"/>
        <w:contextualSpacing/>
        <w:ind w:firstLine="480"/>
        <w:spacing w:line="360" w:lineRule="auto"/>
        <w:rPr>
          <w:rFonts w:ascii="宋体" w:hAnsi="宋体" w:cs="宋体"/>
          <w:color w:val="000000"/>
          <w:sz w:val="24"/>
          <w:highlight w:val="none"/>
        </w:rPr>
      </w:pPr>
      <w:r/>
      <w:bookmarkStart w:id="16" w:name="OLE_LINK57"/>
      <w:r/>
      <w:bookmarkStart w:id="17" w:name="OLE_LINK59"/>
      <w:r>
        <w:rPr>
          <w:rFonts w:hint="eastAsia" w:ascii="宋体" w:hAnsi="宋体" w:cs="宋体"/>
          <w:color w:val="000000"/>
          <w:sz w:val="24"/>
          <w:szCs w:val="24"/>
          <w:highlight w:val="none"/>
        </w:rPr>
        <w:t xml:space="preserve">自动保洁（打捞）船</w:t>
      </w:r>
      <w:bookmarkStart w:id="18" w:name="OLE_LINK2"/>
      <w:r>
        <w:rPr>
          <w:rFonts w:hint="eastAsia" w:ascii="宋体" w:hAnsi="宋体" w:cs="宋体"/>
          <w:color w:val="000000"/>
          <w:sz w:val="24"/>
          <w:szCs w:val="24"/>
          <w:highlight w:val="none"/>
        </w:rPr>
        <w:t xml:space="preserve">2艘</w:t>
      </w:r>
      <w:bookmarkEnd w:id="16"/>
      <w:r/>
      <w:bookmarkEnd w:id="17"/>
      <w:r/>
      <w:bookmarkEnd w:id="18"/>
      <w:r>
        <w:rPr>
          <w:rFonts w:hint="eastAsia" w:ascii="宋体" w:hAnsi="宋体" w:cs="宋体"/>
          <w:color w:val="000000"/>
          <w:sz w:val="24"/>
          <w:szCs w:val="24"/>
          <w:highlight w:val="none"/>
        </w:rPr>
        <w:t xml:space="preserve">；</w:t>
      </w:r>
      <w:r>
        <w:rPr>
          <w:rFonts w:ascii="宋体" w:hAnsi="宋体" w:cs="宋体"/>
          <w:color w:val="000000"/>
          <w:sz w:val="24"/>
          <w:highlight w:val="none"/>
        </w:rPr>
      </w:r>
      <w:r/>
    </w:p>
    <w:p>
      <w:pPr>
        <w:pStyle w:val="892"/>
        <w:ind w:firstLine="480"/>
        <w:jc w:val="both"/>
        <w:spacing w:line="360" w:lineRule="auto"/>
        <w:rPr>
          <w:rFonts w:hint="eastAsia" w:ascii="宋体" w:hAnsi="宋体" w:cs="宋体"/>
          <w:color w:val="000000"/>
          <w:sz w:val="24"/>
          <w:highlight w:val="none"/>
        </w:rPr>
      </w:pPr>
      <w:r/>
      <w:bookmarkStart w:id="19" w:name="OLE_LINK52"/>
      <w:r/>
      <w:bookmarkStart w:id="20" w:name="OLE_LINK58"/>
      <w:r/>
      <w:bookmarkStart w:id="21" w:name="OLE_LINK60"/>
      <w:r/>
      <w:bookmarkStart w:id="22" w:name="OLE_LINK61"/>
      <w:r/>
      <w:bookmarkStart w:id="23" w:name="OLE_LINK11"/>
      <w:r/>
      <w:bookmarkStart w:id="24" w:name="OLE_LINK10"/>
      <w:r>
        <w:rPr>
          <w:rFonts w:hint="eastAsia" w:ascii="宋体" w:hAnsi="宋体" w:cs="宋体"/>
          <w:color w:val="000000"/>
          <w:sz w:val="24"/>
          <w:highlight w:val="none"/>
        </w:rPr>
        <w:t xml:space="preserve">新能源无人智能清洁船</w:t>
      </w:r>
      <w:bookmarkEnd w:id="19"/>
      <w:r/>
      <w:bookmarkEnd w:id="20"/>
      <w:r>
        <w:rPr>
          <w:rFonts w:hint="eastAsia" w:ascii="宋体" w:hAnsi="宋体" w:cs="宋体"/>
          <w:color w:val="000000"/>
          <w:sz w:val="24"/>
          <w:highlight w:val="none"/>
        </w:rPr>
        <w:t xml:space="preserve">1艘；</w:t>
      </w:r>
      <w:r>
        <w:rPr>
          <w:rFonts w:hint="eastAsia" w:ascii="宋体" w:hAnsi="宋体" w:cs="宋体"/>
          <w:color w:val="000000"/>
          <w:sz w:val="24"/>
          <w:highlight w:val="none"/>
        </w:rPr>
      </w:r>
      <w:r/>
    </w:p>
    <w:p>
      <w:pPr>
        <w:pStyle w:val="892"/>
        <w:ind w:firstLine="480"/>
        <w:jc w:val="both"/>
        <w:spacing w:line="360" w:lineRule="auto"/>
        <w:rPr>
          <w:rFonts w:hint="eastAsia" w:ascii="宋体" w:hAnsi="宋体" w:cs="宋体"/>
          <w:color w:val="000000"/>
          <w:sz w:val="24"/>
          <w:highlight w:val="none"/>
        </w:rPr>
      </w:pPr>
      <w:r/>
      <w:bookmarkStart w:id="25" w:name="OLE_LINK85"/>
      <w:r/>
      <w:bookmarkStart w:id="26" w:name="OLE_LINK86"/>
      <w:r>
        <w:rPr>
          <w:rFonts w:hint="eastAsia" w:ascii="宋体" w:hAnsi="宋体" w:cs="宋体"/>
          <w:color w:val="000000"/>
          <w:sz w:val="24"/>
          <w:highlight w:val="none"/>
        </w:rPr>
        <w:t xml:space="preserve">人工保洁船</w:t>
      </w:r>
      <w:bookmarkEnd w:id="21"/>
      <w:r/>
      <w:bookmarkEnd w:id="22"/>
      <w:r/>
      <w:bookmarkEnd w:id="25"/>
      <w:r/>
      <w:bookmarkEnd w:id="26"/>
      <w:r>
        <w:rPr>
          <w:rFonts w:hint="eastAsia" w:ascii="宋体" w:hAnsi="宋体" w:cs="宋体"/>
          <w:color w:val="000000"/>
          <w:sz w:val="24"/>
          <w:highlight w:val="none"/>
        </w:rPr>
        <w:t xml:space="preserve">15艘；</w:t>
      </w:r>
      <w:r>
        <w:rPr>
          <w:rFonts w:hint="eastAsia" w:ascii="宋体" w:hAnsi="宋体" w:cs="宋体"/>
          <w:color w:val="000000"/>
          <w:sz w:val="24"/>
          <w:highlight w:val="none"/>
        </w:rPr>
      </w:r>
      <w:r/>
    </w:p>
    <w:p>
      <w:pPr>
        <w:pStyle w:val="884"/>
        <w:contextualSpacing/>
        <w:ind w:firstLine="480"/>
        <w:spacing w:line="360" w:lineRule="auto"/>
        <w:rPr>
          <w:rFonts w:hint="eastAsia" w:ascii="宋体" w:hAnsi="宋体" w:cs="宋体"/>
          <w:color w:val="000000"/>
          <w:sz w:val="24"/>
          <w:szCs w:val="24"/>
          <w:highlight w:val="none"/>
        </w:rPr>
      </w:pPr>
      <w:r/>
      <w:bookmarkStart w:id="27" w:name="OLE_LINK62"/>
      <w:r>
        <w:rPr>
          <w:rFonts w:hint="eastAsia" w:ascii="宋体" w:hAnsi="宋体" w:cs="宋体"/>
          <w:color w:val="000000"/>
          <w:sz w:val="24"/>
          <w:szCs w:val="24"/>
          <w:highlight w:val="none"/>
        </w:rPr>
        <w:t xml:space="preserve">电动保洁船</w:t>
      </w:r>
      <w:bookmarkEnd w:id="27"/>
      <w:r>
        <w:rPr>
          <w:rFonts w:hint="eastAsia" w:ascii="宋体" w:hAnsi="宋体" w:cs="宋体"/>
          <w:color w:val="000000"/>
          <w:sz w:val="24"/>
          <w:szCs w:val="24"/>
          <w:highlight w:val="none"/>
        </w:rPr>
        <w:t xml:space="preserve">35艘；</w:t>
      </w:r>
      <w:bookmarkEnd w:id="23"/>
      <w:r/>
      <w:bookmarkEnd w:id="24"/>
      <w:r>
        <w:rPr>
          <w:rFonts w:hint="eastAsia" w:ascii="宋体" w:hAnsi="宋体" w:cs="宋体"/>
          <w:color w:val="000000"/>
          <w:sz w:val="24"/>
          <w:szCs w:val="24"/>
          <w:highlight w:val="none"/>
        </w:rPr>
      </w:r>
      <w:r/>
    </w:p>
    <w:p>
      <w:pPr>
        <w:pStyle w:val="884"/>
        <w:contextualSpacing/>
        <w:ind w:firstLine="480"/>
        <w:spacing w:line="360" w:lineRule="auto"/>
        <w:rPr>
          <w:rFonts w:hint="eastAsia" w:ascii="宋体" w:hAnsi="宋体" w:cs="宋体"/>
          <w:color w:val="000000"/>
          <w:sz w:val="24"/>
          <w:highlight w:val="none"/>
        </w:rPr>
      </w:pPr>
      <w:r/>
      <w:bookmarkStart w:id="28" w:name="OLE_LINK89"/>
      <w:r/>
      <w:bookmarkStart w:id="29" w:name="OLE_LINK90"/>
      <w:r>
        <w:rPr>
          <w:rFonts w:hint="eastAsia" w:ascii="宋体" w:hAnsi="宋体" w:cs="宋体"/>
          <w:color w:val="000000"/>
          <w:sz w:val="24"/>
          <w:highlight w:val="none"/>
        </w:rPr>
        <w:t xml:space="preserve">电动三轮保洁车（</w:t>
      </w:r>
      <w:bookmarkEnd w:id="28"/>
      <w:r/>
      <w:bookmarkEnd w:id="29"/>
      <w:r>
        <w:rPr>
          <w:rFonts w:hint="eastAsia" w:ascii="宋体" w:hAnsi="宋体" w:cs="宋体"/>
          <w:color w:val="000000"/>
          <w:sz w:val="24"/>
          <w:highlight w:val="none"/>
        </w:rPr>
        <w:t xml:space="preserve">电动正三轮摩托车）10辆；</w:t>
      </w:r>
      <w:r>
        <w:rPr>
          <w:rFonts w:hint="eastAsia" w:ascii="宋体" w:hAnsi="宋体" w:cs="宋体"/>
          <w:color w:val="000000"/>
          <w:sz w:val="24"/>
          <w:highlight w:val="none"/>
        </w:rPr>
      </w:r>
      <w:r/>
    </w:p>
    <w:p>
      <w:pPr>
        <w:pStyle w:val="892"/>
        <w:ind w:firstLine="480"/>
        <w:jc w:val="both"/>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电动三轮清运车（电动正三轮摩托车）5辆。</w:t>
      </w:r>
      <w:r>
        <w:rPr>
          <w:rFonts w:ascii="宋体" w:hAnsi="宋体" w:cs="宋体"/>
          <w:color w:val="000000"/>
          <w:sz w:val="24"/>
          <w:highlight w:val="none"/>
        </w:rPr>
      </w:r>
      <w:r/>
    </w:p>
    <w:p>
      <w:pPr>
        <w:pStyle w:val="892"/>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备注：1.所有</w:t>
      </w:r>
      <w:bookmarkStart w:id="30" w:name="OLE_LINK68"/>
      <w:r/>
      <w:bookmarkStart w:id="31" w:name="OLE_LINK67"/>
      <w:r>
        <w:rPr>
          <w:rFonts w:hint="eastAsia" w:ascii="宋体" w:hAnsi="宋体" w:cs="宋体"/>
          <w:b/>
          <w:bCs/>
          <w:color w:val="000000"/>
          <w:sz w:val="24"/>
          <w:highlight w:val="none"/>
        </w:rPr>
        <w:t xml:space="preserve">船只及非机动车辆</w:t>
      </w:r>
      <w:bookmarkEnd w:id="30"/>
      <w:r/>
      <w:bookmarkEnd w:id="31"/>
      <w:r>
        <w:rPr>
          <w:rFonts w:hint="eastAsia" w:ascii="宋体" w:hAnsi="宋体" w:cs="宋体"/>
          <w:b/>
          <w:bCs/>
          <w:color w:val="000000"/>
          <w:sz w:val="24"/>
          <w:highlight w:val="none"/>
        </w:rPr>
        <w:t xml:space="preserve">如为投标人自有或租赁的，投标时须提供船舶所有权登记证书和</w:t>
      </w:r>
      <w:bookmarkStart w:id="32" w:name="OLE_LINK66"/>
      <w:r/>
      <w:bookmarkStart w:id="33" w:name="OLE_LINK65"/>
      <w:r>
        <w:rPr>
          <w:rFonts w:hint="eastAsia" w:ascii="宋体" w:hAnsi="宋体" w:cs="宋体"/>
          <w:b/>
          <w:bCs/>
          <w:color w:val="000000"/>
          <w:sz w:val="24"/>
          <w:highlight w:val="none"/>
        </w:rPr>
        <w:t xml:space="preserve">非机动车辆</w:t>
      </w:r>
      <w:bookmarkEnd w:id="32"/>
      <w:r/>
      <w:bookmarkEnd w:id="33"/>
      <w:r>
        <w:rPr>
          <w:rFonts w:hint="eastAsia" w:ascii="宋体" w:hAnsi="宋体" w:cs="宋体"/>
          <w:b/>
          <w:bCs/>
          <w:color w:val="000000"/>
          <w:sz w:val="24"/>
          <w:highlight w:val="none"/>
        </w:rPr>
        <w:t xml:space="preserve">自有有效证明材料扫描件或租赁协议。</w:t>
      </w:r>
      <w:r>
        <w:rPr>
          <w:rFonts w:hint="eastAsia" w:ascii="宋体" w:hAnsi="宋体" w:cs="宋体"/>
          <w:b/>
          <w:bCs/>
          <w:color w:val="000000"/>
          <w:sz w:val="24"/>
          <w:highlight w:val="none"/>
        </w:rPr>
      </w:r>
      <w:r/>
    </w:p>
    <w:p>
      <w:pPr>
        <w:pStyle w:val="892"/>
        <w:ind w:firstLine="482"/>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2.投标人投标时无法提供上述</w:t>
      </w:r>
      <w:bookmarkStart w:id="34" w:name="OLE_LINK69"/>
      <w:r/>
      <w:bookmarkStart w:id="35" w:name="OLE_LINK70"/>
      <w:r>
        <w:rPr>
          <w:rFonts w:hint="eastAsia" w:ascii="宋体" w:hAnsi="宋体" w:cs="宋体"/>
          <w:b/>
          <w:bCs/>
          <w:color w:val="000000"/>
          <w:sz w:val="24"/>
          <w:highlight w:val="none"/>
        </w:rPr>
        <w:t xml:space="preserve">船只及非机动车辆</w:t>
      </w:r>
      <w:bookmarkEnd w:id="34"/>
      <w:r/>
      <w:bookmarkEnd w:id="35"/>
      <w:r>
        <w:rPr>
          <w:rFonts w:hint="eastAsia" w:ascii="宋体" w:hAnsi="宋体" w:cs="宋体"/>
          <w:b/>
          <w:bCs/>
          <w:color w:val="000000"/>
          <w:sz w:val="24"/>
          <w:highlight w:val="none"/>
        </w:rPr>
        <w:t xml:space="preserve">自有或租赁</w:t>
      </w:r>
      <w:r>
        <w:rPr>
          <w:rFonts w:hint="eastAsia" w:ascii="宋体" w:hAnsi="宋体" w:cs="宋体"/>
          <w:b/>
          <w:bCs/>
          <w:color w:val="000000"/>
          <w:sz w:val="24"/>
          <w:highlight w:val="none"/>
          <w:lang w:val="en-US" w:eastAsia="zh-CN"/>
        </w:rPr>
        <w:t xml:space="preserve">协议</w:t>
      </w:r>
      <w:r>
        <w:rPr>
          <w:rFonts w:hint="eastAsia" w:ascii="宋体" w:hAnsi="宋体" w:cs="宋体"/>
          <w:b/>
          <w:bCs/>
          <w:color w:val="000000"/>
          <w:sz w:val="24"/>
          <w:highlight w:val="none"/>
        </w:rPr>
        <w:t xml:space="preserve">，则投标时需提供中标后完全响应招标文件要求的自有或租赁船只及非机动车辆的承诺函（提供承诺函并加盖公章），投标人不提供承诺函则视为无效投标。</w:t>
      </w:r>
      <w:r>
        <w:rPr>
          <w:rFonts w:ascii="宋体" w:hAnsi="宋体" w:cs="宋体"/>
          <w:b/>
          <w:bCs/>
          <w:color w:val="000000"/>
          <w:sz w:val="24"/>
          <w:highlight w:val="none"/>
        </w:rPr>
      </w:r>
      <w:r/>
    </w:p>
    <w:p>
      <w:pPr>
        <w:pStyle w:val="884"/>
        <w:contextualSpacing/>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六、机械设备技术要求</w:t>
      </w:r>
      <w:r>
        <w:rPr>
          <w:rFonts w:ascii="宋体" w:hAnsi="宋体" w:cs="宋体"/>
          <w:b/>
          <w:bCs/>
          <w:color w:val="000000"/>
          <w:sz w:val="24"/>
          <w:highlight w:val="none"/>
        </w:rPr>
      </w:r>
      <w:r/>
    </w:p>
    <w:p>
      <w:pPr>
        <w:pStyle w:val="892"/>
        <w:ind w:firstLine="480"/>
        <w:jc w:val="both"/>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bookmarkStart w:id="36" w:name="OLE_LINK21"/>
      <w:r>
        <w:rPr>
          <w:rFonts w:hint="eastAsia" w:ascii="宋体" w:hAnsi="宋体" w:cs="宋体"/>
          <w:color w:val="000000"/>
          <w:sz w:val="24"/>
          <w:highlight w:val="none"/>
        </w:rPr>
        <w:t xml:space="preserve">机动巡逻（查）船：</w:t>
      </w:r>
      <w:bookmarkStart w:id="37" w:name="OLE_LINK7"/>
      <w:r/>
      <w:bookmarkStart w:id="38" w:name="OLE_LINK8"/>
      <w:r>
        <w:rPr>
          <w:rFonts w:hint="eastAsia" w:ascii="宋体" w:hAnsi="宋体" w:cs="宋体"/>
          <w:color w:val="000000"/>
          <w:sz w:val="24"/>
          <w:highlight w:val="none"/>
        </w:rPr>
        <w:t xml:space="preserve">船体长度:≥</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.5m，宽度:≥2m，高度:≥0.8m。船体材质为铝制。功率≥115马力</w:t>
      </w:r>
      <w:r>
        <w:rPr>
          <w:rFonts w:hint="eastAsia" w:ascii="宋体" w:hAnsi="宋体" w:cs="宋体"/>
          <w:color w:val="000000"/>
          <w:sz w:val="24"/>
          <w:highlight w:val="none"/>
          <w:lang w:eastAsia="zh-CN"/>
        </w:rPr>
        <w:t xml:space="preserve">，主要功能用于</w:t>
      </w:r>
      <w:r>
        <w:rPr>
          <w:rFonts w:hint="eastAsia" w:ascii="宋体" w:hAnsi="宋体" w:cs="宋体"/>
          <w:color w:val="000000"/>
          <w:sz w:val="24"/>
          <w:highlight w:val="none"/>
          <w:lang w:val="en-US" w:eastAsia="zh-CN"/>
        </w:rPr>
        <w:t xml:space="preserve">日常巡查</w:t>
      </w:r>
      <w:r>
        <w:rPr>
          <w:rFonts w:hint="eastAsia" w:ascii="宋体" w:hAnsi="宋体" w:cs="宋体"/>
          <w:color w:val="000000"/>
          <w:sz w:val="24"/>
          <w:highlight w:val="none"/>
        </w:rPr>
        <w:t xml:space="preserve">。</w:t>
      </w:r>
      <w:bookmarkEnd w:id="36"/>
      <w:r/>
      <w:bookmarkStart w:id="39" w:name="OLE_LINK13"/>
      <w:r/>
      <w:bookmarkStart w:id="40" w:name="OLE_LINK23"/>
      <w:r/>
      <w:bookmarkStart w:id="41" w:name="OLE_LINK48"/>
      <w:r>
        <w:rPr>
          <w:rFonts w:hint="eastAsia" w:ascii="宋体" w:hAnsi="宋体" w:cs="宋体"/>
          <w:color w:val="000000"/>
          <w:sz w:val="24"/>
          <w:highlight w:val="none"/>
        </w:rPr>
        <w:t xml:space="preserve">建</w:t>
      </w:r>
      <w:bookmarkEnd w:id="39"/>
      <w:r/>
      <w:bookmarkEnd w:id="41"/>
      <w:r>
        <w:rPr>
          <w:rFonts w:hint="eastAsia" w:ascii="宋体" w:hAnsi="宋体" w:cs="宋体"/>
          <w:color w:val="000000"/>
          <w:sz w:val="24"/>
          <w:highlight w:val="none"/>
          <w:lang w:val="en-US" w:eastAsia="zh-CN"/>
        </w:rPr>
        <w:t xml:space="preserve">成</w:t>
      </w:r>
      <w:r>
        <w:rPr>
          <w:rFonts w:hint="eastAsia" w:ascii="宋体" w:hAnsi="宋体" w:cs="宋体"/>
          <w:color w:val="000000"/>
          <w:sz w:val="24"/>
          <w:highlight w:val="none"/>
        </w:rPr>
        <w:t xml:space="preserve">日期为202</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年1月1日（含）以后。</w:t>
      </w:r>
      <w:bookmarkEnd w:id="40"/>
      <w:r>
        <w:rPr>
          <w:rFonts w:ascii="宋体" w:hAnsi="宋体" w:cs="宋体"/>
          <w:color w:val="000000"/>
          <w:sz w:val="24"/>
          <w:highlight w:val="none"/>
        </w:rPr>
      </w:r>
      <w:r/>
    </w:p>
    <w:p>
      <w:pPr>
        <w:pStyle w:val="892"/>
        <w:ind w:firstLine="480"/>
        <w:jc w:val="both"/>
        <w:spacing w:line="360" w:lineRule="auto"/>
        <w:rPr>
          <w:rFonts w:ascii="宋体" w:hAnsi="宋体" w:cs="宋体"/>
          <w:color w:val="000000"/>
          <w:sz w:val="24"/>
          <w:highlight w:val="none"/>
        </w:rPr>
      </w:pPr>
      <w:r/>
      <w:bookmarkEnd w:id="37"/>
      <w:r/>
      <w:bookmarkEnd w:id="38"/>
      <w:r>
        <w:rPr>
          <w:rFonts w:hint="eastAsia" w:ascii="宋体" w:hAnsi="宋体" w:cs="宋体"/>
          <w:color w:val="000000"/>
          <w:sz w:val="24"/>
          <w:highlight w:val="none"/>
        </w:rPr>
        <w:t xml:space="preserve">2.自动保洁（打捞）船：</w:t>
      </w:r>
      <w:bookmarkStart w:id="42" w:name="OLE_LINK15"/>
      <w:r/>
      <w:bookmarkStart w:id="43" w:name="OLE_LINK20"/>
      <w:r>
        <w:rPr>
          <w:rFonts w:hint="eastAsia" w:ascii="宋体" w:hAnsi="宋体" w:cs="宋体"/>
          <w:color w:val="000000"/>
          <w:sz w:val="24"/>
          <w:highlight w:val="none"/>
          <w:lang w:val="en-US" w:eastAsia="zh-CN"/>
        </w:rPr>
        <w:t xml:space="preserve">船舶种类为垃圾处理船；</w:t>
      </w:r>
      <w:r>
        <w:rPr>
          <w:rFonts w:hint="eastAsia" w:ascii="宋体" w:hAnsi="宋体" w:cs="宋体"/>
          <w:color w:val="000000"/>
          <w:sz w:val="24"/>
          <w:highlight w:val="none"/>
        </w:rPr>
        <w:t xml:space="preserve">总长≥7m；型宽≥3m；装载量≥</w:t>
      </w:r>
      <w:r>
        <w:rPr>
          <w:rFonts w:hint="eastAsia" w:ascii="宋体" w:hAnsi="宋体" w:cs="宋体"/>
          <w:color w:val="000000"/>
          <w:sz w:val="24"/>
          <w:highlight w:val="none"/>
          <w:lang w:val="en-US" w:eastAsia="zh-CN"/>
        </w:rPr>
        <w:t xml:space="preserve">3吨</w:t>
      </w:r>
      <w:r>
        <w:rPr>
          <w:rFonts w:hint="eastAsia" w:ascii="宋体" w:hAnsi="宋体" w:cs="宋体"/>
          <w:color w:val="000000"/>
          <w:sz w:val="24"/>
          <w:highlight w:val="none"/>
        </w:rPr>
        <w:t xml:space="preserve">；全焊接钢质整体结构</w:t>
      </w:r>
      <w:bookmarkEnd w:id="42"/>
      <w:r/>
      <w:bookmarkEnd w:id="43"/>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主要功能用于打捞季节性</w:t>
      </w:r>
      <w:r>
        <w:rPr>
          <w:rFonts w:hint="eastAsia" w:ascii="宋体" w:hAnsi="宋体" w:cs="宋体"/>
          <w:color w:val="000000"/>
          <w:sz w:val="24"/>
          <w:highlight w:val="none"/>
        </w:rPr>
        <w:t xml:space="preserve">河面漂浮水草、水生植物</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建</w:t>
      </w:r>
      <w:r>
        <w:rPr>
          <w:rFonts w:hint="eastAsia" w:ascii="宋体" w:hAnsi="宋体" w:cs="宋体"/>
          <w:color w:val="000000"/>
          <w:sz w:val="24"/>
          <w:highlight w:val="none"/>
          <w:lang w:val="en-US" w:eastAsia="zh-CN"/>
        </w:rPr>
        <w:t xml:space="preserve">成</w:t>
      </w:r>
      <w:r>
        <w:rPr>
          <w:rFonts w:hint="eastAsia" w:ascii="宋体" w:hAnsi="宋体" w:cs="宋体"/>
          <w:color w:val="000000"/>
          <w:sz w:val="24"/>
          <w:highlight w:val="none"/>
        </w:rPr>
        <w:t xml:space="preserve">日期为202</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年1月1日（含）以后。</w:t>
      </w:r>
      <w:r>
        <w:rPr>
          <w:rFonts w:ascii="宋体" w:hAnsi="宋体" w:cs="宋体"/>
          <w:color w:val="000000"/>
          <w:sz w:val="24"/>
          <w:highlight w:val="none"/>
        </w:rPr>
      </w:r>
      <w:r/>
    </w:p>
    <w:p>
      <w:pPr>
        <w:pStyle w:val="892"/>
        <w:ind w:firstLine="480"/>
        <w:jc w:val="both"/>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3.新能源无人智能清洁船：</w:t>
      </w:r>
      <w:bookmarkStart w:id="44" w:name="OLE_LINK3"/>
      <w:r>
        <w:rPr>
          <w:rFonts w:hint="eastAsia" w:ascii="宋体" w:hAnsi="宋体" w:cs="宋体"/>
          <w:color w:val="000000"/>
          <w:sz w:val="24"/>
          <w:highlight w:val="none"/>
        </w:rPr>
        <w:t xml:space="preserve">船体长度:4.5-7m，宽度:2.2-3m，高度:1.4-1.7m</w:t>
      </w:r>
      <w:bookmarkEnd w:id="44"/>
      <w:r>
        <w:rPr>
          <w:rFonts w:hint="eastAsia" w:ascii="宋体" w:hAnsi="宋体" w:cs="宋体"/>
          <w:color w:val="000000"/>
          <w:sz w:val="24"/>
          <w:highlight w:val="none"/>
        </w:rPr>
        <w:t xml:space="preserve">(水面以上高度≤lm);垃圾承载量:500-1000kg;收集宽度≥12m，每日续航时长≥8小时，抗风浪等级(≥3级风，</w:t>
      </w:r>
      <w:r>
        <w:rPr>
          <w:rFonts w:hint="eastAsia" w:ascii="宋体" w:hAnsi="宋体" w:cs="宋体"/>
          <w:color w:val="000000"/>
          <w:sz w:val="24"/>
          <w:highlight w:val="none"/>
          <w:lang w:val="en-US" w:eastAsia="zh-CN"/>
        </w:rPr>
        <w:t xml:space="preserve">0.5</w:t>
      </w:r>
      <w:r>
        <w:rPr>
          <w:rFonts w:hint="eastAsia" w:ascii="宋体" w:hAnsi="宋体" w:cs="宋体"/>
          <w:color w:val="000000"/>
          <w:sz w:val="24"/>
          <w:highlight w:val="none"/>
        </w:rPr>
        <w:t xml:space="preserve">米浪)，作业速度0.5-1.5m/s。建</w:t>
      </w:r>
      <w:r>
        <w:rPr>
          <w:rFonts w:hint="eastAsia" w:ascii="宋体" w:hAnsi="宋体" w:cs="宋体"/>
          <w:color w:val="000000"/>
          <w:sz w:val="24"/>
          <w:highlight w:val="none"/>
          <w:lang w:val="en-US" w:eastAsia="zh-CN"/>
        </w:rPr>
        <w:t xml:space="preserve">成</w:t>
      </w:r>
      <w:r>
        <w:rPr>
          <w:rFonts w:hint="eastAsia" w:ascii="宋体" w:hAnsi="宋体" w:cs="宋体"/>
          <w:color w:val="000000"/>
          <w:sz w:val="24"/>
          <w:highlight w:val="none"/>
        </w:rPr>
        <w:t xml:space="preserve">日期为202</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年1月1日（含）以后。</w:t>
      </w:r>
      <w:r>
        <w:rPr>
          <w:rFonts w:ascii="宋体" w:hAnsi="宋体" w:cs="宋体"/>
          <w:color w:val="000000"/>
          <w:sz w:val="24"/>
          <w:highlight w:val="none"/>
        </w:rPr>
      </w:r>
      <w:r/>
    </w:p>
    <w:p>
      <w:pPr>
        <w:pStyle w:val="892"/>
        <w:ind w:firstLine="480"/>
        <w:jc w:val="both"/>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4.人工保洁船：</w:t>
      </w:r>
      <w:bookmarkStart w:id="45" w:name="OLE_LINK6"/>
      <w:r>
        <w:rPr>
          <w:rFonts w:hint="eastAsia" w:ascii="宋体" w:hAnsi="宋体" w:cs="宋体"/>
          <w:color w:val="000000"/>
          <w:sz w:val="24"/>
          <w:highlight w:val="none"/>
        </w:rPr>
        <w:t xml:space="preserve">船体长度:</w:t>
      </w:r>
      <w:bookmarkStart w:id="46" w:name="OLE_LINK9"/>
      <w:r/>
      <w:bookmarkStart w:id="47" w:name="OLE_LINK12"/>
      <w:r/>
      <w:bookmarkStart w:id="48" w:name="OLE_LINK5"/>
      <w:r>
        <w:rPr>
          <w:rFonts w:hint="eastAsia" w:ascii="宋体" w:hAnsi="宋体" w:cs="宋体"/>
          <w:color w:val="000000"/>
          <w:sz w:val="24"/>
          <w:highlight w:val="none"/>
        </w:rPr>
        <w:t xml:space="preserve">≥</w:t>
      </w:r>
      <w:bookmarkEnd w:id="46"/>
      <w:r/>
      <w:bookmarkEnd w:id="47"/>
      <w:r>
        <w:rPr>
          <w:rFonts w:hint="eastAsia" w:ascii="宋体" w:hAnsi="宋体" w:cs="宋体"/>
          <w:color w:val="000000"/>
          <w:sz w:val="24"/>
          <w:highlight w:val="none"/>
        </w:rPr>
        <w:t xml:space="preserve">4.8m</w:t>
      </w:r>
      <w:bookmarkEnd w:id="48"/>
      <w:r>
        <w:rPr>
          <w:rFonts w:hint="eastAsia" w:ascii="宋体" w:hAnsi="宋体" w:cs="宋体"/>
          <w:color w:val="000000"/>
          <w:sz w:val="24"/>
          <w:highlight w:val="none"/>
        </w:rPr>
        <w:t xml:space="preserve">，宽度:≥1.2m，高度:≥0.4m。木质船体，外部包覆玻璃钢层</w:t>
      </w:r>
      <w:r>
        <w:rPr>
          <w:rFonts w:hint="eastAsia" w:ascii="宋体" w:hAnsi="宋体" w:cs="宋体"/>
          <w:color w:val="000000"/>
          <w:sz w:val="24"/>
          <w:highlight w:val="none"/>
          <w:lang w:eastAsia="zh-CN"/>
        </w:rPr>
        <w:t xml:space="preserve">，船体整体状况良好</w:t>
      </w:r>
      <w:r>
        <w:rPr>
          <w:rFonts w:hint="eastAsia" w:ascii="宋体" w:hAnsi="宋体" w:cs="宋体"/>
          <w:color w:val="000000"/>
          <w:sz w:val="24"/>
          <w:highlight w:val="none"/>
        </w:rPr>
        <w:t xml:space="preserve">。</w:t>
      </w:r>
      <w:bookmarkEnd w:id="45"/>
      <w:r/>
      <w:bookmarkStart w:id="49" w:name="OLE_LINK16"/>
      <w:r/>
      <w:bookmarkStart w:id="50" w:name="OLE_LINK14"/>
      <w:r/>
      <w:bookmarkStart w:id="51" w:name="OLE_LINK37"/>
      <w:r/>
      <w:bookmarkStart w:id="52" w:name="OLE_LINK36"/>
      <w:r>
        <w:rPr>
          <w:rFonts w:hint="eastAsia" w:ascii="宋体" w:hAnsi="宋体" w:cs="宋体"/>
          <w:color w:val="000000"/>
          <w:sz w:val="24"/>
          <w:highlight w:val="none"/>
        </w:rPr>
        <w:t xml:space="preserve">建</w:t>
      </w:r>
      <w:bookmarkEnd w:id="51"/>
      <w:r/>
      <w:bookmarkEnd w:id="52"/>
      <w:r>
        <w:rPr>
          <w:rFonts w:hint="eastAsia" w:ascii="宋体" w:hAnsi="宋体" w:cs="宋体"/>
          <w:color w:val="000000"/>
          <w:sz w:val="24"/>
          <w:highlight w:val="none"/>
          <w:lang w:val="en-US" w:eastAsia="zh-CN"/>
        </w:rPr>
        <w:t xml:space="preserve">成</w:t>
      </w:r>
      <w:r>
        <w:rPr>
          <w:rFonts w:hint="eastAsia" w:ascii="宋体" w:hAnsi="宋体" w:cs="宋体"/>
          <w:color w:val="000000"/>
          <w:sz w:val="24"/>
          <w:highlight w:val="none"/>
        </w:rPr>
        <w:t xml:space="preserve">日期为202</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年1月1日（含）以后。</w:t>
      </w:r>
      <w:r>
        <w:rPr>
          <w:rFonts w:ascii="宋体" w:hAnsi="宋体" w:cs="宋体"/>
          <w:color w:val="000000"/>
          <w:sz w:val="24"/>
          <w:highlight w:val="none"/>
        </w:rPr>
      </w:r>
      <w:r/>
    </w:p>
    <w:p>
      <w:pPr>
        <w:pStyle w:val="892"/>
        <w:ind w:firstLine="480"/>
        <w:jc w:val="both"/>
        <w:spacing w:line="360" w:lineRule="auto"/>
        <w:rPr>
          <w:rFonts w:ascii="宋体" w:hAnsi="宋体" w:cs="宋体"/>
          <w:color w:val="000000"/>
          <w:sz w:val="24"/>
          <w:highlight w:val="none"/>
        </w:rPr>
      </w:pPr>
      <w:r/>
      <w:bookmarkEnd w:id="49"/>
      <w:r/>
      <w:bookmarkEnd w:id="50"/>
      <w:r>
        <w:rPr>
          <w:rFonts w:hint="eastAsia" w:ascii="宋体" w:hAnsi="宋体" w:cs="宋体"/>
          <w:color w:val="000000"/>
          <w:sz w:val="24"/>
          <w:highlight w:val="none"/>
        </w:rPr>
        <w:t xml:space="preserve">5.电动保洁船：</w:t>
      </w:r>
      <w:bookmarkStart w:id="53" w:name="OLE_LINK17"/>
      <w:r/>
      <w:bookmarkStart w:id="54" w:name="OLE_LINK18"/>
      <w:r>
        <w:rPr>
          <w:rFonts w:hint="eastAsia" w:ascii="宋体" w:hAnsi="宋体" w:cs="宋体"/>
          <w:color w:val="000000"/>
          <w:sz w:val="24"/>
          <w:highlight w:val="none"/>
        </w:rPr>
        <w:t xml:space="preserve">船体长度:≥4.8m，宽度:≥1.2m，高度:≥0.4m。木质船体，外部包覆玻璃钢层</w:t>
      </w:r>
      <w:r>
        <w:rPr>
          <w:rFonts w:hint="eastAsia" w:ascii="宋体" w:hAnsi="宋体" w:cs="宋体"/>
          <w:color w:val="000000"/>
          <w:sz w:val="24"/>
          <w:highlight w:val="none"/>
          <w:lang w:eastAsia="zh-CN"/>
        </w:rPr>
        <w:t xml:space="preserve">，船体整体状况良好</w:t>
      </w:r>
      <w:r>
        <w:rPr>
          <w:rFonts w:hint="eastAsia" w:ascii="宋体" w:hAnsi="宋体" w:cs="宋体"/>
          <w:color w:val="000000"/>
          <w:sz w:val="24"/>
          <w:highlight w:val="none"/>
        </w:rPr>
        <w:t xml:space="preserve">。配套蓄电池组电压为24V，容量不低于140 Ah。</w:t>
      </w:r>
      <w:bookmarkEnd w:id="53"/>
      <w:r/>
      <w:bookmarkEnd w:id="54"/>
      <w:r>
        <w:rPr>
          <w:rFonts w:hint="eastAsia" w:ascii="宋体" w:hAnsi="宋体" w:cs="宋体"/>
          <w:color w:val="000000"/>
          <w:sz w:val="24"/>
          <w:highlight w:val="none"/>
        </w:rPr>
        <w:t xml:space="preserve">建</w:t>
      </w:r>
      <w:r>
        <w:rPr>
          <w:rFonts w:hint="eastAsia" w:ascii="宋体" w:hAnsi="宋体" w:cs="宋体"/>
          <w:color w:val="000000"/>
          <w:sz w:val="24"/>
          <w:highlight w:val="none"/>
          <w:lang w:val="en-US" w:eastAsia="zh-CN"/>
        </w:rPr>
        <w:t xml:space="preserve">成</w:t>
      </w:r>
      <w:r>
        <w:rPr>
          <w:rFonts w:hint="eastAsia" w:ascii="宋体" w:hAnsi="宋体" w:cs="宋体"/>
          <w:color w:val="000000"/>
          <w:sz w:val="24"/>
          <w:highlight w:val="none"/>
        </w:rPr>
        <w:t xml:space="preserve">日期为202</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年1月1日（含）以后。</w:t>
      </w:r>
      <w:r>
        <w:rPr>
          <w:rFonts w:ascii="宋体" w:hAnsi="宋体" w:cs="宋体"/>
          <w:color w:val="000000"/>
          <w:sz w:val="24"/>
          <w:highlight w:val="none"/>
        </w:rPr>
      </w:r>
      <w:r/>
    </w:p>
    <w:p>
      <w:pPr>
        <w:pStyle w:val="892"/>
        <w:ind w:firstLine="480"/>
        <w:jc w:val="both"/>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6.电动三轮保洁车（电动正三轮摩托车）：为国标环卫电动作业车辆，能够办理公安部门规定的上牌手续；保洁车车厢为不锈钢箱体，并采用装桶机构，可快速装载标准的240L垃圾桶；每车配备2组电瓶</w:t>
      </w:r>
      <w:bookmarkStart w:id="55" w:name="OLE_LINK38"/>
      <w:r/>
      <w:bookmarkStart w:id="56" w:name="OLE_LINK47"/>
      <w:r>
        <w:rPr>
          <w:rFonts w:hint="eastAsia" w:ascii="宋体" w:hAnsi="宋体" w:cs="宋体"/>
          <w:color w:val="000000"/>
          <w:sz w:val="24"/>
          <w:highlight w:val="none"/>
        </w:rPr>
        <w:t xml:space="preserve">。</w:t>
      </w:r>
      <w:bookmarkEnd w:id="55"/>
      <w:r/>
      <w:bookmarkEnd w:id="56"/>
      <w:r>
        <w:rPr>
          <w:rFonts w:hint="eastAsia" w:ascii="宋体" w:hAnsi="宋体" w:cs="宋体"/>
          <w:color w:val="000000"/>
          <w:sz w:val="24"/>
          <w:highlight w:val="none"/>
        </w:rPr>
      </w:r>
      <w:r/>
    </w:p>
    <w:p>
      <w:pPr>
        <w:pStyle w:val="892"/>
        <w:ind w:firstLine="480"/>
        <w:jc w:val="both"/>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7.电动三轮清运车（电动正三轮摩托车）：为国标环卫电动作业车辆，能够办理公安部门规定的上牌手续；清运车车厢为不锈钢箱体，带液压自卸装置。箱体有效容积≥3.5m³。</w:t>
      </w:r>
      <w:r>
        <w:rPr>
          <w:rFonts w:ascii="宋体" w:hAnsi="宋体" w:cs="宋体"/>
          <w:color w:val="000000"/>
          <w:sz w:val="24"/>
          <w:highlight w:val="none"/>
        </w:rPr>
      </w:r>
      <w:r/>
    </w:p>
    <w:p>
      <w:pPr>
        <w:pStyle w:val="892"/>
        <w:ind w:firstLine="482"/>
        <w:jc w:val="both"/>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备注：</w:t>
      </w:r>
      <w:bookmarkStart w:id="57" w:name="OLE_LINK1"/>
      <w:r>
        <w:rPr>
          <w:rFonts w:hint="eastAsia" w:ascii="宋体" w:hAnsi="宋体" w:cs="宋体"/>
          <w:b/>
          <w:bCs/>
          <w:color w:val="000000"/>
          <w:sz w:val="24"/>
          <w:highlight w:val="none"/>
        </w:rPr>
        <w:t xml:space="preserve">所有船只和车辆需按照招标人要求进行统一编号、喷涂标识。</w:t>
      </w:r>
      <w:r>
        <w:rPr>
          <w:rFonts w:ascii="宋体" w:hAnsi="宋体" w:cs="宋体"/>
          <w:b/>
          <w:bCs/>
          <w:color w:val="000000"/>
          <w:sz w:val="24"/>
          <w:highlight w:val="none"/>
        </w:rPr>
      </w:r>
      <w:r/>
    </w:p>
    <w:p>
      <w:pPr>
        <w:pStyle w:val="892"/>
        <w:ind w:firstLine="482"/>
        <w:jc w:val="both"/>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七、其他服务要求</w:t>
      </w:r>
      <w:r>
        <w:rPr>
          <w:rFonts w:ascii="宋体" w:hAnsi="宋体" w:cs="宋体"/>
          <w:b/>
          <w:bCs/>
          <w:color w:val="000000"/>
          <w:sz w:val="24"/>
          <w:highlight w:val="none"/>
        </w:rPr>
      </w:r>
      <w:r/>
    </w:p>
    <w:p>
      <w:pPr>
        <w:pStyle w:val="88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招标人对本项目船只和人员通过泰州市城市运行管理服务平台进行管理，船只定位系统（北斗单模终端）及智能胸卡（手环）等终端设备均接入招标人指定平台。</w:t>
      </w:r>
      <w:r>
        <w:rPr>
          <w:rFonts w:ascii="宋体" w:hAnsi="宋体" w:cs="宋体"/>
          <w:color w:val="000000"/>
          <w:sz w:val="24"/>
          <w:highlight w:val="none"/>
        </w:rPr>
      </w:r>
      <w:r/>
    </w:p>
    <w:p>
      <w:pPr>
        <w:pStyle w:val="88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具体要求如下：</w:t>
      </w:r>
      <w:r>
        <w:rPr>
          <w:rFonts w:ascii="宋体" w:hAnsi="宋体" w:cs="宋体"/>
          <w:color w:val="000000"/>
          <w:sz w:val="24"/>
          <w:highlight w:val="none"/>
        </w:rPr>
      </w:r>
      <w:r/>
    </w:p>
    <w:p>
      <w:pPr>
        <w:pStyle w:val="88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1.所有</w:t>
      </w:r>
      <w:bookmarkStart w:id="58" w:name="OLE_LINK26"/>
      <w:r/>
      <w:bookmarkStart w:id="59" w:name="OLE_LINK27"/>
      <w:r>
        <w:rPr>
          <w:rFonts w:hint="eastAsia" w:ascii="宋体" w:hAnsi="宋体" w:cs="宋体"/>
          <w:color w:val="000000"/>
          <w:sz w:val="24"/>
          <w:highlight w:val="none"/>
        </w:rPr>
        <w:t xml:space="preserve">船只</w:t>
      </w:r>
      <w:bookmarkEnd w:id="58"/>
      <w:r/>
      <w:bookmarkEnd w:id="59"/>
      <w:r>
        <w:rPr>
          <w:rFonts w:hint="eastAsia" w:ascii="宋体" w:hAnsi="宋体" w:cs="宋体"/>
          <w:color w:val="000000"/>
          <w:sz w:val="24"/>
          <w:highlight w:val="none"/>
        </w:rPr>
        <w:t xml:space="preserve">安装一套北斗单模终端定位系统。</w:t>
      </w:r>
      <w:r>
        <w:rPr>
          <w:rFonts w:ascii="宋体" w:hAnsi="宋体" w:cs="宋体"/>
          <w:color w:val="000000"/>
          <w:sz w:val="24"/>
          <w:highlight w:val="none"/>
        </w:rPr>
      </w:r>
      <w:r/>
    </w:p>
    <w:p>
      <w:pPr>
        <w:pStyle w:val="88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2.河道保洁人员须配置智能手环（胸卡）。</w:t>
      </w:r>
      <w:bookmarkEnd w:id="57"/>
      <w:r>
        <w:rPr>
          <w:rFonts w:hint="eastAsia" w:ascii="宋体" w:hAnsi="宋体" w:cs="宋体"/>
          <w:color w:val="000000"/>
          <w:sz w:val="24"/>
          <w:highlight w:val="none"/>
        </w:rPr>
      </w:r>
      <w:r/>
    </w:p>
    <w:p>
      <w:pPr>
        <w:pStyle w:val="884"/>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八、场地要求</w:t>
      </w:r>
      <w:r>
        <w:rPr>
          <w:rFonts w:ascii="宋体" w:hAnsi="宋体" w:cs="宋体"/>
          <w:b/>
          <w:bCs/>
          <w:color w:val="000000"/>
          <w:sz w:val="24"/>
          <w:highlight w:val="none"/>
        </w:rPr>
      </w:r>
      <w:r/>
    </w:p>
    <w:p>
      <w:pPr>
        <w:pStyle w:val="88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中标后</w:t>
      </w:r>
      <w:r>
        <w:rPr>
          <w:rFonts w:hint="eastAsia" w:ascii="宋体" w:hAnsi="宋体" w:cs="宋体"/>
          <w:color w:val="000000"/>
          <w:sz w:val="24"/>
          <w:highlight w:val="none"/>
        </w:rPr>
        <w:t xml:space="preserve">在泰州市区</w:t>
      </w:r>
      <w:r>
        <w:rPr>
          <w:rFonts w:hint="eastAsia" w:ascii="宋体" w:hAnsi="宋体" w:cs="宋体"/>
          <w:color w:val="000000"/>
          <w:sz w:val="24"/>
          <w:highlight w:val="none"/>
          <w:lang w:val="en-US" w:eastAsia="zh-CN"/>
        </w:rPr>
        <w:t xml:space="preserve">具</w:t>
      </w:r>
      <w:r>
        <w:rPr>
          <w:rFonts w:hint="eastAsia" w:ascii="宋体" w:hAnsi="宋体" w:cs="宋体"/>
          <w:color w:val="000000"/>
          <w:sz w:val="24"/>
          <w:highlight w:val="none"/>
        </w:rPr>
        <w:t xml:space="preserve">有固定办公场所和船只停靠区域。</w:t>
      </w:r>
      <w:r>
        <w:rPr>
          <w:rFonts w:hint="eastAsia" w:ascii="宋体" w:hAnsi="宋体" w:cs="宋体"/>
          <w:color w:val="000000"/>
          <w:sz w:val="24"/>
          <w:highlight w:val="none"/>
        </w:rPr>
      </w:r>
      <w:r/>
    </w:p>
    <w:p>
      <w:pPr>
        <w:pStyle w:val="884"/>
        <w:contextualSpacing/>
        <w:ind w:firstLine="482"/>
        <w:spacing w:line="360" w:lineRule="auto"/>
        <w:rPr>
          <w:rFonts w:ascii="宋体" w:hAnsi="宋体" w:cs="宋体"/>
          <w:b/>
          <w:bCs/>
          <w:color w:val="000000"/>
          <w:sz w:val="24"/>
          <w:highlight w:val="none"/>
        </w:rPr>
      </w:pPr>
      <w:r/>
      <w:bookmarkStart w:id="60" w:name="OLE_LINK34"/>
      <w:r/>
      <w:bookmarkStart w:id="61" w:name="OLE_LINK35"/>
      <w:r>
        <w:rPr>
          <w:rFonts w:hint="eastAsia" w:ascii="宋体" w:hAnsi="宋体" w:cs="宋体"/>
          <w:b/>
          <w:bCs/>
          <w:color w:val="000000"/>
          <w:sz w:val="24"/>
          <w:highlight w:val="none"/>
        </w:rPr>
        <w:t xml:space="preserve">九、人员要求</w:t>
      </w:r>
      <w:r>
        <w:rPr>
          <w:rFonts w:ascii="宋体" w:hAnsi="宋体" w:cs="宋体"/>
          <w:b/>
          <w:bCs/>
          <w:color w:val="000000"/>
          <w:sz w:val="24"/>
          <w:highlight w:val="none"/>
        </w:rPr>
      </w:r>
      <w:r/>
    </w:p>
    <w:p>
      <w:pPr>
        <w:pStyle w:val="88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bookmarkStart w:id="62" w:name="OLE_LINK22"/>
      <w:r>
        <w:rPr>
          <w:rFonts w:hint="eastAsia" w:ascii="宋体" w:hAnsi="宋体" w:cs="宋体"/>
          <w:color w:val="000000"/>
          <w:sz w:val="24"/>
          <w:highlight w:val="none"/>
        </w:rPr>
        <w:t xml:space="preserve">各工种人员需满足相关要求</w:t>
      </w:r>
      <w:bookmarkEnd w:id="62"/>
      <w:r>
        <w:rPr>
          <w:rFonts w:hint="eastAsia" w:ascii="宋体" w:hAnsi="宋体" w:cs="宋体"/>
          <w:color w:val="000000"/>
          <w:sz w:val="24"/>
          <w:highlight w:val="none"/>
        </w:rPr>
        <w:t xml:space="preserve">。</w:t>
      </w:r>
      <w:r>
        <w:rPr>
          <w:rFonts w:ascii="宋体" w:hAnsi="宋体" w:cs="宋体"/>
          <w:color w:val="000000"/>
          <w:sz w:val="24"/>
          <w:highlight w:val="none"/>
        </w:rPr>
      </w:r>
      <w:r/>
    </w:p>
    <w:tbl>
      <w:tblPr>
        <w:tblW w:w="4859"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92"/>
        <w:gridCol w:w="1731"/>
        <w:gridCol w:w="1721"/>
        <w:gridCol w:w="3738"/>
      </w:tblGrid>
      <w:tr>
        <w:trPr>
          <w:trHeight w:val="518"/>
        </w:trPr>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884"/>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884"/>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工种</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884"/>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年龄要求</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738" w:type="dxa"/>
            <w:vAlign w:val="center"/>
            <w:textDirection w:val="lrTb"/>
            <w:noWrap w:val="false"/>
          </w:tcPr>
          <w:p>
            <w:pPr>
              <w:pStyle w:val="884"/>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岗位要求</w:t>
            </w:r>
            <w:r>
              <w:rPr>
                <w:rFonts w:ascii="宋体" w:hAnsi="宋体" w:cs="宋体"/>
                <w:color w:val="000000"/>
                <w:sz w:val="24"/>
                <w:szCs w:val="24"/>
                <w:highlight w:val="none"/>
              </w:rPr>
            </w:r>
            <w:r/>
          </w:p>
        </w:tc>
      </w:tr>
      <w:tr>
        <w:trPr>
          <w:trHeight w:val="481"/>
        </w:trPr>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pStyle w:val="884"/>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tcPr>
          <w:p>
            <w:pPr>
              <w:pStyle w:val="884"/>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项目负责人</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884"/>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男性</w:t>
            </w:r>
            <w:r>
              <w:rPr>
                <w:rFonts w:hint="eastAsia" w:ascii="宋体" w:hAnsi="宋体" w:cs="宋体"/>
                <w:color w:val="000000"/>
                <w:sz w:val="24"/>
                <w:szCs w:val="24"/>
                <w:highlight w:val="none"/>
                <w:lang w:val="en-US" w:eastAsia="zh-CN"/>
              </w:rPr>
              <w:t xml:space="preserve">55</w:t>
            </w:r>
            <w:r>
              <w:rPr>
                <w:rFonts w:hint="eastAsia" w:ascii="宋体" w:hAnsi="宋体" w:cs="宋体"/>
                <w:color w:val="000000"/>
                <w:sz w:val="24"/>
                <w:szCs w:val="24"/>
                <w:highlight w:val="none"/>
              </w:rPr>
              <w:t xml:space="preserve">周岁以下，女性</w:t>
            </w:r>
            <w:r>
              <w:rPr>
                <w:rFonts w:hint="eastAsia" w:ascii="宋体" w:hAnsi="宋体" w:cs="宋体"/>
                <w:color w:val="000000"/>
                <w:sz w:val="24"/>
                <w:szCs w:val="24"/>
                <w:highlight w:val="none"/>
                <w:lang w:val="en-US" w:eastAsia="zh-CN"/>
              </w:rPr>
              <w:t xml:space="preserve">50</w:t>
            </w:r>
            <w:r>
              <w:rPr>
                <w:rFonts w:hint="eastAsia" w:ascii="宋体" w:hAnsi="宋体" w:cs="宋体"/>
                <w:color w:val="000000"/>
                <w:sz w:val="24"/>
                <w:szCs w:val="24"/>
                <w:highlight w:val="none"/>
              </w:rPr>
              <w:t xml:space="preserve">周岁以下</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738" w:type="dxa"/>
            <w:vAlign w:val="center"/>
            <w:textDirection w:val="lrTb"/>
            <w:noWrap w:val="false"/>
          </w:tcPr>
          <w:p>
            <w:pPr>
              <w:pStyle w:val="884"/>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具有本科及以上学历和三年及以上环卫从业经历。从业经历年限以环卫行业相关企业为其缴纳的社保证明和合同为依据，不同企业缴纳的社保年限可以累计</w:t>
            </w:r>
            <w:r>
              <w:rPr>
                <w:rFonts w:ascii="宋体" w:hAnsi="宋体" w:cs="宋体"/>
                <w:color w:val="000000"/>
                <w:sz w:val="24"/>
                <w:szCs w:val="24"/>
                <w:highlight w:val="none"/>
              </w:rPr>
            </w:r>
            <w:r/>
          </w:p>
        </w:tc>
      </w:tr>
      <w:tr>
        <w:trPr>
          <w:trHeight w:val="416"/>
        </w:trPr>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pStyle w:val="884"/>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tcPr>
          <w:p>
            <w:pPr>
              <w:pStyle w:val="88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项目管理员</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884"/>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男性</w:t>
            </w:r>
            <w:r>
              <w:rPr>
                <w:rFonts w:hint="eastAsia" w:ascii="宋体" w:hAnsi="宋体" w:cs="宋体"/>
                <w:color w:val="000000"/>
                <w:sz w:val="24"/>
                <w:szCs w:val="24"/>
                <w:highlight w:val="none"/>
                <w:lang w:val="en-US" w:eastAsia="zh-CN"/>
              </w:rPr>
              <w:t xml:space="preserve">60</w:t>
            </w:r>
            <w:r>
              <w:rPr>
                <w:rFonts w:hint="eastAsia" w:ascii="宋体" w:hAnsi="宋体" w:cs="宋体"/>
                <w:color w:val="000000"/>
                <w:sz w:val="24"/>
                <w:szCs w:val="24"/>
                <w:highlight w:val="none"/>
              </w:rPr>
              <w:t xml:space="preserve">周岁以下，女性</w:t>
            </w:r>
            <w:r>
              <w:rPr>
                <w:rFonts w:hint="eastAsia" w:ascii="宋体" w:hAnsi="宋体" w:cs="宋体"/>
                <w:color w:val="000000"/>
                <w:sz w:val="24"/>
                <w:szCs w:val="24"/>
                <w:highlight w:val="none"/>
                <w:lang w:val="en-US" w:eastAsia="zh-CN"/>
              </w:rPr>
              <w:t xml:space="preserve">55</w:t>
            </w:r>
            <w:r>
              <w:rPr>
                <w:rFonts w:hint="eastAsia" w:ascii="宋体" w:hAnsi="宋体" w:cs="宋体"/>
                <w:color w:val="000000"/>
                <w:sz w:val="24"/>
                <w:szCs w:val="24"/>
                <w:highlight w:val="none"/>
              </w:rPr>
              <w:t xml:space="preserve">周岁以下</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738" w:type="dxa"/>
            <w:vAlign w:val="center"/>
            <w:textDirection w:val="lrTb"/>
            <w:noWrap w:val="false"/>
          </w:tcPr>
          <w:p>
            <w:pPr>
              <w:pStyle w:val="884"/>
              <w:jc w:val="left"/>
              <w:spacing w:line="360" w:lineRule="auto"/>
              <w:rPr>
                <w:rFonts w:ascii="宋体" w:hAnsi="宋体" w:cs="宋体"/>
                <w:color w:val="000000"/>
                <w:sz w:val="24"/>
                <w:szCs w:val="24"/>
                <w:highlight w:val="none"/>
              </w:rPr>
            </w:pPr>
            <w:r/>
            <w:bookmarkStart w:id="63" w:name="OLE_LINK77"/>
            <w:r/>
            <w:bookmarkStart w:id="64" w:name="OLE_LINK78"/>
            <w:r>
              <w:rPr>
                <w:rFonts w:hint="eastAsia" w:ascii="宋体" w:hAnsi="宋体" w:cs="宋体"/>
                <w:color w:val="000000"/>
                <w:sz w:val="24"/>
                <w:szCs w:val="24"/>
                <w:highlight w:val="none"/>
              </w:rPr>
              <w:t xml:space="preserve">具有大专及以上学历</w:t>
            </w:r>
            <w:bookmarkEnd w:id="63"/>
            <w:r/>
            <w:bookmarkEnd w:id="64"/>
            <w:r>
              <w:rPr>
                <w:rFonts w:hint="eastAsia" w:ascii="宋体" w:hAnsi="宋体" w:cs="宋体"/>
                <w:color w:val="000000"/>
                <w:sz w:val="24"/>
                <w:szCs w:val="24"/>
                <w:highlight w:val="none"/>
              </w:rPr>
              <w:t xml:space="preserve">和两年及以上环卫从业经历。从业经历年限以环卫行业相关企业为其缴纳的社保证明和合同为依据，不同企业缴纳的社保年限可以累计</w:t>
            </w:r>
            <w:r>
              <w:rPr>
                <w:rFonts w:ascii="宋体" w:hAnsi="宋体" w:cs="宋体"/>
                <w:color w:val="000000"/>
                <w:sz w:val="24"/>
                <w:szCs w:val="24"/>
                <w:highlight w:val="none"/>
              </w:rPr>
            </w:r>
            <w:r/>
          </w:p>
        </w:tc>
      </w:tr>
      <w:tr>
        <w:trPr>
          <w:trHeight w:val="1116"/>
        </w:trPr>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pStyle w:val="8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tcPr>
          <w:p>
            <w:pPr>
              <w:pStyle w:val="884"/>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保洁类人员</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pStyle w:val="884"/>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原则上不超过65周岁</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738" w:type="dxa"/>
            <w:vAlign w:val="center"/>
            <w:textDirection w:val="lrTb"/>
            <w:noWrap w:val="false"/>
          </w:tcPr>
          <w:p>
            <w:pPr>
              <w:pStyle w:val="884"/>
              <w:jc w:val="left"/>
              <w:spacing w:line="360" w:lineRule="auto"/>
              <w:rPr>
                <w:rFonts w:ascii="宋体" w:hAnsi="宋体" w:cs="宋体"/>
                <w:color w:val="000000"/>
                <w:sz w:val="24"/>
                <w:szCs w:val="24"/>
                <w:highlight w:val="none"/>
              </w:rPr>
            </w:pPr>
            <w:r>
              <w:rPr>
                <w:rFonts w:hint="eastAsia" w:ascii="宋体" w:hAnsi="宋体" w:cs="宋体"/>
                <w:color w:val="000000"/>
                <w:sz w:val="24"/>
                <w:highlight w:val="none"/>
              </w:rPr>
              <w:t xml:space="preserve">（含配备持有内河船舶船员等级适任证书的驾驶人员和船员）。</w:t>
            </w:r>
            <w:r>
              <w:rPr>
                <w:rFonts w:ascii="宋体" w:hAnsi="宋体" w:cs="宋体"/>
                <w:color w:val="000000"/>
                <w:sz w:val="24"/>
                <w:szCs w:val="24"/>
                <w:highlight w:val="none"/>
              </w:rPr>
            </w:r>
            <w:r/>
          </w:p>
        </w:tc>
      </w:tr>
    </w:tbl>
    <w:p>
      <w:pPr>
        <w:pStyle w:val="88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2.工资待遇不低于当年江苏省一类城市最低工资保障线标准的120%执行，依法为环卫职工缴纳各类保险，鼓励缴纳住房公积金等。</w:t>
      </w:r>
      <w:r>
        <w:rPr>
          <w:rFonts w:hint="eastAsia" w:ascii="宋体" w:hAnsi="宋体" w:cs="宋体"/>
          <w:color w:val="000000"/>
          <w:sz w:val="24"/>
          <w:highlight w:val="none"/>
        </w:rPr>
      </w:r>
      <w:r/>
    </w:p>
    <w:p>
      <w:pPr>
        <w:pStyle w:val="88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3.防暑降温费：按相关文件标准执行。</w:t>
      </w:r>
      <w:bookmarkEnd w:id="60"/>
      <w:r/>
      <w:bookmarkEnd w:id="61"/>
      <w:r>
        <w:rPr>
          <w:rFonts w:hint="eastAsia" w:ascii="宋体" w:hAnsi="宋体" w:cs="宋体"/>
          <w:color w:val="000000"/>
          <w:sz w:val="24"/>
          <w:highlight w:val="none"/>
        </w:rPr>
      </w:r>
      <w:r/>
    </w:p>
    <w:p>
      <w:pPr>
        <w:pStyle w:val="884"/>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4.服装配备：服装全员配备。按照三季设定，分为</w:t>
      </w:r>
      <w:bookmarkStart w:id="65" w:name="OLE_LINK63"/>
      <w:r/>
      <w:bookmarkStart w:id="66" w:name="OLE_LINK51"/>
      <w:r>
        <w:rPr>
          <w:rFonts w:hint="eastAsia" w:ascii="宋体" w:hAnsi="宋体" w:cs="宋体"/>
          <w:color w:val="000000"/>
          <w:sz w:val="24"/>
          <w:highlight w:val="none"/>
        </w:rPr>
        <w:t xml:space="preserve">夏装、春秋装、冬装</w:t>
      </w:r>
      <w:bookmarkEnd w:id="65"/>
      <w:r/>
      <w:bookmarkEnd w:id="66"/>
      <w:r>
        <w:rPr>
          <w:rFonts w:hint="eastAsia" w:ascii="宋体" w:hAnsi="宋体" w:cs="宋体"/>
          <w:color w:val="000000"/>
          <w:sz w:val="24"/>
          <w:highlight w:val="none"/>
        </w:rPr>
        <w:t xml:space="preserve">三种，服装应满足作业人员劳动保护等功能性需求，并兼顾安全性、舒适性、耐磨性和美观性，夏装应轻薄具有防晒、透气功能；冬装应具有御寒、保暖功能；所有环卫工作服式样须报采购人备案。</w:t>
      </w:r>
      <w:r>
        <w:rPr>
          <w:rFonts w:ascii="宋体" w:hAnsi="宋体" w:cs="宋体"/>
          <w:color w:val="000000"/>
          <w:sz w:val="24"/>
          <w:highlight w:val="none"/>
        </w:rPr>
      </w:r>
      <w:r/>
    </w:p>
    <w:p>
      <w:pPr>
        <w:pStyle w:val="884"/>
        <w:ind w:firstLine="482"/>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十、开立环卫工人工资专用账户要求</w:t>
      </w:r>
      <w:r>
        <w:rPr>
          <w:rFonts w:ascii="宋体" w:hAnsi="宋体" w:cs="宋体"/>
          <w:b/>
          <w:bCs/>
          <w:color w:val="000000"/>
          <w:sz w:val="24"/>
          <w:highlight w:val="none"/>
        </w:rPr>
      </w:r>
      <w:r/>
    </w:p>
    <w:p>
      <w:pPr>
        <w:pStyle w:val="884"/>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根据相关文件规定，要求中标单位开立专用账户。签订环卫项目服务合同时约定环卫工人人工费用总额、拨付比例和日期，在合同签订之日起30日内，组织环卫企业（中标单位）开立专用账户、签订资金管理三方（采购单位、环卫企业、银行）协议。专用账户名称为环卫企业名称加环卫项目名称后加“环卫工人工资专用账户”，专用账户开立后 30 日内，需报环境卫生主管部门备案。</w:t>
      </w:r>
      <w:r>
        <w:rPr>
          <w:rFonts w:ascii="宋体" w:hAnsi="宋体" w:cs="宋体"/>
          <w:color w:val="000000"/>
          <w:sz w:val="24"/>
          <w:highlight w:val="none"/>
        </w:rPr>
      </w:r>
      <w:r/>
    </w:p>
    <w:p>
      <w:pPr>
        <w:pStyle w:val="884"/>
        <w:contextualSpacing/>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人工费用拨付后，采购单位及时审核实名制管理台账、工资支付表、考勤表等资料，银行根据采购单位审核后的工资支付表等，及时将工资通过专用账户直接支付</w:t>
      </w:r>
      <w:r>
        <w:rPr>
          <w:rFonts w:hint="eastAsia" w:ascii="宋体" w:hAnsi="宋体" w:cs="宋体"/>
          <w:color w:val="000000"/>
          <w:sz w:val="24"/>
          <w:highlight w:val="none"/>
        </w:rPr>
        <w:t xml:space="preserve">到环卫工人本人的银行账户。工资发放后，环卫企业（中标单位）应向采购单位提供代发工资凭证。</w:t>
      </w:r>
      <w:r>
        <w:rPr>
          <w:rFonts w:ascii="宋体" w:hAnsi="宋体" w:cs="宋体"/>
          <w:color w:val="000000"/>
          <w:sz w:val="24"/>
          <w:highlight w:val="none"/>
        </w:rPr>
      </w:r>
      <w:r/>
    </w:p>
    <w:p>
      <w:pPr>
        <w:pStyle w:val="884"/>
        <w:contextualSpacing/>
        <w:ind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3.项目合同服务期结束或终止，需要撤销专用账户的，环卫企业（中标单位）应及时向采购单位报告，并将环卫项目无拖欠环卫工人工资情况公示30日后，出具无拖欠环卫工人工资承诺书。银行依据采购单位提供的同意撤销通知书，按程序办理专用账户撤销手续。</w:t>
      </w:r>
      <w:r>
        <w:rPr>
          <w:rFonts w:ascii="宋体" w:hAnsi="宋体" w:cs="宋体"/>
          <w:b/>
          <w:bCs/>
          <w:color w:val="000000"/>
          <w:sz w:val="24"/>
          <w:highlight w:val="none"/>
        </w:rPr>
      </w:r>
      <w:r/>
    </w:p>
    <w:p>
      <w:pPr>
        <w:pStyle w:val="884"/>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十一、合同签订</w:t>
      </w:r>
      <w:r>
        <w:rPr>
          <w:rFonts w:ascii="宋体" w:hAnsi="宋体" w:cs="宋体"/>
          <w:b/>
          <w:bCs/>
          <w:color w:val="000000"/>
          <w:sz w:val="24"/>
          <w:highlight w:val="none"/>
        </w:rPr>
      </w:r>
      <w:r/>
    </w:p>
    <w:p>
      <w:pPr>
        <w:pStyle w:val="88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在收到中标通知书后15日内以银行转账、支票、汇票、本票或者金融机构、担保机构出具的保函、电子保函、保险机构出具的保证保险等非现金形式提交履约保证金，履约保证金为中标总价的10%；投标人在收到中标通知书后30日内签订服务合同。合同</w:t>
      </w:r>
      <w:r>
        <w:rPr>
          <w:rFonts w:hint="eastAsia" w:ascii="宋体" w:hAnsi="宋体" w:cs="宋体"/>
          <w:color w:val="000000"/>
          <w:sz w:val="24"/>
          <w:highlight w:val="none"/>
          <w:lang w:eastAsia="zh-CN"/>
        </w:rPr>
        <w:t xml:space="preserve">签订</w:t>
      </w:r>
      <w:r>
        <w:rPr>
          <w:rFonts w:hint="eastAsia" w:ascii="宋体" w:hAnsi="宋体" w:cs="宋体"/>
          <w:color w:val="000000"/>
          <w:sz w:val="24"/>
          <w:highlight w:val="none"/>
        </w:rPr>
        <w:t xml:space="preserve">后及时办理</w:t>
      </w:r>
      <w:bookmarkStart w:id="67" w:name="OLE_LINK46"/>
      <w:r>
        <w:rPr>
          <w:rFonts w:hint="eastAsia" w:ascii="宋体" w:hAnsi="宋体" w:cs="宋体"/>
          <w:color w:val="000000"/>
          <w:sz w:val="24"/>
          <w:highlight w:val="none"/>
        </w:rPr>
        <w:t xml:space="preserve">生活垃圾经营性清扫、收集类许可证</w:t>
      </w:r>
      <w:bookmarkEnd w:id="67"/>
      <w:r/>
      <w:bookmarkStart w:id="68" w:name="OLE_LINK33"/>
      <w:r/>
      <w:bookmarkStart w:id="69" w:name="OLE_LINK32"/>
      <w:r>
        <w:rPr>
          <w:rFonts w:hint="eastAsia" w:ascii="宋体" w:hAnsi="宋体" w:cs="宋体"/>
          <w:color w:val="000000"/>
          <w:sz w:val="24"/>
          <w:highlight w:val="none"/>
        </w:rPr>
        <w:t xml:space="preserve">，并确保服务期间，许可证均处于合法有效期内。</w:t>
      </w:r>
      <w:r>
        <w:rPr>
          <w:rFonts w:hint="eastAsia" w:ascii="宋体" w:hAnsi="宋体" w:cs="宋体"/>
          <w:color w:val="000000"/>
          <w:sz w:val="24"/>
          <w:highlight w:val="none"/>
        </w:rPr>
      </w:r>
      <w:r/>
    </w:p>
    <w:p>
      <w:pPr>
        <w:pStyle w:val="884"/>
        <w:ind w:firstLine="482"/>
        <w:spacing w:line="360" w:lineRule="auto"/>
        <w:rPr>
          <w:rFonts w:ascii="宋体" w:hAnsi="宋体" w:cs="宋体"/>
          <w:color w:val="000000"/>
          <w:sz w:val="24"/>
          <w:highlight w:val="none"/>
        </w:rPr>
      </w:pPr>
      <w:r/>
      <w:bookmarkEnd w:id="68"/>
      <w:r/>
      <w:bookmarkEnd w:id="69"/>
      <w:r>
        <w:rPr>
          <w:rFonts w:hint="eastAsia" w:ascii="宋体" w:hAnsi="宋体" w:cs="宋体"/>
          <w:b/>
          <w:bCs/>
          <w:color w:val="000000"/>
          <w:sz w:val="24"/>
          <w:highlight w:val="none"/>
        </w:rPr>
        <w:t xml:space="preserve">十二、解除合同的条件</w:t>
      </w:r>
      <w:r>
        <w:rPr>
          <w:rFonts w:ascii="宋体" w:hAnsi="宋体" w:cs="宋体"/>
          <w:color w:val="000000"/>
          <w:sz w:val="24"/>
          <w:highlight w:val="none"/>
        </w:rPr>
      </w:r>
      <w:r/>
    </w:p>
    <w:p>
      <w:pPr>
        <w:pStyle w:val="88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1.中标人自合同签订的服务期限开始之日起，承诺投入本项目的所有船只、车辆未能全部及时到位，招标人有权解除合同。</w:t>
      </w:r>
      <w:r>
        <w:rPr>
          <w:rFonts w:ascii="宋体" w:hAnsi="宋体" w:cs="宋体"/>
          <w:color w:val="000000"/>
          <w:sz w:val="24"/>
          <w:highlight w:val="none"/>
        </w:rPr>
      </w:r>
      <w:r/>
    </w:p>
    <w:p>
      <w:pPr>
        <w:pStyle w:val="88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2.合同履行期间，中标人实际使用总人数连续2个月低于投标时承诺的总人数的90%，招标人有权解除合同。</w:t>
      </w:r>
      <w:r>
        <w:rPr>
          <w:rFonts w:ascii="宋体" w:hAnsi="宋体" w:cs="宋体"/>
          <w:color w:val="000000"/>
          <w:sz w:val="24"/>
          <w:highlight w:val="none"/>
        </w:rPr>
      </w:r>
      <w:r/>
    </w:p>
    <w:p>
      <w:pPr>
        <w:pStyle w:val="88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3.中标人在12个月内连续2次或累计3次月度考核得分低于80分时，招标人有权解除服务合同。</w:t>
      </w:r>
      <w:r>
        <w:rPr>
          <w:rFonts w:ascii="宋体" w:hAnsi="宋体" w:cs="宋体"/>
          <w:color w:val="000000"/>
          <w:sz w:val="24"/>
          <w:highlight w:val="none"/>
        </w:rPr>
      </w:r>
      <w:r/>
    </w:p>
    <w:p>
      <w:pPr>
        <w:pStyle w:val="88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4.中标人在各类创建保障活动、恶劣天气应急期间，因市场化河道保洁工作不到位造成重大影响的，招标单位有权解除合同。</w:t>
      </w:r>
      <w:r>
        <w:rPr>
          <w:rFonts w:ascii="宋体" w:hAnsi="宋体" w:cs="宋体"/>
          <w:color w:val="000000"/>
          <w:sz w:val="24"/>
          <w:highlight w:val="none"/>
        </w:rPr>
      </w:r>
      <w:r/>
    </w:p>
    <w:p>
      <w:pPr>
        <w:pStyle w:val="88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5.被解除合同的中标人在被解除合同之日起五年内不得参与本市环卫作业市场化项目的投标。</w:t>
      </w:r>
      <w:r>
        <w:rPr>
          <w:rFonts w:ascii="宋体" w:hAnsi="宋体" w:cs="宋体"/>
          <w:color w:val="000000"/>
          <w:sz w:val="24"/>
          <w:highlight w:val="none"/>
        </w:rPr>
      </w:r>
      <w:r/>
    </w:p>
    <w:p>
      <w:pPr>
        <w:pStyle w:val="88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6.解除合同，招标人不对中标人进行任何形式的补偿。</w:t>
      </w:r>
      <w:r>
        <w:rPr>
          <w:rFonts w:ascii="宋体" w:hAnsi="宋体" w:cs="宋体"/>
          <w:color w:val="000000"/>
          <w:sz w:val="24"/>
          <w:highlight w:val="none"/>
        </w:rPr>
      </w:r>
      <w:r/>
    </w:p>
    <w:p>
      <w:pPr>
        <w:pStyle w:val="884"/>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十三、付款方式</w:t>
      </w:r>
      <w:r>
        <w:rPr>
          <w:rFonts w:ascii="宋体" w:hAnsi="宋体" w:cs="宋体"/>
          <w:b/>
          <w:bCs/>
          <w:color w:val="000000"/>
          <w:sz w:val="24"/>
          <w:highlight w:val="none"/>
        </w:rPr>
      </w:r>
      <w:r/>
    </w:p>
    <w:p>
      <w:pPr>
        <w:pStyle w:val="922"/>
        <w:spacing w:line="360" w:lineRule="auto"/>
        <w:rPr>
          <w:rFonts w:ascii="宋体" w:hAnsi="宋体"/>
          <w:color w:val="000000"/>
          <w:sz w:val="24"/>
          <w:szCs w:val="24"/>
          <w:highlight w:val="none"/>
          <w:lang w:val="en-US"/>
        </w:rPr>
      </w:pPr>
      <w:r>
        <w:rPr>
          <w:rFonts w:hint="eastAsia" w:ascii="宋体" w:hAnsi="宋体"/>
          <w:color w:val="000000"/>
          <w:sz w:val="24"/>
          <w:szCs w:val="24"/>
          <w:highlight w:val="none"/>
          <w:lang w:val="en-US"/>
        </w:rPr>
        <w:t xml:space="preserve">1.根据每月综合考核结果，中标人于次月20日前向招标人提供正式发票，经招标人审核后支付费用。</w:t>
      </w:r>
      <w:r>
        <w:rPr>
          <w:rFonts w:ascii="宋体" w:hAnsi="宋体"/>
          <w:color w:val="000000"/>
          <w:sz w:val="24"/>
          <w:szCs w:val="24"/>
          <w:highlight w:val="none"/>
          <w:lang w:val="en-US"/>
        </w:rPr>
      </w:r>
      <w:r/>
    </w:p>
    <w:p>
      <w:pPr>
        <w:pStyle w:val="922"/>
        <w:spacing w:line="360" w:lineRule="auto"/>
        <w:rPr>
          <w:rFonts w:ascii="宋体" w:hAnsi="宋体" w:cs="宋体"/>
          <w:bCs/>
          <w:color w:val="000000"/>
          <w:sz w:val="24"/>
          <w:szCs w:val="24"/>
          <w:highlight w:val="none"/>
          <w:lang w:val="en-US"/>
        </w:rPr>
      </w:pPr>
      <w:r>
        <w:rPr>
          <w:rFonts w:hint="eastAsia" w:ascii="宋体" w:hAnsi="宋体" w:cs="宋体"/>
          <w:bCs/>
          <w:color w:val="000000"/>
          <w:sz w:val="24"/>
          <w:szCs w:val="24"/>
          <w:highlight w:val="none"/>
          <w:lang w:val="en-US"/>
        </w:rPr>
        <w:t xml:space="preserve">2.人员工资（年工资总额/12）按月拨付至环卫工人工资专用账户，剩余服务费用拨付至乙方指定账户。如遇江苏省一类城市最低工资保障线标准调整，工作人员工资实时调整（年服务费总额不变）。</w:t>
      </w:r>
      <w:r>
        <w:rPr>
          <w:rFonts w:ascii="宋体" w:hAnsi="宋体" w:cs="宋体"/>
          <w:bCs/>
          <w:color w:val="000000"/>
          <w:sz w:val="24"/>
          <w:szCs w:val="24"/>
          <w:highlight w:val="none"/>
          <w:lang w:val="en-US"/>
        </w:rPr>
      </w:r>
      <w:r/>
    </w:p>
    <w:p>
      <w:pPr>
        <w:pStyle w:val="884"/>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十四、项目验收</w:t>
      </w:r>
      <w:r>
        <w:rPr>
          <w:rFonts w:ascii="宋体" w:hAnsi="宋体" w:cs="宋体"/>
          <w:b/>
          <w:bCs/>
          <w:color w:val="000000"/>
          <w:sz w:val="24"/>
          <w:highlight w:val="none"/>
        </w:rPr>
      </w:r>
      <w:r/>
    </w:p>
    <w:p>
      <w:pPr>
        <w:pStyle w:val="88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w:t>
      </w:r>
      <w:bookmarkStart w:id="70" w:name="OLE_LINK28"/>
      <w:r/>
      <w:bookmarkStart w:id="71" w:name="OLE_LINK29"/>
      <w:r>
        <w:rPr>
          <w:rFonts w:hint="eastAsia" w:ascii="宋体" w:hAnsi="宋体" w:cs="宋体"/>
          <w:color w:val="000000"/>
          <w:sz w:val="24"/>
          <w:highlight w:val="none"/>
        </w:rPr>
        <w:t xml:space="preserve">自</w:t>
      </w:r>
      <w:bookmarkStart w:id="72" w:name="OLE_LINK31"/>
      <w:r/>
      <w:bookmarkStart w:id="73" w:name="OLE_LINK30"/>
      <w:r>
        <w:rPr>
          <w:rFonts w:hint="eastAsia" w:ascii="宋体" w:hAnsi="宋体" w:cs="宋体"/>
          <w:color w:val="000000"/>
          <w:sz w:val="24"/>
          <w:highlight w:val="none"/>
        </w:rPr>
        <w:t xml:space="preserve">服务期限</w:t>
      </w:r>
      <w:bookmarkEnd w:id="72"/>
      <w:r/>
      <w:bookmarkEnd w:id="73"/>
      <w:r>
        <w:rPr>
          <w:rFonts w:hint="eastAsia" w:ascii="宋体" w:hAnsi="宋体" w:cs="宋体"/>
          <w:color w:val="000000"/>
          <w:sz w:val="24"/>
          <w:highlight w:val="none"/>
        </w:rPr>
        <w:t xml:space="preserve">开始之日</w:t>
      </w:r>
      <w:bookmarkEnd w:id="70"/>
      <w:r/>
      <w:bookmarkEnd w:id="71"/>
      <w:r>
        <w:rPr>
          <w:rFonts w:hint="eastAsia" w:ascii="宋体" w:hAnsi="宋体" w:cs="宋体"/>
          <w:color w:val="000000"/>
          <w:sz w:val="24"/>
          <w:highlight w:val="none"/>
        </w:rPr>
        <w:t xml:space="preserve">起，正式进入运营期，服务首月内，招标人成立项目验收小组，对本项目进行验收。</w:t>
      </w:r>
      <w:r>
        <w:rPr>
          <w:rFonts w:hint="eastAsia" w:ascii="宋体" w:hAnsi="宋体" w:cs="宋体"/>
          <w:color w:val="000000"/>
          <w:sz w:val="24"/>
          <w:highlight w:val="none"/>
        </w:rPr>
      </w:r>
      <w:r/>
    </w:p>
    <w:p>
      <w:pPr>
        <w:pStyle w:val="88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1.验收内容：</w:t>
      </w:r>
      <w:r>
        <w:rPr>
          <w:rFonts w:ascii="宋体" w:hAnsi="宋体" w:cs="宋体"/>
          <w:color w:val="000000"/>
          <w:sz w:val="24"/>
          <w:highlight w:val="none"/>
        </w:rPr>
      </w:r>
      <w:r/>
    </w:p>
    <w:p>
      <w:pPr>
        <w:pStyle w:val="88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①</w:t>
      </w:r>
      <w:bookmarkStart w:id="74" w:name="OLE_LINK41"/>
      <w:r/>
      <w:bookmarkStart w:id="75" w:name="OLE_LINK40"/>
      <w:r/>
      <w:bookmarkStart w:id="76" w:name="OLE_LINK39"/>
      <w:r>
        <w:rPr>
          <w:rFonts w:hint="eastAsia" w:ascii="宋体" w:hAnsi="宋体" w:cs="宋体"/>
          <w:color w:val="000000"/>
          <w:sz w:val="24"/>
          <w:highlight w:val="none"/>
        </w:rPr>
        <w:t xml:space="preserve">总人数和</w:t>
      </w:r>
      <w:bookmarkStart w:id="77" w:name="OLE_LINK43"/>
      <w:r/>
      <w:bookmarkStart w:id="78" w:name="OLE_LINK42"/>
      <w:r>
        <w:rPr>
          <w:rFonts w:hint="eastAsia" w:ascii="宋体" w:hAnsi="宋体" w:cs="宋体"/>
          <w:color w:val="000000"/>
          <w:sz w:val="24"/>
          <w:highlight w:val="none"/>
        </w:rPr>
        <w:t xml:space="preserve">岗位要求</w:t>
      </w:r>
      <w:bookmarkEnd w:id="77"/>
      <w:r/>
      <w:bookmarkEnd w:id="78"/>
      <w:r>
        <w:rPr>
          <w:rFonts w:hint="eastAsia" w:ascii="宋体" w:hAnsi="宋体" w:cs="宋体"/>
          <w:color w:val="000000"/>
          <w:sz w:val="24"/>
          <w:highlight w:val="none"/>
        </w:rPr>
        <w:t xml:space="preserve">需满足。</w:t>
      </w:r>
      <w:bookmarkEnd w:id="74"/>
      <w:r>
        <w:rPr>
          <w:rFonts w:ascii="宋体" w:hAnsi="宋体" w:cs="宋体"/>
          <w:color w:val="000000"/>
          <w:sz w:val="24"/>
          <w:highlight w:val="none"/>
        </w:rPr>
      </w:r>
      <w:r/>
    </w:p>
    <w:p>
      <w:pPr>
        <w:pStyle w:val="884"/>
        <w:ind w:firstLine="480"/>
        <w:spacing w:line="360" w:lineRule="auto"/>
        <w:rPr>
          <w:rFonts w:ascii="宋体" w:hAnsi="宋体" w:cs="宋体"/>
          <w:color w:val="000000"/>
          <w:sz w:val="24"/>
          <w:highlight w:val="none"/>
        </w:rPr>
      </w:pPr>
      <w:r/>
      <w:bookmarkEnd w:id="75"/>
      <w:r/>
      <w:bookmarkEnd w:id="76"/>
      <w:r>
        <w:rPr>
          <w:rFonts w:hint="eastAsia" w:ascii="宋体" w:hAnsi="宋体" w:cs="宋体"/>
          <w:color w:val="000000"/>
          <w:sz w:val="24"/>
          <w:highlight w:val="none"/>
        </w:rPr>
        <w:t xml:space="preserve">②设备需满足。</w:t>
      </w:r>
      <w:r>
        <w:rPr>
          <w:rFonts w:ascii="宋体" w:hAnsi="宋体" w:cs="宋体"/>
          <w:color w:val="000000"/>
          <w:sz w:val="24"/>
          <w:highlight w:val="none"/>
        </w:rPr>
      </w:r>
      <w:r/>
    </w:p>
    <w:p>
      <w:pPr>
        <w:pStyle w:val="88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③是否开立环卫工人工资专用账户。</w:t>
      </w:r>
      <w:r>
        <w:rPr>
          <w:rFonts w:hint="eastAsia" w:ascii="宋体" w:hAnsi="宋体" w:cs="宋体"/>
          <w:color w:val="000000"/>
          <w:sz w:val="24"/>
          <w:highlight w:val="none"/>
        </w:rPr>
      </w:r>
      <w:r/>
    </w:p>
    <w:p>
      <w:pPr>
        <w:pStyle w:val="891"/>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④是否办理生活垃圾经营性清扫、收集类许可证。</w:t>
      </w:r>
      <w:r>
        <w:rPr>
          <w:rFonts w:ascii="宋体" w:hAnsi="宋体" w:eastAsia="宋体" w:cs="宋体"/>
          <w:color w:val="000000"/>
          <w:highlight w:val="none"/>
        </w:rPr>
      </w:r>
      <w:r/>
    </w:p>
    <w:p>
      <w:pPr>
        <w:pStyle w:val="88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验收结果运用：</w:t>
      </w:r>
      <w:r>
        <w:rPr>
          <w:rFonts w:ascii="宋体" w:hAnsi="宋体" w:cs="宋体"/>
          <w:color w:val="000000"/>
          <w:sz w:val="24"/>
          <w:highlight w:val="none"/>
        </w:rPr>
      </w:r>
      <w:r/>
    </w:p>
    <w:p>
      <w:pPr>
        <w:pStyle w:val="884"/>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highlight w:val="none"/>
        </w:rPr>
        <w:t xml:space="preserve">招标人验收后出具验收结果通报，认定符合标准的，则按照招标文件明确的付款方式，进行付款。认定不符合标准的，每缺少1名项目负责人或项目管理员的（须符合岗位要求），扣除</w:t>
      </w:r>
      <w:bookmarkStart w:id="79" w:name="OLE_LINK45"/>
      <w:r/>
      <w:bookmarkStart w:id="80" w:name="OLE_LINK44"/>
      <w:r>
        <w:rPr>
          <w:rFonts w:hint="eastAsia" w:ascii="宋体" w:hAnsi="宋体" w:cs="宋体"/>
          <w:color w:val="000000"/>
          <w:sz w:val="24"/>
          <w:highlight w:val="none"/>
        </w:rPr>
        <w:t xml:space="preserve">壹万元合同款</w:t>
      </w:r>
      <w:bookmarkEnd w:id="79"/>
      <w:r/>
      <w:bookmarkEnd w:id="80"/>
      <w:r>
        <w:rPr>
          <w:rFonts w:hint="eastAsia" w:ascii="宋体" w:hAnsi="宋体" w:cs="宋体"/>
          <w:color w:val="000000"/>
          <w:sz w:val="24"/>
          <w:highlight w:val="none"/>
        </w:rPr>
        <w:t xml:space="preserve">；其他人员每缺少1名，扣除伍仟元合同款；</w:t>
      </w:r>
      <w:bookmarkStart w:id="81" w:name="OLE_LINK91"/>
      <w:r>
        <w:rPr>
          <w:rFonts w:hint="eastAsia" w:ascii="宋体" w:hAnsi="宋体" w:cs="宋体"/>
          <w:color w:val="000000"/>
          <w:sz w:val="24"/>
          <w:highlight w:val="none"/>
        </w:rPr>
        <w:t xml:space="preserve">每缺少1</w:t>
      </w:r>
      <w:bookmarkEnd w:id="81"/>
      <w:r/>
      <w:bookmarkStart w:id="82" w:name="OLE_LINK84"/>
      <w:r/>
      <w:bookmarkStart w:id="83" w:name="OLE_LINK83"/>
      <w:r>
        <w:rPr>
          <w:rFonts w:hint="eastAsia" w:ascii="宋体" w:hAnsi="宋体" w:cs="宋体"/>
          <w:color w:val="000000"/>
          <w:sz w:val="24"/>
          <w:szCs w:val="24"/>
          <w:highlight w:val="none"/>
        </w:rPr>
        <w:t xml:space="preserve">艘</w:t>
      </w:r>
      <w:bookmarkEnd w:id="82"/>
      <w:r/>
      <w:bookmarkEnd w:id="83"/>
      <w:r>
        <w:rPr>
          <w:rFonts w:hint="eastAsia" w:ascii="宋体" w:hAnsi="宋体" w:cs="宋体"/>
          <w:color w:val="000000"/>
          <w:sz w:val="24"/>
          <w:highlight w:val="none"/>
        </w:rPr>
        <w:t xml:space="preserve">机动巡逻（查）船或自动保洁（打捞）船或新能源无人智能清洁船（含承诺投入本项目的船只），</w:t>
      </w:r>
      <w:bookmarkStart w:id="84" w:name="OLE_LINK88"/>
      <w:r/>
      <w:bookmarkStart w:id="85" w:name="OLE_LINK87"/>
      <w:r>
        <w:rPr>
          <w:rFonts w:hint="eastAsia" w:ascii="宋体" w:hAnsi="宋体" w:cs="宋体"/>
          <w:color w:val="000000"/>
          <w:sz w:val="24"/>
          <w:highlight w:val="none"/>
        </w:rPr>
        <w:t xml:space="preserve">扣除</w:t>
      </w:r>
      <w:bookmarkStart w:id="86" w:name="OLE_LINK64"/>
      <w:r/>
      <w:bookmarkStart w:id="87" w:name="OLE_LINK71"/>
      <w:r>
        <w:rPr>
          <w:rFonts w:hint="eastAsia" w:ascii="宋体" w:hAnsi="宋体" w:cs="宋体"/>
          <w:color w:val="000000"/>
          <w:sz w:val="24"/>
          <w:highlight w:val="none"/>
        </w:rPr>
        <w:t xml:space="preserve">贰万元合同款</w:t>
      </w:r>
      <w:bookmarkEnd w:id="84"/>
      <w:r/>
      <w:bookmarkEnd w:id="85"/>
      <w:r/>
      <w:bookmarkEnd w:id="86"/>
      <w:r/>
      <w:bookmarkEnd w:id="87"/>
      <w:r>
        <w:rPr>
          <w:rFonts w:hint="eastAsia" w:ascii="宋体" w:hAnsi="宋体" w:cs="宋体"/>
          <w:color w:val="000000"/>
          <w:sz w:val="24"/>
          <w:highlight w:val="none"/>
        </w:rPr>
        <w:t xml:space="preserve">；每缺少1</w:t>
      </w:r>
      <w:r>
        <w:rPr>
          <w:rFonts w:hint="eastAsia" w:ascii="宋体" w:hAnsi="宋体" w:cs="宋体"/>
          <w:color w:val="000000"/>
          <w:sz w:val="24"/>
          <w:szCs w:val="24"/>
          <w:highlight w:val="none"/>
        </w:rPr>
        <w:t xml:space="preserve">艘</w:t>
      </w:r>
      <w:r>
        <w:rPr>
          <w:rFonts w:hint="eastAsia" w:ascii="宋体" w:hAnsi="宋体" w:cs="宋体"/>
          <w:color w:val="000000"/>
          <w:sz w:val="24"/>
          <w:highlight w:val="none"/>
        </w:rPr>
        <w:t xml:space="preserve">人工保洁船或电动保洁船，扣除壹万元合同款；每缺少1辆电动三轮保洁车或电动三轮清运车，扣除伍仟元合同款；未办理生活垃圾经营性清扫、收集类许可证（合法有效期内），扣除壹万元合同款；同时要求限期整改，逾期整改不到位，将继续按上述标准扣除服务费，且招标人保留解除合同的权利。</w:t>
      </w:r>
      <w:r>
        <w:rPr>
          <w:rFonts w:hint="eastAsia" w:ascii="宋体" w:hAnsi="宋体" w:cs="宋体"/>
          <w:b/>
          <w:color w:val="000000"/>
          <w:sz w:val="24"/>
          <w:szCs w:val="24"/>
          <w:highlight w:val="none"/>
        </w:rPr>
      </w:r>
      <w:r/>
    </w:p>
    <w:p>
      <w:pPr>
        <w:pStyle w:val="884"/>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十五、河道保洁考核办法</w:t>
      </w:r>
      <w:r>
        <w:rPr>
          <w:rFonts w:hint="eastAsia" w:ascii="宋体" w:hAnsi="宋体" w:cs="宋体"/>
          <w:b/>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（一）考核方法</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1.项目考核实行百分制考核，每月考核得分与服务费用相挂钩。</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2.检查方式分为自查、日常检查和月度集中检查。</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2.1作业单位自查：根据招标文件规定的作业要求，作业单位每日对照进行自查自检，并做好自查记录，作为月度集中考核台账资料备查。</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2.2管理单位日常检查：按照招标文件规定的作业要求，招标人职能科室组织人员通过现场巡查和智慧环卫平台数据分析等方式，对各河道进行日常检查。</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2.3月度集中检查：招标人管理考核小组每月组织一次集中检查，作业单位项目经理共同参与，采取随机抽查相应河道作业质量和查看各类软件资料的方式进行督查。</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3.考核方式分为日常考核和月度集中考核。</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3.1日常考核：招标人职能科室依据日常检查情况进行月度考核评分。考核得分占月度综合考核总分的80%。</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3.2月度集中考核：根据招标文件规定的作业要求，招标人考核小组对河道作业质量及相关软件资料情况进行综合考评。考核得分占月度综合考核总分的20%。</w:t>
      </w:r>
      <w:r>
        <w:rPr>
          <w:rFonts w:hint="eastAsia" w:ascii="宋体" w:hAnsi="宋体" w:cs="宋体"/>
          <w:color w:val="000000"/>
          <w:sz w:val="24"/>
          <w:szCs w:val="24"/>
          <w:highlight w:val="none"/>
        </w:rPr>
      </w:r>
      <w:r/>
    </w:p>
    <w:p>
      <w:pPr>
        <w:pStyle w:val="884"/>
        <w:numPr>
          <w:ilvl w:val="0"/>
          <w:numId w:val="8"/>
        </w:numPr>
        <w:ind w:firstLine="480"/>
        <w:spacing w:line="360" w:lineRule="auto"/>
        <w:tabs>
          <w:tab w:val="left" w:pos="312"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月度综合考核得分组成为：月度综合考核总分=日常考核得分×80%＋月度集中考核得分×20%。</w:t>
      </w:r>
      <w:r>
        <w:rPr>
          <w:rFonts w:hint="eastAsia" w:ascii="宋体" w:hAnsi="宋体" w:cs="宋体"/>
          <w:color w:val="000000"/>
          <w:sz w:val="24"/>
          <w:szCs w:val="24"/>
          <w:highlight w:val="none"/>
        </w:rPr>
      </w:r>
      <w:r/>
    </w:p>
    <w:p>
      <w:pPr>
        <w:pStyle w:val="891"/>
        <w:numPr>
          <w:ilvl w:val="0"/>
          <w:numId w:val="9"/>
        </w:numPr>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项目服务督查考核标准</w:t>
      </w:r>
      <w:r>
        <w:rPr>
          <w:rFonts w:ascii="宋体" w:hAnsi="宋体" w:eastAsia="宋体" w:cs="宋体"/>
          <w:color w:val="000000"/>
          <w:highlight w:val="none"/>
        </w:rPr>
      </w:r>
      <w:r/>
    </w:p>
    <w:p>
      <w:pPr>
        <w:pStyle w:val="891"/>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1.河道保洁项目考核细则中“人工保洁作业”内容，同一河道每日发现作业质量问题5处（不含5处）以上，按扣分标准进行考核。</w:t>
      </w:r>
      <w:r>
        <w:rPr>
          <w:rFonts w:ascii="宋体" w:hAnsi="宋体" w:eastAsia="宋体" w:cs="宋体"/>
          <w:color w:val="000000"/>
          <w:highlight w:val="none"/>
        </w:rPr>
      </w:r>
      <w:r/>
    </w:p>
    <w:p>
      <w:pPr>
        <w:pStyle w:val="891"/>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2.作业单位每月考核得分80分（含80分）以上，项目服务质量为合格。</w:t>
      </w:r>
      <w:r>
        <w:rPr>
          <w:rFonts w:ascii="宋体" w:hAnsi="宋体" w:eastAsia="宋体" w:cs="宋体"/>
          <w:color w:val="000000"/>
          <w:highlight w:val="none"/>
        </w:rPr>
      </w:r>
      <w:r/>
    </w:p>
    <w:p>
      <w:pPr>
        <w:pStyle w:val="891"/>
        <w:ind w:firstLine="480"/>
        <w:spacing w:line="360" w:lineRule="auto"/>
        <w:rPr>
          <w:rFonts w:ascii="宋体" w:hAnsi="宋体" w:eastAsia="宋体" w:cs="宋体"/>
          <w:color w:val="000000"/>
          <w:highlight w:val="none"/>
        </w:rPr>
      </w:pPr>
      <w:r>
        <w:rPr>
          <w:rFonts w:ascii="宋体" w:hAnsi="宋体" w:cs="宋体"/>
          <w:color w:val="000000"/>
          <w:szCs w:val="24"/>
          <w:highlight w:val="none"/>
        </w:rPr>
        <w:t xml:space="preserve">3.作业单位当月考核得分低于80分，视为不合格。</w:t>
      </w:r>
      <w:r>
        <w:rPr>
          <w:rFonts w:ascii="宋体" w:hAnsi="宋体" w:eastAsia="宋体" w:cs="宋体"/>
          <w:color w:val="000000"/>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（三）考核得分结果运用</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根据每月综合考核结果，计算当月服务经费。</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当月服务经费=（年中标总价÷12个月）－（95分－当月实际考核得分）×分值</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1.作业单位每月考核得分高于95分（含95分），当月作业经费不扣款。</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2.作业单位当月考核得分低于95分，分值为1600元。</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3.作业单位当月考核得分为70分（含）至79分，直接扣除应得月度服务总费用的10%；考核得分为60分（含）至69分，直接扣除应得月度服务总费用的15%；考核得分为60分以下，直接扣除应得月度服务总费用的20%。</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（四）考核细则</w:t>
      </w:r>
      <w:r>
        <w:rPr>
          <w:rFonts w:hint="eastAsia" w:ascii="宋体" w:hAnsi="宋体" w:cs="宋体"/>
          <w:color w:val="000000"/>
          <w:sz w:val="24"/>
          <w:szCs w:val="24"/>
          <w:highlight w:val="none"/>
        </w:rPr>
      </w:r>
      <w:r/>
    </w:p>
    <w:tbl>
      <w:tblPr>
        <w:tblW w:w="8852" w:type="dxa"/>
        <w:tblInd w:w="-108" w:type="dxa"/>
        <w:tblLayout w:type="fixed"/>
        <w:tblCellMar>
          <w:left w:w="108" w:type="dxa"/>
          <w:top w:w="0" w:type="dxa"/>
          <w:right w:w="108" w:type="dxa"/>
          <w:bottom w:w="0" w:type="dxa"/>
        </w:tblCellMar>
        <w:tblLook w:val="04A0" w:firstRow="1" w:lastRow="0" w:firstColumn="1" w:lastColumn="0" w:noHBand="0" w:noVBand="1"/>
      </w:tblPr>
      <w:tblGrid>
        <w:gridCol w:w="1497"/>
        <w:gridCol w:w="3813"/>
        <w:gridCol w:w="3542"/>
      </w:tblGrid>
      <w:tr>
        <w:trPr>
          <w:trHeight w:val="780"/>
        </w:trPr>
        <w:tc>
          <w:tcPr>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pStyle w:val="8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考核内容</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pStyle w:val="8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作业要求</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8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扣分标准</w:t>
            </w:r>
            <w:r>
              <w:rPr>
                <w:rFonts w:hint="eastAsia" w:ascii="宋体" w:hAnsi="宋体" w:cs="宋体"/>
                <w:color w:val="000000"/>
                <w:sz w:val="24"/>
                <w:szCs w:val="24"/>
                <w:highlight w:val="none"/>
              </w:rPr>
            </w:r>
            <w:r/>
          </w:p>
        </w:tc>
      </w:tr>
      <w:tr>
        <w:trPr>
          <w:trHeight w:val="780"/>
        </w:trPr>
        <w:tc>
          <w:tcPr>
            <w:tcBorders>
              <w:top w:val="single" w:color="000000" w:sz="4" w:space="0"/>
              <w:left w:val="single" w:color="000000" w:sz="4" w:space="0"/>
              <w:bottom w:val="none" w:color="000000" w:sz="0" w:space="0"/>
              <w:right w:val="single" w:color="000000" w:sz="4" w:space="0"/>
            </w:tcBorders>
            <w:tcW w:w="1497" w:type="dxa"/>
            <w:vAlign w:val="center"/>
            <w:vMerge w:val="restart"/>
            <w:textDirection w:val="lrTb"/>
            <w:noWrap w:val="false"/>
          </w:tcPr>
          <w:p>
            <w:pPr>
              <w:pStyle w:val="8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机械化作业</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813"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1.建立船只管理、作业、维修保养等台账。</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542"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作业台账不健全或记录不完整不准确的，每次扣0.5分。</w:t>
            </w:r>
            <w:r>
              <w:rPr>
                <w:rFonts w:hint="eastAsia" w:ascii="宋体" w:hAnsi="宋体" w:cs="宋体"/>
                <w:color w:val="000000"/>
                <w:sz w:val="24"/>
                <w:szCs w:val="24"/>
                <w:highlight w:val="none"/>
              </w:rPr>
            </w:r>
            <w:r/>
          </w:p>
        </w:tc>
      </w:tr>
      <w:tr>
        <w:trPr>
          <w:trHeight w:val="600"/>
        </w:trPr>
        <w:tc>
          <w:tcPr>
            <w:tcBorders>
              <w:top w:val="none" w:color="000000" w:sz="0" w:space="0"/>
              <w:left w:val="single" w:color="000000" w:sz="4" w:space="0"/>
              <w:bottom w:val="none" w:color="000000" w:sz="0" w:space="0"/>
              <w:right w:val="single" w:color="000000" w:sz="4" w:space="0"/>
            </w:tcBorders>
            <w:tcW w:w="1497" w:type="dxa"/>
            <w:vAlign w:val="center"/>
            <w:vMerge w:val="continue"/>
            <w:textDirection w:val="lrTb"/>
            <w:noWrap w:val="false"/>
          </w:tcPr>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13"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2.各类作业船只及车辆需及时保养、确保外观整洁、性能良好。</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542"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船只外观破损未及时修复，发现一次扣0.5分；船只外貌不整洁，发现一次扣0.5分；船只未及时保养，发现一次扣1分。</w:t>
            </w:r>
            <w:r>
              <w:rPr>
                <w:rFonts w:hint="eastAsia" w:ascii="宋体" w:hAnsi="宋体" w:cs="宋体"/>
                <w:color w:val="000000"/>
                <w:sz w:val="24"/>
                <w:szCs w:val="24"/>
                <w:highlight w:val="none"/>
              </w:rPr>
            </w:r>
            <w:r/>
          </w:p>
        </w:tc>
      </w:tr>
      <w:tr>
        <w:trPr>
          <w:trHeight w:val="600"/>
        </w:trPr>
        <w:tc>
          <w:tcPr>
            <w:tcBorders>
              <w:top w:val="none" w:color="000000" w:sz="0" w:space="0"/>
              <w:left w:val="single" w:color="000000" w:sz="4" w:space="0"/>
              <w:bottom w:val="none" w:color="000000" w:sz="0" w:space="0"/>
              <w:right w:val="single" w:color="000000" w:sz="4" w:space="0"/>
            </w:tcBorders>
            <w:tcW w:w="1497" w:type="dxa"/>
            <w:vAlign w:val="center"/>
            <w:vMerge w:val="continue"/>
            <w:textDirection w:val="lrTb"/>
            <w:noWrap w:val="false"/>
          </w:tcPr>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13"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3.车船配备齐全，作业中车船发生故障应及时向招标人报备并调配车船顶替作业。</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542" w:type="dxa"/>
            <w:vAlign w:val="center"/>
            <w:textDirection w:val="lrTb"/>
            <w:noWrap w:val="false"/>
          </w:tcPr>
          <w:p>
            <w:pPr>
              <w:pStyle w:val="884"/>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当日车船每少一辆（艘）扣2分；</w:t>
            </w:r>
            <w:r>
              <w:rPr>
                <w:rFonts w:ascii="宋体" w:hAnsi="宋体" w:cs="宋体"/>
                <w:color w:val="000000"/>
                <w:sz w:val="24"/>
                <w:szCs w:val="24"/>
                <w:highlight w:val="none"/>
              </w:rPr>
            </w:r>
            <w:r/>
          </w:p>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当日车船发生故障未报备，发现一次扣2分。</w:t>
            </w:r>
            <w:r>
              <w:rPr>
                <w:rFonts w:hint="eastAsia" w:ascii="宋体" w:hAnsi="宋体" w:cs="宋体"/>
                <w:color w:val="000000"/>
                <w:sz w:val="24"/>
                <w:szCs w:val="24"/>
                <w:highlight w:val="none"/>
              </w:rPr>
            </w:r>
            <w:r/>
          </w:p>
        </w:tc>
      </w:tr>
      <w:tr>
        <w:trPr>
          <w:trHeight w:val="600"/>
        </w:trPr>
        <w:tc>
          <w:tcPr>
            <w:tcBorders>
              <w:top w:val="none" w:color="000000" w:sz="0" w:space="0"/>
              <w:left w:val="single" w:color="000000" w:sz="4" w:space="0"/>
              <w:bottom w:val="none" w:color="000000" w:sz="0" w:space="0"/>
              <w:right w:val="single" w:color="000000" w:sz="4" w:space="0"/>
            </w:tcBorders>
            <w:tcW w:w="1497" w:type="dxa"/>
            <w:vAlign w:val="center"/>
            <w:vMerge w:val="continue"/>
            <w:textDirection w:val="lrTb"/>
            <w:noWrap w:val="false"/>
          </w:tcPr>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13"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4.出现大量水生植物，须使用自动保洁（打捞）船进行打捞，及时清理，严禁闲置不用。</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542"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机械设备闲置不用或未最大化使用，确保清理及时率，发现一次扣3分。</w:t>
            </w:r>
            <w:r>
              <w:rPr>
                <w:rFonts w:hint="eastAsia" w:ascii="宋体" w:hAnsi="宋体" w:cs="宋体"/>
                <w:color w:val="000000"/>
                <w:sz w:val="24"/>
                <w:szCs w:val="24"/>
                <w:highlight w:val="none"/>
              </w:rPr>
            </w:r>
            <w:r/>
          </w:p>
        </w:tc>
      </w:tr>
      <w:tr>
        <w:trPr>
          <w:trHeight w:val="600"/>
        </w:trPr>
        <w:tc>
          <w:tcPr>
            <w:tcBorders>
              <w:top w:val="none" w:color="000000" w:sz="0" w:space="0"/>
              <w:left w:val="single" w:color="000000" w:sz="4" w:space="0"/>
              <w:bottom w:val="single" w:color="000000" w:sz="4" w:space="0"/>
              <w:right w:val="single" w:color="000000" w:sz="4" w:space="0"/>
            </w:tcBorders>
            <w:tcW w:w="1497" w:type="dxa"/>
            <w:vAlign w:val="center"/>
            <w:vMerge w:val="continue"/>
            <w:textDirection w:val="lrTb"/>
            <w:noWrap w:val="false"/>
          </w:tcPr>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13"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5.定期组织机动巡逻（查）船对河道（段）进行巡查。</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542"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未定期组织机动巡逻（查）船对河道（段）进行巡查，发现一次扣3分。</w:t>
            </w:r>
            <w:r>
              <w:rPr>
                <w:rFonts w:hint="eastAsia" w:ascii="宋体" w:hAnsi="宋体" w:cs="宋体"/>
                <w:color w:val="000000"/>
                <w:sz w:val="24"/>
                <w:szCs w:val="24"/>
                <w:highlight w:val="none"/>
              </w:rPr>
            </w:r>
            <w:r/>
          </w:p>
        </w:tc>
      </w:tr>
      <w:tr>
        <w:trPr>
          <w:trHeight w:val="906"/>
        </w:trPr>
        <w:tc>
          <w:tcPr>
            <w:tcBorders>
              <w:top w:val="single" w:color="000000" w:sz="4" w:space="0"/>
              <w:left w:val="single" w:color="000000" w:sz="4" w:space="0"/>
              <w:bottom w:val="none" w:color="000000" w:sz="0" w:space="0"/>
              <w:right w:val="single" w:color="000000" w:sz="4" w:space="0"/>
            </w:tcBorders>
            <w:tcW w:w="1497" w:type="dxa"/>
            <w:vAlign w:val="center"/>
            <w:vMerge w:val="restart"/>
            <w:textDirection w:val="lrTb"/>
            <w:noWrap w:val="false"/>
          </w:tcPr>
          <w:p>
            <w:pPr>
              <w:pStyle w:val="8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人工保洁作业</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1.及时清除水生植物、各类垃圾及漂浮物。</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河道水面每平方米为一处，每一处未及时清除，发现一处扣0.5分。</w:t>
            </w:r>
            <w:r>
              <w:rPr>
                <w:rFonts w:hint="eastAsia" w:ascii="宋体" w:hAnsi="宋体" w:cs="宋体"/>
                <w:color w:val="000000"/>
                <w:sz w:val="24"/>
                <w:szCs w:val="24"/>
                <w:highlight w:val="none"/>
              </w:rPr>
            </w:r>
            <w:r/>
          </w:p>
        </w:tc>
      </w:tr>
      <w:tr>
        <w:trPr>
          <w:trHeight w:val="600"/>
        </w:trPr>
        <w:tc>
          <w:tcPr>
            <w:tcBorders>
              <w:top w:val="none" w:color="000000" w:sz="0" w:space="0"/>
              <w:left w:val="single" w:color="000000" w:sz="4" w:space="0"/>
              <w:bottom w:val="none" w:color="000000" w:sz="0" w:space="0"/>
              <w:right w:val="single" w:color="000000" w:sz="4" w:space="0"/>
            </w:tcBorders>
            <w:tcW w:w="1497" w:type="dxa"/>
            <w:vAlign w:val="center"/>
            <w:vMerge w:val="continue"/>
            <w:textDirection w:val="lrTb"/>
            <w:noWrap w:val="false"/>
          </w:tcPr>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813"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2.及时清除河道水面中的病死动物。</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542"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未及时清除，发现一处扣1分。</w:t>
            </w:r>
            <w:r>
              <w:rPr>
                <w:rFonts w:hint="eastAsia" w:ascii="宋体" w:hAnsi="宋体" w:cs="宋体"/>
                <w:color w:val="000000"/>
                <w:sz w:val="24"/>
                <w:szCs w:val="24"/>
                <w:highlight w:val="none"/>
              </w:rPr>
            </w:r>
            <w:r/>
          </w:p>
        </w:tc>
      </w:tr>
      <w:tr>
        <w:trPr>
          <w:trHeight w:val="600"/>
        </w:trPr>
        <w:tc>
          <w:tcPr>
            <w:tcBorders>
              <w:top w:val="none" w:color="000000" w:sz="0" w:space="0"/>
              <w:left w:val="single" w:color="000000" w:sz="4" w:space="0"/>
              <w:bottom w:val="none" w:color="000000" w:sz="0" w:space="0"/>
              <w:right w:val="single" w:color="000000" w:sz="4" w:space="0"/>
            </w:tcBorders>
            <w:tcW w:w="1497" w:type="dxa"/>
            <w:vAlign w:val="center"/>
            <w:vMerge w:val="continue"/>
            <w:textDirection w:val="lrTb"/>
            <w:noWrap w:val="false"/>
          </w:tcPr>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813"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3.沿河岸有积存暴露的生活垃圾或建筑垃圾应及时清理。</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未及时清除，发现一处扣0.5分。</w:t>
            </w:r>
            <w:r>
              <w:rPr>
                <w:rFonts w:hint="eastAsia" w:ascii="宋体" w:hAnsi="宋体" w:cs="宋体"/>
                <w:color w:val="000000"/>
                <w:sz w:val="24"/>
                <w:szCs w:val="24"/>
                <w:highlight w:val="none"/>
              </w:rPr>
            </w:r>
            <w:r/>
          </w:p>
        </w:tc>
      </w:tr>
      <w:tr>
        <w:trPr>
          <w:trHeight w:val="600"/>
        </w:trPr>
        <w:tc>
          <w:tcPr>
            <w:tcBorders>
              <w:top w:val="none" w:color="000000" w:sz="0" w:space="0"/>
              <w:left w:val="single" w:color="000000" w:sz="4" w:space="0"/>
              <w:bottom w:val="none" w:color="000000" w:sz="0" w:space="0"/>
              <w:right w:val="single" w:color="000000" w:sz="4" w:space="0"/>
            </w:tcBorders>
            <w:tcW w:w="1497" w:type="dxa"/>
            <w:vAlign w:val="center"/>
            <w:vMerge w:val="continue"/>
            <w:textDirection w:val="lrTb"/>
            <w:noWrap w:val="false"/>
          </w:tcPr>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813"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4.及时清除影响行洪的高杆作物。</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未及时清除，发现一处扣0.5分。</w:t>
            </w:r>
            <w:r>
              <w:rPr>
                <w:rFonts w:hint="eastAsia" w:ascii="宋体" w:hAnsi="宋体" w:cs="宋体"/>
                <w:color w:val="000000"/>
                <w:sz w:val="24"/>
                <w:szCs w:val="24"/>
                <w:highlight w:val="none"/>
              </w:rPr>
            </w:r>
            <w:r/>
          </w:p>
        </w:tc>
      </w:tr>
      <w:tr>
        <w:trPr>
          <w:trHeight w:val="600"/>
        </w:trPr>
        <w:tc>
          <w:tcPr>
            <w:tcBorders>
              <w:top w:val="none" w:color="000000" w:sz="0" w:space="0"/>
              <w:left w:val="single" w:color="000000" w:sz="4" w:space="0"/>
              <w:bottom w:val="none" w:color="000000" w:sz="0" w:space="0"/>
              <w:right w:val="single" w:color="000000" w:sz="4" w:space="0"/>
            </w:tcBorders>
            <w:tcW w:w="1497" w:type="dxa"/>
            <w:vAlign w:val="center"/>
            <w:vMerge w:val="continue"/>
            <w:textDirection w:val="lrTb"/>
            <w:noWrap w:val="false"/>
          </w:tcPr>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813"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5.及时清除岸坡、过桥管、桥头两侧、闸口及涵洞暴露的各类垃圾。</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未及时清除，发现一处扣0.5分。</w:t>
            </w:r>
            <w:r>
              <w:rPr>
                <w:rFonts w:hint="eastAsia" w:ascii="宋体" w:hAnsi="宋体" w:cs="宋体"/>
                <w:color w:val="000000"/>
                <w:sz w:val="24"/>
                <w:szCs w:val="24"/>
                <w:highlight w:val="none"/>
              </w:rPr>
            </w:r>
            <w:r/>
          </w:p>
        </w:tc>
      </w:tr>
      <w:tr>
        <w:trPr>
          <w:trHeight w:val="600"/>
        </w:trPr>
        <w:tc>
          <w:tcPr>
            <w:tcBorders>
              <w:top w:val="none" w:color="000000" w:sz="0" w:space="0"/>
              <w:left w:val="single" w:color="000000" w:sz="4" w:space="0"/>
              <w:bottom w:val="none" w:color="000000" w:sz="0" w:space="0"/>
              <w:right w:val="single" w:color="000000" w:sz="4" w:space="0"/>
            </w:tcBorders>
            <w:tcW w:w="1497" w:type="dxa"/>
            <w:vAlign w:val="center"/>
            <w:vMerge w:val="continue"/>
            <w:textDirection w:val="lrTb"/>
            <w:noWrap w:val="false"/>
          </w:tcPr>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13"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6.不得将水生植物等垃圾推送至非环卫河道管护范围。</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542"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发现一次扣1分。</w:t>
            </w:r>
            <w:r>
              <w:rPr>
                <w:rFonts w:hint="eastAsia" w:ascii="宋体" w:hAnsi="宋体" w:cs="宋体"/>
                <w:color w:val="000000"/>
                <w:sz w:val="24"/>
                <w:szCs w:val="24"/>
                <w:highlight w:val="none"/>
              </w:rPr>
            </w:r>
            <w:r/>
          </w:p>
        </w:tc>
      </w:tr>
      <w:tr>
        <w:trPr>
          <w:trHeight w:val="600"/>
        </w:trPr>
        <w:tc>
          <w:tcPr>
            <w:tcBorders>
              <w:top w:val="none" w:color="000000" w:sz="0" w:space="0"/>
              <w:left w:val="single" w:color="000000" w:sz="4" w:space="0"/>
              <w:bottom w:val="none" w:color="000000" w:sz="0" w:space="0"/>
              <w:right w:val="single" w:color="000000" w:sz="4" w:space="0"/>
            </w:tcBorders>
            <w:tcW w:w="1497" w:type="dxa"/>
            <w:vAlign w:val="center"/>
            <w:vMerge w:val="continue"/>
            <w:textDirection w:val="lrTb"/>
            <w:noWrap w:val="false"/>
          </w:tcPr>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13"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7.及时采取有效控减措施，防止河面水生植物泛滥。</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542"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发现一次扣3分。</w:t>
            </w:r>
            <w:r>
              <w:rPr>
                <w:rFonts w:hint="eastAsia" w:ascii="宋体" w:hAnsi="宋体" w:cs="宋体"/>
                <w:color w:val="000000"/>
                <w:sz w:val="24"/>
                <w:szCs w:val="24"/>
                <w:highlight w:val="none"/>
              </w:rPr>
            </w:r>
            <w:r/>
          </w:p>
        </w:tc>
      </w:tr>
      <w:tr>
        <w:trPr>
          <w:trHeight w:val="600"/>
        </w:trPr>
        <w:tc>
          <w:tcPr>
            <w:tcBorders>
              <w:top w:val="none" w:color="000000" w:sz="0" w:space="0"/>
              <w:left w:val="single" w:color="000000" w:sz="4" w:space="0"/>
              <w:bottom w:val="none" w:color="000000" w:sz="0" w:space="0"/>
              <w:right w:val="single" w:color="000000" w:sz="4" w:space="0"/>
            </w:tcBorders>
            <w:tcW w:w="1497" w:type="dxa"/>
            <w:vAlign w:val="center"/>
            <w:vMerge w:val="continue"/>
            <w:textDirection w:val="lrTb"/>
            <w:noWrap w:val="false"/>
          </w:tcPr>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13"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8.打捞的垃圾及时收运送中转站处理，不得滞留于岸边或船舱内；不得将垃圾乱倒。</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542"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滞留于岸边或船舱内,发现一次扣0.5分；将垃圾乱倒扣5分。</w:t>
            </w:r>
            <w:r>
              <w:rPr>
                <w:rFonts w:hint="eastAsia" w:ascii="宋体" w:hAnsi="宋体" w:cs="宋体"/>
                <w:color w:val="000000"/>
                <w:sz w:val="24"/>
                <w:szCs w:val="24"/>
                <w:highlight w:val="none"/>
              </w:rPr>
            </w:r>
            <w:r/>
          </w:p>
        </w:tc>
      </w:tr>
      <w:tr>
        <w:trPr>
          <w:trHeight w:val="600"/>
        </w:trPr>
        <w:tc>
          <w:tcPr>
            <w:tcBorders>
              <w:top w:val="none" w:color="000000" w:sz="0" w:space="0"/>
              <w:left w:val="single" w:color="000000" w:sz="4" w:space="0"/>
              <w:bottom w:val="none" w:color="000000" w:sz="0" w:space="0"/>
              <w:right w:val="single" w:color="000000" w:sz="4" w:space="0"/>
            </w:tcBorders>
            <w:tcW w:w="1497" w:type="dxa"/>
            <w:vAlign w:val="center"/>
            <w:vMerge w:val="continue"/>
            <w:textDirection w:val="lrTb"/>
            <w:noWrap w:val="false"/>
          </w:tcPr>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13"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9.建立人员巡查和保洁船只的管理台账。</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542"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未建立管理台账或台账不健全的扣0.5分。</w:t>
            </w:r>
            <w:r>
              <w:rPr>
                <w:rFonts w:hint="eastAsia" w:ascii="宋体" w:hAnsi="宋体" w:cs="宋体"/>
                <w:color w:val="000000"/>
                <w:sz w:val="24"/>
                <w:szCs w:val="24"/>
                <w:highlight w:val="none"/>
              </w:rPr>
            </w:r>
            <w:r/>
          </w:p>
        </w:tc>
      </w:tr>
      <w:tr>
        <w:trPr>
          <w:trHeight w:val="600"/>
        </w:trPr>
        <w:tc>
          <w:tcPr>
            <w:tcBorders>
              <w:top w:val="none" w:color="000000" w:sz="0" w:space="0"/>
              <w:left w:val="single" w:color="000000" w:sz="4" w:space="0"/>
              <w:bottom w:val="none" w:color="000000" w:sz="0" w:space="0"/>
              <w:right w:val="single" w:color="000000" w:sz="4" w:space="0"/>
            </w:tcBorders>
            <w:tcW w:w="1497" w:type="dxa"/>
            <w:vAlign w:val="center"/>
            <w:vMerge w:val="continue"/>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13" w:type="dxa"/>
            <w:vAlign w:val="center"/>
            <w:textDirection w:val="lrTb"/>
            <w:noWrap w:val="false"/>
          </w:tcPr>
          <w:p>
            <w:pPr>
              <w:pStyle w:val="8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10.人员和船只严格执行招标文件规定的作息时间。</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542" w:type="dxa"/>
            <w:vAlign w:val="center"/>
            <w:textDirection w:val="lrTb"/>
            <w:noWrap w:val="false"/>
          </w:tcPr>
          <w:p>
            <w:pPr>
              <w:pStyle w:val="8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发现未执行一次扣1分。</w:t>
            </w:r>
            <w:r>
              <w:rPr>
                <w:rFonts w:hint="eastAsia" w:ascii="宋体" w:hAnsi="宋体" w:cs="宋体"/>
                <w:color w:val="000000"/>
                <w:sz w:val="24"/>
                <w:szCs w:val="24"/>
                <w:highlight w:val="none"/>
              </w:rPr>
            </w:r>
            <w:r/>
          </w:p>
        </w:tc>
      </w:tr>
      <w:tr>
        <w:trPr>
          <w:trHeight w:val="600"/>
        </w:trPr>
        <w:tc>
          <w:tcPr>
            <w:tcBorders>
              <w:top w:val="none" w:color="000000" w:sz="0" w:space="0"/>
              <w:left w:val="single" w:color="000000" w:sz="4" w:space="0"/>
              <w:bottom w:val="none" w:color="000000" w:sz="0" w:space="0"/>
              <w:right w:val="single" w:color="000000" w:sz="4" w:space="0"/>
            </w:tcBorders>
            <w:tcW w:w="1497" w:type="dxa"/>
            <w:vAlign w:val="center"/>
            <w:vMerge w:val="continue"/>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813" w:type="dxa"/>
            <w:vAlign w:val="center"/>
            <w:textDirection w:val="lrTb"/>
            <w:noWrap w:val="false"/>
          </w:tcPr>
          <w:p>
            <w:pPr>
              <w:pStyle w:val="8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11.严禁保洁人员在岗期间出现干与工作无关、吸游烟、吃零食等消极怠工的现象。</w:t>
            </w: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542" w:type="dxa"/>
            <w:vAlign w:val="center"/>
            <w:textDirection w:val="lrTb"/>
            <w:noWrap w:val="false"/>
          </w:tcPr>
          <w:p>
            <w:pPr>
              <w:pStyle w:val="8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发现一人次扣0.5分。</w:t>
            </w:r>
            <w:r>
              <w:rPr>
                <w:rFonts w:hint="eastAsia" w:ascii="宋体" w:hAnsi="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1497" w:type="dxa"/>
            <w:vAlign w:val="center"/>
            <w:vMerge w:val="restart"/>
            <w:textDirection w:val="lrTb"/>
            <w:noWrap w:val="false"/>
          </w:tcPr>
          <w:p>
            <w:pPr>
              <w:pStyle w:val="8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安全管理</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813"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1.建立健全安全管理制度和网络（格）。</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542"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安全管理制度不健全扣2分。</w:t>
            </w:r>
            <w:r>
              <w:rPr>
                <w:rFonts w:hint="eastAsia" w:ascii="宋体" w:hAnsi="宋体" w:cs="宋体"/>
                <w:color w:val="000000"/>
                <w:sz w:val="24"/>
                <w:szCs w:val="24"/>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813" w:type="dxa"/>
            <w:vAlign w:val="center"/>
            <w:textDirection w:val="lrTb"/>
            <w:noWrap w:val="false"/>
          </w:tcPr>
          <w:p>
            <w:pPr>
              <w:pStyle w:val="8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2.所有船只作业时，每艘不得少于2人；河道保洁人员统一着醒目标志服装和救生衣，作业时系好救生衣；电动车驾驶员在路上行驶需佩戴安全头盔。</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542"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发现船只作业时，每艘少于2人，扣1分。作业人员未按要求穿戴好醒目标志服和救生衣；未佩戴安全头盔，发现一次扣1分。</w:t>
            </w:r>
            <w:r>
              <w:rPr>
                <w:rFonts w:hint="eastAsia" w:ascii="宋体" w:hAnsi="宋体" w:cs="宋体"/>
                <w:color w:val="000000"/>
                <w:sz w:val="24"/>
                <w:szCs w:val="24"/>
                <w:highlight w:val="none"/>
              </w:rPr>
            </w:r>
            <w:r/>
          </w:p>
        </w:tc>
      </w:tr>
      <w:tr>
        <w:trPr>
          <w:trHeight w:val="1125"/>
        </w:trPr>
        <w:tc>
          <w:tcPr>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813"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3.所有作业船只安装船载监控系统，确保正常运行；保洁人员智能胸卡（手环），确保正常使用。</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542"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未安装船载监控系统；未佩戴或私自调换胸卡（手环）；监控系统、胸卡（手环）发生故障未及时修复的；未达到招标文件要求，缺少1项功能的，发现一次，每项扣1分。</w:t>
            </w:r>
            <w:r>
              <w:rPr>
                <w:rFonts w:hint="eastAsia" w:ascii="宋体" w:hAnsi="宋体" w:cs="宋体"/>
                <w:color w:val="000000"/>
                <w:sz w:val="24"/>
                <w:szCs w:val="24"/>
                <w:highlight w:val="none"/>
              </w:rPr>
            </w:r>
            <w:r/>
          </w:p>
        </w:tc>
      </w:tr>
      <w:tr>
        <w:trPr>
          <w:trHeight w:val="630"/>
        </w:trPr>
        <w:tc>
          <w:tcPr>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813"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4.重大安全责任事故应及时、积极处理。</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542"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出现重大安全责任事故未及时处理，一次扣5分。</w:t>
            </w:r>
            <w:r>
              <w:rPr>
                <w:rFonts w:hint="eastAsia" w:ascii="宋体" w:hAnsi="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5.作业船只按规定要求配备安全救生设施、设备。</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未按要求配备发现一次扣3分。</w:t>
            </w:r>
            <w:r>
              <w:rPr>
                <w:rFonts w:hint="eastAsia" w:ascii="宋体" w:hAnsi="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pStyle w:val="8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6.所有垃圾收运车辆不得有逆向行驶、闯红灯等违反交通法规行为。</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8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发现一次扣1分。</w:t>
            </w:r>
            <w:r>
              <w:rPr>
                <w:rFonts w:hint="eastAsia" w:ascii="宋体" w:hAnsi="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7.作业单位组织安全生产和作业质量自查，并做好记录。</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台账资料不全，每缺一项扣0.5分。</w:t>
            </w:r>
            <w:r>
              <w:rPr>
                <w:rFonts w:hint="eastAsia" w:ascii="宋体" w:hAnsi="宋体" w:cs="宋体"/>
                <w:color w:val="000000"/>
                <w:sz w:val="24"/>
                <w:szCs w:val="24"/>
                <w:highlight w:val="none"/>
              </w:rPr>
            </w:r>
            <w:r/>
          </w:p>
        </w:tc>
      </w:tr>
      <w:tr>
        <w:trPr>
          <w:trHeight w:val="600"/>
        </w:trPr>
        <w:tc>
          <w:tcPr>
            <w:tcBorders>
              <w:top w:val="single" w:color="000000" w:sz="4" w:space="0"/>
              <w:left w:val="single" w:color="000000" w:sz="4" w:space="0"/>
              <w:bottom w:val="none" w:color="000000" w:sz="0" w:space="0"/>
              <w:right w:val="single" w:color="000000" w:sz="4" w:space="0"/>
            </w:tcBorders>
            <w:tcW w:w="1497" w:type="dxa"/>
            <w:vAlign w:val="center"/>
            <w:vMerge w:val="restart"/>
            <w:textDirection w:val="lrTb"/>
            <w:noWrap w:val="false"/>
          </w:tcPr>
          <w:p>
            <w:pPr>
              <w:pStyle w:val="8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日常督查问题及各类投诉件</w:t>
            </w:r>
            <w:r>
              <w:rPr>
                <w:rFonts w:hint="eastAsia" w:ascii="宋体" w:hAnsi="宋体" w:cs="宋体"/>
                <w:color w:val="000000"/>
                <w:sz w:val="24"/>
                <w:szCs w:val="24"/>
                <w:highlight w:val="none"/>
              </w:rPr>
            </w:r>
            <w:r/>
          </w:p>
          <w:p>
            <w:pPr>
              <w:pStyle w:val="8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处置</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1.领导督办问题需按时保质完成。</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未按时保质完成的，扣1分。</w:t>
            </w:r>
            <w:r>
              <w:rPr>
                <w:rFonts w:hint="eastAsia" w:ascii="宋体" w:hAnsi="宋体" w:cs="宋体"/>
                <w:color w:val="000000"/>
                <w:sz w:val="24"/>
                <w:szCs w:val="24"/>
                <w:highlight w:val="none"/>
              </w:rPr>
            </w:r>
            <w:r/>
          </w:p>
        </w:tc>
      </w:tr>
      <w:tr>
        <w:trPr>
          <w:trHeight w:val="600"/>
        </w:trPr>
        <w:tc>
          <w:tcPr>
            <w:tcBorders>
              <w:top w:val="none" w:color="000000" w:sz="0" w:space="0"/>
              <w:left w:val="single" w:color="000000" w:sz="4" w:space="0"/>
              <w:bottom w:val="none" w:color="000000" w:sz="0" w:space="0"/>
              <w:right w:val="single" w:color="000000" w:sz="4" w:space="0"/>
            </w:tcBorders>
            <w:tcW w:w="1497" w:type="dxa"/>
            <w:vAlign w:val="center"/>
            <w:vMerge w:val="continue"/>
            <w:textDirection w:val="lrTb"/>
            <w:noWrap w:val="false"/>
          </w:tcPr>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2.群众投诉举报、市级以上督查通报、领导点名批评、新闻媒体曝光。</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经核查属实的扣3分，未及时处理完毕的扣5分。</w:t>
            </w:r>
            <w:r>
              <w:rPr>
                <w:rFonts w:hint="eastAsia" w:ascii="宋体" w:hAnsi="宋体" w:cs="宋体"/>
                <w:color w:val="000000"/>
                <w:sz w:val="24"/>
                <w:szCs w:val="24"/>
                <w:highlight w:val="none"/>
              </w:rPr>
            </w:r>
            <w:r/>
          </w:p>
        </w:tc>
      </w:tr>
      <w:tr>
        <w:trPr>
          <w:trHeight w:val="1170"/>
        </w:trPr>
        <w:tc>
          <w:tcPr>
            <w:tcBorders>
              <w:top w:val="none" w:color="000000" w:sz="0" w:space="0"/>
              <w:left w:val="single" w:color="000000" w:sz="4" w:space="0"/>
              <w:bottom w:val="none" w:color="000000" w:sz="0" w:space="0"/>
              <w:right w:val="single" w:color="000000" w:sz="4" w:space="0"/>
            </w:tcBorders>
            <w:tcW w:w="1497" w:type="dxa"/>
            <w:vAlign w:val="center"/>
            <w:vMerge w:val="continue"/>
            <w:textDirection w:val="lrTb"/>
            <w:noWrap w:val="false"/>
          </w:tcPr>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3.重大信访件办理：书记市长信箱、领导批示件和交办件、局长信箱、网情快报、效能平台、民生回音壁、人民来信、群众上访等，办结反馈时间为3个自然日。</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未及时办结的，每起扣5分。</w:t>
            </w:r>
            <w:r>
              <w:rPr>
                <w:rFonts w:hint="eastAsia" w:ascii="宋体" w:hAnsi="宋体" w:cs="宋体"/>
                <w:color w:val="000000"/>
                <w:sz w:val="24"/>
                <w:szCs w:val="24"/>
                <w:highlight w:val="none"/>
              </w:rPr>
            </w:r>
            <w:r/>
          </w:p>
        </w:tc>
      </w:tr>
      <w:tr>
        <w:trPr>
          <w:trHeight w:val="870"/>
        </w:trPr>
        <w:tc>
          <w:tcPr>
            <w:tcBorders>
              <w:top w:val="none" w:color="000000" w:sz="0" w:space="0"/>
              <w:left w:val="single" w:color="000000" w:sz="4" w:space="0"/>
              <w:bottom w:val="none" w:color="000000" w:sz="0" w:space="0"/>
              <w:right w:val="single" w:color="000000" w:sz="4" w:space="0"/>
            </w:tcBorders>
            <w:tcW w:w="1497" w:type="dxa"/>
            <w:vAlign w:val="center"/>
            <w:vMerge w:val="continue"/>
            <w:textDirection w:val="lrTb"/>
            <w:noWrap w:val="false"/>
          </w:tcPr>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813"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4.快速办结件：12345政风行风热线、数字化派遣件、110热线电话等案件及时办结，并及时反馈。</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542"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未及时办结的，每起扣2分；</w:t>
            </w:r>
            <w:r>
              <w:rPr>
                <w:rFonts w:hint="eastAsia" w:ascii="宋体" w:hAnsi="宋体" w:cs="宋体"/>
                <w:color w:val="000000"/>
                <w:sz w:val="24"/>
                <w:szCs w:val="24"/>
                <w:highlight w:val="none"/>
              </w:rPr>
            </w:r>
            <w:r/>
          </w:p>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办结后未及时反馈的，每起扣1分。</w:t>
            </w:r>
            <w:r>
              <w:rPr>
                <w:rFonts w:hint="eastAsia" w:ascii="宋体" w:hAnsi="宋体" w:cs="宋体"/>
                <w:color w:val="000000"/>
                <w:sz w:val="24"/>
                <w:szCs w:val="24"/>
                <w:highlight w:val="none"/>
              </w:rPr>
            </w:r>
            <w:r/>
          </w:p>
        </w:tc>
      </w:tr>
      <w:tr>
        <w:trPr>
          <w:trHeight w:val="870"/>
        </w:trPr>
        <w:tc>
          <w:tcPr>
            <w:tcBorders>
              <w:top w:val="none" w:color="000000" w:sz="0" w:space="0"/>
              <w:left w:val="single" w:color="000000" w:sz="4" w:space="0"/>
              <w:bottom w:val="none" w:color="000000" w:sz="0" w:space="0"/>
              <w:right w:val="single" w:color="000000" w:sz="4" w:space="0"/>
            </w:tcBorders>
            <w:tcW w:w="1497" w:type="dxa"/>
            <w:vAlign w:val="center"/>
            <w:vMerge w:val="continue"/>
            <w:textDirection w:val="lrTb"/>
            <w:noWrap w:val="false"/>
          </w:tcPr>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813"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5.日常督查问题整改、回复及时，保证质量（整改时间为2小时内，回复上传时间为4小时内）。</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542" w:type="dxa"/>
            <w:vAlign w:val="center"/>
            <w:textDirection w:val="lrTb"/>
            <w:noWrap w:val="false"/>
          </w:tcPr>
          <w:p>
            <w:pPr>
              <w:pStyle w:val="891"/>
              <w:rPr>
                <w:rFonts w:ascii="宋体" w:hAnsi="宋体" w:eastAsia="宋体" w:cs="宋体"/>
                <w:color w:val="000000"/>
                <w:szCs w:val="24"/>
                <w:highlight w:val="none"/>
              </w:rPr>
            </w:pPr>
            <w:r>
              <w:rPr>
                <w:rFonts w:ascii="宋体" w:hAnsi="宋体" w:eastAsia="宋体" w:cs="宋体"/>
                <w:color w:val="000000"/>
                <w:szCs w:val="24"/>
                <w:highlight w:val="none"/>
              </w:rPr>
              <w:t xml:space="preserve">整改、回复质量不高的，整改、回复不及时的，每起扣1分；未整改回复的，每起扣3分。</w:t>
            </w:r>
            <w:r>
              <w:rPr>
                <w:rFonts w:ascii="宋体" w:hAnsi="宋体" w:eastAsia="宋体" w:cs="宋体"/>
                <w:color w:val="000000"/>
                <w:szCs w:val="24"/>
                <w:highlight w:val="none"/>
              </w:rPr>
            </w:r>
            <w:r/>
          </w:p>
        </w:tc>
      </w:tr>
      <w:tr>
        <w:trPr>
          <w:trHeight w:val="870"/>
        </w:trPr>
        <w:tc>
          <w:tcPr>
            <w:tcBorders>
              <w:top w:val="none" w:color="000000" w:sz="0" w:space="0"/>
              <w:left w:val="single" w:color="000000" w:sz="4" w:space="0"/>
              <w:bottom w:val="single" w:color="000000" w:sz="4" w:space="0"/>
              <w:right w:val="single" w:color="000000" w:sz="4" w:space="0"/>
            </w:tcBorders>
            <w:tcW w:w="1497" w:type="dxa"/>
            <w:vAlign w:val="center"/>
            <w:vMerge w:val="continue"/>
            <w:textDirection w:val="lrTb"/>
            <w:noWrap w:val="false"/>
          </w:tcPr>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813" w:type="dxa"/>
            <w:vAlign w:val="center"/>
            <w:textDirection w:val="lrTb"/>
            <w:noWrap w:val="false"/>
          </w:tcPr>
          <w:p>
            <w:pPr>
              <w:pStyle w:val="8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6.督查问题不得反复出现，必须有根本性改变、并得到彻底解决。</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542" w:type="dxa"/>
            <w:vAlign w:val="center"/>
            <w:textDirection w:val="lrTb"/>
            <w:noWrap w:val="false"/>
          </w:tcPr>
          <w:p>
            <w:pPr>
              <w:pStyle w:val="884"/>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督查问题反复出现，未得到彻底解决、根本性改变的，每起扣5分</w:t>
            </w:r>
            <w:r>
              <w:rPr>
                <w:rFonts w:ascii="宋体" w:hAnsi="宋体" w:cs="宋体"/>
                <w:color w:val="000000"/>
                <w:sz w:val="24"/>
                <w:szCs w:val="24"/>
                <w:highlight w:val="none"/>
              </w:rPr>
            </w:r>
            <w:r/>
          </w:p>
        </w:tc>
      </w:tr>
      <w:tr>
        <w:trPr>
          <w:trHeight w:val="1370"/>
        </w:trPr>
        <w:tc>
          <w:tcPr>
            <w:tcBorders>
              <w:top w:val="single" w:color="000000" w:sz="4" w:space="0"/>
              <w:left w:val="single" w:color="000000" w:sz="4" w:space="0"/>
              <w:bottom w:val="single" w:color="000000" w:sz="4" w:space="0"/>
              <w:right w:val="single" w:color="000000" w:sz="4" w:space="0"/>
            </w:tcBorders>
            <w:tcW w:w="1497" w:type="dxa"/>
            <w:vAlign w:val="center"/>
            <w:vMerge w:val="restart"/>
            <w:textDirection w:val="lrTb"/>
            <w:noWrap w:val="false"/>
          </w:tcPr>
          <w:p>
            <w:pPr>
              <w:pStyle w:val="8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各项创建重大活动保障及突发事件应急</w:t>
            </w:r>
            <w:r>
              <w:rPr>
                <w:rFonts w:hint="eastAsia" w:ascii="宋体" w:hAnsi="宋体" w:cs="宋体"/>
                <w:color w:val="000000"/>
                <w:sz w:val="24"/>
                <w:szCs w:val="24"/>
                <w:highlight w:val="none"/>
              </w:rPr>
            </w:r>
            <w:r/>
          </w:p>
          <w:p>
            <w:pPr>
              <w:pStyle w:val="8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处置</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813"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1.按管理单位通知要求，做好各类重大活动保障。</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不及时布置工作的扣1分；因保障不到位，导致检查时被扣分、通报和造成不良影响的，一次扣5分。</w:t>
            </w:r>
            <w:r>
              <w:rPr>
                <w:rFonts w:hint="eastAsia" w:ascii="宋体" w:hAnsi="宋体" w:cs="宋体"/>
                <w:color w:val="000000"/>
                <w:sz w:val="24"/>
                <w:szCs w:val="24"/>
                <w:highlight w:val="none"/>
              </w:rPr>
            </w:r>
            <w:r/>
          </w:p>
        </w:tc>
      </w:tr>
      <w:tr>
        <w:trPr>
          <w:trHeight w:val="1110"/>
        </w:trPr>
        <w:tc>
          <w:tcPr>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813"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2.对灾害天气等突发情况，成立应急分队进行快速处置。</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组织不力，保障不到位，在检查时被扣分、通报和造成不良影响的，一次扣3分。</w:t>
            </w:r>
            <w:r>
              <w:rPr>
                <w:rFonts w:hint="eastAsia" w:ascii="宋体" w:hAnsi="宋体" w:cs="宋体"/>
                <w:color w:val="000000"/>
                <w:sz w:val="24"/>
                <w:szCs w:val="24"/>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813"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3.按时参加管理单位召集的生产安全工作例会。</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542"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不准时参加的，每次扣1分。</w:t>
            </w:r>
            <w:r>
              <w:rPr>
                <w:rFonts w:hint="eastAsia" w:ascii="宋体" w:hAnsi="宋体" w:cs="宋体"/>
                <w:color w:val="000000"/>
                <w:sz w:val="24"/>
                <w:szCs w:val="24"/>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4.突发情况24小时应急处置，如110、12345政风行风热线等。</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处置不及时的，每次扣2分。</w:t>
            </w:r>
            <w:r>
              <w:rPr>
                <w:rFonts w:hint="eastAsia" w:ascii="宋体" w:hAnsi="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5.完成管理单位交办的其他各项工作任务。</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不按时完成的，每项扣1分。</w:t>
            </w:r>
            <w:r>
              <w:rPr>
                <w:rFonts w:hint="eastAsia" w:ascii="宋体" w:hAnsi="宋体" w:cs="宋体"/>
                <w:color w:val="000000"/>
                <w:sz w:val="24"/>
                <w:szCs w:val="24"/>
                <w:highlight w:val="none"/>
              </w:rPr>
            </w:r>
            <w:r/>
          </w:p>
        </w:tc>
      </w:tr>
      <w:tr>
        <w:trPr>
          <w:trHeight w:val="810"/>
        </w:trPr>
        <w:tc>
          <w:tcPr>
            <w:tcBorders>
              <w:top w:val="single" w:color="000000" w:sz="4" w:space="0"/>
              <w:left w:val="single" w:color="000000" w:sz="4" w:space="0"/>
              <w:bottom w:val="none" w:color="000000" w:sz="0" w:space="0"/>
              <w:right w:val="single" w:color="000000" w:sz="4" w:space="0"/>
            </w:tcBorders>
            <w:tcW w:w="1497" w:type="dxa"/>
            <w:vAlign w:val="center"/>
            <w:vMerge w:val="restart"/>
            <w:textDirection w:val="lrTb"/>
            <w:noWrap w:val="false"/>
          </w:tcPr>
          <w:p>
            <w:pPr>
              <w:pStyle w:val="884"/>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规范用工</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pStyle w:val="8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1.项目用工年龄符合招标书相关规定；项目负责人、管理员须严格按标书要求配备，遇特殊情况需调整，须上报书面申请，经管理单位审核同意方可执行；其他人员上岗、调岗、离职必须及时报管理单位备案。</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884"/>
              <w:spacing w:line="360" w:lineRule="auto"/>
              <w:rPr>
                <w:rFonts w:hint="eastAsia" w:ascii="仿宋" w:hAnsi="仿宋" w:eastAsia="仿宋" w:cs="宋体"/>
                <w:color w:val="000000"/>
                <w:sz w:val="24"/>
                <w:szCs w:val="24"/>
                <w:highlight w:val="none"/>
              </w:rPr>
            </w:pPr>
            <w:r>
              <w:rPr>
                <w:rFonts w:hint="eastAsia" w:ascii="宋体" w:hAnsi="宋体" w:cs="宋体"/>
                <w:color w:val="000000"/>
                <w:sz w:val="24"/>
                <w:szCs w:val="24"/>
                <w:highlight w:val="none"/>
              </w:rPr>
              <w:t xml:space="preserve">用工年龄、岗位要求不符合招标书相关规定的，发现一人次扣1分；未经管理单位同意，私自调整项目负责人、管理员，发现一人次扣5分；其他人员上岗、调岗、离职不提前报备的，发现一人次扣1分。</w:t>
            </w:r>
            <w:r>
              <w:rPr>
                <w:rFonts w:hint="eastAsia" w:ascii="仿宋" w:hAnsi="仿宋" w:eastAsia="仿宋" w:cs="宋体"/>
                <w:color w:val="000000"/>
                <w:sz w:val="24"/>
                <w:szCs w:val="24"/>
                <w:highlight w:val="none"/>
              </w:rPr>
            </w:r>
            <w:r/>
          </w:p>
        </w:tc>
      </w:tr>
      <w:tr>
        <w:trPr>
          <w:trHeight w:val="810"/>
        </w:trPr>
        <w:tc>
          <w:tcPr>
            <w:tcBorders>
              <w:top w:val="none" w:color="000000" w:sz="0" w:space="0"/>
              <w:left w:val="single" w:color="000000" w:sz="4" w:space="0"/>
              <w:bottom w:val="none" w:color="000000" w:sz="0" w:space="0"/>
              <w:right w:val="single" w:color="000000" w:sz="4" w:space="0"/>
            </w:tcBorders>
            <w:tcW w:w="1497" w:type="dxa"/>
            <w:vAlign w:val="center"/>
            <w:vMerge w:val="continue"/>
            <w:textDirection w:val="lrTb"/>
            <w:noWrap w:val="false"/>
          </w:tcPr>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2.本项目所有人员工资待遇（标准）不低于当年江苏省一类城市最低工资保障线标准的120%。</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发现未按要求发放工资的，一次扣1分，引起因用工工资投诉的，一次扣3分。</w:t>
            </w:r>
            <w:r>
              <w:rPr>
                <w:rFonts w:hint="eastAsia" w:ascii="宋体" w:hAnsi="宋体" w:cs="宋体"/>
                <w:color w:val="000000"/>
                <w:sz w:val="24"/>
                <w:szCs w:val="24"/>
                <w:highlight w:val="none"/>
              </w:rPr>
            </w:r>
            <w:r/>
          </w:p>
        </w:tc>
      </w:tr>
      <w:tr>
        <w:trPr>
          <w:trHeight w:val="840"/>
        </w:trPr>
        <w:tc>
          <w:tcPr>
            <w:tcBorders>
              <w:top w:val="none" w:color="000000" w:sz="0" w:space="0"/>
              <w:left w:val="single" w:color="000000" w:sz="4" w:space="0"/>
              <w:bottom w:val="none" w:color="000000" w:sz="0" w:space="0"/>
              <w:right w:val="single" w:color="000000" w:sz="4" w:space="0"/>
            </w:tcBorders>
            <w:tcW w:w="1497" w:type="dxa"/>
            <w:vAlign w:val="center"/>
            <w:vMerge w:val="continue"/>
            <w:textDirection w:val="lrTb"/>
            <w:noWrap w:val="false"/>
          </w:tcPr>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pStyle w:val="884"/>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3.签订劳动合同，依法缴纳各类保险；及时提供相关材料。</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884"/>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未签订劳动合同，未依法缴纳各类保险的，发现一人次扣1分；未及时提供的或提供材料不全的，发现一次扣2分。</w:t>
            </w:r>
            <w:r>
              <w:rPr>
                <w:rFonts w:hint="eastAsia" w:ascii="宋体" w:hAnsi="宋体" w:cs="宋体"/>
                <w:color w:val="000000"/>
                <w:sz w:val="24"/>
                <w:szCs w:val="24"/>
                <w:highlight w:val="none"/>
              </w:rPr>
            </w:r>
            <w:r/>
          </w:p>
        </w:tc>
      </w:tr>
      <w:tr>
        <w:trPr>
          <w:trHeight w:val="600"/>
        </w:trPr>
        <w:tc>
          <w:tcPr>
            <w:tcBorders>
              <w:top w:val="none" w:color="000000" w:sz="0" w:space="0"/>
              <w:left w:val="single" w:color="000000" w:sz="4" w:space="0"/>
              <w:bottom w:val="none" w:color="000000" w:sz="0" w:space="0"/>
              <w:right w:val="single" w:color="000000" w:sz="4" w:space="0"/>
            </w:tcBorders>
            <w:tcW w:w="1497" w:type="dxa"/>
            <w:vAlign w:val="center"/>
            <w:vMerge w:val="continue"/>
            <w:textDirection w:val="lrTb"/>
            <w:noWrap w:val="false"/>
          </w:tcPr>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4.按时发放福利、配备劳保用品、工具等。</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未及时发放，每次扣0.5分。</w:t>
            </w:r>
            <w:r>
              <w:rPr>
                <w:rFonts w:hint="eastAsia" w:ascii="宋体" w:hAnsi="宋体" w:cs="宋体"/>
                <w:color w:val="000000"/>
                <w:sz w:val="24"/>
                <w:szCs w:val="24"/>
                <w:highlight w:val="none"/>
              </w:rPr>
            </w:r>
            <w:r/>
          </w:p>
        </w:tc>
      </w:tr>
      <w:tr>
        <w:trPr>
          <w:trHeight w:val="968"/>
        </w:trPr>
        <w:tc>
          <w:tcPr>
            <w:tcBorders>
              <w:top w:val="none" w:color="000000" w:sz="0" w:space="0"/>
              <w:left w:val="single" w:color="000000" w:sz="4" w:space="0"/>
              <w:bottom w:val="none" w:color="000000" w:sz="0" w:space="0"/>
              <w:right w:val="single" w:color="000000" w:sz="4" w:space="0"/>
            </w:tcBorders>
            <w:tcW w:w="1497" w:type="dxa"/>
            <w:vAlign w:val="center"/>
            <w:vMerge w:val="continue"/>
            <w:textDirection w:val="lrTb"/>
            <w:noWrap w:val="false"/>
          </w:tcPr>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5.按照政府相关文件标准和要求，发放高温补贴。</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未发放高温补贴或发放补贴不足的，发现一人次扣2分。</w:t>
            </w:r>
            <w:r>
              <w:rPr>
                <w:rFonts w:hint="eastAsia" w:ascii="宋体" w:hAnsi="宋体" w:cs="宋体"/>
                <w:color w:val="000000"/>
                <w:sz w:val="24"/>
                <w:szCs w:val="24"/>
                <w:highlight w:val="none"/>
              </w:rPr>
            </w:r>
            <w:r/>
          </w:p>
        </w:tc>
      </w:tr>
      <w:tr>
        <w:trPr>
          <w:trHeight w:val="600"/>
        </w:trPr>
        <w:tc>
          <w:tcPr>
            <w:tcBorders>
              <w:top w:val="none" w:color="000000" w:sz="0" w:space="0"/>
              <w:left w:val="single" w:color="000000" w:sz="4" w:space="0"/>
              <w:bottom w:val="none" w:color="000000" w:sz="0" w:space="0"/>
              <w:right w:val="single" w:color="000000" w:sz="4" w:space="0"/>
            </w:tcBorders>
            <w:tcW w:w="1497" w:type="dxa"/>
            <w:vAlign w:val="center"/>
            <w:vMerge w:val="continue"/>
            <w:textDirection w:val="lrTb"/>
            <w:noWrap w:val="false"/>
          </w:tcPr>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6.项目作业人员不得少于投标时承诺的人数。</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每少1人次，扣2分。</w:t>
            </w:r>
            <w:r>
              <w:rPr>
                <w:rFonts w:hint="eastAsia" w:ascii="宋体" w:hAnsi="宋体" w:cs="宋体"/>
                <w:color w:val="000000"/>
                <w:sz w:val="24"/>
                <w:szCs w:val="24"/>
                <w:highlight w:val="none"/>
              </w:rPr>
            </w:r>
            <w:r/>
          </w:p>
        </w:tc>
      </w:tr>
      <w:tr>
        <w:trPr>
          <w:trHeight w:val="600"/>
        </w:trPr>
        <w:tc>
          <w:tcPr>
            <w:tcBorders>
              <w:top w:val="none" w:color="000000" w:sz="0" w:space="0"/>
              <w:left w:val="single" w:color="000000" w:sz="4" w:space="0"/>
              <w:bottom w:val="single" w:color="000000" w:sz="4" w:space="0"/>
              <w:right w:val="single" w:color="000000" w:sz="4" w:space="0"/>
            </w:tcBorders>
            <w:tcW w:w="1497" w:type="dxa"/>
            <w:vAlign w:val="center"/>
            <w:textDirection w:val="lrTb"/>
            <w:noWrap w:val="false"/>
          </w:tcPr>
          <w:p>
            <w:pPr>
              <w:pStyle w:val="884"/>
              <w:jc w:val="center"/>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其他项</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pStyle w:val="927"/>
              <w:ind w:left="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中标人须根据招标人的要求，提供生产、安全、督查等资料。</w:t>
            </w:r>
            <w:r>
              <w:rPr>
                <w:rFonts w:hint="eastAsia" w:ascii="宋体" w:hAnsi="宋体" w:eastAsia="宋体" w:cs="宋体"/>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927"/>
              <w:ind w:left="0"/>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招标人发现缺少一项生产、安全、督查等资料，扣1分；提供不及时、不符合要求的，有一项，扣1分。</w:t>
            </w:r>
            <w:r>
              <w:rPr>
                <w:rFonts w:ascii="宋体" w:hAnsi="宋体" w:eastAsia="宋体" w:cs="宋体"/>
                <w:color w:val="000000"/>
                <w:szCs w:val="24"/>
                <w:highlight w:val="none"/>
              </w:rPr>
            </w:r>
            <w:r/>
          </w:p>
          <w:p>
            <w:pPr>
              <w:pStyle w:val="884"/>
              <w:ind w:firstLine="480"/>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W w:w="1497" w:type="dxa"/>
            <w:vAlign w:val="center"/>
            <w:vMerge w:val="restart"/>
            <w:textDirection w:val="lrTb"/>
            <w:noWrap w:val="false"/>
          </w:tcPr>
          <w:p>
            <w:pPr>
              <w:pStyle w:val="8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加分项</w:t>
            </w:r>
            <w:r>
              <w:rPr>
                <w:rFonts w:hint="eastAsia" w:ascii="宋体" w:hAnsi="宋体" w:cs="宋体"/>
                <w:color w:val="000000"/>
                <w:sz w:val="24"/>
                <w:szCs w:val="24"/>
                <w:highlight w:val="none"/>
              </w:rPr>
            </w:r>
            <w:r/>
          </w:p>
          <w:p>
            <w:pPr>
              <w:pStyle w:val="88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pStyle w:val="884"/>
              <w:spacing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1.在重大活动（含各类创建）保障中受到市级及以上领导表扬的；遇有突发重大事件处置应对得当的。</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8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当月奖励5分。</w:t>
            </w:r>
            <w:r>
              <w:rPr>
                <w:rFonts w:hint="eastAsia" w:ascii="宋体" w:hAnsi="宋体" w:cs="宋体"/>
                <w:color w:val="000000"/>
                <w:sz w:val="24"/>
                <w:szCs w:val="24"/>
                <w:highlight w:val="none"/>
              </w:rPr>
            </w:r>
            <w:r/>
          </w:p>
        </w:tc>
      </w:tr>
      <w:tr>
        <w:trPr>
          <w:trHeight w:val="825"/>
        </w:trPr>
        <w:tc>
          <w:tcPr>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pStyle w:val="8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2.信息宣传，被市级及以上主流媒体采用的。</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8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由服务单位提供采用证明，提供当月，每篇奖励2分。</w:t>
            </w:r>
            <w:r>
              <w:rPr>
                <w:rFonts w:hint="eastAsia" w:ascii="宋体" w:hAnsi="宋体" w:cs="宋体"/>
                <w:color w:val="000000"/>
                <w:sz w:val="24"/>
                <w:szCs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1497" w:type="dxa"/>
            <w:vAlign w:val="center"/>
            <w:vMerge w:val="continue"/>
            <w:textDirection w:val="lrTb"/>
            <w:noWrap w:val="false"/>
          </w:tcPr>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813" w:type="dxa"/>
            <w:vAlign w:val="center"/>
            <w:textDirection w:val="lrTb"/>
            <w:noWrap w:val="false"/>
          </w:tcPr>
          <w:p>
            <w:pPr>
              <w:pStyle w:val="8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3.完成项目服务范围以外的突击性工作任务的。</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42" w:type="dxa"/>
            <w:vAlign w:val="center"/>
            <w:textDirection w:val="lrTb"/>
            <w:noWrap w:val="false"/>
          </w:tcPr>
          <w:p>
            <w:pPr>
              <w:pStyle w:val="8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根据实际工作量当月奖励1-10分。</w:t>
            </w:r>
            <w:r>
              <w:rPr>
                <w:rFonts w:hint="eastAsia" w:ascii="宋体" w:hAnsi="宋体" w:cs="宋体"/>
                <w:color w:val="000000"/>
                <w:sz w:val="24"/>
                <w:szCs w:val="24"/>
                <w:highlight w:val="none"/>
              </w:rPr>
            </w:r>
            <w:r/>
          </w:p>
        </w:tc>
      </w:tr>
    </w:tbl>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特别说明：</w:t>
      </w:r>
      <w:r>
        <w:rPr>
          <w:rFonts w:hint="eastAsia" w:ascii="宋体" w:hAnsi="宋体" w:cs="宋体"/>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招标人有权在服务期间内修改考核办法，中标人在服务期内必须无条件服从。</w:t>
      </w:r>
      <w:bookmarkEnd w:id="8"/>
      <w:r>
        <w:rPr>
          <w:rFonts w:hint="eastAsia" w:ascii="宋体" w:hAnsi="宋体" w:cs="宋体"/>
          <w:color w:val="000000"/>
          <w:sz w:val="24"/>
          <w:szCs w:val="24"/>
          <w:highlight w:val="none"/>
        </w:rPr>
      </w:r>
      <w:r/>
    </w:p>
    <w:p>
      <w:pPr>
        <w:pStyle w:val="884"/>
        <w:jc w:val="center"/>
        <w:keepLines/>
        <w:keepNext/>
        <w:spacing w:before="340" w:after="330" w:line="576" w:lineRule="auto"/>
        <w:rPr>
          <w:b/>
          <w:color w:val="000000"/>
          <w:sz w:val="24"/>
          <w:szCs w:val="24"/>
          <w:highlight w:val="none"/>
        </w:rPr>
        <w:outlineLvl w:val="0"/>
      </w:pPr>
      <w:r/>
      <w:bookmarkEnd w:id="5"/>
      <w:r/>
      <w:bookmarkStart w:id="88" w:name="_Toc13209"/>
      <w:r>
        <w:rPr>
          <w:rFonts w:hint="eastAsia"/>
          <w:b/>
          <w:color w:val="000000"/>
          <w:sz w:val="24"/>
          <w:szCs w:val="24"/>
          <w:highlight w:val="none"/>
        </w:rPr>
        <w:t xml:space="preserve">第五章</w:t>
      </w:r>
      <w:r>
        <w:rPr>
          <w:b/>
          <w:color w:val="000000"/>
          <w:sz w:val="24"/>
          <w:szCs w:val="24"/>
          <w:highlight w:val="none"/>
        </w:rPr>
        <w:t xml:space="preserve">   </w:t>
      </w:r>
      <w:r>
        <w:rPr>
          <w:rFonts w:hint="eastAsia"/>
          <w:b/>
          <w:color w:val="000000"/>
          <w:sz w:val="24"/>
          <w:szCs w:val="24"/>
          <w:highlight w:val="none"/>
        </w:rPr>
        <w:t xml:space="preserve">评</w:t>
      </w:r>
      <w:r>
        <w:rPr>
          <w:b/>
          <w:color w:val="000000"/>
          <w:sz w:val="24"/>
          <w:szCs w:val="24"/>
          <w:highlight w:val="none"/>
        </w:rPr>
        <w:t xml:space="preserve"> </w:t>
      </w:r>
      <w:r>
        <w:rPr>
          <w:rFonts w:hint="eastAsia"/>
          <w:b/>
          <w:color w:val="000000"/>
          <w:sz w:val="24"/>
          <w:szCs w:val="24"/>
          <w:highlight w:val="none"/>
        </w:rPr>
        <w:t xml:space="preserve">审</w:t>
      </w:r>
      <w:r>
        <w:rPr>
          <w:b/>
          <w:color w:val="000000"/>
          <w:sz w:val="24"/>
          <w:szCs w:val="24"/>
          <w:highlight w:val="none"/>
        </w:rPr>
        <w:t xml:space="preserve"> </w:t>
      </w:r>
      <w:r>
        <w:rPr>
          <w:rFonts w:hint="eastAsia"/>
          <w:b/>
          <w:color w:val="000000"/>
          <w:sz w:val="24"/>
          <w:szCs w:val="24"/>
          <w:highlight w:val="none"/>
        </w:rPr>
        <w:t xml:space="preserve">办</w:t>
      </w:r>
      <w:r>
        <w:rPr>
          <w:b/>
          <w:color w:val="000000"/>
          <w:sz w:val="24"/>
          <w:szCs w:val="24"/>
          <w:highlight w:val="none"/>
        </w:rPr>
        <w:t xml:space="preserve"> </w:t>
      </w:r>
      <w:r>
        <w:rPr>
          <w:rFonts w:hint="eastAsia"/>
          <w:b/>
          <w:color w:val="000000"/>
          <w:sz w:val="24"/>
          <w:szCs w:val="24"/>
          <w:highlight w:val="none"/>
        </w:rPr>
        <w:t xml:space="preserve">法</w:t>
      </w:r>
      <w:bookmarkEnd w:id="88"/>
      <w:r>
        <w:rPr>
          <w:b/>
          <w:color w:val="000000"/>
          <w:sz w:val="24"/>
          <w:szCs w:val="24"/>
          <w:highlight w:val="none"/>
        </w:rPr>
      </w:r>
      <w:r/>
    </w:p>
    <w:p>
      <w:pPr>
        <w:pStyle w:val="884"/>
        <w:ind w:firstLine="480"/>
        <w:spacing w:line="360" w:lineRule="auto"/>
        <w:rPr>
          <w:color w:val="000000"/>
          <w:szCs w:val="24"/>
          <w:highlight w:val="none"/>
        </w:rPr>
      </w:pPr>
      <w:r>
        <w:rPr>
          <w:rFonts w:hint="eastAsia" w:ascii="宋体" w:hAnsi="宋体" w:cs="宋体"/>
          <w:bCs/>
          <w:color w:val="000000"/>
          <w:sz w:val="24"/>
          <w:szCs w:val="24"/>
          <w:highlight w:val="none"/>
        </w:rPr>
        <w:t xml:space="preserve">为做好招标投标工作，根据国家有关规定特制订本标准及办法。</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bCs/>
          <w:color w:val="000000"/>
          <w:sz w:val="24"/>
          <w:szCs w:val="24"/>
          <w:highlight w:val="none"/>
        </w:rPr>
        <w:t xml:space="preserve">1、评标办法制订依据</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bCs/>
          <w:color w:val="000000"/>
          <w:sz w:val="24"/>
          <w:szCs w:val="24"/>
          <w:highlight w:val="none"/>
        </w:rPr>
        <w:t xml:space="preserve">政府采购法规、制度。</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bCs/>
          <w:color w:val="000000"/>
          <w:sz w:val="24"/>
          <w:szCs w:val="24"/>
          <w:highlight w:val="none"/>
        </w:rPr>
        <w:t xml:space="preserve">2、评标原则</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bCs/>
          <w:color w:val="000000"/>
          <w:sz w:val="24"/>
          <w:szCs w:val="24"/>
          <w:highlight w:val="none"/>
        </w:rPr>
        <w:t xml:space="preserve">评标活动遵循客观、公正、审慎的原则。</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bCs/>
          <w:color w:val="000000"/>
          <w:sz w:val="24"/>
          <w:szCs w:val="24"/>
          <w:highlight w:val="none"/>
        </w:rPr>
        <w:t xml:space="preserve">3、评标机构</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bCs/>
          <w:color w:val="000000"/>
          <w:sz w:val="24"/>
          <w:szCs w:val="24"/>
          <w:highlight w:val="none"/>
        </w:rPr>
        <w:t xml:space="preserve">评标委员会由7人（含7人）以上单数组成。开标前，按照政府采购评审专家管理的有关规定产生专家评委。</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bCs/>
          <w:color w:val="000000"/>
          <w:sz w:val="24"/>
          <w:szCs w:val="24"/>
          <w:highlight w:val="none"/>
        </w:rPr>
        <w:t xml:space="preserve">4、评标程序</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bCs/>
          <w:color w:val="000000"/>
          <w:sz w:val="24"/>
          <w:szCs w:val="24"/>
          <w:highlight w:val="none"/>
        </w:rPr>
        <w:t xml:space="preserve">（一）</w:t>
      </w:r>
      <w:r>
        <w:rPr>
          <w:rFonts w:hint="eastAsia" w:ascii="宋体" w:hAnsi="宋体" w:cs="宋体"/>
          <w:color w:val="000000"/>
          <w:sz w:val="24"/>
          <w:szCs w:val="24"/>
          <w:highlight w:val="none"/>
        </w:rPr>
        <w:t xml:space="preserve">由于本项目资格审查采用“资格后审法”，因此只有通过资格审查的投标人的投标文件才可进入详细评审。</w:t>
      </w:r>
      <w:r>
        <w:rPr>
          <w:rFonts w:hint="eastAsia" w:ascii="宋体" w:hAnsi="宋体" w:cs="宋体"/>
          <w:bCs/>
          <w:color w:val="000000"/>
          <w:sz w:val="24"/>
          <w:szCs w:val="24"/>
          <w:highlight w:val="none"/>
        </w:rPr>
        <w:t xml:space="preserve">资格审查将由采购人在开标后评审前对所有投标人进行资格审查，通过资格审查的投标人才能继续参加评审。</w:t>
      </w:r>
      <w:r>
        <w:rPr>
          <w:color w:val="000000"/>
          <w:szCs w:val="24"/>
          <w:highlight w:val="none"/>
        </w:rPr>
      </w:r>
      <w:r/>
    </w:p>
    <w:p>
      <w:pPr>
        <w:pStyle w:val="884"/>
        <w:ind w:firstLine="480"/>
        <w:jc w:val="left"/>
        <w:spacing w:line="360" w:lineRule="auto"/>
        <w:widowControl/>
        <w:rPr>
          <w:color w:val="000000"/>
          <w:szCs w:val="24"/>
          <w:highlight w:val="none"/>
        </w:rPr>
      </w:pPr>
      <w:r>
        <w:rPr>
          <w:rFonts w:hint="eastAsia" w:ascii="宋体" w:hAnsi="宋体" w:cs="宋体"/>
          <w:bCs/>
          <w:color w:val="000000"/>
          <w:sz w:val="24"/>
          <w:szCs w:val="24"/>
          <w:highlight w:val="none"/>
        </w:rPr>
        <w:t xml:space="preserve">（二）</w:t>
      </w:r>
      <w:r>
        <w:rPr>
          <w:rFonts w:hint="eastAsia" w:ascii="宋体" w:hAnsi="宋体" w:cs="宋体"/>
          <w:color w:val="000000"/>
          <w:sz w:val="24"/>
          <w:szCs w:val="24"/>
          <w:highlight w:val="none"/>
        </w:rPr>
        <w:t xml:space="preserve">评标委员会首先对各投标文件进行符合性审查，未通过审查的为无效标。</w:t>
      </w:r>
      <w:r>
        <w:rPr>
          <w:color w:val="000000"/>
          <w:szCs w:val="24"/>
          <w:highlight w:val="none"/>
        </w:rPr>
      </w:r>
      <w:r/>
    </w:p>
    <w:p>
      <w:pPr>
        <w:pStyle w:val="884"/>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符合性检查：依据招标文件的规定，从投标文件的有效性、完整性和对招标文件的响应程度进行审查，以确定是否对招标文件的要求作出了实质性的响应，</w:t>
      </w:r>
      <w:r>
        <w:rPr>
          <w:rFonts w:hint="eastAsia" w:ascii="宋体" w:hAnsi="宋体" w:cs="宋体"/>
          <w:bCs/>
          <w:color w:val="000000"/>
          <w:sz w:val="24"/>
          <w:szCs w:val="24"/>
          <w:highlight w:val="none"/>
        </w:rPr>
        <w:t xml:space="preserve">审查并逐项列出投标文件的全部投标偏差。投标偏差分为重大偏差和细微偏差</w:t>
      </w:r>
      <w:r>
        <w:rPr>
          <w:rFonts w:hint="eastAsia" w:ascii="宋体" w:hAnsi="宋体" w:cs="宋体"/>
          <w:color w:val="000000"/>
          <w:sz w:val="24"/>
          <w:szCs w:val="24"/>
          <w:highlight w:val="none"/>
        </w:rPr>
        <w:t xml:space="preserve">。</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bCs/>
          <w:color w:val="000000"/>
          <w:sz w:val="24"/>
          <w:szCs w:val="24"/>
          <w:highlight w:val="none"/>
        </w:rPr>
        <w:t xml:space="preserve">下列情况属于重大偏差：</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bCs/>
          <w:color w:val="000000"/>
          <w:sz w:val="24"/>
          <w:szCs w:val="24"/>
          <w:highlight w:val="none"/>
        </w:rPr>
        <w:t xml:space="preserve">（1）无单位盖章，无法定代表人或法定代表人授权的代理人签字或盖章的；</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bCs/>
          <w:color w:val="000000"/>
          <w:sz w:val="24"/>
          <w:szCs w:val="24"/>
          <w:highlight w:val="none"/>
        </w:rPr>
        <w:t xml:space="preserve">（2）无法定代表人出具的授权委托书的；</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bCs/>
          <w:color w:val="000000"/>
          <w:sz w:val="24"/>
          <w:szCs w:val="24"/>
          <w:highlight w:val="none"/>
        </w:rPr>
        <w:t xml:space="preserve">（3）未按规定的格式填写，内容不全或关键字迹模糊、无法辨认的；</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bCs/>
          <w:color w:val="000000"/>
          <w:sz w:val="24"/>
          <w:szCs w:val="24"/>
          <w:highlight w:val="none"/>
        </w:rPr>
        <w:t xml:space="preserve">（4）投标人递交两份或多份内容不同的投标文件，或在一份投标文件中对同一招标货物报有两个或多个报价，且未声明哪一个为最终报价的，按招标文件规定提交备选投标方案的除外；</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bCs/>
          <w:color w:val="000000"/>
          <w:sz w:val="24"/>
          <w:szCs w:val="24"/>
          <w:highlight w:val="none"/>
        </w:rPr>
        <w:t xml:space="preserve">（5）投标人名称或组织结构与本次投标报名时不一致且未提供有效证明的；</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bCs/>
          <w:color w:val="000000"/>
          <w:sz w:val="24"/>
          <w:szCs w:val="24"/>
          <w:highlight w:val="none"/>
        </w:rPr>
        <w:t xml:space="preserve">（6）投标有效期不满足招标文件要求的；</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bCs/>
          <w:color w:val="000000"/>
          <w:sz w:val="24"/>
          <w:szCs w:val="24"/>
          <w:highlight w:val="none"/>
        </w:rPr>
        <w:t xml:space="preserve">（7）招标文件明确规定可以废标的其他情形。</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bCs/>
          <w:color w:val="000000"/>
          <w:sz w:val="24"/>
          <w:szCs w:val="24"/>
          <w:highlight w:val="none"/>
        </w:rPr>
        <w:t xml:space="preserve">①投标函无投标人盖章，无法定代表人或法定代表人授权的代理人签字或盖章的；</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bCs/>
          <w:color w:val="000000"/>
          <w:sz w:val="24"/>
          <w:szCs w:val="24"/>
          <w:highlight w:val="none"/>
        </w:rPr>
        <w:t xml:space="preserve">②授权委托书无法定代表人（或代理人）手签或法人印章；</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bCs/>
          <w:color w:val="000000"/>
          <w:sz w:val="24"/>
          <w:szCs w:val="24"/>
          <w:highlight w:val="none"/>
        </w:rPr>
        <w:t xml:space="preserve">③投标文件中含有虚假材料；</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bCs/>
          <w:color w:val="000000"/>
          <w:sz w:val="24"/>
          <w:szCs w:val="24"/>
          <w:highlight w:val="none"/>
        </w:rPr>
        <w:t xml:space="preserve">④其他不满足法律法规、招标文件规定或评标委员会讨论通过确定为废标的情形。</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bCs/>
          <w:color w:val="000000"/>
          <w:sz w:val="24"/>
          <w:szCs w:val="24"/>
          <w:highlight w:val="none"/>
        </w:rPr>
        <w:t xml:space="preserve">投标文件出现上述情形之一的，属未能对招标文件作出实质性的响应，作废标处理。</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bCs/>
          <w:color w:val="000000"/>
          <w:sz w:val="24"/>
          <w:szCs w:val="24"/>
          <w:highlight w:val="none"/>
        </w:rPr>
        <w:t xml:space="preserve">在评标过程中，评标委员会发现投标人以他人名义投标、串通投标、以行贿手段谋取中标或者以其他弄虚作假方式投标的，该投标人的投标作废标处理。</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bCs/>
          <w:color w:val="000000"/>
          <w:sz w:val="24"/>
          <w:szCs w:val="24"/>
          <w:highlight w:val="none"/>
        </w:rPr>
        <w:t xml:space="preserve">细微偏差是指投标文件在实质上响应招标文件要求，但在个别地方存在漏项或者提供了不完整的技术信息和数据等情况，并且补正这些遗漏或者不完整不会对其他投标人造成不公平的结果。评标委员会书面要求存在细微偏差的投标人在评标结束前予以补正。</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bCs/>
          <w:color w:val="000000"/>
          <w:sz w:val="24"/>
          <w:szCs w:val="24"/>
          <w:highlight w:val="none"/>
        </w:rPr>
        <w:t xml:space="preserve">（三）评标委员会可以要求投标人对投标文件中含义不明确、对同类问题表达不一致或者有明显文字和计算错误的内容作必要的澄清或者补正。澄清、说明或者有补正的以书面方式并不得超出投标文件的范围或者改变投标文件的实质性内容；</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bCs/>
          <w:color w:val="000000"/>
          <w:sz w:val="24"/>
          <w:szCs w:val="24"/>
          <w:highlight w:val="none"/>
        </w:rPr>
        <w:t xml:space="preserve">（四）</w:t>
      </w:r>
      <w:r>
        <w:rPr>
          <w:rFonts w:hint="eastAsia" w:ascii="宋体" w:hAnsi="宋体" w:cs="宋体"/>
          <w:color w:val="000000"/>
          <w:sz w:val="24"/>
          <w:szCs w:val="24"/>
          <w:highlight w:val="none"/>
        </w:rPr>
        <w:t xml:space="preserve"> 投标文件算术错误的修正：</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color w:val="000000"/>
          <w:sz w:val="24"/>
          <w:szCs w:val="24"/>
          <w:highlight w:val="none"/>
        </w:rPr>
        <w:t xml:space="preserve">评标委员会将对确定为实质上响应招标文件要求的投标文件进行校核。投标文件有算术错误的，评标委员会按以下原则对投标报价进行修正，修正的价格经投标人书面确认后具有约束力。投标人不接受修正价格的，其投标作废标处理。</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color w:val="000000"/>
          <w:sz w:val="24"/>
          <w:szCs w:val="24"/>
          <w:highlight w:val="none"/>
        </w:rPr>
        <w:t xml:space="preserve">1、投标文件中的大写金额与小写金额不一致的，以大写金额为准；</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color w:val="000000"/>
          <w:sz w:val="24"/>
          <w:szCs w:val="24"/>
          <w:highlight w:val="none"/>
        </w:rPr>
        <w:t xml:space="preserve">2、总价金额与依据单价计算出的结果不一致的，以单价金额为准修正总价，但单价金额小数点有明显错误的除外。</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bCs/>
          <w:color w:val="000000"/>
          <w:sz w:val="24"/>
          <w:szCs w:val="24"/>
          <w:highlight w:val="none"/>
        </w:rPr>
        <w:t xml:space="preserve">（五）报价评审及细微偏差量化；</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bCs/>
          <w:color w:val="000000"/>
          <w:sz w:val="24"/>
          <w:szCs w:val="24"/>
          <w:highlight w:val="none"/>
        </w:rPr>
        <w:t xml:space="preserve">（六）评委评价投标文件。评委阅读、审查、评价投标文件，依据评分标准进行有记名打分；</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bCs/>
          <w:color w:val="000000"/>
          <w:sz w:val="24"/>
          <w:szCs w:val="24"/>
          <w:highlight w:val="none"/>
        </w:rPr>
        <w:t xml:space="preserve">（七）根据实际需要，对有关投标人进行核实和考察；</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bCs/>
          <w:color w:val="000000"/>
          <w:sz w:val="24"/>
          <w:szCs w:val="24"/>
          <w:highlight w:val="none"/>
        </w:rPr>
        <w:t xml:space="preserve">（八）评标委员会在评标过程中发现的问题，应及时作出处理或者向招标人提出处理建议，并作出书面记录；</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bCs/>
          <w:color w:val="000000"/>
          <w:sz w:val="24"/>
          <w:szCs w:val="24"/>
          <w:highlight w:val="none"/>
        </w:rPr>
        <w:t xml:space="preserve">（九）计算经综合评审的评分，综合评分为各评委评分的算术平均值；</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bCs/>
          <w:color w:val="000000"/>
          <w:sz w:val="24"/>
          <w:szCs w:val="24"/>
          <w:highlight w:val="none"/>
        </w:rPr>
        <w:t xml:space="preserve">（十）评标委员会完成评标后，向招标人提出书面评标报告。</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bCs/>
          <w:color w:val="000000"/>
          <w:sz w:val="24"/>
          <w:szCs w:val="24"/>
          <w:highlight w:val="none"/>
        </w:rPr>
        <w:t xml:space="preserve">（十一）</w:t>
      </w:r>
      <w:r>
        <w:rPr>
          <w:rFonts w:hint="eastAsia" w:ascii="宋体" w:hAnsi="宋体" w:cs="宋体"/>
          <w:color w:val="000000"/>
          <w:sz w:val="24"/>
          <w:szCs w:val="24"/>
          <w:highlight w:val="none"/>
        </w:rPr>
        <w:t xml:space="preserve">中标人的确定</w:t>
      </w:r>
      <w:r>
        <w:rPr>
          <w:color w:val="000000"/>
          <w:szCs w:val="24"/>
          <w:highlight w:val="none"/>
        </w:rPr>
      </w:r>
      <w:r/>
    </w:p>
    <w:p>
      <w:pPr>
        <w:pStyle w:val="884"/>
        <w:ind w:firstLine="480"/>
        <w:spacing w:line="360" w:lineRule="auto"/>
        <w:rPr>
          <w:rFonts w:hint="eastAsia" w:ascii="宋体" w:hAnsi="宋体" w:cs="宋体"/>
          <w:b/>
          <w:bCs/>
          <w:color w:val="000000"/>
          <w:sz w:val="24"/>
          <w:highlight w:val="none"/>
        </w:rPr>
      </w:pPr>
      <w:r>
        <w:rPr>
          <w:rFonts w:hint="eastAsia" w:ascii="宋体" w:hAnsi="宋体" w:cs="宋体"/>
          <w:bCs/>
          <w:color w:val="000000"/>
          <w:sz w:val="24"/>
          <w:szCs w:val="24"/>
          <w:highlight w:val="none"/>
        </w:rPr>
        <w:t xml:space="preserve">本次招标项目的评标办法采用“综合评分法”</w:t>
      </w:r>
      <w:r>
        <w:rPr>
          <w:rFonts w:hint="eastAsia" w:ascii="宋体" w:hAnsi="宋体" w:cs="宋体"/>
          <w:b/>
          <w:color w:val="000000"/>
          <w:sz w:val="24"/>
          <w:highlight w:val="none"/>
        </w:rPr>
        <w:t xml:space="preserve">。招标人确定排名第一的中标候选人为本项目中标人。</w:t>
      </w:r>
      <w:r>
        <w:rPr>
          <w:rFonts w:hint="eastAsia" w:ascii="宋体" w:hAnsi="宋体" w:cs="宋体"/>
          <w:b/>
          <w:bCs/>
          <w:color w:val="000000"/>
          <w:sz w:val="24"/>
          <w:highlight w:val="none"/>
        </w:rPr>
      </w:r>
      <w:r/>
    </w:p>
    <w:tbl>
      <w:tblPr>
        <w:tblW w:w="9259" w:type="dxa"/>
        <w:tblInd w:w="-4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3"/>
        <w:gridCol w:w="1311"/>
        <w:gridCol w:w="6143"/>
        <w:gridCol w:w="662"/>
      </w:tblGrid>
      <w:tr>
        <w:trPr>
          <w:trHeight w:val="397"/>
        </w:trPr>
        <w:tc>
          <w:tcPr>
            <w:tcW w:w="1143" w:type="dxa"/>
            <w:vAlign w:val="center"/>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评分类别</w:t>
            </w:r>
            <w:r>
              <w:rPr>
                <w:rFonts w:hint="eastAsia" w:ascii="宋体" w:hAnsi="宋体" w:eastAsia="宋体" w:cs="宋体"/>
                <w:color w:val="000000"/>
                <w:sz w:val="21"/>
                <w:szCs w:val="21"/>
                <w:highlight w:val="none"/>
              </w:rPr>
            </w:r>
            <w:r/>
          </w:p>
        </w:tc>
        <w:tc>
          <w:tcPr>
            <w:tcW w:w="1311" w:type="dxa"/>
            <w:vAlign w:val="center"/>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评分项</w:t>
            </w:r>
            <w:r>
              <w:rPr>
                <w:rFonts w:hint="eastAsia" w:ascii="宋体" w:hAnsi="宋体" w:eastAsia="宋体" w:cs="宋体"/>
                <w:color w:val="000000"/>
                <w:sz w:val="21"/>
                <w:szCs w:val="21"/>
                <w:highlight w:val="none"/>
              </w:rPr>
            </w:r>
            <w:r/>
          </w:p>
        </w:tc>
        <w:tc>
          <w:tcPr>
            <w:tcW w:w="6143" w:type="dxa"/>
            <w:vAlign w:val="center"/>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评分细则</w:t>
            </w:r>
            <w:r>
              <w:rPr>
                <w:rFonts w:hint="eastAsia" w:ascii="宋体" w:hAnsi="宋体" w:eastAsia="宋体" w:cs="宋体"/>
                <w:color w:val="000000"/>
                <w:sz w:val="21"/>
                <w:szCs w:val="21"/>
                <w:highlight w:val="none"/>
              </w:rPr>
            </w:r>
            <w:r/>
          </w:p>
        </w:tc>
        <w:tc>
          <w:tcPr>
            <w:tcW w:w="662" w:type="dxa"/>
            <w:vAlign w:val="center"/>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分值</w:t>
            </w:r>
            <w:r>
              <w:rPr>
                <w:rFonts w:hint="eastAsia" w:ascii="宋体" w:hAnsi="宋体" w:eastAsia="宋体" w:cs="宋体"/>
                <w:color w:val="000000"/>
                <w:sz w:val="21"/>
                <w:szCs w:val="21"/>
                <w:highlight w:val="none"/>
              </w:rPr>
            </w:r>
            <w:r/>
          </w:p>
        </w:tc>
      </w:tr>
      <w:tr>
        <w:trPr>
          <w:trHeight w:val="876"/>
        </w:trPr>
        <w:tc>
          <w:tcPr>
            <w:tcW w:w="1143" w:type="dxa"/>
            <w:vAlign w:val="center"/>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价格部分（10分）</w:t>
            </w:r>
            <w:r>
              <w:rPr>
                <w:rFonts w:hint="eastAsia" w:ascii="宋体" w:hAnsi="宋体" w:eastAsia="宋体" w:cs="宋体"/>
                <w:color w:val="000000"/>
                <w:sz w:val="21"/>
                <w:szCs w:val="21"/>
                <w:highlight w:val="none"/>
              </w:rPr>
            </w:r>
            <w:r/>
          </w:p>
        </w:tc>
        <w:tc>
          <w:tcPr>
            <w:tcW w:w="1311" w:type="dxa"/>
            <w:vAlign w:val="center"/>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w:t>
            </w:r>
            <w:r>
              <w:rPr>
                <w:rFonts w:hint="eastAsia" w:ascii="宋体" w:hAnsi="宋体" w:eastAsia="宋体" w:cs="宋体"/>
                <w:color w:val="000000"/>
                <w:sz w:val="21"/>
                <w:szCs w:val="21"/>
                <w:highlight w:val="none"/>
              </w:rPr>
            </w:r>
            <w:r/>
          </w:p>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rPr>
                <w:rFonts w:hint="eastAsia" w:ascii="宋体" w:hAnsi="宋体" w:eastAsia="宋体" w:cs="宋体"/>
                <w:color w:val="000000"/>
                <w:sz w:val="21"/>
                <w:szCs w:val="21"/>
                <w:highlight w:val="none"/>
              </w:rPr>
            </w:r>
            <w:r/>
          </w:p>
        </w:tc>
        <w:tc>
          <w:tcPr>
            <w:tcW w:w="6143" w:type="dxa"/>
            <w:vAlign w:val="center"/>
            <w:textDirection w:val="lrTb"/>
            <w:noWrap w:val="false"/>
          </w:tcPr>
          <w:p>
            <w:pPr>
              <w:pStyle w:val="8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价格分采用低价优先法计算，即满足招标文件要求且投标价格最低的投标报价为评标基准价，其价格分为满分。其他投标人的价格分别按照下列公式计算：报价得分 =（评标基准价/报价）×10%×100</w:t>
            </w:r>
            <w:r>
              <w:rPr>
                <w:rFonts w:hint="eastAsia" w:ascii="宋体" w:hAnsi="宋体" w:eastAsia="宋体" w:cs="宋体"/>
                <w:color w:val="000000"/>
                <w:sz w:val="21"/>
                <w:szCs w:val="21"/>
                <w:highlight w:val="none"/>
              </w:rPr>
            </w:r>
            <w:r/>
          </w:p>
          <w:p>
            <w:pPr>
              <w:pStyle w:val="8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注：1、小微型企业价格扣除</w:t>
            </w:r>
            <w:r>
              <w:rPr>
                <w:rFonts w:hint="eastAsia" w:ascii="宋体" w:hAnsi="宋体" w:eastAsia="宋体" w:cs="宋体"/>
                <w:color w:val="000000"/>
                <w:sz w:val="21"/>
                <w:szCs w:val="21"/>
                <w:highlight w:val="none"/>
              </w:rPr>
            </w:r>
            <w:r/>
          </w:p>
          <w:p>
            <w:pPr>
              <w:pStyle w:val="8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（1）本项目对小型和微型企业给予10%的扣除价格，用扣除后的价格参与评审。</w:t>
            </w:r>
            <w:r>
              <w:rPr>
                <w:rFonts w:hint="eastAsia" w:ascii="宋体" w:hAnsi="宋体" w:eastAsia="宋体" w:cs="宋体"/>
                <w:color w:val="000000"/>
                <w:sz w:val="21"/>
                <w:szCs w:val="21"/>
                <w:highlight w:val="none"/>
              </w:rPr>
            </w:r>
            <w:r/>
          </w:p>
          <w:p>
            <w:pPr>
              <w:pStyle w:val="8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（2）供应商需按照采购文件的要求提供相应的《小微企业声明函》。</w:t>
            </w:r>
            <w:r>
              <w:rPr>
                <w:rFonts w:hint="eastAsia" w:ascii="宋体" w:hAnsi="宋体" w:eastAsia="宋体" w:cs="宋体"/>
                <w:color w:val="000000"/>
                <w:sz w:val="21"/>
                <w:szCs w:val="21"/>
                <w:highlight w:val="none"/>
              </w:rPr>
            </w:r>
            <w:r/>
          </w:p>
          <w:p>
            <w:pPr>
              <w:pStyle w:val="8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（3）企业标准请参照《关于印发中小企业划型标准规定的通知》（工信部联企业[2011]300号）文件规定自行填写。</w:t>
            </w:r>
            <w:r>
              <w:rPr>
                <w:rFonts w:hint="eastAsia" w:ascii="宋体" w:hAnsi="宋体" w:eastAsia="宋体" w:cs="宋体"/>
                <w:color w:val="000000"/>
                <w:sz w:val="21"/>
                <w:szCs w:val="21"/>
                <w:highlight w:val="none"/>
              </w:rPr>
            </w:r>
            <w:r/>
          </w:p>
          <w:p>
            <w:pPr>
              <w:pStyle w:val="8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2、残疾人福利性单位价格扣除</w:t>
            </w:r>
            <w:r>
              <w:rPr>
                <w:rFonts w:hint="eastAsia" w:ascii="宋体" w:hAnsi="宋体" w:eastAsia="宋体" w:cs="宋体"/>
                <w:color w:val="000000"/>
                <w:sz w:val="21"/>
                <w:szCs w:val="21"/>
                <w:highlight w:val="none"/>
              </w:rPr>
            </w:r>
            <w:r/>
          </w:p>
          <w:p>
            <w:pPr>
              <w:pStyle w:val="8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（1）本项目对残疾人福利性单位视同小型、微型企业，给予10%的价格扣除，用扣除后的价格参与评审。</w:t>
            </w:r>
            <w:r>
              <w:rPr>
                <w:rFonts w:hint="eastAsia" w:ascii="宋体" w:hAnsi="宋体" w:eastAsia="宋体" w:cs="宋体"/>
                <w:color w:val="000000"/>
                <w:sz w:val="21"/>
                <w:szCs w:val="21"/>
                <w:highlight w:val="none"/>
              </w:rPr>
            </w:r>
            <w:r/>
          </w:p>
          <w:p>
            <w:pPr>
              <w:pStyle w:val="8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（2）残疾人福利性单位需按照采购文件的要求提供《残疾人福利性单位声明函》。</w:t>
            </w:r>
            <w:r>
              <w:rPr>
                <w:rFonts w:hint="eastAsia" w:ascii="宋体" w:hAnsi="宋体" w:eastAsia="宋体" w:cs="宋体"/>
                <w:color w:val="000000"/>
                <w:sz w:val="21"/>
                <w:szCs w:val="21"/>
                <w:highlight w:val="none"/>
              </w:rPr>
            </w:r>
            <w:r/>
          </w:p>
          <w:p>
            <w:pPr>
              <w:pStyle w:val="8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（3）残疾人福利性单位标准请参照《关于促进残疾人就业政府采购政策的通知》（财库〔2017〕141号）。</w:t>
            </w:r>
            <w:r>
              <w:rPr>
                <w:rFonts w:hint="eastAsia" w:ascii="宋体" w:hAnsi="宋体" w:eastAsia="宋体" w:cs="宋体"/>
                <w:color w:val="000000"/>
                <w:sz w:val="21"/>
                <w:szCs w:val="21"/>
                <w:highlight w:val="none"/>
              </w:rPr>
            </w:r>
            <w:r/>
          </w:p>
          <w:p>
            <w:pPr>
              <w:pStyle w:val="8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3、监狱和戒毒企业价格扣除</w:t>
            </w:r>
            <w:r>
              <w:rPr>
                <w:rFonts w:hint="eastAsia" w:ascii="宋体" w:hAnsi="宋体" w:eastAsia="宋体" w:cs="宋体"/>
                <w:color w:val="000000"/>
                <w:sz w:val="21"/>
                <w:szCs w:val="21"/>
                <w:highlight w:val="none"/>
              </w:rPr>
            </w:r>
            <w:r/>
          </w:p>
          <w:p>
            <w:pPr>
              <w:pStyle w:val="8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（1）本项目对监狱和戒毒企业（简称监狱企业）视同小型、微型企业，给予10%的价格扣除，用扣除后的价格参与评审。</w:t>
            </w:r>
            <w:r>
              <w:rPr>
                <w:rFonts w:hint="eastAsia" w:ascii="宋体" w:hAnsi="宋体" w:eastAsia="宋体" w:cs="宋体"/>
                <w:color w:val="000000"/>
                <w:sz w:val="21"/>
                <w:szCs w:val="21"/>
                <w:highlight w:val="none"/>
              </w:rPr>
            </w:r>
            <w:r/>
          </w:p>
          <w:p>
            <w:pPr>
              <w:pStyle w:val="8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1"/>
                <w:szCs w:val="21"/>
                <w:highlight w:val="none"/>
              </w:rPr>
            </w:r>
            <w:r/>
          </w:p>
          <w:p>
            <w:pPr>
              <w:pStyle w:val="8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（3）监狱企业标准请参照《关于政府采购支持监狱企业发展有关问题的通知》（财库</w:t>
            </w:r>
            <w:r>
              <w:rPr>
                <w:rFonts w:hint="eastAsia" w:ascii="宋体" w:hAnsi="宋体" w:eastAsia="宋体" w:cs="宋体"/>
                <w:color w:val="000000"/>
                <w:sz w:val="21"/>
                <w:szCs w:val="21"/>
                <w:highlight w:val="none"/>
                <w:lang w:eastAsia="zh-CN"/>
              </w:rPr>
              <w:t xml:space="preserve">〔2014〕68号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4、残疾人福利性单位、监狱企业属于小型、微型企业的，不重复享受政策。</w:t>
            </w:r>
            <w:r>
              <w:rPr>
                <w:rFonts w:hint="eastAsia" w:ascii="宋体" w:hAnsi="宋体" w:eastAsia="宋体" w:cs="宋体"/>
                <w:color w:val="000000"/>
                <w:sz w:val="21"/>
                <w:szCs w:val="21"/>
                <w:highlight w:val="none"/>
              </w:rPr>
            </w:r>
            <w:r/>
          </w:p>
        </w:tc>
        <w:tc>
          <w:tcPr>
            <w:tcW w:w="662" w:type="dxa"/>
            <w:vAlign w:val="center"/>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rHeight w:val="1975"/>
        </w:trPr>
        <w:tc>
          <w:tcPr>
            <w:tcW w:w="1143" w:type="dxa"/>
            <w:vAlign w:val="center"/>
            <w:vMerge w:val="restart"/>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技术分</w:t>
            </w:r>
            <w:r>
              <w:rPr>
                <w:rFonts w:hint="eastAsia" w:ascii="宋体" w:hAnsi="宋体" w:eastAsia="宋体" w:cs="宋体"/>
                <w:color w:val="000000"/>
                <w:sz w:val="21"/>
                <w:szCs w:val="21"/>
                <w:highlight w:val="none"/>
              </w:rPr>
            </w:r>
            <w:r/>
          </w:p>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1311" w:type="dxa"/>
            <w:vAlign w:val="center"/>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承诺</w:t>
            </w:r>
            <w:r>
              <w:rPr>
                <w:rFonts w:hint="eastAsia" w:ascii="宋体" w:hAnsi="宋体" w:eastAsia="宋体" w:cs="宋体"/>
                <w:color w:val="000000"/>
                <w:sz w:val="21"/>
                <w:szCs w:val="21"/>
                <w:highlight w:val="none"/>
              </w:rPr>
            </w:r>
            <w:r/>
          </w:p>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（4分）</w:t>
            </w:r>
            <w:r>
              <w:rPr>
                <w:rFonts w:hint="eastAsia" w:ascii="宋体" w:hAnsi="宋体" w:eastAsia="宋体" w:cs="宋体"/>
                <w:color w:val="000000"/>
                <w:sz w:val="21"/>
                <w:szCs w:val="21"/>
                <w:highlight w:val="none"/>
              </w:rPr>
            </w:r>
            <w:r/>
          </w:p>
        </w:tc>
        <w:tc>
          <w:tcPr>
            <w:tcW w:w="6143" w:type="dxa"/>
            <w:vAlign w:val="center"/>
            <w:textDirection w:val="lrTb"/>
            <w:noWrap w:val="false"/>
          </w:tcPr>
          <w:p>
            <w:pPr>
              <w:pStyle w:val="884"/>
              <w:numPr>
                <w:ilvl w:val="0"/>
                <w:numId w:val="10"/>
              </w:num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服务承诺（依法规范用工承诺、服务质量承诺，格式自定），每个得1分，最高得2分。提供承诺函加盖公章，未提供不得分。</w:t>
            </w:r>
            <w:r>
              <w:rPr>
                <w:rFonts w:hint="eastAsia" w:ascii="宋体" w:hAnsi="宋体" w:eastAsia="宋体" w:cs="宋体"/>
                <w:color w:val="000000"/>
                <w:sz w:val="21"/>
                <w:szCs w:val="21"/>
                <w:highlight w:val="none"/>
              </w:rPr>
            </w:r>
            <w:r/>
          </w:p>
          <w:p>
            <w:pPr>
              <w:pStyle w:val="884"/>
              <w:numPr>
                <w:ilvl w:val="0"/>
                <w:numId w:val="10"/>
              </w:num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承诺所有用工人员依法缴纳各类保险得1分。提供承诺函加盖公章，未提供不得分。</w:t>
            </w:r>
            <w:r>
              <w:rPr>
                <w:rFonts w:hint="eastAsia" w:ascii="宋体" w:hAnsi="宋体" w:eastAsia="宋体" w:cs="宋体"/>
                <w:color w:val="000000"/>
                <w:sz w:val="21"/>
                <w:szCs w:val="21"/>
                <w:highlight w:val="none"/>
              </w:rPr>
            </w:r>
            <w:r/>
          </w:p>
          <w:p>
            <w:pPr>
              <w:pStyle w:val="884"/>
              <w:numPr>
                <w:ilvl w:val="0"/>
                <w:numId w:val="10"/>
              </w:num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安全事故处理承诺：承诺所有事故处理及事故损失均由中标人承担得1分。提供承诺函加盖公章，未提供不得分。</w:t>
            </w:r>
            <w:r>
              <w:rPr>
                <w:rFonts w:hint="eastAsia" w:ascii="宋体" w:hAnsi="宋体" w:eastAsia="宋体" w:cs="宋体"/>
                <w:color w:val="000000"/>
                <w:sz w:val="21"/>
                <w:szCs w:val="21"/>
                <w:highlight w:val="none"/>
              </w:rPr>
            </w:r>
            <w:r/>
          </w:p>
        </w:tc>
        <w:tc>
          <w:tcPr>
            <w:tcW w:w="662" w:type="dxa"/>
            <w:vAlign w:val="center"/>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r>
      <w:tr>
        <w:trPr>
          <w:trHeight w:val="983"/>
        </w:trPr>
        <w:tc>
          <w:tcPr>
            <w:tcW w:w="1143" w:type="dxa"/>
            <w:vAlign w:val="center"/>
            <w:vMerge w:val="continue"/>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11" w:type="dxa"/>
            <w:vAlign w:val="center"/>
            <w:vMerge w:val="restart"/>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应急预案</w:t>
            </w:r>
            <w:r>
              <w:rPr>
                <w:rFonts w:hint="eastAsia" w:ascii="宋体" w:hAnsi="宋体" w:eastAsia="宋体" w:cs="宋体"/>
                <w:color w:val="000000"/>
                <w:sz w:val="21"/>
                <w:szCs w:val="21"/>
                <w:highlight w:val="none"/>
              </w:rPr>
            </w:r>
            <w:r/>
          </w:p>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（20分）</w:t>
            </w:r>
            <w:r>
              <w:rPr>
                <w:rFonts w:hint="eastAsia" w:ascii="宋体" w:hAnsi="宋体" w:eastAsia="宋体" w:cs="宋体"/>
                <w:color w:val="000000"/>
                <w:sz w:val="21"/>
                <w:szCs w:val="21"/>
                <w:highlight w:val="none"/>
              </w:rPr>
            </w:r>
            <w:r/>
          </w:p>
        </w:tc>
        <w:tc>
          <w:tcPr>
            <w:tcW w:w="6143" w:type="dxa"/>
            <w:vAlign w:val="center"/>
            <w:textDirection w:val="lrTb"/>
            <w:noWrap w:val="false"/>
          </w:tcPr>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（1）《重大活动保障应急预案》可操作性强、应急预案措施和控制保障措施及时得当得4分；</w:t>
            </w:r>
            <w:r>
              <w:rPr>
                <w:rFonts w:hint="eastAsia" w:ascii="宋体" w:hAnsi="宋体" w:eastAsia="宋体" w:cs="宋体"/>
                <w:color w:val="000000"/>
                <w:sz w:val="21"/>
                <w:szCs w:val="21"/>
                <w:highlight w:val="none"/>
              </w:rPr>
            </w:r>
            <w:r/>
          </w:p>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方案简单、内容一般、及时性一般的得2分；</w:t>
            </w:r>
            <w:r>
              <w:rPr>
                <w:rFonts w:hint="eastAsia" w:ascii="宋体" w:hAnsi="宋体" w:eastAsia="宋体" w:cs="宋体"/>
                <w:color w:val="000000"/>
                <w:sz w:val="21"/>
                <w:szCs w:val="21"/>
                <w:highlight w:val="none"/>
              </w:rPr>
            </w:r>
            <w:r/>
          </w:p>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方案内容较差、可行性、及时性较差的得1分；</w:t>
            </w:r>
            <w:r>
              <w:rPr>
                <w:rFonts w:hint="eastAsia" w:ascii="宋体" w:hAnsi="宋体" w:eastAsia="宋体" w:cs="宋体"/>
                <w:color w:val="000000"/>
                <w:sz w:val="21"/>
                <w:szCs w:val="21"/>
                <w:highlight w:val="none"/>
              </w:rPr>
            </w:r>
            <w:r/>
          </w:p>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未提供不得分。</w:t>
            </w:r>
            <w:r>
              <w:rPr>
                <w:rFonts w:hint="eastAsia" w:ascii="宋体" w:hAnsi="宋体" w:eastAsia="宋体" w:cs="宋体"/>
                <w:color w:val="000000"/>
                <w:sz w:val="21"/>
                <w:szCs w:val="21"/>
                <w:highlight w:val="none"/>
              </w:rPr>
            </w:r>
            <w:r/>
          </w:p>
        </w:tc>
        <w:tc>
          <w:tcPr>
            <w:tcW w:w="662" w:type="dxa"/>
            <w:vAlign w:val="center"/>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r>
      <w:tr>
        <w:trPr>
          <w:trHeight w:val="983"/>
        </w:trPr>
        <w:tc>
          <w:tcPr>
            <w:tcW w:w="1143" w:type="dxa"/>
            <w:vAlign w:val="center"/>
            <w:vMerge w:val="continue"/>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11" w:type="dxa"/>
            <w:vAlign w:val="center"/>
            <w:vMerge w:val="continue"/>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43" w:type="dxa"/>
            <w:vAlign w:val="center"/>
            <w:textDirection w:val="lrTb"/>
            <w:noWrap w:val="false"/>
          </w:tcPr>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（2）《特殊季节性河道保洁应急预案》可操作性强、应急预案措施和控制保障措施及时得当得4分；</w:t>
            </w:r>
            <w:r>
              <w:rPr>
                <w:rFonts w:hint="eastAsia" w:ascii="宋体" w:hAnsi="宋体" w:eastAsia="宋体" w:cs="宋体"/>
                <w:color w:val="000000"/>
                <w:sz w:val="21"/>
                <w:szCs w:val="21"/>
                <w:highlight w:val="none"/>
              </w:rPr>
            </w:r>
            <w:r/>
          </w:p>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方案简单、内容一般、及时性一般的得2分；</w:t>
            </w:r>
            <w:r>
              <w:rPr>
                <w:rFonts w:hint="eastAsia" w:ascii="宋体" w:hAnsi="宋体" w:eastAsia="宋体" w:cs="宋体"/>
                <w:color w:val="000000"/>
                <w:sz w:val="21"/>
                <w:szCs w:val="21"/>
                <w:highlight w:val="none"/>
              </w:rPr>
            </w:r>
            <w:r/>
          </w:p>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方案内容较差、可行性、及时性较差的得1分；</w:t>
            </w:r>
            <w:r>
              <w:rPr>
                <w:rFonts w:hint="eastAsia" w:ascii="宋体" w:hAnsi="宋体" w:eastAsia="宋体" w:cs="宋体"/>
                <w:color w:val="000000"/>
                <w:sz w:val="21"/>
                <w:szCs w:val="21"/>
                <w:highlight w:val="none"/>
              </w:rPr>
            </w:r>
            <w:r/>
          </w:p>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未提供不得分。</w:t>
            </w:r>
            <w:r>
              <w:rPr>
                <w:rFonts w:hint="eastAsia" w:ascii="宋体" w:hAnsi="宋体" w:eastAsia="宋体" w:cs="宋体"/>
                <w:color w:val="000000"/>
                <w:sz w:val="21"/>
                <w:szCs w:val="21"/>
                <w:highlight w:val="none"/>
              </w:rPr>
            </w:r>
            <w:r/>
          </w:p>
        </w:tc>
        <w:tc>
          <w:tcPr>
            <w:tcW w:w="662" w:type="dxa"/>
            <w:vAlign w:val="center"/>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r>
      <w:tr>
        <w:trPr>
          <w:trHeight w:val="983"/>
        </w:trPr>
        <w:tc>
          <w:tcPr>
            <w:tcW w:w="1143" w:type="dxa"/>
            <w:vAlign w:val="center"/>
            <w:vMerge w:val="continue"/>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11" w:type="dxa"/>
            <w:vAlign w:val="center"/>
            <w:vMerge w:val="continue"/>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43" w:type="dxa"/>
            <w:vAlign w:val="center"/>
            <w:textDirection w:val="lrTb"/>
            <w:noWrap w:val="false"/>
          </w:tcPr>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（3）《铲雪除冰应急预案》可操作性强、应急预案措施和控制保障措施及时得当得4分；</w:t>
            </w:r>
            <w:r>
              <w:rPr>
                <w:rFonts w:hint="eastAsia" w:ascii="宋体" w:hAnsi="宋体" w:eastAsia="宋体" w:cs="宋体"/>
                <w:color w:val="000000"/>
                <w:sz w:val="21"/>
                <w:szCs w:val="21"/>
                <w:highlight w:val="none"/>
              </w:rPr>
            </w:r>
            <w:r/>
          </w:p>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方案简单、内容一般、及时性一般的得2分；</w:t>
            </w:r>
            <w:r>
              <w:rPr>
                <w:rFonts w:hint="eastAsia" w:ascii="宋体" w:hAnsi="宋体" w:eastAsia="宋体" w:cs="宋体"/>
                <w:color w:val="000000"/>
                <w:sz w:val="21"/>
                <w:szCs w:val="21"/>
                <w:highlight w:val="none"/>
              </w:rPr>
            </w:r>
            <w:r/>
          </w:p>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方案内容较差、可行性、及时性较差的得1分；</w:t>
            </w:r>
            <w:r>
              <w:rPr>
                <w:rFonts w:hint="eastAsia" w:ascii="宋体" w:hAnsi="宋体" w:eastAsia="宋体" w:cs="宋体"/>
                <w:color w:val="000000"/>
                <w:sz w:val="21"/>
                <w:szCs w:val="21"/>
                <w:highlight w:val="none"/>
              </w:rPr>
            </w:r>
            <w:r/>
          </w:p>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未提供不得分。</w:t>
            </w:r>
            <w:r>
              <w:rPr>
                <w:rFonts w:hint="eastAsia" w:ascii="宋体" w:hAnsi="宋体" w:eastAsia="宋体" w:cs="宋体"/>
                <w:color w:val="000000"/>
                <w:sz w:val="21"/>
                <w:szCs w:val="21"/>
                <w:highlight w:val="none"/>
              </w:rPr>
            </w:r>
            <w:r/>
          </w:p>
        </w:tc>
        <w:tc>
          <w:tcPr>
            <w:tcW w:w="662" w:type="dxa"/>
            <w:vAlign w:val="center"/>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r>
      <w:tr>
        <w:trPr>
          <w:trHeight w:val="2564"/>
        </w:trPr>
        <w:tc>
          <w:tcPr>
            <w:tcW w:w="1143" w:type="dxa"/>
            <w:vAlign w:val="center"/>
            <w:vMerge w:val="continue"/>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11" w:type="dxa"/>
            <w:vAlign w:val="center"/>
            <w:vMerge w:val="continue"/>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43" w:type="dxa"/>
            <w:vAlign w:val="center"/>
            <w:textDirection w:val="lrTb"/>
            <w:noWrap w:val="false"/>
          </w:tcPr>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（4）《台风暴雨等恶劣天气应急预案》可操作性强、应急预案措施和控制保障措施及时得当得4分；</w:t>
            </w:r>
            <w:r>
              <w:rPr>
                <w:rFonts w:hint="eastAsia" w:ascii="宋体" w:hAnsi="宋体" w:eastAsia="宋体" w:cs="宋体"/>
                <w:color w:val="000000"/>
                <w:sz w:val="21"/>
                <w:szCs w:val="21"/>
                <w:highlight w:val="none"/>
              </w:rPr>
            </w:r>
            <w:r/>
          </w:p>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方案简单、内容一般、及时性一般的得2分；</w:t>
            </w:r>
            <w:r>
              <w:rPr>
                <w:rFonts w:hint="eastAsia" w:ascii="宋体" w:hAnsi="宋体" w:eastAsia="宋体" w:cs="宋体"/>
                <w:color w:val="000000"/>
                <w:sz w:val="21"/>
                <w:szCs w:val="21"/>
                <w:highlight w:val="none"/>
              </w:rPr>
            </w:r>
            <w:r/>
          </w:p>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方案内容较差、可行性、及时性较差的得1分；</w:t>
            </w:r>
            <w:r>
              <w:rPr>
                <w:rFonts w:hint="eastAsia" w:ascii="宋体" w:hAnsi="宋体" w:eastAsia="宋体" w:cs="宋体"/>
                <w:color w:val="000000"/>
                <w:sz w:val="21"/>
                <w:szCs w:val="21"/>
                <w:highlight w:val="none"/>
              </w:rPr>
            </w:r>
            <w:r/>
          </w:p>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未提供不得分。</w:t>
            </w:r>
            <w:r>
              <w:rPr>
                <w:rFonts w:hint="eastAsia" w:ascii="宋体" w:hAnsi="宋体" w:eastAsia="宋体" w:cs="宋体"/>
                <w:color w:val="000000"/>
                <w:sz w:val="21"/>
                <w:szCs w:val="21"/>
                <w:highlight w:val="none"/>
              </w:rPr>
            </w:r>
            <w:r/>
          </w:p>
        </w:tc>
        <w:tc>
          <w:tcPr>
            <w:tcW w:w="662" w:type="dxa"/>
            <w:vAlign w:val="center"/>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r>
      <w:tr>
        <w:trPr>
          <w:trHeight w:val="983"/>
        </w:trPr>
        <w:tc>
          <w:tcPr>
            <w:tcW w:w="1143" w:type="dxa"/>
            <w:vAlign w:val="center"/>
            <w:vMerge w:val="continue"/>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11" w:type="dxa"/>
            <w:vAlign w:val="center"/>
            <w:vMerge w:val="continue"/>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43" w:type="dxa"/>
            <w:vAlign w:val="center"/>
            <w:textDirection w:val="lrTb"/>
            <w:noWrap w:val="false"/>
          </w:tcPr>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（5）投标人制定本项目进退场方案，可操作性强、服务措施和管制措施得当得4分；</w:t>
            </w:r>
            <w:r>
              <w:rPr>
                <w:rFonts w:hint="eastAsia" w:ascii="宋体" w:hAnsi="宋体" w:eastAsia="宋体" w:cs="宋体"/>
                <w:color w:val="000000"/>
                <w:sz w:val="21"/>
                <w:szCs w:val="21"/>
                <w:highlight w:val="none"/>
              </w:rPr>
            </w:r>
            <w:r/>
          </w:p>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方案简单、内容一般、及时性一般的得2分；</w:t>
            </w:r>
            <w:r>
              <w:rPr>
                <w:rFonts w:hint="eastAsia" w:ascii="宋体" w:hAnsi="宋体" w:eastAsia="宋体" w:cs="宋体"/>
                <w:color w:val="000000"/>
                <w:sz w:val="21"/>
                <w:szCs w:val="21"/>
                <w:highlight w:val="none"/>
              </w:rPr>
            </w:r>
            <w:r/>
          </w:p>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方案内容较差、可行性、及时性较差的得1分；</w:t>
            </w:r>
            <w:r>
              <w:rPr>
                <w:rFonts w:hint="eastAsia" w:ascii="宋体" w:hAnsi="宋体" w:eastAsia="宋体" w:cs="宋体"/>
                <w:color w:val="000000"/>
                <w:sz w:val="21"/>
                <w:szCs w:val="21"/>
                <w:highlight w:val="none"/>
              </w:rPr>
            </w:r>
            <w:r/>
          </w:p>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未提供不得分。</w:t>
            </w:r>
            <w:r>
              <w:rPr>
                <w:rFonts w:hint="eastAsia" w:ascii="宋体" w:hAnsi="宋体" w:eastAsia="宋体" w:cs="宋体"/>
                <w:color w:val="000000"/>
                <w:sz w:val="21"/>
                <w:szCs w:val="21"/>
                <w:highlight w:val="none"/>
              </w:rPr>
            </w:r>
            <w:r/>
          </w:p>
        </w:tc>
        <w:tc>
          <w:tcPr>
            <w:tcW w:w="662" w:type="dxa"/>
            <w:vAlign w:val="center"/>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r>
      <w:tr>
        <w:trPr>
          <w:trHeight w:val="2117"/>
        </w:trPr>
        <w:tc>
          <w:tcPr>
            <w:tcW w:w="1143" w:type="dxa"/>
            <w:vAlign w:val="center"/>
            <w:vMerge w:val="continue"/>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11" w:type="dxa"/>
            <w:vAlign w:val="center"/>
            <w:vMerge w:val="restart"/>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机械作业</w:t>
            </w:r>
            <w:r>
              <w:rPr>
                <w:rFonts w:hint="eastAsia" w:ascii="宋体" w:hAnsi="宋体" w:eastAsia="宋体" w:cs="宋体"/>
                <w:color w:val="000000"/>
                <w:sz w:val="21"/>
                <w:szCs w:val="21"/>
                <w:highlight w:val="none"/>
              </w:rPr>
            </w:r>
            <w:r/>
          </w:p>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方案（12分）</w:t>
            </w:r>
            <w:r>
              <w:rPr>
                <w:rFonts w:hint="eastAsia" w:ascii="宋体" w:hAnsi="宋体" w:eastAsia="宋体" w:cs="宋体"/>
                <w:color w:val="000000"/>
                <w:sz w:val="21"/>
                <w:szCs w:val="21"/>
                <w:highlight w:val="none"/>
              </w:rPr>
            </w:r>
            <w:r/>
          </w:p>
        </w:tc>
        <w:tc>
          <w:tcPr>
            <w:tcW w:w="6143" w:type="dxa"/>
            <w:vAlign w:val="center"/>
            <w:textDirection w:val="lrTb"/>
            <w:noWrap w:val="false"/>
          </w:tcPr>
          <w:p>
            <w:pPr>
              <w:pStyle w:val="884"/>
              <w:contextualSpacing/>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（1）自动保洁（打捞）船只排班编制。须包含驾驶人员排班、休息、作业时间等信息。驾驶人员若未明确，可用编号代替。</w:t>
            </w:r>
            <w:r>
              <w:rPr>
                <w:rFonts w:hint="eastAsia" w:ascii="宋体" w:hAnsi="宋体" w:eastAsia="宋体" w:cs="宋体"/>
                <w:color w:val="000000"/>
                <w:sz w:val="21"/>
                <w:szCs w:val="21"/>
                <w:highlight w:val="none"/>
              </w:rPr>
            </w:r>
            <w:r/>
          </w:p>
          <w:p>
            <w:pPr>
              <w:pStyle w:val="884"/>
              <w:contextualSpacing/>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方案编制全面完善、管理思路科学合理、可行性强的得4分；</w:t>
            </w:r>
            <w:r>
              <w:rPr>
                <w:rFonts w:hint="eastAsia" w:ascii="宋体" w:hAnsi="宋体" w:eastAsia="宋体" w:cs="宋体"/>
                <w:color w:val="000000"/>
                <w:sz w:val="21"/>
                <w:szCs w:val="21"/>
                <w:highlight w:val="none"/>
              </w:rPr>
            </w:r>
            <w:r/>
          </w:p>
          <w:p>
            <w:pPr>
              <w:pStyle w:val="884"/>
              <w:contextualSpacing/>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方案编制较全面、管理思路较清晰、可行性一般的得2分；</w:t>
            </w:r>
            <w:r>
              <w:rPr>
                <w:rFonts w:hint="eastAsia" w:ascii="宋体" w:hAnsi="宋体" w:eastAsia="宋体" w:cs="宋体"/>
                <w:color w:val="000000"/>
                <w:sz w:val="21"/>
                <w:szCs w:val="21"/>
                <w:highlight w:val="none"/>
              </w:rPr>
            </w:r>
            <w:r/>
          </w:p>
          <w:p>
            <w:pPr>
              <w:pStyle w:val="884"/>
              <w:contextualSpacing/>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方案编制较差、可行性较差的得1分；</w:t>
            </w:r>
            <w:r>
              <w:rPr>
                <w:rFonts w:hint="eastAsia" w:ascii="宋体" w:hAnsi="宋体" w:eastAsia="宋体" w:cs="宋体"/>
                <w:color w:val="000000"/>
                <w:sz w:val="21"/>
                <w:szCs w:val="21"/>
                <w:highlight w:val="none"/>
              </w:rPr>
            </w:r>
            <w:r/>
          </w:p>
          <w:p>
            <w:pPr>
              <w:pStyle w:val="884"/>
              <w:contextualSpacing/>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未提供不得分。</w:t>
            </w:r>
            <w:r>
              <w:rPr>
                <w:rFonts w:hint="eastAsia" w:ascii="宋体" w:hAnsi="宋体" w:eastAsia="宋体" w:cs="宋体"/>
                <w:color w:val="000000"/>
                <w:sz w:val="21"/>
                <w:szCs w:val="21"/>
                <w:highlight w:val="none"/>
              </w:rPr>
            </w:r>
            <w:r/>
          </w:p>
        </w:tc>
        <w:tc>
          <w:tcPr>
            <w:tcW w:w="662" w:type="dxa"/>
            <w:vAlign w:val="center"/>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r>
      <w:tr>
        <w:trPr>
          <w:trHeight w:val="617"/>
        </w:trPr>
        <w:tc>
          <w:tcPr>
            <w:tcW w:w="1143" w:type="dxa"/>
            <w:vAlign w:val="center"/>
            <w:vMerge w:val="continue"/>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11" w:type="dxa"/>
            <w:vAlign w:val="center"/>
            <w:vMerge w:val="continue"/>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43" w:type="dxa"/>
            <w:vAlign w:val="center"/>
            <w:textDirection w:val="lrTb"/>
            <w:noWrap w:val="false"/>
          </w:tcPr>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（2）新能源无人智能清洁船只作业路线和操作安排。根据河道情况，绘（编写）出作业路线分布图（表）。</w:t>
            </w:r>
            <w:r>
              <w:rPr>
                <w:rFonts w:hint="eastAsia" w:ascii="宋体" w:hAnsi="宋体" w:eastAsia="宋体" w:cs="宋体"/>
                <w:color w:val="000000"/>
                <w:sz w:val="21"/>
                <w:szCs w:val="21"/>
                <w:highlight w:val="none"/>
              </w:rPr>
            </w:r>
            <w:r/>
          </w:p>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路线安排全面完善、科学合理、可行性强的得4分；</w:t>
            </w:r>
            <w:r>
              <w:rPr>
                <w:rFonts w:hint="eastAsia" w:ascii="宋体" w:hAnsi="宋体" w:eastAsia="宋体" w:cs="宋体"/>
                <w:color w:val="000000"/>
                <w:sz w:val="21"/>
                <w:szCs w:val="21"/>
                <w:highlight w:val="none"/>
              </w:rPr>
            </w:r>
            <w:r/>
          </w:p>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路线安排较全面、管理思路较清晰、可行性一般的得2分；</w:t>
            </w:r>
            <w:r>
              <w:rPr>
                <w:rFonts w:hint="eastAsia" w:ascii="宋体" w:hAnsi="宋体" w:eastAsia="宋体" w:cs="宋体"/>
                <w:color w:val="000000"/>
                <w:sz w:val="21"/>
                <w:szCs w:val="21"/>
                <w:highlight w:val="none"/>
              </w:rPr>
            </w:r>
            <w:r/>
          </w:p>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路线安排较差、可行性较差的得1分；</w:t>
            </w:r>
            <w:r>
              <w:rPr>
                <w:rFonts w:hint="eastAsia" w:ascii="宋体" w:hAnsi="宋体" w:eastAsia="宋体" w:cs="宋体"/>
                <w:color w:val="000000"/>
                <w:sz w:val="21"/>
                <w:szCs w:val="21"/>
                <w:highlight w:val="none"/>
              </w:rPr>
            </w:r>
            <w:r/>
          </w:p>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未提供不得分。</w:t>
            </w:r>
            <w:r>
              <w:rPr>
                <w:rFonts w:hint="eastAsia" w:ascii="宋体" w:hAnsi="宋体" w:eastAsia="宋体" w:cs="宋体"/>
                <w:color w:val="000000"/>
                <w:sz w:val="21"/>
                <w:szCs w:val="21"/>
                <w:highlight w:val="none"/>
              </w:rPr>
            </w:r>
            <w:r/>
          </w:p>
        </w:tc>
        <w:tc>
          <w:tcPr>
            <w:tcW w:w="662" w:type="dxa"/>
            <w:vAlign w:val="center"/>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r>
      <w:tr>
        <w:trPr>
          <w:trHeight w:val="988"/>
        </w:trPr>
        <w:tc>
          <w:tcPr>
            <w:tcW w:w="1143" w:type="dxa"/>
            <w:vAlign w:val="center"/>
            <w:vMerge w:val="continue"/>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11" w:type="dxa"/>
            <w:vAlign w:val="center"/>
            <w:vMerge w:val="continue"/>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43" w:type="dxa"/>
            <w:vAlign w:val="center"/>
            <w:textDirection w:val="lrTb"/>
            <w:noWrap w:val="false"/>
          </w:tcPr>
          <w:p>
            <w:pPr>
              <w:pStyle w:val="884"/>
              <w:contextualSpacing/>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（3）电动保洁船只排班编制。须包含排班、休息、每日作业时间等信息。</w:t>
            </w:r>
            <w:r>
              <w:rPr>
                <w:rFonts w:hint="eastAsia" w:ascii="宋体" w:hAnsi="宋体" w:eastAsia="宋体" w:cs="宋体"/>
                <w:color w:val="000000"/>
                <w:sz w:val="21"/>
                <w:szCs w:val="21"/>
                <w:highlight w:val="none"/>
              </w:rPr>
            </w:r>
            <w:r/>
          </w:p>
          <w:p>
            <w:pPr>
              <w:pStyle w:val="884"/>
              <w:contextualSpacing/>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方案编制全面完善、管理思路科学合理、可行性强的得4分；</w:t>
            </w:r>
            <w:r>
              <w:rPr>
                <w:rFonts w:hint="eastAsia" w:ascii="宋体" w:hAnsi="宋体" w:eastAsia="宋体" w:cs="宋体"/>
                <w:color w:val="000000"/>
                <w:sz w:val="21"/>
                <w:szCs w:val="21"/>
                <w:highlight w:val="none"/>
              </w:rPr>
            </w:r>
            <w:r/>
          </w:p>
          <w:p>
            <w:pPr>
              <w:pStyle w:val="884"/>
              <w:contextualSpacing/>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方案编制较全面、管理思路较清晰、可行性一般的得2分；</w:t>
            </w:r>
            <w:r>
              <w:rPr>
                <w:rFonts w:hint="eastAsia" w:ascii="宋体" w:hAnsi="宋体" w:eastAsia="宋体" w:cs="宋体"/>
                <w:color w:val="000000"/>
                <w:sz w:val="21"/>
                <w:szCs w:val="21"/>
                <w:highlight w:val="none"/>
              </w:rPr>
            </w:r>
            <w:r/>
          </w:p>
          <w:p>
            <w:pPr>
              <w:pStyle w:val="884"/>
              <w:contextualSpacing/>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方案编制较差、可行性较差的得1分；</w:t>
            </w:r>
            <w:r>
              <w:rPr>
                <w:rFonts w:hint="eastAsia" w:ascii="宋体" w:hAnsi="宋体" w:eastAsia="宋体" w:cs="宋体"/>
                <w:color w:val="000000"/>
                <w:sz w:val="21"/>
                <w:szCs w:val="21"/>
                <w:highlight w:val="none"/>
              </w:rPr>
            </w:r>
            <w:r/>
          </w:p>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未提供不得分。</w:t>
            </w:r>
            <w:r>
              <w:rPr>
                <w:rFonts w:hint="eastAsia" w:ascii="宋体" w:hAnsi="宋体" w:eastAsia="宋体" w:cs="宋体"/>
                <w:color w:val="000000"/>
                <w:sz w:val="21"/>
                <w:szCs w:val="21"/>
                <w:highlight w:val="none"/>
              </w:rPr>
            </w:r>
            <w:r/>
          </w:p>
        </w:tc>
        <w:tc>
          <w:tcPr>
            <w:tcW w:w="662" w:type="dxa"/>
            <w:vAlign w:val="center"/>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r>
      <w:tr>
        <w:trPr>
          <w:trHeight w:val="961"/>
        </w:trPr>
        <w:tc>
          <w:tcPr>
            <w:tcW w:w="1143" w:type="dxa"/>
            <w:vAlign w:val="center"/>
            <w:vMerge w:val="continue"/>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11" w:type="dxa"/>
            <w:vAlign w:val="center"/>
            <w:vMerge w:val="restart"/>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人员作业</w:t>
            </w:r>
            <w:r>
              <w:rPr>
                <w:rFonts w:hint="eastAsia" w:ascii="宋体" w:hAnsi="宋体" w:eastAsia="宋体" w:cs="宋体"/>
                <w:color w:val="000000"/>
                <w:sz w:val="21"/>
                <w:szCs w:val="21"/>
                <w:highlight w:val="none"/>
              </w:rPr>
            </w:r>
            <w:r/>
          </w:p>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方案（8分）</w:t>
            </w:r>
            <w:r>
              <w:rPr>
                <w:rFonts w:hint="eastAsia" w:ascii="宋体" w:hAnsi="宋体" w:eastAsia="宋体" w:cs="宋体"/>
                <w:color w:val="000000"/>
                <w:sz w:val="21"/>
                <w:szCs w:val="21"/>
                <w:highlight w:val="none"/>
              </w:rPr>
            </w:r>
            <w:r/>
          </w:p>
        </w:tc>
        <w:tc>
          <w:tcPr>
            <w:tcW w:w="6143" w:type="dxa"/>
            <w:vAlign w:val="center"/>
            <w:textDirection w:val="lrTb"/>
            <w:noWrap w:val="false"/>
          </w:tcPr>
          <w:p>
            <w:pPr>
              <w:pStyle w:val="884"/>
              <w:contextualSpacing/>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bookmarkStart w:id="89" w:name="OLE_LINK19"/>
            <w:r>
              <w:rPr>
                <w:rFonts w:hint="eastAsia" w:ascii="宋体" w:hAnsi="宋体" w:eastAsia="宋体" w:cs="宋体"/>
                <w:color w:val="000000"/>
                <w:sz w:val="21"/>
                <w:szCs w:val="21"/>
                <w:highlight w:val="none"/>
              </w:rPr>
              <w:t xml:space="preserve">人工保洁船只</w:t>
            </w:r>
            <w:bookmarkEnd w:id="89"/>
            <w:r>
              <w:rPr>
                <w:rFonts w:hint="eastAsia" w:ascii="宋体" w:hAnsi="宋体" w:eastAsia="宋体" w:cs="宋体"/>
                <w:color w:val="000000"/>
                <w:sz w:val="21"/>
                <w:szCs w:val="21"/>
                <w:highlight w:val="none"/>
              </w:rPr>
              <w:t xml:space="preserve">排班编制。</w:t>
            </w:r>
            <w:r>
              <w:rPr>
                <w:rFonts w:hint="eastAsia" w:ascii="宋体" w:hAnsi="宋体" w:eastAsia="宋体" w:cs="宋体"/>
                <w:color w:val="000000"/>
                <w:sz w:val="21"/>
                <w:szCs w:val="21"/>
                <w:highlight w:val="none"/>
              </w:rPr>
              <w:t xml:space="preserve">须包含排班、休息、每日作业时间等信息。</w:t>
            </w:r>
            <w:r>
              <w:rPr>
                <w:rFonts w:hint="eastAsia" w:ascii="宋体" w:hAnsi="宋体" w:eastAsia="宋体" w:cs="宋体"/>
                <w:color w:val="000000"/>
                <w:sz w:val="21"/>
                <w:szCs w:val="21"/>
                <w:highlight w:val="none"/>
              </w:rPr>
            </w:r>
            <w:r/>
          </w:p>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安排全面完善、科学合理、可行性强的得4分；</w:t>
            </w:r>
            <w:r>
              <w:rPr>
                <w:rFonts w:hint="eastAsia" w:ascii="宋体" w:hAnsi="宋体" w:eastAsia="宋体" w:cs="宋体"/>
                <w:color w:val="000000"/>
                <w:sz w:val="21"/>
                <w:szCs w:val="21"/>
                <w:highlight w:val="none"/>
              </w:rPr>
            </w:r>
            <w:r/>
          </w:p>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安排较全面、管理思路较清晰、可行性一般的得2分；</w:t>
            </w:r>
            <w:r>
              <w:rPr>
                <w:rFonts w:hint="eastAsia" w:ascii="宋体" w:hAnsi="宋体" w:eastAsia="宋体" w:cs="宋体"/>
                <w:color w:val="000000"/>
                <w:sz w:val="21"/>
                <w:szCs w:val="21"/>
                <w:highlight w:val="none"/>
              </w:rPr>
            </w:r>
            <w:r/>
          </w:p>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完整性、合理性较差的得1分；</w:t>
            </w:r>
            <w:r>
              <w:rPr>
                <w:rFonts w:hint="eastAsia" w:ascii="宋体" w:hAnsi="宋体" w:eastAsia="宋体" w:cs="宋体"/>
                <w:color w:val="000000"/>
                <w:sz w:val="21"/>
                <w:szCs w:val="21"/>
                <w:highlight w:val="none"/>
              </w:rPr>
            </w:r>
            <w:r/>
          </w:p>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与本项目无关或无内容的不得分。</w:t>
            </w:r>
            <w:r>
              <w:rPr>
                <w:rFonts w:hint="eastAsia" w:ascii="宋体" w:hAnsi="宋体" w:eastAsia="宋体" w:cs="宋体"/>
                <w:color w:val="000000"/>
                <w:sz w:val="21"/>
                <w:szCs w:val="21"/>
                <w:highlight w:val="none"/>
              </w:rPr>
            </w:r>
            <w:r/>
          </w:p>
        </w:tc>
        <w:tc>
          <w:tcPr>
            <w:tcW w:w="662" w:type="dxa"/>
            <w:vAlign w:val="center"/>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r>
      <w:tr>
        <w:trPr>
          <w:trHeight w:val="961"/>
        </w:trPr>
        <w:tc>
          <w:tcPr>
            <w:tcW w:w="1143" w:type="dxa"/>
            <w:vAlign w:val="center"/>
            <w:vMerge w:val="continue"/>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11" w:type="dxa"/>
            <w:vAlign w:val="center"/>
            <w:vMerge w:val="continue"/>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43" w:type="dxa"/>
            <w:vAlign w:val="center"/>
            <w:textDirection w:val="lrTb"/>
            <w:noWrap w:val="false"/>
          </w:tcPr>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（2）河道巡保人员作业安排表。</w:t>
            </w:r>
            <w:r>
              <w:rPr>
                <w:rFonts w:hint="eastAsia" w:ascii="宋体" w:hAnsi="宋体" w:eastAsia="宋体" w:cs="宋体"/>
                <w:color w:val="000000"/>
                <w:sz w:val="21"/>
                <w:szCs w:val="21"/>
                <w:highlight w:val="none"/>
              </w:rPr>
              <w:t xml:space="preserve">须包含排班、休息、每日作业时间等信息。</w:t>
            </w:r>
            <w:r>
              <w:rPr>
                <w:rFonts w:hint="eastAsia" w:ascii="宋体" w:hAnsi="宋体" w:eastAsia="宋体" w:cs="宋体"/>
                <w:color w:val="000000"/>
                <w:sz w:val="21"/>
                <w:szCs w:val="21"/>
                <w:highlight w:val="none"/>
              </w:rPr>
            </w:r>
            <w:r/>
          </w:p>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工作安排管理科学、具体且切实可行得4分；</w:t>
            </w:r>
            <w:r>
              <w:rPr>
                <w:rFonts w:hint="eastAsia" w:ascii="宋体" w:hAnsi="宋体" w:eastAsia="宋体" w:cs="宋体"/>
                <w:color w:val="000000"/>
                <w:sz w:val="21"/>
                <w:szCs w:val="21"/>
                <w:highlight w:val="none"/>
              </w:rPr>
            </w:r>
            <w:r/>
          </w:p>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资源配置较合理、工作安排管理较科学、具体得2分；</w:t>
            </w:r>
            <w:r>
              <w:rPr>
                <w:rFonts w:hint="eastAsia" w:ascii="宋体" w:hAnsi="宋体" w:eastAsia="宋体" w:cs="宋体"/>
                <w:color w:val="000000"/>
                <w:sz w:val="21"/>
                <w:szCs w:val="21"/>
                <w:highlight w:val="none"/>
              </w:rPr>
            </w:r>
            <w:r/>
          </w:p>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合理性、科学性、可行性一般得1分；</w:t>
            </w:r>
            <w:r>
              <w:rPr>
                <w:rFonts w:hint="eastAsia" w:ascii="宋体" w:hAnsi="宋体" w:eastAsia="宋体" w:cs="宋体"/>
                <w:color w:val="000000"/>
                <w:sz w:val="21"/>
                <w:szCs w:val="21"/>
                <w:highlight w:val="none"/>
              </w:rPr>
            </w:r>
            <w:r/>
          </w:p>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与本项目无关或无内容的不得分。</w:t>
            </w:r>
            <w:r>
              <w:rPr>
                <w:rFonts w:hint="eastAsia" w:ascii="宋体" w:hAnsi="宋体" w:eastAsia="宋体" w:cs="宋体"/>
                <w:color w:val="000000"/>
                <w:sz w:val="21"/>
                <w:szCs w:val="21"/>
                <w:highlight w:val="none"/>
              </w:rPr>
            </w:r>
            <w:r/>
          </w:p>
        </w:tc>
        <w:tc>
          <w:tcPr>
            <w:tcW w:w="662" w:type="dxa"/>
            <w:vAlign w:val="center"/>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r>
      <w:tr>
        <w:trPr>
          <w:trHeight w:val="90"/>
        </w:trPr>
        <w:tc>
          <w:tcPr>
            <w:tcW w:w="1143" w:type="dxa"/>
            <w:vAlign w:val="center"/>
            <w:vMerge w:val="continue"/>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11" w:type="dxa"/>
            <w:vAlign w:val="center"/>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内部管理</w:t>
            </w:r>
            <w:r>
              <w:rPr>
                <w:rFonts w:hint="eastAsia" w:ascii="宋体" w:hAnsi="宋体" w:eastAsia="宋体" w:cs="宋体"/>
                <w:color w:val="000000"/>
                <w:sz w:val="21"/>
                <w:szCs w:val="21"/>
                <w:highlight w:val="none"/>
              </w:rPr>
            </w:r>
            <w:r/>
          </w:p>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（3分）</w:t>
            </w:r>
            <w:r>
              <w:rPr>
                <w:rFonts w:hint="eastAsia" w:ascii="宋体" w:hAnsi="宋体" w:eastAsia="宋体" w:cs="宋体"/>
                <w:color w:val="000000"/>
                <w:sz w:val="21"/>
                <w:szCs w:val="21"/>
                <w:highlight w:val="none"/>
              </w:rPr>
            </w:r>
            <w:r/>
          </w:p>
        </w:tc>
        <w:tc>
          <w:tcPr>
            <w:tcW w:w="6143" w:type="dxa"/>
            <w:vAlign w:val="center"/>
            <w:textDirection w:val="lrTb"/>
            <w:noWrap w:val="false"/>
          </w:tcPr>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项目组织机构配备一览表和各类管理制度。</w:t>
            </w:r>
            <w:r>
              <w:rPr>
                <w:rFonts w:hint="eastAsia" w:ascii="宋体" w:hAnsi="宋体" w:eastAsia="宋体" w:cs="宋体"/>
                <w:color w:val="000000"/>
                <w:sz w:val="21"/>
                <w:szCs w:val="21"/>
                <w:highlight w:val="none"/>
              </w:rPr>
            </w:r>
            <w:r/>
          </w:p>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项目组织机构配备和管理制度健全、规范、科学合理得3分；</w:t>
            </w:r>
            <w:r>
              <w:rPr>
                <w:rFonts w:hint="eastAsia" w:ascii="宋体" w:hAnsi="宋体" w:eastAsia="宋体" w:cs="宋体"/>
                <w:color w:val="000000"/>
                <w:sz w:val="21"/>
                <w:szCs w:val="21"/>
                <w:highlight w:val="none"/>
              </w:rPr>
            </w:r>
            <w:r/>
          </w:p>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规范性、科学性、合理性、可行性一般的得2分；</w:t>
            </w:r>
            <w:r>
              <w:rPr>
                <w:rFonts w:hint="eastAsia" w:ascii="宋体" w:hAnsi="宋体" w:eastAsia="宋体" w:cs="宋体"/>
                <w:color w:val="000000"/>
                <w:sz w:val="21"/>
                <w:szCs w:val="21"/>
                <w:highlight w:val="none"/>
              </w:rPr>
            </w:r>
            <w:r/>
          </w:p>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规范性、科学性、合理性、可行性较差的得1分；</w:t>
            </w:r>
            <w:r>
              <w:rPr>
                <w:rFonts w:hint="eastAsia" w:ascii="宋体" w:hAnsi="宋体" w:eastAsia="宋体" w:cs="宋体"/>
                <w:color w:val="000000"/>
                <w:sz w:val="21"/>
                <w:szCs w:val="21"/>
                <w:highlight w:val="none"/>
              </w:rPr>
            </w:r>
            <w:r/>
          </w:p>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与本项目无关或无内容的不得分。</w:t>
            </w:r>
            <w:r>
              <w:rPr>
                <w:rFonts w:hint="eastAsia" w:ascii="宋体" w:hAnsi="宋体" w:eastAsia="宋体" w:cs="宋体"/>
                <w:color w:val="000000"/>
                <w:sz w:val="21"/>
                <w:szCs w:val="21"/>
                <w:highlight w:val="none"/>
              </w:rPr>
            </w:r>
            <w:r/>
          </w:p>
        </w:tc>
        <w:tc>
          <w:tcPr>
            <w:tcW w:w="662" w:type="dxa"/>
            <w:vAlign w:val="center"/>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r>
      <w:tr>
        <w:trPr>
          <w:trHeight w:val="536"/>
        </w:trPr>
        <w:tc>
          <w:tcPr>
            <w:tcW w:w="1143" w:type="dxa"/>
            <w:vAlign w:val="center"/>
            <w:vMerge w:val="continue"/>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11" w:type="dxa"/>
            <w:vAlign w:val="center"/>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投标人已有设备情况（</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6143" w:type="dxa"/>
            <w:vAlign w:val="center"/>
            <w:textDirection w:val="lrTb"/>
            <w:noWrap w:val="false"/>
          </w:tcPr>
          <w:p>
            <w:pPr>
              <w:pStyle w:val="884"/>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投标人自有或者租赁机动巡逻（查）船或自动保洁（打捞）船的，每提供1艘船只得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注：</w:t>
            </w:r>
            <w:r>
              <w:rPr>
                <w:rFonts w:hint="eastAsia" w:ascii="宋体" w:hAnsi="宋体" w:eastAsia="宋体" w:cs="宋体"/>
                <w:color w:val="000000"/>
                <w:sz w:val="21"/>
                <w:szCs w:val="21"/>
                <w:highlight w:val="none"/>
              </w:rPr>
              <w:t xml:space="preserve">船只建成日期为2021年1月1日（含）以后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同时</w:t>
            </w:r>
            <w:r>
              <w:rPr>
                <w:rFonts w:hint="eastAsia" w:ascii="宋体" w:hAnsi="宋体" w:eastAsia="宋体" w:cs="宋体"/>
                <w:color w:val="000000"/>
                <w:sz w:val="21"/>
                <w:szCs w:val="21"/>
                <w:highlight w:val="none"/>
              </w:rPr>
              <w:t xml:space="preserve">提供船舶所有权登记证书、在有效期内的船舶检验证书、购置合同或者租赁协议的有效证明材料复印件并加盖公章，否则不得分；</w:t>
            </w:r>
            <w:r>
              <w:rPr>
                <w:rFonts w:hint="eastAsia" w:ascii="宋体" w:hAnsi="宋体" w:eastAsia="宋体" w:cs="宋体"/>
                <w:color w:val="000000"/>
                <w:sz w:val="21"/>
                <w:szCs w:val="21"/>
                <w:highlight w:val="none"/>
              </w:rPr>
            </w:r>
            <w:r/>
          </w:p>
        </w:tc>
        <w:tc>
          <w:tcPr>
            <w:tcW w:w="662" w:type="dxa"/>
            <w:vAlign w:val="center"/>
            <w:textDirection w:val="lrTb"/>
            <w:noWrap w:val="false"/>
          </w:tcPr>
          <w:p>
            <w:pPr>
              <w:pStyle w:val="884"/>
              <w:jc w:val="cente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r>
            <w:r/>
          </w:p>
        </w:tc>
      </w:tr>
      <w:tr>
        <w:trPr>
          <w:trHeight w:val="536"/>
        </w:trPr>
        <w:tc>
          <w:tcPr>
            <w:tcW w:w="1143" w:type="dxa"/>
            <w:vAlign w:val="center"/>
            <w:vMerge w:val="continue"/>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11" w:type="dxa"/>
            <w:vAlign w:val="center"/>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设备投入</w:t>
            </w:r>
            <w:r>
              <w:rPr>
                <w:rFonts w:hint="eastAsia" w:ascii="宋体" w:hAnsi="宋体" w:eastAsia="宋体" w:cs="宋体"/>
                <w:color w:val="000000"/>
                <w:sz w:val="21"/>
                <w:szCs w:val="21"/>
                <w:highlight w:val="none"/>
              </w:rPr>
            </w:r>
            <w:r/>
          </w:p>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（4分）</w:t>
            </w:r>
            <w:r>
              <w:rPr>
                <w:rFonts w:hint="eastAsia" w:ascii="宋体" w:hAnsi="宋体" w:eastAsia="宋体" w:cs="宋体"/>
                <w:color w:val="000000"/>
                <w:sz w:val="21"/>
                <w:szCs w:val="21"/>
                <w:highlight w:val="none"/>
              </w:rPr>
            </w:r>
            <w:r/>
          </w:p>
        </w:tc>
        <w:tc>
          <w:tcPr>
            <w:tcW w:w="6143" w:type="dxa"/>
            <w:vAlign w:val="center"/>
            <w:textDirection w:val="lrTb"/>
            <w:noWrap w:val="false"/>
          </w:tcPr>
          <w:p>
            <w:pPr>
              <w:pStyle w:val="884"/>
              <w:numPr>
                <w:ilvl w:val="0"/>
                <w:numId w:val="11"/>
              </w:numPr>
              <w:spacing w:line="360" w:lineRule="auto"/>
              <w:tabs>
                <w:tab w:val="left" w:pos="31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机动巡逻（查）船在满足招标文件第四章项目内容及基本要求的基础上，承诺增加1艘得2分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最高得2分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4"/>
              <w:numPr>
                <w:ilvl w:val="0"/>
                <w:numId w:val="11"/>
              </w:numPr>
              <w:spacing w:line="360" w:lineRule="auto"/>
              <w:tabs>
                <w:tab w:val="left" w:pos="31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自动保洁（打捞）船在满足招标文件第四章项目内容及基本要求的基础上，承诺增加1艘得2分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最高得2分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注：上述承诺增加的船只可为投标人自有或租赁，自行安排驾驶</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船只建成日期为2021年1月1日（含）以后，投标人提供承诺函加盖公章，未提供不得分。</w:t>
            </w:r>
            <w:r>
              <w:rPr>
                <w:rFonts w:hint="eastAsia" w:ascii="宋体" w:hAnsi="宋体" w:eastAsia="宋体" w:cs="宋体"/>
                <w:color w:val="000000"/>
                <w:sz w:val="21"/>
                <w:szCs w:val="21"/>
                <w:highlight w:val="none"/>
              </w:rPr>
            </w:r>
            <w:r/>
          </w:p>
        </w:tc>
        <w:tc>
          <w:tcPr>
            <w:tcW w:w="662" w:type="dxa"/>
            <w:vAlign w:val="center"/>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r>
      <w:tr>
        <w:trPr>
          <w:trHeight w:val="860"/>
        </w:trPr>
        <w:tc>
          <w:tcPr>
            <w:tcW w:w="1143" w:type="dxa"/>
            <w:vAlign w:val="center"/>
            <w:vMerge w:val="restart"/>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商务分</w:t>
            </w:r>
            <w:r>
              <w:rPr>
                <w:rFonts w:hint="eastAsia" w:ascii="宋体" w:hAnsi="宋体" w:eastAsia="宋体" w:cs="宋体"/>
                <w:color w:val="000000"/>
                <w:sz w:val="21"/>
                <w:szCs w:val="21"/>
                <w:highlight w:val="none"/>
              </w:rPr>
            </w:r>
            <w:r/>
          </w:p>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1311" w:type="dxa"/>
            <w:vAlign w:val="center"/>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企业认证</w:t>
            </w:r>
            <w:r>
              <w:rPr>
                <w:rFonts w:hint="eastAsia" w:ascii="宋体" w:hAnsi="宋体" w:eastAsia="宋体" w:cs="宋体"/>
                <w:color w:val="000000"/>
                <w:sz w:val="21"/>
                <w:szCs w:val="21"/>
                <w:highlight w:val="none"/>
              </w:rPr>
            </w:r>
            <w:r/>
          </w:p>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（5分）</w:t>
            </w:r>
            <w:r>
              <w:rPr>
                <w:rFonts w:hint="eastAsia" w:ascii="宋体" w:hAnsi="宋体" w:eastAsia="宋体" w:cs="宋体"/>
                <w:color w:val="000000"/>
                <w:sz w:val="21"/>
                <w:szCs w:val="21"/>
                <w:highlight w:val="none"/>
              </w:rPr>
            </w:r>
            <w:r/>
          </w:p>
        </w:tc>
        <w:tc>
          <w:tcPr>
            <w:tcW w:w="6143" w:type="dxa"/>
            <w:vAlign w:val="center"/>
            <w:textDirection w:val="lrTb"/>
            <w:noWrap w:val="false"/>
          </w:tcPr>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具有质量管理体系认证、环境管理体系认证、职业健康安全管理体系认证、社会责任体系认证、生活垃圾分类管理体系认证（在有效期内，提供证书扫描件加盖公章），每个得1分，最高得5分，未提供不得分。</w:t>
            </w:r>
            <w:r>
              <w:rPr>
                <w:rFonts w:hint="eastAsia" w:ascii="宋体" w:hAnsi="宋体" w:eastAsia="宋体" w:cs="宋体"/>
                <w:color w:val="000000"/>
                <w:sz w:val="21"/>
                <w:szCs w:val="21"/>
                <w:highlight w:val="none"/>
              </w:rPr>
            </w:r>
            <w:r/>
          </w:p>
        </w:tc>
        <w:tc>
          <w:tcPr>
            <w:tcW w:w="662" w:type="dxa"/>
            <w:vAlign w:val="center"/>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r>
      <w:tr>
        <w:trPr>
          <w:trHeight w:val="983"/>
        </w:trPr>
        <w:tc>
          <w:tcPr>
            <w:tcW w:w="1143" w:type="dxa"/>
            <w:vAlign w:val="center"/>
            <w:vMerge w:val="continue"/>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11" w:type="dxa"/>
            <w:vAlign w:val="center"/>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履约能力</w:t>
            </w:r>
            <w:r>
              <w:rPr>
                <w:rFonts w:hint="eastAsia" w:ascii="宋体" w:hAnsi="宋体" w:eastAsia="宋体" w:cs="宋体"/>
                <w:color w:val="000000"/>
                <w:sz w:val="21"/>
                <w:szCs w:val="21"/>
                <w:highlight w:val="none"/>
              </w:rPr>
            </w:r>
            <w:r/>
          </w:p>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（12分）</w:t>
            </w:r>
            <w:r>
              <w:rPr>
                <w:rFonts w:hint="eastAsia" w:ascii="宋体" w:hAnsi="宋体" w:eastAsia="宋体" w:cs="宋体"/>
                <w:color w:val="000000"/>
                <w:sz w:val="21"/>
                <w:szCs w:val="21"/>
                <w:highlight w:val="none"/>
              </w:rPr>
            </w:r>
            <w:r/>
          </w:p>
        </w:tc>
        <w:tc>
          <w:tcPr>
            <w:tcW w:w="6143" w:type="dxa"/>
            <w:vAlign w:val="center"/>
            <w:textDirection w:val="lrTb"/>
            <w:noWrap w:val="false"/>
          </w:tcPr>
          <w:p>
            <w:pPr>
              <w:pStyle w:val="88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提供自2023年1月1日以来（以合同签订日期为准）已签订的河道保洁或水域服务类合同。每份得3分，最多得12分。注：投标人需提供项目所在地政府颁发的相应生活垃圾清扫、收集行政服务类的许可或业主满意度情况证明材料，并加盖公章；提供合同复印件并加盖公章；上述材料不全不得分。</w:t>
            </w:r>
            <w:r>
              <w:rPr>
                <w:rFonts w:hint="eastAsia" w:ascii="宋体" w:hAnsi="宋体" w:eastAsia="宋体" w:cs="宋体"/>
                <w:color w:val="000000"/>
                <w:sz w:val="21"/>
                <w:szCs w:val="21"/>
                <w:highlight w:val="none"/>
              </w:rPr>
            </w:r>
            <w:r/>
          </w:p>
        </w:tc>
        <w:tc>
          <w:tcPr>
            <w:tcW w:w="662" w:type="dxa"/>
            <w:vAlign w:val="center"/>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r>
      <w:tr>
        <w:trPr>
          <w:trHeight w:val="1395"/>
        </w:trPr>
        <w:tc>
          <w:tcPr>
            <w:tcW w:w="1143" w:type="dxa"/>
            <w:vAlign w:val="center"/>
            <w:vMerge w:val="continue"/>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11" w:type="dxa"/>
            <w:vAlign w:val="center"/>
            <w:textDirection w:val="lrTb"/>
            <w:noWrap w:val="false"/>
          </w:tcPr>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投标人人力资源储备</w:t>
            </w:r>
            <w:r>
              <w:rPr>
                <w:rFonts w:hint="eastAsia" w:ascii="宋体" w:hAnsi="宋体" w:eastAsia="宋体" w:cs="宋体"/>
                <w:color w:val="000000"/>
                <w:sz w:val="21"/>
                <w:szCs w:val="21"/>
                <w:highlight w:val="none"/>
              </w:rPr>
            </w:r>
            <w:r/>
          </w:p>
          <w:p>
            <w:pPr>
              <w:pStyle w:val="88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6143"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项目负责人同时具备本科及以上学历、人社部门</w:t>
            </w:r>
            <w:r>
              <w:rPr>
                <w:rFonts w:ascii="Calibri" w:hAnsi="Calibri" w:eastAsia="Calibri" w:cs="Calibri"/>
                <w:color w:val="000000"/>
                <w:sz w:val="21"/>
              </w:rPr>
              <w:t xml:space="preserve">(</w:t>
            </w:r>
            <w:r>
              <w:rPr>
                <w:rFonts w:ascii="SimSun" w:hAnsi="SimSun" w:eastAsia="SimSun" w:cs="SimSun"/>
                <w:color w:val="000000"/>
                <w:sz w:val="21"/>
              </w:rPr>
              <w:t xml:space="preserve">或应急管理部门</w:t>
            </w:r>
            <w:r>
              <w:rPr>
                <w:rFonts w:ascii="Calibri" w:hAnsi="Calibri" w:eastAsia="Calibri" w:cs="Calibri"/>
                <w:color w:val="000000"/>
                <w:sz w:val="21"/>
              </w:rPr>
              <w:t xml:space="preserve">)</w:t>
            </w:r>
            <w:r>
              <w:rPr>
                <w:rFonts w:ascii="SimSun" w:hAnsi="SimSun" w:eastAsia="SimSun" w:cs="SimSun"/>
                <w:color w:val="000000"/>
                <w:sz w:val="21"/>
              </w:rPr>
              <w:t xml:space="preserve">颁发的注册安全工程师职业资格证书、内河船员适任证书。以上全部满足得</w:t>
            </w:r>
            <w:r>
              <w:rPr>
                <w:rFonts w:ascii="Calibri" w:hAnsi="Calibri" w:eastAsia="Calibri" w:cs="Calibri"/>
                <w:color w:val="000000"/>
                <w:sz w:val="21"/>
              </w:rPr>
              <w:t xml:space="preserve">2</w:t>
            </w:r>
            <w:r>
              <w:rPr>
                <w:rFonts w:ascii="SimSun" w:hAnsi="SimSun" w:eastAsia="SimSun" w:cs="SimSun"/>
                <w:color w:val="000000"/>
                <w:sz w:val="21"/>
              </w:rPr>
              <w:t xml:space="preserve">分，有任何一项不满足不得分。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项目管理员中配置 </w:t>
            </w:r>
            <w:r>
              <w:rPr>
                <w:rFonts w:ascii="Calibri" w:hAnsi="Calibri" w:eastAsia="Calibri" w:cs="Calibri"/>
                <w:color w:val="000000"/>
                <w:sz w:val="21"/>
              </w:rPr>
              <w:t xml:space="preserve">1</w:t>
            </w:r>
            <w:r>
              <w:rPr>
                <w:rFonts w:ascii="SimSun" w:hAnsi="SimSun" w:eastAsia="SimSun" w:cs="SimSun"/>
                <w:color w:val="000000"/>
                <w:sz w:val="21"/>
              </w:rPr>
              <w:t xml:space="preserve">名专职安全管理人员，该人员持有安全培训合格证书，得</w:t>
            </w:r>
            <w:r>
              <w:rPr>
                <w:rFonts w:ascii="Calibri" w:hAnsi="Calibri" w:eastAsia="Calibri" w:cs="Calibri"/>
                <w:color w:val="000000"/>
                <w:sz w:val="21"/>
              </w:rPr>
              <w:t xml:space="preserve">1.5</w:t>
            </w:r>
            <w:r>
              <w:rPr>
                <w:rFonts w:ascii="SimSun" w:hAnsi="SimSun" w:eastAsia="SimSun" w:cs="SimSun"/>
                <w:color w:val="000000"/>
                <w:sz w:val="21"/>
              </w:rPr>
              <w:t xml:space="preserve">分；该人员持有人社部门</w:t>
            </w:r>
            <w:r>
              <w:rPr>
                <w:rFonts w:ascii="Calibri" w:hAnsi="Calibri" w:eastAsia="Calibri" w:cs="Calibri"/>
                <w:color w:val="000000"/>
                <w:sz w:val="21"/>
              </w:rPr>
              <w:t xml:space="preserve">(</w:t>
            </w:r>
            <w:r>
              <w:rPr>
                <w:rFonts w:ascii="SimSun" w:hAnsi="SimSun" w:eastAsia="SimSun" w:cs="SimSun"/>
                <w:color w:val="000000"/>
                <w:sz w:val="21"/>
              </w:rPr>
              <w:t xml:space="preserve">或应急管理部门</w:t>
            </w:r>
            <w:r>
              <w:rPr>
                <w:rFonts w:ascii="Calibri" w:hAnsi="Calibri" w:eastAsia="Calibri" w:cs="Calibri"/>
                <w:color w:val="000000"/>
                <w:sz w:val="21"/>
              </w:rPr>
              <w:t xml:space="preserve">)</w:t>
            </w:r>
            <w:r>
              <w:rPr>
                <w:rFonts w:ascii="SimSun" w:hAnsi="SimSun" w:eastAsia="SimSun" w:cs="SimSun"/>
                <w:color w:val="000000"/>
                <w:sz w:val="21"/>
              </w:rPr>
              <w:t xml:space="preserve">颁发的注册安全工程师职业资格证书，得</w:t>
            </w:r>
            <w:r>
              <w:rPr>
                <w:rFonts w:ascii="Calibri" w:hAnsi="Calibri" w:eastAsia="Calibri" w:cs="Calibri"/>
                <w:color w:val="000000"/>
                <w:sz w:val="21"/>
              </w:rPr>
              <w:t xml:space="preserve">2.5</w:t>
            </w:r>
            <w:r>
              <w:rPr>
                <w:rFonts w:ascii="SimSun" w:hAnsi="SimSun" w:eastAsia="SimSun" w:cs="SimSun"/>
                <w:color w:val="000000"/>
                <w:sz w:val="21"/>
              </w:rPr>
              <w:t xml:space="preserve">分；该人员持有内河船员适任证书的，得</w:t>
            </w:r>
            <w:r>
              <w:rPr>
                <w:rFonts w:ascii="Calibri" w:hAnsi="Calibri" w:eastAsia="Calibri" w:cs="Calibri"/>
                <w:color w:val="000000"/>
                <w:sz w:val="21"/>
              </w:rPr>
              <w:t xml:space="preserve">1</w:t>
            </w:r>
            <w:r>
              <w:rPr>
                <w:rFonts w:ascii="SimSun" w:hAnsi="SimSun" w:eastAsia="SimSun" w:cs="SimSun"/>
                <w:color w:val="000000"/>
                <w:sz w:val="21"/>
              </w:rPr>
              <w:t xml:space="preserve">分；该人员同时持有上述三种证书的得</w:t>
            </w:r>
            <w:r>
              <w:rPr>
                <w:rFonts w:ascii="Calibri" w:hAnsi="Calibri" w:eastAsia="Calibri" w:cs="Calibri"/>
                <w:color w:val="000000"/>
                <w:sz w:val="21"/>
              </w:rPr>
              <w:t xml:space="preserve">5</w:t>
            </w:r>
            <w:r>
              <w:rPr>
                <w:rFonts w:ascii="SimSun" w:hAnsi="SimSun" w:eastAsia="SimSun" w:cs="SimSun"/>
                <w:color w:val="000000"/>
                <w:sz w:val="21"/>
              </w:rPr>
              <w:t xml:space="preserve">分，本项最高得</w:t>
            </w:r>
            <w:r>
              <w:rPr>
                <w:rFonts w:ascii="Calibri" w:hAnsi="Calibri" w:eastAsia="Calibri" w:cs="Calibri"/>
                <w:color w:val="000000"/>
                <w:sz w:val="21"/>
              </w:rPr>
              <w:t xml:space="preserve">5</w:t>
            </w:r>
            <w:r>
              <w:rPr>
                <w:rFonts w:ascii="SimSun" w:hAnsi="SimSun" w:eastAsia="SimSun" w:cs="SimSun"/>
                <w:color w:val="000000"/>
                <w:sz w:val="21"/>
              </w:rPr>
              <w:t xml:space="preserve">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除上述</w:t>
            </w:r>
            <w:r>
              <w:rPr>
                <w:rFonts w:ascii="Calibri" w:hAnsi="Calibri" w:eastAsia="Calibri" w:cs="Calibri"/>
                <w:color w:val="000000"/>
                <w:sz w:val="21"/>
              </w:rPr>
              <w:t xml:space="preserve">1</w:t>
            </w:r>
            <w:r>
              <w:rPr>
                <w:rFonts w:ascii="SimSun" w:hAnsi="SimSun" w:eastAsia="SimSun" w:cs="SimSun"/>
                <w:color w:val="000000"/>
                <w:sz w:val="21"/>
              </w:rPr>
              <w:t xml:space="preserve">、</w:t>
            </w:r>
            <w:r>
              <w:rPr>
                <w:rFonts w:ascii="Calibri" w:hAnsi="Calibri" w:eastAsia="Calibri" w:cs="Calibri"/>
                <w:color w:val="000000"/>
                <w:sz w:val="21"/>
              </w:rPr>
              <w:t xml:space="preserve">2</w:t>
            </w:r>
            <w:r>
              <w:rPr>
                <w:rFonts w:ascii="SimSun" w:hAnsi="SimSun" w:eastAsia="SimSun" w:cs="SimSun"/>
                <w:color w:val="000000"/>
                <w:sz w:val="21"/>
              </w:rPr>
              <w:t xml:space="preserve">两点人员外</w:t>
            </w:r>
            <w:r>
              <w:rPr>
                <w:rFonts w:ascii="Calibri" w:hAnsi="Calibri" w:eastAsia="Calibri" w:cs="Calibri"/>
                <w:color w:val="000000"/>
                <w:sz w:val="21"/>
              </w:rPr>
              <w:t xml:space="preserve">,</w:t>
            </w:r>
            <w:r>
              <w:rPr>
                <w:rFonts w:ascii="SimSun" w:hAnsi="SimSun" w:eastAsia="SimSun" w:cs="SimSun"/>
                <w:color w:val="000000"/>
                <w:sz w:val="21"/>
              </w:rPr>
              <w:t xml:space="preserve">投标人员工具有有效的内河船员适任证书且具有驾驶资格（适任证书中职务资格标明为驾驶员或船长或大副或二副或三副）的，每有一人得</w:t>
            </w:r>
            <w:r>
              <w:rPr>
                <w:rFonts w:ascii="Calibri" w:hAnsi="Calibri" w:eastAsia="Calibri" w:cs="Calibri"/>
                <w:color w:val="000000"/>
                <w:sz w:val="21"/>
              </w:rPr>
              <w:t xml:space="preserve">1</w:t>
            </w:r>
            <w:r>
              <w:rPr>
                <w:rFonts w:ascii="SimSun" w:hAnsi="SimSun" w:eastAsia="SimSun" w:cs="SimSun"/>
                <w:color w:val="000000"/>
                <w:sz w:val="21"/>
              </w:rPr>
              <w:t xml:space="preserve">分，最高得</w:t>
            </w:r>
            <w:r>
              <w:rPr>
                <w:rFonts w:ascii="Calibri" w:hAnsi="Calibri" w:eastAsia="Calibri" w:cs="Calibri"/>
                <w:color w:val="000000"/>
                <w:sz w:val="21"/>
              </w:rPr>
              <w:t xml:space="preserve">3</w:t>
            </w:r>
            <w:r>
              <w:rPr>
                <w:rFonts w:ascii="SimSun" w:hAnsi="SimSun" w:eastAsia="SimSun" w:cs="SimSun"/>
                <w:color w:val="000000"/>
                <w:sz w:val="21"/>
              </w:rPr>
              <w:t xml:space="preserve">分；具有内河船员适任证书的，每有一人得</w:t>
            </w:r>
            <w:r>
              <w:rPr>
                <w:rFonts w:ascii="Calibri" w:hAnsi="Calibri" w:eastAsia="Calibri" w:cs="Calibri"/>
                <w:color w:val="000000"/>
                <w:sz w:val="21"/>
              </w:rPr>
              <w:t xml:space="preserve">0.5</w:t>
            </w:r>
            <w:r>
              <w:rPr>
                <w:rFonts w:ascii="SimSun" w:hAnsi="SimSun" w:eastAsia="SimSun" w:cs="SimSun"/>
                <w:color w:val="000000"/>
                <w:sz w:val="21"/>
              </w:rPr>
              <w:t xml:space="preserve">分，最高得</w:t>
            </w:r>
            <w:r>
              <w:rPr>
                <w:rFonts w:ascii="Calibri" w:hAnsi="Calibri" w:eastAsia="Calibri" w:cs="Calibri"/>
                <w:color w:val="000000"/>
                <w:sz w:val="21"/>
              </w:rPr>
              <w:t xml:space="preserve">4</w:t>
            </w:r>
            <w:r>
              <w:rPr>
                <w:rFonts w:ascii="SimSun" w:hAnsi="SimSun" w:eastAsia="SimSun" w:cs="SimSun"/>
                <w:color w:val="000000"/>
                <w:sz w:val="21"/>
              </w:rPr>
              <w:t xml:space="preserve">分；本项最高得</w:t>
            </w:r>
            <w:r>
              <w:rPr>
                <w:rFonts w:ascii="Calibri" w:hAnsi="Calibri" w:eastAsia="Calibri" w:cs="Calibri"/>
                <w:color w:val="000000"/>
                <w:sz w:val="21"/>
              </w:rPr>
              <w:t xml:space="preserve">7</w:t>
            </w:r>
            <w:r>
              <w:rPr>
                <w:rFonts w:ascii="SimSun" w:hAnsi="SimSun" w:eastAsia="SimSun" w:cs="SimSun"/>
                <w:color w:val="000000"/>
                <w:sz w:val="21"/>
              </w:rPr>
              <w:t xml:space="preserve">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注：以上人员不重复计分，提供相关证书和投标人为其缴纳的投标前六个月任意一个月</w:t>
            </w:r>
            <w:r>
              <w:rPr>
                <w:rFonts w:ascii="Calibri" w:hAnsi="Calibri" w:eastAsia="Calibri" w:cs="Calibri"/>
                <w:color w:val="000000"/>
                <w:sz w:val="21"/>
              </w:rPr>
              <w:t xml:space="preserve">(</w:t>
            </w:r>
            <w:r>
              <w:rPr>
                <w:rFonts w:ascii="SimSun" w:hAnsi="SimSun" w:eastAsia="SimSun" w:cs="SimSun"/>
                <w:color w:val="000000"/>
                <w:sz w:val="21"/>
              </w:rPr>
              <w:t xml:space="preserve">不含投标当月</w:t>
            </w:r>
            <w:r>
              <w:rPr>
                <w:rFonts w:ascii="Calibri" w:hAnsi="Calibri" w:eastAsia="Calibri" w:cs="Calibri"/>
                <w:color w:val="000000"/>
                <w:sz w:val="21"/>
              </w:rPr>
              <w:t xml:space="preserve">)</w:t>
            </w:r>
            <w:r>
              <w:rPr>
                <w:rFonts w:ascii="SimSun" w:hAnsi="SimSun" w:eastAsia="SimSun" w:cs="SimSun"/>
                <w:color w:val="000000"/>
                <w:sz w:val="21"/>
              </w:rPr>
              <w:t xml:space="preserve">的社会保险证明材料作为评审依据；材料不全不得分。</w:t>
            </w:r>
            <w:r>
              <w:rPr>
                <w:rFonts w:ascii="Calibri" w:hAnsi="Calibri" w:eastAsia="Calibri" w:cs="Calibri"/>
                <w:sz w:val="21"/>
              </w:rPr>
            </w:r>
            <w:r/>
          </w:p>
        </w:tc>
        <w:tc>
          <w:tcPr>
            <w:tcW w:w="662" w:type="dxa"/>
            <w:vAlign w:val="center"/>
            <w:textDirection w:val="lrTb"/>
            <w:noWrap w:val="false"/>
          </w:tcPr>
          <w:p>
            <w:pPr>
              <w:pStyle w:val="884"/>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val="en-US" w:eastAsia="zh-CN"/>
              </w:rPr>
            </w:r>
            <w:r/>
          </w:p>
        </w:tc>
      </w:tr>
    </w:tbl>
    <w:p>
      <w:pPr>
        <w:pStyle w:val="884"/>
        <w:jc w:val="center"/>
        <w:keepLines/>
        <w:keepNext/>
        <w:spacing w:before="340" w:after="330" w:line="576" w:lineRule="auto"/>
        <w:rPr>
          <w:rFonts w:hint="eastAsia"/>
          <w:b/>
          <w:color w:val="000000"/>
          <w:sz w:val="24"/>
          <w:szCs w:val="24"/>
          <w:highlight w:val="none"/>
        </w:rPr>
        <w:outlineLvl w:val="0"/>
      </w:pPr>
      <w:r/>
      <w:bookmarkStart w:id="93" w:name="_Toc15976"/>
      <w:r>
        <w:rPr>
          <w:rFonts w:hint="eastAsia"/>
          <w:b/>
          <w:color w:val="000000"/>
          <w:sz w:val="24"/>
          <w:szCs w:val="24"/>
          <w:highlight w:val="none"/>
        </w:rPr>
      </w:r>
      <w:r/>
    </w:p>
    <w:p>
      <w:pPr>
        <w:pStyle w:val="884"/>
        <w:jc w:val="both"/>
        <w:keepLines/>
        <w:keepNext/>
        <w:spacing w:before="340" w:after="330" w:line="576" w:lineRule="auto"/>
        <w:rPr>
          <w:rFonts w:hint="eastAsia"/>
          <w:b/>
          <w:color w:val="000000"/>
          <w:sz w:val="24"/>
          <w:szCs w:val="24"/>
          <w:highlight w:val="none"/>
        </w:rPr>
        <w:outlineLvl w:val="0"/>
      </w:pPr>
      <w:r>
        <w:rPr>
          <w:rFonts w:hint="eastAsia"/>
          <w:b/>
          <w:color w:val="000000"/>
          <w:sz w:val="24"/>
          <w:szCs w:val="24"/>
          <w:highlight w:val="none"/>
        </w:rPr>
      </w:r>
      <w:r/>
    </w:p>
    <w:p>
      <w:pPr>
        <w:pStyle w:val="884"/>
        <w:jc w:val="both"/>
        <w:keepLines/>
        <w:keepNext/>
        <w:spacing w:before="340" w:after="330" w:line="576" w:lineRule="auto"/>
        <w:rPr>
          <w:rFonts w:hint="eastAsia"/>
          <w:b/>
          <w:color w:val="000000"/>
          <w:sz w:val="24"/>
          <w:szCs w:val="24"/>
          <w:highlight w:val="none"/>
        </w:rPr>
        <w:outlineLvl w:val="0"/>
      </w:pPr>
      <w:r>
        <w:rPr>
          <w:rFonts w:hint="eastAsia"/>
          <w:b/>
          <w:color w:val="000000"/>
          <w:sz w:val="24"/>
          <w:szCs w:val="24"/>
          <w:highlight w:val="none"/>
        </w:rPr>
      </w:r>
      <w:r/>
    </w:p>
    <w:p>
      <w:pPr>
        <w:pStyle w:val="884"/>
        <w:jc w:val="both"/>
        <w:keepLines/>
        <w:keepNext/>
        <w:spacing w:before="340" w:after="330" w:line="576" w:lineRule="auto"/>
        <w:rPr>
          <w:rFonts w:hint="eastAsia"/>
          <w:b/>
          <w:color w:val="000000"/>
          <w:sz w:val="24"/>
          <w:szCs w:val="24"/>
          <w:highlight w:val="none"/>
        </w:rPr>
        <w:outlineLvl w:val="0"/>
      </w:pPr>
      <w:r>
        <w:rPr>
          <w:rFonts w:hint="eastAsia"/>
          <w:b/>
          <w:color w:val="000000"/>
          <w:sz w:val="24"/>
          <w:szCs w:val="24"/>
          <w:highlight w:val="none"/>
        </w:rPr>
      </w:r>
      <w:r/>
    </w:p>
    <w:p>
      <w:pPr>
        <w:pStyle w:val="884"/>
        <w:jc w:val="center"/>
        <w:keepLines/>
        <w:keepNext/>
        <w:spacing w:before="340" w:after="330" w:line="576" w:lineRule="auto"/>
        <w:rPr>
          <w:rFonts w:ascii="宋体" w:hAnsi="宋体" w:cs="宋体"/>
          <w:b/>
          <w:color w:val="000000"/>
          <w:sz w:val="24"/>
          <w:szCs w:val="24"/>
          <w:highlight w:val="none"/>
        </w:rPr>
        <w:outlineLvl w:val="0"/>
      </w:pPr>
      <w:r>
        <w:rPr>
          <w:rFonts w:hint="eastAsia"/>
          <w:b/>
          <w:color w:val="000000"/>
          <w:sz w:val="24"/>
          <w:szCs w:val="24"/>
          <w:highlight w:val="none"/>
        </w:rPr>
        <w:t xml:space="preserve">第六章</w:t>
      </w:r>
      <w:r>
        <w:rPr>
          <w:b/>
          <w:color w:val="000000"/>
          <w:sz w:val="24"/>
          <w:szCs w:val="24"/>
          <w:highlight w:val="none"/>
        </w:rPr>
        <w:t xml:space="preserve">    </w:t>
      </w:r>
      <w:r>
        <w:rPr>
          <w:rFonts w:hint="eastAsia"/>
          <w:b/>
          <w:color w:val="000000"/>
          <w:sz w:val="24"/>
          <w:szCs w:val="24"/>
          <w:highlight w:val="none"/>
        </w:rPr>
        <w:t xml:space="preserve">投标文件格式</w:t>
      </w:r>
      <w:bookmarkEnd w:id="93"/>
      <w:r>
        <w:rPr>
          <w:rFonts w:ascii="宋体" w:hAnsi="宋体" w:cs="宋体"/>
          <w:b/>
          <w:color w:val="000000"/>
          <w:sz w:val="24"/>
          <w:szCs w:val="24"/>
          <w:highlight w:val="none"/>
        </w:rPr>
      </w:r>
      <w:r/>
    </w:p>
    <w:p>
      <w:pPr>
        <w:pStyle w:val="884"/>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4"/>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4"/>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4"/>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4"/>
        <w:jc w:val="center"/>
        <w:spacing w:line="360" w:lineRule="auto"/>
        <w:rPr>
          <w:rFonts w:hint="eastAsia"/>
          <w:color w:val="000000"/>
          <w:szCs w:val="24"/>
          <w:highlight w:val="none"/>
        </w:rPr>
      </w:pPr>
      <w:r>
        <w:rPr>
          <w:rFonts w:hint="eastAsia" w:ascii="宋体" w:hAnsi="宋体" w:cs="宋体"/>
          <w:b/>
          <w:bCs/>
          <w:color w:val="000000"/>
          <w:sz w:val="24"/>
          <w:szCs w:val="24"/>
          <w:highlight w:val="none"/>
        </w:rPr>
        <w:t xml:space="preserve">******项目</w:t>
      </w:r>
      <w:r>
        <w:rPr>
          <w:rFonts w:hint="eastAsia"/>
          <w:color w:val="000000"/>
          <w:szCs w:val="24"/>
          <w:highlight w:val="none"/>
        </w:rPr>
      </w:r>
      <w:r/>
    </w:p>
    <w:p>
      <w:pPr>
        <w:pStyle w:val="884"/>
        <w:jc w:val="center"/>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884"/>
        <w:jc w:val="center"/>
        <w:spacing w:line="360" w:lineRule="auto"/>
        <w:rPr>
          <w:rFonts w:hint="eastAsia"/>
          <w:color w:val="000000"/>
          <w:szCs w:val="24"/>
          <w:highlight w:val="none"/>
        </w:rPr>
      </w:pPr>
      <w:r>
        <w:rPr>
          <w:rFonts w:hint="eastAsia" w:ascii="宋体" w:hAnsi="宋体" w:cs="宋体"/>
          <w:b/>
          <w:color w:val="000000"/>
          <w:sz w:val="24"/>
          <w:szCs w:val="24"/>
          <w:highlight w:val="none"/>
        </w:rPr>
        <w:t xml:space="preserve">投 标 文件</w:t>
      </w:r>
      <w:r>
        <w:rPr>
          <w:rFonts w:hint="eastAsia"/>
          <w:color w:val="000000"/>
          <w:szCs w:val="24"/>
          <w:highlight w:val="none"/>
        </w:rPr>
      </w:r>
      <w:r/>
    </w:p>
    <w:p>
      <w:pPr>
        <w:pStyle w:val="884"/>
        <w:jc w:val="center"/>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884"/>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项目编号：****</w:t>
      </w:r>
      <w:r>
        <w:rPr>
          <w:rFonts w:hint="eastAsia" w:ascii="宋体" w:hAnsi="宋体" w:cs="宋体"/>
          <w:b/>
          <w:color w:val="000000"/>
          <w:sz w:val="24"/>
          <w:szCs w:val="24"/>
          <w:highlight w:val="none"/>
        </w:rPr>
      </w:r>
      <w:r/>
    </w:p>
    <w:p>
      <w:pPr>
        <w:pStyle w:val="884"/>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884"/>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4"/>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4"/>
        <w:ind w:firstLine="1701"/>
        <w:spacing w:line="360" w:lineRule="auto"/>
        <w:rPr>
          <w:rFonts w:hint="eastAsia"/>
          <w:color w:val="000000"/>
          <w:szCs w:val="24"/>
          <w:highlight w:val="none"/>
        </w:rPr>
      </w:pPr>
      <w:r>
        <w:rPr>
          <w:rFonts w:hint="eastAsia" w:ascii="宋体" w:hAnsi="宋体" w:cs="宋体"/>
          <w:b/>
          <w:color w:val="000000"/>
          <w:sz w:val="24"/>
          <w:szCs w:val="24"/>
          <w:highlight w:val="none"/>
        </w:rPr>
        <w:t xml:space="preserve">采购人：泰州市环境卫生管理处</w:t>
      </w:r>
      <w:r>
        <w:rPr>
          <w:rFonts w:hint="eastAsia"/>
          <w:color w:val="000000"/>
          <w:szCs w:val="24"/>
          <w:highlight w:val="none"/>
        </w:rPr>
      </w:r>
      <w:r/>
    </w:p>
    <w:p>
      <w:pPr>
        <w:pStyle w:val="884"/>
        <w:ind w:firstLine="1701"/>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884"/>
        <w:ind w:firstLine="1701"/>
        <w:spacing w:line="360" w:lineRule="auto"/>
        <w:rPr>
          <w:rFonts w:hint="eastAsia"/>
          <w:color w:val="000000"/>
          <w:szCs w:val="24"/>
          <w:highlight w:val="none"/>
        </w:rPr>
      </w:pPr>
      <w:r>
        <w:rPr>
          <w:rFonts w:hint="eastAsia" w:ascii="宋体" w:hAnsi="宋体" w:cs="宋体"/>
          <w:b/>
          <w:color w:val="000000"/>
          <w:sz w:val="24"/>
          <w:szCs w:val="24"/>
          <w:highlight w:val="none"/>
        </w:rPr>
        <w:t xml:space="preserve">投标人：</w:t>
      </w:r>
      <w:r>
        <w:rPr>
          <w:rFonts w:hint="eastAsia"/>
          <w:color w:val="000000"/>
          <w:szCs w:val="24"/>
          <w:highlight w:val="none"/>
        </w:rPr>
      </w:r>
      <w:r/>
    </w:p>
    <w:p>
      <w:pPr>
        <w:pStyle w:val="884"/>
        <w:ind w:firstLine="1701"/>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884"/>
        <w:jc w:val="center"/>
        <w:spacing w:line="360" w:lineRule="auto"/>
        <w:rPr>
          <w:rFonts w:hint="eastAsia"/>
          <w:color w:val="000000"/>
          <w:szCs w:val="24"/>
          <w:highlight w:val="none"/>
        </w:rPr>
      </w:pPr>
      <w:r>
        <w:rPr>
          <w:rFonts w:hint="eastAsia" w:ascii="宋体" w:hAnsi="宋体" w:cs="宋体"/>
          <w:b/>
          <w:color w:val="000000"/>
          <w:sz w:val="24"/>
          <w:szCs w:val="24"/>
          <w:highlight w:val="none"/>
        </w:rPr>
        <w:t xml:space="preserve">2026年</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t xml:space="preserve">月</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t xml:space="preserve">日</w:t>
      </w:r>
      <w:r>
        <w:rPr>
          <w:rFonts w:hint="eastAsia"/>
          <w:color w:val="000000"/>
          <w:szCs w:val="24"/>
          <w:highlight w:val="none"/>
        </w:rPr>
      </w:r>
      <w:r/>
    </w:p>
    <w:p>
      <w:pPr>
        <w:pStyle w:val="884"/>
        <w:rPr>
          <w:rFonts w:ascii="宋体" w:hAnsi="宋体" w:cs="宋体"/>
          <w:b/>
          <w:color w:val="000000"/>
          <w:sz w:val="24"/>
          <w:szCs w:val="24"/>
          <w:highlight w:val="none"/>
        </w:rPr>
      </w:pPr>
      <w:r>
        <w:rPr>
          <w:rFonts w:ascii="宋体" w:hAnsi="宋体" w:cs="宋体"/>
          <w:b/>
          <w:color w:val="000000"/>
          <w:sz w:val="24"/>
          <w:szCs w:val="24"/>
          <w:highlight w:val="none"/>
        </w:rPr>
      </w:r>
      <w:r/>
    </w:p>
    <w:p>
      <w:pPr>
        <w:pStyle w:val="884"/>
        <w:spacing w:line="360" w:lineRule="auto"/>
        <w:rPr>
          <w:color w:val="000000"/>
          <w:szCs w:val="24"/>
          <w:highlight w:val="none"/>
        </w:rPr>
      </w:pPr>
      <w:r>
        <w:rPr>
          <w:rFonts w:hint="eastAsia" w:ascii="宋体" w:hAnsi="宋体" w:cs="宋体"/>
          <w:color w:val="000000"/>
          <w:sz w:val="24"/>
          <w:szCs w:val="24"/>
          <w:highlight w:val="none"/>
        </w:rPr>
        <w:t xml:space="preserve">附件1：</w:t>
      </w:r>
      <w:r>
        <w:rPr>
          <w:color w:val="000000"/>
          <w:szCs w:val="24"/>
          <w:highlight w:val="none"/>
        </w:rPr>
      </w:r>
      <w:r/>
    </w:p>
    <w:p>
      <w:pPr>
        <w:pStyle w:val="884"/>
        <w:jc w:val="center"/>
        <w:spacing w:line="360" w:lineRule="auto"/>
        <w:rPr>
          <w:color w:val="000000"/>
          <w:szCs w:val="24"/>
          <w:highlight w:val="none"/>
        </w:rPr>
      </w:pPr>
      <w:r>
        <w:rPr>
          <w:rFonts w:hint="eastAsia" w:ascii="宋体" w:hAnsi="宋体" w:cs="宋体"/>
          <w:bCs/>
          <w:color w:val="000000"/>
          <w:sz w:val="24"/>
          <w:szCs w:val="24"/>
          <w:highlight w:val="none"/>
        </w:rPr>
        <w:t xml:space="preserve">投 标 函</w:t>
      </w:r>
      <w:r>
        <w:rPr>
          <w:color w:val="000000"/>
          <w:szCs w:val="24"/>
          <w:highlight w:val="none"/>
        </w:rPr>
      </w:r>
      <w:r/>
    </w:p>
    <w:p>
      <w:pPr>
        <w:pStyle w:val="884"/>
        <w:jc w:val="left"/>
        <w:spacing w:line="360" w:lineRule="auto"/>
        <w:widowControl/>
        <w:rPr>
          <w:color w:val="000000"/>
          <w:szCs w:val="24"/>
          <w:highlight w:val="none"/>
        </w:rPr>
      </w:pPr>
      <w:r>
        <w:rPr>
          <w:rFonts w:hint="eastAsia" w:ascii="宋体" w:hAnsi="宋体" w:cs="宋体"/>
          <w:color w:val="000000"/>
          <w:sz w:val="24"/>
          <w:szCs w:val="24"/>
          <w:highlight w:val="none"/>
          <w:u w:val="single"/>
        </w:rPr>
        <w:t xml:space="preserve">（招标人）</w:t>
      </w:r>
      <w:r>
        <w:rPr>
          <w:rFonts w:hint="eastAsia" w:ascii="宋体" w:hAnsi="宋体" w:cs="宋体"/>
          <w:color w:val="000000"/>
          <w:sz w:val="24"/>
          <w:szCs w:val="24"/>
          <w:highlight w:val="none"/>
        </w:rPr>
        <w:t xml:space="preserve">：</w:t>
      </w:r>
      <w:r>
        <w:rPr>
          <w:color w:val="000000"/>
          <w:szCs w:val="24"/>
          <w:highlight w:val="none"/>
        </w:rPr>
      </w:r>
      <w:r/>
    </w:p>
    <w:p>
      <w:pPr>
        <w:pStyle w:val="884"/>
        <w:ind w:firstLine="480"/>
        <w:spacing w:line="360" w:lineRule="auto"/>
        <w:widowControl/>
        <w:rPr>
          <w:color w:val="000000"/>
          <w:szCs w:val="24"/>
          <w:highlight w:val="none"/>
        </w:rPr>
      </w:pPr>
      <w:r>
        <w:rPr>
          <w:rFonts w:hint="eastAsia" w:ascii="宋体" w:hAnsi="宋体" w:cs="宋体"/>
          <w:color w:val="000000"/>
          <w:sz w:val="24"/>
          <w:szCs w:val="24"/>
          <w:highlight w:val="none"/>
        </w:rPr>
        <w:t xml:space="preserve">根据贵方为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（项目名称及编号）的投标邀请，签字人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（姓名、职务或职称）经正式授权并代表投标人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（投标人名称）提交投标文件（包括招标文件要求提供的全部资料）；</w:t>
      </w:r>
      <w:r>
        <w:rPr>
          <w:color w:val="000000"/>
          <w:szCs w:val="24"/>
          <w:highlight w:val="none"/>
        </w:rPr>
      </w:r>
      <w:r/>
    </w:p>
    <w:p>
      <w:pPr>
        <w:pStyle w:val="884"/>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据此函，签字代表宣布同意如下：</w:t>
      </w:r>
      <w:r>
        <w:rPr>
          <w:color w:val="000000"/>
          <w:szCs w:val="24"/>
          <w:highlight w:val="none"/>
        </w:rPr>
      </w:r>
      <w:r/>
    </w:p>
    <w:p>
      <w:pPr>
        <w:pStyle w:val="884"/>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按招标文件规定的各项要求，向泰州市环境卫生管理处提供所需的服务，报价如下：</w:t>
      </w:r>
      <w:r>
        <w:rPr>
          <w:rFonts w:ascii="宋体" w:hAnsi="宋体" w:cs="宋体"/>
          <w:color w:val="000000"/>
          <w:sz w:val="24"/>
          <w:szCs w:val="24"/>
          <w:highlight w:val="none"/>
        </w:rPr>
      </w:r>
      <w:r/>
    </w:p>
    <w:p>
      <w:pPr>
        <w:pStyle w:val="884"/>
        <w:ind w:firstLine="480"/>
        <w:spacing w:line="360" w:lineRule="auto"/>
        <w:widowControl/>
        <w:rPr>
          <w:color w:val="000000"/>
          <w:szCs w:val="24"/>
          <w:highlight w:val="none"/>
        </w:rPr>
      </w:pPr>
      <w:r>
        <w:rPr>
          <w:rFonts w:hint="eastAsia" w:ascii="宋体" w:hAnsi="宋体"/>
          <w:color w:val="000000"/>
          <w:sz w:val="24"/>
          <w:highlight w:val="none"/>
        </w:rPr>
        <w:t xml:space="preserve">1.</w:t>
      </w:r>
      <w:r>
        <w:rPr>
          <w:rFonts w:hint="eastAsia" w:ascii="宋体" w:hAnsi="宋体" w:cs="宋体"/>
          <w:color w:val="000000"/>
          <w:sz w:val="24"/>
          <w:szCs w:val="24"/>
          <w:highlight w:val="none"/>
        </w:rPr>
        <w:t xml:space="preserve">向泰州市环境卫生管理处提供所需的服务，年服务费</w:t>
      </w:r>
      <w:r>
        <w:rPr>
          <w:rFonts w:hint="eastAsia" w:ascii="宋体" w:hAnsi="宋体" w:cs="宋体"/>
          <w:color w:val="000000"/>
          <w:sz w:val="24"/>
          <w:highlight w:val="none"/>
        </w:rPr>
        <w:t xml:space="preserve">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其中工作人员工资人民币（大写）</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元（¥</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三年服务费总额合计：人民币（大写）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w:t>
      </w:r>
      <w:r>
        <w:rPr>
          <w:color w:val="000000"/>
          <w:szCs w:val="24"/>
          <w:highlight w:val="none"/>
        </w:rPr>
      </w:r>
      <w:r/>
    </w:p>
    <w:p>
      <w:pPr>
        <w:pStyle w:val="884"/>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2. 我方已详细审查全部招标文件，包括有关澄清和补充说明（如果有的话）。我们完全理解并同意放弃对这方面有不明及误解的权力。</w:t>
      </w:r>
      <w:r>
        <w:rPr>
          <w:color w:val="000000"/>
          <w:szCs w:val="24"/>
          <w:highlight w:val="none"/>
        </w:rPr>
      </w:r>
      <w:r/>
    </w:p>
    <w:p>
      <w:pPr>
        <w:pStyle w:val="884"/>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3. 本投标文件有效期为自开标日起90个日历天。在这期间，本投标文件将始终对我方具有约束力，并可随时被接受。本次招标文件和本投标文件将作为买卖合同的附件。</w:t>
      </w:r>
      <w:r>
        <w:rPr>
          <w:color w:val="000000"/>
          <w:szCs w:val="24"/>
          <w:highlight w:val="none"/>
        </w:rPr>
      </w:r>
      <w:r/>
    </w:p>
    <w:p>
      <w:pPr>
        <w:pStyle w:val="884"/>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4. 如果在规定的开标时间后，我方在投标有效期内撤回或撤销投标，由此给采购人造成损失的，我方愿意承担相应赔偿责任。</w:t>
      </w:r>
      <w:r>
        <w:rPr>
          <w:color w:val="000000"/>
          <w:szCs w:val="24"/>
          <w:highlight w:val="none"/>
        </w:rPr>
      </w:r>
      <w:r/>
    </w:p>
    <w:p>
      <w:pPr>
        <w:pStyle w:val="884"/>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5. 我方愿意向招标人提供与本次招标的相关资料，并对其真实性、合法性、有效性负责。</w:t>
      </w:r>
      <w:r>
        <w:rPr>
          <w:color w:val="000000"/>
          <w:szCs w:val="24"/>
          <w:highlight w:val="none"/>
        </w:rPr>
      </w:r>
      <w:r/>
    </w:p>
    <w:p>
      <w:pPr>
        <w:pStyle w:val="884"/>
        <w:ind w:firstLine="480"/>
        <w:jc w:val="left"/>
        <w:spacing w:line="360" w:lineRule="auto"/>
        <w:widowControl/>
        <w:rPr>
          <w:rFonts w:hint="eastAsia"/>
          <w:color w:val="000000"/>
          <w:szCs w:val="24"/>
          <w:highlight w:val="none"/>
        </w:rPr>
      </w:pPr>
      <w:r>
        <w:rPr>
          <w:rFonts w:hint="eastAsia" w:ascii="宋体" w:hAnsi="宋体" w:cs="宋体"/>
          <w:color w:val="000000"/>
          <w:sz w:val="24"/>
          <w:szCs w:val="24"/>
          <w:highlight w:val="none"/>
        </w:rPr>
        <w:t xml:space="preserve">6. 我方将严格履行本投标文件中的全部承诺和责任，并遵守招标文件中对投标人的所有规定；如能中标，中标后不转包分包。</w:t>
      </w:r>
      <w:r>
        <w:rPr>
          <w:rFonts w:hint="eastAsia"/>
          <w:color w:val="000000"/>
          <w:szCs w:val="24"/>
          <w:highlight w:val="none"/>
        </w:rPr>
      </w:r>
      <w:r/>
    </w:p>
    <w:p>
      <w:pPr>
        <w:pStyle w:val="884"/>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7. 我方完全理解招标人有保留在授标之前任何时候根据评标委员会的意见接受或拒绝任何投标的权力，并完全理解招标人对此无解释的义务。</w:t>
      </w:r>
      <w:r>
        <w:rPr>
          <w:color w:val="000000"/>
          <w:szCs w:val="24"/>
          <w:highlight w:val="none"/>
        </w:rPr>
      </w:r>
      <w:r/>
    </w:p>
    <w:p>
      <w:pPr>
        <w:pStyle w:val="884"/>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8. 我方承诺在此次招标过程中涉及的一切应当保密的事项，不向任何第三方泄露，否则承担一切法律责任。</w:t>
      </w:r>
      <w:r>
        <w:rPr>
          <w:color w:val="000000"/>
          <w:szCs w:val="24"/>
          <w:highlight w:val="none"/>
        </w:rPr>
      </w:r>
      <w:r/>
    </w:p>
    <w:p>
      <w:pPr>
        <w:pStyle w:val="884"/>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9. 如果我方中标，我们将在接到招标人的中标通知书后按项目要求的时间内完成本项目的所有工作。并将按招标文件的规定履行合同责任和义务。</w:t>
      </w:r>
      <w:r>
        <w:rPr>
          <w:color w:val="000000"/>
          <w:szCs w:val="24"/>
          <w:highlight w:val="none"/>
        </w:rPr>
      </w:r>
      <w:r/>
    </w:p>
    <w:p>
      <w:pPr>
        <w:pStyle w:val="884"/>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10. 如果我方中标，为执行合同，我们将按照招标文件要求提交履约保证金。</w:t>
      </w:r>
      <w:r>
        <w:rPr>
          <w:color w:val="000000"/>
          <w:szCs w:val="24"/>
          <w:highlight w:val="none"/>
        </w:rPr>
      </w:r>
      <w:r/>
    </w:p>
    <w:p>
      <w:pPr>
        <w:pStyle w:val="884"/>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11. 与本次投标有关的一切往来信函请寄：</w:t>
      </w:r>
      <w:r>
        <w:rPr>
          <w:color w:val="000000"/>
          <w:szCs w:val="24"/>
          <w:highlight w:val="none"/>
        </w:rPr>
      </w:r>
      <w:r/>
    </w:p>
    <w:p>
      <w:pPr>
        <w:pStyle w:val="884"/>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地址：           </w:t>
      </w:r>
      <w:r>
        <w:rPr>
          <w:color w:val="000000"/>
          <w:szCs w:val="24"/>
          <w:highlight w:val="none"/>
        </w:rPr>
      </w:r>
      <w:r/>
    </w:p>
    <w:p>
      <w:pPr>
        <w:pStyle w:val="884"/>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电话：</w:t>
      </w:r>
      <w:r>
        <w:rPr>
          <w:color w:val="000000"/>
          <w:szCs w:val="24"/>
          <w:highlight w:val="none"/>
        </w:rPr>
      </w:r>
      <w:r/>
    </w:p>
    <w:p>
      <w:pPr>
        <w:pStyle w:val="884"/>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电子邮件： </w:t>
      </w:r>
      <w:r>
        <w:rPr>
          <w:color w:val="000000"/>
          <w:szCs w:val="24"/>
          <w:highlight w:val="none"/>
        </w:rPr>
      </w:r>
      <w:r/>
    </w:p>
    <w:p>
      <w:pPr>
        <w:pStyle w:val="884"/>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4"/>
        <w:ind w:firstLine="480"/>
        <w:jc w:val="left"/>
        <w:spacing w:line="360" w:lineRule="auto"/>
        <w:widowControl/>
        <w:rPr>
          <w:rFonts w:hint="eastAsia"/>
          <w:color w:val="000000"/>
          <w:szCs w:val="24"/>
          <w:highlight w:val="none"/>
        </w:rPr>
      </w:pPr>
      <w:r>
        <w:rPr>
          <w:rFonts w:hint="eastAsia" w:ascii="宋体" w:hAnsi="宋体" w:cs="宋体"/>
          <w:color w:val="000000"/>
          <w:sz w:val="24"/>
          <w:szCs w:val="24"/>
          <w:highlight w:val="none"/>
        </w:rPr>
        <w:t xml:space="preserve">投标人名称（公章）：</w:t>
      </w:r>
      <w:r>
        <w:rPr>
          <w:rFonts w:hint="eastAsia"/>
          <w:color w:val="000000"/>
          <w:szCs w:val="24"/>
          <w:highlight w:val="none"/>
        </w:rPr>
      </w:r>
      <w:r/>
    </w:p>
    <w:p>
      <w:pPr>
        <w:pStyle w:val="884"/>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法定代表人（授权代表）盖章或签字：</w:t>
      </w:r>
      <w:r>
        <w:rPr>
          <w:rFonts w:hint="eastAsia" w:ascii="宋体" w:hAnsi="宋体" w:cs="宋体"/>
          <w:color w:val="000000"/>
          <w:sz w:val="24"/>
          <w:szCs w:val="24"/>
          <w:highlight w:val="none"/>
        </w:rPr>
      </w:r>
      <w:r/>
    </w:p>
    <w:p>
      <w:pPr>
        <w:pStyle w:val="884"/>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法定代表人（授权代表）手机号码：</w:t>
      </w:r>
      <w:r>
        <w:rPr>
          <w:rFonts w:hint="eastAsia" w:ascii="宋体" w:hAnsi="宋体" w:cs="宋体"/>
          <w:color w:val="000000"/>
          <w:sz w:val="24"/>
          <w:szCs w:val="24"/>
          <w:highlight w:val="none"/>
        </w:rPr>
      </w:r>
      <w:r/>
    </w:p>
    <w:p>
      <w:pPr>
        <w:pStyle w:val="884"/>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日 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rPr>
          <w:color w:val="000000"/>
          <w:szCs w:val="24"/>
          <w:highlight w:val="none"/>
        </w:rPr>
      </w:r>
      <w:r/>
    </w:p>
    <w:p>
      <w:pPr>
        <w:pStyle w:val="884"/>
        <w:pageBreakBefore/>
        <w:spacing w:line="360" w:lineRule="auto"/>
        <w:rPr>
          <w:rFonts w:hint="eastAsia"/>
          <w:color w:val="000000"/>
          <w:szCs w:val="24"/>
          <w:highlight w:val="none"/>
        </w:rPr>
      </w:pPr>
      <w:r>
        <w:rPr>
          <w:rFonts w:hint="eastAsia" w:ascii="宋体" w:hAnsi="宋体" w:cs="宋体"/>
          <w:color w:val="000000"/>
          <w:sz w:val="24"/>
          <w:szCs w:val="24"/>
          <w:highlight w:val="none"/>
        </w:rPr>
        <w:t xml:space="preserve">附件2：</w:t>
      </w:r>
      <w:r>
        <w:rPr>
          <w:rFonts w:hint="eastAsia"/>
          <w:color w:val="000000"/>
          <w:szCs w:val="24"/>
          <w:highlight w:val="none"/>
        </w:rPr>
      </w:r>
      <w:r/>
    </w:p>
    <w:p>
      <w:pPr>
        <w:pStyle w:val="884"/>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开标一览表</w:t>
      </w:r>
      <w:r>
        <w:rPr>
          <w:rFonts w:ascii="宋体" w:hAnsi="宋体" w:cs="宋体"/>
          <w:bCs/>
          <w:color w:val="000000"/>
          <w:sz w:val="24"/>
          <w:highlight w:val="none"/>
        </w:rPr>
      </w:r>
      <w:r/>
    </w:p>
    <w:p>
      <w:pPr>
        <w:pStyle w:val="892"/>
        <w:rPr>
          <w:rFonts w:hint="eastAsia" w:ascii="宋体" w:hAnsi="宋体" w:cs="宋体"/>
          <w:color w:val="000000"/>
          <w:sz w:val="24"/>
          <w:highlight w:val="none"/>
        </w:rPr>
      </w:pPr>
      <w:r>
        <w:rPr>
          <w:rFonts w:hint="eastAsia" w:ascii="宋体" w:hAnsi="宋体" w:cs="宋体"/>
          <w:color w:val="000000"/>
          <w:sz w:val="24"/>
          <w:highlight w:val="none"/>
        </w:rPr>
      </w:r>
      <w:r/>
    </w:p>
    <w:p>
      <w:pPr>
        <w:pStyle w:val="884"/>
        <w:rPr>
          <w:color w:val="000000"/>
          <w:highlight w:val="none"/>
        </w:rPr>
      </w:pPr>
      <w:r>
        <w:rPr>
          <w:color w:val="000000"/>
          <w:highlight w:val="none"/>
        </w:rPr>
      </w:r>
      <w:r/>
    </w:p>
    <w:p>
      <w:pPr>
        <w:pStyle w:val="884"/>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项目编号：</w:t>
      </w:r>
      <w:r>
        <w:rPr>
          <w:rFonts w:hint="eastAsia" w:ascii="宋体" w:hAnsi="宋体"/>
          <w:color w:val="000000"/>
          <w:sz w:val="24"/>
          <w:highlight w:val="none"/>
        </w:rPr>
      </w:r>
      <w:r/>
    </w:p>
    <w:tbl>
      <w:tblPr>
        <w:tblpPr w:horzAnchor="page" w:tblpXSpec="center" w:vertAnchor="text" w:tblpY="458" w:leftFromText="180" w:topFromText="0" w:rightFromText="180" w:bottomFromText="0"/>
        <w:tblW w:w="9251"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376"/>
        <w:gridCol w:w="3143"/>
        <w:gridCol w:w="2732"/>
      </w:tblGrid>
      <w:tr>
        <w:trPr/>
        <w:tc>
          <w:tcPr>
            <w:tcW w:w="3376" w:type="dxa"/>
            <w:vAlign w:val="center"/>
            <w:textDirection w:val="lrTb"/>
            <w:noWrap w:val="false"/>
          </w:tcPr>
          <w:p>
            <w:pPr>
              <w:pStyle w:val="905"/>
              <w:rPr>
                <w:color w:val="000000"/>
                <w:highlight w:val="none"/>
              </w:rPr>
              <w:framePr w:vAnchor="text" w:hAnchor="page" w:xAlign="center" w:y="458"/>
            </w:pPr>
            <w:r>
              <w:rPr>
                <w:rFonts w:ascii="Segoe UI" w:hAnsi="Segoe UI" w:eastAsia="Segoe UI" w:cs="Segoe UI"/>
                <w:color w:val="000000"/>
                <w:sz w:val="27"/>
                <w:szCs w:val="27"/>
                <w:highlight w:val="none"/>
              </w:rPr>
              <w:t xml:space="preserve">项目名称</w:t>
            </w:r>
            <w:r>
              <w:rPr>
                <w:color w:val="000000"/>
                <w:highlight w:val="none"/>
              </w:rPr>
            </w:r>
            <w:r/>
          </w:p>
        </w:tc>
        <w:tc>
          <w:tcPr>
            <w:tcW w:w="3143" w:type="dxa"/>
            <w:vAlign w:val="center"/>
            <w:textDirection w:val="lrTb"/>
            <w:noWrap w:val="false"/>
          </w:tcPr>
          <w:p>
            <w:pPr>
              <w:pStyle w:val="905"/>
              <w:rPr>
                <w:color w:val="000000"/>
                <w:highlight w:val="none"/>
              </w:rPr>
              <w:framePr w:vAnchor="text" w:hAnchor="page" w:xAlign="center" w:y="458"/>
            </w:pPr>
            <w:r>
              <w:rPr>
                <w:rFonts w:ascii="Segoe UI" w:hAnsi="Segoe UI" w:eastAsia="Segoe UI" w:cs="Segoe UI"/>
                <w:color w:val="000000"/>
                <w:sz w:val="27"/>
                <w:szCs w:val="27"/>
                <w:highlight w:val="none"/>
              </w:rPr>
              <w:t xml:space="preserve">项目内容</w:t>
            </w:r>
            <w:r>
              <w:rPr>
                <w:color w:val="000000"/>
                <w:highlight w:val="none"/>
              </w:rPr>
            </w:r>
            <w:r/>
          </w:p>
        </w:tc>
        <w:tc>
          <w:tcPr>
            <w:tcW w:w="2732" w:type="dxa"/>
            <w:vAlign w:val="center"/>
            <w:textDirection w:val="lrTb"/>
            <w:noWrap w:val="false"/>
          </w:tcPr>
          <w:p>
            <w:pPr>
              <w:pStyle w:val="905"/>
              <w:rPr>
                <w:color w:val="000000"/>
                <w:highlight w:val="none"/>
              </w:rPr>
              <w:framePr w:vAnchor="text" w:hAnchor="page" w:xAlign="center" w:y="458"/>
            </w:pPr>
            <w:r>
              <w:rPr>
                <w:rFonts w:ascii="Segoe UI" w:hAnsi="Segoe UI" w:eastAsia="Segoe UI" w:cs="Segoe UI"/>
                <w:color w:val="000000"/>
                <w:sz w:val="27"/>
                <w:szCs w:val="27"/>
                <w:highlight w:val="none"/>
              </w:rPr>
              <w:t xml:space="preserve"> 总价（小写）</w:t>
            </w:r>
            <w:r>
              <w:rPr>
                <w:color w:val="000000"/>
                <w:highlight w:val="none"/>
              </w:rPr>
            </w:r>
            <w:r/>
          </w:p>
        </w:tc>
      </w:tr>
      <w:tr>
        <w:trPr>
          <w:trHeight w:val="784"/>
        </w:trPr>
        <w:tc>
          <w:tcPr>
            <w:tcW w:w="3376" w:type="dxa"/>
            <w:vAlign w:val="center"/>
            <w:textDirection w:val="lrTb"/>
            <w:noWrap w:val="false"/>
          </w:tcPr>
          <w:p>
            <w:pPr>
              <w:pStyle w:val="905"/>
              <w:rPr>
                <w:color w:val="000000"/>
                <w:highlight w:val="none"/>
              </w:rPr>
              <w:framePr w:vAnchor="text" w:hAnchor="page" w:xAlign="center" w:y="458"/>
            </w:pPr>
            <w:r>
              <w:rPr>
                <w:color w:val="000000"/>
                <w:highlight w:val="none"/>
              </w:rPr>
            </w:r>
            <w:r/>
          </w:p>
        </w:tc>
        <w:tc>
          <w:tcPr>
            <w:tcW w:w="3143" w:type="dxa"/>
            <w:vAlign w:val="center"/>
            <w:textDirection w:val="lrTb"/>
            <w:noWrap w:val="false"/>
          </w:tcPr>
          <w:p>
            <w:pPr>
              <w:pStyle w:val="905"/>
              <w:rPr>
                <w:color w:val="000000"/>
                <w:highlight w:val="none"/>
              </w:rPr>
              <w:framePr w:vAnchor="text" w:hAnchor="page" w:xAlign="center" w:y="458"/>
            </w:pPr>
            <w:r>
              <w:rPr>
                <w:rFonts w:ascii="Segoe UI" w:hAnsi="Segoe UI" w:eastAsia="Segoe UI" w:cs="Segoe UI"/>
                <w:color w:val="000000"/>
                <w:sz w:val="27"/>
                <w:szCs w:val="27"/>
                <w:highlight w:val="none"/>
              </w:rPr>
              <w:t xml:space="preserve">详见投标文件</w:t>
            </w:r>
            <w:r>
              <w:rPr>
                <w:color w:val="000000"/>
                <w:highlight w:val="none"/>
              </w:rPr>
            </w:r>
            <w:r/>
          </w:p>
        </w:tc>
        <w:tc>
          <w:tcPr>
            <w:tcW w:w="2732" w:type="dxa"/>
            <w:vAlign w:val="center"/>
            <w:textDirection w:val="lrTb"/>
            <w:noWrap w:val="false"/>
          </w:tcPr>
          <w:p>
            <w:pPr>
              <w:pStyle w:val="905"/>
              <w:ind w:firstLine="1890"/>
              <w:rPr>
                <w:color w:val="000000"/>
                <w:highlight w:val="none"/>
              </w:rPr>
              <w:framePr w:vAnchor="text" w:hAnchor="page" w:xAlign="center" w:y="458"/>
            </w:pPr>
            <w:r>
              <w:rPr>
                <w:rFonts w:ascii="Segoe UI" w:hAnsi="Segoe UI" w:eastAsia="Segoe UI" w:cs="Segoe UI"/>
                <w:color w:val="000000"/>
                <w:sz w:val="27"/>
                <w:szCs w:val="27"/>
                <w:highlight w:val="none"/>
              </w:rPr>
              <w:t xml:space="preserve">元</w:t>
            </w:r>
            <w:r>
              <w:rPr>
                <w:color w:val="000000"/>
                <w:highlight w:val="none"/>
              </w:rPr>
            </w:r>
            <w:r/>
          </w:p>
        </w:tc>
      </w:tr>
      <w:tr>
        <w:trPr/>
        <w:tc>
          <w:tcPr>
            <w:tcW w:w="3376" w:type="dxa"/>
            <w:vAlign w:val="center"/>
            <w:textDirection w:val="lrTb"/>
            <w:noWrap w:val="false"/>
          </w:tcPr>
          <w:p>
            <w:pPr>
              <w:pStyle w:val="905"/>
              <w:rPr>
                <w:color w:val="000000"/>
                <w:highlight w:val="none"/>
              </w:rPr>
              <w:framePr w:vAnchor="text" w:hAnchor="page" w:xAlign="center" w:y="458"/>
            </w:pPr>
            <w:r>
              <w:rPr>
                <w:rFonts w:ascii="Segoe UI" w:hAnsi="Segoe UI" w:eastAsia="Segoe UI" w:cs="Segoe UI"/>
                <w:color w:val="000000"/>
                <w:sz w:val="27"/>
                <w:szCs w:val="27"/>
                <w:highlight w:val="none"/>
              </w:rPr>
              <w:t xml:space="preserve">总价（大写）：</w:t>
            </w:r>
            <w:r>
              <w:rPr>
                <w:color w:val="000000"/>
                <w:highlight w:val="none"/>
              </w:rPr>
            </w:r>
            <w:r/>
          </w:p>
        </w:tc>
        <w:tc>
          <w:tcPr>
            <w:gridSpan w:val="2"/>
            <w:tcW w:w="5875" w:type="dxa"/>
            <w:vAlign w:val="center"/>
            <w:textDirection w:val="lrTb"/>
            <w:noWrap w:val="false"/>
          </w:tcPr>
          <w:p>
            <w:pPr>
              <w:pStyle w:val="905"/>
              <w:rPr>
                <w:color w:val="000000"/>
                <w:highlight w:val="none"/>
              </w:rPr>
              <w:framePr w:vAnchor="text" w:hAnchor="page" w:xAlign="center" w:y="458"/>
            </w:pPr>
            <w:r>
              <w:rPr>
                <w:rFonts w:ascii="Segoe UI" w:hAnsi="Segoe UI" w:eastAsia="Segoe UI" w:cs="Segoe UI"/>
                <w:color w:val="000000"/>
                <w:sz w:val="27"/>
                <w:szCs w:val="27"/>
                <w:highlight w:val="none"/>
              </w:rPr>
              <w:t xml:space="preserve">金额大写 </w:t>
            </w:r>
            <w:r>
              <w:rPr>
                <w:color w:val="000000"/>
                <w:highlight w:val="none"/>
              </w:rPr>
            </w:r>
            <w:r/>
          </w:p>
        </w:tc>
      </w:tr>
    </w:tbl>
    <w:p>
      <w:pPr>
        <w:pStyle w:val="891"/>
        <w:ind w:firstLine="480"/>
        <w:rPr>
          <w:rFonts w:ascii="宋体" w:hAnsi="宋体" w:eastAsia="宋体"/>
          <w:color w:val="000000"/>
          <w:highlight w:val="none"/>
        </w:rPr>
      </w:pPr>
      <w:r>
        <w:rPr>
          <w:rFonts w:ascii="宋体" w:hAnsi="宋体" w:eastAsia="宋体"/>
          <w:color w:val="000000"/>
          <w:highlight w:val="none"/>
        </w:rPr>
        <w:t xml:space="preserve">货币单位：   人民币元</w:t>
      </w:r>
      <w:r>
        <w:rPr>
          <w:rFonts w:ascii="宋体" w:hAnsi="宋体" w:eastAsia="宋体"/>
          <w:color w:val="000000"/>
          <w:highlight w:val="none"/>
        </w:rPr>
      </w:r>
      <w:r/>
    </w:p>
    <w:p>
      <w:pPr>
        <w:pStyle w:val="904"/>
        <w:rPr>
          <w:rFonts w:hint="eastAsia" w:ascii="宋体" w:hAnsi="宋体"/>
          <w:color w:val="000000"/>
          <w:sz w:val="24"/>
          <w:highlight w:val="none"/>
        </w:rPr>
      </w:pPr>
      <w:r>
        <w:rPr>
          <w:rFonts w:hint="eastAsia" w:ascii="宋体" w:hAnsi="宋体"/>
          <w:color w:val="000000"/>
          <w:sz w:val="24"/>
          <w:highlight w:val="none"/>
        </w:rPr>
      </w:r>
      <w:r/>
    </w:p>
    <w:p>
      <w:pPr>
        <w:pStyle w:val="904"/>
        <w:rPr>
          <w:rFonts w:hint="eastAsia" w:ascii="宋体" w:hAnsi="宋体"/>
          <w:color w:val="000000"/>
          <w:sz w:val="24"/>
          <w:highlight w:val="none"/>
        </w:rPr>
      </w:pPr>
      <w:r>
        <w:rPr>
          <w:rFonts w:hint="eastAsia" w:ascii="宋体" w:hAnsi="宋体"/>
          <w:color w:val="000000"/>
          <w:sz w:val="24"/>
          <w:highlight w:val="none"/>
        </w:rPr>
      </w:r>
      <w:r/>
    </w:p>
    <w:p>
      <w:pPr>
        <w:pStyle w:val="884"/>
        <w:ind w:firstLine="735"/>
        <w:spacing w:line="360" w:lineRule="auto"/>
        <w:rPr>
          <w:rFonts w:hint="eastAsia" w:ascii="宋体" w:hAnsi="宋体"/>
          <w:color w:val="000000"/>
          <w:szCs w:val="21"/>
          <w:highlight w:val="none"/>
        </w:rPr>
      </w:pPr>
      <w:r>
        <w:rPr>
          <w:rFonts w:hint="eastAsia" w:ascii="宋体" w:hAnsi="宋体"/>
          <w:color w:val="000000"/>
          <w:szCs w:val="21"/>
          <w:highlight w:val="none"/>
        </w:rPr>
        <w:t xml:space="preserve">投标人公章：                               （电子签章）</w:t>
      </w:r>
      <w:r>
        <w:rPr>
          <w:rFonts w:hint="eastAsia" w:ascii="宋体" w:hAnsi="宋体"/>
          <w:color w:val="000000"/>
          <w:szCs w:val="21"/>
          <w:highlight w:val="none"/>
        </w:rPr>
      </w:r>
      <w:r/>
    </w:p>
    <w:p>
      <w:pPr>
        <w:pStyle w:val="884"/>
        <w:ind w:firstLine="735"/>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84"/>
        <w:ind w:firstLine="735"/>
        <w:spacing w:line="360" w:lineRule="auto"/>
        <w:rPr>
          <w:rFonts w:hint="eastAsia" w:hAnsi="宋体"/>
          <w:color w:val="000000"/>
          <w:highlight w:val="none"/>
        </w:rPr>
      </w:pPr>
      <w:r>
        <w:rPr>
          <w:rFonts w:hint="eastAsia" w:hAnsi="宋体"/>
          <w:color w:val="000000"/>
          <w:highlight w:val="none"/>
        </w:rPr>
        <w:t xml:space="preserve">注 ：</w:t>
      </w:r>
      <w:r>
        <w:rPr>
          <w:rFonts w:hint="eastAsia" w:hAnsi="宋体"/>
          <w:color w:val="000000"/>
          <w:highlight w:val="none"/>
        </w:rPr>
      </w:r>
      <w:r/>
    </w:p>
    <w:p>
      <w:pPr>
        <w:pStyle w:val="884"/>
        <w:ind w:firstLine="735"/>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b/>
          <w:bCs/>
          <w:color w:val="000000"/>
          <w:szCs w:val="21"/>
          <w:highlight w:val="none"/>
        </w:rPr>
        <w:t xml:space="preserve">总价为三年合同履行期限服务费用总价；</w:t>
      </w:r>
      <w:r>
        <w:rPr>
          <w:rFonts w:ascii="宋体" w:hAnsi="宋体"/>
          <w:color w:val="000000"/>
          <w:szCs w:val="21"/>
          <w:highlight w:val="none"/>
        </w:rPr>
      </w:r>
      <w:r/>
    </w:p>
    <w:p>
      <w:pPr>
        <w:pStyle w:val="884"/>
        <w:ind w:firstLine="735"/>
        <w:spacing w:line="360" w:lineRule="auto"/>
        <w:rPr>
          <w:rFonts w:hint="eastAsia" w:ascii="宋体" w:hAnsi="宋体"/>
          <w:b/>
          <w:color w:val="000000"/>
          <w:szCs w:val="21"/>
          <w:highlight w:val="none"/>
        </w:rPr>
      </w:pPr>
      <w:r>
        <w:rPr>
          <w:rFonts w:hint="eastAsia" w:ascii="宋体" w:hAnsi="宋体"/>
          <w:color w:val="000000"/>
          <w:szCs w:val="21"/>
          <w:highlight w:val="none"/>
        </w:rPr>
        <w:t xml:space="preserve">2、总价是根据招标文件所确定的范围内的全部服务的价格体现，是为完成招标文件规定的工作所涉及的一切费用。报价为综合报价，应包括完成本项目工作所需的各项费用，招标文件未列明，而投标人认为必需的费用也需列入报价</w:t>
      </w:r>
      <w:r>
        <w:rPr>
          <w:rFonts w:hint="eastAsia" w:hAnsi="宋体"/>
          <w:b/>
          <w:color w:val="000000"/>
          <w:szCs w:val="21"/>
          <w:highlight w:val="none"/>
        </w:rPr>
        <w:t xml:space="preserve">。</w:t>
      </w:r>
      <w:r>
        <w:rPr>
          <w:rFonts w:hint="eastAsia" w:ascii="宋体" w:hAnsi="宋体"/>
          <w:b/>
          <w:color w:val="000000"/>
          <w:szCs w:val="21"/>
          <w:highlight w:val="none"/>
        </w:rPr>
        <w:t xml:space="preserve">投标报价不得超过最高限价，否则视为无效投标。</w:t>
      </w:r>
      <w:r>
        <w:rPr>
          <w:rFonts w:hint="eastAsia" w:ascii="宋体" w:hAnsi="宋体"/>
          <w:b/>
          <w:color w:val="000000"/>
          <w:szCs w:val="21"/>
          <w:highlight w:val="none"/>
        </w:rPr>
      </w:r>
      <w:r/>
    </w:p>
    <w:p>
      <w:pPr>
        <w:pStyle w:val="884"/>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4"/>
        <w:rPr>
          <w:rFonts w:hint="eastAsia" w:ascii="宋体" w:hAnsi="宋体" w:cs="宋体"/>
          <w:b/>
          <w:color w:val="000000"/>
          <w:sz w:val="24"/>
          <w:szCs w:val="20"/>
          <w:highlight w:val="none"/>
        </w:rPr>
      </w:pPr>
      <w:r>
        <w:rPr>
          <w:rFonts w:hint="eastAsia" w:ascii="宋体" w:hAnsi="宋体" w:cs="宋体"/>
          <w:b/>
          <w:color w:val="000000"/>
          <w:sz w:val="24"/>
          <w:szCs w:val="20"/>
          <w:highlight w:val="none"/>
        </w:rPr>
      </w:r>
      <w:r/>
    </w:p>
    <w:p>
      <w:pPr>
        <w:pStyle w:val="884"/>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4"/>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4"/>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4"/>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4"/>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4"/>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4"/>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4"/>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4"/>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4"/>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4"/>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4"/>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4"/>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4"/>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附件3：</w:t>
      </w:r>
      <w:r>
        <w:rPr>
          <w:rFonts w:ascii="宋体" w:hAnsi="宋体" w:cs="宋体"/>
          <w:bCs/>
          <w:color w:val="000000"/>
          <w:sz w:val="24"/>
          <w:szCs w:val="24"/>
          <w:highlight w:val="none"/>
        </w:rPr>
      </w:r>
      <w:r/>
    </w:p>
    <w:p>
      <w:pPr>
        <w:pStyle w:val="884"/>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工作人员工资明细表</w:t>
      </w:r>
      <w:r>
        <w:rPr>
          <w:rFonts w:hint="eastAsia" w:ascii="宋体" w:hAnsi="宋体" w:cs="宋体"/>
          <w:b/>
          <w:color w:val="000000"/>
          <w:sz w:val="24"/>
          <w:szCs w:val="24"/>
          <w:highlight w:val="none"/>
        </w:rPr>
      </w:r>
      <w:r/>
    </w:p>
    <w:p>
      <w:pPr>
        <w:pStyle w:val="884"/>
        <w:jc w:val="center"/>
        <w:rPr>
          <w:rFonts w:ascii="宋体" w:hAnsi="宋体" w:cs="宋体"/>
          <w:b/>
          <w:color w:val="000000"/>
          <w:sz w:val="24"/>
          <w:szCs w:val="24"/>
          <w:highlight w:val="none"/>
        </w:rPr>
      </w:pPr>
      <w:r>
        <w:rPr>
          <w:rFonts w:ascii="宋体" w:hAnsi="宋体" w:cs="宋体"/>
          <w:b/>
          <w:color w:val="000000"/>
          <w:sz w:val="24"/>
          <w:szCs w:val="24"/>
          <w:highlight w:val="none"/>
        </w:rPr>
      </w:r>
      <w:r/>
    </w:p>
    <w:tbl>
      <w:tblPr>
        <w:tblW w:w="5036"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93"/>
        <w:gridCol w:w="2081"/>
        <w:gridCol w:w="1370"/>
        <w:gridCol w:w="2020"/>
        <w:gridCol w:w="2019"/>
      </w:tblGrid>
      <w:tr>
        <w:trPr>
          <w:trHeight w:val="866"/>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884"/>
              <w:jc w:val="center"/>
              <w:spacing w:line="260" w:lineRule="exact"/>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884"/>
              <w:jc w:val="center"/>
              <w:spacing w:line="2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工作岗位</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884"/>
              <w:jc w:val="center"/>
              <w:spacing w:line="2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数量</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884"/>
              <w:jc w:val="center"/>
              <w:spacing w:line="26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单人</w:t>
            </w:r>
            <w:r>
              <w:rPr>
                <w:rFonts w:hint="eastAsia" w:ascii="宋体" w:hAnsi="宋体" w:cs="宋体"/>
                <w:color w:val="000000"/>
                <w:sz w:val="24"/>
                <w:highlight w:val="none"/>
              </w:rPr>
              <w:t xml:space="preserve">每月工资</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884"/>
              <w:jc w:val="center"/>
              <w:spacing w:line="2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每年工资</w:t>
            </w:r>
            <w:r>
              <w:rPr>
                <w:rFonts w:hint="eastAsia" w:ascii="宋体" w:hAnsi="宋体" w:cs="宋体"/>
                <w:color w:val="000000"/>
                <w:sz w:val="24"/>
                <w:highlight w:val="none"/>
              </w:rPr>
            </w:r>
            <w:r/>
          </w:p>
        </w:tc>
      </w:tr>
      <w:tr>
        <w:trPr>
          <w:trHeight w:val="1134"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884"/>
              <w:jc w:val="center"/>
              <w:spacing w:line="26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tcPr>
          <w:p>
            <w:pPr>
              <w:pStyle w:val="884"/>
              <w:jc w:val="center"/>
              <w:spacing w:line="26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884"/>
              <w:jc w:val="left"/>
              <w:spacing w:line="26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884"/>
              <w:jc w:val="left"/>
              <w:spacing w:line="26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884"/>
              <w:jc w:val="left"/>
              <w:spacing w:line="260" w:lineRule="exact"/>
              <w:rPr>
                <w:rFonts w:ascii="宋体" w:hAnsi="宋体" w:cs="宋体"/>
                <w:color w:val="000000"/>
                <w:sz w:val="24"/>
                <w:highlight w:val="none"/>
              </w:rPr>
            </w:pPr>
            <w:r>
              <w:rPr>
                <w:rFonts w:ascii="宋体" w:hAnsi="宋体" w:cs="宋体"/>
                <w:color w:val="000000"/>
                <w:sz w:val="24"/>
                <w:highlight w:val="none"/>
              </w:rPr>
            </w:r>
            <w:r/>
          </w:p>
        </w:tc>
      </w:tr>
      <w:tr>
        <w:trPr>
          <w:trHeight w:val="1134"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884"/>
              <w:jc w:val="center"/>
              <w:spacing w:line="26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tcPr>
          <w:p>
            <w:pPr>
              <w:pStyle w:val="884"/>
              <w:jc w:val="center"/>
              <w:spacing w:line="26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884"/>
              <w:jc w:val="left"/>
              <w:spacing w:line="26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884"/>
              <w:jc w:val="left"/>
              <w:spacing w:line="2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884"/>
              <w:jc w:val="left"/>
              <w:spacing w:line="2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134"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884"/>
              <w:jc w:val="center"/>
              <w:spacing w:line="26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tcPr>
          <w:p>
            <w:pPr>
              <w:pStyle w:val="884"/>
              <w:jc w:val="center"/>
              <w:spacing w:line="26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884"/>
              <w:jc w:val="left"/>
              <w:spacing w:line="26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884"/>
              <w:jc w:val="left"/>
              <w:spacing w:line="26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884"/>
              <w:jc w:val="left"/>
              <w:spacing w:line="260" w:lineRule="exact"/>
              <w:rPr>
                <w:rFonts w:ascii="宋体" w:hAnsi="宋体" w:cs="宋体"/>
                <w:color w:val="000000"/>
                <w:sz w:val="24"/>
                <w:highlight w:val="none"/>
              </w:rPr>
            </w:pPr>
            <w:r>
              <w:rPr>
                <w:rFonts w:ascii="宋体" w:hAnsi="宋体" w:cs="宋体"/>
                <w:color w:val="000000"/>
                <w:sz w:val="24"/>
                <w:highlight w:val="none"/>
              </w:rPr>
            </w:r>
            <w:r/>
          </w:p>
        </w:tc>
      </w:tr>
      <w:tr>
        <w:trPr>
          <w:trHeight w:val="1134"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884"/>
              <w:jc w:val="center"/>
              <w:spacing w:line="2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tcPr>
          <w:p>
            <w:pPr>
              <w:pStyle w:val="884"/>
              <w:jc w:val="left"/>
              <w:spacing w:line="2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884"/>
              <w:jc w:val="left"/>
              <w:spacing w:line="26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884"/>
              <w:jc w:val="left"/>
              <w:spacing w:line="26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884"/>
              <w:jc w:val="left"/>
              <w:spacing w:line="260" w:lineRule="exact"/>
              <w:rPr>
                <w:rFonts w:ascii="宋体" w:hAnsi="宋体" w:cs="宋体"/>
                <w:color w:val="000000"/>
                <w:sz w:val="24"/>
                <w:highlight w:val="none"/>
              </w:rPr>
            </w:pPr>
            <w:r>
              <w:rPr>
                <w:rFonts w:ascii="宋体" w:hAnsi="宋体" w:cs="宋体"/>
                <w:color w:val="000000"/>
                <w:sz w:val="24"/>
                <w:highlight w:val="none"/>
              </w:rPr>
            </w:r>
            <w:r/>
          </w:p>
        </w:tc>
      </w:tr>
      <w:tr>
        <w:trPr>
          <w:trHeight w:val="1134"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884"/>
              <w:jc w:val="center"/>
              <w:spacing w:line="2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tcPr>
          <w:p>
            <w:pPr>
              <w:pStyle w:val="884"/>
              <w:jc w:val="left"/>
              <w:spacing w:line="26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884"/>
              <w:jc w:val="left"/>
              <w:spacing w:line="260" w:lineRule="exac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884"/>
              <w:jc w:val="left"/>
              <w:spacing w:line="2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884"/>
              <w:jc w:val="left"/>
              <w:spacing w:line="2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116"/>
        </w:trPr>
        <w:tc>
          <w:tcPr>
            <w:gridSpan w:val="4"/>
            <w:tcBorders>
              <w:top w:val="single" w:color="000000" w:sz="4" w:space="0"/>
              <w:left w:val="single" w:color="000000" w:sz="4" w:space="0"/>
              <w:bottom w:val="single" w:color="000000" w:sz="4" w:space="0"/>
              <w:right w:val="single" w:color="000000" w:sz="4" w:space="0"/>
            </w:tcBorders>
            <w:tcW w:w="6564" w:type="dxa"/>
            <w:vAlign w:val="center"/>
            <w:textDirection w:val="lrTb"/>
            <w:noWrap/>
          </w:tcPr>
          <w:p>
            <w:pPr>
              <w:pStyle w:val="884"/>
              <w:jc w:val="center"/>
              <w:spacing w:line="26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年工作人员工资合计</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884"/>
              <w:jc w:val="left"/>
              <w:spacing w:line="260" w:lineRule="exact"/>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8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84"/>
        <w:ind w:firstLine="480"/>
        <w:jc w:val="right"/>
        <w:spacing w:line="360" w:lineRule="auto"/>
        <w:widowControl/>
        <w:rPr>
          <w:rFonts w:hint="eastAsia" w:ascii="宋体" w:hAnsi="宋体" w:cs="宋体"/>
          <w:color w:val="000000"/>
          <w:sz w:val="24"/>
          <w:highlight w:val="none"/>
        </w:rPr>
      </w:pPr>
      <w:r>
        <w:rPr>
          <w:rFonts w:hint="eastAsia" w:ascii="宋体" w:hAnsi="宋体" w:cs="宋体"/>
          <w:color w:val="000000"/>
          <w:sz w:val="24"/>
          <w:szCs w:val="24"/>
          <w:highlight w:val="none"/>
        </w:rPr>
        <w:t xml:space="preserve">投标人名称（公章）：</w:t>
      </w:r>
      <w:r>
        <w:rPr>
          <w:rFonts w:hint="eastAsia" w:ascii="宋体" w:hAnsi="宋体" w:cs="宋体"/>
          <w:color w:val="000000"/>
          <w:sz w:val="24"/>
          <w:highlight w:val="none"/>
        </w:rPr>
      </w:r>
      <w:r/>
    </w:p>
    <w:p>
      <w:pPr>
        <w:pStyle w:val="88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8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注：投标人须按照工资待遇不低于当年江苏省一类城市最低工资保障线的120%填写本明细表，如未按要求填写本明细表则作无效投标处理。</w:t>
      </w:r>
      <w:r>
        <w:rPr>
          <w:rFonts w:hint="eastAsia" w:ascii="宋体" w:hAnsi="宋体" w:cs="宋体"/>
          <w:color w:val="000000"/>
          <w:sz w:val="24"/>
          <w:highlight w:val="none"/>
        </w:rPr>
      </w:r>
      <w:r/>
    </w:p>
    <w:p>
      <w:pPr>
        <w:pStyle w:val="88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84"/>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4"/>
        <w:rPr>
          <w:rFonts w:hint="eastAsia" w:ascii="宋体" w:hAnsi="宋体" w:cs="宋体"/>
          <w:b/>
          <w:color w:val="000000"/>
          <w:sz w:val="24"/>
          <w:szCs w:val="20"/>
          <w:highlight w:val="none"/>
        </w:rPr>
      </w:pPr>
      <w:r>
        <w:rPr>
          <w:rFonts w:hint="eastAsia" w:ascii="宋体" w:hAnsi="宋体" w:cs="宋体"/>
          <w:b/>
          <w:color w:val="000000"/>
          <w:sz w:val="24"/>
          <w:szCs w:val="20"/>
          <w:highlight w:val="none"/>
        </w:rPr>
      </w:r>
      <w:r/>
    </w:p>
    <w:p>
      <w:pPr>
        <w:pStyle w:val="884"/>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4"/>
        <w:rPr>
          <w:rFonts w:ascii="宋体" w:hAnsi="宋体" w:cs="宋体"/>
          <w:b/>
          <w:color w:val="000000"/>
          <w:sz w:val="24"/>
          <w:szCs w:val="20"/>
          <w:highlight w:val="none"/>
        </w:rPr>
      </w:pPr>
      <w:r>
        <w:rPr>
          <w:rFonts w:ascii="宋体" w:hAnsi="宋体" w:cs="宋体"/>
          <w:b/>
          <w:color w:val="000000"/>
          <w:sz w:val="24"/>
          <w:szCs w:val="20"/>
          <w:highlight w:val="none"/>
        </w:rPr>
      </w:r>
      <w:r/>
    </w:p>
    <w:p>
      <w:pPr>
        <w:pStyle w:val="884"/>
        <w:rPr>
          <w:rFonts w:ascii="宋体" w:hAnsi="宋体" w:cs="宋体"/>
          <w:b/>
          <w:color w:val="000000"/>
          <w:sz w:val="24"/>
          <w:szCs w:val="20"/>
          <w:highlight w:val="none"/>
        </w:rPr>
      </w:pPr>
      <w:r>
        <w:rPr>
          <w:rFonts w:ascii="宋体" w:hAnsi="宋体" w:cs="宋体"/>
          <w:b/>
          <w:color w:val="000000"/>
          <w:sz w:val="24"/>
          <w:szCs w:val="20"/>
          <w:highlight w:val="none"/>
        </w:rPr>
      </w:r>
      <w:r/>
    </w:p>
    <w:p>
      <w:pPr>
        <w:pStyle w:val="884"/>
        <w:rPr>
          <w:rFonts w:ascii="宋体" w:hAnsi="宋体" w:cs="宋体"/>
          <w:b/>
          <w:color w:val="000000"/>
          <w:sz w:val="24"/>
          <w:szCs w:val="20"/>
          <w:highlight w:val="none"/>
        </w:rPr>
      </w:pPr>
      <w:r>
        <w:rPr>
          <w:rFonts w:ascii="宋体" w:hAnsi="宋体" w:cs="宋体"/>
          <w:b/>
          <w:color w:val="000000"/>
          <w:sz w:val="24"/>
          <w:szCs w:val="20"/>
          <w:highlight w:val="none"/>
        </w:rPr>
      </w:r>
      <w:r/>
    </w:p>
    <w:p>
      <w:pPr>
        <w:pStyle w:val="884"/>
        <w:rPr>
          <w:rFonts w:ascii="宋体" w:hAnsi="宋体" w:cs="宋体"/>
          <w:b/>
          <w:color w:val="000000"/>
          <w:sz w:val="24"/>
          <w:szCs w:val="20"/>
          <w:highlight w:val="none"/>
        </w:rPr>
      </w:pPr>
      <w:r>
        <w:rPr>
          <w:rFonts w:ascii="宋体" w:hAnsi="宋体" w:cs="宋体"/>
          <w:b/>
          <w:color w:val="000000"/>
          <w:sz w:val="24"/>
          <w:szCs w:val="20"/>
          <w:highlight w:val="none"/>
        </w:rPr>
      </w:r>
      <w:r/>
    </w:p>
    <w:p>
      <w:pPr>
        <w:pStyle w:val="884"/>
        <w:rPr>
          <w:rFonts w:ascii="宋体" w:hAnsi="宋体" w:cs="宋体"/>
          <w:b/>
          <w:color w:val="000000"/>
          <w:sz w:val="24"/>
          <w:szCs w:val="20"/>
          <w:highlight w:val="none"/>
        </w:rPr>
      </w:pPr>
      <w:r>
        <w:rPr>
          <w:rFonts w:ascii="宋体" w:hAnsi="宋体" w:cs="宋体"/>
          <w:b/>
          <w:color w:val="000000"/>
          <w:sz w:val="24"/>
          <w:szCs w:val="20"/>
          <w:highlight w:val="none"/>
        </w:rPr>
      </w:r>
      <w:r/>
    </w:p>
    <w:p>
      <w:pPr>
        <w:pStyle w:val="891"/>
        <w:rPr>
          <w:rFonts w:ascii="宋体" w:hAnsi="宋体" w:cs="宋体"/>
          <w:b/>
          <w:color w:val="000000"/>
          <w:szCs w:val="20"/>
          <w:highlight w:val="none"/>
        </w:rPr>
      </w:pPr>
      <w:r>
        <w:rPr>
          <w:rFonts w:ascii="宋体" w:hAnsi="宋体" w:cs="宋体"/>
          <w:b/>
          <w:color w:val="000000"/>
          <w:szCs w:val="20"/>
          <w:highlight w:val="none"/>
        </w:rPr>
      </w:r>
      <w:r/>
    </w:p>
    <w:p>
      <w:pPr>
        <w:pStyle w:val="884"/>
        <w:spacing w:line="360" w:lineRule="auto"/>
        <w:rPr>
          <w:color w:val="000000"/>
          <w:szCs w:val="24"/>
          <w:highlight w:val="none"/>
        </w:rPr>
      </w:pPr>
      <w:r>
        <w:rPr>
          <w:rFonts w:hint="eastAsia" w:ascii="宋体" w:hAnsi="宋体" w:cs="宋体"/>
          <w:color w:val="000000"/>
          <w:sz w:val="24"/>
          <w:szCs w:val="24"/>
          <w:highlight w:val="none"/>
        </w:rPr>
        <w:t xml:space="preserve">附件4：</w:t>
      </w:r>
      <w:r>
        <w:rPr>
          <w:color w:val="000000"/>
          <w:szCs w:val="24"/>
          <w:highlight w:val="none"/>
        </w:rPr>
      </w:r>
      <w:r/>
    </w:p>
    <w:p>
      <w:pPr>
        <w:pStyle w:val="884"/>
        <w:jc w:val="center"/>
        <w:spacing w:line="360" w:lineRule="auto"/>
        <w:rPr>
          <w:color w:val="000000"/>
          <w:szCs w:val="24"/>
          <w:highlight w:val="none"/>
        </w:rPr>
      </w:pPr>
      <w:r>
        <w:rPr>
          <w:rFonts w:hint="eastAsia" w:ascii="宋体" w:hAnsi="宋体" w:cs="宋体"/>
          <w:bCs/>
          <w:color w:val="000000"/>
          <w:sz w:val="24"/>
          <w:szCs w:val="24"/>
          <w:highlight w:val="none"/>
        </w:rPr>
        <w:t xml:space="preserve">法定代表人身份证明书</w:t>
      </w:r>
      <w:r>
        <w:rPr>
          <w:color w:val="000000"/>
          <w:szCs w:val="24"/>
          <w:highlight w:val="none"/>
        </w:rPr>
      </w:r>
      <w:r/>
    </w:p>
    <w:p>
      <w:pPr>
        <w:pStyle w:val="884"/>
        <w:jc w:val="center"/>
        <w:spacing w:line="360" w:lineRule="auto"/>
        <w:rPr>
          <w:color w:val="000000"/>
          <w:szCs w:val="24"/>
          <w:highlight w:val="none"/>
        </w:rPr>
      </w:pP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color w:val="000000"/>
          <w:sz w:val="24"/>
          <w:szCs w:val="24"/>
          <w:highlight w:val="none"/>
        </w:rPr>
        <w:t xml:space="preserve">单位名称：</w:t>
      </w:r>
      <w:r>
        <w:rPr>
          <w:rFonts w:hint="eastAsia" w:ascii="宋体" w:hAnsi="宋体" w:cs="宋体"/>
          <w:color w:val="000000"/>
          <w:sz w:val="24"/>
          <w:szCs w:val="24"/>
          <w:highlight w:val="none"/>
          <w:u w:val="single"/>
        </w:rPr>
        <w:t xml:space="preserve">                          </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color w:val="000000"/>
          <w:sz w:val="24"/>
          <w:szCs w:val="24"/>
          <w:highlight w:val="none"/>
        </w:rPr>
        <w:t xml:space="preserve">单位性质：</w:t>
      </w:r>
      <w:r>
        <w:rPr>
          <w:rFonts w:hint="eastAsia" w:ascii="宋体" w:hAnsi="宋体" w:cs="宋体"/>
          <w:color w:val="000000"/>
          <w:sz w:val="24"/>
          <w:szCs w:val="24"/>
          <w:highlight w:val="none"/>
          <w:u w:val="single"/>
        </w:rPr>
        <w:t xml:space="preserve">                          </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u w:val="single"/>
        </w:rPr>
        <w:t xml:space="preserve">                          </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color w:val="000000"/>
          <w:sz w:val="24"/>
          <w:szCs w:val="24"/>
          <w:highlight w:val="none"/>
        </w:rPr>
        <w:t xml:space="preserve">成立时间：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 </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color w:val="000000"/>
          <w:sz w:val="24"/>
          <w:szCs w:val="24"/>
          <w:highlight w:val="none"/>
        </w:rPr>
        <w:t xml:space="preserve">经营期限：</w:t>
      </w:r>
      <w:r>
        <w:rPr>
          <w:rFonts w:hint="eastAsia" w:ascii="宋体" w:hAnsi="宋体" w:cs="宋体"/>
          <w:color w:val="000000"/>
          <w:sz w:val="24"/>
          <w:szCs w:val="24"/>
          <w:highlight w:val="none"/>
          <w:u w:val="single"/>
        </w:rPr>
        <w:t xml:space="preserve">                          </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color w:val="000000"/>
          <w:sz w:val="24"/>
          <w:szCs w:val="24"/>
          <w:highlight w:val="none"/>
        </w:rPr>
        <w:t xml:space="preserve">姓    名：</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身份证号：</w:t>
      </w:r>
      <w:r>
        <w:rPr>
          <w:rFonts w:hint="eastAsia" w:ascii="宋体" w:hAnsi="宋体" w:cs="宋体"/>
          <w:color w:val="000000"/>
          <w:sz w:val="24"/>
          <w:szCs w:val="24"/>
          <w:highlight w:val="none"/>
          <w:u w:val="single"/>
        </w:rPr>
        <w:t xml:space="preserve">             </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color w:val="000000"/>
          <w:sz w:val="24"/>
          <w:szCs w:val="24"/>
          <w:highlight w:val="none"/>
        </w:rPr>
        <w:t xml:space="preserve">系</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投标人名称）的法定代表人（负责人）。</w:t>
      </w:r>
      <w:r>
        <w:rPr>
          <w:color w:val="000000"/>
          <w:szCs w:val="24"/>
          <w:highlight w:val="none"/>
        </w:rPr>
      </w:r>
      <w:r/>
    </w:p>
    <w:p>
      <w:pPr>
        <w:pStyle w:val="884"/>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84"/>
        <w:ind w:firstLine="480"/>
        <w:spacing w:line="360" w:lineRule="auto"/>
        <w:rPr>
          <w:rFonts w:hint="eastAsia"/>
          <w:color w:val="000000"/>
          <w:szCs w:val="24"/>
          <w:highlight w:val="none"/>
        </w:rPr>
      </w:pPr>
      <w:r>
        <w:rPr>
          <w:rFonts w:hint="eastAsia" w:ascii="宋体" w:hAnsi="宋体" w:cs="宋体"/>
          <w:color w:val="000000"/>
          <w:sz w:val="24"/>
          <w:szCs w:val="24"/>
          <w:highlight w:val="none"/>
        </w:rPr>
        <w:t xml:space="preserve">特此证明。</w:t>
      </w:r>
      <w:r>
        <w:rPr>
          <w:rFonts w:hint="eastAsia"/>
          <w:color w:val="000000"/>
          <w:szCs w:val="24"/>
          <w:highlight w:val="none"/>
        </w:rPr>
      </w:r>
      <w:r/>
    </w:p>
    <w:p>
      <w:pPr>
        <w:pStyle w:val="884"/>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84"/>
        <w:ind w:firstLine="4440"/>
        <w:spacing w:line="360" w:lineRule="auto"/>
        <w:rPr>
          <w:rFonts w:hint="eastAsia"/>
          <w:color w:val="000000"/>
          <w:szCs w:val="24"/>
          <w:highlight w:val="none"/>
        </w:rPr>
      </w:pPr>
      <w:r>
        <w:rPr>
          <w:rFonts w:hint="eastAsia" w:ascii="宋体" w:hAnsi="宋体" w:cs="宋体"/>
          <w:color w:val="000000"/>
          <w:sz w:val="24"/>
          <w:szCs w:val="24"/>
          <w:highlight w:val="none"/>
        </w:rPr>
        <w:t xml:space="preserve">投标人（公章） ：</w:t>
      </w:r>
      <w:r>
        <w:rPr>
          <w:rFonts w:hint="eastAsia" w:ascii="宋体" w:hAnsi="宋体" w:cs="宋体"/>
          <w:color w:val="000000"/>
          <w:sz w:val="24"/>
          <w:szCs w:val="24"/>
          <w:highlight w:val="none"/>
          <w:u w:val="single"/>
        </w:rPr>
        <w:t xml:space="preserve">             </w:t>
      </w:r>
      <w:r>
        <w:rPr>
          <w:rFonts w:hint="eastAsia"/>
          <w:color w:val="000000"/>
          <w:szCs w:val="24"/>
          <w:highlight w:val="none"/>
        </w:rPr>
      </w:r>
      <w:r/>
    </w:p>
    <w:p>
      <w:pPr>
        <w:pStyle w:val="884"/>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84"/>
        <w:ind w:firstLine="4440"/>
        <w:spacing w:line="360" w:lineRule="auto"/>
        <w:rPr>
          <w:rFonts w:hint="eastAsia"/>
          <w:color w:val="000000"/>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rPr>
          <w:rFonts w:hint="eastAsia"/>
          <w:color w:val="000000"/>
          <w:szCs w:val="24"/>
          <w:highlight w:val="none"/>
        </w:rPr>
      </w:r>
      <w:r/>
    </w:p>
    <w:p>
      <w:pPr>
        <w:pStyle w:val="884"/>
        <w:ind w:firstLine="180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84"/>
        <w:spacing w:line="360" w:lineRule="auto"/>
        <w:rPr>
          <w:rFonts w:hint="eastAsia"/>
          <w:color w:val="000000"/>
          <w:szCs w:val="24"/>
          <w:highlight w:val="none"/>
        </w:rPr>
      </w:pPr>
      <w:r>
        <w:rPr>
          <w:rFonts w:hint="eastAsia" w:ascii="宋体" w:hAnsi="宋体" w:cs="宋体"/>
          <w:color w:val="000000"/>
          <w:sz w:val="24"/>
          <w:szCs w:val="24"/>
          <w:highlight w:val="none"/>
        </w:rPr>
        <w:t xml:space="preserve"> 附法定代表人（负责人）身份证正反面扫描件</w:t>
      </w:r>
      <w:r>
        <w:rPr>
          <w:rFonts w:hint="eastAsia"/>
          <w:color w:val="000000"/>
          <w:szCs w:val="24"/>
          <w:highlight w:val="none"/>
        </w:rPr>
      </w:r>
      <w:r/>
    </w:p>
    <w:p>
      <w:pPr>
        <w:pStyle w:val="884"/>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84"/>
        <w:pageBreakBefore/>
        <w:spacing w:line="360" w:lineRule="auto"/>
        <w:rPr>
          <w:rFonts w:hint="eastAsia"/>
          <w:color w:val="000000"/>
          <w:szCs w:val="24"/>
          <w:highlight w:val="none"/>
        </w:rPr>
      </w:pPr>
      <w:r>
        <w:rPr>
          <w:rFonts w:hint="eastAsia" w:ascii="宋体" w:hAnsi="宋体" w:cs="宋体"/>
          <w:color w:val="000000"/>
          <w:sz w:val="24"/>
          <w:szCs w:val="24"/>
          <w:highlight w:val="none"/>
        </w:rPr>
        <w:t xml:space="preserve">附件5：</w:t>
      </w:r>
      <w:r>
        <w:rPr>
          <w:rFonts w:hint="eastAsia"/>
          <w:color w:val="000000"/>
          <w:szCs w:val="24"/>
          <w:highlight w:val="none"/>
        </w:rPr>
      </w:r>
      <w:r/>
    </w:p>
    <w:p>
      <w:pPr>
        <w:pStyle w:val="884"/>
        <w:jc w:val="center"/>
        <w:spacing w:line="360" w:lineRule="auto"/>
        <w:rPr>
          <w:color w:val="000000"/>
          <w:szCs w:val="24"/>
          <w:highlight w:val="none"/>
        </w:rPr>
      </w:pPr>
      <w:r>
        <w:rPr>
          <w:rFonts w:hint="eastAsia" w:ascii="宋体" w:hAnsi="宋体" w:cs="宋体"/>
          <w:bCs/>
          <w:color w:val="000000"/>
          <w:sz w:val="24"/>
          <w:szCs w:val="24"/>
          <w:highlight w:val="none"/>
        </w:rPr>
        <w:t xml:space="preserve">授 权 委 托 书</w:t>
      </w:r>
      <w:r>
        <w:rPr>
          <w:color w:val="000000"/>
          <w:szCs w:val="24"/>
          <w:highlight w:val="none"/>
        </w:rPr>
      </w:r>
      <w:r/>
    </w:p>
    <w:p>
      <w:pPr>
        <w:pStyle w:val="884"/>
        <w:jc w:val="center"/>
        <w:spacing w:line="360" w:lineRule="auto"/>
        <w:rPr>
          <w:color w:val="000000"/>
          <w:szCs w:val="24"/>
          <w:highlight w:val="none"/>
        </w:rPr>
      </w:pP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color w:val="000000"/>
          <w:sz w:val="24"/>
          <w:szCs w:val="24"/>
          <w:highlight w:val="none"/>
        </w:rPr>
        <w:t xml:space="preserve">本授权委托书声明：本人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姓名）系</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单位全称）的法定代表人（负责人），现代表本单位（公司）授权我单位（公司）</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部门、职务或职称、姓名）作为本单位（公司）的合法代理人，以本单位（公司）的名义参加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招标单位名称）的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项目名称）投标。授权代表签署与本次招标相关的一切文件和处理与之有关的一切事务，本人均予以承认。</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color w:val="000000"/>
          <w:sz w:val="24"/>
          <w:szCs w:val="24"/>
          <w:highlight w:val="none"/>
        </w:rPr>
        <w:t xml:space="preserve">授权委托人无转委托权。</w:t>
      </w:r>
      <w:r>
        <w:rPr>
          <w:color w:val="000000"/>
          <w:szCs w:val="24"/>
          <w:highlight w:val="none"/>
        </w:rPr>
      </w:r>
      <w:r/>
    </w:p>
    <w:p>
      <w:pPr>
        <w:pStyle w:val="884"/>
        <w:ind w:firstLine="480"/>
        <w:spacing w:line="360" w:lineRule="auto"/>
        <w:rPr>
          <w:color w:val="000000"/>
          <w:szCs w:val="24"/>
          <w:highlight w:val="none"/>
        </w:rPr>
      </w:pPr>
      <w:r>
        <w:rPr>
          <w:rFonts w:hint="eastAsia" w:ascii="宋体" w:hAnsi="宋体" w:cs="宋体"/>
          <w:color w:val="000000"/>
          <w:sz w:val="24"/>
          <w:szCs w:val="24"/>
          <w:highlight w:val="none"/>
        </w:rPr>
        <w:t xml:space="preserve">特此声明</w:t>
      </w:r>
      <w:r>
        <w:rPr>
          <w:color w:val="000000"/>
          <w:szCs w:val="24"/>
          <w:highlight w:val="none"/>
        </w:rPr>
      </w:r>
      <w:r/>
    </w:p>
    <w:p>
      <w:pPr>
        <w:pStyle w:val="884"/>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4"/>
        <w:ind w:firstLine="480"/>
        <w:spacing w:line="360" w:lineRule="auto"/>
        <w:rPr>
          <w:rFonts w:hint="eastAsia"/>
          <w:color w:val="000000"/>
          <w:szCs w:val="24"/>
          <w:highlight w:val="none"/>
        </w:rPr>
      </w:pPr>
      <w:r>
        <w:rPr>
          <w:rFonts w:hint="eastAsia" w:ascii="宋体" w:hAnsi="宋体" w:cs="宋体"/>
          <w:color w:val="000000"/>
          <w:sz w:val="24"/>
          <w:szCs w:val="24"/>
          <w:highlight w:val="none"/>
        </w:rPr>
        <w:t xml:space="preserve">投标单位（公章） ：</w:t>
      </w:r>
      <w:r>
        <w:rPr>
          <w:rFonts w:hint="eastAsia"/>
          <w:color w:val="000000"/>
          <w:szCs w:val="24"/>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法定代表人（负责人）签字：</w:t>
      </w:r>
      <w:r>
        <w:rPr>
          <w:rFonts w:hint="eastAsia" w:ascii="宋体" w:hAnsi="宋体" w:cs="宋体"/>
          <w:color w:val="000000"/>
          <w:sz w:val="24"/>
          <w:szCs w:val="24"/>
          <w:highlight w:val="none"/>
        </w:rPr>
      </w:r>
      <w:r/>
    </w:p>
    <w:p>
      <w:pPr>
        <w:pStyle w:val="891"/>
        <w:rPr>
          <w:color w:val="000000"/>
          <w:highlight w:val="none"/>
        </w:rPr>
      </w:pPr>
      <w:r>
        <w:rPr>
          <w:color w:val="000000"/>
          <w:highlight w:val="none"/>
        </w:rPr>
      </w:r>
      <w:r/>
    </w:p>
    <w:p>
      <w:pPr>
        <w:pStyle w:val="8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授权委托人（签字） ： </w:t>
      </w:r>
      <w:r>
        <w:rPr>
          <w:rFonts w:hint="eastAsia" w:ascii="宋体" w:hAnsi="宋体" w:cs="宋体"/>
          <w:color w:val="000000"/>
          <w:sz w:val="24"/>
          <w:szCs w:val="24"/>
          <w:highlight w:val="none"/>
        </w:rPr>
      </w:r>
      <w:r/>
    </w:p>
    <w:p>
      <w:pPr>
        <w:pStyle w:val="891"/>
        <w:rPr>
          <w:color w:val="000000"/>
          <w:highlight w:val="none"/>
        </w:rPr>
      </w:pPr>
      <w:r>
        <w:rPr>
          <w:color w:val="000000"/>
          <w:highlight w:val="none"/>
        </w:rPr>
      </w:r>
      <w:r/>
    </w:p>
    <w:p>
      <w:pPr>
        <w:pStyle w:val="884"/>
        <w:ind w:firstLine="480"/>
        <w:spacing w:line="360" w:lineRule="auto"/>
        <w:rPr>
          <w:color w:val="000000"/>
          <w:szCs w:val="24"/>
          <w:highlight w:val="none"/>
        </w:rPr>
      </w:pPr>
      <w:r>
        <w:rPr>
          <w:rFonts w:hint="eastAsia" w:ascii="宋体" w:hAnsi="宋体" w:cs="宋体"/>
          <w:color w:val="000000"/>
          <w:sz w:val="24"/>
          <w:szCs w:val="24"/>
          <w:highlight w:val="none"/>
        </w:rPr>
        <w:t xml:space="preserve">日期：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rPr>
          <w:color w:val="000000"/>
          <w:szCs w:val="24"/>
          <w:highlight w:val="none"/>
        </w:rPr>
      </w:r>
      <w:r/>
    </w:p>
    <w:p>
      <w:pPr>
        <w:pStyle w:val="884"/>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84"/>
        <w:ind w:firstLine="480"/>
        <w:spacing w:line="360" w:lineRule="auto"/>
        <w:rPr>
          <w:rFonts w:hint="eastAsia"/>
          <w:color w:val="000000"/>
          <w:szCs w:val="24"/>
          <w:highlight w:val="none"/>
        </w:rPr>
      </w:pPr>
      <w:r>
        <w:rPr>
          <w:rFonts w:hint="eastAsia" w:ascii="宋体" w:hAnsi="宋体" w:cs="宋体"/>
          <w:color w:val="000000"/>
          <w:sz w:val="24"/>
          <w:szCs w:val="24"/>
          <w:highlight w:val="none"/>
        </w:rPr>
        <w:t xml:space="preserve">附授权委托人身份证正反面扫描件</w:t>
      </w:r>
      <w:r>
        <w:rPr>
          <w:rFonts w:hint="eastAsia"/>
          <w:color w:val="000000"/>
          <w:szCs w:val="24"/>
          <w:highlight w:val="none"/>
        </w:rPr>
      </w:r>
      <w:r/>
    </w:p>
    <w:p>
      <w:pPr>
        <w:pStyle w:val="88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4"/>
        <w:pageBreakBefore/>
        <w:spacing w:line="360" w:lineRule="auto"/>
        <w:rPr>
          <w:rFonts w:hint="eastAsia"/>
          <w:color w:val="000000"/>
          <w:szCs w:val="24"/>
          <w:highlight w:val="none"/>
        </w:rPr>
      </w:pPr>
      <w:r>
        <w:rPr>
          <w:rFonts w:hint="eastAsia" w:ascii="宋体" w:hAnsi="宋体" w:cs="宋体"/>
          <w:color w:val="000000"/>
          <w:sz w:val="24"/>
          <w:szCs w:val="24"/>
          <w:highlight w:val="none"/>
        </w:rPr>
        <w:t xml:space="preserve">附件6：</w:t>
      </w:r>
      <w:r>
        <w:rPr>
          <w:rFonts w:hint="eastAsia"/>
          <w:color w:val="000000"/>
          <w:szCs w:val="24"/>
          <w:highlight w:val="none"/>
        </w:rPr>
      </w:r>
      <w:r/>
    </w:p>
    <w:p>
      <w:pPr>
        <w:pStyle w:val="884"/>
        <w:jc w:val="center"/>
        <w:spacing w:line="360" w:lineRule="auto"/>
        <w:rPr>
          <w:color w:val="000000"/>
          <w:szCs w:val="24"/>
          <w:highlight w:val="none"/>
        </w:rPr>
      </w:pPr>
      <w:r>
        <w:rPr>
          <w:rFonts w:hint="eastAsia" w:ascii="宋体" w:hAnsi="宋体" w:cs="宋体"/>
          <w:bCs/>
          <w:color w:val="000000"/>
          <w:sz w:val="24"/>
          <w:szCs w:val="24"/>
          <w:highlight w:val="none"/>
        </w:rPr>
        <w:t xml:space="preserve">具有履行合同所必需的设备和专业技术能力的证明材料</w:t>
      </w:r>
      <w:r>
        <w:rPr>
          <w:color w:val="000000"/>
          <w:szCs w:val="24"/>
          <w:highlight w:val="none"/>
        </w:rPr>
      </w:r>
      <w:r/>
    </w:p>
    <w:p>
      <w:pPr>
        <w:pStyle w:val="884"/>
        <w:jc w:val="center"/>
        <w:spacing w:line="360" w:lineRule="auto"/>
        <w:rPr>
          <w:color w:val="000000"/>
          <w:szCs w:val="24"/>
          <w:highlight w:val="none"/>
        </w:rPr>
      </w:pPr>
      <w:r>
        <w:rPr>
          <w:rFonts w:hint="eastAsia" w:ascii="宋体" w:hAnsi="宋体" w:cs="宋体"/>
          <w:bCs/>
          <w:color w:val="000000"/>
          <w:sz w:val="24"/>
          <w:szCs w:val="24"/>
          <w:highlight w:val="none"/>
        </w:rPr>
        <w:t xml:space="preserve">（格式自定）</w:t>
      </w:r>
      <w:r>
        <w:rPr>
          <w:color w:val="000000"/>
          <w:szCs w:val="24"/>
          <w:highlight w:val="none"/>
        </w:rPr>
      </w:r>
      <w:r/>
    </w:p>
    <w:p>
      <w:pPr>
        <w:pStyle w:val="884"/>
        <w:ind w:firstLine="492"/>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884"/>
        <w:jc w:val="center"/>
        <w:spacing w:line="360" w:lineRule="auto"/>
        <w:rPr>
          <w:rFonts w:hint="eastAsia" w:ascii="Arial" w:hAnsi="Arial" w:cs="Arial"/>
          <w:color w:val="000000"/>
          <w:sz w:val="24"/>
          <w:szCs w:val="24"/>
          <w:highlight w:val="none"/>
        </w:rPr>
      </w:pPr>
      <w:r>
        <w:rPr>
          <w:rFonts w:hint="eastAsia" w:ascii="宋体" w:hAnsi="宋体" w:cs="宋体"/>
          <w:color w:val="000000"/>
          <w:sz w:val="24"/>
          <w:szCs w:val="24"/>
          <w:highlight w:val="none"/>
        </w:rPr>
        <w:t xml:space="preserve">                      投标供应商名称（公章）： </w:t>
      </w:r>
      <w:r>
        <w:rPr>
          <w:rFonts w:hint="eastAsia" w:ascii="Arial" w:hAnsi="Arial" w:cs="Arial"/>
          <w:color w:val="000000"/>
          <w:sz w:val="24"/>
          <w:szCs w:val="24"/>
          <w:highlight w:val="none"/>
        </w:rPr>
      </w:r>
      <w:r/>
    </w:p>
    <w:p>
      <w:pPr>
        <w:pStyle w:val="884"/>
        <w:spacing w:line="360" w:lineRule="auto"/>
        <w:rPr>
          <w:color w:val="000000"/>
          <w:szCs w:val="24"/>
          <w:highlight w:val="none"/>
        </w:rPr>
      </w:pPr>
      <w:r>
        <w:rPr>
          <w:rFonts w:hint="eastAsia" w:ascii="宋体" w:hAnsi="宋体" w:cs="宋体"/>
          <w:bCs/>
          <w:color w:val="000000"/>
          <w:sz w:val="24"/>
          <w:szCs w:val="24"/>
          <w:highlight w:val="none"/>
        </w:rPr>
        <w:t xml:space="preserve">                                     </w:t>
      </w:r>
      <w:r>
        <w:rPr>
          <w:color w:val="000000"/>
          <w:szCs w:val="24"/>
          <w:highlight w:val="none"/>
        </w:rPr>
      </w:r>
      <w:r/>
    </w:p>
    <w:p>
      <w:pPr>
        <w:pStyle w:val="884"/>
        <w:spacing w:line="360" w:lineRule="auto"/>
        <w:rPr>
          <w:color w:val="000000"/>
          <w:szCs w:val="24"/>
          <w:highlight w:val="none"/>
        </w:rPr>
      </w:pPr>
      <w:r>
        <w:rPr>
          <w:rFonts w:hint="eastAsia" w:ascii="宋体" w:hAnsi="宋体" w:cs="宋体"/>
          <w:bCs/>
          <w:color w:val="000000"/>
          <w:sz w:val="24"/>
          <w:szCs w:val="24"/>
          <w:highlight w:val="none"/>
        </w:rPr>
        <w:t xml:space="preserve">                                     日期：______年</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日</w:t>
      </w:r>
      <w:r>
        <w:rPr>
          <w:color w:val="000000"/>
          <w:szCs w:val="24"/>
          <w:highlight w:val="none"/>
        </w:rPr>
      </w:r>
      <w:r/>
    </w:p>
    <w:p>
      <w:pPr>
        <w:pStyle w:val="884"/>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884"/>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4"/>
        <w:spacing w:line="360" w:lineRule="auto"/>
        <w:rPr>
          <w:rFonts w:hint="eastAsia"/>
          <w:color w:val="000000"/>
          <w:szCs w:val="24"/>
          <w:highlight w:val="none"/>
        </w:rPr>
      </w:pPr>
      <w:r>
        <w:rPr>
          <w:rFonts w:hint="eastAsia" w:ascii="宋体" w:hAnsi="宋体" w:cs="宋体"/>
          <w:color w:val="000000"/>
          <w:sz w:val="24"/>
          <w:szCs w:val="24"/>
          <w:highlight w:val="none"/>
        </w:rPr>
        <w:t xml:space="preserve">附件7：</w:t>
      </w:r>
      <w:r>
        <w:rPr>
          <w:rFonts w:hint="eastAsia"/>
          <w:color w:val="000000"/>
          <w:szCs w:val="24"/>
          <w:highlight w:val="none"/>
        </w:rPr>
      </w:r>
      <w:r/>
    </w:p>
    <w:p>
      <w:pPr>
        <w:pStyle w:val="884"/>
        <w:jc w:val="center"/>
        <w:spacing w:line="360" w:lineRule="auto"/>
        <w:widowControl/>
        <w:tabs>
          <w:tab w:val="left" w:pos="720" w:leader="none"/>
        </w:tabs>
        <w:rPr>
          <w:b/>
          <w:color w:val="000000"/>
          <w:sz w:val="30"/>
          <w:szCs w:val="28"/>
          <w:highlight w:val="none"/>
        </w:rPr>
      </w:pPr>
      <w:r>
        <w:rPr>
          <w:rFonts w:hint="eastAsia" w:ascii="宋体" w:hAnsi="宋体" w:cs="宋体"/>
          <w:color w:val="000000"/>
          <w:sz w:val="24"/>
          <w:szCs w:val="24"/>
          <w:highlight w:val="none"/>
        </w:rPr>
        <w:t xml:space="preserve">参加政府采购活动前3年内在经营活动中没有重大违法记录的书面声明</w:t>
      </w:r>
      <w:r>
        <w:rPr>
          <w:b/>
          <w:color w:val="000000"/>
          <w:sz w:val="30"/>
          <w:szCs w:val="28"/>
          <w:highlight w:val="none"/>
        </w:rPr>
      </w:r>
      <w:r/>
    </w:p>
    <w:p>
      <w:pPr>
        <w:pStyle w:val="884"/>
        <w:jc w:val="center"/>
        <w:spacing w:line="360" w:lineRule="auto"/>
        <w:widowControl/>
        <w:tabs>
          <w:tab w:val="left" w:pos="720" w:leader="none"/>
        </w:tabs>
        <w:rPr>
          <w:b/>
          <w:color w:val="000000"/>
          <w:sz w:val="30"/>
          <w:szCs w:val="28"/>
          <w:highlight w:val="none"/>
        </w:rPr>
      </w:pPr>
      <w:r>
        <w:rPr>
          <w:rFonts w:hint="eastAsia" w:ascii="宋体" w:hAnsi="宋体" w:cs="宋体"/>
          <w:color w:val="000000"/>
          <w:sz w:val="24"/>
          <w:szCs w:val="24"/>
          <w:highlight w:val="none"/>
        </w:rPr>
        <w:t xml:space="preserve">（参考格式） </w:t>
      </w:r>
      <w:r>
        <w:rPr>
          <w:b/>
          <w:color w:val="000000"/>
          <w:sz w:val="30"/>
          <w:szCs w:val="28"/>
          <w:highlight w:val="none"/>
        </w:rPr>
      </w:r>
      <w:r/>
    </w:p>
    <w:p>
      <w:pPr>
        <w:pStyle w:val="884"/>
        <w:jc w:val="left"/>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884"/>
        <w:jc w:val="center"/>
        <w:spacing w:line="360" w:lineRule="auto"/>
        <w:rPr>
          <w:rFonts w:hint="eastAsia" w:ascii="Arial" w:hAnsi="Arial" w:cs="Arial"/>
          <w:color w:val="000000"/>
          <w:sz w:val="24"/>
          <w:szCs w:val="24"/>
          <w:highlight w:val="none"/>
        </w:rPr>
      </w:pPr>
      <w:r>
        <w:rPr>
          <w:rFonts w:hint="eastAsia" w:ascii="宋体" w:hAnsi="宋体" w:cs="宋体"/>
          <w:color w:val="000000"/>
          <w:sz w:val="24"/>
          <w:szCs w:val="24"/>
          <w:highlight w:val="none"/>
        </w:rPr>
        <w:t xml:space="preserve">声 明</w:t>
      </w:r>
      <w:r>
        <w:rPr>
          <w:rFonts w:hint="eastAsia" w:ascii="Arial" w:hAnsi="Arial" w:cs="Arial"/>
          <w:color w:val="000000"/>
          <w:sz w:val="24"/>
          <w:szCs w:val="24"/>
          <w:highlight w:val="none"/>
        </w:rPr>
      </w:r>
      <w:r/>
    </w:p>
    <w:p>
      <w:pPr>
        <w:pStyle w:val="884"/>
        <w:ind w:firstLine="475"/>
        <w:jc w:val="left"/>
        <w:spacing w:line="360" w:lineRule="auto"/>
        <w:rPr>
          <w:rFonts w:ascii="Arial" w:hAnsi="Arial" w:cs="Arial"/>
          <w:color w:val="000000"/>
          <w:sz w:val="24"/>
          <w:szCs w:val="24"/>
          <w:highlight w:val="none"/>
        </w:rPr>
      </w:pPr>
      <w:r>
        <w:rPr>
          <w:rFonts w:hint="eastAsia" w:ascii="宋体" w:hAnsi="宋体" w:cs="宋体"/>
          <w:color w:val="000000"/>
          <w:sz w:val="24"/>
          <w:szCs w:val="24"/>
          <w:highlight w:val="none"/>
        </w:rPr>
        <w:t xml:space="preserve">我公司郑重声明：参加本次政府采购活动前3年内，我公司在经营活动中没有因违法经营受到刑事处罚或者责令停产停业、吊销许可证或者执照、较大数额罚款等行政处罚。 </w:t>
      </w:r>
      <w:r>
        <w:rPr>
          <w:rFonts w:ascii="Arial" w:hAnsi="Arial" w:cs="Arial"/>
          <w:color w:val="000000"/>
          <w:sz w:val="24"/>
          <w:szCs w:val="24"/>
          <w:highlight w:val="none"/>
        </w:rPr>
      </w:r>
      <w:r/>
    </w:p>
    <w:p>
      <w:pPr>
        <w:pStyle w:val="884"/>
        <w:jc w:val="righ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84"/>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4"/>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4"/>
        <w:jc w:val="center"/>
        <w:spacing w:line="360" w:lineRule="auto"/>
        <w:rPr>
          <w:rFonts w:hint="eastAsia" w:ascii="Arial" w:hAnsi="Arial" w:cs="Arial"/>
          <w:color w:val="000000"/>
          <w:sz w:val="24"/>
          <w:szCs w:val="24"/>
          <w:highlight w:val="none"/>
        </w:rPr>
      </w:pPr>
      <w:r>
        <w:rPr>
          <w:rFonts w:hint="eastAsia" w:ascii="宋体" w:hAnsi="宋体" w:cs="宋体"/>
          <w:color w:val="000000"/>
          <w:sz w:val="24"/>
          <w:szCs w:val="24"/>
          <w:highlight w:val="none"/>
        </w:rPr>
        <w:t xml:space="preserve">                      投标供应商名称（公章）： </w:t>
      </w:r>
      <w:r>
        <w:rPr>
          <w:rFonts w:hint="eastAsia" w:ascii="Arial" w:hAnsi="Arial" w:cs="Arial"/>
          <w:color w:val="000000"/>
          <w:sz w:val="24"/>
          <w:szCs w:val="24"/>
          <w:highlight w:val="none"/>
        </w:rPr>
      </w:r>
      <w:r/>
    </w:p>
    <w:p>
      <w:pPr>
        <w:pStyle w:val="884"/>
        <w:jc w:val="righ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84"/>
        <w:ind w:right="600"/>
        <w:jc w:val="center"/>
        <w:spacing w:line="360" w:lineRule="auto"/>
        <w:rPr>
          <w:rFonts w:hint="eastAsia" w:ascii="Arial" w:hAnsi="Arial" w:cs="Arial"/>
          <w:color w:val="000000"/>
          <w:sz w:val="24"/>
          <w:szCs w:val="24"/>
          <w:highlight w:val="none"/>
        </w:rPr>
      </w:pPr>
      <w:r>
        <w:rPr>
          <w:rFonts w:hint="eastAsia" w:ascii="宋体" w:hAnsi="宋体" w:cs="宋体"/>
          <w:color w:val="000000"/>
          <w:sz w:val="24"/>
          <w:szCs w:val="24"/>
          <w:highlight w:val="none"/>
        </w:rPr>
        <w:t xml:space="preserve">               法定代表人（授权代表）盖章或签字：</w:t>
      </w:r>
      <w:r>
        <w:rPr>
          <w:rFonts w:hint="eastAsia" w:ascii="Arial" w:hAnsi="Arial" w:cs="Arial"/>
          <w:color w:val="000000"/>
          <w:sz w:val="24"/>
          <w:szCs w:val="24"/>
          <w:highlight w:val="none"/>
        </w:rPr>
      </w:r>
      <w:r/>
    </w:p>
    <w:p>
      <w:pPr>
        <w:pStyle w:val="884"/>
        <w:jc w:val="righ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84"/>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4"/>
        <w:ind w:firstLine="480"/>
        <w:jc w:val="right"/>
        <w:spacing w:line="360" w:lineRule="auto"/>
        <w:rPr>
          <w:rFonts w:hint="eastAsia" w:ascii="Arial" w:hAnsi="Arial" w:cs="Arial"/>
          <w:color w:val="000000"/>
          <w:sz w:val="24"/>
          <w:szCs w:val="24"/>
          <w:highlight w:val="none"/>
        </w:rPr>
      </w:pPr>
      <w:r>
        <w:rPr>
          <w:rFonts w:hint="eastAsia" w:ascii="宋体" w:hAnsi="宋体" w:cs="宋体"/>
          <w:color w:val="000000"/>
          <w:sz w:val="24"/>
          <w:szCs w:val="24"/>
          <w:highlight w:val="none"/>
        </w:rPr>
        <w:t xml:space="preserve">日    期：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t xml:space="preserve">                        </w:t>
      </w:r>
      <w:r>
        <w:rPr>
          <w:rFonts w:hint="eastAsia" w:ascii="Arial" w:hAnsi="Arial" w:cs="Arial"/>
          <w:color w:val="000000"/>
          <w:sz w:val="24"/>
          <w:szCs w:val="24"/>
          <w:highlight w:val="none"/>
        </w:rPr>
      </w:r>
      <w:r/>
    </w:p>
    <w:p>
      <w:pPr>
        <w:pStyle w:val="884"/>
        <w:jc w:val="center"/>
        <w:pageBreakBefore/>
        <w:spacing w:line="360" w:lineRule="auto"/>
        <w:widowControl/>
        <w:tabs>
          <w:tab w:val="left" w:pos="720" w:leader="none"/>
        </w:tabs>
        <w:rPr>
          <w:rFonts w:hint="eastAsia" w:ascii="宋体" w:hAnsi="宋体" w:cs="宋体"/>
          <w:b/>
          <w:bCs/>
          <w:color w:val="000000"/>
          <w:sz w:val="28"/>
          <w:szCs w:val="24"/>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sz w:val="28"/>
          <w:szCs w:val="24"/>
          <w:highlight w:val="none"/>
        </w:rPr>
      </w:r>
      <w:r/>
    </w:p>
    <w:p>
      <w:pPr>
        <w:pStyle w:val="88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附件8：</w:t>
      </w:r>
      <w:r>
        <w:rPr>
          <w:rFonts w:hint="eastAsia" w:ascii="宋体" w:hAnsi="宋体" w:cs="宋体"/>
          <w:color w:val="000000"/>
          <w:sz w:val="24"/>
          <w:szCs w:val="24"/>
          <w:highlight w:val="none"/>
        </w:rPr>
      </w:r>
      <w:r/>
    </w:p>
    <w:p>
      <w:pPr>
        <w:pStyle w:val="884"/>
        <w:jc w:val="center"/>
        <w:spacing w:line="440" w:lineRule="exact"/>
        <w:rPr>
          <w:rFonts w:ascii="宋体" w:hAnsi="宋体" w:cs="宋体"/>
          <w:color w:val="000000"/>
          <w:sz w:val="28"/>
          <w:szCs w:val="28"/>
          <w:highlight w:val="none"/>
        </w:rPr>
      </w:pPr>
      <w:r>
        <w:rPr>
          <w:rFonts w:hint="eastAsia" w:ascii="宋体" w:hAnsi="宋体" w:cs="宋体"/>
          <w:b/>
          <w:color w:val="000000"/>
          <w:sz w:val="28"/>
          <w:szCs w:val="28"/>
          <w:highlight w:val="none"/>
        </w:rPr>
        <w:t xml:space="preserve">声明函</w:t>
      </w:r>
      <w:r>
        <w:rPr>
          <w:rFonts w:ascii="宋体" w:hAnsi="宋体" w:cs="宋体"/>
          <w:color w:val="000000"/>
          <w:sz w:val="28"/>
          <w:szCs w:val="28"/>
          <w:highlight w:val="none"/>
        </w:rPr>
      </w:r>
      <w:r/>
    </w:p>
    <w:p>
      <w:pPr>
        <w:pStyle w:val="884"/>
        <w:ind w:firstLine="492"/>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4"/>
        <w:ind w:firstLine="492"/>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我单位郑重声明，参加本次招标活动不存在以下情形：与其他供应商单位负责人为同一人或者存在直接控股、管理关系；为本次采购项目提供整体设计、规范编制或者项目管理、监理、检测等服务；</w:t>
      </w:r>
      <w:r>
        <w:rPr>
          <w:rFonts w:hint="eastAsia" w:ascii="宋体" w:hAnsi="宋体" w:cs="宋体"/>
          <w:bCs/>
          <w:color w:val="000000"/>
          <w:sz w:val="24"/>
          <w:szCs w:val="24"/>
          <w:highlight w:val="none"/>
        </w:rPr>
      </w:r>
      <w:r/>
    </w:p>
    <w:p>
      <w:pPr>
        <w:pStyle w:val="884"/>
        <w:jc w:val="center"/>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84"/>
        <w:jc w:val="center"/>
        <w:spacing w:line="42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884"/>
        <w:jc w:val="center"/>
        <w:spacing w:line="42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          投标人名称：（加盖公章） </w:t>
      </w:r>
      <w:r>
        <w:rPr>
          <w:rFonts w:hint="eastAsia" w:ascii="宋体" w:hAnsi="宋体" w:cs="宋体"/>
          <w:color w:val="000000"/>
          <w:sz w:val="24"/>
          <w:szCs w:val="24"/>
          <w:highlight w:val="none"/>
        </w:rPr>
      </w:r>
      <w:r/>
    </w:p>
    <w:p>
      <w:pPr>
        <w:pStyle w:val="884"/>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r>
      <w:r/>
    </w:p>
    <w:p>
      <w:pPr>
        <w:pStyle w:val="884"/>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日期：______年</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日</w:t>
      </w:r>
      <w:r>
        <w:rPr>
          <w:rFonts w:hint="eastAsia" w:ascii="宋体" w:hAnsi="宋体" w:cs="宋体"/>
          <w:bCs/>
          <w:color w:val="000000"/>
          <w:sz w:val="24"/>
          <w:szCs w:val="24"/>
          <w:highlight w:val="none"/>
        </w:rPr>
      </w:r>
      <w:r/>
    </w:p>
    <w:p>
      <w:pPr>
        <w:pStyle w:val="884"/>
        <w:ind w:right="600"/>
        <w:jc w:val="right"/>
        <w:spacing w:line="360" w:lineRule="auto"/>
        <w:rPr>
          <w:rFonts w:hint="eastAsia" w:ascii="宋体" w:hAnsi="宋体" w:cs="宋体"/>
          <w:b/>
          <w:bCs/>
          <w:color w:val="000000"/>
          <w:sz w:val="28"/>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sz w:val="24"/>
          <w:szCs w:val="24"/>
          <w:highlight w:val="none"/>
        </w:rPr>
        <w:t xml:space="preserve">       </w:t>
      </w:r>
      <w:r>
        <w:rPr>
          <w:rFonts w:hint="eastAsia" w:ascii="宋体" w:hAnsi="宋体" w:cs="宋体"/>
          <w:b/>
          <w:bCs/>
          <w:color w:val="000000"/>
          <w:sz w:val="28"/>
          <w:szCs w:val="24"/>
          <w:highlight w:val="none"/>
        </w:rPr>
      </w:r>
      <w:r/>
    </w:p>
    <w:p>
      <w:pPr>
        <w:pStyle w:val="884"/>
        <w:rPr>
          <w:rFonts w:hint="eastAsia"/>
          <w:color w:val="000000"/>
          <w:highlight w:val="none"/>
        </w:rPr>
      </w:pPr>
      <w:r>
        <w:rPr>
          <w:rFonts w:hint="eastAsia" w:ascii="宋体" w:hAnsi="宋体" w:cs="宋体"/>
          <w:color w:val="000000"/>
          <w:sz w:val="24"/>
          <w:szCs w:val="24"/>
          <w:highlight w:val="none"/>
        </w:rPr>
        <w:t xml:space="preserve">附件9：       </w:t>
      </w:r>
      <w:r>
        <w:rPr>
          <w:rFonts w:hint="eastAsia"/>
          <w:color w:val="000000"/>
          <w:highlight w:val="none"/>
        </w:rPr>
        <w:t xml:space="preserve">                                            </w:t>
      </w:r>
      <w:r>
        <w:rPr>
          <w:rFonts w:hint="eastAsia"/>
          <w:color w:val="000000"/>
          <w:highlight w:val="none"/>
        </w:rPr>
      </w:r>
      <w:r/>
    </w:p>
    <w:p>
      <w:pPr>
        <w:pStyle w:val="884"/>
        <w:jc w:val="center"/>
        <w:rPr>
          <w:rFonts w:hint="eastAsia"/>
          <w:color w:val="000000"/>
          <w:sz w:val="24"/>
          <w:szCs w:val="24"/>
          <w:highlight w:val="none"/>
        </w:rPr>
      </w:pPr>
      <w:r>
        <w:rPr>
          <w:rFonts w:hint="eastAsia"/>
          <w:color w:val="000000"/>
          <w:sz w:val="24"/>
          <w:szCs w:val="24"/>
          <w:highlight w:val="none"/>
        </w:rPr>
        <w:t xml:space="preserve">采购需求响应表</w:t>
      </w:r>
      <w:r>
        <w:rPr>
          <w:rFonts w:hint="eastAsia"/>
          <w:color w:val="000000"/>
          <w:sz w:val="24"/>
          <w:szCs w:val="24"/>
          <w:highlight w:val="none"/>
        </w:rPr>
      </w:r>
      <w:r/>
    </w:p>
    <w:p>
      <w:pPr>
        <w:pStyle w:val="884"/>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bl>
      <w:tblPr>
        <w:tblW w:w="8680" w:type="dxa"/>
        <w:tblInd w:w="-143" w:type="dxa"/>
        <w:tblLayout w:type="fixed"/>
        <w:tblCellMar>
          <w:left w:w="108" w:type="dxa"/>
          <w:top w:w="0" w:type="dxa"/>
          <w:right w:w="108" w:type="dxa"/>
          <w:bottom w:w="0" w:type="dxa"/>
        </w:tblCellMar>
        <w:tblLook w:val="04A0" w:firstRow="1" w:lastRow="0" w:firstColumn="1" w:lastColumn="0" w:noHBand="0" w:noVBand="1"/>
      </w:tblPr>
      <w:tblGrid>
        <w:gridCol w:w="675"/>
        <w:gridCol w:w="3396"/>
        <w:gridCol w:w="4609"/>
      </w:tblGrid>
      <w:tr>
        <w:trPr>
          <w:cantSplit/>
          <w:trHeight w:val="50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4"/>
              <w:jc w:val="center"/>
              <w:spacing w:line="360" w:lineRule="auto"/>
              <w:rPr>
                <w:rFonts w:hint="eastAsia"/>
                <w:color w:val="000000"/>
                <w:szCs w:val="24"/>
                <w:highlight w:val="none"/>
              </w:rPr>
            </w:pPr>
            <w:r>
              <w:rPr>
                <w:rFonts w:hint="eastAsia" w:ascii="宋体" w:hAnsi="宋体" w:cs="宋体"/>
                <w:color w:val="000000"/>
                <w:sz w:val="24"/>
                <w:szCs w:val="24"/>
                <w:highlight w:val="none"/>
              </w:rPr>
              <w:t xml:space="preserve">序号</w:t>
            </w:r>
            <w:r>
              <w:rPr>
                <w:rFonts w:hint="eastAsia"/>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pStyle w:val="884"/>
              <w:jc w:val="center"/>
              <w:spacing w:line="360" w:lineRule="auto"/>
              <w:rPr>
                <w:color w:val="000000"/>
                <w:szCs w:val="24"/>
                <w:highlight w:val="none"/>
              </w:rPr>
            </w:pPr>
            <w:r>
              <w:rPr>
                <w:rFonts w:hint="eastAsia" w:ascii="宋体" w:hAnsi="宋体" w:cs="宋体"/>
                <w:color w:val="000000"/>
                <w:spacing w:val="15"/>
                <w:sz w:val="24"/>
                <w:szCs w:val="24"/>
                <w:highlight w:val="none"/>
              </w:rPr>
              <w:t xml:space="preserve">招标文件要求</w:t>
            </w:r>
            <w:r>
              <w:rPr>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4609" w:type="dxa"/>
            <w:vAlign w:val="center"/>
            <w:textDirection w:val="lrTb"/>
            <w:noWrap w:val="false"/>
          </w:tcPr>
          <w:p>
            <w:pPr>
              <w:pStyle w:val="884"/>
              <w:jc w:val="center"/>
              <w:spacing w:line="360" w:lineRule="auto"/>
              <w:rPr>
                <w:color w:val="000000"/>
                <w:szCs w:val="24"/>
                <w:highlight w:val="none"/>
              </w:rPr>
            </w:pPr>
            <w:r>
              <w:rPr>
                <w:rFonts w:hint="eastAsia" w:ascii="宋体" w:hAnsi="宋体" w:cs="宋体"/>
                <w:color w:val="000000"/>
                <w:sz w:val="24"/>
                <w:szCs w:val="24"/>
                <w:highlight w:val="none"/>
              </w:rPr>
              <w:t xml:space="preserve">是否完全响应（填是或者否）</w:t>
            </w:r>
            <w:r>
              <w:rPr>
                <w:color w:val="000000"/>
                <w:szCs w:val="24"/>
                <w:highlight w:val="none"/>
              </w:rPr>
            </w:r>
            <w:r/>
          </w:p>
        </w:tc>
      </w:tr>
      <w:tr>
        <w:trPr>
          <w:cantSplit/>
          <w:trHeight w:val="180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pStyle w:val="8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第四章 项目内容及基本要求</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09" w:type="dxa"/>
            <w:vAlign w:val="center"/>
            <w:textDirection w:val="lrTb"/>
            <w:noWrap w:val="false"/>
          </w:tcPr>
          <w:p>
            <w:pPr>
              <w:pStyle w:val="8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884"/>
        <w:ind w:left="15" w:hanging="1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4"/>
        <w:ind w:left="15" w:hanging="120"/>
        <w:spacing w:line="360" w:lineRule="auto"/>
        <w:rPr>
          <w:rFonts w:hint="eastAsia"/>
          <w:color w:val="000000"/>
          <w:szCs w:val="24"/>
          <w:highlight w:val="none"/>
        </w:rPr>
      </w:pPr>
      <w:r>
        <w:rPr>
          <w:rFonts w:hint="eastAsia" w:ascii="宋体" w:hAnsi="宋体" w:cs="宋体"/>
          <w:color w:val="000000"/>
          <w:sz w:val="24"/>
          <w:szCs w:val="24"/>
          <w:highlight w:val="none"/>
        </w:rPr>
        <w:t xml:space="preserve">供应商名称（公章）：                       </w:t>
      </w:r>
      <w:r>
        <w:rPr>
          <w:rFonts w:hint="eastAsia" w:ascii="宋体" w:hAnsi="宋体" w:cs="宋体"/>
          <w:color w:val="000000"/>
          <w:szCs w:val="24"/>
          <w:highlight w:val="none"/>
        </w:rPr>
        <w:t xml:space="preserve">  </w:t>
      </w:r>
      <w:r>
        <w:rPr>
          <w:rFonts w:hint="eastAsia"/>
          <w:color w:val="000000"/>
          <w:szCs w:val="24"/>
          <w:highlight w:val="none"/>
        </w:rPr>
      </w:r>
      <w:r/>
    </w:p>
    <w:p>
      <w:pPr>
        <w:pStyle w:val="884"/>
        <w:ind w:left="15" w:hanging="120"/>
        <w:spacing w:line="360" w:lineRule="auto"/>
        <w:rPr>
          <w:rFonts w:ascii="宋体" w:hAnsi="宋体" w:cs="宋体"/>
          <w:color w:val="000000"/>
          <w:szCs w:val="24"/>
          <w:highlight w:val="none"/>
        </w:rPr>
      </w:pPr>
      <w:r>
        <w:rPr>
          <w:rFonts w:ascii="宋体" w:hAnsi="宋体" w:cs="宋体"/>
          <w:color w:val="000000"/>
          <w:szCs w:val="24"/>
          <w:highlight w:val="none"/>
        </w:rPr>
      </w:r>
      <w:r/>
    </w:p>
    <w:p>
      <w:pPr>
        <w:pStyle w:val="884"/>
        <w:ind w:hanging="315"/>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4"/>
        <w:ind w:hanging="315"/>
        <w:jc w:val="right"/>
        <w:spacing w:line="360" w:lineRule="auto"/>
        <w:rPr>
          <w:color w:val="000000"/>
          <w:szCs w:val="24"/>
          <w:highlight w:val="none"/>
        </w:rPr>
      </w:pPr>
      <w:r>
        <w:rPr>
          <w:rFonts w:hint="eastAsia" w:ascii="宋体" w:hAnsi="宋体" w:cs="宋体"/>
          <w:color w:val="000000"/>
          <w:sz w:val="24"/>
          <w:szCs w:val="24"/>
          <w:highlight w:val="none"/>
        </w:rPr>
        <w:t xml:space="preserve">                                                                                                                        日期：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rPr>
          <w:color w:val="000000"/>
          <w:szCs w:val="24"/>
          <w:highlight w:val="none"/>
        </w:rPr>
      </w:r>
      <w:r/>
    </w:p>
    <w:p>
      <w:pPr>
        <w:pStyle w:val="884"/>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84"/>
        <w:spacing w:line="360" w:lineRule="auto"/>
        <w:widowControl/>
        <w:rPr>
          <w:rFonts w:ascii="宋体" w:hAnsi="宋体" w:cs="宋体"/>
          <w:bCs/>
          <w:color w:val="000000"/>
          <w:sz w:val="24"/>
          <w:szCs w:val="24"/>
          <w:highlight w:val="none"/>
        </w:rPr>
      </w:pPr>
      <w:r/>
      <w:bookmarkStart w:id="94" w:name="_格式3__银行出具的资信证明"/>
      <w:r/>
      <w:bookmarkEnd w:id="94"/>
      <w:r>
        <w:rPr>
          <w:rFonts w:hint="eastAsia" w:ascii="宋体" w:hAnsi="宋体" w:cs="宋体"/>
          <w:color w:val="000000"/>
          <w:sz w:val="24"/>
          <w:szCs w:val="24"/>
          <w:highlight w:val="none"/>
        </w:rPr>
        <w:t xml:space="preserve">注：采购需求须完全响应，否则作无效投标处理。</w:t>
      </w:r>
      <w:r>
        <w:rPr>
          <w:rFonts w:ascii="宋体" w:hAnsi="宋体" w:cs="宋体"/>
          <w:bCs/>
          <w:color w:val="000000"/>
          <w:sz w:val="24"/>
          <w:szCs w:val="24"/>
          <w:highlight w:val="none"/>
        </w:rPr>
      </w:r>
      <w:r/>
    </w:p>
    <w:p>
      <w:pPr>
        <w:pStyle w:val="884"/>
        <w:spacing w:line="360" w:lineRule="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4"/>
        <w:spacing w:line="360" w:lineRule="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4"/>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4"/>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4"/>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4"/>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4"/>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4"/>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4"/>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4"/>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4"/>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4"/>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4"/>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916"/>
        <w:ind w:left="0" w:firstLine="0"/>
        <w:jc w:val="both"/>
        <w:spacing w:line="360" w:lineRule="auto"/>
        <w:tabs>
          <w:tab w:val="left" w:pos="720" w:leader="none"/>
        </w:tabs>
        <w:rPr>
          <w:rFonts w:ascii="宋体" w:hAnsi="宋体" w:cs="宋体"/>
          <w:b w:val="0"/>
          <w:bCs/>
          <w:color w:val="000000"/>
          <w:sz w:val="24"/>
          <w:szCs w:val="24"/>
          <w:highlight w:val="none"/>
        </w:rPr>
      </w:pPr>
      <w:r/>
      <w:bookmarkStart w:id="95" w:name="_Toc20755"/>
      <w:r/>
      <w:bookmarkStart w:id="96" w:name="_Toc15683"/>
      <w:r>
        <w:rPr>
          <w:rFonts w:hint="eastAsia" w:ascii="宋体" w:hAnsi="宋体" w:cs="宋体"/>
          <w:b w:val="0"/>
          <w:bCs/>
          <w:color w:val="000000"/>
          <w:sz w:val="24"/>
          <w:szCs w:val="24"/>
          <w:highlight w:val="none"/>
        </w:rPr>
        <w:t xml:space="preserve">附件10：</w:t>
      </w:r>
      <w:r>
        <w:rPr>
          <w:rFonts w:ascii="宋体" w:hAnsi="宋体" w:cs="宋体"/>
          <w:b w:val="0"/>
          <w:bCs/>
          <w:color w:val="000000"/>
          <w:sz w:val="24"/>
          <w:szCs w:val="24"/>
          <w:highlight w:val="none"/>
        </w:rPr>
      </w:r>
      <w:r/>
    </w:p>
    <w:p>
      <w:pPr>
        <w:pStyle w:val="916"/>
        <w:ind w:left="0" w:firstLine="0"/>
        <w:jc w:val="center"/>
        <w:spacing w:line="360" w:lineRule="auto"/>
        <w:tabs>
          <w:tab w:val="left" w:pos="720"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商务条款响应</w:t>
      </w:r>
      <w:bookmarkEnd w:id="95"/>
      <w:r/>
      <w:bookmarkEnd w:id="96"/>
      <w:r>
        <w:rPr>
          <w:rFonts w:hint="eastAsia" w:ascii="宋体" w:hAnsi="宋体" w:cs="宋体"/>
          <w:b w:val="0"/>
          <w:bCs/>
          <w:color w:val="000000"/>
          <w:sz w:val="24"/>
          <w:szCs w:val="24"/>
          <w:highlight w:val="none"/>
        </w:rPr>
        <w:t xml:space="preserve">表</w:t>
      </w:r>
      <w:r>
        <w:rPr>
          <w:rFonts w:hint="eastAsia" w:ascii="宋体" w:hAnsi="宋体" w:cs="宋体"/>
          <w:b w:val="0"/>
          <w:bCs/>
          <w:color w:val="000000"/>
          <w:sz w:val="24"/>
          <w:szCs w:val="24"/>
          <w:highlight w:val="none"/>
        </w:rPr>
      </w:r>
      <w:r/>
    </w:p>
    <w:p>
      <w:pPr>
        <w:pStyle w:val="884"/>
        <w:rPr>
          <w:rFonts w:hint="eastAsia"/>
          <w:color w:val="000000"/>
          <w:highlight w:val="none"/>
        </w:rPr>
      </w:pPr>
      <w:r>
        <w:rPr>
          <w:rFonts w:hint="eastAsia"/>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2268"/>
        <w:gridCol w:w="3027"/>
        <w:gridCol w:w="1816"/>
      </w:tblGrid>
      <w:tr>
        <w:trPr>
          <w:trHeight w:val="643"/>
        </w:trPr>
        <w:tc>
          <w:tcPr>
            <w:tcW w:w="534" w:type="dxa"/>
            <w:vAlign w:val="center"/>
            <w:textDirection w:val="lrTb"/>
            <w:noWrap w:val="false"/>
          </w:tcPr>
          <w:p>
            <w:pPr>
              <w:pStyle w:val="884"/>
              <w:jc w:val="center"/>
              <w:spacing w:before="156"/>
              <w:rPr>
                <w:color w:val="000000"/>
                <w:szCs w:val="21"/>
                <w:highlight w:val="none"/>
              </w:rPr>
            </w:pPr>
            <w:r>
              <w:rPr>
                <w:color w:val="000000"/>
                <w:szCs w:val="21"/>
                <w:highlight w:val="none"/>
              </w:rPr>
              <w:t xml:space="preserve">序号</w:t>
            </w:r>
            <w:r>
              <w:rPr>
                <w:color w:val="000000"/>
                <w:szCs w:val="21"/>
                <w:highlight w:val="none"/>
              </w:rPr>
            </w:r>
            <w:r/>
          </w:p>
        </w:tc>
        <w:tc>
          <w:tcPr>
            <w:tcW w:w="2268" w:type="dxa"/>
            <w:vAlign w:val="center"/>
            <w:textDirection w:val="lrTb"/>
            <w:noWrap w:val="false"/>
          </w:tcPr>
          <w:p>
            <w:pPr>
              <w:pStyle w:val="884"/>
              <w:jc w:val="center"/>
              <w:spacing w:before="156"/>
              <w:rPr>
                <w:color w:val="000000"/>
                <w:szCs w:val="21"/>
                <w:highlight w:val="none"/>
              </w:rPr>
            </w:pPr>
            <w:r>
              <w:rPr>
                <w:color w:val="000000"/>
                <w:szCs w:val="21"/>
                <w:highlight w:val="none"/>
              </w:rPr>
              <w:t xml:space="preserve">项目</w:t>
            </w:r>
            <w:r>
              <w:rPr>
                <w:color w:val="000000"/>
                <w:szCs w:val="21"/>
                <w:highlight w:val="none"/>
              </w:rPr>
            </w:r>
            <w:r/>
          </w:p>
        </w:tc>
        <w:tc>
          <w:tcPr>
            <w:tcW w:w="3027" w:type="dxa"/>
            <w:vAlign w:val="center"/>
            <w:textDirection w:val="lrTb"/>
            <w:noWrap w:val="false"/>
          </w:tcPr>
          <w:p>
            <w:pPr>
              <w:pStyle w:val="884"/>
              <w:jc w:val="center"/>
              <w:spacing w:before="156"/>
              <w:rPr>
                <w:color w:val="000000"/>
                <w:szCs w:val="21"/>
                <w:highlight w:val="none"/>
              </w:rPr>
            </w:pPr>
            <w:r>
              <w:rPr>
                <w:color w:val="000000"/>
                <w:szCs w:val="21"/>
                <w:highlight w:val="none"/>
              </w:rPr>
              <w:t xml:space="preserve">招标要求</w:t>
            </w:r>
            <w:r>
              <w:rPr>
                <w:color w:val="000000"/>
                <w:szCs w:val="21"/>
                <w:highlight w:val="none"/>
              </w:rPr>
            </w:r>
            <w:r/>
          </w:p>
        </w:tc>
        <w:tc>
          <w:tcPr>
            <w:tcW w:w="1816" w:type="dxa"/>
            <w:vAlign w:val="center"/>
            <w:textDirection w:val="lrTb"/>
            <w:noWrap w:val="false"/>
          </w:tcPr>
          <w:p>
            <w:pPr>
              <w:pStyle w:val="884"/>
              <w:jc w:val="center"/>
              <w:spacing w:before="156"/>
              <w:rPr>
                <w:color w:val="000000"/>
                <w:szCs w:val="21"/>
                <w:highlight w:val="none"/>
              </w:rPr>
            </w:pPr>
            <w:r>
              <w:rPr>
                <w:rFonts w:hint="eastAsia" w:ascii="宋体" w:hAnsi="宋体" w:cs="宋体"/>
                <w:color w:val="000000"/>
                <w:sz w:val="24"/>
                <w:szCs w:val="24"/>
                <w:highlight w:val="none"/>
              </w:rPr>
              <w:t xml:space="preserve">是否完全响应（填是或者否）</w:t>
            </w:r>
            <w:r>
              <w:rPr>
                <w:color w:val="000000"/>
                <w:szCs w:val="21"/>
                <w:highlight w:val="none"/>
              </w:rPr>
            </w:r>
            <w:r/>
          </w:p>
        </w:tc>
      </w:tr>
      <w:tr>
        <w:trPr>
          <w:trHeight w:val="447"/>
        </w:trPr>
        <w:tc>
          <w:tcPr>
            <w:tcW w:w="534" w:type="dxa"/>
            <w:vAlign w:val="center"/>
            <w:textDirection w:val="lrTb"/>
            <w:noWrap w:val="false"/>
          </w:tcPr>
          <w:p>
            <w:pPr>
              <w:pStyle w:val="884"/>
              <w:jc w:val="center"/>
              <w:spacing w:before="156" w:line="360" w:lineRule="auto"/>
              <w:rPr>
                <w:rFonts w:hint="eastAsia"/>
                <w:color w:val="000000"/>
                <w:szCs w:val="21"/>
                <w:highlight w:val="none"/>
              </w:rPr>
            </w:pPr>
            <w:r>
              <w:rPr>
                <w:rFonts w:hint="eastAsia"/>
                <w:color w:val="000000"/>
                <w:szCs w:val="21"/>
                <w:highlight w:val="none"/>
              </w:rPr>
              <w:t xml:space="preserve">1</w:t>
            </w:r>
            <w:r>
              <w:rPr>
                <w:rFonts w:hint="eastAsia"/>
                <w:color w:val="000000"/>
                <w:szCs w:val="21"/>
                <w:highlight w:val="none"/>
              </w:rPr>
            </w:r>
            <w:r/>
          </w:p>
        </w:tc>
        <w:tc>
          <w:tcPr>
            <w:tcW w:w="2268" w:type="dxa"/>
            <w:vAlign w:val="center"/>
            <w:textDirection w:val="lrTb"/>
            <w:noWrap w:val="false"/>
          </w:tcPr>
          <w:p>
            <w:pPr>
              <w:pStyle w:val="884"/>
              <w:jc w:val="center"/>
              <w:spacing w:before="156" w:line="360" w:lineRule="auto"/>
              <w:rPr>
                <w:rFonts w:hint="eastAsia"/>
                <w:color w:val="000000"/>
                <w:szCs w:val="21"/>
                <w:highlight w:val="none"/>
              </w:rPr>
            </w:pPr>
            <w:r>
              <w:rPr>
                <w:rFonts w:hint="eastAsia"/>
                <w:color w:val="000000"/>
                <w:szCs w:val="21"/>
                <w:highlight w:val="none"/>
              </w:rPr>
              <w:t xml:space="preserve">合同履行期限</w:t>
            </w:r>
            <w:r>
              <w:rPr>
                <w:rFonts w:hint="eastAsia"/>
                <w:color w:val="000000"/>
                <w:szCs w:val="21"/>
                <w:highlight w:val="none"/>
              </w:rPr>
            </w:r>
            <w:r/>
          </w:p>
        </w:tc>
        <w:tc>
          <w:tcPr>
            <w:tcW w:w="3027" w:type="dxa"/>
            <w:vAlign w:val="center"/>
            <w:textDirection w:val="lrTb"/>
            <w:noWrap w:val="false"/>
          </w:tcPr>
          <w:p>
            <w:pPr>
              <w:pStyle w:val="884"/>
              <w:jc w:val="center"/>
              <w:spacing w:before="156" w:line="360" w:lineRule="auto"/>
              <w:rPr>
                <w:color w:val="000000"/>
                <w:szCs w:val="21"/>
                <w:highlight w:val="none"/>
              </w:rPr>
            </w:pPr>
            <w:r>
              <w:rPr>
                <w:rFonts w:hint="eastAsia"/>
                <w:color w:val="000000"/>
                <w:szCs w:val="21"/>
                <w:highlight w:val="none"/>
              </w:rPr>
              <w:t xml:space="preserve">三年</w:t>
            </w:r>
            <w:r>
              <w:rPr>
                <w:color w:val="000000"/>
                <w:szCs w:val="21"/>
                <w:highlight w:val="none"/>
              </w:rPr>
            </w:r>
            <w:r/>
          </w:p>
        </w:tc>
        <w:tc>
          <w:tcPr>
            <w:tcW w:w="1816" w:type="dxa"/>
            <w:vAlign w:val="center"/>
            <w:textDirection w:val="lrTb"/>
            <w:noWrap w:val="false"/>
          </w:tcPr>
          <w:p>
            <w:pPr>
              <w:pStyle w:val="884"/>
              <w:jc w:val="center"/>
              <w:spacing w:before="156" w:line="360" w:lineRule="auto"/>
              <w:rPr>
                <w:rFonts w:hint="eastAsia"/>
                <w:color w:val="000000"/>
                <w:szCs w:val="21"/>
                <w:highlight w:val="none"/>
              </w:rPr>
            </w:pPr>
            <w:r>
              <w:rPr>
                <w:rFonts w:hint="eastAsia"/>
                <w:color w:val="000000"/>
                <w:szCs w:val="21"/>
                <w:highlight w:val="none"/>
              </w:rPr>
            </w:r>
            <w:r/>
          </w:p>
        </w:tc>
      </w:tr>
      <w:tr>
        <w:trPr>
          <w:trHeight w:val="541"/>
        </w:trPr>
        <w:tc>
          <w:tcPr>
            <w:tcW w:w="534" w:type="dxa"/>
            <w:vAlign w:val="center"/>
            <w:textDirection w:val="lrTb"/>
            <w:noWrap w:val="false"/>
          </w:tcPr>
          <w:p>
            <w:pPr>
              <w:pStyle w:val="884"/>
              <w:jc w:val="center"/>
              <w:spacing w:before="156" w:line="360" w:lineRule="auto"/>
              <w:rPr>
                <w:color w:val="000000"/>
                <w:szCs w:val="21"/>
                <w:highlight w:val="none"/>
              </w:rPr>
            </w:pPr>
            <w:r>
              <w:rPr>
                <w:rFonts w:hint="eastAsia"/>
                <w:color w:val="000000"/>
                <w:szCs w:val="21"/>
                <w:highlight w:val="none"/>
              </w:rPr>
              <w:t xml:space="preserve">2</w:t>
            </w:r>
            <w:r>
              <w:rPr>
                <w:color w:val="000000"/>
                <w:szCs w:val="21"/>
                <w:highlight w:val="none"/>
              </w:rPr>
            </w:r>
            <w:r/>
          </w:p>
        </w:tc>
        <w:tc>
          <w:tcPr>
            <w:tcW w:w="2268" w:type="dxa"/>
            <w:vAlign w:val="center"/>
            <w:textDirection w:val="lrTb"/>
            <w:noWrap w:val="false"/>
          </w:tcPr>
          <w:p>
            <w:pPr>
              <w:pStyle w:val="884"/>
              <w:jc w:val="center"/>
              <w:spacing w:before="156" w:line="360" w:lineRule="auto"/>
              <w:rPr>
                <w:rFonts w:hint="eastAsia"/>
                <w:color w:val="000000"/>
                <w:szCs w:val="21"/>
                <w:highlight w:val="none"/>
              </w:rPr>
            </w:pPr>
            <w:r>
              <w:rPr>
                <w:rFonts w:hint="eastAsia"/>
                <w:color w:val="000000"/>
                <w:szCs w:val="21"/>
                <w:highlight w:val="none"/>
              </w:rPr>
              <w:t xml:space="preserve">付款方式</w:t>
            </w:r>
            <w:r>
              <w:rPr>
                <w:rFonts w:hint="eastAsia"/>
                <w:color w:val="000000"/>
                <w:szCs w:val="21"/>
                <w:highlight w:val="none"/>
              </w:rPr>
            </w:r>
            <w:r/>
          </w:p>
        </w:tc>
        <w:tc>
          <w:tcPr>
            <w:tcW w:w="3027" w:type="dxa"/>
            <w:vAlign w:val="center"/>
            <w:textDirection w:val="lrTb"/>
            <w:noWrap w:val="false"/>
          </w:tcPr>
          <w:p>
            <w:pPr>
              <w:pStyle w:val="884"/>
              <w:jc w:val="center"/>
              <w:spacing w:before="156" w:line="360" w:lineRule="auto"/>
              <w:rPr>
                <w:rFonts w:hint="eastAsia"/>
                <w:color w:val="000000"/>
                <w:szCs w:val="21"/>
                <w:highlight w:val="none"/>
              </w:rPr>
            </w:pPr>
            <w:r>
              <w:rPr>
                <w:rFonts w:hint="eastAsia" w:ascii="宋体" w:hAnsi="宋体"/>
                <w:color w:val="000000"/>
                <w:sz w:val="24"/>
                <w:szCs w:val="24"/>
                <w:highlight w:val="none"/>
              </w:rPr>
              <w:t xml:space="preserve">根据每月综合考核结果，中标人于次月20日前向招标人提供正式发票，经招标人审核后支付费用。</w:t>
            </w:r>
            <w:r>
              <w:rPr>
                <w:rFonts w:hint="eastAsia"/>
                <w:color w:val="000000"/>
                <w:szCs w:val="21"/>
                <w:highlight w:val="none"/>
              </w:rPr>
            </w:r>
            <w:r/>
          </w:p>
        </w:tc>
        <w:tc>
          <w:tcPr>
            <w:tcW w:w="1816" w:type="dxa"/>
            <w:vAlign w:val="center"/>
            <w:textDirection w:val="lrTb"/>
            <w:noWrap w:val="false"/>
          </w:tcPr>
          <w:p>
            <w:pPr>
              <w:pStyle w:val="884"/>
              <w:spacing w:before="156"/>
              <w:rPr>
                <w:color w:val="000000"/>
                <w:szCs w:val="21"/>
                <w:highlight w:val="none"/>
              </w:rPr>
            </w:pPr>
            <w:r>
              <w:rPr>
                <w:color w:val="000000"/>
                <w:szCs w:val="21"/>
                <w:highlight w:val="none"/>
              </w:rPr>
            </w:r>
            <w:r/>
          </w:p>
        </w:tc>
      </w:tr>
      <w:tr>
        <w:trPr>
          <w:trHeight w:val="441"/>
        </w:trPr>
        <w:tc>
          <w:tcPr>
            <w:tcW w:w="534" w:type="dxa"/>
            <w:vAlign w:val="center"/>
            <w:textDirection w:val="lrTb"/>
            <w:noWrap w:val="false"/>
          </w:tcPr>
          <w:p>
            <w:pPr>
              <w:pStyle w:val="884"/>
              <w:jc w:val="center"/>
              <w:spacing w:before="156" w:line="360" w:lineRule="auto"/>
              <w:rPr>
                <w:rFonts w:hint="eastAsia"/>
                <w:color w:val="000000"/>
                <w:szCs w:val="21"/>
                <w:highlight w:val="none"/>
              </w:rPr>
            </w:pPr>
            <w:r>
              <w:rPr>
                <w:rFonts w:hint="eastAsia"/>
                <w:color w:val="000000"/>
                <w:szCs w:val="21"/>
                <w:highlight w:val="none"/>
              </w:rPr>
              <w:t xml:space="preserve">3</w:t>
            </w:r>
            <w:r>
              <w:rPr>
                <w:rFonts w:hint="eastAsia"/>
                <w:color w:val="000000"/>
                <w:szCs w:val="21"/>
                <w:highlight w:val="none"/>
              </w:rPr>
            </w:r>
            <w:r/>
          </w:p>
        </w:tc>
        <w:tc>
          <w:tcPr>
            <w:tcW w:w="2268" w:type="dxa"/>
            <w:vAlign w:val="center"/>
            <w:textDirection w:val="lrTb"/>
            <w:noWrap w:val="false"/>
          </w:tcPr>
          <w:p>
            <w:pPr>
              <w:pStyle w:val="884"/>
              <w:jc w:val="center"/>
              <w:spacing w:before="156" w:line="360" w:lineRule="auto"/>
              <w:rPr>
                <w:rFonts w:hint="eastAsia"/>
                <w:color w:val="000000"/>
                <w:szCs w:val="21"/>
                <w:highlight w:val="none"/>
              </w:rPr>
            </w:pPr>
            <w:r>
              <w:rPr>
                <w:rFonts w:hint="eastAsia"/>
                <w:color w:val="000000"/>
                <w:szCs w:val="21"/>
                <w:highlight w:val="none"/>
              </w:rPr>
              <w:t xml:space="preserve">投标货币</w:t>
            </w:r>
            <w:r>
              <w:rPr>
                <w:rFonts w:hint="eastAsia"/>
                <w:color w:val="000000"/>
                <w:szCs w:val="21"/>
                <w:highlight w:val="none"/>
              </w:rPr>
            </w:r>
            <w:r/>
          </w:p>
        </w:tc>
        <w:tc>
          <w:tcPr>
            <w:tcW w:w="3027" w:type="dxa"/>
            <w:vAlign w:val="center"/>
            <w:textDirection w:val="lrTb"/>
            <w:noWrap w:val="false"/>
          </w:tcPr>
          <w:p>
            <w:pPr>
              <w:pStyle w:val="884"/>
              <w:jc w:val="center"/>
              <w:spacing w:before="156" w:line="360" w:lineRule="auto"/>
              <w:rPr>
                <w:rFonts w:hint="eastAsia"/>
                <w:color w:val="000000"/>
                <w:szCs w:val="21"/>
                <w:highlight w:val="none"/>
              </w:rPr>
            </w:pPr>
            <w:r>
              <w:rPr>
                <w:rFonts w:hint="eastAsia"/>
                <w:color w:val="000000"/>
                <w:szCs w:val="21"/>
                <w:highlight w:val="none"/>
              </w:rPr>
              <w:t xml:space="preserve">人民币</w:t>
            </w:r>
            <w:r>
              <w:rPr>
                <w:rFonts w:hint="eastAsia"/>
                <w:color w:val="000000"/>
                <w:szCs w:val="21"/>
                <w:highlight w:val="none"/>
              </w:rPr>
            </w:r>
            <w:r/>
          </w:p>
        </w:tc>
        <w:tc>
          <w:tcPr>
            <w:tcW w:w="1816" w:type="dxa"/>
            <w:vAlign w:val="center"/>
            <w:textDirection w:val="lrTb"/>
            <w:noWrap w:val="false"/>
          </w:tcPr>
          <w:p>
            <w:pPr>
              <w:pStyle w:val="884"/>
              <w:spacing w:before="156"/>
              <w:rPr>
                <w:color w:val="000000"/>
                <w:szCs w:val="21"/>
                <w:highlight w:val="none"/>
              </w:rPr>
            </w:pPr>
            <w:r>
              <w:rPr>
                <w:color w:val="000000"/>
                <w:szCs w:val="21"/>
                <w:highlight w:val="none"/>
              </w:rPr>
            </w:r>
            <w:r/>
          </w:p>
        </w:tc>
      </w:tr>
      <w:tr>
        <w:trPr>
          <w:trHeight w:val="461"/>
        </w:trPr>
        <w:tc>
          <w:tcPr>
            <w:tcW w:w="534" w:type="dxa"/>
            <w:vAlign w:val="center"/>
            <w:textDirection w:val="lrTb"/>
            <w:noWrap w:val="false"/>
          </w:tcPr>
          <w:p>
            <w:pPr>
              <w:pStyle w:val="884"/>
              <w:jc w:val="center"/>
              <w:spacing w:before="156"/>
              <w:rPr>
                <w:color w:val="000000"/>
                <w:szCs w:val="21"/>
                <w:highlight w:val="none"/>
              </w:rPr>
            </w:pPr>
            <w:r>
              <w:rPr>
                <w:color w:val="000000"/>
                <w:szCs w:val="21"/>
                <w:highlight w:val="none"/>
              </w:rPr>
            </w:r>
            <w:r/>
          </w:p>
        </w:tc>
        <w:tc>
          <w:tcPr>
            <w:tcW w:w="2268" w:type="dxa"/>
            <w:vAlign w:val="center"/>
            <w:textDirection w:val="lrTb"/>
            <w:noWrap w:val="false"/>
          </w:tcPr>
          <w:p>
            <w:pPr>
              <w:pStyle w:val="884"/>
              <w:spacing w:before="156"/>
              <w:rPr>
                <w:color w:val="000000"/>
                <w:szCs w:val="21"/>
                <w:highlight w:val="none"/>
              </w:rPr>
            </w:pPr>
            <w:r>
              <w:rPr>
                <w:color w:val="000000"/>
                <w:szCs w:val="21"/>
                <w:highlight w:val="none"/>
              </w:rPr>
            </w:r>
            <w:r/>
          </w:p>
        </w:tc>
        <w:tc>
          <w:tcPr>
            <w:tcW w:w="3027" w:type="dxa"/>
            <w:vAlign w:val="center"/>
            <w:textDirection w:val="lrTb"/>
            <w:noWrap w:val="false"/>
          </w:tcPr>
          <w:p>
            <w:pPr>
              <w:pStyle w:val="884"/>
              <w:spacing w:before="156"/>
              <w:rPr>
                <w:color w:val="000000"/>
                <w:szCs w:val="21"/>
                <w:highlight w:val="none"/>
              </w:rPr>
            </w:pPr>
            <w:r>
              <w:rPr>
                <w:color w:val="000000"/>
                <w:szCs w:val="21"/>
                <w:highlight w:val="none"/>
              </w:rPr>
            </w:r>
            <w:r/>
          </w:p>
        </w:tc>
        <w:tc>
          <w:tcPr>
            <w:tcW w:w="1816" w:type="dxa"/>
            <w:vAlign w:val="center"/>
            <w:textDirection w:val="lrTb"/>
            <w:noWrap w:val="false"/>
          </w:tcPr>
          <w:p>
            <w:pPr>
              <w:pStyle w:val="884"/>
              <w:spacing w:before="156"/>
              <w:rPr>
                <w:color w:val="000000"/>
                <w:szCs w:val="21"/>
                <w:highlight w:val="none"/>
              </w:rPr>
            </w:pPr>
            <w:r>
              <w:rPr>
                <w:color w:val="000000"/>
                <w:szCs w:val="21"/>
                <w:highlight w:val="none"/>
              </w:rPr>
            </w:r>
            <w:r/>
          </w:p>
        </w:tc>
      </w:tr>
      <w:tr>
        <w:trPr>
          <w:trHeight w:val="576"/>
        </w:trPr>
        <w:tc>
          <w:tcPr>
            <w:tcW w:w="534" w:type="dxa"/>
            <w:vAlign w:val="center"/>
            <w:textDirection w:val="lrTb"/>
            <w:noWrap w:val="false"/>
          </w:tcPr>
          <w:p>
            <w:pPr>
              <w:pStyle w:val="884"/>
              <w:jc w:val="center"/>
              <w:spacing w:before="156"/>
              <w:rPr>
                <w:color w:val="000000"/>
                <w:szCs w:val="21"/>
                <w:highlight w:val="none"/>
              </w:rPr>
            </w:pPr>
            <w:r>
              <w:rPr>
                <w:color w:val="000000"/>
                <w:szCs w:val="21"/>
                <w:highlight w:val="none"/>
              </w:rPr>
            </w:r>
            <w:r/>
          </w:p>
        </w:tc>
        <w:tc>
          <w:tcPr>
            <w:tcW w:w="2268" w:type="dxa"/>
            <w:vAlign w:val="center"/>
            <w:textDirection w:val="lrTb"/>
            <w:noWrap w:val="false"/>
          </w:tcPr>
          <w:p>
            <w:pPr>
              <w:pStyle w:val="884"/>
              <w:spacing w:before="156"/>
              <w:rPr>
                <w:color w:val="000000"/>
                <w:szCs w:val="21"/>
                <w:highlight w:val="none"/>
              </w:rPr>
            </w:pPr>
            <w:r>
              <w:rPr>
                <w:color w:val="000000"/>
                <w:szCs w:val="21"/>
                <w:highlight w:val="none"/>
              </w:rPr>
            </w:r>
            <w:r/>
          </w:p>
        </w:tc>
        <w:tc>
          <w:tcPr>
            <w:tcW w:w="3027" w:type="dxa"/>
            <w:vAlign w:val="center"/>
            <w:textDirection w:val="lrTb"/>
            <w:noWrap w:val="false"/>
          </w:tcPr>
          <w:p>
            <w:pPr>
              <w:pStyle w:val="884"/>
              <w:spacing w:before="156"/>
              <w:rPr>
                <w:color w:val="000000"/>
                <w:szCs w:val="21"/>
                <w:highlight w:val="none"/>
              </w:rPr>
            </w:pPr>
            <w:r>
              <w:rPr>
                <w:color w:val="000000"/>
                <w:szCs w:val="21"/>
                <w:highlight w:val="none"/>
              </w:rPr>
            </w:r>
            <w:r/>
          </w:p>
        </w:tc>
        <w:tc>
          <w:tcPr>
            <w:tcW w:w="1816" w:type="dxa"/>
            <w:vAlign w:val="center"/>
            <w:textDirection w:val="lrTb"/>
            <w:noWrap w:val="false"/>
          </w:tcPr>
          <w:p>
            <w:pPr>
              <w:pStyle w:val="884"/>
              <w:spacing w:before="156"/>
              <w:rPr>
                <w:color w:val="000000"/>
                <w:szCs w:val="21"/>
                <w:highlight w:val="none"/>
              </w:rPr>
            </w:pPr>
            <w:r>
              <w:rPr>
                <w:color w:val="000000"/>
                <w:szCs w:val="21"/>
                <w:highlight w:val="none"/>
              </w:rPr>
            </w:r>
            <w:r/>
          </w:p>
        </w:tc>
      </w:tr>
      <w:tr>
        <w:trPr>
          <w:trHeight w:val="401"/>
        </w:trPr>
        <w:tc>
          <w:tcPr>
            <w:tcW w:w="534" w:type="dxa"/>
            <w:vAlign w:val="center"/>
            <w:textDirection w:val="lrTb"/>
            <w:noWrap w:val="false"/>
          </w:tcPr>
          <w:p>
            <w:pPr>
              <w:pStyle w:val="884"/>
              <w:jc w:val="center"/>
              <w:spacing w:before="156"/>
              <w:rPr>
                <w:color w:val="000000"/>
                <w:szCs w:val="21"/>
                <w:highlight w:val="none"/>
              </w:rPr>
            </w:pPr>
            <w:r>
              <w:rPr>
                <w:color w:val="000000"/>
                <w:szCs w:val="21"/>
                <w:highlight w:val="none"/>
              </w:rPr>
            </w:r>
            <w:r/>
          </w:p>
        </w:tc>
        <w:tc>
          <w:tcPr>
            <w:tcW w:w="2268" w:type="dxa"/>
            <w:vAlign w:val="center"/>
            <w:textDirection w:val="lrTb"/>
            <w:noWrap w:val="false"/>
          </w:tcPr>
          <w:p>
            <w:pPr>
              <w:pStyle w:val="884"/>
              <w:spacing w:before="156"/>
              <w:rPr>
                <w:color w:val="000000"/>
                <w:szCs w:val="21"/>
                <w:highlight w:val="none"/>
              </w:rPr>
            </w:pPr>
            <w:r>
              <w:rPr>
                <w:color w:val="000000"/>
                <w:szCs w:val="21"/>
                <w:highlight w:val="none"/>
              </w:rPr>
            </w:r>
            <w:r/>
          </w:p>
        </w:tc>
        <w:tc>
          <w:tcPr>
            <w:tcW w:w="3027" w:type="dxa"/>
            <w:vAlign w:val="center"/>
            <w:textDirection w:val="lrTb"/>
            <w:noWrap w:val="false"/>
          </w:tcPr>
          <w:p>
            <w:pPr>
              <w:pStyle w:val="884"/>
              <w:spacing w:before="156"/>
              <w:rPr>
                <w:color w:val="000000"/>
                <w:szCs w:val="21"/>
                <w:highlight w:val="none"/>
              </w:rPr>
            </w:pPr>
            <w:r>
              <w:rPr>
                <w:color w:val="000000"/>
                <w:szCs w:val="21"/>
                <w:highlight w:val="none"/>
              </w:rPr>
            </w:r>
            <w:r/>
          </w:p>
        </w:tc>
        <w:tc>
          <w:tcPr>
            <w:tcW w:w="1816" w:type="dxa"/>
            <w:vAlign w:val="center"/>
            <w:textDirection w:val="lrTb"/>
            <w:noWrap w:val="false"/>
          </w:tcPr>
          <w:p>
            <w:pPr>
              <w:pStyle w:val="884"/>
              <w:spacing w:before="156"/>
              <w:rPr>
                <w:color w:val="000000"/>
                <w:szCs w:val="21"/>
                <w:highlight w:val="none"/>
              </w:rPr>
            </w:pPr>
            <w:r>
              <w:rPr>
                <w:color w:val="000000"/>
                <w:szCs w:val="21"/>
                <w:highlight w:val="none"/>
              </w:rPr>
            </w:r>
            <w:r/>
          </w:p>
        </w:tc>
      </w:tr>
      <w:tr>
        <w:trPr>
          <w:trHeight w:val="461"/>
        </w:trPr>
        <w:tc>
          <w:tcPr>
            <w:tcW w:w="534" w:type="dxa"/>
            <w:vAlign w:val="center"/>
            <w:textDirection w:val="lrTb"/>
            <w:noWrap w:val="false"/>
          </w:tcPr>
          <w:p>
            <w:pPr>
              <w:pStyle w:val="884"/>
              <w:jc w:val="center"/>
              <w:spacing w:before="156"/>
              <w:rPr>
                <w:color w:val="000000"/>
                <w:szCs w:val="21"/>
                <w:highlight w:val="none"/>
              </w:rPr>
            </w:pPr>
            <w:r>
              <w:rPr>
                <w:color w:val="000000"/>
                <w:szCs w:val="21"/>
                <w:highlight w:val="none"/>
              </w:rPr>
            </w:r>
            <w:r/>
          </w:p>
        </w:tc>
        <w:tc>
          <w:tcPr>
            <w:tcW w:w="2268" w:type="dxa"/>
            <w:vAlign w:val="center"/>
            <w:textDirection w:val="lrTb"/>
            <w:noWrap w:val="false"/>
          </w:tcPr>
          <w:p>
            <w:pPr>
              <w:pStyle w:val="884"/>
              <w:spacing w:before="156"/>
              <w:rPr>
                <w:color w:val="000000"/>
                <w:szCs w:val="21"/>
                <w:highlight w:val="none"/>
              </w:rPr>
            </w:pPr>
            <w:r>
              <w:rPr>
                <w:color w:val="000000"/>
                <w:szCs w:val="21"/>
                <w:highlight w:val="none"/>
              </w:rPr>
            </w:r>
            <w:r/>
          </w:p>
        </w:tc>
        <w:tc>
          <w:tcPr>
            <w:tcW w:w="3027" w:type="dxa"/>
            <w:vAlign w:val="center"/>
            <w:textDirection w:val="lrTb"/>
            <w:noWrap w:val="false"/>
          </w:tcPr>
          <w:p>
            <w:pPr>
              <w:pStyle w:val="884"/>
              <w:spacing w:before="156"/>
              <w:rPr>
                <w:color w:val="000000"/>
                <w:szCs w:val="21"/>
                <w:highlight w:val="none"/>
              </w:rPr>
            </w:pPr>
            <w:r>
              <w:rPr>
                <w:color w:val="000000"/>
                <w:szCs w:val="21"/>
                <w:highlight w:val="none"/>
              </w:rPr>
            </w:r>
            <w:r/>
          </w:p>
        </w:tc>
        <w:tc>
          <w:tcPr>
            <w:tcW w:w="1816" w:type="dxa"/>
            <w:vAlign w:val="center"/>
            <w:textDirection w:val="lrTb"/>
            <w:noWrap w:val="false"/>
          </w:tcPr>
          <w:p>
            <w:pPr>
              <w:pStyle w:val="884"/>
              <w:spacing w:before="156"/>
              <w:rPr>
                <w:color w:val="000000"/>
                <w:szCs w:val="21"/>
                <w:highlight w:val="none"/>
              </w:rPr>
            </w:pPr>
            <w:r>
              <w:rPr>
                <w:color w:val="000000"/>
                <w:szCs w:val="21"/>
                <w:highlight w:val="none"/>
              </w:rPr>
            </w:r>
            <w:r/>
          </w:p>
        </w:tc>
      </w:tr>
      <w:tr>
        <w:trPr>
          <w:trHeight w:val="461"/>
        </w:trPr>
        <w:tc>
          <w:tcPr>
            <w:tcW w:w="534" w:type="dxa"/>
            <w:vAlign w:val="center"/>
            <w:textDirection w:val="lrTb"/>
            <w:noWrap w:val="false"/>
          </w:tcPr>
          <w:p>
            <w:pPr>
              <w:pStyle w:val="884"/>
              <w:jc w:val="center"/>
              <w:spacing w:before="156"/>
              <w:rPr>
                <w:color w:val="000000"/>
                <w:szCs w:val="21"/>
                <w:highlight w:val="none"/>
              </w:rPr>
            </w:pPr>
            <w:r>
              <w:rPr>
                <w:color w:val="000000"/>
                <w:szCs w:val="21"/>
                <w:highlight w:val="none"/>
              </w:rPr>
            </w:r>
            <w:r/>
          </w:p>
        </w:tc>
        <w:tc>
          <w:tcPr>
            <w:tcW w:w="2268" w:type="dxa"/>
            <w:vAlign w:val="center"/>
            <w:textDirection w:val="lrTb"/>
            <w:noWrap w:val="false"/>
          </w:tcPr>
          <w:p>
            <w:pPr>
              <w:pStyle w:val="884"/>
              <w:spacing w:before="156"/>
              <w:rPr>
                <w:color w:val="000000"/>
                <w:szCs w:val="21"/>
                <w:highlight w:val="none"/>
              </w:rPr>
            </w:pPr>
            <w:r>
              <w:rPr>
                <w:color w:val="000000"/>
                <w:szCs w:val="21"/>
                <w:highlight w:val="none"/>
              </w:rPr>
            </w:r>
            <w:r/>
          </w:p>
        </w:tc>
        <w:tc>
          <w:tcPr>
            <w:tcW w:w="3027" w:type="dxa"/>
            <w:vAlign w:val="center"/>
            <w:textDirection w:val="lrTb"/>
            <w:noWrap w:val="false"/>
          </w:tcPr>
          <w:p>
            <w:pPr>
              <w:pStyle w:val="884"/>
              <w:spacing w:before="156"/>
              <w:rPr>
                <w:color w:val="000000"/>
                <w:szCs w:val="21"/>
                <w:highlight w:val="none"/>
              </w:rPr>
            </w:pPr>
            <w:r>
              <w:rPr>
                <w:color w:val="000000"/>
                <w:szCs w:val="21"/>
                <w:highlight w:val="none"/>
              </w:rPr>
            </w:r>
            <w:r/>
          </w:p>
        </w:tc>
        <w:tc>
          <w:tcPr>
            <w:tcW w:w="1816" w:type="dxa"/>
            <w:vAlign w:val="center"/>
            <w:textDirection w:val="lrTb"/>
            <w:noWrap w:val="false"/>
          </w:tcPr>
          <w:p>
            <w:pPr>
              <w:pStyle w:val="884"/>
              <w:spacing w:before="156"/>
              <w:rPr>
                <w:color w:val="000000"/>
                <w:szCs w:val="21"/>
                <w:highlight w:val="none"/>
              </w:rPr>
            </w:pPr>
            <w:r>
              <w:rPr>
                <w:color w:val="000000"/>
                <w:szCs w:val="21"/>
                <w:highlight w:val="none"/>
              </w:rPr>
            </w:r>
            <w:r/>
          </w:p>
        </w:tc>
      </w:tr>
    </w:tbl>
    <w:p>
      <w:pPr>
        <w:pStyle w:val="894"/>
        <w:ind w:firstLine="480"/>
        <w:spacing w:line="360" w:lineRule="auto"/>
        <w:rPr>
          <w:rFonts w:hint="eastAsia"/>
          <w:color w:val="000000"/>
          <w:szCs w:val="21"/>
          <w:highlight w:val="none"/>
        </w:rPr>
      </w:pPr>
      <w:r>
        <w:rPr>
          <w:rFonts w:hint="eastAsia"/>
          <w:color w:val="000000"/>
          <w:szCs w:val="21"/>
          <w:highlight w:val="none"/>
        </w:rPr>
        <w:t xml:space="preserve">投标人名称（公章）：                      </w:t>
      </w:r>
      <w:r>
        <w:rPr>
          <w:rFonts w:hint="eastAsia"/>
          <w:color w:val="000000"/>
          <w:szCs w:val="21"/>
          <w:highlight w:val="none"/>
        </w:rPr>
      </w:r>
      <w:r/>
    </w:p>
    <w:p>
      <w:pPr>
        <w:pStyle w:val="894"/>
        <w:ind w:firstLine="480"/>
        <w:spacing w:line="360" w:lineRule="auto"/>
        <w:rPr>
          <w:rFonts w:hint="eastAsia"/>
          <w:color w:val="000000"/>
          <w:szCs w:val="21"/>
          <w:highlight w:val="none"/>
        </w:rPr>
      </w:pPr>
      <w:r>
        <w:rPr>
          <w:rFonts w:hint="eastAsia"/>
          <w:color w:val="000000"/>
          <w:szCs w:val="21"/>
          <w:highlight w:val="none"/>
        </w:rPr>
      </w:r>
      <w:r/>
    </w:p>
    <w:p>
      <w:pPr>
        <w:pStyle w:val="884"/>
        <w:ind w:hanging="315"/>
        <w:spacing w:line="500" w:lineRule="exact"/>
        <w:rPr>
          <w:color w:val="000000"/>
          <w:szCs w:val="21"/>
          <w:highlight w:val="none"/>
        </w:rPr>
      </w:pPr>
      <w:r>
        <w:rPr>
          <w:color w:val="000000"/>
          <w:szCs w:val="21"/>
          <w:highlight w:val="none"/>
        </w:rPr>
        <w:t xml:space="preserve">                                           </w:t>
      </w:r>
      <w:r>
        <w:rPr>
          <w:rFonts w:hint="eastAsia"/>
          <w:color w:val="000000"/>
          <w:szCs w:val="21"/>
          <w:highlight w:val="none"/>
        </w:rPr>
        <w:t xml:space="preserve">                   </w:t>
      </w:r>
      <w:r>
        <w:rPr>
          <w:color w:val="000000"/>
          <w:szCs w:val="21"/>
          <w:highlight w:val="none"/>
        </w:rPr>
        <w:t xml:space="preserve">日期： </w:t>
      </w:r>
      <w:r>
        <w:rPr>
          <w:rFonts w:hint="eastAsia"/>
          <w:color w:val="000000"/>
          <w:szCs w:val="21"/>
          <w:highlight w:val="none"/>
        </w:rPr>
        <w:t xml:space="preserve">   </w:t>
      </w:r>
      <w:r>
        <w:rPr>
          <w:color w:val="000000"/>
          <w:szCs w:val="21"/>
          <w:highlight w:val="none"/>
        </w:rPr>
        <w:t xml:space="preserve">年</w:t>
      </w:r>
      <w:r>
        <w:rPr>
          <w:rFonts w:hint="eastAsia"/>
          <w:color w:val="000000"/>
          <w:szCs w:val="21"/>
          <w:highlight w:val="none"/>
        </w:rPr>
        <w:t xml:space="preserve">  </w:t>
      </w:r>
      <w:r>
        <w:rPr>
          <w:color w:val="000000"/>
          <w:szCs w:val="21"/>
          <w:highlight w:val="none"/>
        </w:rPr>
        <w:t xml:space="preserve">月</w:t>
      </w:r>
      <w:r>
        <w:rPr>
          <w:rFonts w:hint="eastAsia"/>
          <w:color w:val="000000"/>
          <w:szCs w:val="21"/>
          <w:highlight w:val="none"/>
        </w:rPr>
        <w:t xml:space="preserve">   </w:t>
      </w:r>
      <w:r>
        <w:rPr>
          <w:color w:val="000000"/>
          <w:szCs w:val="21"/>
          <w:highlight w:val="none"/>
        </w:rPr>
        <w:t xml:space="preserve">日</w:t>
      </w:r>
      <w:r>
        <w:rPr>
          <w:color w:val="000000"/>
          <w:szCs w:val="21"/>
          <w:highlight w:val="none"/>
        </w:rPr>
      </w:r>
      <w:r/>
    </w:p>
    <w:p>
      <w:pPr>
        <w:pStyle w:val="891"/>
        <w:rPr>
          <w:color w:val="000000"/>
          <w:highlight w:val="none"/>
        </w:rPr>
      </w:pPr>
      <w:r>
        <w:rPr>
          <w:color w:val="000000"/>
          <w:highlight w:val="none"/>
        </w:rPr>
      </w:r>
      <w:r/>
    </w:p>
    <w:p>
      <w:pPr>
        <w:pStyle w:val="904"/>
        <w:rPr>
          <w:color w:val="000000"/>
          <w:highlight w:val="none"/>
        </w:rPr>
      </w:pPr>
      <w:r>
        <w:rPr>
          <w:color w:val="000000"/>
          <w:highlight w:val="none"/>
        </w:rPr>
      </w:r>
      <w:r/>
    </w:p>
    <w:p>
      <w:pPr>
        <w:pStyle w:val="884"/>
        <w:ind w:firstLine="480"/>
        <w:spacing w:line="360" w:lineRule="auto"/>
        <w:widowControl/>
        <w:rPr>
          <w:rFonts w:ascii="宋体" w:hAnsi="宋体" w:cs="宋体"/>
          <w:bCs/>
          <w:color w:val="000000"/>
          <w:sz w:val="24"/>
          <w:szCs w:val="24"/>
          <w:highlight w:val="none"/>
        </w:rPr>
      </w:pPr>
      <w:r>
        <w:rPr>
          <w:rFonts w:hint="eastAsia" w:ascii="宋体" w:hAnsi="宋体" w:cs="宋体"/>
          <w:color w:val="000000"/>
          <w:sz w:val="24"/>
          <w:szCs w:val="24"/>
          <w:highlight w:val="none"/>
        </w:rPr>
        <w:t xml:space="preserve">注：商务条款须完全响应，否则作无效投标处理。</w:t>
      </w:r>
      <w:r>
        <w:rPr>
          <w:rFonts w:ascii="宋体" w:hAnsi="宋体" w:cs="宋体"/>
          <w:bCs/>
          <w:color w:val="000000"/>
          <w:sz w:val="24"/>
          <w:szCs w:val="24"/>
          <w:highlight w:val="none"/>
        </w:rPr>
      </w:r>
      <w:r/>
    </w:p>
    <w:p>
      <w:pPr>
        <w:pStyle w:val="904"/>
        <w:rPr>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color w:val="000000"/>
          <w:highlight w:val="none"/>
        </w:rPr>
      </w:r>
      <w:r/>
    </w:p>
    <w:p>
      <w:pPr>
        <w:pStyle w:val="884"/>
        <w:spacing w:line="360" w:lineRule="auto"/>
        <w:widowControl/>
        <w:rPr>
          <w:rFonts w:ascii="宋体" w:hAnsi="宋体" w:cs="宋体"/>
          <w:bCs/>
          <w:color w:val="000000"/>
          <w:sz w:val="24"/>
          <w:szCs w:val="24"/>
          <w:highlight w:val="none"/>
          <w:lang w:bidi="ar"/>
        </w:rPr>
      </w:pPr>
      <w:r>
        <w:rPr>
          <w:rFonts w:hint="eastAsia" w:ascii="宋体" w:hAnsi="宋体" w:cs="宋体"/>
          <w:bCs/>
          <w:color w:val="000000"/>
          <w:sz w:val="24"/>
          <w:szCs w:val="24"/>
          <w:highlight w:val="none"/>
          <w:lang w:bidi="ar"/>
        </w:rPr>
        <w:t xml:space="preserve">附件11：</w:t>
      </w:r>
      <w:r>
        <w:rPr>
          <w:rFonts w:ascii="宋体" w:hAnsi="宋体" w:cs="宋体"/>
          <w:bCs/>
          <w:color w:val="000000"/>
          <w:sz w:val="24"/>
          <w:szCs w:val="24"/>
          <w:highlight w:val="none"/>
          <w:lang w:bidi="ar"/>
        </w:rPr>
      </w:r>
      <w:r/>
    </w:p>
    <w:p>
      <w:pPr>
        <w:pStyle w:val="884"/>
        <w:ind w:firstLine="482"/>
        <w:jc w:val="center"/>
        <w:spacing w:line="360" w:lineRule="auto"/>
        <w:widowControl/>
        <w:rPr>
          <w:rFonts w:hint="eastAsia"/>
          <w:bCs/>
          <w:color w:val="000000"/>
          <w:szCs w:val="24"/>
          <w:highlight w:val="none"/>
        </w:rPr>
      </w:pPr>
      <w:r>
        <w:rPr>
          <w:rFonts w:hint="eastAsia" w:ascii="宋体" w:hAnsi="宋体" w:cs="宋体"/>
          <w:bCs/>
          <w:color w:val="000000"/>
          <w:sz w:val="24"/>
          <w:szCs w:val="24"/>
          <w:highlight w:val="none"/>
          <w:lang w:bidi="ar"/>
        </w:rPr>
        <w:t xml:space="preserve">小微企业声明函</w:t>
      </w:r>
      <w:r>
        <w:rPr>
          <w:rFonts w:hint="eastAsia"/>
          <w:bCs/>
          <w:color w:val="000000"/>
          <w:szCs w:val="24"/>
          <w:highlight w:val="none"/>
        </w:rPr>
      </w:r>
      <w:r/>
    </w:p>
    <w:p>
      <w:pPr>
        <w:pStyle w:val="884"/>
        <w:ind w:firstLine="480"/>
        <w:spacing w:line="360" w:lineRule="auto"/>
        <w:rPr>
          <w:rFonts w:ascii="宋体" w:hAnsi="宋体" w:cs="宋体"/>
          <w:b/>
          <w:color w:val="000000"/>
          <w:sz w:val="24"/>
          <w:szCs w:val="24"/>
          <w:highlight w:val="none"/>
          <w:lang w:bidi="ar"/>
        </w:rPr>
      </w:pPr>
      <w:r>
        <w:rPr>
          <w:rFonts w:ascii="宋体" w:hAnsi="宋体" w:cs="宋体"/>
          <w:b/>
          <w:color w:val="000000"/>
          <w:sz w:val="24"/>
          <w:szCs w:val="24"/>
          <w:highlight w:val="none"/>
          <w:lang w:bidi="ar"/>
        </w:rPr>
      </w:r>
      <w:r/>
    </w:p>
    <w:p>
      <w:pPr>
        <w:pStyle w:val="884"/>
        <w:ind w:firstLine="480"/>
        <w:spacing w:line="480" w:lineRule="auto"/>
        <w:widowControl/>
        <w:rPr>
          <w:rFonts w:hint="eastAsia"/>
          <w:color w:val="000000"/>
          <w:szCs w:val="24"/>
          <w:highlight w:val="none"/>
        </w:rPr>
      </w:pPr>
      <w:r>
        <w:rPr>
          <w:rFonts w:hint="eastAsia" w:ascii="宋体" w:hAnsi="宋体" w:cs="宋体"/>
          <w:color w:val="000000"/>
          <w:sz w:val="24"/>
          <w:szCs w:val="24"/>
          <w:highlight w:val="none"/>
          <w:lang w:bidi="ar"/>
        </w:rPr>
        <w:t xml:space="preserve">本公司郑重声明，根据《政府采购促进中小企业发展管理办法》（财库﹝2020﹞46 号）的规定，本公司参加</w:t>
      </w:r>
      <w:r>
        <w:rPr>
          <w:rFonts w:hint="eastAsia" w:ascii="宋体" w:hAnsi="宋体" w:cs="宋体"/>
          <w:i/>
          <w:color w:val="000000"/>
          <w:sz w:val="24"/>
          <w:szCs w:val="24"/>
          <w:highlight w:val="none"/>
          <w:u w:val="single"/>
          <w:lang w:bidi="ar"/>
        </w:rPr>
        <w:t xml:space="preserve">（单位名称）</w:t>
      </w:r>
      <w:r>
        <w:rPr>
          <w:rFonts w:hint="eastAsia" w:ascii="宋体" w:hAnsi="宋体" w:cs="宋体"/>
          <w:color w:val="000000"/>
          <w:sz w:val="24"/>
          <w:szCs w:val="24"/>
          <w:highlight w:val="none"/>
          <w:lang w:bidi="ar"/>
        </w:rPr>
        <w:t xml:space="preserve">的</w:t>
      </w:r>
      <w:r>
        <w:rPr>
          <w:rFonts w:hint="eastAsia" w:ascii="宋体" w:hAnsi="宋体" w:cs="宋体"/>
          <w:i/>
          <w:color w:val="000000"/>
          <w:sz w:val="24"/>
          <w:szCs w:val="24"/>
          <w:highlight w:val="none"/>
          <w:u w:val="single"/>
          <w:lang w:bidi="ar"/>
        </w:rPr>
        <w:t xml:space="preserve">（项目名称）</w:t>
      </w:r>
      <w:r>
        <w:rPr>
          <w:rFonts w:hint="eastAsia" w:ascii="宋体" w:hAnsi="宋体" w:cs="宋体"/>
          <w:color w:val="000000"/>
          <w:sz w:val="24"/>
          <w:szCs w:val="24"/>
          <w:highlight w:val="none"/>
          <w:lang w:bidi="ar"/>
        </w:rPr>
        <w:t xml:space="preserve">采购活动，服务全部由符合政策要求的小微企业承接。相关企业的具体情况如下：</w:t>
      </w:r>
      <w:r>
        <w:rPr>
          <w:rFonts w:hint="eastAsia"/>
          <w:color w:val="000000"/>
          <w:szCs w:val="24"/>
          <w:highlight w:val="none"/>
        </w:rPr>
      </w:r>
      <w:r/>
    </w:p>
    <w:p>
      <w:pPr>
        <w:pStyle w:val="884"/>
        <w:ind w:firstLine="480"/>
        <w:jc w:val="left"/>
        <w:spacing w:line="480" w:lineRule="auto"/>
        <w:widowControl/>
        <w:rPr>
          <w:color w:val="000000"/>
          <w:szCs w:val="24"/>
          <w:highlight w:val="none"/>
        </w:rPr>
      </w:pPr>
      <w:r>
        <w:rPr>
          <w:rFonts w:hint="eastAsia" w:ascii="宋体" w:hAnsi="宋体" w:cs="宋体"/>
          <w:color w:val="000000"/>
          <w:sz w:val="24"/>
          <w:szCs w:val="24"/>
          <w:highlight w:val="none"/>
          <w:lang w:bidi="ar"/>
        </w:rPr>
        <w:t xml:space="preserve">1. </w:t>
      </w:r>
      <w:r>
        <w:rPr>
          <w:rFonts w:hint="eastAsia" w:ascii="宋体" w:hAnsi="宋体" w:cs="宋体"/>
          <w:i/>
          <w:color w:val="000000"/>
          <w:sz w:val="24"/>
          <w:szCs w:val="24"/>
          <w:highlight w:val="none"/>
          <w:u w:val="single"/>
          <w:lang w:bidi="ar"/>
        </w:rPr>
        <w:t xml:space="preserve">（标的名称） </w:t>
      </w:r>
      <w:r>
        <w:rPr>
          <w:rFonts w:hint="eastAsia" w:ascii="宋体" w:hAnsi="宋体" w:cs="宋体"/>
          <w:color w:val="000000"/>
          <w:sz w:val="24"/>
          <w:szCs w:val="24"/>
          <w:highlight w:val="none"/>
          <w:lang w:bidi="ar"/>
        </w:rPr>
        <w:t xml:space="preserve">，属于</w:t>
      </w:r>
      <w:r>
        <w:rPr>
          <w:rFonts w:hint="eastAsia" w:ascii="宋体" w:hAnsi="宋体" w:cs="宋体"/>
          <w:i/>
          <w:color w:val="000000"/>
          <w:sz w:val="24"/>
          <w:szCs w:val="24"/>
          <w:highlight w:val="none"/>
          <w:u w:val="single"/>
          <w:lang w:bidi="ar"/>
        </w:rPr>
        <w:t xml:space="preserve">（其他未列明行业）</w:t>
      </w:r>
      <w:r>
        <w:rPr>
          <w:rFonts w:hint="eastAsia" w:ascii="宋体" w:hAnsi="宋体" w:cs="宋体"/>
          <w:color w:val="000000"/>
          <w:sz w:val="24"/>
          <w:szCs w:val="24"/>
          <w:highlight w:val="none"/>
          <w:lang w:bidi="ar"/>
        </w:rPr>
        <w:t xml:space="preserve">；承接企业为</w:t>
      </w:r>
      <w:r>
        <w:rPr>
          <w:rFonts w:hint="eastAsia" w:ascii="宋体" w:hAnsi="宋体" w:cs="宋体"/>
          <w:i/>
          <w:color w:val="000000"/>
          <w:sz w:val="24"/>
          <w:szCs w:val="24"/>
          <w:highlight w:val="none"/>
          <w:u w:val="single"/>
          <w:lang w:bidi="ar"/>
        </w:rPr>
        <w:t xml:space="preserve">（企业名称）</w:t>
      </w:r>
      <w:r>
        <w:rPr>
          <w:rFonts w:hint="eastAsia" w:ascii="宋体" w:hAnsi="宋体" w:cs="宋体"/>
          <w:color w:val="000000"/>
          <w:sz w:val="24"/>
          <w:szCs w:val="24"/>
          <w:highlight w:val="none"/>
          <w:lang w:bidi="ar"/>
        </w:rPr>
        <w:t xml:space="preserve">，从业人员</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人，营业收入为</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万元，资产总额为</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万元，属于</w:t>
      </w:r>
      <w:r>
        <w:rPr>
          <w:rFonts w:hint="eastAsia" w:ascii="宋体" w:hAnsi="宋体" w:cs="宋体"/>
          <w:i/>
          <w:color w:val="000000"/>
          <w:sz w:val="24"/>
          <w:szCs w:val="24"/>
          <w:highlight w:val="none"/>
          <w:u w:val="single"/>
          <w:lang w:bidi="ar"/>
        </w:rPr>
        <w:t xml:space="preserve">（ 小型企业、微型企业）</w:t>
      </w:r>
      <w:r>
        <w:rPr>
          <w:rFonts w:hint="eastAsia" w:ascii="宋体" w:hAnsi="宋体" w:cs="宋体"/>
          <w:color w:val="000000"/>
          <w:sz w:val="24"/>
          <w:szCs w:val="24"/>
          <w:highlight w:val="none"/>
          <w:lang w:bidi="ar"/>
        </w:rPr>
        <w:t xml:space="preserve">； </w:t>
      </w:r>
      <w:r>
        <w:rPr>
          <w:color w:val="000000"/>
          <w:szCs w:val="24"/>
          <w:highlight w:val="none"/>
        </w:rPr>
      </w:r>
      <w:r/>
    </w:p>
    <w:p>
      <w:pPr>
        <w:pStyle w:val="884"/>
        <w:ind w:firstLine="480"/>
        <w:jc w:val="left"/>
        <w:spacing w:line="480" w:lineRule="auto"/>
        <w:widowControl/>
        <w:rPr>
          <w:color w:val="000000"/>
          <w:szCs w:val="24"/>
          <w:highlight w:val="none"/>
        </w:rPr>
      </w:pPr>
      <w:r>
        <w:rPr>
          <w:rFonts w:hint="eastAsia" w:ascii="宋体" w:hAnsi="宋体" w:cs="宋体"/>
          <w:color w:val="000000"/>
          <w:sz w:val="24"/>
          <w:szCs w:val="24"/>
          <w:highlight w:val="none"/>
          <w:lang w:bidi="ar"/>
        </w:rPr>
        <w:t xml:space="preserve">以上企业，不属于大企业的分支机构，不存在控股股东为大企业的情形，也不存在与大企业的负责人为同一人的情形。</w:t>
      </w:r>
      <w:r>
        <w:rPr>
          <w:color w:val="000000"/>
          <w:szCs w:val="24"/>
          <w:highlight w:val="none"/>
        </w:rPr>
      </w:r>
      <w:r/>
    </w:p>
    <w:p>
      <w:pPr>
        <w:pStyle w:val="884"/>
        <w:ind w:firstLine="480"/>
        <w:jc w:val="left"/>
        <w:spacing w:line="480" w:lineRule="auto"/>
        <w:widowControl/>
        <w:rPr>
          <w:color w:val="000000"/>
          <w:szCs w:val="24"/>
          <w:highlight w:val="none"/>
        </w:rPr>
      </w:pPr>
      <w:r>
        <w:rPr>
          <w:rFonts w:hint="eastAsia" w:ascii="宋体" w:hAnsi="宋体" w:cs="宋体"/>
          <w:color w:val="000000"/>
          <w:sz w:val="24"/>
          <w:szCs w:val="24"/>
          <w:highlight w:val="none"/>
          <w:lang w:bidi="ar"/>
        </w:rPr>
        <w:t xml:space="preserve">本企业对上述声明内容的真实性负责。如有虚假，将依法承担相应责任。 </w:t>
      </w:r>
      <w:r>
        <w:rPr>
          <w:color w:val="000000"/>
          <w:szCs w:val="24"/>
          <w:highlight w:val="none"/>
        </w:rPr>
      </w:r>
      <w:r/>
    </w:p>
    <w:p>
      <w:pPr>
        <w:pStyle w:val="884"/>
        <w:jc w:val="left"/>
        <w:spacing w:line="48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                                          </w:t>
      </w:r>
      <w:r>
        <w:rPr>
          <w:rFonts w:ascii="宋体" w:hAnsi="宋体" w:cs="宋体"/>
          <w:color w:val="000000"/>
          <w:sz w:val="24"/>
          <w:szCs w:val="24"/>
          <w:highlight w:val="none"/>
          <w:lang w:bidi="ar"/>
        </w:rPr>
      </w:r>
      <w:r/>
    </w:p>
    <w:p>
      <w:pPr>
        <w:pStyle w:val="884"/>
        <w:jc w:val="left"/>
        <w:spacing w:line="480" w:lineRule="auto"/>
        <w:widowControl/>
        <w:rPr>
          <w:rFonts w:hint="eastAsia"/>
          <w:color w:val="000000"/>
          <w:szCs w:val="24"/>
          <w:highlight w:val="none"/>
        </w:rPr>
      </w:pPr>
      <w:r>
        <w:rPr>
          <w:rFonts w:hint="eastAsia" w:ascii="宋体" w:hAnsi="宋体" w:cs="宋体"/>
          <w:color w:val="000000"/>
          <w:sz w:val="24"/>
          <w:szCs w:val="24"/>
          <w:highlight w:val="none"/>
          <w:lang w:bidi="ar"/>
        </w:rPr>
        <w:t xml:space="preserve">                                          企业名称（盖章）： </w:t>
      </w:r>
      <w:r>
        <w:rPr>
          <w:rFonts w:hint="eastAsia"/>
          <w:color w:val="000000"/>
          <w:szCs w:val="24"/>
          <w:highlight w:val="none"/>
        </w:rPr>
      </w:r>
      <w:r/>
    </w:p>
    <w:p>
      <w:pPr>
        <w:pStyle w:val="884"/>
        <w:ind w:firstLine="480"/>
        <w:jc w:val="left"/>
        <w:spacing w:line="480" w:lineRule="auto"/>
        <w:widowControl/>
        <w:rPr>
          <w:color w:val="000000"/>
          <w:szCs w:val="24"/>
          <w:highlight w:val="none"/>
        </w:rPr>
      </w:pPr>
      <w:r>
        <w:rPr>
          <w:rFonts w:hint="eastAsia" w:ascii="宋体" w:hAnsi="宋体" w:cs="宋体"/>
          <w:color w:val="000000"/>
          <w:sz w:val="24"/>
          <w:szCs w:val="24"/>
          <w:highlight w:val="none"/>
          <w:lang w:bidi="ar"/>
        </w:rPr>
        <w:t xml:space="preserve">                                      日 期：</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年</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月</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日</w:t>
      </w:r>
      <w:r>
        <w:rPr>
          <w:color w:val="000000"/>
          <w:szCs w:val="24"/>
          <w:highlight w:val="none"/>
        </w:rPr>
      </w:r>
      <w:r/>
    </w:p>
    <w:p>
      <w:pPr>
        <w:pStyle w:val="884"/>
        <w:ind w:firstLine="482"/>
        <w:jc w:val="left"/>
        <w:spacing w:line="480" w:lineRule="auto"/>
        <w:widowControl/>
        <w:rPr>
          <w:color w:val="000000"/>
          <w:szCs w:val="24"/>
          <w:highlight w:val="none"/>
        </w:rPr>
      </w:pPr>
      <w:r>
        <w:rPr>
          <w:rFonts w:hint="eastAsia" w:ascii="宋体" w:hAnsi="宋体" w:cs="宋体"/>
          <w:b/>
          <w:bCs/>
          <w:color w:val="000000"/>
          <w:sz w:val="24"/>
          <w:szCs w:val="24"/>
          <w:highlight w:val="none"/>
          <w:lang w:bidi="ar"/>
        </w:rPr>
        <w:t xml:space="preserve">注：（1）从业人员、营业收入、资产总额填报上一年度数据，无上一年度数据的新成立企业可不填报。</w:t>
      </w:r>
      <w:r>
        <w:rPr>
          <w:color w:val="000000"/>
          <w:szCs w:val="24"/>
          <w:highlight w:val="none"/>
        </w:rPr>
      </w:r>
      <w:r/>
    </w:p>
    <w:p>
      <w:pPr>
        <w:pStyle w:val="884"/>
        <w:numPr>
          <w:ilvl w:val="0"/>
          <w:numId w:val="12"/>
        </w:numPr>
        <w:ind w:firstLine="964"/>
        <w:jc w:val="left"/>
        <w:spacing w:line="480" w:lineRule="auto"/>
        <w:widowControl/>
        <w:tabs>
          <w:tab w:val="left" w:pos="0" w:leader="none"/>
        </w:tabs>
        <w:rPr>
          <w:color w:val="000000"/>
          <w:szCs w:val="24"/>
          <w:highlight w:val="none"/>
        </w:rPr>
      </w:pPr>
      <w:r>
        <w:rPr>
          <w:rFonts w:hint="eastAsia" w:ascii="宋体" w:hAnsi="宋体" w:cs="宋体"/>
          <w:b/>
          <w:bCs/>
          <w:color w:val="000000"/>
          <w:sz w:val="24"/>
          <w:szCs w:val="24"/>
          <w:highlight w:val="none"/>
        </w:rPr>
        <w:t xml:space="preserve">企业类型请供应商参照《关于印发中小企业划型标准规定的通知》（工信部联企业</w:t>
      </w:r>
      <w:r>
        <w:rPr>
          <w:rFonts w:hint="eastAsia" w:ascii="宋体" w:hAnsi="宋体" w:cs="宋体"/>
          <w:b/>
          <w:bCs/>
          <w:color w:val="000000"/>
          <w:sz w:val="24"/>
          <w:szCs w:val="24"/>
          <w:highlight w:val="none"/>
          <w:lang w:eastAsia="zh-CN"/>
        </w:rPr>
        <w:t xml:space="preserve">〔2011〕300号</w:t>
      </w:r>
      <w:r>
        <w:rPr>
          <w:rFonts w:hint="eastAsia" w:ascii="宋体" w:hAnsi="宋体" w:cs="宋体"/>
          <w:b/>
          <w:bCs/>
          <w:color w:val="000000"/>
          <w:sz w:val="24"/>
          <w:szCs w:val="24"/>
          <w:highlight w:val="none"/>
        </w:rPr>
        <w:t xml:space="preserve">）文件规定自行填写。</w:t>
      </w:r>
      <w:r>
        <w:rPr>
          <w:color w:val="000000"/>
          <w:szCs w:val="24"/>
          <w:highlight w:val="none"/>
        </w:rPr>
      </w:r>
      <w:r/>
    </w:p>
    <w:p>
      <w:pPr>
        <w:pStyle w:val="884"/>
        <w:ind w:firstLine="964"/>
        <w:jc w:val="left"/>
        <w:spacing w:line="480" w:lineRule="auto"/>
        <w:widowControl/>
        <w:rPr>
          <w:color w:val="000000"/>
          <w:szCs w:val="24"/>
          <w:highlight w:val="none"/>
        </w:rPr>
      </w:pPr>
      <w:r>
        <w:rPr>
          <w:rFonts w:hint="eastAsia" w:ascii="宋体" w:hAnsi="宋体" w:cs="宋体"/>
          <w:b/>
          <w:bCs/>
          <w:iCs/>
          <w:color w:val="000000"/>
          <w:sz w:val="24"/>
          <w:szCs w:val="24"/>
          <w:highlight w:val="none"/>
          <w:lang w:bidi="ar"/>
        </w:rPr>
        <w:t xml:space="preserve">（3）</w:t>
      </w:r>
      <w:r>
        <w:rPr>
          <w:rFonts w:hint="eastAsia" w:ascii="宋体" w:hAnsi="宋体" w:cs="宋体"/>
          <w:b/>
          <w:bCs/>
          <w:color w:val="000000"/>
          <w:sz w:val="24"/>
          <w:szCs w:val="24"/>
          <w:highlight w:val="none"/>
          <w:lang w:bidi="ar"/>
        </w:rPr>
        <w:t xml:space="preserve">供应商如不提供符合要求的小微企业声明函，价格将不做相应扣除。</w:t>
      </w:r>
      <w:r>
        <w:rPr>
          <w:color w:val="000000"/>
          <w:szCs w:val="24"/>
          <w:highlight w:val="none"/>
        </w:rPr>
      </w:r>
      <w:r/>
    </w:p>
    <w:p>
      <w:pPr>
        <w:pStyle w:val="884"/>
        <w:ind w:left="506"/>
        <w:rPr>
          <w:rFonts w:ascii="Verdana" w:hAnsi="Verdana"/>
          <w:color w:val="000000"/>
          <w:szCs w:val="20"/>
          <w:highlight w:val="none"/>
        </w:rPr>
      </w:pPr>
      <w:r>
        <w:rPr>
          <w:rFonts w:ascii="Verdana" w:hAnsi="Verdana" w:eastAsia="Verdana" w:cs="Verdana"/>
          <w:color w:val="000000"/>
          <w:szCs w:val="20"/>
          <w:highlight w:val="none"/>
        </w:rPr>
        <w:t xml:space="preserve">  </w:t>
      </w:r>
      <w:r>
        <w:rPr>
          <w:rFonts w:ascii="Verdana" w:hAnsi="Verdana"/>
          <w:color w:val="000000"/>
          <w:szCs w:val="20"/>
          <w:highlight w:val="none"/>
        </w:rPr>
      </w:r>
      <w:r/>
    </w:p>
    <w:p>
      <w:pPr>
        <w:pStyle w:val="884"/>
        <w:rPr>
          <w:iCs/>
          <w:color w:val="000000"/>
          <w:szCs w:val="24"/>
          <w:highlight w:val="none"/>
        </w:rPr>
      </w:pPr>
      <w:r>
        <w:rPr>
          <w:iCs/>
          <w:color w:val="000000"/>
          <w:szCs w:val="24"/>
          <w:highlight w:val="none"/>
        </w:rPr>
      </w:r>
      <w:r/>
    </w:p>
    <w:p>
      <w:pPr>
        <w:pStyle w:val="884"/>
        <w:rPr>
          <w:rFonts w:ascii="Verdana" w:hAnsi="Verdana"/>
          <w:iCs/>
          <w:color w:val="000000"/>
          <w:szCs w:val="20"/>
          <w:highlight w:val="none"/>
        </w:rPr>
      </w:pPr>
      <w:r>
        <w:rPr>
          <w:rFonts w:ascii="Verdana" w:hAnsi="Verdana"/>
          <w:iCs/>
          <w:color w:val="000000"/>
          <w:szCs w:val="20"/>
          <w:highlight w:val="none"/>
        </w:rPr>
      </w:r>
      <w:r/>
    </w:p>
    <w:p>
      <w:pPr>
        <w:pStyle w:val="884"/>
        <w:spacing w:line="360" w:lineRule="auto"/>
        <w:widowControl/>
        <w:tabs>
          <w:tab w:val="left" w:pos="72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附件12：</w:t>
      </w:r>
      <w:r>
        <w:rPr>
          <w:rFonts w:ascii="宋体" w:hAnsi="宋体" w:cs="宋体"/>
          <w:bCs/>
          <w:color w:val="000000"/>
          <w:sz w:val="24"/>
          <w:szCs w:val="24"/>
          <w:highlight w:val="none"/>
        </w:rPr>
      </w:r>
      <w:r/>
    </w:p>
    <w:p>
      <w:pPr>
        <w:pStyle w:val="884"/>
        <w:jc w:val="center"/>
        <w:spacing w:line="360" w:lineRule="auto"/>
        <w:widowControl/>
        <w:tabs>
          <w:tab w:val="left" w:pos="720" w:leader="none"/>
        </w:tabs>
        <w:rPr>
          <w:rFonts w:hint="eastAsia"/>
          <w:bCs/>
          <w:color w:val="000000"/>
          <w:sz w:val="30"/>
          <w:szCs w:val="28"/>
          <w:highlight w:val="none"/>
        </w:rPr>
      </w:pPr>
      <w:r>
        <w:rPr>
          <w:rFonts w:hint="eastAsia" w:ascii="宋体" w:hAnsi="宋体" w:cs="宋体"/>
          <w:bCs/>
          <w:color w:val="000000"/>
          <w:sz w:val="28"/>
          <w:szCs w:val="24"/>
          <w:highlight w:val="none"/>
        </w:rPr>
        <w:t xml:space="preserve">残疾人福利性单位声明函</w:t>
      </w:r>
      <w:r>
        <w:rPr>
          <w:rFonts w:hint="eastAsia"/>
          <w:bCs/>
          <w:color w:val="000000"/>
          <w:sz w:val="30"/>
          <w:szCs w:val="28"/>
          <w:highlight w:val="none"/>
        </w:rPr>
      </w:r>
      <w:r/>
    </w:p>
    <w:p>
      <w:pPr>
        <w:pStyle w:val="884"/>
        <w:ind w:firstLine="562"/>
        <w:jc w:val="center"/>
        <w:spacing w:line="360" w:lineRule="auto"/>
        <w:widowControl/>
        <w:rPr>
          <w:rFonts w:ascii="宋体" w:hAnsi="宋体" w:cs="宋体"/>
          <w:b/>
          <w:bCs/>
          <w:color w:val="000000"/>
          <w:sz w:val="28"/>
          <w:szCs w:val="24"/>
          <w:highlight w:val="none"/>
        </w:rPr>
      </w:pPr>
      <w:r>
        <w:rPr>
          <w:rFonts w:ascii="宋体" w:hAnsi="宋体" w:cs="宋体"/>
          <w:b/>
          <w:bCs/>
          <w:color w:val="000000"/>
          <w:sz w:val="28"/>
          <w:szCs w:val="24"/>
          <w:highlight w:val="none"/>
        </w:rPr>
      </w:r>
      <w:r/>
    </w:p>
    <w:p>
      <w:pPr>
        <w:pStyle w:val="884"/>
        <w:ind w:firstLine="480"/>
        <w:spacing w:line="480" w:lineRule="auto"/>
        <w:widowControl/>
        <w:rPr>
          <w:rFonts w:hint="eastAsia"/>
          <w:color w:val="000000"/>
          <w:szCs w:val="24"/>
          <w:highlight w:val="none"/>
        </w:rPr>
      </w:pPr>
      <w:r>
        <w:rPr>
          <w:rFonts w:hint="eastAsia" w:ascii="宋体" w:hAnsi="宋体" w:cs="宋体"/>
          <w:color w:val="000000"/>
          <w:sz w:val="24"/>
          <w:szCs w:val="24"/>
          <w:highlight w:val="none"/>
          <w:lang w:bidi="ar"/>
        </w:rPr>
        <w:t xml:space="preserve">本单位郑重声明，根据《财政部 民政部 中国残疾人联合会关于促进残疾人就业政府采购政策的通知》（财库〔2017〕 141 号）的规定，本单位为符合条件的残疾人福利性单位， 且本单位参加______单位的______项目采购活动，由本单位提供服务。 </w:t>
      </w:r>
      <w:r>
        <w:rPr>
          <w:rFonts w:hint="eastAsia"/>
          <w:color w:val="000000"/>
          <w:szCs w:val="24"/>
          <w:highlight w:val="none"/>
        </w:rPr>
      </w:r>
      <w:r/>
    </w:p>
    <w:p>
      <w:pPr>
        <w:pStyle w:val="884"/>
        <w:ind w:firstLine="480"/>
        <w:spacing w:line="480" w:lineRule="auto"/>
        <w:widowControl/>
        <w:rPr>
          <w:color w:val="000000"/>
          <w:szCs w:val="24"/>
          <w:highlight w:val="none"/>
        </w:rPr>
      </w:pPr>
      <w:r>
        <w:rPr>
          <w:rFonts w:hint="eastAsia" w:ascii="宋体" w:hAnsi="宋体" w:cs="宋体"/>
          <w:color w:val="000000"/>
          <w:sz w:val="24"/>
          <w:szCs w:val="24"/>
          <w:highlight w:val="none"/>
          <w:lang w:bidi="ar"/>
        </w:rPr>
        <w:t xml:space="preserve">本单位对上述声明的真实性负责。如有虚假，将依法承担相应责任。 </w:t>
      </w:r>
      <w:r>
        <w:rPr>
          <w:color w:val="000000"/>
          <w:szCs w:val="24"/>
          <w:highlight w:val="none"/>
        </w:rPr>
      </w:r>
      <w:r/>
    </w:p>
    <w:p>
      <w:pPr>
        <w:pStyle w:val="884"/>
        <w:ind w:firstLine="2880"/>
        <w:spacing w:line="480" w:lineRule="auto"/>
        <w:widowControl/>
        <w:rPr>
          <w:color w:val="000000"/>
          <w:szCs w:val="24"/>
          <w:highlight w:val="none"/>
        </w:rPr>
      </w:pPr>
      <w:r>
        <w:rPr>
          <w:rFonts w:hint="eastAsia" w:ascii="宋体" w:hAnsi="宋体" w:cs="宋体"/>
          <w:color w:val="000000"/>
          <w:sz w:val="24"/>
          <w:szCs w:val="24"/>
          <w:highlight w:val="none"/>
          <w:lang w:bidi="ar"/>
        </w:rPr>
        <w:t xml:space="preserve">单位名称（盖章）： </w:t>
      </w:r>
      <w:r>
        <w:rPr>
          <w:color w:val="000000"/>
          <w:szCs w:val="24"/>
          <w:highlight w:val="none"/>
        </w:rPr>
      </w:r>
      <w:r/>
    </w:p>
    <w:p>
      <w:pPr>
        <w:pStyle w:val="884"/>
        <w:ind w:firstLine="480"/>
        <w:jc w:val="left"/>
        <w:spacing w:line="480" w:lineRule="auto"/>
        <w:widowControl/>
        <w:rPr>
          <w:color w:val="000000"/>
          <w:szCs w:val="24"/>
          <w:highlight w:val="none"/>
        </w:rPr>
      </w:pPr>
      <w:r>
        <w:rPr>
          <w:rFonts w:hint="eastAsia" w:ascii="宋体" w:hAnsi="宋体" w:cs="宋体"/>
          <w:color w:val="000000"/>
          <w:sz w:val="24"/>
          <w:szCs w:val="24"/>
          <w:highlight w:val="none"/>
          <w:lang w:bidi="ar"/>
        </w:rPr>
        <w:t xml:space="preserve">                    日 期：</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年</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月</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日</w:t>
      </w:r>
      <w:r>
        <w:rPr>
          <w:color w:val="000000"/>
          <w:szCs w:val="24"/>
          <w:highlight w:val="none"/>
        </w:rPr>
      </w:r>
      <w:r/>
    </w:p>
    <w:p>
      <w:pPr>
        <w:pStyle w:val="884"/>
        <w:ind w:firstLine="482"/>
        <w:jc w:val="left"/>
        <w:spacing w:line="480" w:lineRule="auto"/>
        <w:widowControl/>
        <w:rPr>
          <w:color w:val="000000"/>
          <w:szCs w:val="24"/>
          <w:highlight w:val="none"/>
        </w:rPr>
      </w:pPr>
      <w:r>
        <w:rPr>
          <w:rFonts w:hint="eastAsia" w:ascii="宋体" w:hAnsi="宋体" w:cs="宋体"/>
          <w:b/>
          <w:bCs/>
          <w:color w:val="000000"/>
          <w:sz w:val="24"/>
          <w:szCs w:val="24"/>
          <w:highlight w:val="none"/>
          <w:lang w:bidi="ar"/>
        </w:rPr>
        <w:t xml:space="preserve">注：供应商如不提供符合要求的残疾人福利性单位声明函，则价格将不做相应扣除。</w:t>
      </w:r>
      <w:r>
        <w:rPr>
          <w:color w:val="000000"/>
          <w:szCs w:val="24"/>
          <w:highlight w:val="none"/>
        </w:rPr>
      </w:r>
      <w:r/>
    </w:p>
    <w:p>
      <w:pPr>
        <w:pStyle w:val="884"/>
        <w:jc w:val="center"/>
        <w:spacing w:line="360" w:lineRule="auto"/>
        <w:widowControl/>
        <w:rPr>
          <w:rFonts w:ascii="宋体" w:hAnsi="宋体" w:cs="宋体"/>
          <w:b/>
          <w:bCs/>
          <w:color w:val="000000"/>
          <w:sz w:val="28"/>
          <w:szCs w:val="24"/>
          <w:highlight w:val="none"/>
        </w:rPr>
      </w:pPr>
      <w:r>
        <w:rPr>
          <w:rFonts w:ascii="宋体" w:hAnsi="宋体" w:cs="宋体"/>
          <w:b/>
          <w:bCs/>
          <w:color w:val="000000"/>
          <w:sz w:val="28"/>
          <w:szCs w:val="24"/>
          <w:highlight w:val="none"/>
        </w:rPr>
      </w:r>
      <w:r/>
    </w:p>
    <w:p>
      <w:pPr>
        <w:pStyle w:val="884"/>
        <w:jc w:val="center"/>
        <w:spacing w:line="360" w:lineRule="auto"/>
        <w:widowControl/>
        <w:rPr>
          <w:rFonts w:hint="eastAsia" w:ascii="宋体" w:hAnsi="宋体" w:cs="宋体"/>
          <w:b/>
          <w:bCs/>
          <w:color w:val="000000"/>
          <w:sz w:val="28"/>
          <w:szCs w:val="24"/>
          <w:highlight w:val="none"/>
        </w:rPr>
      </w:pPr>
      <w:r>
        <w:rPr>
          <w:rFonts w:hint="eastAsia" w:ascii="宋体" w:hAnsi="宋体" w:cs="宋体"/>
          <w:b/>
          <w:bCs/>
          <w:color w:val="000000"/>
          <w:sz w:val="28"/>
          <w:szCs w:val="24"/>
          <w:highlight w:val="none"/>
        </w:rPr>
      </w:r>
      <w:r/>
    </w:p>
    <w:p>
      <w:pPr>
        <w:pStyle w:val="884"/>
        <w:jc w:val="center"/>
        <w:spacing w:line="360" w:lineRule="auto"/>
        <w:widowControl/>
        <w:rPr>
          <w:rFonts w:hint="eastAsia" w:ascii="宋体" w:hAnsi="宋体" w:cs="宋体"/>
          <w:b/>
          <w:bCs/>
          <w:color w:val="000000"/>
          <w:sz w:val="28"/>
          <w:szCs w:val="24"/>
          <w:highlight w:val="none"/>
        </w:rPr>
      </w:pPr>
      <w:r>
        <w:rPr>
          <w:rFonts w:hint="eastAsia" w:ascii="宋体" w:hAnsi="宋体" w:cs="宋体"/>
          <w:b/>
          <w:bCs/>
          <w:color w:val="000000"/>
          <w:sz w:val="28"/>
          <w:szCs w:val="24"/>
          <w:highlight w:val="none"/>
        </w:rPr>
      </w:r>
      <w:r/>
    </w:p>
    <w:p>
      <w:pPr>
        <w:pStyle w:val="884"/>
        <w:rPr>
          <w:rFonts w:hint="eastAsia" w:ascii="宋体" w:hAnsi="宋体" w:cs="宋体"/>
          <w:b/>
          <w:bCs/>
          <w:color w:val="000000"/>
          <w:sz w:val="28"/>
          <w:szCs w:val="24"/>
          <w:highlight w:val="none"/>
        </w:rPr>
      </w:pPr>
      <w:r>
        <w:rPr>
          <w:rFonts w:hint="eastAsia" w:ascii="宋体" w:hAnsi="宋体" w:cs="宋体"/>
          <w:b/>
          <w:bCs/>
          <w:color w:val="000000"/>
          <w:sz w:val="28"/>
          <w:szCs w:val="24"/>
          <w:highlight w:val="none"/>
        </w:rPr>
      </w:r>
      <w:r/>
    </w:p>
    <w:p>
      <w:pPr>
        <w:pStyle w:val="884"/>
        <w:rPr>
          <w:rFonts w:hint="eastAsia" w:ascii="宋体" w:hAnsi="宋体" w:cs="宋体"/>
          <w:b/>
          <w:bCs/>
          <w:color w:val="000000"/>
          <w:sz w:val="28"/>
          <w:szCs w:val="24"/>
          <w:highlight w:val="none"/>
        </w:rPr>
      </w:pPr>
      <w:r>
        <w:rPr>
          <w:rFonts w:hint="eastAsia" w:ascii="宋体" w:hAnsi="宋体" w:cs="宋体"/>
          <w:b/>
          <w:bCs/>
          <w:color w:val="000000"/>
          <w:sz w:val="28"/>
          <w:szCs w:val="24"/>
          <w:highlight w:val="none"/>
        </w:rPr>
      </w:r>
      <w:r/>
    </w:p>
    <w:p>
      <w:pPr>
        <w:pStyle w:val="884"/>
        <w:rPr>
          <w:rFonts w:hint="eastAsia" w:ascii="宋体" w:hAnsi="宋体" w:cs="宋体"/>
          <w:b/>
          <w:bCs/>
          <w:color w:val="000000"/>
          <w:sz w:val="28"/>
          <w:szCs w:val="24"/>
          <w:highlight w:val="none"/>
        </w:rPr>
      </w:pPr>
      <w:r>
        <w:rPr>
          <w:rFonts w:hint="eastAsia" w:ascii="宋体" w:hAnsi="宋体" w:cs="宋体"/>
          <w:b/>
          <w:bCs/>
          <w:color w:val="000000"/>
          <w:sz w:val="28"/>
          <w:szCs w:val="24"/>
          <w:highlight w:val="none"/>
        </w:rPr>
      </w:r>
      <w:r/>
    </w:p>
    <w:p>
      <w:pPr>
        <w:pStyle w:val="884"/>
        <w:rPr>
          <w:rFonts w:hint="eastAsia" w:ascii="宋体" w:hAnsi="宋体" w:cs="宋体"/>
          <w:b/>
          <w:bCs/>
          <w:color w:val="000000"/>
          <w:sz w:val="28"/>
          <w:szCs w:val="24"/>
          <w:highlight w:val="none"/>
        </w:rPr>
      </w:pPr>
      <w:r>
        <w:rPr>
          <w:rFonts w:hint="eastAsia" w:ascii="宋体" w:hAnsi="宋体" w:cs="宋体"/>
          <w:b/>
          <w:bCs/>
          <w:color w:val="000000"/>
          <w:sz w:val="28"/>
          <w:szCs w:val="24"/>
          <w:highlight w:val="none"/>
        </w:rPr>
      </w:r>
      <w:r/>
    </w:p>
    <w:p>
      <w:pPr>
        <w:pStyle w:val="884"/>
        <w:rPr>
          <w:rFonts w:hint="eastAsia" w:ascii="宋体" w:hAnsi="宋体" w:cs="宋体"/>
          <w:b/>
          <w:bCs/>
          <w:color w:val="000000"/>
          <w:szCs w:val="24"/>
          <w:highlight w:val="none"/>
        </w:rPr>
      </w:pPr>
      <w:r>
        <w:rPr>
          <w:rFonts w:hint="eastAsia" w:ascii="宋体" w:hAnsi="宋体" w:cs="宋体"/>
          <w:b/>
          <w:bCs/>
          <w:color w:val="000000"/>
          <w:szCs w:val="24"/>
          <w:highlight w:val="none"/>
        </w:rPr>
      </w:r>
      <w:r/>
    </w:p>
    <w:p>
      <w:pPr>
        <w:pStyle w:val="884"/>
        <w:rPr>
          <w:rFonts w:hint="eastAsia" w:ascii="宋体" w:hAnsi="宋体" w:cs="宋体"/>
          <w:b/>
          <w:bCs/>
          <w:color w:val="000000"/>
          <w:szCs w:val="24"/>
          <w:highlight w:val="none"/>
        </w:rPr>
      </w:pPr>
      <w:r>
        <w:rPr>
          <w:rFonts w:hint="eastAsia" w:ascii="宋体" w:hAnsi="宋体" w:cs="宋体"/>
          <w:b/>
          <w:bCs/>
          <w:color w:val="000000"/>
          <w:szCs w:val="24"/>
          <w:highlight w:val="none"/>
        </w:rPr>
      </w:r>
      <w:r/>
    </w:p>
    <w:p>
      <w:pPr>
        <w:pStyle w:val="884"/>
        <w:rPr>
          <w:rFonts w:hint="eastAsia" w:ascii="宋体" w:hAnsi="宋体" w:cs="宋体"/>
          <w:b/>
          <w:bCs/>
          <w:color w:val="000000"/>
          <w:szCs w:val="24"/>
          <w:highlight w:val="none"/>
        </w:rPr>
      </w:pPr>
      <w:r>
        <w:rPr>
          <w:rFonts w:hint="eastAsia" w:ascii="宋体" w:hAnsi="宋体" w:cs="宋体"/>
          <w:b/>
          <w:bCs/>
          <w:color w:val="000000"/>
          <w:szCs w:val="24"/>
          <w:highlight w:val="none"/>
        </w:rPr>
      </w:r>
      <w:r/>
    </w:p>
    <w:p>
      <w:pPr>
        <w:pStyle w:val="884"/>
        <w:rPr>
          <w:rFonts w:hint="eastAsia" w:cs="宋体"/>
          <w:bCs/>
          <w:color w:val="000000"/>
          <w:szCs w:val="24"/>
          <w:highlight w:val="none"/>
        </w:rPr>
      </w:pPr>
      <w:r>
        <w:rPr>
          <w:rFonts w:hint="eastAsia" w:cs="宋体"/>
          <w:bCs/>
          <w:color w:val="000000"/>
          <w:szCs w:val="24"/>
          <w:highlight w:val="none"/>
        </w:rPr>
      </w:r>
      <w:r/>
    </w:p>
    <w:p>
      <w:pPr>
        <w:pStyle w:val="884"/>
        <w:rPr>
          <w:rFonts w:hint="eastAsia" w:cs="宋体"/>
          <w:bCs/>
          <w:color w:val="000000"/>
          <w:szCs w:val="24"/>
          <w:highlight w:val="none"/>
        </w:rPr>
      </w:pPr>
      <w:r>
        <w:rPr>
          <w:rFonts w:hint="eastAsia" w:cs="宋体"/>
          <w:bCs/>
          <w:color w:val="000000"/>
          <w:szCs w:val="24"/>
          <w:highlight w:val="none"/>
        </w:rPr>
      </w:r>
      <w:r/>
    </w:p>
    <w:p>
      <w:pPr>
        <w:pStyle w:val="884"/>
        <w:rPr>
          <w:rFonts w:hint="eastAsia" w:cs="宋体"/>
          <w:bCs/>
          <w:color w:val="000000"/>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cs="宋体"/>
          <w:bCs/>
          <w:color w:val="000000"/>
          <w:szCs w:val="24"/>
          <w:highlight w:val="none"/>
        </w:rPr>
      </w:r>
      <w:r/>
    </w:p>
    <w:p>
      <w:pPr>
        <w:pStyle w:val="905"/>
        <w:ind w:left="0" w:right="0"/>
        <w:jc w:val="center"/>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t xml:space="preserve">关于符合本国产品</w:t>
      </w:r>
      <w:r>
        <w:rPr>
          <w:rFonts w:hint="eastAsia" w:cs="宋体"/>
          <w:b/>
          <w:bCs/>
          <w:color w:val="333333"/>
          <w:sz w:val="30"/>
          <w:szCs w:val="30"/>
          <w:shd w:val="clear" w:color="auto" w:fill="ffffff"/>
          <w:lang w:eastAsia="zh-CN"/>
        </w:rPr>
        <w:t xml:space="preserve">（</w:t>
      </w:r>
      <w:r>
        <w:rPr>
          <w:rFonts w:hint="eastAsia" w:cs="宋体"/>
          <w:b/>
          <w:bCs/>
          <w:color w:val="333333"/>
          <w:sz w:val="30"/>
          <w:szCs w:val="30"/>
          <w:shd w:val="clear" w:color="auto" w:fill="ffffff"/>
          <w:lang w:val="en-US" w:eastAsia="zh-CN"/>
        </w:rPr>
        <w:t xml:space="preserve">服务</w:t>
      </w:r>
      <w:r>
        <w:rPr>
          <w:rFonts w:hint="eastAsia" w:cs="宋体"/>
          <w:b/>
          <w:bCs/>
          <w:color w:val="333333"/>
          <w:sz w:val="30"/>
          <w:szCs w:val="30"/>
          <w:shd w:val="clear" w:color="auto" w:fill="ffffff"/>
          <w:lang w:eastAsia="zh-CN"/>
        </w:rPr>
        <w:t xml:space="preserve">）</w:t>
      </w:r>
      <w:r>
        <w:rPr>
          <w:rFonts w:hint="eastAsia" w:ascii="宋体" w:hAnsi="宋体" w:eastAsia="宋体" w:cs="宋体"/>
          <w:b/>
          <w:bCs/>
          <w:color w:val="333333"/>
          <w:sz w:val="30"/>
          <w:szCs w:val="30"/>
          <w:shd w:val="clear" w:color="auto" w:fill="ffffff"/>
        </w:rPr>
        <w:t xml:space="preserve">标准的声明函</w:t>
      </w:r>
      <w:r/>
    </w:p>
    <w:p>
      <w:pPr>
        <w:pStyle w:val="905"/>
        <w:ind w:lef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905"/>
        <w:ind w:left="0" w:firstLine="42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w:t>
      </w:r>
      <w:r>
        <w:rPr>
          <w:rFonts w:hint="eastAsia" w:cs="宋体"/>
          <w:color w:val="000000"/>
          <w:sz w:val="24"/>
          <w:szCs w:val="24"/>
          <w:lang w:eastAsia="zh-CN"/>
        </w:rPr>
        <w:t xml:space="preserve">（</w:t>
      </w:r>
      <w:r>
        <w:rPr>
          <w:rFonts w:hint="eastAsia" w:cs="宋体"/>
          <w:color w:val="000000"/>
          <w:sz w:val="24"/>
          <w:szCs w:val="24"/>
          <w:lang w:val="en-US" w:eastAsia="zh-CN"/>
        </w:rPr>
        <w:t xml:space="preserve">服务</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属于本国产品</w:t>
      </w:r>
      <w:r>
        <w:rPr>
          <w:rFonts w:hint="eastAsia" w:cs="宋体"/>
          <w:color w:val="000000"/>
          <w:sz w:val="24"/>
          <w:szCs w:val="24"/>
          <w:lang w:eastAsia="zh-CN"/>
        </w:rPr>
        <w:t xml:space="preserve">（</w:t>
      </w:r>
      <w:r>
        <w:rPr>
          <w:rFonts w:hint="eastAsia" w:cs="宋体"/>
          <w:color w:val="000000"/>
          <w:sz w:val="24"/>
          <w:szCs w:val="24"/>
          <w:lang w:val="en-US" w:eastAsia="zh-CN"/>
        </w:rPr>
        <w:t xml:space="preserve">服务</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。具体情况如下：</w:t>
      </w:r>
      <w:r/>
    </w:p>
    <w:p>
      <w:pPr>
        <w:pStyle w:val="905"/>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w:t>
      </w:r>
      <w:r>
        <w:rPr>
          <w:rFonts w:hint="eastAsia" w:cs="宋体"/>
          <w:color w:val="000000"/>
          <w:sz w:val="24"/>
          <w:szCs w:val="24"/>
          <w:u w:val="single"/>
          <w:shd w:val="clear" w:color="auto" w:fill="ffffff"/>
          <w:lang w:val="en-US" w:eastAsia="zh-CN"/>
        </w:rPr>
        <w:t xml:space="preserve">/服务</w:t>
      </w:r>
      <w:r>
        <w:rPr>
          <w:rFonts w:hint="eastAsia" w:ascii="宋体" w:hAnsi="宋体" w:eastAsia="宋体" w:cs="宋体"/>
          <w:color w:val="000000"/>
          <w:sz w:val="24"/>
          <w:szCs w:val="24"/>
          <w:u w:val="single"/>
          <w:shd w:val="clear" w:color="auto" w:fill="ffffff"/>
        </w:rPr>
        <w:t xml:space="preserve">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w:t>
      </w:r>
      <w:r>
        <w:rPr>
          <w:rFonts w:hint="eastAsia" w:cs="宋体"/>
          <w:color w:val="000000"/>
          <w:sz w:val="24"/>
          <w:szCs w:val="24"/>
          <w:shd w:val="clear" w:color="auto" w:fill="ffffff"/>
          <w:lang w:eastAsia="zh-CN"/>
        </w:rPr>
        <w:t xml:space="preserve">（</w:t>
      </w:r>
      <w:r>
        <w:rPr>
          <w:rFonts w:hint="eastAsia" w:cs="宋体"/>
          <w:color w:val="000000"/>
          <w:sz w:val="24"/>
          <w:szCs w:val="24"/>
          <w:shd w:val="clear" w:color="auto" w:fill="ffffff"/>
          <w:lang w:val="en-US" w:eastAsia="zh-CN"/>
        </w:rPr>
        <w:t xml:space="preserve">服务商</w:t>
      </w:r>
      <w:r>
        <w:rPr>
          <w:rFonts w:hint="eastAsia" w:cs="宋体"/>
          <w:color w:val="000000"/>
          <w:sz w:val="24"/>
          <w:szCs w:val="24"/>
          <w:shd w:val="clear" w:color="auto" w:fill="ffffff"/>
          <w:lang w:eastAsia="zh-CN"/>
        </w:rPr>
        <w:t xml:space="preserve">）</w:t>
      </w:r>
      <w:r>
        <w:rPr>
          <w:rFonts w:hint="eastAsia" w:ascii="宋体" w:hAnsi="宋体" w:eastAsia="宋体" w:cs="宋体"/>
          <w:color w:val="000000"/>
          <w:sz w:val="24"/>
          <w:szCs w:val="24"/>
          <w:shd w:val="clear" w:color="auto" w:fill="ffffff"/>
        </w:rPr>
        <w:t xml:space="preserve">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905"/>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905"/>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w:t>
      </w:r>
      <w:r/>
    </w:p>
    <w:p>
      <w:pPr>
        <w:pStyle w:val="905"/>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905"/>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905"/>
        <w:jc w:val="right"/>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905"/>
        <w:jc w:val="center"/>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905"/>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905"/>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905"/>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905"/>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905"/>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905"/>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Symbol">
    <w:panose1 w:val="05050102010706020507"/>
  </w:font>
  <w:font w:name="Wingdings">
    <w:panose1 w:val="05000000000000000000"/>
  </w:font>
  <w:font w:name="楷体_GB2312">
    <w:panose1 w:val="02010609060101010101"/>
  </w:font>
  <w:font w:name="Calibri">
    <w:panose1 w:val="020F0502020204030204"/>
  </w:font>
  <w:font w:name="Courier New">
    <w:panose1 w:val="020703090202050204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Arial">
    <w:panose1 w:val="020B0604020202020204"/>
  </w:font>
  <w:font w:name="创艺简仿宋">
    <w:panose1 w:val="020B0503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9"/>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88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9"/>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88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tabs>
        <w:tab w:val="center" w:pos="4140" w:leader="none"/>
        <w:tab w:val="right" w:pos="8300"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884"/>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8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
      <w:lvlJc w:val="left"/>
      <w:pPr>
        <w:pStyle w:val="884"/>
        <w:ind w:left="0" w:firstLine="0"/>
        <w:tabs>
          <w:tab w:val="num" w:pos="0" w:leader="none"/>
        </w:tabs>
      </w:pPr>
    </w:lvl>
    <w:lvl w:ilvl="1">
      <w:start w:val="1"/>
      <w:numFmt w:val="decimal"/>
      <w:pStyle w:val="886"/>
      <w:isLgl w:val="false"/>
      <w:suff w:val="tab"/>
      <w:lvlText w:val="%1.%2"/>
      <w:lvlJc w:val="left"/>
      <w:pPr>
        <w:pStyle w:val="884"/>
        <w:ind w:left="0" w:firstLine="0"/>
        <w:tabs>
          <w:tab w:val="num" w:pos="0" w:leader="none"/>
        </w:tabs>
      </w:pPr>
    </w:lvl>
    <w:lvl w:ilvl="2">
      <w:start w:val="1"/>
      <w:numFmt w:val="decimal"/>
      <w:isLgl w:val="false"/>
      <w:suff w:val="nothing"/>
      <w:lvlText w:val=""/>
      <w:lvlJc w:val="left"/>
      <w:pPr>
        <w:pStyle w:val="884"/>
        <w:ind w:left="0" w:firstLine="0"/>
        <w:tabs>
          <w:tab w:val="num" w:pos="0" w:leader="none"/>
        </w:tabs>
      </w:pPr>
    </w:lvl>
    <w:lvl w:ilvl="3">
      <w:start w:val="1"/>
      <w:numFmt w:val="decimal"/>
      <w:isLgl w:val="false"/>
      <w:suff w:val="nothing"/>
      <w:lvlText w:val=""/>
      <w:lvlJc w:val="left"/>
      <w:pPr>
        <w:pStyle w:val="884"/>
        <w:ind w:left="0" w:firstLine="0"/>
        <w:tabs>
          <w:tab w:val="num" w:pos="0" w:leader="none"/>
        </w:tabs>
      </w:pPr>
    </w:lvl>
    <w:lvl w:ilvl="4">
      <w:start w:val="1"/>
      <w:numFmt w:val="decimal"/>
      <w:isLgl w:val="false"/>
      <w:suff w:val="nothing"/>
      <w:lvlText w:val=""/>
      <w:lvlJc w:val="left"/>
      <w:pPr>
        <w:pStyle w:val="884"/>
        <w:ind w:left="0" w:firstLine="0"/>
        <w:tabs>
          <w:tab w:val="num" w:pos="0" w:leader="none"/>
        </w:tabs>
      </w:pPr>
    </w:lvl>
    <w:lvl w:ilvl="5">
      <w:start w:val="1"/>
      <w:numFmt w:val="decimal"/>
      <w:isLgl w:val="false"/>
      <w:suff w:val="nothing"/>
      <w:lvlText w:val=""/>
      <w:lvlJc w:val="left"/>
      <w:pPr>
        <w:pStyle w:val="884"/>
        <w:ind w:left="0" w:firstLine="0"/>
        <w:tabs>
          <w:tab w:val="num" w:pos="0" w:leader="none"/>
        </w:tabs>
      </w:pPr>
    </w:lvl>
    <w:lvl w:ilvl="6">
      <w:start w:val="1"/>
      <w:numFmt w:val="decimal"/>
      <w:isLgl w:val="false"/>
      <w:suff w:val="nothing"/>
      <w:lvlText w:val=""/>
      <w:lvlJc w:val="left"/>
      <w:pPr>
        <w:pStyle w:val="884"/>
        <w:ind w:left="0" w:firstLine="0"/>
        <w:tabs>
          <w:tab w:val="num" w:pos="0" w:leader="none"/>
        </w:tabs>
      </w:pPr>
    </w:lvl>
    <w:lvl w:ilvl="7">
      <w:start w:val="1"/>
      <w:numFmt w:val="decimal"/>
      <w:isLgl w:val="false"/>
      <w:suff w:val="nothing"/>
      <w:lvlText w:val=""/>
      <w:lvlJc w:val="left"/>
      <w:pPr>
        <w:pStyle w:val="884"/>
        <w:ind w:left="0" w:firstLine="0"/>
        <w:tabs>
          <w:tab w:val="num" w:pos="0" w:leader="none"/>
        </w:tabs>
      </w:pPr>
    </w:lvl>
    <w:lvl w:ilvl="8">
      <w:start w:val="1"/>
      <w:numFmt w:val="decimal"/>
      <w:isLgl w:val="false"/>
      <w:suff w:val="nothing"/>
      <w:lvlText w:val=""/>
      <w:lvlJc w:val="left"/>
      <w:pPr>
        <w:pStyle w:val="884"/>
        <w:ind w:left="0" w:firstLine="0"/>
        <w:tabs>
          <w:tab w:val="num" w:pos="0" w:leader="none"/>
        </w:tabs>
      </w:pPr>
    </w:lvl>
  </w:abstractNum>
  <w:abstractNum w:abstractNumId="5">
    <w:multiLevelType w:val="hybridMultilevel"/>
    <w:lvl w:ilvl="0">
      <w:start w:val="2"/>
      <w:numFmt w:val="decimal"/>
      <w:isLgl w:val="false"/>
      <w:suff w:val="nothing"/>
      <w:lvlText w:val="（%1）"/>
      <w:lvlJc w:val="left"/>
      <w:pPr>
        <w:pStyle w:val="884"/>
        <w:ind w:left="0" w:firstLine="0"/>
        <w:tabs>
          <w:tab w:val="num"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pStyle w:val="8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tab"/>
      <w:lvlText w:val="%1."/>
      <w:lvlJc w:val="left"/>
      <w:pPr>
        <w:pStyle w:val="88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pStyle w:val="8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8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88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884"/>
      </w:pPr>
    </w:lvl>
    <w:lvl w:ilvl="1">
      <w:start w:val="1"/>
      <w:numFmt w:val="bullet"/>
      <w:isLgl w:val="false"/>
      <w:suff w:val="tab"/>
      <w:lvlText w:val="o"/>
      <w:lvlJc w:val="left"/>
      <w:pPr>
        <w:pStyle w:val="884"/>
        <w:ind w:left="1440" w:hanging="360"/>
      </w:pPr>
      <w:rPr>
        <w:rFonts w:ascii="Courier New" w:hAnsi="Courier New" w:eastAsia="Courier New" w:cs="Courier New"/>
      </w:rPr>
    </w:lvl>
    <w:lvl w:ilvl="2">
      <w:start w:val="1"/>
      <w:numFmt w:val="bullet"/>
      <w:isLgl w:val="false"/>
      <w:suff w:val="tab"/>
      <w:lvlText w:val="§"/>
      <w:lvlJc w:val="left"/>
      <w:pPr>
        <w:pStyle w:val="884"/>
        <w:ind w:left="2160" w:hanging="360"/>
      </w:pPr>
      <w:rPr>
        <w:rFonts w:ascii="Wingdings" w:hAnsi="Wingdings" w:eastAsia="Wingdings" w:cs="Wingdings"/>
      </w:rPr>
    </w:lvl>
    <w:lvl w:ilvl="3">
      <w:start w:val="1"/>
      <w:numFmt w:val="bullet"/>
      <w:isLgl w:val="false"/>
      <w:suff w:val="tab"/>
      <w:lvlText w:val="·"/>
      <w:lvlJc w:val="left"/>
      <w:pPr>
        <w:pStyle w:val="884"/>
        <w:ind w:left="2880" w:hanging="360"/>
      </w:pPr>
      <w:rPr>
        <w:rFonts w:ascii="Symbol" w:hAnsi="Symbol" w:eastAsia="Symbol" w:cs="Symbol"/>
      </w:rPr>
    </w:lvl>
    <w:lvl w:ilvl="4">
      <w:start w:val="1"/>
      <w:numFmt w:val="bullet"/>
      <w:isLgl w:val="false"/>
      <w:suff w:val="tab"/>
      <w:lvlText w:val="o"/>
      <w:lvlJc w:val="left"/>
      <w:pPr>
        <w:pStyle w:val="884"/>
        <w:ind w:left="3600" w:hanging="360"/>
      </w:pPr>
      <w:rPr>
        <w:rFonts w:ascii="Courier New" w:hAnsi="Courier New" w:eastAsia="Courier New" w:cs="Courier New"/>
      </w:rPr>
    </w:lvl>
    <w:lvl w:ilvl="5">
      <w:start w:val="1"/>
      <w:numFmt w:val="bullet"/>
      <w:isLgl w:val="false"/>
      <w:suff w:val="tab"/>
      <w:lvlText w:val="§"/>
      <w:lvlJc w:val="left"/>
      <w:pPr>
        <w:pStyle w:val="884"/>
        <w:ind w:left="4320" w:hanging="360"/>
      </w:pPr>
      <w:rPr>
        <w:rFonts w:ascii="Wingdings" w:hAnsi="Wingdings" w:eastAsia="Wingdings" w:cs="Wingdings"/>
      </w:rPr>
    </w:lvl>
    <w:lvl w:ilvl="6">
      <w:start w:val="1"/>
      <w:numFmt w:val="bullet"/>
      <w:isLgl w:val="false"/>
      <w:suff w:val="tab"/>
      <w:lvlText w:val="·"/>
      <w:lvlJc w:val="left"/>
      <w:pPr>
        <w:pStyle w:val="884"/>
        <w:ind w:left="5040" w:hanging="360"/>
      </w:pPr>
      <w:rPr>
        <w:rFonts w:ascii="Symbol" w:hAnsi="Symbol" w:eastAsia="Symbol" w:cs="Symbol"/>
      </w:rPr>
    </w:lvl>
    <w:lvl w:ilvl="7">
      <w:start w:val="1"/>
      <w:numFmt w:val="bullet"/>
      <w:isLgl w:val="false"/>
      <w:suff w:val="tab"/>
      <w:lvlText w:val="o"/>
      <w:lvlJc w:val="left"/>
      <w:pPr>
        <w:pStyle w:val="884"/>
        <w:ind w:left="5760" w:hanging="360"/>
      </w:pPr>
      <w:rPr>
        <w:rFonts w:ascii="Courier New" w:hAnsi="Courier New" w:eastAsia="Courier New" w:cs="Courier New"/>
      </w:rPr>
    </w:lvl>
    <w:lvl w:ilvl="8">
      <w:start w:val="1"/>
      <w:numFmt w:val="bullet"/>
      <w:isLgl w:val="false"/>
      <w:suff w:val="tab"/>
      <w:lvlText w:val="§"/>
      <w:lvlJc w:val="left"/>
      <w:pPr>
        <w:pStyle w:val="884"/>
        <w:ind w:left="6480" w:hanging="360"/>
      </w:pPr>
      <w:rPr>
        <w:rFonts w:ascii="Wingdings" w:hAnsi="Wingdings" w:eastAsia="Wingdings" w:cs="Wingdings"/>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
    <w:lvlOverride w:ilvl="0">
      <w:startOverride w:val="5"/>
    </w:lvlOverride>
  </w:num>
  <w:num w:numId="4">
    <w:abstractNumId w:val="3"/>
  </w:num>
  <w:num w:numId="5">
    <w:abstractNumId w:val="10"/>
  </w:num>
  <w:num w:numId="6">
    <w:abstractNumId w:val="9"/>
  </w:num>
  <w:num w:numId="7">
    <w:abstractNumId w:val="8"/>
  </w:num>
  <w:num w:numId="8">
    <w:abstractNumId w:val="7"/>
  </w:num>
  <w:num w:numId="9">
    <w:abstractNumId w:val="0"/>
  </w:num>
  <w:num w:numId="10">
    <w:abstractNumId w:val="11"/>
  </w:num>
  <w:num w:numId="11">
    <w:abstractNumId w:val="2"/>
  </w:num>
  <w:num w:numId="12">
    <w:abstractNumId w:val="5"/>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name w:val="Heading 1"/>
    <w:basedOn w:val="884"/>
    <w:next w:val="884"/>
    <w:link w:val="707"/>
    <w:uiPriority w:val="9"/>
    <w:qFormat/>
    <w:pPr>
      <w:keepLines/>
      <w:keepNext/>
      <w:spacing w:before="480" w:after="200"/>
      <w:outlineLvl w:val="0"/>
    </w:pPr>
    <w:rPr>
      <w:rFonts w:ascii="Arial" w:hAnsi="Arial" w:eastAsia="Arial" w:cs="Arial"/>
      <w:sz w:val="40"/>
      <w:szCs w:val="40"/>
    </w:rPr>
  </w:style>
  <w:style w:type="character" w:styleId="707">
    <w:name w:val="Heading 1 Char"/>
    <w:link w:val="706"/>
    <w:uiPriority w:val="9"/>
    <w:rPr>
      <w:rFonts w:ascii="Arial" w:hAnsi="Arial" w:eastAsia="Arial" w:cs="Arial"/>
      <w:sz w:val="40"/>
      <w:szCs w:val="40"/>
    </w:rPr>
  </w:style>
  <w:style w:type="paragraph" w:styleId="708">
    <w:name w:val="Heading 2"/>
    <w:basedOn w:val="884"/>
    <w:next w:val="884"/>
    <w:link w:val="709"/>
    <w:uiPriority w:val="9"/>
    <w:unhideWhenUsed/>
    <w:qFormat/>
    <w:pPr>
      <w:keepLines/>
      <w:keepNext/>
      <w:spacing w:before="360" w:after="200"/>
      <w:outlineLvl w:val="1"/>
    </w:pPr>
    <w:rPr>
      <w:rFonts w:ascii="Arial" w:hAnsi="Arial" w:eastAsia="Arial" w:cs="Arial"/>
      <w:sz w:val="34"/>
    </w:rPr>
  </w:style>
  <w:style w:type="character" w:styleId="709">
    <w:name w:val="Heading 2 Char"/>
    <w:link w:val="708"/>
    <w:uiPriority w:val="9"/>
    <w:rPr>
      <w:rFonts w:ascii="Arial" w:hAnsi="Arial" w:eastAsia="Arial" w:cs="Arial"/>
      <w:sz w:val="34"/>
    </w:rPr>
  </w:style>
  <w:style w:type="paragraph" w:styleId="710">
    <w:name w:val="Heading 3"/>
    <w:basedOn w:val="884"/>
    <w:next w:val="884"/>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link w:val="710"/>
    <w:uiPriority w:val="9"/>
    <w:rPr>
      <w:rFonts w:ascii="Arial" w:hAnsi="Arial" w:eastAsia="Arial" w:cs="Arial"/>
      <w:sz w:val="30"/>
      <w:szCs w:val="30"/>
    </w:rPr>
  </w:style>
  <w:style w:type="paragraph" w:styleId="712">
    <w:name w:val="Heading 4"/>
    <w:basedOn w:val="884"/>
    <w:next w:val="884"/>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link w:val="712"/>
    <w:uiPriority w:val="9"/>
    <w:rPr>
      <w:rFonts w:ascii="Arial" w:hAnsi="Arial" w:eastAsia="Arial" w:cs="Arial"/>
      <w:b/>
      <w:bCs/>
      <w:sz w:val="26"/>
      <w:szCs w:val="26"/>
    </w:rPr>
  </w:style>
  <w:style w:type="paragraph" w:styleId="714">
    <w:name w:val="Heading 5"/>
    <w:basedOn w:val="884"/>
    <w:next w:val="884"/>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link w:val="714"/>
    <w:uiPriority w:val="9"/>
    <w:rPr>
      <w:rFonts w:ascii="Arial" w:hAnsi="Arial" w:eastAsia="Arial" w:cs="Arial"/>
      <w:b/>
      <w:bCs/>
      <w:sz w:val="24"/>
      <w:szCs w:val="24"/>
    </w:rPr>
  </w:style>
  <w:style w:type="paragraph" w:styleId="716">
    <w:name w:val="Heading 6"/>
    <w:basedOn w:val="884"/>
    <w:next w:val="884"/>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link w:val="716"/>
    <w:uiPriority w:val="9"/>
    <w:rPr>
      <w:rFonts w:ascii="Arial" w:hAnsi="Arial" w:eastAsia="Arial" w:cs="Arial"/>
      <w:b/>
      <w:bCs/>
      <w:sz w:val="22"/>
      <w:szCs w:val="22"/>
    </w:rPr>
  </w:style>
  <w:style w:type="paragraph" w:styleId="718">
    <w:name w:val="Heading 7"/>
    <w:basedOn w:val="884"/>
    <w:next w:val="884"/>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link w:val="718"/>
    <w:uiPriority w:val="9"/>
    <w:rPr>
      <w:rFonts w:ascii="Arial" w:hAnsi="Arial" w:eastAsia="Arial" w:cs="Arial"/>
      <w:b/>
      <w:bCs/>
      <w:i/>
      <w:iCs/>
      <w:sz w:val="22"/>
      <w:szCs w:val="22"/>
    </w:rPr>
  </w:style>
  <w:style w:type="paragraph" w:styleId="720">
    <w:name w:val="Heading 8"/>
    <w:basedOn w:val="884"/>
    <w:next w:val="884"/>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link w:val="720"/>
    <w:uiPriority w:val="9"/>
    <w:rPr>
      <w:rFonts w:ascii="Arial" w:hAnsi="Arial" w:eastAsia="Arial" w:cs="Arial"/>
      <w:i/>
      <w:iCs/>
      <w:sz w:val="22"/>
      <w:szCs w:val="22"/>
    </w:rPr>
  </w:style>
  <w:style w:type="paragraph" w:styleId="722">
    <w:name w:val="Heading 9"/>
    <w:basedOn w:val="884"/>
    <w:next w:val="884"/>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link w:val="722"/>
    <w:uiPriority w:val="9"/>
    <w:rPr>
      <w:rFonts w:ascii="Arial" w:hAnsi="Arial" w:eastAsia="Arial" w:cs="Arial"/>
      <w:i/>
      <w:iCs/>
      <w:sz w:val="21"/>
      <w:szCs w:val="21"/>
    </w:rPr>
  </w:style>
  <w:style w:type="paragraph" w:styleId="724">
    <w:name w:val="List Paragraph"/>
    <w:basedOn w:val="884"/>
    <w:uiPriority w:val="34"/>
    <w:qFormat/>
    <w:pPr>
      <w:contextualSpacing/>
      <w:ind w:left="720"/>
    </w:pPr>
  </w:style>
  <w:style w:type="paragraph" w:styleId="725">
    <w:name w:val="No Spacing"/>
    <w:uiPriority w:val="1"/>
    <w:qFormat/>
    <w:pPr>
      <w:spacing w:before="0" w:after="0" w:line="240" w:lineRule="auto"/>
    </w:pPr>
  </w:style>
  <w:style w:type="paragraph" w:styleId="726">
    <w:name w:val="Title"/>
    <w:basedOn w:val="884"/>
    <w:next w:val="884"/>
    <w:link w:val="727"/>
    <w:uiPriority w:val="10"/>
    <w:qFormat/>
    <w:pPr>
      <w:contextualSpacing/>
      <w:spacing w:before="300" w:after="200"/>
    </w:pPr>
    <w:rPr>
      <w:sz w:val="48"/>
      <w:szCs w:val="48"/>
    </w:rPr>
  </w:style>
  <w:style w:type="character" w:styleId="727">
    <w:name w:val="Title Char"/>
    <w:link w:val="726"/>
    <w:uiPriority w:val="10"/>
    <w:rPr>
      <w:sz w:val="48"/>
      <w:szCs w:val="48"/>
    </w:rPr>
  </w:style>
  <w:style w:type="paragraph" w:styleId="728">
    <w:name w:val="Subtitle"/>
    <w:basedOn w:val="884"/>
    <w:next w:val="884"/>
    <w:link w:val="729"/>
    <w:uiPriority w:val="11"/>
    <w:qFormat/>
    <w:pPr>
      <w:spacing w:before="200" w:after="200"/>
    </w:pPr>
    <w:rPr>
      <w:sz w:val="24"/>
      <w:szCs w:val="24"/>
    </w:rPr>
  </w:style>
  <w:style w:type="character" w:styleId="729">
    <w:name w:val="Subtitle Char"/>
    <w:link w:val="728"/>
    <w:uiPriority w:val="11"/>
    <w:rPr>
      <w:sz w:val="24"/>
      <w:szCs w:val="24"/>
    </w:rPr>
  </w:style>
  <w:style w:type="paragraph" w:styleId="730">
    <w:name w:val="Quote"/>
    <w:basedOn w:val="884"/>
    <w:next w:val="884"/>
    <w:link w:val="731"/>
    <w:uiPriority w:val="29"/>
    <w:qFormat/>
    <w:pPr>
      <w:ind w:left="720" w:right="720"/>
    </w:pPr>
    <w:rPr>
      <w:i/>
    </w:rPr>
  </w:style>
  <w:style w:type="character" w:styleId="731">
    <w:name w:val="Quote Char"/>
    <w:link w:val="730"/>
    <w:uiPriority w:val="29"/>
    <w:rPr>
      <w:i/>
    </w:rPr>
  </w:style>
  <w:style w:type="paragraph" w:styleId="732">
    <w:name w:val="Intense Quote"/>
    <w:basedOn w:val="884"/>
    <w:next w:val="884"/>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name w:val="Intense Quote Char"/>
    <w:link w:val="732"/>
    <w:uiPriority w:val="30"/>
    <w:rPr>
      <w:i/>
    </w:rPr>
  </w:style>
  <w:style w:type="paragraph" w:styleId="734">
    <w:name w:val="Header"/>
    <w:basedOn w:val="884"/>
    <w:link w:val="735"/>
    <w:uiPriority w:val="99"/>
    <w:unhideWhenUsed/>
    <w:pPr>
      <w:spacing w:after="0" w:line="240" w:lineRule="auto"/>
      <w:tabs>
        <w:tab w:val="center" w:pos="7143" w:leader="none"/>
        <w:tab w:val="right" w:pos="14287" w:leader="none"/>
      </w:tabs>
    </w:pPr>
  </w:style>
  <w:style w:type="character" w:styleId="735">
    <w:name w:val="Header Char"/>
    <w:link w:val="734"/>
    <w:uiPriority w:val="99"/>
  </w:style>
  <w:style w:type="paragraph" w:styleId="736">
    <w:name w:val="Footer"/>
    <w:basedOn w:val="884"/>
    <w:link w:val="739"/>
    <w:uiPriority w:val="99"/>
    <w:unhideWhenUsed/>
    <w:pPr>
      <w:spacing w:after="0" w:line="240" w:lineRule="auto"/>
      <w:tabs>
        <w:tab w:val="center" w:pos="7143" w:leader="none"/>
        <w:tab w:val="right" w:pos="14287" w:leader="none"/>
      </w:tabs>
    </w:pPr>
  </w:style>
  <w:style w:type="character" w:styleId="737">
    <w:name w:val="Footer Char"/>
    <w:link w:val="736"/>
    <w:uiPriority w:val="99"/>
  </w:style>
  <w:style w:type="paragraph" w:styleId="738">
    <w:name w:val="Caption"/>
    <w:basedOn w:val="884"/>
    <w:next w:val="884"/>
    <w:uiPriority w:val="35"/>
    <w:semiHidden/>
    <w:unhideWhenUsed/>
    <w:qFormat/>
    <w:pPr>
      <w:spacing w:line="276" w:lineRule="auto"/>
    </w:pPr>
    <w:rPr>
      <w:b/>
      <w:bCs/>
      <w:color w:val="4f81bd" w:themeColor="accent1"/>
      <w:sz w:val="18"/>
      <w:szCs w:val="18"/>
    </w:rPr>
  </w:style>
  <w:style w:type="character" w:styleId="739">
    <w:name w:val="Caption Char"/>
    <w:basedOn w:val="738"/>
    <w:link w:val="736"/>
    <w:uiPriority w:val="99"/>
  </w:style>
  <w:style w:type="table" w:styleId="74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6">
    <w:name w:val="Hyperlink"/>
    <w:uiPriority w:val="99"/>
    <w:unhideWhenUsed/>
    <w:rPr>
      <w:color w:val="0000ff" w:themeColor="hyperlink"/>
      <w:u w:val="single"/>
    </w:rPr>
  </w:style>
  <w:style w:type="paragraph" w:styleId="867">
    <w:name w:val="footnote text"/>
    <w:basedOn w:val="884"/>
    <w:link w:val="868"/>
    <w:uiPriority w:val="99"/>
    <w:semiHidden/>
    <w:unhideWhenUsed/>
    <w:pPr>
      <w:spacing w:after="40" w:line="240" w:lineRule="auto"/>
    </w:pPr>
    <w:rPr>
      <w:sz w:val="18"/>
    </w:rPr>
  </w:style>
  <w:style w:type="character" w:styleId="868">
    <w:name w:val="Footnote Text Char"/>
    <w:link w:val="867"/>
    <w:uiPriority w:val="99"/>
    <w:rPr>
      <w:sz w:val="18"/>
    </w:rPr>
  </w:style>
  <w:style w:type="character" w:styleId="869">
    <w:name w:val="footnote reference"/>
    <w:uiPriority w:val="99"/>
    <w:unhideWhenUsed/>
    <w:rPr>
      <w:vertAlign w:val="superscript"/>
    </w:rPr>
  </w:style>
  <w:style w:type="paragraph" w:styleId="870">
    <w:name w:val="endnote text"/>
    <w:basedOn w:val="884"/>
    <w:link w:val="871"/>
    <w:uiPriority w:val="99"/>
    <w:semiHidden/>
    <w:unhideWhenUsed/>
    <w:pPr>
      <w:spacing w:after="0" w:line="240" w:lineRule="auto"/>
    </w:pPr>
    <w:rPr>
      <w:sz w:val="20"/>
    </w:rPr>
  </w:style>
  <w:style w:type="character" w:styleId="871">
    <w:name w:val="Endnote Text Char"/>
    <w:link w:val="870"/>
    <w:uiPriority w:val="99"/>
    <w:rPr>
      <w:sz w:val="20"/>
    </w:rPr>
  </w:style>
  <w:style w:type="character" w:styleId="872">
    <w:name w:val="endnote reference"/>
    <w:uiPriority w:val="99"/>
    <w:semiHidden/>
    <w:unhideWhenUsed/>
    <w:rPr>
      <w:vertAlign w:val="superscript"/>
    </w:rPr>
  </w:style>
  <w:style w:type="paragraph" w:styleId="873">
    <w:name w:val="toc 1"/>
    <w:basedOn w:val="884"/>
    <w:next w:val="884"/>
    <w:uiPriority w:val="39"/>
    <w:unhideWhenUsed/>
    <w:pPr>
      <w:ind w:left="0" w:right="0" w:firstLine="0"/>
      <w:spacing w:after="57"/>
    </w:pPr>
  </w:style>
  <w:style w:type="paragraph" w:styleId="874">
    <w:name w:val="toc 2"/>
    <w:basedOn w:val="884"/>
    <w:next w:val="884"/>
    <w:uiPriority w:val="39"/>
    <w:unhideWhenUsed/>
    <w:pPr>
      <w:ind w:left="283" w:right="0" w:firstLine="0"/>
      <w:spacing w:after="57"/>
    </w:pPr>
  </w:style>
  <w:style w:type="paragraph" w:styleId="875">
    <w:name w:val="toc 3"/>
    <w:basedOn w:val="884"/>
    <w:next w:val="884"/>
    <w:uiPriority w:val="39"/>
    <w:unhideWhenUsed/>
    <w:pPr>
      <w:ind w:left="567" w:right="0" w:firstLine="0"/>
      <w:spacing w:after="57"/>
    </w:pPr>
  </w:style>
  <w:style w:type="paragraph" w:styleId="876">
    <w:name w:val="toc 4"/>
    <w:basedOn w:val="884"/>
    <w:next w:val="884"/>
    <w:uiPriority w:val="39"/>
    <w:unhideWhenUsed/>
    <w:pPr>
      <w:ind w:left="850" w:right="0" w:firstLine="0"/>
      <w:spacing w:after="57"/>
    </w:pPr>
  </w:style>
  <w:style w:type="paragraph" w:styleId="877">
    <w:name w:val="toc 5"/>
    <w:basedOn w:val="884"/>
    <w:next w:val="884"/>
    <w:uiPriority w:val="39"/>
    <w:unhideWhenUsed/>
    <w:pPr>
      <w:ind w:left="1134" w:right="0" w:firstLine="0"/>
      <w:spacing w:after="57"/>
    </w:pPr>
  </w:style>
  <w:style w:type="paragraph" w:styleId="878">
    <w:name w:val="toc 6"/>
    <w:basedOn w:val="884"/>
    <w:next w:val="884"/>
    <w:uiPriority w:val="39"/>
    <w:unhideWhenUsed/>
    <w:pPr>
      <w:ind w:left="1417" w:right="0" w:firstLine="0"/>
      <w:spacing w:after="57"/>
    </w:pPr>
  </w:style>
  <w:style w:type="paragraph" w:styleId="879">
    <w:name w:val="toc 7"/>
    <w:basedOn w:val="884"/>
    <w:next w:val="884"/>
    <w:uiPriority w:val="39"/>
    <w:unhideWhenUsed/>
    <w:pPr>
      <w:ind w:left="1701" w:right="0" w:firstLine="0"/>
      <w:spacing w:after="57"/>
    </w:pPr>
  </w:style>
  <w:style w:type="paragraph" w:styleId="880">
    <w:name w:val="toc 8"/>
    <w:basedOn w:val="884"/>
    <w:next w:val="884"/>
    <w:uiPriority w:val="39"/>
    <w:unhideWhenUsed/>
    <w:pPr>
      <w:ind w:left="1984" w:right="0" w:firstLine="0"/>
      <w:spacing w:after="57"/>
    </w:pPr>
  </w:style>
  <w:style w:type="paragraph" w:styleId="881">
    <w:name w:val="toc 9"/>
    <w:basedOn w:val="884"/>
    <w:next w:val="884"/>
    <w:uiPriority w:val="39"/>
    <w:unhideWhenUsed/>
    <w:pPr>
      <w:ind w:left="2268" w:right="0" w:firstLine="0"/>
      <w:spacing w:after="57"/>
    </w:pPr>
  </w:style>
  <w:style w:type="paragraph" w:styleId="882">
    <w:name w:val="TOC Heading"/>
    <w:uiPriority w:val="39"/>
    <w:unhideWhenUsed/>
  </w:style>
  <w:style w:type="paragraph" w:styleId="883">
    <w:name w:val="table of figures"/>
    <w:basedOn w:val="884"/>
    <w:next w:val="884"/>
    <w:uiPriority w:val="99"/>
    <w:unhideWhenUsed/>
    <w:pPr>
      <w:spacing w:after="0" w:afterAutospacing="0"/>
    </w:pPr>
  </w:style>
  <w:style w:type="paragraph" w:styleId="884" w:default="1">
    <w:name w:val="Normal"/>
    <w:next w:val="884"/>
    <w:link w:val="884"/>
    <w:qFormat/>
    <w:pPr>
      <w:jc w:val="both"/>
      <w:widowControl w:val="off"/>
    </w:pPr>
    <w:rPr>
      <w:sz w:val="21"/>
      <w:szCs w:val="22"/>
      <w:lang w:val="en-US" w:eastAsia="zh-CN" w:bidi="ar-SA"/>
    </w:rPr>
  </w:style>
  <w:style w:type="paragraph" w:styleId="885">
    <w:name w:val="标题 1"/>
    <w:basedOn w:val="884"/>
    <w:next w:val="884"/>
    <w:link w:val="889"/>
    <w:qFormat/>
    <w:pPr>
      <w:keepLines/>
      <w:keepNext/>
      <w:spacing w:before="340" w:after="330" w:line="576" w:lineRule="auto"/>
      <w:outlineLvl w:val="0"/>
    </w:pPr>
    <w:rPr>
      <w:b/>
      <w:sz w:val="44"/>
      <w:szCs w:val="24"/>
    </w:rPr>
  </w:style>
  <w:style w:type="paragraph" w:styleId="886">
    <w:name w:val="标题 2"/>
    <w:basedOn w:val="884"/>
    <w:next w:val="891"/>
    <w:link w:val="890"/>
    <w:uiPriority w:val="2"/>
    <w:qFormat/>
    <w:pPr>
      <w:numPr>
        <w:ilvl w:val="1"/>
        <w:numId w:val="1"/>
      </w:numPr>
      <w:jc w:val="left"/>
      <w:keepLines/>
      <w:keepNext/>
      <w:spacing w:before="50"/>
      <w:tabs>
        <w:tab w:val="left" w:pos="0" w:leader="none"/>
      </w:tabs>
      <w:outlineLvl w:val="1"/>
    </w:pPr>
    <w:rPr>
      <w:rFonts w:ascii="Arial" w:hAnsi="Arial" w:eastAsia="黑体"/>
      <w:sz w:val="32"/>
      <w:szCs w:val="20"/>
    </w:rPr>
  </w:style>
  <w:style w:type="character" w:styleId="887">
    <w:name w:val="默认段落字体"/>
    <w:next w:val="887"/>
    <w:link w:val="884"/>
    <w:uiPriority w:val="1"/>
    <w:unhideWhenUsed/>
  </w:style>
  <w:style w:type="table" w:styleId="888">
    <w:name w:val="普通表格"/>
    <w:next w:val="888"/>
    <w:link w:val="884"/>
    <w:uiPriority w:val="99"/>
    <w:unhideWhenUsed/>
    <w:tblPr/>
  </w:style>
  <w:style w:type="character" w:styleId="889">
    <w:name w:val="标题 1 Char"/>
    <w:next w:val="889"/>
    <w:link w:val="885"/>
    <w:rPr>
      <w:rFonts w:ascii="Times New Roman" w:hAnsi="Times New Roman"/>
      <w:b/>
      <w:sz w:val="44"/>
      <w:szCs w:val="24"/>
    </w:rPr>
  </w:style>
  <w:style w:type="character" w:styleId="890">
    <w:name w:val="标题 2 Char"/>
    <w:next w:val="890"/>
    <w:link w:val="886"/>
    <w:uiPriority w:val="2"/>
    <w:semiHidden/>
    <w:rPr>
      <w:rFonts w:ascii="Arial" w:hAnsi="Arial" w:eastAsia="黑体" w:cs="Arial"/>
      <w:sz w:val="32"/>
    </w:rPr>
  </w:style>
  <w:style w:type="paragraph" w:styleId="891">
    <w:name w:val="正文文本"/>
    <w:basedOn w:val="884"/>
    <w:next w:val="891"/>
    <w:link w:val="884"/>
    <w:qFormat/>
    <w:pPr>
      <w:widowControl/>
    </w:pPr>
    <w:rPr>
      <w:rFonts w:hint="eastAsia" w:ascii="仿宋_GB2312" w:eastAsia="仿宋_GB2312"/>
      <w:sz w:val="24"/>
    </w:rPr>
  </w:style>
  <w:style w:type="paragraph" w:styleId="892">
    <w:name w:val="注释标题"/>
    <w:basedOn w:val="884"/>
    <w:next w:val="884"/>
    <w:link w:val="893"/>
    <w:unhideWhenUsed/>
    <w:qFormat/>
    <w:pPr>
      <w:jc w:val="center"/>
    </w:pPr>
    <w:rPr>
      <w:szCs w:val="24"/>
    </w:rPr>
  </w:style>
  <w:style w:type="character" w:styleId="893">
    <w:name w:val="注释标题 Char"/>
    <w:next w:val="893"/>
    <w:link w:val="892"/>
    <w:semiHidden/>
    <w:rPr>
      <w:rFonts w:ascii="Times New Roman" w:hAnsi="Times New Roman"/>
      <w:sz w:val="21"/>
      <w:szCs w:val="24"/>
    </w:rPr>
  </w:style>
  <w:style w:type="paragraph" w:styleId="894">
    <w:name w:val="正文缩进"/>
    <w:basedOn w:val="884"/>
    <w:next w:val="894"/>
    <w:link w:val="884"/>
    <w:qFormat/>
    <w:pPr>
      <w:ind w:firstLine="420"/>
    </w:pPr>
    <w:rPr>
      <w:sz w:val="24"/>
      <w:szCs w:val="20"/>
    </w:rPr>
  </w:style>
  <w:style w:type="paragraph" w:styleId="895">
    <w:name w:val="正文文本缩进"/>
    <w:basedOn w:val="884"/>
    <w:next w:val="895"/>
    <w:link w:val="884"/>
    <w:pPr>
      <w:ind w:left="570"/>
      <w:spacing w:line="520" w:lineRule="exact"/>
    </w:pPr>
    <w:rPr>
      <w:rFonts w:ascii="方正仿宋简体" w:hAnsi="创艺简仿宋" w:eastAsia="方正仿宋简体"/>
      <w:sz w:val="24"/>
    </w:rPr>
  </w:style>
  <w:style w:type="paragraph" w:styleId="896">
    <w:name w:val="索引 4"/>
    <w:basedOn w:val="884"/>
    <w:next w:val="884"/>
    <w:link w:val="884"/>
    <w:qFormat/>
    <w:pPr>
      <w:ind w:left="600"/>
    </w:pPr>
    <w:rPr>
      <w:rFonts w:ascii="Verdana" w:hAnsi="Verdana" w:eastAsia="宋体" w:cs="Times New Roman"/>
      <w:szCs w:val="20"/>
    </w:rPr>
  </w:style>
  <w:style w:type="paragraph" w:styleId="897">
    <w:name w:val="批注框文本"/>
    <w:basedOn w:val="884"/>
    <w:next w:val="897"/>
    <w:link w:val="898"/>
    <w:uiPriority w:val="99"/>
    <w:unhideWhenUsed/>
    <w:rPr>
      <w:sz w:val="18"/>
      <w:szCs w:val="18"/>
    </w:rPr>
  </w:style>
  <w:style w:type="character" w:styleId="898">
    <w:name w:val="批注框文本 Char"/>
    <w:basedOn w:val="887"/>
    <w:next w:val="898"/>
    <w:link w:val="897"/>
    <w:uiPriority w:val="99"/>
    <w:semiHidden/>
    <w:rPr>
      <w:sz w:val="18"/>
      <w:szCs w:val="18"/>
    </w:rPr>
  </w:style>
  <w:style w:type="paragraph" w:styleId="899">
    <w:name w:val="页脚"/>
    <w:basedOn w:val="884"/>
    <w:next w:val="899"/>
    <w:link w:val="900"/>
    <w:unhideWhenUsed/>
    <w:pPr>
      <w:jc w:val="left"/>
      <w:tabs>
        <w:tab w:val="center" w:pos="4153" w:leader="none"/>
        <w:tab w:val="right" w:pos="8306" w:leader="none"/>
      </w:tabs>
    </w:pPr>
    <w:rPr>
      <w:sz w:val="18"/>
      <w:szCs w:val="18"/>
    </w:rPr>
  </w:style>
  <w:style w:type="character" w:styleId="900">
    <w:name w:val="页脚 Char"/>
    <w:next w:val="900"/>
    <w:link w:val="899"/>
    <w:semiHidden/>
    <w:rPr>
      <w:rFonts w:ascii="Times New Roman" w:hAnsi="Times New Roman"/>
      <w:sz w:val="18"/>
      <w:szCs w:val="18"/>
    </w:rPr>
  </w:style>
  <w:style w:type="paragraph" w:styleId="901">
    <w:name w:val="页眉"/>
    <w:basedOn w:val="884"/>
    <w:next w:val="901"/>
    <w:link w:val="902"/>
    <w:unhideWhenUsed/>
    <w:pPr>
      <w:jc w:val="center"/>
      <w:tabs>
        <w:tab w:val="center" w:pos="4153" w:leader="none"/>
        <w:tab w:val="right" w:pos="8306" w:leader="none"/>
      </w:tabs>
      <w:pBdr>
        <w:bottom w:val="single" w:color="000000" w:sz="6" w:space="1"/>
      </w:pBdr>
    </w:pPr>
    <w:rPr>
      <w:sz w:val="18"/>
      <w:szCs w:val="18"/>
    </w:rPr>
  </w:style>
  <w:style w:type="character" w:styleId="902">
    <w:name w:val="页眉 Char"/>
    <w:next w:val="902"/>
    <w:link w:val="901"/>
    <w:semiHidden/>
    <w:rPr>
      <w:rFonts w:ascii="Times New Roman" w:hAnsi="Times New Roman"/>
      <w:sz w:val="18"/>
      <w:szCs w:val="18"/>
    </w:rPr>
  </w:style>
  <w:style w:type="paragraph" w:styleId="903">
    <w:name w:val="目录 1"/>
    <w:basedOn w:val="884"/>
    <w:next w:val="884"/>
    <w:link w:val="884"/>
    <w:uiPriority w:val="39"/>
    <w:unhideWhenUsed/>
  </w:style>
  <w:style w:type="paragraph" w:styleId="904">
    <w:name w:val="正文文本 2"/>
    <w:basedOn w:val="884"/>
    <w:next w:val="904"/>
    <w:link w:val="884"/>
    <w:qFormat/>
    <w:pPr>
      <w:spacing w:line="440" w:lineRule="exact"/>
    </w:pPr>
    <w:rPr>
      <w:rFonts w:ascii="Arial" w:hAnsi="Arial" w:eastAsia="仿宋_GB2312"/>
      <w:b/>
      <w:sz w:val="32"/>
    </w:rPr>
  </w:style>
  <w:style w:type="paragraph" w:styleId="905">
    <w:name w:val="普通(网站)"/>
    <w:basedOn w:val="884"/>
    <w:next w:val="905"/>
    <w:link w:val="884"/>
    <w:uiPriority w:val="99"/>
    <w:unhideWhenUsed/>
    <w:pPr>
      <w:jc w:val="left"/>
      <w:spacing w:before="100" w:beforeAutospacing="1" w:after="100" w:afterAutospacing="1"/>
      <w:widowControl/>
    </w:pPr>
    <w:rPr>
      <w:rFonts w:ascii="宋体" w:hAnsi="宋体" w:cs="宋体"/>
      <w:sz w:val="24"/>
      <w:szCs w:val="24"/>
    </w:rPr>
  </w:style>
  <w:style w:type="paragraph" w:styleId="906">
    <w:name w:val="索引 1"/>
    <w:basedOn w:val="884"/>
    <w:next w:val="884"/>
    <w:link w:val="884"/>
    <w:uiPriority w:val="2"/>
    <w:unhideWhenUsed/>
    <w:pPr>
      <w:jc w:val="center"/>
    </w:pPr>
    <w:rPr>
      <w:rFonts w:ascii="仿宋_GB2312" w:hAnsi="仿宋_GB2312" w:eastAsia="仿宋_GB2312" w:cs="宋体"/>
      <w:sz w:val="30"/>
      <w:szCs w:val="24"/>
    </w:rPr>
  </w:style>
  <w:style w:type="character" w:styleId="907">
    <w:name w:val="页码"/>
    <w:next w:val="907"/>
    <w:link w:val="884"/>
    <w:uiPriority w:val="99"/>
    <w:rPr>
      <w:rFonts w:cs="Times New Roman"/>
    </w:rPr>
  </w:style>
  <w:style w:type="character" w:styleId="908">
    <w:name w:val="已访问的超链接"/>
    <w:next w:val="908"/>
    <w:link w:val="884"/>
    <w:uiPriority w:val="99"/>
    <w:unhideWhenUsed/>
    <w:rPr>
      <w:color w:val="800080"/>
      <w:u w:val="single"/>
    </w:rPr>
  </w:style>
  <w:style w:type="character" w:styleId="909">
    <w:name w:val="超链接"/>
    <w:next w:val="909"/>
    <w:link w:val="884"/>
    <w:uiPriority w:val="99"/>
    <w:unhideWhenUsed/>
    <w:rPr>
      <w:color w:val="0000ff"/>
      <w:u w:val="single"/>
    </w:rPr>
  </w:style>
  <w:style w:type="paragraph" w:styleId="910">
    <w:name w:val="正文（缩进）"/>
    <w:next w:val="910"/>
    <w:link w:val="884"/>
    <w:qFormat/>
    <w:pPr>
      <w:ind w:firstLine="200"/>
      <w:jc w:val="both"/>
      <w:spacing w:line="360" w:lineRule="auto"/>
      <w:widowControl w:val="off"/>
    </w:pPr>
    <w:rPr>
      <w:rFonts w:ascii="宋体" w:hAnsi="宋体"/>
      <w:sz w:val="21"/>
      <w:szCs w:val="28"/>
      <w:lang w:val="en-US" w:eastAsia="zh-CN" w:bidi="ar-SA"/>
    </w:rPr>
  </w:style>
  <w:style w:type="paragraph" w:styleId="911">
    <w:name w:val="正文文本1"/>
    <w:basedOn w:val="884"/>
    <w:next w:val="912"/>
    <w:link w:val="884"/>
    <w:qFormat/>
    <w:pPr>
      <w:widowControl/>
    </w:pPr>
    <w:rPr>
      <w:rFonts w:hint="eastAsia" w:ascii="仿宋_GB2312" w:eastAsia="仿宋_GB2312"/>
      <w:sz w:val="24"/>
    </w:rPr>
  </w:style>
  <w:style w:type="paragraph" w:styleId="912">
    <w:name w:val="正文文本 21"/>
    <w:basedOn w:val="884"/>
    <w:next w:val="912"/>
    <w:link w:val="884"/>
    <w:qFormat/>
    <w:pPr>
      <w:spacing w:line="440" w:lineRule="exact"/>
    </w:pPr>
    <w:rPr>
      <w:rFonts w:ascii="Arial" w:hAnsi="Arial" w:eastAsia="仿宋_GB2312"/>
      <w:b/>
      <w:sz w:val="32"/>
    </w:rPr>
  </w:style>
  <w:style w:type="paragraph" w:styleId="913">
    <w:name w:val="列出段落"/>
    <w:basedOn w:val="884"/>
    <w:next w:val="913"/>
    <w:link w:val="884"/>
    <w:uiPriority w:val="34"/>
    <w:qFormat/>
    <w:pPr>
      <w:ind w:firstLine="420"/>
    </w:pPr>
    <w:rPr>
      <w:rFonts w:ascii="Times New Roman" w:hAnsi="Times New Roman"/>
      <w:szCs w:val="24"/>
    </w:rPr>
  </w:style>
  <w:style w:type="paragraph" w:styleId="914">
    <w:name w:val="注释标题1"/>
    <w:basedOn w:val="884"/>
    <w:next w:val="884"/>
    <w:link w:val="884"/>
    <w:uiPriority w:val="99"/>
    <w:rPr>
      <w:rFonts w:ascii="Verdana" w:hAnsi="Verdana"/>
      <w:szCs w:val="20"/>
    </w:rPr>
  </w:style>
  <w:style w:type="paragraph" w:styleId="915">
    <w:name w:val="纯文本1"/>
    <w:basedOn w:val="884"/>
    <w:next w:val="915"/>
    <w:link w:val="884"/>
    <w:uiPriority w:val="99"/>
    <w:rPr>
      <w:rFonts w:ascii="宋体" w:hAnsi="宋体" w:cs="Courier New"/>
      <w:sz w:val="20"/>
      <w:szCs w:val="21"/>
    </w:rPr>
  </w:style>
  <w:style w:type="paragraph" w:styleId="916">
    <w:name w:val="二级目录"/>
    <w:next w:val="884"/>
    <w:link w:val="884"/>
    <w:uiPriority w:val="99"/>
    <w:pPr>
      <w:ind w:left="567" w:hanging="567"/>
      <w:tabs>
        <w:tab w:val="left" w:pos="720" w:leader="none"/>
      </w:tabs>
    </w:pPr>
    <w:rPr>
      <w:b/>
      <w:sz w:val="30"/>
      <w:szCs w:val="28"/>
      <w:lang w:val="en-US" w:eastAsia="zh-CN" w:bidi="ar-SA"/>
    </w:rPr>
  </w:style>
  <w:style w:type="paragraph" w:styleId="917">
    <w:name w:val="正文（绿盟科技）"/>
    <w:next w:val="917"/>
    <w:link w:val="884"/>
    <w:uiPriority w:val="99"/>
    <w:pPr>
      <w:spacing w:line="300" w:lineRule="auto"/>
    </w:pPr>
    <w:rPr>
      <w:rFonts w:ascii="Arial" w:hAnsi="Arial" w:cs="Arial"/>
      <w:sz w:val="21"/>
      <w:szCs w:val="21"/>
      <w:lang w:val="en-US" w:eastAsia="zh-CN" w:bidi="ar-SA"/>
    </w:rPr>
  </w:style>
  <w:style w:type="paragraph" w:styleId="918">
    <w:name w:val="普通正文"/>
    <w:basedOn w:val="884"/>
    <w:next w:val="918"/>
    <w:link w:val="884"/>
    <w:uiPriority w:val="99"/>
    <w:pPr>
      <w:ind w:firstLine="480"/>
      <w:jc w:val="left"/>
      <w:spacing w:before="120" w:after="120" w:line="360" w:lineRule="auto"/>
    </w:pPr>
    <w:rPr>
      <w:rFonts w:ascii="Arial" w:hAnsi="Arial" w:cs="Arial"/>
      <w:sz w:val="24"/>
      <w:szCs w:val="24"/>
    </w:rPr>
  </w:style>
  <w:style w:type="paragraph" w:styleId="919">
    <w:name w:val="DAS正文"/>
    <w:basedOn w:val="884"/>
    <w:next w:val="919"/>
    <w:link w:val="884"/>
    <w:uiPriority w:val="5"/>
    <w:pPr>
      <w:ind w:right="181" w:firstLine="480"/>
      <w:spacing w:line="360" w:lineRule="auto"/>
    </w:pPr>
    <w:rPr>
      <w:rFonts w:ascii="Verdana" w:hAnsi="Verdana"/>
      <w:szCs w:val="24"/>
    </w:rPr>
  </w:style>
  <w:style w:type="paragraph" w:styleId="920">
    <w:name w:val="WPSOffice手动目录 1"/>
    <w:next w:val="920"/>
    <w:link w:val="884"/>
    <w:rPr>
      <w:lang w:val="en-US" w:eastAsia="zh-CN" w:bidi="ar-SA"/>
    </w:rPr>
  </w:style>
  <w:style w:type="paragraph" w:styleId="921">
    <w:name w:val="修订"/>
    <w:next w:val="921"/>
    <w:link w:val="884"/>
    <w:uiPriority w:val="99"/>
    <w:semiHidden/>
    <w:rPr>
      <w:sz w:val="21"/>
      <w:szCs w:val="22"/>
      <w:lang w:val="en-US" w:eastAsia="zh-CN" w:bidi="ar-SA"/>
    </w:rPr>
  </w:style>
  <w:style w:type="paragraph" w:styleId="922">
    <w:name w:val="首行缩进"/>
    <w:basedOn w:val="884"/>
    <w:next w:val="922"/>
    <w:link w:val="884"/>
    <w:qFormat/>
    <w:pPr>
      <w:ind w:firstLine="480"/>
    </w:pPr>
    <w:rPr>
      <w:rFonts w:ascii="Calibri" w:hAnsi="Calibri" w:eastAsia="宋体"/>
      <w:sz w:val="21"/>
      <w:lang w:val="zh-CN"/>
    </w:rPr>
  </w:style>
  <w:style w:type="paragraph" w:styleId="923">
    <w:name w:val="Heading"/>
    <w:next w:val="891"/>
    <w:link w:val="884"/>
    <w:qFormat/>
    <w:pPr>
      <w:jc w:val="both"/>
      <w:keepNext/>
      <w:spacing w:before="240" w:after="120"/>
      <w:widowControl w:val="off"/>
      <w:tabs>
        <w:tab w:val="right" w:pos="9638" w:leader="none"/>
      </w:tabs>
    </w:pPr>
    <w:rPr>
      <w:rFonts w:ascii="Arial" w:hAnsi="Arial" w:cs="Tahoma"/>
      <w:sz w:val="28"/>
      <w:szCs w:val="28"/>
      <w:lang w:val="en-US" w:eastAsia="zh-CN" w:bidi="ar-SA"/>
    </w:rPr>
  </w:style>
  <w:style w:type="paragraph" w:styleId="924">
    <w:name w:val="正文缩进1"/>
    <w:basedOn w:val="884"/>
    <w:next w:val="884"/>
    <w:link w:val="884"/>
    <w:qFormat/>
    <w:pPr>
      <w:ind w:firstLine="420"/>
      <w:jc w:val="left"/>
      <w:widowControl/>
    </w:pPr>
    <w:rPr>
      <w:rFonts w:eastAsia="楷体_GB2312"/>
      <w:sz w:val="24"/>
      <w:szCs w:val="20"/>
    </w:rPr>
  </w:style>
  <w:style w:type="paragraph" w:styleId="925">
    <w:name w:val="段"/>
    <w:next w:val="884"/>
    <w:link w:val="884"/>
    <w:qFormat/>
    <w:pPr>
      <w:ind w:firstLine="200"/>
      <w:jc w:val="both"/>
    </w:pPr>
    <w:rPr>
      <w:rFonts w:ascii="宋体"/>
      <w:sz w:val="21"/>
      <w:lang w:val="en-US" w:eastAsia="zh-CN" w:bidi="ar-SA"/>
    </w:rPr>
  </w:style>
  <w:style w:type="paragraph" w:styleId="926">
    <w:name w:val="Heading11"/>
    <w:basedOn w:val="884"/>
    <w:next w:val="884"/>
    <w:link w:val="884"/>
    <w:qFormat/>
    <w:pPr>
      <w:jc w:val="center"/>
      <w:keepNext/>
      <w:widowControl/>
    </w:pPr>
    <w:rPr>
      <w:rFonts w:ascii="楷体_GB2312" w:hAnsi="Times New Roman" w:eastAsia="楷体_GB2312"/>
      <w:sz w:val="28"/>
      <w:szCs w:val="28"/>
    </w:rPr>
  </w:style>
  <w:style w:type="paragraph" w:styleId="927">
    <w:name w:val="正文文本缩进1"/>
    <w:basedOn w:val="884"/>
    <w:next w:val="927"/>
    <w:link w:val="884"/>
    <w:qFormat/>
    <w:pPr>
      <w:ind w:left="570"/>
      <w:spacing w:line="520" w:lineRule="exact"/>
    </w:pPr>
    <w:rPr>
      <w:rFonts w:ascii="方正仿宋简体" w:hAnsi="创艺简仿宋" w:eastAsia="方正仿宋简体"/>
      <w:sz w:val="24"/>
    </w:rPr>
  </w:style>
  <w:style w:type="character" w:styleId="928" w:default="1">
    <w:name w:val="Default Paragraph Font"/>
    <w:uiPriority w:val="1"/>
    <w:semiHidden/>
    <w:unhideWhenUsed/>
  </w:style>
  <w:style w:type="numbering" w:styleId="929" w:default="1">
    <w:name w:val="No List"/>
    <w:uiPriority w:val="99"/>
    <w:semiHidden/>
    <w:unhideWhenUsed/>
  </w:style>
  <w:style w:type="table" w:styleId="9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刘诚进</cp:lastModifiedBy>
  <cp:revision>3</cp:revision>
  <dcterms:created xsi:type="dcterms:W3CDTF">2026-06-05T05:07:00Z</dcterms:created>
  <dcterms:modified xsi:type="dcterms:W3CDTF">2026-06-26T06:11:30Z</dcterms:modified>
</cp:coreProperties>
</file>