
<file path=[Content_Types].xml><?xml version="1.0" encoding="utf-8"?>
<Types xmlns="http://schemas.openxmlformats.org/package/2006/content-types">
  <Default Extension="xml" ContentType="application/xml"/>
  <Default Extension="bin" ContentType="application/vnd.openxmlformats-officedocument.oleObject"/>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3F3E4FD">
      <w:pPr>
        <w:widowControl w:val="0"/>
        <w:spacing w:line="360" w:lineRule="auto"/>
        <w:jc w:val="both"/>
        <w:rPr>
          <w:rFonts w:hint="eastAsia" w:ascii="宋体" w:hAnsi="宋体" w:eastAsia="宋体" w:cs="宋体"/>
          <w:kern w:val="2"/>
          <w:sz w:val="84"/>
          <w:szCs w:val="22"/>
          <w:highlight w:val="none"/>
          <w:lang w:val="en-US" w:eastAsia="zh-CN" w:bidi="ar-SA"/>
        </w:rPr>
      </w:pPr>
    </w:p>
    <w:p w14:paraId="2EA494FA">
      <w:pPr>
        <w:widowControl w:val="0"/>
        <w:spacing w:line="360" w:lineRule="auto"/>
        <w:jc w:val="center"/>
        <w:rPr>
          <w:rFonts w:hint="eastAsia" w:ascii="宋体" w:hAnsi="宋体" w:eastAsia="宋体" w:cs="宋体"/>
          <w:kern w:val="2"/>
          <w:sz w:val="72"/>
          <w:szCs w:val="72"/>
          <w:highlight w:val="none"/>
          <w:lang w:val="en-US" w:eastAsia="zh-CN" w:bidi="ar-SA"/>
        </w:rPr>
      </w:pPr>
      <w:r>
        <w:rPr>
          <w:rFonts w:hint="eastAsia" w:ascii="宋体" w:hAnsi="宋体" w:eastAsia="宋体" w:cs="宋体"/>
          <w:kern w:val="2"/>
          <w:sz w:val="72"/>
          <w:szCs w:val="72"/>
          <w:highlight w:val="none"/>
          <w:lang w:val="en-US" w:eastAsia="zh-CN" w:bidi="ar-SA"/>
        </w:rPr>
        <w:t>单一来源采购文件</w:t>
      </w:r>
    </w:p>
    <w:p w14:paraId="7AF41734">
      <w:pPr>
        <w:widowControl w:val="0"/>
        <w:spacing w:line="360" w:lineRule="auto"/>
        <w:ind w:left="2655" w:leftChars="550" w:hanging="1500" w:hangingChars="500"/>
        <w:jc w:val="both"/>
        <w:rPr>
          <w:rFonts w:hint="eastAsia" w:ascii="宋体" w:hAnsi="宋体" w:eastAsia="宋体" w:cs="宋体"/>
          <w:kern w:val="2"/>
          <w:sz w:val="30"/>
          <w:szCs w:val="30"/>
          <w:highlight w:val="none"/>
          <w:lang w:val="en-US" w:eastAsia="zh-CN" w:bidi="ar-SA"/>
        </w:rPr>
      </w:pPr>
    </w:p>
    <w:p w14:paraId="012B24AC">
      <w:pPr>
        <w:widowControl w:val="0"/>
        <w:spacing w:line="360" w:lineRule="auto"/>
        <w:ind w:left="1883" w:leftChars="230" w:hanging="1400" w:hangingChars="500"/>
        <w:jc w:val="both"/>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项目名称：</w:t>
      </w:r>
      <w:r>
        <w:rPr>
          <w:rFonts w:hint="eastAsia" w:ascii="宋体" w:hAnsi="宋体" w:eastAsia="宋体" w:cs="宋体"/>
          <w:kern w:val="2"/>
          <w:sz w:val="28"/>
          <w:szCs w:val="28"/>
          <w:highlight w:val="none"/>
          <w:u w:val="single"/>
          <w:lang w:val="en-US" w:eastAsia="zh-CN" w:bidi="ar-SA"/>
        </w:rPr>
        <w:t>通州区生活垃圾焚烧飞灰资源化利用处置项目</w:t>
      </w:r>
    </w:p>
    <w:p w14:paraId="6F2A9AD8">
      <w:pPr>
        <w:widowControl w:val="0"/>
        <w:spacing w:line="360" w:lineRule="auto"/>
        <w:jc w:val="center"/>
        <w:rPr>
          <w:rFonts w:hint="eastAsia" w:ascii="宋体" w:hAnsi="宋体" w:eastAsia="宋体" w:cs="宋体"/>
          <w:kern w:val="2"/>
          <w:sz w:val="32"/>
          <w:szCs w:val="22"/>
          <w:highlight w:val="none"/>
          <w:lang w:val="en-US" w:eastAsia="zh-CN" w:bidi="ar-SA"/>
        </w:rPr>
      </w:pPr>
    </w:p>
    <w:p w14:paraId="508351CC">
      <w:pPr>
        <w:widowControl w:val="0"/>
        <w:spacing w:line="360" w:lineRule="auto"/>
        <w:jc w:val="center"/>
        <w:rPr>
          <w:rFonts w:hint="eastAsia" w:ascii="宋体" w:hAnsi="宋体" w:eastAsia="宋体" w:cs="宋体"/>
          <w:kern w:val="2"/>
          <w:sz w:val="32"/>
          <w:szCs w:val="22"/>
          <w:highlight w:val="none"/>
          <w:lang w:val="en-US" w:eastAsia="zh-CN" w:bidi="ar-SA"/>
        </w:rPr>
      </w:pPr>
    </w:p>
    <w:p w14:paraId="58E5D1C1">
      <w:pPr>
        <w:widowControl w:val="0"/>
        <w:spacing w:line="360" w:lineRule="auto"/>
        <w:jc w:val="center"/>
        <w:rPr>
          <w:rFonts w:hint="eastAsia" w:ascii="宋体" w:hAnsi="宋体" w:eastAsia="宋体" w:cs="宋体"/>
          <w:kern w:val="2"/>
          <w:sz w:val="32"/>
          <w:szCs w:val="22"/>
          <w:highlight w:val="none"/>
          <w:lang w:val="en-US" w:eastAsia="zh-CN" w:bidi="ar-SA"/>
        </w:rPr>
      </w:pPr>
      <w:r>
        <w:rPr>
          <w:rFonts w:hint="eastAsia" w:ascii="宋体" w:hAnsi="宋体" w:eastAsia="宋体" w:cs="宋体"/>
          <w:kern w:val="0"/>
          <w:sz w:val="20"/>
          <w:szCs w:val="20"/>
          <w:highlight w:val="none"/>
          <w:lang w:val="zh-CN" w:eastAsia="zh-CN" w:bidi="ar-SA"/>
        </w:rPr>
        <w:object>
          <v:shape id="_x0000_i1025" o:spt="75" type="#_x0000_t75" style="height:127.35pt;width:166.9pt;" o:ole="t" filled="f" o:preferrelative="t" stroked="f" coordsize="21600,21600">
            <v:path/>
            <v:fill on="f" focussize="0,0"/>
            <v:stroke on="f" joinstyle="miter"/>
            <v:imagedata r:id="rId7" o:title=""/>
            <o:lock v:ext="edit" aspectratio="t"/>
            <w10:wrap type="none"/>
            <w10:anchorlock/>
          </v:shape>
          <o:OLEObject Type="Embed" ProgID="MS_ClipArt_Gallery.5" ShapeID="_x0000_i1025" DrawAspect="Content" ObjectID="_1468075725" r:id="rId6">
            <o:LockedField>false</o:LockedField>
          </o:OLEObject>
        </w:object>
      </w:r>
    </w:p>
    <w:p w14:paraId="03ACC05E">
      <w:pPr>
        <w:widowControl w:val="0"/>
        <w:spacing w:line="360" w:lineRule="auto"/>
        <w:jc w:val="center"/>
        <w:rPr>
          <w:rFonts w:hint="eastAsia" w:ascii="宋体" w:hAnsi="宋体" w:eastAsia="宋体" w:cs="宋体"/>
          <w:kern w:val="2"/>
          <w:sz w:val="32"/>
          <w:szCs w:val="22"/>
          <w:highlight w:val="none"/>
          <w:lang w:val="en-US" w:eastAsia="zh-CN" w:bidi="ar-SA"/>
        </w:rPr>
      </w:pPr>
    </w:p>
    <w:p w14:paraId="155C952B">
      <w:pPr>
        <w:widowControl w:val="0"/>
        <w:spacing w:line="360" w:lineRule="auto"/>
        <w:jc w:val="center"/>
        <w:rPr>
          <w:rFonts w:hint="eastAsia" w:ascii="宋体" w:hAnsi="宋体" w:eastAsia="宋体" w:cs="宋体"/>
          <w:kern w:val="2"/>
          <w:sz w:val="32"/>
          <w:szCs w:val="22"/>
          <w:highlight w:val="none"/>
          <w:lang w:val="en-US" w:eastAsia="zh-CN" w:bidi="ar-SA"/>
        </w:rPr>
      </w:pPr>
    </w:p>
    <w:p w14:paraId="1BD33CE2">
      <w:pPr>
        <w:widowControl w:val="0"/>
        <w:spacing w:line="360" w:lineRule="auto"/>
        <w:jc w:val="center"/>
        <w:rPr>
          <w:rFonts w:hint="eastAsia" w:ascii="宋体" w:hAnsi="宋体" w:eastAsia="宋体" w:cs="宋体"/>
          <w:kern w:val="2"/>
          <w:sz w:val="32"/>
          <w:szCs w:val="22"/>
          <w:highlight w:val="none"/>
          <w:lang w:val="en-US" w:eastAsia="zh-CN" w:bidi="ar-SA"/>
        </w:rPr>
      </w:pPr>
    </w:p>
    <w:p w14:paraId="11D36EAA">
      <w:pPr>
        <w:widowControl w:val="0"/>
        <w:spacing w:line="360" w:lineRule="auto"/>
        <w:jc w:val="center"/>
        <w:rPr>
          <w:rFonts w:hint="eastAsia" w:ascii="宋体" w:hAnsi="宋体" w:eastAsia="宋体" w:cs="宋体"/>
          <w:kern w:val="2"/>
          <w:sz w:val="32"/>
          <w:szCs w:val="22"/>
          <w:highlight w:val="none"/>
          <w:lang w:val="en-US" w:eastAsia="zh-CN" w:bidi="ar-SA"/>
        </w:rPr>
      </w:pPr>
    </w:p>
    <w:p w14:paraId="4D019926">
      <w:pPr>
        <w:widowControl w:val="0"/>
        <w:spacing w:line="360" w:lineRule="auto"/>
        <w:jc w:val="center"/>
        <w:rPr>
          <w:rFonts w:hint="eastAsia" w:ascii="宋体" w:hAnsi="宋体" w:eastAsia="宋体" w:cs="宋体"/>
          <w:kern w:val="2"/>
          <w:sz w:val="28"/>
          <w:szCs w:val="22"/>
          <w:highlight w:val="none"/>
          <w:lang w:val="en-US" w:eastAsia="zh-CN" w:bidi="ar-SA"/>
        </w:rPr>
      </w:pPr>
      <w:r>
        <w:rPr>
          <w:rFonts w:hint="eastAsia" w:ascii="宋体" w:hAnsi="宋体" w:eastAsia="宋体" w:cs="宋体"/>
          <w:kern w:val="2"/>
          <w:sz w:val="28"/>
          <w:szCs w:val="22"/>
          <w:highlight w:val="none"/>
          <w:lang w:val="en-US" w:eastAsia="zh-CN" w:bidi="ar-SA"/>
        </w:rPr>
        <w:t>采购单位：南通市通州区城市管理局</w:t>
      </w:r>
    </w:p>
    <w:p w14:paraId="515D1DCC">
      <w:pPr>
        <w:widowControl w:val="0"/>
        <w:spacing w:line="360" w:lineRule="auto"/>
        <w:jc w:val="center"/>
        <w:rPr>
          <w:rFonts w:hint="eastAsia" w:ascii="宋体" w:hAnsi="宋体" w:eastAsia="宋体" w:cs="宋体"/>
          <w:kern w:val="2"/>
          <w:sz w:val="28"/>
          <w:szCs w:val="22"/>
          <w:highlight w:val="none"/>
          <w:lang w:val="en-US" w:eastAsia="zh-CN" w:bidi="ar-SA"/>
        </w:rPr>
      </w:pPr>
      <w:r>
        <w:rPr>
          <w:rFonts w:hint="eastAsia" w:ascii="宋体" w:hAnsi="宋体" w:eastAsia="宋体" w:cs="宋体"/>
          <w:kern w:val="2"/>
          <w:sz w:val="28"/>
          <w:szCs w:val="22"/>
          <w:highlight w:val="none"/>
          <w:lang w:val="en-US" w:eastAsia="zh-CN" w:bidi="ar-SA"/>
        </w:rPr>
        <w:t>招标代理：江苏广和工程咨询有限公司</w:t>
      </w:r>
    </w:p>
    <w:p w14:paraId="7C4CF086">
      <w:pPr>
        <w:widowControl w:val="0"/>
        <w:spacing w:line="360" w:lineRule="auto"/>
        <w:ind w:firstLine="2800" w:firstLineChars="1000"/>
        <w:jc w:val="both"/>
        <w:rPr>
          <w:rFonts w:hint="eastAsia" w:ascii="宋体" w:hAnsi="宋体" w:eastAsia="宋体" w:cs="宋体"/>
          <w:snapToGrid w:val="0"/>
          <w:kern w:val="2"/>
          <w:sz w:val="26"/>
          <w:szCs w:val="28"/>
          <w:highlight w:val="none"/>
          <w:lang w:val="en-US" w:eastAsia="zh-CN" w:bidi="ar-SA"/>
        </w:rPr>
      </w:pPr>
      <w:r>
        <w:rPr>
          <w:rFonts w:hint="eastAsia" w:ascii="宋体" w:hAnsi="宋体" w:eastAsia="宋体" w:cs="宋体"/>
          <w:kern w:val="2"/>
          <w:sz w:val="28"/>
          <w:szCs w:val="22"/>
          <w:highlight w:val="none"/>
          <w:lang w:val="en-US" w:eastAsia="zh-CN" w:bidi="ar-SA"/>
        </w:rPr>
        <w:t>2026年5月29日</w:t>
      </w:r>
    </w:p>
    <w:p w14:paraId="2EB44795">
      <w:pPr>
        <w:pStyle w:val="38"/>
        <w:widowControl/>
        <w:rPr>
          <w:highlight w:val="none"/>
        </w:rPr>
      </w:pPr>
      <w:r>
        <w:rPr>
          <w:highlight w:val="none"/>
        </w:rPr>
        <w:br w:type="page"/>
      </w:r>
      <w:r>
        <w:rPr>
          <w:highlight w:val="none"/>
        </w:rPr>
        <w:t>采购文件备案表</w:t>
      </w:r>
    </w:p>
    <w:tbl>
      <w:tblPr>
        <w:tblStyle w:val="2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95"/>
      </w:tblGrid>
      <w:tr w14:paraId="1CD21E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552ADF31">
            <w:pPr>
              <w:tabs>
                <w:tab w:val="right" w:leader="dot" w:pos="8835"/>
              </w:tabs>
              <w:spacing w:line="360" w:lineRule="auto"/>
              <w:rPr>
                <w:rFonts w:hint="eastAsia" w:ascii="宋体" w:hAnsi="宋体" w:eastAsia="宋体" w:cs="宋体"/>
                <w:sz w:val="28"/>
                <w:szCs w:val="28"/>
                <w:highlight w:val="none"/>
              </w:rPr>
            </w:pPr>
          </w:p>
          <w:p w14:paraId="68C14040">
            <w:pPr>
              <w:tabs>
                <w:tab w:val="right" w:leader="dot" w:pos="8835"/>
              </w:tabs>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招标代理：</w:t>
            </w:r>
            <w:r>
              <w:rPr>
                <w:rFonts w:hint="eastAsia" w:ascii="宋体" w:hAnsi="宋体" w:eastAsia="宋体" w:cs="宋体"/>
                <w:sz w:val="28"/>
                <w:highlight w:val="none"/>
              </w:rPr>
              <w:t>江苏广和工程咨询有限公司</w:t>
            </w:r>
          </w:p>
          <w:p w14:paraId="58CAD534">
            <w:pPr>
              <w:tabs>
                <w:tab w:val="right" w:leader="dot" w:pos="8835"/>
              </w:tabs>
              <w:spacing w:line="360" w:lineRule="auto"/>
              <w:rPr>
                <w:rFonts w:hint="eastAsia" w:ascii="宋体" w:hAnsi="宋体" w:eastAsia="宋体" w:cs="宋体"/>
                <w:sz w:val="28"/>
                <w:szCs w:val="28"/>
                <w:highlight w:val="none"/>
              </w:rPr>
            </w:pPr>
          </w:p>
          <w:p w14:paraId="786212B0">
            <w:pPr>
              <w:tabs>
                <w:tab w:val="right" w:leader="dot" w:pos="8835"/>
              </w:tabs>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编制人：</w:t>
            </w:r>
          </w:p>
          <w:p w14:paraId="6573F23B">
            <w:pPr>
              <w:tabs>
                <w:tab w:val="right" w:leader="dot" w:pos="8835"/>
              </w:tabs>
              <w:spacing w:line="360" w:lineRule="auto"/>
              <w:rPr>
                <w:rFonts w:hint="eastAsia" w:ascii="宋体" w:hAnsi="宋体" w:eastAsia="宋体" w:cs="宋体"/>
                <w:sz w:val="28"/>
                <w:szCs w:val="28"/>
                <w:highlight w:val="none"/>
              </w:rPr>
            </w:pPr>
          </w:p>
          <w:p w14:paraId="2C20AADC">
            <w:pPr>
              <w:tabs>
                <w:tab w:val="right" w:leader="dot" w:pos="8835"/>
              </w:tabs>
              <w:spacing w:line="360" w:lineRule="auto"/>
              <w:rPr>
                <w:rFonts w:hint="eastAsia" w:ascii="宋体" w:hAnsi="宋体" w:eastAsia="宋体" w:cs="宋体"/>
                <w:sz w:val="28"/>
                <w:szCs w:val="28"/>
                <w:highlight w:val="none"/>
              </w:rPr>
            </w:pPr>
          </w:p>
          <w:p w14:paraId="7C478333">
            <w:pPr>
              <w:pStyle w:val="11"/>
              <w:rPr>
                <w:rFonts w:hint="eastAsia" w:ascii="宋体" w:hAnsi="宋体" w:eastAsia="宋体" w:cs="宋体"/>
                <w:highlight w:val="none"/>
              </w:rPr>
            </w:pPr>
          </w:p>
          <w:p w14:paraId="5E812E17">
            <w:pPr>
              <w:tabs>
                <w:tab w:val="right" w:leader="dot" w:pos="8835"/>
              </w:tabs>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日期：</w:t>
            </w:r>
            <w:r>
              <w:rPr>
                <w:rFonts w:hint="eastAsia" w:ascii="宋体" w:hAnsi="宋体" w:eastAsia="宋体" w:cs="宋体"/>
                <w:sz w:val="28"/>
                <w:szCs w:val="28"/>
                <w:highlight w:val="none"/>
                <w:lang w:eastAsia="zh-CN"/>
              </w:rPr>
              <w:t>2026</w:t>
            </w:r>
            <w:r>
              <w:rPr>
                <w:rFonts w:hint="eastAsia" w:ascii="宋体" w:hAnsi="宋体" w:eastAsia="宋体" w:cs="宋体"/>
                <w:sz w:val="28"/>
                <w:szCs w:val="28"/>
                <w:highlight w:val="none"/>
              </w:rPr>
              <w:t>年  月  日</w:t>
            </w:r>
          </w:p>
        </w:tc>
      </w:tr>
      <w:tr w14:paraId="00BF69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43DE1978">
            <w:pPr>
              <w:tabs>
                <w:tab w:val="right" w:leader="dot" w:pos="8835"/>
              </w:tabs>
              <w:spacing w:line="360" w:lineRule="auto"/>
              <w:rPr>
                <w:rFonts w:hint="eastAsia" w:ascii="宋体" w:hAnsi="宋体" w:eastAsia="宋体" w:cs="宋体"/>
                <w:sz w:val="28"/>
                <w:szCs w:val="28"/>
                <w:highlight w:val="none"/>
              </w:rPr>
            </w:pPr>
          </w:p>
          <w:p w14:paraId="3A83E33E">
            <w:pPr>
              <w:tabs>
                <w:tab w:val="right" w:leader="dot" w:pos="8835"/>
              </w:tabs>
              <w:spacing w:line="360" w:lineRule="auto"/>
              <w:rPr>
                <w:rFonts w:hint="eastAsia" w:ascii="宋体" w:hAnsi="宋体" w:eastAsia="宋体" w:cs="宋体"/>
                <w:sz w:val="28"/>
                <w:szCs w:val="28"/>
                <w:highlight w:val="none"/>
              </w:rPr>
            </w:pPr>
          </w:p>
          <w:p w14:paraId="70B18269">
            <w:pPr>
              <w:tabs>
                <w:tab w:val="right" w:leader="dot" w:pos="8835"/>
              </w:tabs>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采购人：(盖章)</w:t>
            </w:r>
          </w:p>
          <w:p w14:paraId="64E4DB85">
            <w:pPr>
              <w:tabs>
                <w:tab w:val="right" w:leader="dot" w:pos="8835"/>
              </w:tabs>
              <w:spacing w:line="360" w:lineRule="auto"/>
              <w:rPr>
                <w:rFonts w:hint="eastAsia" w:ascii="宋体" w:hAnsi="宋体" w:eastAsia="宋体" w:cs="宋体"/>
                <w:sz w:val="28"/>
                <w:szCs w:val="28"/>
                <w:highlight w:val="none"/>
              </w:rPr>
            </w:pPr>
          </w:p>
          <w:p w14:paraId="3AC67461">
            <w:pPr>
              <w:tabs>
                <w:tab w:val="right" w:leader="dot" w:pos="8835"/>
              </w:tabs>
              <w:spacing w:line="360" w:lineRule="auto"/>
              <w:rPr>
                <w:rFonts w:hint="eastAsia" w:ascii="宋体" w:hAnsi="宋体" w:eastAsia="宋体" w:cs="宋体"/>
                <w:sz w:val="28"/>
                <w:szCs w:val="28"/>
                <w:highlight w:val="none"/>
              </w:rPr>
            </w:pPr>
          </w:p>
          <w:p w14:paraId="6A6B78C4">
            <w:pPr>
              <w:pStyle w:val="11"/>
              <w:rPr>
                <w:rFonts w:hint="eastAsia" w:ascii="宋体" w:hAnsi="宋体" w:eastAsia="宋体" w:cs="宋体"/>
                <w:highlight w:val="none"/>
              </w:rPr>
            </w:pPr>
          </w:p>
          <w:p w14:paraId="3804D4A4">
            <w:pPr>
              <w:tabs>
                <w:tab w:val="right" w:leader="dot" w:pos="8835"/>
              </w:tabs>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审阅人（签字）：</w:t>
            </w:r>
          </w:p>
          <w:p w14:paraId="2C5E5E76">
            <w:pPr>
              <w:tabs>
                <w:tab w:val="right" w:leader="dot" w:pos="8835"/>
              </w:tabs>
              <w:spacing w:line="360" w:lineRule="auto"/>
              <w:rPr>
                <w:rFonts w:hint="eastAsia" w:ascii="宋体" w:hAnsi="宋体" w:eastAsia="宋体" w:cs="宋体"/>
                <w:sz w:val="28"/>
                <w:szCs w:val="28"/>
                <w:highlight w:val="none"/>
              </w:rPr>
            </w:pPr>
          </w:p>
          <w:p w14:paraId="3B5AA843">
            <w:pPr>
              <w:tabs>
                <w:tab w:val="right" w:leader="dot" w:pos="8835"/>
              </w:tabs>
              <w:spacing w:line="360" w:lineRule="auto"/>
              <w:rPr>
                <w:rFonts w:hint="eastAsia" w:ascii="宋体" w:hAnsi="宋体" w:eastAsia="宋体" w:cs="宋体"/>
                <w:sz w:val="28"/>
                <w:szCs w:val="28"/>
                <w:highlight w:val="none"/>
              </w:rPr>
            </w:pPr>
          </w:p>
          <w:p w14:paraId="1FF5F28D">
            <w:pPr>
              <w:tabs>
                <w:tab w:val="right" w:leader="dot" w:pos="8835"/>
              </w:tabs>
              <w:spacing w:line="360" w:lineRule="auto"/>
              <w:rPr>
                <w:rFonts w:hint="eastAsia" w:ascii="宋体" w:hAnsi="宋体" w:eastAsia="宋体" w:cs="宋体"/>
                <w:sz w:val="28"/>
                <w:szCs w:val="28"/>
                <w:highlight w:val="none"/>
              </w:rPr>
            </w:pPr>
          </w:p>
          <w:p w14:paraId="3966C764">
            <w:pPr>
              <w:tabs>
                <w:tab w:val="right" w:leader="dot" w:pos="8835"/>
              </w:tabs>
              <w:spacing w:line="360" w:lineRule="auto"/>
              <w:rPr>
                <w:rFonts w:hint="eastAsia" w:ascii="宋体" w:hAnsi="宋体" w:eastAsia="宋体" w:cs="宋体"/>
                <w:sz w:val="28"/>
                <w:szCs w:val="28"/>
                <w:highlight w:val="none"/>
              </w:rPr>
            </w:pPr>
          </w:p>
          <w:p w14:paraId="36FC1BB3">
            <w:pPr>
              <w:tabs>
                <w:tab w:val="right" w:leader="dot" w:pos="8835"/>
              </w:tabs>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日期：</w:t>
            </w:r>
            <w:r>
              <w:rPr>
                <w:rFonts w:hint="eastAsia" w:ascii="宋体" w:hAnsi="宋体" w:eastAsia="宋体" w:cs="宋体"/>
                <w:sz w:val="28"/>
                <w:szCs w:val="28"/>
                <w:highlight w:val="none"/>
                <w:lang w:eastAsia="zh-CN"/>
              </w:rPr>
              <w:t>2026</w:t>
            </w:r>
            <w:r>
              <w:rPr>
                <w:rFonts w:hint="eastAsia" w:ascii="宋体" w:hAnsi="宋体" w:eastAsia="宋体" w:cs="宋体"/>
                <w:sz w:val="28"/>
                <w:szCs w:val="28"/>
                <w:highlight w:val="none"/>
              </w:rPr>
              <w:t>年  月  日</w:t>
            </w:r>
          </w:p>
        </w:tc>
      </w:tr>
    </w:tbl>
    <w:p w14:paraId="4CB19AA4">
      <w:pPr>
        <w:spacing w:line="360" w:lineRule="auto"/>
        <w:jc w:val="center"/>
        <w:rPr>
          <w:rFonts w:hint="eastAsia" w:ascii="宋体" w:hAnsi="宋体" w:eastAsia="宋体" w:cs="宋体"/>
          <w:b/>
          <w:sz w:val="44"/>
          <w:szCs w:val="44"/>
          <w:highlight w:val="none"/>
        </w:rPr>
        <w:sectPr>
          <w:pgSz w:w="11907" w:h="16840"/>
          <w:pgMar w:top="1474" w:right="1814" w:bottom="1474" w:left="1814" w:header="851" w:footer="851" w:gutter="0"/>
          <w:cols w:space="720" w:num="1"/>
          <w:docGrid w:linePitch="462" w:charSpace="0"/>
        </w:sectPr>
      </w:pPr>
    </w:p>
    <w:p w14:paraId="54865154">
      <w:pPr>
        <w:pStyle w:val="35"/>
        <w:ind w:left="0" w:leftChars="0" w:firstLine="0" w:firstLineChars="0"/>
        <w:outlineLvl w:val="0"/>
        <w:rPr>
          <w:highlight w:val="none"/>
        </w:rPr>
      </w:pPr>
      <w:r>
        <w:rPr>
          <w:highlight w:val="none"/>
        </w:rPr>
        <w:t>第一部分 单一来源采购邀请</w:t>
      </w:r>
    </w:p>
    <w:p w14:paraId="3FEAF5DB">
      <w:pPr>
        <w:pStyle w:val="13"/>
        <w:ind w:left="0" w:leftChars="0" w:firstLine="480" w:firstLineChars="200"/>
        <w:rPr>
          <w:rFonts w:ascii="Times New Roman" w:hAnsi="Times New Roman" w:eastAsia="宋体" w:cs="Times New Roman"/>
          <w:b w:val="0"/>
          <w:sz w:val="24"/>
          <w:highlight w:val="none"/>
        </w:rPr>
      </w:pPr>
      <w:r>
        <w:rPr>
          <w:rFonts w:ascii="Times New Roman" w:hAnsi="Times New Roman" w:eastAsia="宋体" w:cs="Times New Roman"/>
          <w:b w:val="0"/>
          <w:sz w:val="24"/>
          <w:highlight w:val="none"/>
          <w:u w:val="single"/>
        </w:rPr>
        <w:t>江苏广和工程咨询有限公司</w:t>
      </w:r>
      <w:r>
        <w:rPr>
          <w:rFonts w:ascii="Times New Roman" w:hAnsi="Times New Roman" w:eastAsia="宋体" w:cs="Times New Roman"/>
          <w:b w:val="0"/>
          <w:sz w:val="24"/>
          <w:highlight w:val="none"/>
        </w:rPr>
        <w:t>受</w:t>
      </w:r>
      <w:r>
        <w:rPr>
          <w:rFonts w:hint="eastAsia" w:cs="Times New Roman"/>
          <w:b w:val="0"/>
          <w:sz w:val="24"/>
          <w:highlight w:val="none"/>
          <w:u w:val="single"/>
          <w:lang w:eastAsia="zh-CN"/>
        </w:rPr>
        <w:t>南通市通州区城市管理局</w:t>
      </w:r>
      <w:r>
        <w:rPr>
          <w:rFonts w:ascii="Times New Roman" w:hAnsi="Times New Roman" w:eastAsia="宋体" w:cs="Times New Roman"/>
          <w:b w:val="0"/>
          <w:sz w:val="24"/>
          <w:highlight w:val="none"/>
        </w:rPr>
        <w:t>委托就</w:t>
      </w:r>
      <w:r>
        <w:rPr>
          <w:rFonts w:hint="eastAsia" w:cs="Times New Roman"/>
          <w:b w:val="0"/>
          <w:sz w:val="24"/>
          <w:highlight w:val="none"/>
          <w:u w:val="single"/>
          <w:lang w:eastAsia="zh-CN"/>
        </w:rPr>
        <w:t>通州区生活垃圾焚烧飞灰资源化利用处置项目</w:t>
      </w:r>
      <w:r>
        <w:rPr>
          <w:rFonts w:ascii="Times New Roman" w:hAnsi="Times New Roman" w:eastAsia="宋体" w:cs="Times New Roman"/>
          <w:b w:val="0"/>
          <w:sz w:val="24"/>
          <w:highlight w:val="none"/>
        </w:rPr>
        <w:t>进行单一来源采购。现邀请</w:t>
      </w:r>
      <w:r>
        <w:rPr>
          <w:rFonts w:ascii="Times New Roman" w:hAnsi="Times New Roman" w:eastAsia="宋体" w:cs="Times New Roman"/>
          <w:b w:val="0"/>
          <w:sz w:val="24"/>
          <w:highlight w:val="none"/>
          <w:u w:val="single"/>
        </w:rPr>
        <w:t>南通乐环新材料科技有限公司</w:t>
      </w:r>
      <w:r>
        <w:rPr>
          <w:rFonts w:ascii="Times New Roman" w:hAnsi="Times New Roman" w:eastAsia="宋体" w:cs="Times New Roman"/>
          <w:b w:val="0"/>
          <w:sz w:val="24"/>
          <w:highlight w:val="none"/>
        </w:rPr>
        <w:t>递交协商响应文件并参加现场协商。</w:t>
      </w:r>
    </w:p>
    <w:p w14:paraId="33E6B371">
      <w:pPr>
        <w:pStyle w:val="13"/>
        <w:numPr>
          <w:ilvl w:val="0"/>
          <w:numId w:val="0"/>
        </w:numPr>
        <w:topLinePunct w:val="0"/>
        <w:ind w:left="0" w:leftChars="0" w:firstLine="482" w:firstLineChars="200"/>
        <w:rPr>
          <w:rFonts w:hint="eastAsia" w:ascii="宋体" w:hAnsi="宋体" w:eastAsia="宋体" w:cs="宋体"/>
          <w:b/>
          <w:sz w:val="24"/>
          <w:highlight w:val="none"/>
          <w:lang w:eastAsia="zh-CN"/>
        </w:rPr>
      </w:pPr>
      <w:r>
        <w:rPr>
          <w:rFonts w:hint="eastAsia" w:ascii="宋体" w:hAnsi="宋体" w:eastAsia="宋体" w:cs="宋体"/>
          <w:b/>
          <w:sz w:val="24"/>
          <w:highlight w:val="none"/>
        </w:rPr>
        <w:t>一、</w:t>
      </w:r>
      <w:r>
        <w:rPr>
          <w:rStyle w:val="36"/>
          <w:highlight w:val="none"/>
        </w:rPr>
        <w:t>项目名称：</w:t>
      </w:r>
      <w:r>
        <w:rPr>
          <w:rFonts w:hint="eastAsia" w:cs="Times New Roman"/>
          <w:b w:val="0"/>
          <w:sz w:val="24"/>
          <w:highlight w:val="none"/>
          <w:u w:val="single"/>
          <w:lang w:eastAsia="zh-CN"/>
        </w:rPr>
        <w:t>通州区生活垃圾焚烧飞灰资源化利用处置项目</w:t>
      </w:r>
    </w:p>
    <w:p w14:paraId="7956C73C">
      <w:pPr>
        <w:pStyle w:val="13"/>
        <w:numPr>
          <w:ilvl w:val="0"/>
          <w:numId w:val="0"/>
        </w:numPr>
        <w:topLinePunct w:val="0"/>
        <w:ind w:left="0" w:leftChars="0" w:firstLine="482" w:firstLineChars="200"/>
        <w:rPr>
          <w:rFonts w:hint="eastAsia" w:ascii="宋体" w:hAnsi="宋体" w:eastAsia="宋体" w:cs="宋体"/>
          <w:b/>
          <w:sz w:val="24"/>
          <w:highlight w:val="none"/>
        </w:rPr>
      </w:pPr>
      <w:bookmarkStart w:id="0" w:name="OLE_LINK1"/>
      <w:r>
        <w:rPr>
          <w:rFonts w:hint="eastAsia" w:ascii="宋体" w:hAnsi="宋体" w:eastAsia="宋体" w:cs="宋体"/>
          <w:b/>
          <w:sz w:val="24"/>
          <w:highlight w:val="none"/>
        </w:rPr>
        <w:t>二、</w:t>
      </w:r>
      <w:r>
        <w:rPr>
          <w:rStyle w:val="36"/>
          <w:highlight w:val="none"/>
        </w:rPr>
        <w:t>服务内容包括但不限于：</w:t>
      </w:r>
      <w:r>
        <w:rPr>
          <w:rFonts w:ascii="Times New Roman" w:hAnsi="Times New Roman" w:eastAsia="宋体" w:cs="Times New Roman"/>
          <w:b w:val="0"/>
          <w:sz w:val="24"/>
          <w:highlight w:val="none"/>
        </w:rPr>
        <w:t>在采购人指定地点接收飞灰、负责飞灰全程合规运输、在符合国家及地方标准的专用暂存设施内规范暂存、采用招标方认可的先进工艺对飞灰进行资源化利用，处置后最终产物须全部满足相关标准要求，严禁造成二次污染，严禁出现飞灰及副产物非法转移、非法填埋等违法违规行为。具体详见本文件项目需求。</w:t>
      </w:r>
    </w:p>
    <w:bookmarkEnd w:id="0"/>
    <w:p w14:paraId="6ADCC393">
      <w:pPr>
        <w:pStyle w:val="13"/>
        <w:numPr>
          <w:ilvl w:val="0"/>
          <w:numId w:val="0"/>
        </w:numPr>
        <w:topLinePunct w:val="0"/>
        <w:ind w:left="0" w:leftChars="0"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三、</w:t>
      </w:r>
      <w:r>
        <w:rPr>
          <w:rStyle w:val="36"/>
          <w:highlight w:val="none"/>
        </w:rPr>
        <w:t>服务期限：</w:t>
      </w:r>
      <w:r>
        <w:rPr>
          <w:rFonts w:ascii="Times New Roman" w:hAnsi="Times New Roman" w:eastAsia="宋体" w:cs="Times New Roman"/>
          <w:b w:val="0"/>
          <w:sz w:val="24"/>
          <w:highlight w:val="none"/>
        </w:rPr>
        <w:t>暂定一年。注：本次项目为一次招标，三年沿用，合同一年一签，在上一年度</w:t>
      </w:r>
      <w:r>
        <w:rPr>
          <w:rFonts w:hint="eastAsia" w:cs="Times New Roman"/>
          <w:b w:val="0"/>
          <w:sz w:val="24"/>
          <w:highlight w:val="none"/>
          <w:lang w:val="en-US" w:eastAsia="zh-CN"/>
        </w:rPr>
        <w:t>履约良好</w:t>
      </w:r>
      <w:r>
        <w:rPr>
          <w:rFonts w:ascii="Times New Roman" w:hAnsi="Times New Roman" w:eastAsia="宋体" w:cs="Times New Roman"/>
          <w:b w:val="0"/>
          <w:sz w:val="24"/>
          <w:highlight w:val="none"/>
        </w:rPr>
        <w:t>且符合《政府购买服务管理办法》第二十四条的情况下，经双方协商，可续签下一年合同，最多续签两次。</w:t>
      </w:r>
    </w:p>
    <w:p w14:paraId="0DD32CCF">
      <w:pPr>
        <w:pStyle w:val="13"/>
        <w:numPr>
          <w:ilvl w:val="0"/>
          <w:numId w:val="0"/>
        </w:numPr>
        <w:topLinePunct w:val="0"/>
        <w:ind w:left="0" w:leftChars="0" w:firstLine="482" w:firstLineChars="200"/>
        <w:rPr>
          <w:rFonts w:hint="eastAsia" w:ascii="宋体" w:hAnsi="宋体" w:eastAsia="宋体" w:cs="宋体"/>
          <w:b/>
          <w:sz w:val="24"/>
          <w:highlight w:val="none"/>
        </w:rPr>
      </w:pPr>
      <w:r>
        <w:rPr>
          <w:rFonts w:hint="eastAsia" w:ascii="宋体" w:hAnsi="宋体" w:eastAsia="宋体" w:cs="宋体"/>
          <w:b/>
          <w:sz w:val="24"/>
          <w:highlight w:val="none"/>
        </w:rPr>
        <w:t>四、</w:t>
      </w:r>
      <w:r>
        <w:rPr>
          <w:rStyle w:val="36"/>
          <w:highlight w:val="none"/>
        </w:rPr>
        <w:t>项目预算：</w:t>
      </w:r>
      <w:r>
        <w:rPr>
          <w:rFonts w:ascii="Times New Roman" w:hAnsi="Times New Roman" w:eastAsia="宋体" w:cs="Times New Roman"/>
          <w:b w:val="0"/>
          <w:sz w:val="24"/>
          <w:highlight w:val="none"/>
        </w:rPr>
        <w:t>人民币</w:t>
      </w:r>
      <w:r>
        <w:rPr>
          <w:rFonts w:hint="eastAsia" w:cs="Times New Roman"/>
          <w:b w:val="0"/>
          <w:sz w:val="24"/>
          <w:highlight w:val="none"/>
          <w:lang w:val="en-US" w:eastAsia="zh-CN"/>
        </w:rPr>
        <w:t>1431</w:t>
      </w:r>
      <w:r>
        <w:rPr>
          <w:rFonts w:ascii="Times New Roman" w:hAnsi="Times New Roman" w:eastAsia="宋体" w:cs="Times New Roman"/>
          <w:b w:val="0"/>
          <w:sz w:val="24"/>
          <w:highlight w:val="none"/>
        </w:rPr>
        <w:t>万元</w:t>
      </w:r>
      <w:r>
        <w:rPr>
          <w:rFonts w:hint="eastAsia" w:cs="Times New Roman"/>
          <w:b w:val="0"/>
          <w:sz w:val="24"/>
          <w:highlight w:val="none"/>
          <w:lang w:val="en-US" w:eastAsia="zh-CN"/>
        </w:rPr>
        <w:t>/年</w:t>
      </w:r>
      <w:r>
        <w:rPr>
          <w:rFonts w:ascii="Times New Roman" w:hAnsi="Times New Roman" w:eastAsia="宋体" w:cs="Times New Roman"/>
          <w:b w:val="0"/>
          <w:sz w:val="24"/>
          <w:highlight w:val="none"/>
        </w:rPr>
        <w:t>，资金来源为财政。</w:t>
      </w:r>
    </w:p>
    <w:p w14:paraId="796AC861">
      <w:pPr>
        <w:pStyle w:val="13"/>
        <w:numPr>
          <w:ilvl w:val="0"/>
          <w:numId w:val="0"/>
        </w:numPr>
        <w:topLinePunct w:val="0"/>
        <w:ind w:left="0" w:leftChars="0" w:firstLine="482" w:firstLineChars="200"/>
        <w:rPr>
          <w:rFonts w:hint="eastAsia" w:ascii="宋体" w:hAnsi="宋体" w:eastAsia="宋体" w:cs="宋体"/>
          <w:b/>
          <w:sz w:val="24"/>
          <w:highlight w:val="none"/>
        </w:rPr>
      </w:pPr>
      <w:r>
        <w:rPr>
          <w:rFonts w:hint="eastAsia" w:ascii="宋体" w:hAnsi="宋体" w:eastAsia="宋体" w:cs="宋体"/>
          <w:b/>
          <w:sz w:val="24"/>
          <w:highlight w:val="none"/>
        </w:rPr>
        <w:t>五、</w:t>
      </w:r>
      <w:r>
        <w:rPr>
          <w:rStyle w:val="36"/>
          <w:rFonts w:hint="eastAsia"/>
          <w:highlight w:val="none"/>
          <w:lang w:val="en-US" w:eastAsia="zh-CN"/>
        </w:rPr>
        <w:t>最高限价</w:t>
      </w:r>
      <w:r>
        <w:rPr>
          <w:rStyle w:val="36"/>
          <w:highlight w:val="none"/>
        </w:rPr>
        <w:t>：</w:t>
      </w:r>
      <w:r>
        <w:rPr>
          <w:rStyle w:val="36"/>
          <w:rFonts w:hint="eastAsia"/>
          <w:b w:val="0"/>
          <w:bCs/>
          <w:highlight w:val="none"/>
          <w:u w:val="single"/>
          <w:lang w:val="en-US" w:eastAsia="zh-CN"/>
        </w:rPr>
        <w:t>1325</w:t>
      </w:r>
      <w:r>
        <w:rPr>
          <w:rStyle w:val="36"/>
          <w:rFonts w:hint="eastAsia"/>
          <w:b w:val="0"/>
          <w:bCs/>
          <w:highlight w:val="none"/>
          <w:lang w:val="en-US" w:eastAsia="zh-CN"/>
        </w:rPr>
        <w:t>元/吨</w:t>
      </w:r>
      <w:r>
        <w:rPr>
          <w:rStyle w:val="36"/>
          <w:rFonts w:hint="eastAsia"/>
          <w:highlight w:val="none"/>
          <w:lang w:val="en-US" w:eastAsia="zh-CN"/>
        </w:rPr>
        <w:t>，</w:t>
      </w:r>
      <w:r>
        <w:rPr>
          <w:rFonts w:ascii="Times New Roman" w:hAnsi="Times New Roman" w:eastAsia="宋体" w:cs="Times New Roman"/>
          <w:b w:val="0"/>
          <w:sz w:val="24"/>
          <w:highlight w:val="none"/>
        </w:rPr>
        <w:t>报价超过最高限价作无效响应处理。</w:t>
      </w:r>
    </w:p>
    <w:p w14:paraId="10962083">
      <w:pPr>
        <w:pStyle w:val="13"/>
        <w:numPr>
          <w:ilvl w:val="0"/>
          <w:numId w:val="0"/>
        </w:numPr>
        <w:topLinePunct w:val="0"/>
        <w:ind w:left="0" w:leftChars="0" w:firstLine="482" w:firstLineChars="200"/>
        <w:rPr>
          <w:rFonts w:hint="eastAsia" w:ascii="宋体" w:hAnsi="宋体" w:eastAsia="宋体" w:cs="宋体"/>
          <w:b/>
          <w:sz w:val="24"/>
          <w:highlight w:val="none"/>
        </w:rPr>
      </w:pPr>
      <w:r>
        <w:rPr>
          <w:rFonts w:hint="eastAsia" w:ascii="宋体" w:hAnsi="宋体" w:eastAsia="宋体" w:cs="宋体"/>
          <w:b/>
          <w:sz w:val="24"/>
          <w:highlight w:val="none"/>
        </w:rPr>
        <w:t>六、</w:t>
      </w:r>
      <w:r>
        <w:rPr>
          <w:rStyle w:val="36"/>
          <w:highlight w:val="none"/>
        </w:rPr>
        <w:t>供应商必须满足的资格条件：</w:t>
      </w:r>
    </w:p>
    <w:p w14:paraId="6A69EB06">
      <w:pPr>
        <w:pStyle w:val="13"/>
        <w:numPr>
          <w:ilvl w:val="0"/>
          <w:numId w:val="1"/>
        </w:numPr>
        <w:tabs>
          <w:tab w:val="left" w:pos="840"/>
        </w:tabs>
        <w:topLinePunct w:val="0"/>
        <w:ind w:left="0" w:leftChars="0" w:firstLine="480" w:firstLineChars="200"/>
        <w:rPr>
          <w:rFonts w:hint="eastAsia" w:ascii="宋体" w:hAnsi="宋体" w:eastAsia="宋体" w:cs="宋体"/>
          <w:b w:val="0"/>
          <w:sz w:val="24"/>
          <w:highlight w:val="none"/>
        </w:rPr>
      </w:pPr>
      <w:r>
        <w:rPr>
          <w:rFonts w:ascii="Times New Roman" w:hAnsi="Times New Roman" w:eastAsia="宋体" w:cs="Times New Roman"/>
          <w:b w:val="0"/>
          <w:sz w:val="24"/>
          <w:highlight w:val="none"/>
        </w:rPr>
        <w:t>具备《中华人民共和国政府采购法》第二十二条规定的条件，且符合、承认并承诺履行单一来源采购文件各项规定。</w:t>
      </w:r>
    </w:p>
    <w:p w14:paraId="7C6A302D">
      <w:pPr>
        <w:pStyle w:val="13"/>
        <w:numPr>
          <w:ilvl w:val="0"/>
          <w:numId w:val="1"/>
        </w:numPr>
        <w:tabs>
          <w:tab w:val="left" w:pos="840"/>
        </w:tabs>
        <w:topLinePunct w:val="0"/>
        <w:ind w:left="0" w:leftChars="0" w:firstLine="480" w:firstLineChars="200"/>
        <w:rPr>
          <w:rFonts w:hint="eastAsia" w:ascii="宋体" w:hAnsi="宋体" w:eastAsia="宋体" w:cs="宋体"/>
          <w:b w:val="0"/>
          <w:sz w:val="24"/>
          <w:highlight w:val="none"/>
        </w:rPr>
      </w:pPr>
      <w:r>
        <w:rPr>
          <w:rFonts w:ascii="Times New Roman" w:hAnsi="Times New Roman" w:eastAsia="宋体" w:cs="Times New Roman"/>
          <w:b w:val="0"/>
          <w:sz w:val="24"/>
          <w:highlight w:val="none"/>
        </w:rPr>
        <w:t>未被“信用中国”网站、中国政府采购网、国家企业信用信息公示系统等渠道列入失信被执行人、重大税收违法案件当事人名单、政府采购严重违法失信行为记录名单。本次招标活动前三年内，在经营活动中没有重大违法记录。</w:t>
      </w:r>
    </w:p>
    <w:p w14:paraId="10C716E0">
      <w:pPr>
        <w:pStyle w:val="13"/>
        <w:numPr>
          <w:ilvl w:val="0"/>
          <w:numId w:val="0"/>
        </w:numPr>
        <w:tabs>
          <w:tab w:val="left" w:pos="1200"/>
        </w:tabs>
        <w:topLinePunct w:val="0"/>
        <w:ind w:left="0" w:leftChars="0" w:firstLine="480" w:firstLineChars="200"/>
        <w:rPr>
          <w:rFonts w:hint="eastAsia" w:ascii="宋体" w:hAnsi="宋体" w:eastAsia="宋体" w:cs="宋体"/>
          <w:b w:val="0"/>
          <w:sz w:val="24"/>
          <w:highlight w:val="none"/>
        </w:rPr>
      </w:pPr>
      <w:r>
        <w:rPr>
          <w:rFonts w:hint="eastAsia" w:ascii="宋体" w:hAnsi="宋体" w:eastAsia="宋体" w:cs="宋体"/>
          <w:b w:val="0"/>
          <w:sz w:val="24"/>
          <w:highlight w:val="none"/>
        </w:rPr>
        <w:t>七、</w:t>
      </w:r>
      <w:r>
        <w:rPr>
          <w:rFonts w:ascii="Times New Roman" w:hAnsi="Times New Roman" w:eastAsia="宋体" w:cs="Times New Roman"/>
          <w:b w:val="0"/>
          <w:sz w:val="24"/>
          <w:highlight w:val="none"/>
        </w:rPr>
        <w:t>单一来源供应商名称</w:t>
      </w:r>
    </w:p>
    <w:p w14:paraId="5E924FB3">
      <w:pPr>
        <w:pStyle w:val="13"/>
        <w:ind w:left="0" w:leftChars="0" w:firstLine="480" w:firstLineChars="200"/>
        <w:rPr>
          <w:rFonts w:ascii="Times New Roman" w:hAnsi="Times New Roman" w:eastAsia="宋体" w:cs="Times New Roman"/>
          <w:b w:val="0"/>
          <w:sz w:val="24"/>
          <w:highlight w:val="none"/>
        </w:rPr>
      </w:pPr>
      <w:r>
        <w:rPr>
          <w:rFonts w:ascii="Times New Roman" w:hAnsi="Times New Roman" w:eastAsia="宋体" w:cs="Times New Roman"/>
          <w:b w:val="0"/>
          <w:sz w:val="24"/>
          <w:highlight w:val="none"/>
        </w:rPr>
        <w:t>名称：南通乐环新材料科技有限公司</w:t>
      </w:r>
    </w:p>
    <w:p w14:paraId="52DFAE92">
      <w:pPr>
        <w:pStyle w:val="13"/>
        <w:ind w:left="0" w:leftChars="0" w:firstLine="480" w:firstLineChars="200"/>
        <w:rPr>
          <w:rFonts w:ascii="Times New Roman" w:hAnsi="Times New Roman" w:eastAsia="宋体" w:cs="Times New Roman"/>
          <w:b w:val="0"/>
          <w:sz w:val="24"/>
          <w:highlight w:val="none"/>
        </w:rPr>
      </w:pPr>
      <w:r>
        <w:rPr>
          <w:rFonts w:ascii="Times New Roman" w:hAnsi="Times New Roman" w:eastAsia="宋体" w:cs="Times New Roman"/>
          <w:b w:val="0"/>
          <w:sz w:val="24"/>
          <w:highlight w:val="none"/>
        </w:rPr>
        <w:t>地址：南通高新技术产业开发区金江公路东、朝霞路南侧</w:t>
      </w:r>
    </w:p>
    <w:p w14:paraId="1B8E827D">
      <w:pPr>
        <w:pStyle w:val="13"/>
        <w:numPr>
          <w:ilvl w:val="0"/>
          <w:numId w:val="0"/>
        </w:numPr>
        <w:tabs>
          <w:tab w:val="left" w:pos="1200"/>
        </w:tabs>
        <w:topLinePunct w:val="0"/>
        <w:ind w:left="0" w:leftChars="0" w:firstLine="480" w:firstLineChars="200"/>
        <w:rPr>
          <w:rFonts w:hint="eastAsia" w:ascii="宋体" w:hAnsi="宋体" w:eastAsia="宋体" w:cs="宋体"/>
          <w:b w:val="0"/>
          <w:sz w:val="24"/>
          <w:highlight w:val="none"/>
        </w:rPr>
      </w:pPr>
      <w:r>
        <w:rPr>
          <w:rFonts w:hint="eastAsia" w:ascii="宋体" w:hAnsi="宋体" w:eastAsia="宋体" w:cs="宋体"/>
          <w:b w:val="0"/>
          <w:sz w:val="24"/>
          <w:highlight w:val="none"/>
        </w:rPr>
        <w:t>八、</w:t>
      </w:r>
      <w:r>
        <w:rPr>
          <w:rFonts w:ascii="Times New Roman" w:hAnsi="Times New Roman" w:eastAsia="宋体" w:cs="Times New Roman"/>
          <w:b w:val="0"/>
          <w:sz w:val="24"/>
          <w:highlight w:val="none"/>
        </w:rPr>
        <w:t>协商时间、地点</w:t>
      </w:r>
    </w:p>
    <w:p w14:paraId="4530BA58">
      <w:pPr>
        <w:pStyle w:val="13"/>
        <w:numPr>
          <w:ilvl w:val="0"/>
          <w:numId w:val="2"/>
        </w:numPr>
        <w:tabs>
          <w:tab w:val="left" w:pos="840"/>
        </w:tabs>
        <w:topLinePunct w:val="0"/>
        <w:ind w:left="0" w:leftChars="0" w:firstLine="480" w:firstLineChars="200"/>
        <w:rPr>
          <w:rFonts w:hint="eastAsia" w:ascii="宋体" w:hAnsi="宋体" w:eastAsia="宋体" w:cs="宋体"/>
          <w:b w:val="0"/>
          <w:sz w:val="24"/>
          <w:highlight w:val="none"/>
        </w:rPr>
      </w:pPr>
      <w:r>
        <w:rPr>
          <w:rFonts w:ascii="Times New Roman" w:hAnsi="Times New Roman" w:eastAsia="宋体" w:cs="Times New Roman"/>
          <w:b w:val="0"/>
          <w:sz w:val="24"/>
          <w:highlight w:val="none"/>
        </w:rPr>
        <w:t>供应商响应文件接收截止及协商开始时间：</w:t>
      </w:r>
      <w:r>
        <w:rPr>
          <w:rFonts w:ascii="Times New Roman" w:hAnsi="Times New Roman" w:eastAsia="宋体" w:cs="Times New Roman"/>
          <w:b w:val="0"/>
          <w:sz w:val="24"/>
          <w:highlight w:val="none"/>
          <w:u w:val="single"/>
        </w:rPr>
        <w:t>2026</w:t>
      </w:r>
      <w:r>
        <w:rPr>
          <w:rFonts w:ascii="Times New Roman" w:hAnsi="Times New Roman" w:eastAsia="宋体" w:cs="Times New Roman"/>
          <w:b w:val="0"/>
          <w:sz w:val="24"/>
          <w:highlight w:val="none"/>
        </w:rPr>
        <w:t>年</w:t>
      </w:r>
      <w:r>
        <w:rPr>
          <w:rFonts w:hint="eastAsia" w:cs="Times New Roman"/>
          <w:b w:val="0"/>
          <w:sz w:val="24"/>
          <w:highlight w:val="none"/>
          <w:u w:val="single"/>
          <w:lang w:val="en-US" w:eastAsia="zh-CN"/>
        </w:rPr>
        <w:t>6</w:t>
      </w:r>
      <w:r>
        <w:rPr>
          <w:rFonts w:ascii="Times New Roman" w:hAnsi="Times New Roman" w:eastAsia="宋体" w:cs="Times New Roman"/>
          <w:b w:val="0"/>
          <w:sz w:val="24"/>
          <w:highlight w:val="none"/>
        </w:rPr>
        <w:t>月</w:t>
      </w:r>
      <w:r>
        <w:rPr>
          <w:rFonts w:hint="eastAsia" w:cs="Times New Roman"/>
          <w:b w:val="0"/>
          <w:sz w:val="24"/>
          <w:highlight w:val="none"/>
          <w:u w:val="single"/>
          <w:lang w:val="en-US" w:eastAsia="zh-CN"/>
        </w:rPr>
        <w:t>12</w:t>
      </w:r>
      <w:r>
        <w:rPr>
          <w:rFonts w:ascii="Times New Roman" w:hAnsi="Times New Roman" w:eastAsia="宋体" w:cs="Times New Roman"/>
          <w:b w:val="0"/>
          <w:sz w:val="24"/>
          <w:highlight w:val="none"/>
        </w:rPr>
        <w:t>日</w:t>
      </w:r>
      <w:r>
        <w:rPr>
          <w:rFonts w:hint="eastAsia" w:cs="Times New Roman"/>
          <w:b w:val="0"/>
          <w:sz w:val="24"/>
          <w:highlight w:val="none"/>
          <w:u w:val="single"/>
          <w:lang w:val="en-US" w:eastAsia="zh-CN"/>
        </w:rPr>
        <w:t>14</w:t>
      </w:r>
      <w:r>
        <w:rPr>
          <w:rFonts w:ascii="Times New Roman" w:hAnsi="Times New Roman" w:eastAsia="宋体" w:cs="Times New Roman"/>
          <w:b w:val="0"/>
          <w:sz w:val="24"/>
          <w:highlight w:val="none"/>
        </w:rPr>
        <w:t>时</w:t>
      </w:r>
      <w:r>
        <w:rPr>
          <w:rFonts w:hint="eastAsia" w:cs="Times New Roman"/>
          <w:b w:val="0"/>
          <w:sz w:val="24"/>
          <w:highlight w:val="none"/>
          <w:u w:val="single"/>
          <w:lang w:val="en-US" w:eastAsia="zh-CN"/>
        </w:rPr>
        <w:t>00</w:t>
      </w:r>
      <w:bookmarkStart w:id="6" w:name="_GoBack"/>
      <w:bookmarkEnd w:id="6"/>
      <w:r>
        <w:rPr>
          <w:rFonts w:ascii="Times New Roman" w:hAnsi="Times New Roman" w:eastAsia="宋体" w:cs="Times New Roman"/>
          <w:b w:val="0"/>
          <w:sz w:val="24"/>
          <w:highlight w:val="none"/>
        </w:rPr>
        <w:t>分（北京时间）。</w:t>
      </w:r>
    </w:p>
    <w:p w14:paraId="7969A000">
      <w:pPr>
        <w:pStyle w:val="13"/>
        <w:numPr>
          <w:ilvl w:val="0"/>
          <w:numId w:val="2"/>
        </w:numPr>
        <w:tabs>
          <w:tab w:val="left" w:pos="840"/>
        </w:tabs>
        <w:topLinePunct w:val="0"/>
        <w:ind w:left="0" w:leftChars="0" w:firstLine="480" w:firstLineChars="200"/>
        <w:rPr>
          <w:rFonts w:hint="eastAsia" w:ascii="宋体" w:hAnsi="宋体" w:eastAsia="宋体" w:cs="宋体"/>
          <w:b w:val="0"/>
          <w:sz w:val="24"/>
          <w:highlight w:val="none"/>
        </w:rPr>
      </w:pPr>
      <w:r>
        <w:rPr>
          <w:rFonts w:ascii="Times New Roman" w:hAnsi="Times New Roman" w:eastAsia="宋体" w:cs="Times New Roman"/>
          <w:b w:val="0"/>
          <w:sz w:val="24"/>
          <w:highlight w:val="none"/>
        </w:rPr>
        <w:t>协商地点：苏彩云不见面系统。</w:t>
      </w:r>
    </w:p>
    <w:p w14:paraId="642C1EA0">
      <w:pPr>
        <w:pStyle w:val="13"/>
        <w:numPr>
          <w:ilvl w:val="0"/>
          <w:numId w:val="0"/>
        </w:numPr>
        <w:topLinePunct w:val="0"/>
        <w:ind w:left="0" w:leftChars="0" w:firstLine="482" w:firstLineChars="200"/>
        <w:rPr>
          <w:rFonts w:hint="eastAsia" w:ascii="宋体" w:hAnsi="宋体" w:eastAsia="宋体" w:cs="宋体"/>
          <w:b/>
          <w:sz w:val="24"/>
          <w:highlight w:val="none"/>
        </w:rPr>
      </w:pPr>
      <w:r>
        <w:rPr>
          <w:rFonts w:hint="eastAsia" w:ascii="宋体" w:hAnsi="宋体" w:eastAsia="宋体" w:cs="宋体"/>
          <w:b/>
          <w:sz w:val="24"/>
          <w:highlight w:val="none"/>
        </w:rPr>
        <w:t>九、</w:t>
      </w:r>
      <w:r>
        <w:rPr>
          <w:rStyle w:val="36"/>
          <w:highlight w:val="none"/>
        </w:rPr>
        <w:t>协商响应文件有效期：</w:t>
      </w:r>
      <w:r>
        <w:rPr>
          <w:rFonts w:ascii="Times New Roman" w:hAnsi="Times New Roman" w:eastAsia="宋体" w:cs="Times New Roman"/>
          <w:b w:val="0"/>
          <w:sz w:val="24"/>
          <w:highlight w:val="none"/>
        </w:rPr>
        <w:t>自提交协商响应文件截止之日起</w:t>
      </w:r>
      <w:r>
        <w:rPr>
          <w:rFonts w:ascii="Times New Roman" w:hAnsi="Times New Roman" w:eastAsia="宋体" w:cs="Times New Roman"/>
          <w:b w:val="0"/>
          <w:sz w:val="24"/>
          <w:highlight w:val="none"/>
          <w:u w:val="single"/>
        </w:rPr>
        <w:t>45</w:t>
      </w:r>
      <w:r>
        <w:rPr>
          <w:rFonts w:ascii="Times New Roman" w:hAnsi="Times New Roman" w:eastAsia="宋体" w:cs="Times New Roman"/>
          <w:b w:val="0"/>
          <w:sz w:val="24"/>
          <w:highlight w:val="none"/>
        </w:rPr>
        <w:t>个日历日。</w:t>
      </w:r>
    </w:p>
    <w:p w14:paraId="0B9FDF6F">
      <w:pPr>
        <w:pStyle w:val="13"/>
        <w:numPr>
          <w:ilvl w:val="0"/>
          <w:numId w:val="0"/>
        </w:numPr>
        <w:topLinePunct w:val="0"/>
        <w:ind w:left="0" w:leftChars="0" w:firstLine="482" w:firstLineChars="200"/>
        <w:rPr>
          <w:rFonts w:hint="eastAsia" w:ascii="宋体" w:hAnsi="宋体" w:eastAsia="宋体" w:cs="宋体"/>
          <w:b/>
          <w:sz w:val="24"/>
          <w:highlight w:val="none"/>
        </w:rPr>
      </w:pPr>
      <w:r>
        <w:rPr>
          <w:rFonts w:hint="eastAsia" w:ascii="宋体" w:hAnsi="宋体" w:eastAsia="宋体" w:cs="宋体"/>
          <w:b/>
          <w:sz w:val="24"/>
          <w:highlight w:val="none"/>
        </w:rPr>
        <w:t>十、</w:t>
      </w:r>
      <w:r>
        <w:rPr>
          <w:rStyle w:val="36"/>
          <w:highlight w:val="none"/>
        </w:rPr>
        <w:t>供应商需递交的响应材料：</w:t>
      </w:r>
    </w:p>
    <w:p w14:paraId="0F4B49BE">
      <w:pPr>
        <w:pStyle w:val="13"/>
        <w:numPr>
          <w:ilvl w:val="0"/>
          <w:numId w:val="3"/>
        </w:numPr>
        <w:tabs>
          <w:tab w:val="left" w:pos="840"/>
        </w:tabs>
        <w:topLinePunct w:val="0"/>
        <w:ind w:left="0" w:leftChars="0" w:firstLine="480" w:firstLineChars="200"/>
        <w:rPr>
          <w:rFonts w:hint="eastAsia" w:ascii="宋体" w:hAnsi="宋体" w:eastAsia="宋体" w:cs="宋体"/>
          <w:b w:val="0"/>
          <w:sz w:val="24"/>
          <w:highlight w:val="none"/>
        </w:rPr>
      </w:pPr>
      <w:r>
        <w:rPr>
          <w:rFonts w:ascii="Times New Roman" w:hAnsi="Times New Roman" w:eastAsia="宋体" w:cs="Times New Roman"/>
          <w:b w:val="0"/>
          <w:sz w:val="24"/>
          <w:highlight w:val="none"/>
        </w:rPr>
        <w:t>营业执照（副本）复印件；</w:t>
      </w:r>
    </w:p>
    <w:p w14:paraId="5658BC23">
      <w:pPr>
        <w:pStyle w:val="13"/>
        <w:numPr>
          <w:ilvl w:val="0"/>
          <w:numId w:val="3"/>
        </w:numPr>
        <w:tabs>
          <w:tab w:val="left" w:pos="840"/>
        </w:tabs>
        <w:topLinePunct w:val="0"/>
        <w:ind w:left="0" w:leftChars="0" w:firstLine="480" w:firstLineChars="200"/>
        <w:rPr>
          <w:rFonts w:hint="eastAsia" w:ascii="宋体" w:hAnsi="宋体" w:eastAsia="宋体" w:cs="宋体"/>
          <w:b w:val="0"/>
          <w:sz w:val="24"/>
          <w:highlight w:val="none"/>
        </w:rPr>
      </w:pPr>
      <w:r>
        <w:rPr>
          <w:rFonts w:ascii="Times New Roman" w:hAnsi="Times New Roman" w:eastAsia="宋体" w:cs="Times New Roman"/>
          <w:b w:val="0"/>
          <w:sz w:val="24"/>
          <w:highlight w:val="none"/>
        </w:rPr>
        <w:t>协商供应商资格声明；</w:t>
      </w:r>
    </w:p>
    <w:p w14:paraId="25367ACF">
      <w:pPr>
        <w:pStyle w:val="13"/>
        <w:numPr>
          <w:ilvl w:val="0"/>
          <w:numId w:val="3"/>
        </w:numPr>
        <w:tabs>
          <w:tab w:val="left" w:pos="840"/>
        </w:tabs>
        <w:topLinePunct w:val="0"/>
        <w:ind w:left="0" w:leftChars="0" w:firstLine="480" w:firstLineChars="200"/>
        <w:rPr>
          <w:rFonts w:hint="eastAsia" w:ascii="宋体" w:hAnsi="宋体" w:eastAsia="宋体" w:cs="宋体"/>
          <w:b w:val="0"/>
          <w:sz w:val="24"/>
          <w:highlight w:val="none"/>
        </w:rPr>
      </w:pPr>
      <w:r>
        <w:rPr>
          <w:rFonts w:ascii="Times New Roman" w:hAnsi="Times New Roman" w:eastAsia="宋体" w:cs="Times New Roman"/>
          <w:b w:val="0"/>
          <w:sz w:val="24"/>
          <w:highlight w:val="none"/>
        </w:rPr>
        <w:t>法定代表人（或单位负责人）证明书；</w:t>
      </w:r>
    </w:p>
    <w:p w14:paraId="361226D9">
      <w:pPr>
        <w:pStyle w:val="13"/>
        <w:numPr>
          <w:ilvl w:val="0"/>
          <w:numId w:val="3"/>
        </w:numPr>
        <w:tabs>
          <w:tab w:val="left" w:pos="840"/>
        </w:tabs>
        <w:topLinePunct w:val="0"/>
        <w:ind w:left="0" w:leftChars="0" w:firstLine="480" w:firstLineChars="200"/>
        <w:rPr>
          <w:rFonts w:hint="eastAsia" w:ascii="宋体" w:hAnsi="宋体" w:eastAsia="宋体" w:cs="宋体"/>
          <w:b w:val="0"/>
          <w:sz w:val="24"/>
          <w:highlight w:val="none"/>
        </w:rPr>
      </w:pPr>
      <w:r>
        <w:rPr>
          <w:rFonts w:ascii="Times New Roman" w:hAnsi="Times New Roman" w:eastAsia="宋体" w:cs="Times New Roman"/>
          <w:b w:val="0"/>
          <w:sz w:val="24"/>
          <w:highlight w:val="none"/>
        </w:rPr>
        <w:t>法定代表人（或单位负责人）授权委托书（包括供应商委托代理人的身份证复印件，法定代表人（或单位负责人）参与协商的，不需提供）；</w:t>
      </w:r>
    </w:p>
    <w:p w14:paraId="6B5F2E98">
      <w:pPr>
        <w:pStyle w:val="13"/>
        <w:numPr>
          <w:ilvl w:val="0"/>
          <w:numId w:val="3"/>
        </w:numPr>
        <w:tabs>
          <w:tab w:val="left" w:pos="840"/>
        </w:tabs>
        <w:topLinePunct w:val="0"/>
        <w:ind w:left="0" w:leftChars="0" w:firstLine="480" w:firstLineChars="200"/>
        <w:rPr>
          <w:rFonts w:hint="eastAsia" w:ascii="宋体" w:hAnsi="宋体" w:eastAsia="宋体" w:cs="宋体"/>
          <w:b w:val="0"/>
          <w:sz w:val="24"/>
          <w:highlight w:val="none"/>
        </w:rPr>
      </w:pPr>
      <w:r>
        <w:rPr>
          <w:rFonts w:ascii="Times New Roman" w:hAnsi="Times New Roman" w:eastAsia="宋体" w:cs="Times New Roman"/>
          <w:b w:val="0"/>
          <w:sz w:val="24"/>
          <w:highlight w:val="none"/>
        </w:rPr>
        <w:t>报价函(加盖公章)。</w:t>
      </w:r>
    </w:p>
    <w:p w14:paraId="3D8B654B">
      <w:pPr>
        <w:pStyle w:val="13"/>
        <w:numPr>
          <w:ilvl w:val="0"/>
          <w:numId w:val="0"/>
        </w:numPr>
        <w:tabs>
          <w:tab w:val="left" w:pos="1200"/>
        </w:tabs>
        <w:topLinePunct w:val="0"/>
        <w:ind w:left="0" w:leftChars="0" w:firstLine="480" w:firstLineChars="200"/>
        <w:rPr>
          <w:rFonts w:hint="eastAsia" w:ascii="宋体" w:hAnsi="宋体" w:eastAsia="宋体" w:cs="宋体"/>
          <w:b w:val="0"/>
          <w:sz w:val="24"/>
          <w:highlight w:val="none"/>
        </w:rPr>
      </w:pPr>
      <w:r>
        <w:rPr>
          <w:rFonts w:hint="eastAsia" w:ascii="宋体" w:hAnsi="宋体" w:eastAsia="宋体" w:cs="宋体"/>
          <w:b w:val="0"/>
          <w:sz w:val="24"/>
          <w:highlight w:val="none"/>
        </w:rPr>
        <w:t>十一、</w:t>
      </w:r>
      <w:r>
        <w:rPr>
          <w:rFonts w:ascii="Times New Roman" w:hAnsi="Times New Roman" w:eastAsia="宋体" w:cs="Times New Roman"/>
          <w:b w:val="0"/>
          <w:sz w:val="24"/>
          <w:highlight w:val="none"/>
        </w:rPr>
        <w:t>无效响应的规定</w:t>
      </w:r>
    </w:p>
    <w:p w14:paraId="27B9D3A0">
      <w:pPr>
        <w:pStyle w:val="13"/>
        <w:ind w:left="0" w:leftChars="0" w:firstLine="480" w:firstLineChars="200"/>
        <w:rPr>
          <w:rFonts w:ascii="Times New Roman" w:hAnsi="Times New Roman" w:eastAsia="宋体" w:cs="Times New Roman"/>
          <w:b w:val="0"/>
          <w:sz w:val="24"/>
          <w:highlight w:val="none"/>
        </w:rPr>
      </w:pPr>
      <w:r>
        <w:rPr>
          <w:rFonts w:ascii="Times New Roman" w:hAnsi="Times New Roman" w:eastAsia="宋体" w:cs="Times New Roman"/>
          <w:b w:val="0"/>
          <w:sz w:val="24"/>
          <w:highlight w:val="none"/>
        </w:rPr>
        <w:t>供应商有下列情况之一的，视为无效协商：</w:t>
      </w:r>
    </w:p>
    <w:p w14:paraId="1EF871C0">
      <w:pPr>
        <w:pStyle w:val="13"/>
        <w:numPr>
          <w:ilvl w:val="0"/>
          <w:numId w:val="4"/>
        </w:numPr>
        <w:tabs>
          <w:tab w:val="left" w:pos="840"/>
        </w:tabs>
        <w:topLinePunct w:val="0"/>
        <w:ind w:left="0" w:leftChars="0" w:firstLine="480" w:firstLineChars="200"/>
        <w:rPr>
          <w:rFonts w:hint="eastAsia" w:ascii="宋体" w:hAnsi="宋体" w:eastAsia="宋体" w:cs="宋体"/>
          <w:b w:val="0"/>
          <w:sz w:val="24"/>
          <w:highlight w:val="none"/>
        </w:rPr>
      </w:pPr>
      <w:r>
        <w:rPr>
          <w:rFonts w:ascii="Times New Roman" w:hAnsi="Times New Roman" w:eastAsia="宋体" w:cs="Times New Roman"/>
          <w:b w:val="0"/>
          <w:sz w:val="24"/>
          <w:highlight w:val="none"/>
        </w:rPr>
        <w:t>协商响应文件未按单一来源采购文件要求签署、盖章的；</w:t>
      </w:r>
    </w:p>
    <w:p w14:paraId="3C30974F">
      <w:pPr>
        <w:pStyle w:val="13"/>
        <w:numPr>
          <w:ilvl w:val="0"/>
          <w:numId w:val="4"/>
        </w:numPr>
        <w:tabs>
          <w:tab w:val="left" w:pos="840"/>
        </w:tabs>
        <w:topLinePunct w:val="0"/>
        <w:ind w:left="0" w:leftChars="0" w:firstLine="480" w:firstLineChars="200"/>
        <w:rPr>
          <w:rFonts w:hint="eastAsia" w:ascii="宋体" w:hAnsi="宋体" w:eastAsia="宋体" w:cs="宋体"/>
          <w:b w:val="0"/>
          <w:sz w:val="24"/>
          <w:highlight w:val="none"/>
        </w:rPr>
      </w:pPr>
      <w:r>
        <w:rPr>
          <w:rFonts w:ascii="Times New Roman" w:hAnsi="Times New Roman" w:eastAsia="宋体" w:cs="Times New Roman"/>
          <w:b w:val="0"/>
          <w:sz w:val="24"/>
          <w:highlight w:val="none"/>
        </w:rPr>
        <w:t>不具备单一来源采购文件中规定的资格要求（或未提供有效证明文件）的；</w:t>
      </w:r>
    </w:p>
    <w:p w14:paraId="2F299342">
      <w:pPr>
        <w:pStyle w:val="13"/>
        <w:numPr>
          <w:ilvl w:val="0"/>
          <w:numId w:val="4"/>
        </w:numPr>
        <w:tabs>
          <w:tab w:val="left" w:pos="840"/>
        </w:tabs>
        <w:topLinePunct w:val="0"/>
        <w:ind w:left="0" w:leftChars="0" w:firstLine="480" w:firstLineChars="200"/>
        <w:rPr>
          <w:rFonts w:hint="eastAsia" w:ascii="宋体" w:hAnsi="宋体" w:eastAsia="宋体" w:cs="宋体"/>
          <w:b w:val="0"/>
          <w:sz w:val="24"/>
          <w:highlight w:val="none"/>
        </w:rPr>
      </w:pPr>
      <w:r>
        <w:rPr>
          <w:rFonts w:ascii="Times New Roman" w:hAnsi="Times New Roman" w:eastAsia="宋体" w:cs="Times New Roman"/>
          <w:b w:val="0"/>
          <w:sz w:val="24"/>
          <w:highlight w:val="none"/>
        </w:rPr>
        <w:t>不满足单一来源采购文件中规定的实质性要求的；</w:t>
      </w:r>
    </w:p>
    <w:p w14:paraId="6903117B">
      <w:pPr>
        <w:pStyle w:val="13"/>
        <w:numPr>
          <w:ilvl w:val="0"/>
          <w:numId w:val="4"/>
        </w:numPr>
        <w:tabs>
          <w:tab w:val="left" w:pos="840"/>
        </w:tabs>
        <w:topLinePunct w:val="0"/>
        <w:ind w:left="0" w:leftChars="0" w:firstLine="480" w:firstLineChars="200"/>
        <w:rPr>
          <w:rFonts w:hint="eastAsia" w:ascii="宋体" w:hAnsi="宋体" w:eastAsia="宋体" w:cs="宋体"/>
          <w:b w:val="0"/>
          <w:sz w:val="24"/>
          <w:highlight w:val="none"/>
        </w:rPr>
      </w:pPr>
      <w:r>
        <w:rPr>
          <w:rFonts w:ascii="Times New Roman" w:hAnsi="Times New Roman" w:eastAsia="宋体" w:cs="Times New Roman"/>
          <w:b w:val="0"/>
          <w:sz w:val="24"/>
          <w:highlight w:val="none"/>
        </w:rPr>
        <w:t>报价超过单一来源采购文件中规定的预算金额的；</w:t>
      </w:r>
    </w:p>
    <w:p w14:paraId="35C298F7">
      <w:pPr>
        <w:pStyle w:val="13"/>
        <w:numPr>
          <w:ilvl w:val="0"/>
          <w:numId w:val="4"/>
        </w:numPr>
        <w:tabs>
          <w:tab w:val="left" w:pos="840"/>
        </w:tabs>
        <w:topLinePunct w:val="0"/>
        <w:ind w:left="0" w:leftChars="0" w:firstLine="480" w:firstLineChars="200"/>
        <w:rPr>
          <w:rFonts w:hint="eastAsia" w:ascii="宋体" w:hAnsi="宋体" w:eastAsia="宋体" w:cs="宋体"/>
          <w:b w:val="0"/>
          <w:sz w:val="24"/>
          <w:highlight w:val="none"/>
        </w:rPr>
      </w:pPr>
      <w:r>
        <w:rPr>
          <w:rFonts w:ascii="Times New Roman" w:hAnsi="Times New Roman" w:eastAsia="宋体" w:cs="Times New Roman"/>
          <w:b w:val="0"/>
          <w:sz w:val="24"/>
          <w:highlight w:val="none"/>
        </w:rPr>
        <w:t>协商响应文件含有采购人不能接受的附加条件的；</w:t>
      </w:r>
    </w:p>
    <w:p w14:paraId="05730A2F">
      <w:pPr>
        <w:pStyle w:val="13"/>
        <w:numPr>
          <w:ilvl w:val="0"/>
          <w:numId w:val="4"/>
        </w:numPr>
        <w:tabs>
          <w:tab w:val="left" w:pos="840"/>
        </w:tabs>
        <w:topLinePunct w:val="0"/>
        <w:ind w:left="0" w:leftChars="0" w:firstLine="480" w:firstLineChars="200"/>
        <w:rPr>
          <w:rFonts w:hint="eastAsia" w:ascii="宋体" w:hAnsi="宋体" w:eastAsia="宋体" w:cs="宋体"/>
          <w:b w:val="0"/>
          <w:sz w:val="24"/>
          <w:highlight w:val="none"/>
        </w:rPr>
      </w:pPr>
      <w:r>
        <w:rPr>
          <w:rFonts w:ascii="Times New Roman" w:hAnsi="Times New Roman" w:eastAsia="宋体" w:cs="Times New Roman"/>
          <w:b w:val="0"/>
          <w:sz w:val="24"/>
          <w:highlight w:val="none"/>
        </w:rPr>
        <w:t>项目有效期不足的；</w:t>
      </w:r>
    </w:p>
    <w:p w14:paraId="295A675F">
      <w:pPr>
        <w:pStyle w:val="13"/>
        <w:numPr>
          <w:ilvl w:val="0"/>
          <w:numId w:val="4"/>
        </w:numPr>
        <w:tabs>
          <w:tab w:val="left" w:pos="840"/>
        </w:tabs>
        <w:topLinePunct w:val="0"/>
        <w:ind w:left="0" w:leftChars="0" w:firstLine="480" w:firstLineChars="200"/>
        <w:rPr>
          <w:rFonts w:hint="eastAsia" w:ascii="宋体" w:hAnsi="宋体" w:eastAsia="宋体" w:cs="宋体"/>
          <w:b w:val="0"/>
          <w:sz w:val="24"/>
          <w:highlight w:val="none"/>
        </w:rPr>
      </w:pPr>
      <w:r>
        <w:rPr>
          <w:rFonts w:ascii="Times New Roman" w:hAnsi="Times New Roman" w:eastAsia="宋体" w:cs="Times New Roman"/>
          <w:b w:val="0"/>
          <w:sz w:val="24"/>
          <w:highlight w:val="none"/>
        </w:rPr>
        <w:t>法律、法规和单一来源采购文件规定的其它无效情形。</w:t>
      </w:r>
    </w:p>
    <w:p w14:paraId="0C3C6721">
      <w:pPr>
        <w:pStyle w:val="13"/>
        <w:numPr>
          <w:ilvl w:val="0"/>
          <w:numId w:val="0"/>
        </w:numPr>
        <w:tabs>
          <w:tab w:val="left" w:pos="1200"/>
        </w:tabs>
        <w:topLinePunct w:val="0"/>
        <w:ind w:left="0" w:leftChars="0" w:firstLine="480" w:firstLineChars="200"/>
        <w:rPr>
          <w:rFonts w:hint="eastAsia" w:ascii="宋体" w:hAnsi="宋体" w:eastAsia="宋体" w:cs="宋体"/>
          <w:b w:val="0"/>
          <w:sz w:val="24"/>
          <w:highlight w:val="none"/>
        </w:rPr>
      </w:pPr>
      <w:r>
        <w:rPr>
          <w:rFonts w:hint="eastAsia" w:ascii="宋体" w:hAnsi="宋体" w:eastAsia="宋体" w:cs="宋体"/>
          <w:b w:val="0"/>
          <w:sz w:val="24"/>
          <w:highlight w:val="none"/>
        </w:rPr>
        <w:t>十二、</w:t>
      </w:r>
      <w:r>
        <w:rPr>
          <w:rFonts w:ascii="Times New Roman" w:hAnsi="Times New Roman" w:eastAsia="宋体" w:cs="Times New Roman"/>
          <w:b w:val="0"/>
          <w:sz w:val="24"/>
          <w:highlight w:val="none"/>
        </w:rPr>
        <w:t>协商原则</w:t>
      </w:r>
    </w:p>
    <w:p w14:paraId="044D18A3">
      <w:pPr>
        <w:pStyle w:val="13"/>
        <w:numPr>
          <w:ilvl w:val="0"/>
          <w:numId w:val="5"/>
        </w:numPr>
        <w:tabs>
          <w:tab w:val="left" w:pos="840"/>
        </w:tabs>
        <w:topLinePunct w:val="0"/>
        <w:ind w:left="0" w:leftChars="0" w:firstLine="480" w:firstLineChars="200"/>
        <w:rPr>
          <w:rFonts w:hint="eastAsia" w:ascii="宋体" w:hAnsi="宋体" w:eastAsia="宋体" w:cs="宋体"/>
          <w:b w:val="0"/>
          <w:sz w:val="24"/>
          <w:highlight w:val="none"/>
        </w:rPr>
      </w:pPr>
      <w:r>
        <w:rPr>
          <w:rFonts w:ascii="Times New Roman" w:hAnsi="Times New Roman" w:eastAsia="宋体" w:cs="Times New Roman"/>
          <w:b w:val="0"/>
          <w:sz w:val="24"/>
          <w:highlight w:val="none"/>
        </w:rPr>
        <w:t>供应商参加单一来源协商时，不按本公告第十条要求提供齐全协商材料的，将被拒绝进行单一来源协商采购。</w:t>
      </w:r>
    </w:p>
    <w:p w14:paraId="1CB6C8CF">
      <w:pPr>
        <w:pStyle w:val="13"/>
        <w:numPr>
          <w:ilvl w:val="0"/>
          <w:numId w:val="5"/>
        </w:numPr>
        <w:tabs>
          <w:tab w:val="left" w:pos="840"/>
        </w:tabs>
        <w:topLinePunct w:val="0"/>
        <w:ind w:left="0" w:leftChars="0" w:firstLine="480" w:firstLineChars="200"/>
        <w:rPr>
          <w:rFonts w:hint="eastAsia" w:ascii="宋体" w:hAnsi="宋体" w:eastAsia="宋体" w:cs="宋体"/>
          <w:b w:val="0"/>
          <w:sz w:val="24"/>
          <w:highlight w:val="none"/>
        </w:rPr>
      </w:pPr>
      <w:r>
        <w:rPr>
          <w:rFonts w:ascii="Times New Roman" w:hAnsi="Times New Roman" w:eastAsia="宋体" w:cs="Times New Roman"/>
          <w:b w:val="0"/>
          <w:sz w:val="24"/>
          <w:highlight w:val="none"/>
        </w:rPr>
        <w:t>单一来源采购人员查验供应商代表身份证明，文件响应采购需求程度及偏差程度。单一来源采购人员遵循物有所值和价格合理的原则商定洽谈方案的价格承受上限，然后集中与供应商就价格问题进行协商，供应商第一次报价超项目预算的不予接收，协商报价为</w:t>
      </w:r>
      <w:r>
        <w:rPr>
          <w:rFonts w:hint="eastAsia" w:cs="Times New Roman"/>
          <w:b w:val="0"/>
          <w:sz w:val="24"/>
          <w:highlight w:val="none"/>
          <w:lang w:val="en-US" w:eastAsia="zh-CN"/>
        </w:rPr>
        <w:t>1</w:t>
      </w:r>
      <w:r>
        <w:rPr>
          <w:rFonts w:ascii="Times New Roman" w:hAnsi="Times New Roman" w:eastAsia="宋体" w:cs="Times New Roman"/>
          <w:b w:val="0"/>
          <w:sz w:val="24"/>
          <w:highlight w:val="none"/>
        </w:rPr>
        <w:t>次，超出商定的洽谈方案的价格承受上限，本次协商予以终止。</w:t>
      </w:r>
    </w:p>
    <w:p w14:paraId="2B426B64">
      <w:pPr>
        <w:pStyle w:val="13"/>
        <w:numPr>
          <w:ilvl w:val="0"/>
          <w:numId w:val="5"/>
        </w:numPr>
        <w:tabs>
          <w:tab w:val="left" w:pos="840"/>
        </w:tabs>
        <w:topLinePunct w:val="0"/>
        <w:ind w:left="0" w:leftChars="0" w:firstLine="480" w:firstLineChars="200"/>
        <w:rPr>
          <w:rFonts w:hint="eastAsia" w:ascii="宋体" w:hAnsi="宋体" w:eastAsia="宋体" w:cs="宋体"/>
          <w:b w:val="0"/>
          <w:sz w:val="24"/>
          <w:highlight w:val="none"/>
        </w:rPr>
      </w:pPr>
      <w:r>
        <w:rPr>
          <w:rFonts w:ascii="Times New Roman" w:hAnsi="Times New Roman" w:eastAsia="宋体" w:cs="Times New Roman"/>
          <w:b w:val="0"/>
          <w:sz w:val="24"/>
          <w:highlight w:val="none"/>
        </w:rPr>
        <w:t>成交价格合理并能保证采购项目</w:t>
      </w:r>
      <w:r>
        <w:rPr>
          <w:rFonts w:hint="eastAsia" w:cs="Times New Roman"/>
          <w:b w:val="0"/>
          <w:sz w:val="24"/>
          <w:highlight w:val="none"/>
          <w:lang w:val="en-US" w:eastAsia="zh-CN"/>
        </w:rPr>
        <w:t>服务</w:t>
      </w:r>
      <w:r>
        <w:rPr>
          <w:rFonts w:ascii="Times New Roman" w:hAnsi="Times New Roman" w:eastAsia="宋体" w:cs="Times New Roman"/>
          <w:b w:val="0"/>
          <w:sz w:val="24"/>
          <w:highlight w:val="none"/>
        </w:rPr>
        <w:t>质量视为协商成功，协商成功后由采购人出具成交报告。</w:t>
      </w:r>
    </w:p>
    <w:p w14:paraId="2E1EAC07">
      <w:pPr>
        <w:pStyle w:val="13"/>
        <w:numPr>
          <w:ilvl w:val="0"/>
          <w:numId w:val="5"/>
        </w:numPr>
        <w:tabs>
          <w:tab w:val="left" w:pos="840"/>
        </w:tabs>
        <w:topLinePunct w:val="0"/>
        <w:ind w:left="0" w:leftChars="0" w:firstLine="480" w:firstLineChars="200"/>
        <w:rPr>
          <w:rFonts w:hint="eastAsia" w:ascii="宋体" w:hAnsi="宋体" w:eastAsia="宋体" w:cs="宋体"/>
          <w:b w:val="0"/>
          <w:sz w:val="24"/>
          <w:highlight w:val="none"/>
        </w:rPr>
      </w:pPr>
      <w:r>
        <w:rPr>
          <w:rFonts w:ascii="Times New Roman" w:hAnsi="Times New Roman" w:eastAsia="宋体" w:cs="Times New Roman"/>
          <w:b w:val="0"/>
          <w:sz w:val="24"/>
          <w:highlight w:val="none"/>
        </w:rPr>
        <w:t>投标报价应包含响应人为完成本项目所发生的一切费用。</w:t>
      </w:r>
    </w:p>
    <w:p w14:paraId="69BA5412">
      <w:pPr>
        <w:pStyle w:val="13"/>
        <w:numPr>
          <w:ilvl w:val="0"/>
          <w:numId w:val="0"/>
        </w:numPr>
        <w:tabs>
          <w:tab w:val="left" w:pos="1200"/>
        </w:tabs>
        <w:topLinePunct w:val="0"/>
        <w:ind w:left="0" w:leftChars="0" w:firstLine="480" w:firstLineChars="200"/>
        <w:rPr>
          <w:rFonts w:hint="eastAsia" w:ascii="宋体" w:hAnsi="宋体" w:eastAsia="宋体" w:cs="宋体"/>
          <w:b w:val="0"/>
          <w:sz w:val="24"/>
          <w:highlight w:val="none"/>
        </w:rPr>
      </w:pPr>
      <w:r>
        <w:rPr>
          <w:rFonts w:hint="eastAsia" w:ascii="宋体" w:hAnsi="宋体" w:eastAsia="宋体" w:cs="宋体"/>
          <w:b w:val="0"/>
          <w:sz w:val="24"/>
          <w:highlight w:val="none"/>
        </w:rPr>
        <w:t>十三、</w:t>
      </w:r>
      <w:r>
        <w:rPr>
          <w:rFonts w:ascii="Times New Roman" w:hAnsi="Times New Roman" w:eastAsia="宋体" w:cs="Times New Roman"/>
          <w:b w:val="0"/>
          <w:sz w:val="24"/>
          <w:highlight w:val="none"/>
        </w:rPr>
        <w:t>发出成交通知书</w:t>
      </w:r>
    </w:p>
    <w:p w14:paraId="2C3813FA">
      <w:pPr>
        <w:pStyle w:val="13"/>
        <w:ind w:left="0" w:leftChars="0" w:firstLine="480" w:firstLineChars="200"/>
        <w:rPr>
          <w:rFonts w:ascii="Times New Roman" w:hAnsi="Times New Roman" w:eastAsia="宋体" w:cs="Times New Roman"/>
          <w:b w:val="0"/>
          <w:sz w:val="24"/>
          <w:highlight w:val="none"/>
        </w:rPr>
      </w:pPr>
      <w:r>
        <w:rPr>
          <w:rFonts w:ascii="Times New Roman" w:hAnsi="Times New Roman" w:eastAsia="宋体" w:cs="Times New Roman"/>
          <w:b w:val="0"/>
          <w:sz w:val="24"/>
          <w:highlight w:val="none"/>
        </w:rPr>
        <w:t>成交通知书由采购人向成交供应商发出。成交通知书发出后，采购人改变成交结果，或者成交供应商放弃成交的，应当承担相应的法律责任。</w:t>
      </w:r>
    </w:p>
    <w:p w14:paraId="7E6324B3">
      <w:pPr>
        <w:pStyle w:val="13"/>
        <w:numPr>
          <w:ilvl w:val="0"/>
          <w:numId w:val="0"/>
        </w:numPr>
        <w:tabs>
          <w:tab w:val="left" w:pos="1200"/>
        </w:tabs>
        <w:topLinePunct w:val="0"/>
        <w:ind w:left="0" w:leftChars="0" w:firstLine="480" w:firstLineChars="200"/>
        <w:rPr>
          <w:rFonts w:hint="eastAsia" w:ascii="宋体" w:hAnsi="宋体" w:eastAsia="宋体" w:cs="宋体"/>
          <w:b w:val="0"/>
          <w:sz w:val="24"/>
          <w:highlight w:val="none"/>
        </w:rPr>
      </w:pPr>
      <w:r>
        <w:rPr>
          <w:rFonts w:hint="eastAsia" w:ascii="宋体" w:hAnsi="宋体" w:eastAsia="宋体" w:cs="宋体"/>
          <w:b w:val="0"/>
          <w:sz w:val="24"/>
          <w:highlight w:val="none"/>
        </w:rPr>
        <w:t>十四、</w:t>
      </w:r>
      <w:r>
        <w:rPr>
          <w:rFonts w:ascii="Times New Roman" w:hAnsi="Times New Roman" w:eastAsia="宋体" w:cs="Times New Roman"/>
          <w:b w:val="0"/>
          <w:sz w:val="24"/>
          <w:highlight w:val="none"/>
        </w:rPr>
        <w:t>合同签订与验收付款</w:t>
      </w:r>
    </w:p>
    <w:p w14:paraId="3C83E0C9">
      <w:pPr>
        <w:pStyle w:val="13"/>
        <w:numPr>
          <w:ilvl w:val="0"/>
          <w:numId w:val="6"/>
        </w:numPr>
        <w:tabs>
          <w:tab w:val="left" w:pos="780"/>
          <w:tab w:val="clear" w:pos="210"/>
        </w:tabs>
        <w:ind w:left="0" w:leftChars="0" w:firstLine="480" w:firstLineChars="200"/>
        <w:rPr>
          <w:rFonts w:ascii="Times New Roman" w:hAnsi="Times New Roman" w:eastAsia="宋体" w:cs="Times New Roman"/>
          <w:b w:val="0"/>
          <w:sz w:val="24"/>
          <w:highlight w:val="none"/>
        </w:rPr>
      </w:pPr>
      <w:r>
        <w:rPr>
          <w:rFonts w:ascii="Times New Roman" w:hAnsi="Times New Roman" w:eastAsia="宋体" w:cs="Times New Roman"/>
          <w:b w:val="0"/>
          <w:sz w:val="24"/>
          <w:highlight w:val="none"/>
        </w:rPr>
        <w:t>成交供应商和采购单位在接到《成交通知书》后30日内签订合同。签订采购合同一式四份（采购单位、供应商，各两份）。所签合同不得对采购文件作实质性修改。采购单位不得向成交供应商提出不合理的要求作为签订合同的条件，不得与成交供应商私下订立背离采购文件实质性内容的协议。</w:t>
      </w:r>
    </w:p>
    <w:p w14:paraId="2A535F4E">
      <w:pPr>
        <w:pStyle w:val="13"/>
        <w:numPr>
          <w:ilvl w:val="0"/>
          <w:numId w:val="6"/>
        </w:numPr>
        <w:tabs>
          <w:tab w:val="left" w:pos="780"/>
          <w:tab w:val="clear" w:pos="210"/>
        </w:tabs>
        <w:ind w:left="0" w:leftChars="0" w:firstLine="480" w:firstLineChars="200"/>
        <w:rPr>
          <w:rFonts w:ascii="Times New Roman" w:hAnsi="Times New Roman" w:eastAsia="宋体" w:cs="Times New Roman"/>
          <w:b w:val="0"/>
          <w:sz w:val="24"/>
          <w:highlight w:val="none"/>
        </w:rPr>
      </w:pPr>
      <w:r>
        <w:rPr>
          <w:rFonts w:ascii="Times New Roman" w:hAnsi="Times New Roman" w:eastAsia="宋体" w:cs="Times New Roman"/>
          <w:b w:val="0"/>
          <w:sz w:val="24"/>
          <w:highlight w:val="none"/>
        </w:rPr>
        <w:t>采购单位按合同约定积极配合成交供应商履约。</w:t>
      </w:r>
    </w:p>
    <w:p w14:paraId="40D9C050">
      <w:pPr>
        <w:pStyle w:val="13"/>
        <w:numPr>
          <w:ilvl w:val="0"/>
          <w:numId w:val="0"/>
        </w:numPr>
        <w:topLinePunct w:val="0"/>
        <w:ind w:left="0" w:leftChars="0" w:firstLine="482" w:firstLineChars="200"/>
        <w:rPr>
          <w:rFonts w:hint="eastAsia" w:ascii="宋体" w:hAnsi="宋体" w:eastAsia="宋体" w:cs="宋体"/>
          <w:b/>
          <w:sz w:val="24"/>
          <w:highlight w:val="none"/>
        </w:rPr>
      </w:pPr>
      <w:r>
        <w:rPr>
          <w:rFonts w:hint="eastAsia" w:ascii="宋体" w:hAnsi="宋体" w:eastAsia="宋体" w:cs="宋体"/>
          <w:b/>
          <w:sz w:val="24"/>
          <w:highlight w:val="none"/>
        </w:rPr>
        <w:t>十五、</w:t>
      </w:r>
      <w:r>
        <w:rPr>
          <w:rStyle w:val="36"/>
          <w:highlight w:val="none"/>
        </w:rPr>
        <w:t>关于采购代理服务费的说明：</w:t>
      </w:r>
      <w:r>
        <w:rPr>
          <w:rFonts w:ascii="Times New Roman" w:hAnsi="Times New Roman" w:eastAsia="宋体" w:cs="Times New Roman"/>
          <w:b w:val="0"/>
          <w:sz w:val="24"/>
          <w:highlight w:val="none"/>
        </w:rPr>
        <w:t>根据《中华人民共和国政府采购法》《中华人民共和国招标投标法》及其实施条例等相关规定，采购人依法委托采购代理机构组织实施本次采购活动。为明确费用承担及支付事宜，现就采购代理服务费约定如下：</w:t>
      </w:r>
    </w:p>
    <w:p w14:paraId="54301C4A">
      <w:pPr>
        <w:pStyle w:val="13"/>
        <w:numPr>
          <w:ilvl w:val="0"/>
          <w:numId w:val="7"/>
        </w:numPr>
        <w:tabs>
          <w:tab w:val="left" w:pos="1080"/>
        </w:tabs>
        <w:topLinePunct w:val="0"/>
        <w:ind w:left="0" w:leftChars="0" w:firstLine="480" w:firstLineChars="200"/>
        <w:rPr>
          <w:rFonts w:hint="eastAsia" w:ascii="宋体" w:hAnsi="宋体" w:eastAsia="宋体" w:cs="宋体"/>
          <w:b w:val="0"/>
          <w:sz w:val="24"/>
          <w:highlight w:val="none"/>
        </w:rPr>
      </w:pPr>
      <w:r>
        <w:rPr>
          <w:rFonts w:ascii="Times New Roman" w:hAnsi="Times New Roman" w:eastAsia="宋体" w:cs="Times New Roman"/>
          <w:b w:val="0"/>
          <w:sz w:val="24"/>
          <w:highlight w:val="none"/>
        </w:rPr>
        <w:t>费用承担原因</w:t>
      </w:r>
    </w:p>
    <w:p w14:paraId="3190DAB8">
      <w:pPr>
        <w:pStyle w:val="13"/>
        <w:ind w:left="0" w:leftChars="0" w:firstLine="480" w:firstLineChars="200"/>
        <w:rPr>
          <w:rFonts w:ascii="Times New Roman" w:hAnsi="Times New Roman" w:eastAsia="宋体" w:cs="Times New Roman"/>
          <w:b w:val="0"/>
          <w:sz w:val="24"/>
          <w:highlight w:val="none"/>
        </w:rPr>
      </w:pPr>
      <w:r>
        <w:rPr>
          <w:rFonts w:ascii="Times New Roman" w:hAnsi="Times New Roman" w:eastAsia="宋体" w:cs="Times New Roman"/>
          <w:b w:val="0"/>
          <w:sz w:val="24"/>
          <w:highlight w:val="none"/>
        </w:rPr>
        <w:t>采购代理机构为本项目提供采购文件编制、组织开评标、结果公示、合同协助签订等全流程专业服务，相关服务成本及合理报酬由中标（成交）供应商承担。</w:t>
      </w:r>
    </w:p>
    <w:p w14:paraId="3FEC6E01">
      <w:pPr>
        <w:pStyle w:val="13"/>
        <w:numPr>
          <w:ilvl w:val="0"/>
          <w:numId w:val="7"/>
        </w:numPr>
        <w:tabs>
          <w:tab w:val="left" w:pos="1080"/>
        </w:tabs>
        <w:topLinePunct w:val="0"/>
        <w:ind w:left="0" w:leftChars="0" w:firstLine="480" w:firstLineChars="200"/>
        <w:rPr>
          <w:rFonts w:hint="eastAsia" w:ascii="宋体" w:hAnsi="宋体" w:eastAsia="宋体" w:cs="宋体"/>
          <w:b w:val="0"/>
          <w:sz w:val="24"/>
          <w:highlight w:val="none"/>
        </w:rPr>
      </w:pPr>
      <w:r>
        <w:rPr>
          <w:rFonts w:ascii="Times New Roman" w:hAnsi="Times New Roman" w:eastAsia="宋体" w:cs="Times New Roman"/>
          <w:b w:val="0"/>
          <w:sz w:val="24"/>
          <w:highlight w:val="none"/>
        </w:rPr>
        <w:t>收取方式</w:t>
      </w:r>
    </w:p>
    <w:p w14:paraId="14226FF0">
      <w:pPr>
        <w:pStyle w:val="13"/>
        <w:ind w:left="0" w:leftChars="0" w:firstLine="480" w:firstLineChars="200"/>
        <w:rPr>
          <w:rFonts w:ascii="Times New Roman" w:hAnsi="Times New Roman" w:eastAsia="宋体" w:cs="Times New Roman"/>
          <w:b w:val="0"/>
          <w:sz w:val="24"/>
          <w:highlight w:val="none"/>
        </w:rPr>
      </w:pPr>
      <w:r>
        <w:rPr>
          <w:rFonts w:ascii="Times New Roman" w:hAnsi="Times New Roman" w:eastAsia="宋体" w:cs="Times New Roman"/>
          <w:b w:val="0"/>
          <w:sz w:val="24"/>
          <w:highlight w:val="none"/>
        </w:rPr>
        <w:t>中标（成交）供应商应在领取中标（成交）通知书时，中标（成交）供应商一次性足额向采购代理机构缴纳采购代理服务费。供应商报价时包含招标代理费，报价时综合考虑，采购人不单独支付。</w:t>
      </w:r>
    </w:p>
    <w:p w14:paraId="380F07D1">
      <w:pPr>
        <w:pStyle w:val="13"/>
        <w:numPr>
          <w:ilvl w:val="0"/>
          <w:numId w:val="7"/>
        </w:numPr>
        <w:tabs>
          <w:tab w:val="left" w:pos="1080"/>
        </w:tabs>
        <w:topLinePunct w:val="0"/>
        <w:ind w:left="0" w:leftChars="0" w:firstLine="480" w:firstLineChars="200"/>
        <w:rPr>
          <w:rFonts w:hint="eastAsia" w:ascii="宋体" w:hAnsi="宋体" w:eastAsia="宋体" w:cs="宋体"/>
          <w:b w:val="0"/>
          <w:sz w:val="24"/>
          <w:highlight w:val="none"/>
        </w:rPr>
      </w:pPr>
      <w:r>
        <w:rPr>
          <w:rFonts w:ascii="Times New Roman" w:hAnsi="Times New Roman" w:eastAsia="宋体" w:cs="Times New Roman"/>
          <w:b w:val="0"/>
          <w:sz w:val="24"/>
          <w:highlight w:val="none"/>
        </w:rPr>
        <w:t>收费标准及依据</w:t>
      </w:r>
    </w:p>
    <w:p w14:paraId="7195287F">
      <w:pPr>
        <w:pStyle w:val="13"/>
        <w:ind w:left="0" w:leftChars="0" w:firstLine="480" w:firstLineChars="200"/>
        <w:rPr>
          <w:rFonts w:ascii="Times New Roman" w:hAnsi="Times New Roman" w:eastAsia="宋体" w:cs="Times New Roman"/>
          <w:b w:val="0"/>
          <w:sz w:val="24"/>
          <w:highlight w:val="none"/>
        </w:rPr>
      </w:pPr>
      <w:r>
        <w:rPr>
          <w:rFonts w:ascii="Times New Roman" w:hAnsi="Times New Roman" w:eastAsia="宋体" w:cs="Times New Roman"/>
          <w:color w:val="auto"/>
          <w:sz w:val="24"/>
          <w:highlight w:val="none"/>
        </w:rPr>
        <w:t>采购代理服务费按照《江苏省招标代理服务收费的指导意见》（苏招协[2022]002号）的40%收取</w:t>
      </w:r>
      <w:r>
        <w:rPr>
          <w:rFonts w:ascii="Times New Roman" w:hAnsi="Times New Roman" w:eastAsia="宋体" w:cs="Times New Roman"/>
          <w:b w:val="0"/>
          <w:sz w:val="24"/>
          <w:highlight w:val="none"/>
        </w:rPr>
        <w:t>。</w:t>
      </w:r>
    </w:p>
    <w:p w14:paraId="330E7398">
      <w:pPr>
        <w:pStyle w:val="13"/>
        <w:numPr>
          <w:ilvl w:val="0"/>
          <w:numId w:val="0"/>
        </w:numPr>
        <w:tabs>
          <w:tab w:val="left" w:pos="1200"/>
        </w:tabs>
        <w:topLinePunct w:val="0"/>
        <w:ind w:left="0" w:leftChars="0" w:firstLine="480" w:firstLineChars="200"/>
        <w:rPr>
          <w:rFonts w:hint="eastAsia" w:ascii="宋体" w:hAnsi="宋体" w:eastAsia="宋体" w:cs="宋体"/>
          <w:b w:val="0"/>
          <w:color w:val="auto"/>
          <w:sz w:val="24"/>
          <w:highlight w:val="none"/>
        </w:rPr>
      </w:pPr>
      <w:r>
        <w:rPr>
          <w:rFonts w:hint="eastAsia" w:ascii="宋体" w:hAnsi="宋体" w:eastAsia="宋体" w:cs="宋体"/>
          <w:b w:val="0"/>
          <w:color w:val="auto"/>
          <w:sz w:val="24"/>
          <w:highlight w:val="none"/>
        </w:rPr>
        <w:t>十六、</w:t>
      </w:r>
      <w:r>
        <w:rPr>
          <w:rFonts w:ascii="Times New Roman" w:hAnsi="Times New Roman" w:eastAsia="宋体" w:cs="Times New Roman"/>
          <w:color w:val="auto"/>
          <w:sz w:val="24"/>
          <w:highlight w:val="none"/>
        </w:rPr>
        <w:t>联系方式</w:t>
      </w:r>
    </w:p>
    <w:tbl>
      <w:tblPr>
        <w:tblStyle w:val="22"/>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955"/>
        <w:gridCol w:w="2633"/>
        <w:gridCol w:w="1434"/>
        <w:gridCol w:w="3264"/>
      </w:tblGrid>
      <w:tr w14:paraId="51D755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51" w:hRule="atLeast"/>
        </w:trPr>
        <w:tc>
          <w:tcPr>
            <w:tcW w:w="542" w:type="pct"/>
            <w:vAlign w:val="center"/>
          </w:tcPr>
          <w:p w14:paraId="64EB0DAA">
            <w:pPr>
              <w:widowControl/>
              <w:spacing w:before="100" w:beforeAutospacing="1" w:after="100" w:afterAutospacing="1" w:line="400" w:lineRule="exact"/>
              <w:jc w:val="center"/>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招标人：</w:t>
            </w:r>
          </w:p>
        </w:tc>
        <w:tc>
          <w:tcPr>
            <w:tcW w:w="1600" w:type="pct"/>
            <w:vAlign w:val="center"/>
          </w:tcPr>
          <w:p w14:paraId="456CC78E">
            <w:pPr>
              <w:widowControl/>
              <w:spacing w:before="100" w:beforeAutospacing="1" w:after="100" w:afterAutospacing="1" w:line="400" w:lineRule="exact"/>
              <w:jc w:val="left"/>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南通市通州区城市管理局</w:t>
            </w:r>
          </w:p>
        </w:tc>
        <w:tc>
          <w:tcPr>
            <w:tcW w:w="876" w:type="pct"/>
            <w:vAlign w:val="center"/>
          </w:tcPr>
          <w:p w14:paraId="435C6732">
            <w:pPr>
              <w:widowControl/>
              <w:spacing w:before="100" w:beforeAutospacing="1" w:after="100" w:afterAutospacing="1" w:line="400" w:lineRule="exact"/>
              <w:jc w:val="center"/>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招标代理机构:</w:t>
            </w:r>
          </w:p>
        </w:tc>
        <w:tc>
          <w:tcPr>
            <w:tcW w:w="1980" w:type="pct"/>
            <w:vAlign w:val="center"/>
          </w:tcPr>
          <w:p w14:paraId="7AA6110A">
            <w:pPr>
              <w:widowControl/>
              <w:spacing w:before="100" w:beforeAutospacing="1" w:after="100" w:afterAutospacing="1" w:line="400" w:lineRule="exact"/>
              <w:jc w:val="both"/>
              <w:rPr>
                <w:rFonts w:hint="eastAsia" w:ascii="宋体" w:hAnsi="宋体" w:eastAsia="宋体" w:cs="宋体"/>
                <w:bCs/>
                <w:color w:val="auto"/>
                <w:kern w:val="0"/>
                <w:szCs w:val="21"/>
                <w:highlight w:val="none"/>
                <w:lang w:eastAsia="zh-CN"/>
              </w:rPr>
            </w:pPr>
            <w:r>
              <w:rPr>
                <w:rFonts w:hint="eastAsia" w:ascii="宋体" w:hAnsi="宋体" w:eastAsia="宋体" w:cs="宋体"/>
                <w:color w:val="auto"/>
                <w:highlight w:val="none"/>
                <w:lang w:eastAsia="zh-CN"/>
              </w:rPr>
              <w:t>江苏广和工程咨询有限公司</w:t>
            </w:r>
          </w:p>
        </w:tc>
      </w:tr>
      <w:tr w14:paraId="6347AB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57" w:hRule="atLeast"/>
        </w:trPr>
        <w:tc>
          <w:tcPr>
            <w:tcW w:w="542" w:type="pct"/>
            <w:vAlign w:val="center"/>
          </w:tcPr>
          <w:p w14:paraId="217F0E05">
            <w:pPr>
              <w:widowControl/>
              <w:spacing w:before="100" w:beforeAutospacing="1" w:after="100" w:afterAutospacing="1" w:line="400" w:lineRule="exact"/>
              <w:jc w:val="center"/>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地  址：</w:t>
            </w:r>
          </w:p>
        </w:tc>
        <w:tc>
          <w:tcPr>
            <w:tcW w:w="1600" w:type="pct"/>
            <w:vAlign w:val="center"/>
          </w:tcPr>
          <w:p w14:paraId="67668832">
            <w:pPr>
              <w:widowControl/>
              <w:spacing w:before="100" w:beforeAutospacing="1" w:after="100" w:afterAutospacing="1" w:line="400" w:lineRule="exact"/>
              <w:jc w:val="left"/>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t>江苏省南通市通州区金沙街道朝阳路19号</w:t>
            </w:r>
          </w:p>
        </w:tc>
        <w:tc>
          <w:tcPr>
            <w:tcW w:w="876" w:type="pct"/>
            <w:vAlign w:val="center"/>
          </w:tcPr>
          <w:p w14:paraId="59A7F50F">
            <w:pPr>
              <w:widowControl/>
              <w:spacing w:before="100" w:beforeAutospacing="1" w:after="100" w:afterAutospacing="1" w:line="400" w:lineRule="exact"/>
              <w:jc w:val="center"/>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地  址：</w:t>
            </w:r>
          </w:p>
        </w:tc>
        <w:tc>
          <w:tcPr>
            <w:tcW w:w="1980" w:type="pct"/>
            <w:vAlign w:val="center"/>
          </w:tcPr>
          <w:p w14:paraId="3437B997">
            <w:pPr>
              <w:widowControl/>
              <w:spacing w:before="100" w:beforeAutospacing="1" w:after="100" w:afterAutospacing="1" w:line="400" w:lineRule="exact"/>
              <w:jc w:val="both"/>
              <w:rPr>
                <w:rFonts w:hint="eastAsia" w:ascii="宋体" w:hAnsi="宋体" w:eastAsia="宋体" w:cs="宋体"/>
                <w:bCs/>
                <w:color w:val="auto"/>
                <w:kern w:val="0"/>
                <w:szCs w:val="21"/>
                <w:highlight w:val="none"/>
                <w:lang w:val="en-US" w:eastAsia="zh-CN"/>
              </w:rPr>
            </w:pPr>
            <w:r>
              <w:rPr>
                <w:rFonts w:hint="eastAsia" w:ascii="宋体" w:hAnsi="宋体" w:eastAsia="宋体" w:cs="宋体"/>
                <w:bCs/>
                <w:color w:val="auto"/>
                <w:kern w:val="0"/>
                <w:szCs w:val="21"/>
                <w:highlight w:val="none"/>
                <w:lang w:val="en-US" w:eastAsia="zh-CN"/>
              </w:rPr>
              <w:t>南通高新区金通路7号</w:t>
            </w:r>
          </w:p>
        </w:tc>
      </w:tr>
      <w:tr w14:paraId="593309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77" w:hRule="atLeast"/>
        </w:trPr>
        <w:tc>
          <w:tcPr>
            <w:tcW w:w="542" w:type="pct"/>
            <w:vAlign w:val="center"/>
          </w:tcPr>
          <w:p w14:paraId="5101B904">
            <w:pPr>
              <w:widowControl/>
              <w:spacing w:before="100" w:beforeAutospacing="1" w:after="100" w:afterAutospacing="1" w:line="400" w:lineRule="exact"/>
              <w:jc w:val="center"/>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联系人：</w:t>
            </w:r>
          </w:p>
        </w:tc>
        <w:tc>
          <w:tcPr>
            <w:tcW w:w="1600" w:type="pct"/>
            <w:vAlign w:val="center"/>
          </w:tcPr>
          <w:p w14:paraId="7AC669B8">
            <w:pPr>
              <w:widowControl/>
              <w:spacing w:before="100" w:beforeAutospacing="1" w:after="100" w:afterAutospacing="1" w:line="400" w:lineRule="exact"/>
              <w:jc w:val="left"/>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季先生</w:t>
            </w:r>
          </w:p>
        </w:tc>
        <w:tc>
          <w:tcPr>
            <w:tcW w:w="876" w:type="pct"/>
            <w:vAlign w:val="center"/>
          </w:tcPr>
          <w:p w14:paraId="09D5B608">
            <w:pPr>
              <w:widowControl/>
              <w:spacing w:before="100" w:beforeAutospacing="1" w:after="100" w:afterAutospacing="1" w:line="400" w:lineRule="exact"/>
              <w:jc w:val="center"/>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联系人：</w:t>
            </w:r>
          </w:p>
        </w:tc>
        <w:tc>
          <w:tcPr>
            <w:tcW w:w="1980" w:type="pct"/>
            <w:vAlign w:val="center"/>
          </w:tcPr>
          <w:p w14:paraId="3765DABC">
            <w:pPr>
              <w:widowControl/>
              <w:spacing w:before="100" w:beforeAutospacing="1" w:after="100" w:afterAutospacing="1" w:line="400" w:lineRule="exact"/>
              <w:jc w:val="both"/>
              <w:rPr>
                <w:rFonts w:hint="default" w:ascii="宋体" w:hAnsi="宋体" w:eastAsia="宋体" w:cs="宋体"/>
                <w:bCs/>
                <w:color w:val="auto"/>
                <w:kern w:val="0"/>
                <w:szCs w:val="21"/>
                <w:highlight w:val="none"/>
                <w:lang w:val="en-US" w:eastAsia="zh-CN"/>
              </w:rPr>
            </w:pPr>
            <w:r>
              <w:rPr>
                <w:rFonts w:hint="eastAsia" w:ascii="宋体" w:hAnsi="宋体" w:eastAsia="宋体" w:cs="宋体"/>
                <w:bCs/>
                <w:color w:val="auto"/>
                <w:kern w:val="0"/>
                <w:szCs w:val="21"/>
                <w:highlight w:val="none"/>
                <w:lang w:val="en-US" w:eastAsia="zh-CN"/>
              </w:rPr>
              <w:t>吴元庆</w:t>
            </w:r>
          </w:p>
        </w:tc>
      </w:tr>
      <w:tr w14:paraId="00A30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74" w:hRule="atLeast"/>
        </w:trPr>
        <w:tc>
          <w:tcPr>
            <w:tcW w:w="542" w:type="pct"/>
            <w:vAlign w:val="center"/>
          </w:tcPr>
          <w:p w14:paraId="1A89B3AF">
            <w:pPr>
              <w:widowControl/>
              <w:spacing w:before="100" w:beforeAutospacing="1" w:after="100" w:afterAutospacing="1" w:line="400" w:lineRule="exact"/>
              <w:jc w:val="center"/>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电 话：</w:t>
            </w:r>
          </w:p>
        </w:tc>
        <w:tc>
          <w:tcPr>
            <w:tcW w:w="1600" w:type="pct"/>
            <w:vAlign w:val="center"/>
          </w:tcPr>
          <w:p w14:paraId="02AB6305">
            <w:pPr>
              <w:widowControl/>
              <w:spacing w:before="100" w:beforeAutospacing="1" w:after="100" w:afterAutospacing="1" w:line="400" w:lineRule="exact"/>
              <w:jc w:val="left"/>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t>1</w:t>
            </w:r>
            <w:r>
              <w:rPr>
                <w:rFonts w:hint="eastAsia" w:ascii="宋体" w:hAnsi="宋体" w:eastAsia="宋体" w:cs="宋体"/>
                <w:color w:val="auto"/>
                <w:highlight w:val="none"/>
                <w:lang w:val="en-US" w:eastAsia="zh-CN"/>
              </w:rPr>
              <w:t>3814652309</w:t>
            </w:r>
          </w:p>
        </w:tc>
        <w:tc>
          <w:tcPr>
            <w:tcW w:w="876" w:type="pct"/>
            <w:vAlign w:val="center"/>
          </w:tcPr>
          <w:p w14:paraId="5A3D2AC5">
            <w:pPr>
              <w:widowControl/>
              <w:spacing w:before="100" w:beforeAutospacing="1" w:after="100" w:afterAutospacing="1" w:line="400" w:lineRule="exact"/>
              <w:jc w:val="center"/>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电  话：</w:t>
            </w:r>
          </w:p>
        </w:tc>
        <w:tc>
          <w:tcPr>
            <w:tcW w:w="1980" w:type="pct"/>
            <w:vAlign w:val="center"/>
          </w:tcPr>
          <w:p w14:paraId="3F430BA1">
            <w:pPr>
              <w:widowControl/>
              <w:spacing w:before="100" w:beforeAutospacing="1" w:after="100" w:afterAutospacing="1" w:line="400" w:lineRule="exact"/>
              <w:jc w:val="both"/>
              <w:rPr>
                <w:rFonts w:hint="default" w:ascii="宋体" w:hAnsi="宋体" w:eastAsia="宋体" w:cs="宋体"/>
                <w:bCs/>
                <w:color w:val="auto"/>
                <w:kern w:val="0"/>
                <w:szCs w:val="21"/>
                <w:highlight w:val="none"/>
                <w:lang w:val="en-US" w:eastAsia="zh-CN"/>
              </w:rPr>
            </w:pPr>
            <w:r>
              <w:rPr>
                <w:rFonts w:hint="eastAsia" w:ascii="宋体" w:hAnsi="宋体" w:eastAsia="宋体" w:cs="宋体"/>
                <w:bCs/>
                <w:color w:val="auto"/>
                <w:kern w:val="0"/>
                <w:szCs w:val="21"/>
                <w:highlight w:val="none"/>
                <w:lang w:val="en-US" w:eastAsia="zh-CN"/>
              </w:rPr>
              <w:t>13862488527</w:t>
            </w:r>
          </w:p>
        </w:tc>
      </w:tr>
    </w:tbl>
    <w:p w14:paraId="1ECA8DED">
      <w:pPr>
        <w:pStyle w:val="35"/>
        <w:ind w:left="0" w:leftChars="0" w:firstLine="0" w:firstLineChars="0"/>
        <w:outlineLvl w:val="0"/>
        <w:rPr>
          <w:highlight w:val="none"/>
        </w:rPr>
      </w:pPr>
      <w:r>
        <w:rPr>
          <w:highlight w:val="none"/>
        </w:rPr>
        <w:br w:type="page"/>
      </w:r>
      <w:r>
        <w:rPr>
          <w:highlight w:val="none"/>
        </w:rPr>
        <w:br w:type="textWrapping"/>
      </w:r>
      <w:r>
        <w:rPr>
          <w:highlight w:val="none"/>
        </w:rPr>
        <w:t>第三部分 项目需求</w:t>
      </w:r>
    </w:p>
    <w:p w14:paraId="053C5E0C">
      <w:pPr>
        <w:pStyle w:val="37"/>
        <w:numPr>
          <w:ilvl w:val="0"/>
          <w:numId w:val="8"/>
        </w:numPr>
        <w:tabs>
          <w:tab w:val="left" w:pos="1043"/>
        </w:tabs>
        <w:topLinePunct w:val="0"/>
        <w:ind w:left="0" w:leftChars="0" w:firstLine="482" w:firstLineChars="200"/>
        <w:outlineLvl w:val="0"/>
        <w:rPr>
          <w:rFonts w:hint="eastAsia" w:ascii="宋体" w:hAnsi="宋体" w:eastAsia="宋体" w:cs="宋体"/>
          <w:b/>
          <w:highlight w:val="none"/>
        </w:rPr>
      </w:pPr>
      <w:r>
        <w:rPr>
          <w:highlight w:val="none"/>
        </w:rPr>
        <w:t>建设背景</w:t>
      </w:r>
    </w:p>
    <w:p w14:paraId="32143165">
      <w:pPr>
        <w:pStyle w:val="13"/>
        <w:numPr>
          <w:ilvl w:val="0"/>
          <w:numId w:val="9"/>
        </w:numPr>
        <w:tabs>
          <w:tab w:val="left" w:pos="780"/>
          <w:tab w:val="clear" w:pos="210"/>
        </w:tabs>
        <w:ind w:left="0" w:leftChars="0" w:firstLine="480" w:firstLineChars="200"/>
        <w:rPr>
          <w:rFonts w:ascii="Times New Roman" w:hAnsi="Times New Roman" w:eastAsia="宋体" w:cs="Times New Roman"/>
          <w:b w:val="0"/>
          <w:color w:val="auto"/>
          <w:sz w:val="24"/>
          <w:highlight w:val="none"/>
        </w:rPr>
      </w:pPr>
      <w:r>
        <w:rPr>
          <w:rFonts w:hint="eastAsia" w:cs="Times New Roman"/>
          <w:color w:val="auto"/>
          <w:sz w:val="24"/>
          <w:highlight w:val="none"/>
          <w:lang w:eastAsia="zh-CN"/>
        </w:rPr>
        <w:t>南通市通州区城市管理局</w:t>
      </w:r>
      <w:r>
        <w:rPr>
          <w:rFonts w:ascii="Times New Roman" w:hAnsi="Times New Roman" w:eastAsia="宋体" w:cs="Times New Roman"/>
          <w:color w:val="auto"/>
          <w:sz w:val="24"/>
          <w:highlight w:val="none"/>
        </w:rPr>
        <w:t>现需对通州区生活垃圾焚烧飞灰进行资源化利用。生活垃圾焚烧飞灰运输和资源化利用必须严格按照江苏省市场监督管理局、江苏省住房和城乡建设厅发布的《生活垃圾焚烧飞灰污染控制技术规范（试行）》（HJ1134-2020）技术标准执行。谈判人应对各种服务内容和服务方式做出详细明确的承诺。</w:t>
      </w:r>
    </w:p>
    <w:p w14:paraId="6E3B00B3">
      <w:pPr>
        <w:pStyle w:val="13"/>
        <w:numPr>
          <w:ilvl w:val="0"/>
          <w:numId w:val="9"/>
        </w:numPr>
        <w:tabs>
          <w:tab w:val="left" w:pos="780"/>
          <w:tab w:val="clear" w:pos="210"/>
        </w:tabs>
        <w:ind w:left="0" w:leftChars="0" w:firstLine="480" w:firstLineChars="200"/>
        <w:rPr>
          <w:rFonts w:ascii="Times New Roman" w:hAnsi="Times New Roman" w:eastAsia="宋体" w:cs="Times New Roman"/>
          <w:b w:val="0"/>
          <w:color w:val="auto"/>
          <w:sz w:val="24"/>
          <w:highlight w:val="none"/>
        </w:rPr>
      </w:pPr>
      <w:r>
        <w:rPr>
          <w:rFonts w:ascii="Times New Roman" w:hAnsi="Times New Roman" w:eastAsia="宋体" w:cs="Times New Roman"/>
          <w:b w:val="0"/>
          <w:color w:val="auto"/>
          <w:sz w:val="24"/>
          <w:highlight w:val="none"/>
        </w:rPr>
        <w:t>本项目年预计量</w:t>
      </w:r>
      <w:r>
        <w:rPr>
          <w:rFonts w:hint="eastAsia" w:ascii="Times New Roman" w:hAnsi="Times New Roman" w:eastAsia="宋体" w:cs="Times New Roman"/>
          <w:b w:val="0"/>
          <w:color w:val="auto"/>
          <w:sz w:val="24"/>
          <w:highlight w:val="none"/>
          <w:lang w:val="en-US" w:eastAsia="zh-CN"/>
        </w:rPr>
        <w:t>1.08万</w:t>
      </w:r>
      <w:r>
        <w:rPr>
          <w:rFonts w:ascii="Times New Roman" w:hAnsi="Times New Roman" w:eastAsia="宋体" w:cs="Times New Roman"/>
          <w:b w:val="0"/>
          <w:color w:val="auto"/>
          <w:sz w:val="24"/>
          <w:highlight w:val="none"/>
        </w:rPr>
        <w:t>吨</w:t>
      </w:r>
      <w:r>
        <w:rPr>
          <w:rFonts w:hint="eastAsia" w:cs="Times New Roman"/>
          <w:b w:val="0"/>
          <w:color w:val="auto"/>
          <w:sz w:val="24"/>
          <w:highlight w:val="none"/>
          <w:lang w:eastAsia="zh-CN"/>
        </w:rPr>
        <w:t>，</w:t>
      </w:r>
      <w:r>
        <w:rPr>
          <w:rFonts w:ascii="Times New Roman" w:hAnsi="Times New Roman" w:eastAsia="宋体" w:cs="Times New Roman"/>
          <w:b w:val="0"/>
          <w:color w:val="auto"/>
          <w:sz w:val="24"/>
          <w:highlight w:val="none"/>
        </w:rPr>
        <w:t>按实际处置量结算。</w:t>
      </w:r>
    </w:p>
    <w:p w14:paraId="2126565B">
      <w:pPr>
        <w:pStyle w:val="37"/>
        <w:numPr>
          <w:ilvl w:val="0"/>
          <w:numId w:val="8"/>
        </w:numPr>
        <w:tabs>
          <w:tab w:val="left" w:pos="1043"/>
        </w:tabs>
        <w:topLinePunct w:val="0"/>
        <w:ind w:left="0" w:leftChars="0" w:firstLine="482" w:firstLineChars="200"/>
        <w:outlineLvl w:val="0"/>
        <w:rPr>
          <w:highlight w:val="none"/>
        </w:rPr>
      </w:pPr>
      <w:r>
        <w:rPr>
          <w:highlight w:val="none"/>
        </w:rPr>
        <w:t>服务要求</w:t>
      </w:r>
    </w:p>
    <w:p w14:paraId="234572C8">
      <w:pPr>
        <w:pStyle w:val="13"/>
        <w:numPr>
          <w:ilvl w:val="0"/>
          <w:numId w:val="10"/>
        </w:numPr>
        <w:tabs>
          <w:tab w:val="left" w:pos="840"/>
        </w:tabs>
        <w:topLinePunct w:val="0"/>
        <w:ind w:left="0" w:leftChars="0" w:firstLine="480" w:firstLineChars="20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服务期：暂定一年。注：本次项目为一次招标，三年沿用，合同一年一签，在上一年度</w:t>
      </w:r>
      <w:r>
        <w:rPr>
          <w:rFonts w:hint="eastAsia" w:cs="Times New Roman"/>
          <w:color w:val="auto"/>
          <w:sz w:val="24"/>
          <w:highlight w:val="none"/>
          <w:lang w:val="en-US" w:eastAsia="zh-CN"/>
        </w:rPr>
        <w:t>履约良好</w:t>
      </w:r>
      <w:r>
        <w:rPr>
          <w:rFonts w:ascii="Times New Roman" w:hAnsi="Times New Roman" w:eastAsia="宋体" w:cs="Times New Roman"/>
          <w:color w:val="auto"/>
          <w:sz w:val="24"/>
          <w:highlight w:val="none"/>
        </w:rPr>
        <w:t>且符合《政府购买服务管理办法》第二十四条的情况下，经双方协商，可续签下一年合同，最多续签两次。</w:t>
      </w:r>
    </w:p>
    <w:p w14:paraId="2B9A0C4C">
      <w:pPr>
        <w:pStyle w:val="13"/>
        <w:numPr>
          <w:ilvl w:val="0"/>
          <w:numId w:val="10"/>
        </w:numPr>
        <w:tabs>
          <w:tab w:val="left" w:pos="840"/>
        </w:tabs>
        <w:topLinePunct w:val="0"/>
        <w:ind w:left="0" w:leftChars="0" w:firstLine="480" w:firstLineChars="20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本项目预算费用为每年</w:t>
      </w:r>
      <w:r>
        <w:rPr>
          <w:rFonts w:hint="eastAsia" w:cs="Times New Roman"/>
          <w:color w:val="auto"/>
          <w:sz w:val="24"/>
          <w:highlight w:val="none"/>
          <w:u w:val="single"/>
          <w:lang w:val="en-US" w:eastAsia="zh-CN"/>
        </w:rPr>
        <w:t>1431</w:t>
      </w:r>
      <w:r>
        <w:rPr>
          <w:rFonts w:ascii="Times New Roman" w:hAnsi="Times New Roman" w:eastAsia="宋体" w:cs="Times New Roman"/>
          <w:color w:val="auto"/>
          <w:sz w:val="24"/>
          <w:highlight w:val="none"/>
        </w:rPr>
        <w:t>万元</w:t>
      </w:r>
      <w:r>
        <w:rPr>
          <w:rFonts w:hint="eastAsia" w:cs="Times New Roman"/>
          <w:color w:val="auto"/>
          <w:sz w:val="24"/>
          <w:highlight w:val="none"/>
          <w:lang w:eastAsia="zh-CN"/>
        </w:rPr>
        <w:t>。</w:t>
      </w:r>
    </w:p>
    <w:p w14:paraId="2429865F">
      <w:pPr>
        <w:pStyle w:val="13"/>
        <w:numPr>
          <w:ilvl w:val="0"/>
          <w:numId w:val="10"/>
        </w:numPr>
        <w:tabs>
          <w:tab w:val="left" w:pos="840"/>
        </w:tabs>
        <w:topLinePunct w:val="0"/>
        <w:ind w:left="0" w:leftChars="0" w:firstLine="480" w:firstLineChars="200"/>
        <w:rPr>
          <w:rFonts w:ascii="Times New Roman" w:hAnsi="Times New Roman" w:eastAsia="宋体" w:cs="Times New Roman"/>
          <w:color w:val="auto"/>
          <w:sz w:val="24"/>
          <w:highlight w:val="none"/>
        </w:rPr>
      </w:pPr>
      <w:r>
        <w:rPr>
          <w:rStyle w:val="36"/>
          <w:rFonts w:hint="eastAsia"/>
          <w:b w:val="0"/>
          <w:bCs/>
          <w:highlight w:val="none"/>
          <w:lang w:val="en-US" w:eastAsia="zh-CN"/>
        </w:rPr>
        <w:t>最高限价</w:t>
      </w:r>
      <w:r>
        <w:rPr>
          <w:rStyle w:val="36"/>
          <w:b w:val="0"/>
          <w:bCs/>
          <w:highlight w:val="none"/>
        </w:rPr>
        <w:t>：</w:t>
      </w:r>
      <w:r>
        <w:rPr>
          <w:rStyle w:val="36"/>
          <w:rFonts w:hint="eastAsia"/>
          <w:b w:val="0"/>
          <w:bCs/>
          <w:highlight w:val="none"/>
          <w:u w:val="single"/>
          <w:lang w:val="en-US" w:eastAsia="zh-CN"/>
        </w:rPr>
        <w:t>1325</w:t>
      </w:r>
      <w:r>
        <w:rPr>
          <w:rStyle w:val="36"/>
          <w:rFonts w:hint="eastAsia"/>
          <w:b w:val="0"/>
          <w:bCs/>
          <w:highlight w:val="none"/>
          <w:lang w:val="en-US" w:eastAsia="zh-CN"/>
        </w:rPr>
        <w:t>元/吨，</w:t>
      </w:r>
      <w:r>
        <w:rPr>
          <w:rFonts w:ascii="Times New Roman" w:hAnsi="Times New Roman" w:eastAsia="宋体" w:cs="Times New Roman"/>
          <w:b w:val="0"/>
          <w:sz w:val="24"/>
          <w:highlight w:val="none"/>
        </w:rPr>
        <w:t>报价超过最高限价作无效响应处理</w:t>
      </w:r>
      <w:r>
        <w:rPr>
          <w:rFonts w:ascii="Times New Roman" w:hAnsi="Times New Roman" w:eastAsia="宋体" w:cs="Times New Roman"/>
          <w:color w:val="auto"/>
          <w:sz w:val="24"/>
          <w:highlight w:val="none"/>
        </w:rPr>
        <w:t>。</w:t>
      </w:r>
    </w:p>
    <w:p w14:paraId="30E9AA65">
      <w:pPr>
        <w:pStyle w:val="13"/>
        <w:numPr>
          <w:ilvl w:val="0"/>
          <w:numId w:val="10"/>
        </w:numPr>
        <w:tabs>
          <w:tab w:val="left" w:pos="840"/>
        </w:tabs>
        <w:topLinePunct w:val="0"/>
        <w:ind w:left="0" w:leftChars="0" w:firstLine="480" w:firstLineChars="20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服务地点：通州区；</w:t>
      </w:r>
    </w:p>
    <w:p w14:paraId="2F92C6E4">
      <w:pPr>
        <w:pStyle w:val="13"/>
        <w:numPr>
          <w:ilvl w:val="0"/>
          <w:numId w:val="10"/>
        </w:numPr>
        <w:tabs>
          <w:tab w:val="left" w:pos="840"/>
        </w:tabs>
        <w:topLinePunct w:val="0"/>
        <w:ind w:left="0" w:leftChars="0" w:firstLine="480" w:firstLineChars="20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本项目报价方式为固定综合单价，按实际处置量结算，响应单位的报价应包括完成本次招标范围内全部工作内容所需所有费用。其中应包括但不限于自接受项目委托处置的全部费用，包括运输费、资源化利用费、监测数据采集、流转、测试、数据上传、调查报告、保险、利润、税金、政策性文件规定及合同包含的所有风险、责任等各项所有费用。成交供应商在进行报价时应充分考虑到各环节成本因素，即招标物服务周期结束前的所有费用且包含响应谈判文件采购要求的所有费用。</w:t>
      </w:r>
    </w:p>
    <w:p w14:paraId="345F24D9">
      <w:pPr>
        <w:pStyle w:val="13"/>
        <w:numPr>
          <w:ilvl w:val="0"/>
          <w:numId w:val="10"/>
        </w:numPr>
        <w:tabs>
          <w:tab w:val="left" w:pos="840"/>
        </w:tabs>
        <w:topLinePunct w:val="0"/>
        <w:ind w:left="0" w:leftChars="0" w:firstLine="480" w:firstLineChars="20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参与履行本项目的服务机构及所有人员，对工作中所涉的数据、资料及文件等负有保密义务，任何情况不得向第三方泄露。</w:t>
      </w:r>
    </w:p>
    <w:p w14:paraId="0F5795F8">
      <w:pPr>
        <w:pStyle w:val="13"/>
        <w:numPr>
          <w:ilvl w:val="0"/>
          <w:numId w:val="10"/>
        </w:numPr>
        <w:tabs>
          <w:tab w:val="left" w:pos="840"/>
        </w:tabs>
        <w:topLinePunct w:val="0"/>
        <w:ind w:left="0" w:leftChars="0" w:firstLine="480" w:firstLineChars="20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须建立档案管理制度，妥善保存监测数据服务等相关资料，纸质档案保存期限不少于5年，电子文档永久保存。</w:t>
      </w:r>
    </w:p>
    <w:p w14:paraId="6B5D2776">
      <w:pPr>
        <w:pStyle w:val="13"/>
        <w:numPr>
          <w:ilvl w:val="0"/>
          <w:numId w:val="10"/>
        </w:numPr>
        <w:tabs>
          <w:tab w:val="left" w:pos="840"/>
        </w:tabs>
        <w:topLinePunct w:val="0"/>
        <w:ind w:left="0" w:leftChars="0" w:firstLine="480" w:firstLineChars="20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服务内容包括：在采购人指定地点接收飞灰、负责飞灰全程合规运输、在符合国家及地方标准的专用暂存设施内规范暂存、采用招标方认可的先进工艺对飞灰进行资源化利用</w:t>
      </w:r>
      <w:r>
        <w:rPr>
          <w:rFonts w:hint="eastAsia" w:cs="Times New Roman"/>
          <w:color w:val="auto"/>
          <w:sz w:val="24"/>
          <w:highlight w:val="none"/>
          <w:lang w:eastAsia="zh-CN"/>
        </w:rPr>
        <w:t>。</w:t>
      </w:r>
      <w:r>
        <w:rPr>
          <w:rFonts w:ascii="Times New Roman" w:hAnsi="Times New Roman" w:eastAsia="宋体" w:cs="Times New Roman"/>
          <w:color w:val="auto"/>
          <w:sz w:val="24"/>
          <w:highlight w:val="none"/>
        </w:rPr>
        <w:t>处置后最终产物须全部满足相关标准要求，严禁造成二次污染，严禁出现飞灰及副产物非法转移、非法填埋等违法违规行为。</w:t>
      </w:r>
    </w:p>
    <w:p w14:paraId="332B872D">
      <w:pPr>
        <w:pStyle w:val="13"/>
        <w:numPr>
          <w:ilvl w:val="-1"/>
          <w:numId w:val="0"/>
        </w:numPr>
        <w:ind w:left="0" w:leftChars="0" w:firstLine="480" w:firstLineChars="20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飞灰资源化处置服务为全流程闭环服务，服务范围自飞灰在南通市采购人指定贮存点装车起，至最终形成资源化产品并实现合法合规利用或销售止。</w:t>
      </w:r>
    </w:p>
    <w:p w14:paraId="1D272D73">
      <w:pPr>
        <w:pStyle w:val="13"/>
        <w:numPr>
          <w:ilvl w:val="0"/>
          <w:numId w:val="11"/>
        </w:numPr>
        <w:tabs>
          <w:tab w:val="left" w:pos="879"/>
          <w:tab w:val="clear" w:pos="210"/>
        </w:tabs>
        <w:ind w:left="0" w:leftChars="0" w:firstLine="480" w:firstLineChars="20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运输：成交供应商承担本项目飞灰运输、</w:t>
      </w:r>
      <w:r>
        <w:rPr>
          <w:rFonts w:hint="eastAsia" w:cs="Times New Roman"/>
          <w:color w:val="auto"/>
          <w:sz w:val="24"/>
          <w:highlight w:val="none"/>
          <w:lang w:val="en-US" w:eastAsia="zh-CN"/>
        </w:rPr>
        <w:t>卸货、</w:t>
      </w:r>
      <w:r>
        <w:rPr>
          <w:rFonts w:ascii="Times New Roman" w:hAnsi="Times New Roman" w:eastAsia="宋体" w:cs="Times New Roman"/>
          <w:color w:val="auto"/>
          <w:sz w:val="24"/>
          <w:highlight w:val="none"/>
        </w:rPr>
        <w:t>资源化处置等任务及相应的安全责任。成交供应商须承担本项目飞灰处置的运输任务，运输全过程严格按照《道路危险货物运输管理规定》（现行有效最新版本）执行，须配备符合危险货物运输管理规定的专用车辆及具备相应法定从业资格的人员。</w:t>
      </w:r>
    </w:p>
    <w:p w14:paraId="13DFA0B8">
      <w:pPr>
        <w:pStyle w:val="13"/>
        <w:numPr>
          <w:ilvl w:val="0"/>
          <w:numId w:val="11"/>
        </w:numPr>
        <w:tabs>
          <w:tab w:val="left" w:pos="879"/>
          <w:tab w:val="clear" w:pos="210"/>
        </w:tabs>
        <w:ind w:left="0" w:leftChars="0" w:firstLine="480" w:firstLineChars="20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接收并贮存：成交供应商须在持有合法有效资质的场所内，完成本项目飞灰的合规接收与安全贮存。</w:t>
      </w:r>
    </w:p>
    <w:p w14:paraId="2D08D144">
      <w:pPr>
        <w:pStyle w:val="13"/>
        <w:numPr>
          <w:ilvl w:val="0"/>
          <w:numId w:val="11"/>
        </w:numPr>
        <w:tabs>
          <w:tab w:val="left" w:pos="879"/>
          <w:tab w:val="clear" w:pos="210"/>
        </w:tabs>
        <w:ind w:left="0" w:leftChars="0" w:firstLine="480" w:firstLineChars="20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资源化利用：成交供应商须采用经实践证明先进成熟、稳定、节能环保的工艺开展飞灰利用工作，并确保相关产物符合现行国家、地方相关标准及本文件约定的资源化利用要求。</w:t>
      </w:r>
    </w:p>
    <w:p w14:paraId="0F892681">
      <w:pPr>
        <w:pStyle w:val="13"/>
        <w:numPr>
          <w:ilvl w:val="0"/>
          <w:numId w:val="10"/>
        </w:numPr>
        <w:tabs>
          <w:tab w:val="left" w:pos="840"/>
        </w:tabs>
        <w:topLinePunct w:val="0"/>
        <w:ind w:left="0" w:leftChars="0" w:firstLine="480" w:firstLineChars="20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所采用的技术必须确保最终产物为具有明确用途、符合国家或行业产品标准的资源化产品（如作为混凝土掺合料、路基材料、环保建材等），并严禁以任何形式变相返送填埋场。</w:t>
      </w:r>
    </w:p>
    <w:p w14:paraId="02082914">
      <w:pPr>
        <w:pStyle w:val="13"/>
        <w:ind w:left="0" w:leftChars="0" w:firstLine="480" w:firstLineChars="20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所采用的技术需有效解毒二噁英、水洗脱氯、脱重以及相应的资源化工艺（或经招标方书面认可的其他等效先进工艺）。工艺需确保对飞灰中的二噁英解毒、重金属实现有效脱除并稳定固化处理，且最大程度分离和回收氯盐等有价成分。</w:t>
      </w:r>
    </w:p>
    <w:p w14:paraId="7F7552F1">
      <w:pPr>
        <w:pStyle w:val="13"/>
        <w:ind w:left="0" w:leftChars="0" w:firstLine="480" w:firstLineChars="20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飞灰资源化采用的工艺技术以及最终处理产物，需符合国家或行业相关标准的资源化产品要求。</w:t>
      </w:r>
    </w:p>
    <w:p w14:paraId="22D64212">
      <w:pPr>
        <w:pStyle w:val="13"/>
        <w:numPr>
          <w:ilvl w:val="0"/>
          <w:numId w:val="10"/>
        </w:numPr>
        <w:tabs>
          <w:tab w:val="left" w:pos="840"/>
        </w:tabs>
        <w:topLinePunct w:val="0"/>
        <w:ind w:left="0" w:leftChars="0" w:firstLine="480" w:firstLineChars="20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成交供应商就本项目提供的服务全过程，包括但不限于运输、暂存及全量资源化处置及全流程管理，均须严格符合（包括但不限于）以下所列现行有效最新版本的标准与规范：</w:t>
      </w:r>
    </w:p>
    <w:p w14:paraId="4AED9CE2">
      <w:pPr>
        <w:pStyle w:val="13"/>
        <w:numPr>
          <w:ilvl w:val="0"/>
          <w:numId w:val="12"/>
        </w:numPr>
        <w:tabs>
          <w:tab w:val="left" w:pos="879"/>
        </w:tabs>
        <w:ind w:left="0" w:leftChars="0" w:firstLine="480" w:firstLineChars="20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《中华人民共和国固体废物污染环境防治法》</w:t>
      </w:r>
    </w:p>
    <w:p w14:paraId="0EEC7779">
      <w:pPr>
        <w:pStyle w:val="13"/>
        <w:numPr>
          <w:ilvl w:val="0"/>
          <w:numId w:val="12"/>
        </w:numPr>
        <w:tabs>
          <w:tab w:val="left" w:pos="879"/>
        </w:tabs>
        <w:ind w:left="0" w:leftChars="0" w:firstLine="480" w:firstLineChars="20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《危险废物转移管理办法》</w:t>
      </w:r>
    </w:p>
    <w:p w14:paraId="3522C2D9">
      <w:pPr>
        <w:pStyle w:val="13"/>
        <w:numPr>
          <w:ilvl w:val="0"/>
          <w:numId w:val="12"/>
        </w:numPr>
        <w:tabs>
          <w:tab w:val="left" w:pos="879"/>
        </w:tabs>
        <w:ind w:left="0" w:leftChars="0" w:firstLine="480" w:firstLineChars="20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《危险废物经营许可证管理办法》</w:t>
      </w:r>
    </w:p>
    <w:p w14:paraId="29E15628">
      <w:pPr>
        <w:pStyle w:val="13"/>
        <w:numPr>
          <w:ilvl w:val="0"/>
          <w:numId w:val="12"/>
        </w:numPr>
        <w:tabs>
          <w:tab w:val="left" w:pos="879"/>
        </w:tabs>
        <w:ind w:left="0" w:leftChars="0" w:firstLine="480" w:firstLineChars="20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《生活垃圾焚烧飞灰污染控制技术规范（试行）》 HJ 1134-2020</w:t>
      </w:r>
    </w:p>
    <w:p w14:paraId="2F04AA18">
      <w:pPr>
        <w:pStyle w:val="13"/>
        <w:numPr>
          <w:ilvl w:val="0"/>
          <w:numId w:val="12"/>
        </w:numPr>
        <w:tabs>
          <w:tab w:val="left" w:pos="879"/>
        </w:tabs>
        <w:ind w:left="0" w:leftChars="0" w:firstLine="480" w:firstLineChars="20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 xml:space="preserve">《固体废物 再生利用污染防治技术导则》HJ 1091-2020 </w:t>
      </w:r>
    </w:p>
    <w:p w14:paraId="4C04AC4F">
      <w:pPr>
        <w:pStyle w:val="13"/>
        <w:numPr>
          <w:ilvl w:val="0"/>
          <w:numId w:val="12"/>
        </w:numPr>
        <w:tabs>
          <w:tab w:val="left" w:pos="879"/>
        </w:tabs>
        <w:ind w:left="0" w:leftChars="0" w:firstLine="480" w:firstLineChars="20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《危险废物收集 贮存 运输技术规范》HJ 2025-2012</w:t>
      </w:r>
    </w:p>
    <w:p w14:paraId="30DEBCA6">
      <w:pPr>
        <w:pStyle w:val="13"/>
        <w:numPr>
          <w:ilvl w:val="0"/>
          <w:numId w:val="12"/>
        </w:numPr>
        <w:tabs>
          <w:tab w:val="left" w:pos="879"/>
        </w:tabs>
        <w:ind w:left="0" w:leftChars="0" w:firstLine="480" w:firstLineChars="20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《危险废物识别标志设置技术规范》HJ 1276-2022</w:t>
      </w:r>
    </w:p>
    <w:p w14:paraId="7976600D">
      <w:pPr>
        <w:pStyle w:val="13"/>
        <w:numPr>
          <w:ilvl w:val="0"/>
          <w:numId w:val="12"/>
        </w:numPr>
        <w:tabs>
          <w:tab w:val="left" w:pos="879"/>
        </w:tabs>
        <w:ind w:left="0" w:leftChars="0" w:firstLine="480" w:firstLineChars="20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《危险废物贮存污染控制标准》GB 18597-2023</w:t>
      </w:r>
    </w:p>
    <w:p w14:paraId="4FECA195">
      <w:pPr>
        <w:pStyle w:val="13"/>
        <w:numPr>
          <w:ilvl w:val="0"/>
          <w:numId w:val="12"/>
        </w:numPr>
        <w:tabs>
          <w:tab w:val="left" w:pos="879"/>
        </w:tabs>
        <w:ind w:left="0" w:leftChars="0" w:firstLine="480" w:firstLineChars="20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《危险废物焚烧污染控制标准》GB 18484-2020</w:t>
      </w:r>
    </w:p>
    <w:p w14:paraId="77FFFB82">
      <w:pPr>
        <w:pStyle w:val="13"/>
        <w:numPr>
          <w:ilvl w:val="0"/>
          <w:numId w:val="12"/>
        </w:numPr>
        <w:tabs>
          <w:tab w:val="left" w:pos="879"/>
        </w:tabs>
        <w:ind w:left="0" w:leftChars="0" w:firstLine="480" w:firstLineChars="20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《水泥窑协同处置固体废物技术规范》GB/T 30760-2024</w:t>
      </w:r>
    </w:p>
    <w:p w14:paraId="4D6F2A3F">
      <w:pPr>
        <w:pStyle w:val="13"/>
        <w:numPr>
          <w:ilvl w:val="0"/>
          <w:numId w:val="12"/>
        </w:numPr>
        <w:tabs>
          <w:tab w:val="left" w:pos="879"/>
        </w:tabs>
        <w:ind w:left="0" w:leftChars="0" w:firstLine="480" w:firstLineChars="20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《大气污染物综合排放标准》DB32/4041-2021</w:t>
      </w:r>
    </w:p>
    <w:p w14:paraId="4158737A">
      <w:pPr>
        <w:pStyle w:val="13"/>
        <w:numPr>
          <w:ilvl w:val="0"/>
          <w:numId w:val="12"/>
        </w:numPr>
        <w:tabs>
          <w:tab w:val="left" w:pos="879"/>
        </w:tabs>
        <w:ind w:left="0" w:leftChars="0" w:firstLine="480" w:firstLineChars="20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《污水综合排放标准》GB 8978-1996</w:t>
      </w:r>
    </w:p>
    <w:p w14:paraId="6EDA37A8">
      <w:pPr>
        <w:pStyle w:val="13"/>
        <w:numPr>
          <w:ilvl w:val="0"/>
          <w:numId w:val="12"/>
        </w:numPr>
        <w:tabs>
          <w:tab w:val="left" w:pos="879"/>
        </w:tabs>
        <w:ind w:left="0" w:leftChars="0" w:firstLine="480" w:firstLineChars="20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 xml:space="preserve">《固体废物鉴别标准通则》GB 34330-2025 </w:t>
      </w:r>
    </w:p>
    <w:p w14:paraId="65D8A5FD">
      <w:pPr>
        <w:pStyle w:val="13"/>
        <w:numPr>
          <w:ilvl w:val="0"/>
          <w:numId w:val="12"/>
        </w:numPr>
        <w:tabs>
          <w:tab w:val="left" w:pos="879"/>
        </w:tabs>
        <w:ind w:left="0" w:leftChars="0" w:firstLine="480" w:firstLineChars="20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 xml:space="preserve">《水泥窑协同处置飞灰预处理产品—水洗氯化物》T/CCAS 010-2019 </w:t>
      </w:r>
    </w:p>
    <w:p w14:paraId="71D383DB">
      <w:pPr>
        <w:pStyle w:val="13"/>
        <w:numPr>
          <w:ilvl w:val="0"/>
          <w:numId w:val="12"/>
        </w:numPr>
        <w:tabs>
          <w:tab w:val="left" w:pos="879"/>
        </w:tabs>
        <w:ind w:left="0" w:leftChars="0" w:firstLine="480" w:firstLineChars="20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《工业盐》GB//T 5462-2015</w:t>
      </w:r>
    </w:p>
    <w:p w14:paraId="2F54B65D">
      <w:pPr>
        <w:pStyle w:val="13"/>
        <w:numPr>
          <w:ilvl w:val="0"/>
          <w:numId w:val="12"/>
        </w:numPr>
        <w:tabs>
          <w:tab w:val="left" w:pos="879"/>
        </w:tabs>
        <w:ind w:left="0" w:leftChars="0" w:firstLine="480" w:firstLineChars="20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《氯化钾》GB/T 6549-2011</w:t>
      </w:r>
    </w:p>
    <w:p w14:paraId="528EB52E">
      <w:pPr>
        <w:pStyle w:val="13"/>
        <w:numPr>
          <w:ilvl w:val="0"/>
          <w:numId w:val="12"/>
        </w:numPr>
        <w:tabs>
          <w:tab w:val="left" w:pos="879"/>
        </w:tabs>
        <w:ind w:left="0" w:leftChars="0" w:firstLine="480" w:firstLineChars="20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 xml:space="preserve">《用于水泥中的工业副产石膏》GB/T 21371-2019 </w:t>
      </w:r>
    </w:p>
    <w:p w14:paraId="607A8525">
      <w:pPr>
        <w:pStyle w:val="13"/>
        <w:numPr>
          <w:ilvl w:val="0"/>
          <w:numId w:val="12"/>
        </w:numPr>
        <w:tabs>
          <w:tab w:val="left" w:pos="879"/>
        </w:tabs>
        <w:ind w:left="0" w:leftChars="0" w:firstLine="480" w:firstLineChars="20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《轻集料混凝土小型空心砌块》GB/T 15229-2011</w:t>
      </w:r>
    </w:p>
    <w:p w14:paraId="533B4931">
      <w:pPr>
        <w:pStyle w:val="13"/>
        <w:numPr>
          <w:ilvl w:val="0"/>
          <w:numId w:val="12"/>
        </w:numPr>
        <w:tabs>
          <w:tab w:val="left" w:pos="879"/>
        </w:tabs>
        <w:ind w:left="0" w:leftChars="0" w:firstLine="480" w:firstLineChars="20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《混凝土实心砖》GB/T 21144-2023</w:t>
      </w:r>
    </w:p>
    <w:p w14:paraId="2029E4EE">
      <w:pPr>
        <w:pStyle w:val="13"/>
        <w:numPr>
          <w:ilvl w:val="0"/>
          <w:numId w:val="12"/>
        </w:numPr>
        <w:tabs>
          <w:tab w:val="left" w:pos="879"/>
        </w:tabs>
        <w:ind w:left="0" w:leftChars="0" w:firstLine="480" w:firstLineChars="20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《非承重混凝土空心砖》GB/T 24492-2009</w:t>
      </w:r>
    </w:p>
    <w:p w14:paraId="384C93E3">
      <w:pPr>
        <w:pStyle w:val="13"/>
        <w:numPr>
          <w:ilvl w:val="0"/>
          <w:numId w:val="12"/>
        </w:numPr>
        <w:tabs>
          <w:tab w:val="left" w:pos="879"/>
        </w:tabs>
        <w:ind w:left="0" w:leftChars="0" w:firstLine="480" w:firstLineChars="20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《混凝土用生活垃圾焚烧飞灰》JC/T2966-2026</w:t>
      </w:r>
    </w:p>
    <w:p w14:paraId="0C9D4EC4">
      <w:pPr>
        <w:pStyle w:val="13"/>
        <w:numPr>
          <w:ilvl w:val="0"/>
          <w:numId w:val="10"/>
        </w:numPr>
        <w:tabs>
          <w:tab w:val="left" w:pos="840"/>
        </w:tabs>
        <w:topLinePunct w:val="0"/>
        <w:ind w:left="0" w:leftChars="0" w:firstLine="480" w:firstLineChars="20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资源化产物必须通过《危险废物鉴别标准 浸出毒性鉴别》（GB 5085.3）检测，并满足其作为产品的国家、行业或团体标准：</w:t>
      </w:r>
    </w:p>
    <w:p w14:paraId="1294F1AB">
      <w:pPr>
        <w:pStyle w:val="13"/>
        <w:numPr>
          <w:ilvl w:val="0"/>
          <w:numId w:val="13"/>
        </w:numPr>
        <w:tabs>
          <w:tab w:val="left" w:pos="879"/>
          <w:tab w:val="clear" w:pos="210"/>
        </w:tabs>
        <w:ind w:left="0" w:leftChars="0" w:firstLine="480" w:firstLineChars="20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《水泥窑协同处置固体废物技术规范》（GB/T 30760）</w:t>
      </w:r>
    </w:p>
    <w:p w14:paraId="07B8A22D">
      <w:pPr>
        <w:pStyle w:val="13"/>
        <w:numPr>
          <w:ilvl w:val="0"/>
          <w:numId w:val="13"/>
        </w:numPr>
        <w:tabs>
          <w:tab w:val="left" w:pos="879"/>
          <w:tab w:val="clear" w:pos="210"/>
        </w:tabs>
        <w:ind w:left="0" w:leftChars="0" w:firstLine="480" w:firstLineChars="20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《水泥窑协同处置飞灰预处理产品—水洗氯化物》（T/CCAS 010-2019）</w:t>
      </w:r>
    </w:p>
    <w:p w14:paraId="60BFD817">
      <w:pPr>
        <w:pStyle w:val="13"/>
        <w:numPr>
          <w:ilvl w:val="0"/>
          <w:numId w:val="13"/>
        </w:numPr>
        <w:tabs>
          <w:tab w:val="left" w:pos="879"/>
          <w:tab w:val="clear" w:pos="210"/>
        </w:tabs>
        <w:ind w:left="0" w:leftChars="0" w:firstLine="480" w:firstLineChars="20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《工业盐》（GB/T 5462-2015）</w:t>
      </w:r>
    </w:p>
    <w:p w14:paraId="5DC501BB">
      <w:pPr>
        <w:pStyle w:val="13"/>
        <w:numPr>
          <w:ilvl w:val="0"/>
          <w:numId w:val="13"/>
        </w:numPr>
        <w:tabs>
          <w:tab w:val="left" w:pos="879"/>
          <w:tab w:val="clear" w:pos="210"/>
        </w:tabs>
        <w:ind w:left="0" w:leftChars="0" w:firstLine="480" w:firstLineChars="20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《氯化钾》GB/T 6549-2011</w:t>
      </w:r>
    </w:p>
    <w:p w14:paraId="0E1403E5">
      <w:pPr>
        <w:pStyle w:val="13"/>
        <w:numPr>
          <w:ilvl w:val="0"/>
          <w:numId w:val="13"/>
        </w:numPr>
        <w:tabs>
          <w:tab w:val="left" w:pos="879"/>
          <w:tab w:val="clear" w:pos="210"/>
        </w:tabs>
        <w:ind w:left="0" w:leftChars="0" w:firstLine="480" w:firstLineChars="20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 xml:space="preserve">《用于水泥中的工业副产石膏》（GB/T 21371-2019） </w:t>
      </w:r>
    </w:p>
    <w:p w14:paraId="782EBD40">
      <w:pPr>
        <w:pStyle w:val="13"/>
        <w:numPr>
          <w:ilvl w:val="0"/>
          <w:numId w:val="13"/>
        </w:numPr>
        <w:tabs>
          <w:tab w:val="left" w:pos="879"/>
          <w:tab w:val="clear" w:pos="210"/>
        </w:tabs>
        <w:ind w:left="0" w:leftChars="0" w:firstLine="480" w:firstLineChars="20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《轻集料混凝土小型空心砌块GB/T 15229-2011》</w:t>
      </w:r>
    </w:p>
    <w:p w14:paraId="52CB7842">
      <w:pPr>
        <w:pStyle w:val="13"/>
        <w:numPr>
          <w:ilvl w:val="0"/>
          <w:numId w:val="13"/>
        </w:numPr>
        <w:tabs>
          <w:tab w:val="left" w:pos="879"/>
          <w:tab w:val="clear" w:pos="210"/>
        </w:tabs>
        <w:ind w:left="0" w:leftChars="0" w:firstLine="480" w:firstLineChars="20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《混凝土实心砖GB/T 21144-2023》</w:t>
      </w:r>
    </w:p>
    <w:p w14:paraId="7DD810F5">
      <w:pPr>
        <w:pStyle w:val="13"/>
        <w:numPr>
          <w:ilvl w:val="0"/>
          <w:numId w:val="13"/>
        </w:numPr>
        <w:tabs>
          <w:tab w:val="left" w:pos="879"/>
          <w:tab w:val="clear" w:pos="210"/>
        </w:tabs>
        <w:ind w:left="0" w:leftChars="0" w:firstLine="480" w:firstLineChars="20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《非承重混凝土空心砖》GB/T 24492-2009</w:t>
      </w:r>
    </w:p>
    <w:p w14:paraId="59483EAD">
      <w:pPr>
        <w:pStyle w:val="13"/>
        <w:numPr>
          <w:ilvl w:val="0"/>
          <w:numId w:val="13"/>
        </w:numPr>
        <w:tabs>
          <w:tab w:val="left" w:pos="879"/>
          <w:tab w:val="clear" w:pos="210"/>
        </w:tabs>
        <w:ind w:left="0" w:leftChars="0" w:firstLine="480" w:firstLineChars="20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《混凝土用生活垃圾焚烧飞灰》等）JC/T2966-2026</w:t>
      </w:r>
    </w:p>
    <w:p w14:paraId="154B3ACF">
      <w:pPr>
        <w:pStyle w:val="13"/>
        <w:numPr>
          <w:ilvl w:val="0"/>
          <w:numId w:val="10"/>
        </w:numPr>
        <w:tabs>
          <w:tab w:val="left" w:pos="840"/>
        </w:tabs>
        <w:topLinePunct w:val="0"/>
        <w:ind w:left="0" w:leftChars="0" w:firstLine="480" w:firstLineChars="20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成交供应商须确保飞灰处置过程中产生的废气排放，严格执行《危险废物焚烧污染控制标准》（GB 18484-2020）表3规定的排放限值，</w:t>
      </w:r>
      <w:r>
        <w:rPr>
          <w:rFonts w:hint="eastAsia" w:cs="Times New Roman"/>
          <w:color w:val="auto"/>
          <w:sz w:val="24"/>
          <w:highlight w:val="none"/>
          <w:lang w:val="en-US" w:eastAsia="zh-CN"/>
        </w:rPr>
        <w:t>并且符合环评批复要求。</w:t>
      </w:r>
      <w:r>
        <w:rPr>
          <w:rFonts w:ascii="Times New Roman" w:hAnsi="Times New Roman" w:eastAsia="宋体" w:cs="Times New Roman"/>
          <w:color w:val="auto"/>
          <w:sz w:val="24"/>
          <w:highlight w:val="none"/>
        </w:rPr>
        <w:t>鼓励执行长三角地区或江苏省现行有效的更严格的地方大气污染物排放标准。</w:t>
      </w:r>
    </w:p>
    <w:p w14:paraId="21E83524">
      <w:pPr>
        <w:pStyle w:val="13"/>
        <w:numPr>
          <w:ilvl w:val="0"/>
          <w:numId w:val="10"/>
        </w:numPr>
        <w:tabs>
          <w:tab w:val="left" w:pos="840"/>
        </w:tabs>
        <w:topLinePunct w:val="0"/>
        <w:ind w:left="0" w:leftChars="0" w:firstLine="480" w:firstLineChars="20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成交供应商须确保飞灰资源化处置线厂区排水系统严格实施雨污分流，飞灰处置线生产用水须实现循环利用，保证无生产污水外排；生活污水须经化粪池预处理后，接管至污水处理厂处理，确保合规外排。</w:t>
      </w:r>
    </w:p>
    <w:p w14:paraId="4CD016C7">
      <w:pPr>
        <w:pStyle w:val="13"/>
        <w:numPr>
          <w:ilvl w:val="0"/>
          <w:numId w:val="10"/>
        </w:numPr>
        <w:tabs>
          <w:tab w:val="left" w:pos="840"/>
        </w:tabs>
        <w:topLinePunct w:val="0"/>
        <w:ind w:left="0" w:leftChars="0" w:firstLine="480" w:firstLineChars="20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成交供应商必须建立健全生产管理机构和规章制度，包括岗位人员责任制和安全操作规程。</w:t>
      </w:r>
    </w:p>
    <w:p w14:paraId="44F6961A">
      <w:pPr>
        <w:pStyle w:val="13"/>
        <w:numPr>
          <w:ilvl w:val="0"/>
          <w:numId w:val="10"/>
        </w:numPr>
        <w:tabs>
          <w:tab w:val="left" w:pos="840"/>
        </w:tabs>
        <w:topLinePunct w:val="0"/>
        <w:ind w:left="0" w:leftChars="0" w:firstLine="480" w:firstLineChars="20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成交供应商应对资源化处置全过程的管理人员、处置线所有从事本项目的服务人员进行技术培训。培训内容包括但不限于：飞灰贮存输送、安全驾驶、设备操作、环境监测手段及污染防治措施。对资源化生产线生产管理和操作人员进行上岗前的专业技术培训。</w:t>
      </w:r>
    </w:p>
    <w:p w14:paraId="57F452EC">
      <w:pPr>
        <w:pStyle w:val="13"/>
        <w:numPr>
          <w:ilvl w:val="0"/>
          <w:numId w:val="10"/>
        </w:numPr>
        <w:tabs>
          <w:tab w:val="left" w:pos="840"/>
        </w:tabs>
        <w:topLinePunct w:val="0"/>
        <w:ind w:left="0" w:leftChars="0" w:firstLine="480" w:firstLineChars="20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所有投入使用的车辆、机械设备必须处于正常状态，不许带故障运行，驾驶员、机械设备操作员必须按操作规程进行规范化操作，确保人员安全和车辆、设备安全。</w:t>
      </w:r>
    </w:p>
    <w:p w14:paraId="04A2BE58">
      <w:pPr>
        <w:pStyle w:val="13"/>
        <w:numPr>
          <w:ilvl w:val="0"/>
          <w:numId w:val="10"/>
        </w:numPr>
        <w:tabs>
          <w:tab w:val="left" w:pos="840"/>
        </w:tabs>
        <w:topLinePunct w:val="0"/>
        <w:ind w:left="0" w:leftChars="0" w:firstLine="480" w:firstLineChars="20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所有从事本项目的服务人员要求身体健康（体检合格），适合从事本项目工作；所有服务人员应严格接受采购人的监督管理，如遇采购人反馈及要求更换不能胜任工作的专业技术人员或作业人员，成交供应商必须遵循采购人的意见和要求。</w:t>
      </w:r>
    </w:p>
    <w:p w14:paraId="168F4D5C">
      <w:pPr>
        <w:pStyle w:val="13"/>
        <w:numPr>
          <w:ilvl w:val="0"/>
          <w:numId w:val="10"/>
        </w:numPr>
        <w:tabs>
          <w:tab w:val="left" w:pos="840"/>
        </w:tabs>
        <w:topLinePunct w:val="0"/>
        <w:ind w:left="0" w:leftChars="0" w:firstLine="480" w:firstLineChars="20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成交供应商在飞灰运输、资源化处置过程中所发生的安全事故、安全行政处罚等的一切责任由成交供应商承担，采购人不承担任何责任并可根据考核条款进行考核。</w:t>
      </w:r>
    </w:p>
    <w:p w14:paraId="0F5BA684">
      <w:pPr>
        <w:pStyle w:val="13"/>
        <w:numPr>
          <w:ilvl w:val="0"/>
          <w:numId w:val="10"/>
        </w:numPr>
        <w:tabs>
          <w:tab w:val="left" w:pos="840"/>
        </w:tabs>
        <w:topLinePunct w:val="0"/>
        <w:ind w:left="0" w:leftChars="0" w:firstLine="480" w:firstLineChars="20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成交供应商自备运输车辆，按双方商议的计划到指定地点收取飞灰。</w:t>
      </w:r>
    </w:p>
    <w:p w14:paraId="1920E5F6">
      <w:pPr>
        <w:pStyle w:val="13"/>
        <w:numPr>
          <w:ilvl w:val="0"/>
          <w:numId w:val="10"/>
        </w:numPr>
        <w:tabs>
          <w:tab w:val="left" w:pos="840"/>
        </w:tabs>
        <w:topLinePunct w:val="0"/>
        <w:ind w:left="0" w:leftChars="0" w:firstLine="480" w:firstLineChars="20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成交供应商收运车辆以及司机，应当在指定接收地点文明作业，并遵守相关环境以及安全管理规定。</w:t>
      </w:r>
    </w:p>
    <w:p w14:paraId="009466C7">
      <w:pPr>
        <w:pStyle w:val="13"/>
        <w:numPr>
          <w:ilvl w:val="0"/>
          <w:numId w:val="10"/>
        </w:numPr>
        <w:tabs>
          <w:tab w:val="left" w:pos="840"/>
        </w:tabs>
        <w:topLinePunct w:val="0"/>
        <w:ind w:left="0" w:leftChars="0" w:firstLine="480" w:firstLineChars="20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成交供应商需主动接受和配合有关部门的专项检查和抽查。</w:t>
      </w:r>
    </w:p>
    <w:p w14:paraId="3A5FA598">
      <w:pPr>
        <w:pStyle w:val="13"/>
        <w:numPr>
          <w:ilvl w:val="0"/>
          <w:numId w:val="10"/>
        </w:numPr>
        <w:tabs>
          <w:tab w:val="left" w:pos="840"/>
        </w:tabs>
        <w:topLinePunct w:val="0"/>
        <w:ind w:left="0" w:leftChars="0" w:firstLine="480" w:firstLineChars="20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成交供应商必须及时运输、处置飞灰，完善好相关手续、台账，规范安全运输、处置飞灰。</w:t>
      </w:r>
    </w:p>
    <w:p w14:paraId="38D7BE79">
      <w:pPr>
        <w:pStyle w:val="13"/>
        <w:numPr>
          <w:ilvl w:val="0"/>
          <w:numId w:val="10"/>
        </w:numPr>
        <w:tabs>
          <w:tab w:val="left" w:pos="840"/>
        </w:tabs>
        <w:topLinePunct w:val="0"/>
        <w:ind w:left="0" w:leftChars="0" w:firstLine="480" w:firstLineChars="20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成交供应商安排运输飞灰的车辆在离开生活垃圾焚烧发电厂区后，所有的安全风险由成交供应商负责。</w:t>
      </w:r>
    </w:p>
    <w:p w14:paraId="12F4E30D">
      <w:pPr>
        <w:pStyle w:val="37"/>
        <w:numPr>
          <w:ilvl w:val="0"/>
          <w:numId w:val="8"/>
        </w:numPr>
        <w:tabs>
          <w:tab w:val="left" w:pos="1043"/>
        </w:tabs>
        <w:topLinePunct w:val="0"/>
        <w:ind w:left="0" w:leftChars="0" w:firstLine="482" w:firstLineChars="200"/>
        <w:outlineLvl w:val="0"/>
        <w:rPr>
          <w:rFonts w:hint="eastAsia" w:ascii="宋体" w:hAnsi="宋体" w:eastAsia="宋体" w:cs="宋体"/>
          <w:b/>
          <w:highlight w:val="none"/>
        </w:rPr>
      </w:pPr>
      <w:r>
        <w:rPr>
          <w:highlight w:val="none"/>
        </w:rPr>
        <w:t>付款方式</w:t>
      </w:r>
    </w:p>
    <w:p w14:paraId="1F5C9A75">
      <w:pPr>
        <w:pStyle w:val="13"/>
        <w:ind w:left="0" w:leftChars="0" w:firstLine="480" w:firstLineChars="20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成交供应商每季度首月5个工作日前将相关经三方核准盖章的对账单、《危险废物转移联单》等结算资料送达采购人，采购人应在5个工作日内确认，成交供应商在采购人确认后，按照国家相关法律法规向采购人开具相应增值税发票，采购人应在收到成交供应商开具的发票后</w:t>
      </w:r>
      <w:r>
        <w:rPr>
          <w:rFonts w:hint="eastAsia" w:cs="Times New Roman"/>
          <w:color w:val="auto"/>
          <w:sz w:val="24"/>
          <w:highlight w:val="none"/>
          <w:lang w:val="en-US" w:eastAsia="zh-CN"/>
        </w:rPr>
        <w:t>2</w:t>
      </w:r>
      <w:r>
        <w:rPr>
          <w:rFonts w:ascii="Times New Roman" w:hAnsi="Times New Roman" w:eastAsia="宋体" w:cs="Times New Roman"/>
          <w:color w:val="auto"/>
          <w:sz w:val="24"/>
          <w:highlight w:val="none"/>
        </w:rPr>
        <w:t>0个工作日内向成交供应商以银行汇款转账形式支付上季度的处置费用，若支付日为非工作日则顺延。以上价格为含处置、运输、税费、保险等一切费用按实结算。</w:t>
      </w:r>
    </w:p>
    <w:p w14:paraId="3BD3153D">
      <w:pPr>
        <w:pStyle w:val="37"/>
        <w:numPr>
          <w:ilvl w:val="0"/>
          <w:numId w:val="8"/>
        </w:numPr>
        <w:tabs>
          <w:tab w:val="left" w:pos="1043"/>
        </w:tabs>
        <w:topLinePunct w:val="0"/>
        <w:ind w:left="0" w:leftChars="0" w:firstLine="482" w:firstLineChars="200"/>
        <w:outlineLvl w:val="0"/>
        <w:rPr>
          <w:rFonts w:hint="eastAsia" w:ascii="宋体" w:hAnsi="宋体" w:eastAsia="宋体" w:cs="宋体"/>
          <w:b/>
          <w:highlight w:val="none"/>
        </w:rPr>
      </w:pPr>
      <w:r>
        <w:rPr>
          <w:highlight w:val="none"/>
        </w:rPr>
        <w:t>履约保证金</w:t>
      </w:r>
    </w:p>
    <w:p w14:paraId="0EDE35BC">
      <w:pPr>
        <w:pStyle w:val="13"/>
        <w:ind w:left="0" w:leftChars="0" w:firstLine="480" w:firstLineChars="200"/>
        <w:rPr>
          <w:rFonts w:ascii="Times New Roman" w:hAnsi="Times New Roman" w:eastAsia="宋体" w:cs="Times New Roman"/>
          <w:b/>
          <w:color w:val="auto"/>
          <w:sz w:val="24"/>
          <w:highlight w:val="none"/>
        </w:rPr>
      </w:pPr>
      <w:r>
        <w:rPr>
          <w:rFonts w:ascii="Times New Roman" w:hAnsi="Times New Roman" w:eastAsia="宋体" w:cs="Times New Roman"/>
          <w:b w:val="0"/>
          <w:color w:val="auto"/>
          <w:sz w:val="24"/>
          <w:highlight w:val="none"/>
        </w:rPr>
        <w:t>本项目无需缴纳履约保证金。</w:t>
      </w:r>
    </w:p>
    <w:p w14:paraId="192FDD47">
      <w:pPr>
        <w:pStyle w:val="37"/>
        <w:numPr>
          <w:ilvl w:val="0"/>
          <w:numId w:val="8"/>
        </w:numPr>
        <w:tabs>
          <w:tab w:val="left" w:pos="1043"/>
        </w:tabs>
        <w:topLinePunct w:val="0"/>
        <w:ind w:left="0" w:leftChars="0" w:firstLine="482" w:firstLineChars="200"/>
        <w:outlineLvl w:val="0"/>
        <w:rPr>
          <w:rFonts w:hint="eastAsia" w:ascii="宋体" w:hAnsi="宋体" w:eastAsia="宋体" w:cs="宋体"/>
          <w:b/>
          <w:highlight w:val="none"/>
        </w:rPr>
      </w:pPr>
      <w:r>
        <w:rPr>
          <w:highlight w:val="none"/>
        </w:rPr>
        <w:t>安全责任</w:t>
      </w:r>
    </w:p>
    <w:p w14:paraId="3E6A5E25">
      <w:pPr>
        <w:pStyle w:val="13"/>
        <w:ind w:left="0" w:leftChars="0" w:firstLine="480" w:firstLineChars="20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成交供应商在本项目施工、安装、调试等过程中必须严格遵守相关的法规、规范和现场施工的规定，督促施工人员规范操作，采取严格有力的安全防护措施，做好安全防护工作，确保相关人员人身安全。成交供应商要使用专业人员、专业工具。本项目一切安全责任均由成交供应商负责，采购人不承担任何责任。</w:t>
      </w:r>
    </w:p>
    <w:p w14:paraId="6B2C9898">
      <w:pPr>
        <w:rPr>
          <w:rFonts w:hint="eastAsia" w:ascii="宋体" w:hAnsi="宋体" w:eastAsia="宋体" w:cs="宋体"/>
          <w:b/>
          <w:sz w:val="44"/>
          <w:szCs w:val="44"/>
          <w:highlight w:val="none"/>
        </w:rPr>
      </w:pPr>
      <w:r>
        <w:rPr>
          <w:rFonts w:hint="eastAsia" w:ascii="宋体" w:hAnsi="宋体" w:eastAsia="宋体" w:cs="宋体"/>
          <w:b/>
          <w:sz w:val="44"/>
          <w:szCs w:val="44"/>
          <w:highlight w:val="none"/>
        </w:rPr>
        <w:br w:type="page"/>
      </w:r>
    </w:p>
    <w:p w14:paraId="4F3DCDCB">
      <w:pPr>
        <w:pStyle w:val="35"/>
        <w:outlineLvl w:val="0"/>
        <w:rPr>
          <w:highlight w:val="none"/>
        </w:rPr>
      </w:pPr>
      <w:r>
        <w:rPr>
          <w:highlight w:val="none"/>
        </w:rPr>
        <w:t>第三部分  政府采购合同</w:t>
      </w:r>
    </w:p>
    <w:p w14:paraId="31ECA72C">
      <w:pPr>
        <w:widowControl w:val="0"/>
        <w:spacing w:line="360" w:lineRule="auto"/>
        <w:jc w:val="center"/>
        <w:outlineLvl w:val="0"/>
        <w:rPr>
          <w:rFonts w:hint="eastAsia" w:ascii="宋体" w:hAnsi="宋体" w:eastAsia="宋体" w:cs="宋体"/>
          <w:b/>
          <w:kern w:val="2"/>
          <w:sz w:val="44"/>
          <w:szCs w:val="44"/>
          <w:highlight w:val="none"/>
          <w:lang w:val="en-US" w:eastAsia="zh-CN" w:bidi="ar-SA"/>
        </w:rPr>
      </w:pPr>
      <w:r>
        <w:rPr>
          <w:rFonts w:hint="eastAsia" w:ascii="宋体" w:hAnsi="宋体" w:eastAsia="宋体" w:cs="宋体"/>
          <w:b/>
          <w:kern w:val="2"/>
          <w:sz w:val="44"/>
          <w:szCs w:val="44"/>
          <w:highlight w:val="none"/>
          <w:lang w:val="en-US" w:eastAsia="zh-CN" w:bidi="ar-SA"/>
        </w:rPr>
        <w:t>通州区生活垃圾焚烧飞灰资源化利用处置项目合同</w:t>
      </w:r>
    </w:p>
    <w:p w14:paraId="564AC5C4">
      <w:pPr>
        <w:widowControl w:val="0"/>
        <w:autoSpaceDE w:val="0"/>
        <w:autoSpaceDN w:val="0"/>
        <w:adjustRightInd w:val="0"/>
        <w:spacing w:line="360" w:lineRule="auto"/>
        <w:jc w:val="left"/>
        <w:rPr>
          <w:rFonts w:hint="eastAsia" w:ascii="宋体" w:hAnsi="宋体" w:eastAsia="宋体" w:cs="宋体"/>
          <w:kern w:val="0"/>
          <w:sz w:val="24"/>
          <w:szCs w:val="24"/>
          <w:highlight w:val="none"/>
          <w:lang w:val="en-US" w:eastAsia="zh-CN" w:bidi="ar-SA"/>
        </w:rPr>
      </w:pPr>
    </w:p>
    <w:p w14:paraId="0D91C387">
      <w:pPr>
        <w:widowControl w:val="0"/>
        <w:spacing w:before="120" w:line="360" w:lineRule="auto"/>
        <w:ind w:left="960" w:firstLine="720" w:firstLineChars="300"/>
        <w:jc w:val="both"/>
        <w:rPr>
          <w:rFonts w:hint="eastAsia" w:ascii="宋体" w:hAnsi="宋体" w:eastAsia="宋体" w:cs="宋体"/>
          <w:kern w:val="2"/>
          <w:sz w:val="24"/>
          <w:szCs w:val="21"/>
          <w:highlight w:val="none"/>
          <w:lang w:val="en-US" w:eastAsia="zh-CN" w:bidi="ar-SA"/>
        </w:rPr>
      </w:pPr>
    </w:p>
    <w:p w14:paraId="2C06C4EC">
      <w:pPr>
        <w:widowControl w:val="0"/>
        <w:spacing w:before="120" w:line="360" w:lineRule="auto"/>
        <w:ind w:left="960" w:firstLine="720" w:firstLineChars="300"/>
        <w:jc w:val="both"/>
        <w:rPr>
          <w:rFonts w:hint="eastAsia" w:ascii="宋体" w:hAnsi="宋体" w:eastAsia="宋体" w:cs="宋体"/>
          <w:kern w:val="2"/>
          <w:sz w:val="24"/>
          <w:szCs w:val="21"/>
          <w:highlight w:val="none"/>
          <w:lang w:val="en-US" w:eastAsia="zh-CN" w:bidi="ar-SA"/>
        </w:rPr>
      </w:pPr>
    </w:p>
    <w:p w14:paraId="1ABD5207">
      <w:pPr>
        <w:widowControl w:val="0"/>
        <w:spacing w:before="120" w:line="360" w:lineRule="auto"/>
        <w:ind w:left="960" w:firstLine="720" w:firstLineChars="300"/>
        <w:jc w:val="both"/>
        <w:rPr>
          <w:rFonts w:hint="eastAsia" w:ascii="宋体" w:hAnsi="宋体" w:eastAsia="宋体" w:cs="宋体"/>
          <w:kern w:val="2"/>
          <w:sz w:val="24"/>
          <w:szCs w:val="21"/>
          <w:highlight w:val="none"/>
          <w:lang w:val="en-US" w:eastAsia="zh-CN" w:bidi="ar-SA"/>
        </w:rPr>
      </w:pPr>
    </w:p>
    <w:p w14:paraId="6C00842C">
      <w:pPr>
        <w:widowControl w:val="0"/>
        <w:jc w:val="center"/>
        <w:textAlignment w:val="baseline"/>
        <w:rPr>
          <w:rFonts w:ascii="Times New Roman" w:hAnsi="Times New Roman" w:eastAsia="幼圆" w:cs="Calibri"/>
          <w:b/>
          <w:bCs/>
          <w:kern w:val="2"/>
          <w:sz w:val="44"/>
          <w:szCs w:val="21"/>
          <w:highlight w:val="none"/>
          <w:lang w:val="en-US" w:eastAsia="zh-CN" w:bidi="ar-SA"/>
        </w:rPr>
      </w:pPr>
    </w:p>
    <w:p w14:paraId="6ADB7D93">
      <w:pPr>
        <w:widowControl w:val="0"/>
        <w:ind w:left="2520" w:leftChars="1200"/>
        <w:jc w:val="both"/>
        <w:rPr>
          <w:rFonts w:ascii="Times New Roman" w:hAnsi="Times New Roman" w:eastAsia="宋体" w:cs="Times New Roman"/>
          <w:kern w:val="2"/>
          <w:sz w:val="28"/>
          <w:szCs w:val="28"/>
          <w:highlight w:val="none"/>
          <w:lang w:val="en-US" w:eastAsia="zh-CN" w:bidi="ar-SA"/>
        </w:rPr>
      </w:pPr>
    </w:p>
    <w:p w14:paraId="016D5855">
      <w:pPr>
        <w:widowControl w:val="0"/>
        <w:jc w:val="both"/>
        <w:rPr>
          <w:rFonts w:ascii="Times New Roman" w:hAnsi="Times New Roman" w:eastAsia="宋体" w:cs="Times New Roman"/>
          <w:kern w:val="2"/>
          <w:sz w:val="28"/>
          <w:szCs w:val="28"/>
          <w:highlight w:val="none"/>
          <w:lang w:val="en-US" w:eastAsia="zh-CN" w:bidi="ar-SA"/>
        </w:rPr>
      </w:pPr>
    </w:p>
    <w:p w14:paraId="5AE265F5">
      <w:pPr>
        <w:widowControl w:val="0"/>
        <w:jc w:val="both"/>
        <w:rPr>
          <w:rFonts w:ascii="Times New Roman" w:hAnsi="Times New Roman" w:eastAsia="宋体" w:cs="Times New Roman"/>
          <w:kern w:val="2"/>
          <w:sz w:val="28"/>
          <w:szCs w:val="28"/>
          <w:highlight w:val="none"/>
          <w:lang w:val="en-US" w:eastAsia="zh-CN" w:bidi="ar-SA"/>
        </w:rPr>
      </w:pPr>
    </w:p>
    <w:p w14:paraId="3A6E40DF">
      <w:pPr>
        <w:widowControl w:val="0"/>
        <w:jc w:val="both"/>
        <w:rPr>
          <w:rFonts w:ascii="Times New Roman" w:hAnsi="Times New Roman" w:eastAsia="宋体" w:cs="Times New Roman"/>
          <w:kern w:val="2"/>
          <w:sz w:val="28"/>
          <w:szCs w:val="28"/>
          <w:highlight w:val="none"/>
          <w:lang w:val="en-US" w:eastAsia="zh-CN" w:bidi="ar-SA"/>
        </w:rPr>
      </w:pPr>
    </w:p>
    <w:p w14:paraId="32BB7A49">
      <w:pPr>
        <w:widowControl w:val="0"/>
        <w:jc w:val="both"/>
        <w:rPr>
          <w:rFonts w:ascii="Times New Roman" w:hAnsi="Times New Roman" w:eastAsia="宋体" w:cs="Times New Roman"/>
          <w:kern w:val="2"/>
          <w:sz w:val="28"/>
          <w:szCs w:val="28"/>
          <w:highlight w:val="none"/>
          <w:lang w:val="en-US" w:eastAsia="zh-CN" w:bidi="ar-SA"/>
        </w:rPr>
      </w:pPr>
    </w:p>
    <w:p w14:paraId="485986BA">
      <w:pPr>
        <w:widowControl w:val="0"/>
        <w:spacing w:line="360" w:lineRule="auto"/>
        <w:ind w:firstLine="960" w:firstLineChars="400"/>
        <w:jc w:val="both"/>
        <w:rPr>
          <w:rFonts w:hint="eastAsia" w:ascii="宋体" w:hAnsi="宋体" w:eastAsia="宋体" w:cs="宋体"/>
          <w:b/>
          <w:bCs/>
          <w:kern w:val="2"/>
          <w:sz w:val="24"/>
          <w:szCs w:val="22"/>
          <w:highlight w:val="none"/>
          <w:u w:val="single"/>
          <w:lang w:val="en-US" w:eastAsia="zh-CN" w:bidi="ar-SA"/>
        </w:rPr>
      </w:pPr>
      <w:r>
        <w:rPr>
          <w:rFonts w:hint="eastAsia" w:ascii="宋体" w:hAnsi="宋体" w:eastAsia="宋体" w:cs="宋体"/>
          <w:kern w:val="2"/>
          <w:sz w:val="24"/>
          <w:szCs w:val="22"/>
          <w:highlight w:val="none"/>
          <w:lang w:val="en-US" w:eastAsia="zh-CN" w:bidi="ar-SA"/>
        </w:rPr>
        <w:t>项目名称：</w:t>
      </w:r>
      <w:r>
        <w:rPr>
          <w:rFonts w:hint="eastAsia" w:ascii="宋体" w:hAnsi="宋体" w:eastAsia="宋体" w:cs="宋体"/>
          <w:b/>
          <w:bCs/>
          <w:kern w:val="2"/>
          <w:sz w:val="24"/>
          <w:szCs w:val="22"/>
          <w:highlight w:val="none"/>
          <w:u w:val="single"/>
          <w:lang w:val="en-US" w:eastAsia="zh-CN" w:bidi="ar-SA"/>
        </w:rPr>
        <w:t>通州区生活垃圾焚烧飞灰资源化利用处置项目</w:t>
      </w:r>
    </w:p>
    <w:p w14:paraId="14878B16">
      <w:pPr>
        <w:widowControl w:val="0"/>
        <w:spacing w:line="360" w:lineRule="auto"/>
        <w:jc w:val="both"/>
        <w:rPr>
          <w:rFonts w:hint="eastAsia" w:ascii="宋体" w:hAnsi="宋体" w:eastAsia="宋体" w:cs="宋体"/>
          <w:kern w:val="2"/>
          <w:sz w:val="24"/>
          <w:szCs w:val="22"/>
          <w:highlight w:val="none"/>
          <w:lang w:val="en-US" w:eastAsia="zh-CN" w:bidi="ar-SA"/>
        </w:rPr>
      </w:pPr>
      <w:r>
        <w:rPr>
          <w:rFonts w:hint="eastAsia" w:ascii="宋体" w:hAnsi="宋体" w:eastAsia="宋体" w:cs="宋体"/>
          <w:kern w:val="2"/>
          <w:sz w:val="24"/>
          <w:szCs w:val="22"/>
          <w:highlight w:val="none"/>
          <w:lang w:val="en-US" w:eastAsia="zh-CN" w:bidi="ar-SA"/>
        </w:rPr>
        <w:t>　　　</w:t>
      </w:r>
    </w:p>
    <w:p w14:paraId="2562863F">
      <w:pPr>
        <w:widowControl w:val="0"/>
        <w:spacing w:line="360" w:lineRule="auto"/>
        <w:ind w:firstLine="720" w:firstLineChars="300"/>
        <w:jc w:val="both"/>
        <w:rPr>
          <w:rFonts w:hint="eastAsia" w:ascii="宋体" w:hAnsi="宋体" w:eastAsia="宋体" w:cs="宋体"/>
          <w:kern w:val="2"/>
          <w:sz w:val="24"/>
          <w:szCs w:val="22"/>
          <w:highlight w:val="none"/>
          <w:u w:val="single"/>
          <w:lang w:val="en-US" w:eastAsia="zh-CN" w:bidi="ar-SA"/>
        </w:rPr>
      </w:pPr>
      <w:r>
        <w:rPr>
          <w:rFonts w:hint="eastAsia" w:ascii="宋体" w:hAnsi="宋体" w:eastAsia="宋体" w:cs="宋体"/>
          <w:kern w:val="2"/>
          <w:sz w:val="24"/>
          <w:szCs w:val="22"/>
          <w:highlight w:val="none"/>
          <w:lang w:val="en-US" w:eastAsia="zh-CN" w:bidi="ar-SA"/>
        </w:rPr>
        <w:t>　甲　　方：</w:t>
      </w:r>
      <w:r>
        <w:rPr>
          <w:rFonts w:hint="eastAsia" w:ascii="宋体" w:hAnsi="宋体" w:eastAsia="宋体" w:cs="宋体"/>
          <w:kern w:val="2"/>
          <w:sz w:val="24"/>
          <w:szCs w:val="22"/>
          <w:highlight w:val="none"/>
          <w:u w:val="single"/>
          <w:lang w:val="en-US" w:eastAsia="zh-CN" w:bidi="ar-SA"/>
        </w:rPr>
        <w:t>南通市通州区城市管理局</w:t>
      </w:r>
    </w:p>
    <w:p w14:paraId="285EA5C5">
      <w:pPr>
        <w:widowControl w:val="0"/>
        <w:spacing w:line="360" w:lineRule="auto"/>
        <w:jc w:val="both"/>
        <w:rPr>
          <w:rFonts w:hint="eastAsia" w:ascii="宋体" w:hAnsi="宋体" w:eastAsia="宋体" w:cs="宋体"/>
          <w:kern w:val="2"/>
          <w:sz w:val="24"/>
          <w:szCs w:val="22"/>
          <w:highlight w:val="none"/>
          <w:lang w:val="en-US" w:eastAsia="zh-CN" w:bidi="ar-SA"/>
        </w:rPr>
      </w:pPr>
      <w:r>
        <w:rPr>
          <w:rFonts w:hint="eastAsia" w:ascii="宋体" w:hAnsi="宋体" w:eastAsia="宋体" w:cs="宋体"/>
          <w:kern w:val="2"/>
          <w:sz w:val="24"/>
          <w:szCs w:val="22"/>
          <w:highlight w:val="none"/>
          <w:lang w:val="en-US" w:eastAsia="zh-CN" w:bidi="ar-SA"/>
        </w:rPr>
        <w:t>　　　　</w:t>
      </w:r>
    </w:p>
    <w:p w14:paraId="6F04BA2A">
      <w:pPr>
        <w:widowControl w:val="0"/>
        <w:spacing w:line="360" w:lineRule="auto"/>
        <w:ind w:firstLine="960" w:firstLineChars="400"/>
        <w:jc w:val="both"/>
        <w:rPr>
          <w:rFonts w:hint="eastAsia" w:ascii="宋体" w:hAnsi="宋体" w:eastAsia="宋体" w:cs="宋体"/>
          <w:kern w:val="2"/>
          <w:sz w:val="24"/>
          <w:szCs w:val="22"/>
          <w:highlight w:val="none"/>
          <w:u w:val="single"/>
          <w:lang w:val="en-US" w:eastAsia="zh-CN" w:bidi="ar-SA"/>
        </w:rPr>
      </w:pPr>
      <w:r>
        <w:rPr>
          <w:rFonts w:hint="eastAsia" w:ascii="宋体" w:hAnsi="宋体" w:eastAsia="宋体" w:cs="宋体"/>
          <w:kern w:val="2"/>
          <w:sz w:val="24"/>
          <w:szCs w:val="22"/>
          <w:highlight w:val="none"/>
          <w:lang w:val="en-US" w:eastAsia="zh-CN" w:bidi="ar-SA"/>
        </w:rPr>
        <w:t>乙　　方：</w:t>
      </w:r>
      <w:r>
        <w:rPr>
          <w:rFonts w:hint="eastAsia" w:ascii="宋体" w:hAnsi="宋体" w:eastAsia="宋体" w:cs="宋体"/>
          <w:kern w:val="2"/>
          <w:sz w:val="24"/>
          <w:szCs w:val="22"/>
          <w:highlight w:val="none"/>
          <w:u w:val="single"/>
          <w:lang w:val="en-US" w:eastAsia="zh-CN" w:bidi="ar-SA"/>
        </w:rPr>
        <w:t>　　　　　　　　　　</w:t>
      </w:r>
    </w:p>
    <w:p w14:paraId="79A302C2">
      <w:pPr>
        <w:widowControl w:val="0"/>
        <w:spacing w:line="360" w:lineRule="auto"/>
        <w:ind w:firstLine="960" w:firstLineChars="400"/>
        <w:jc w:val="both"/>
        <w:rPr>
          <w:rFonts w:hint="eastAsia" w:ascii="宋体" w:hAnsi="宋体" w:eastAsia="宋体" w:cs="宋体"/>
          <w:kern w:val="2"/>
          <w:sz w:val="24"/>
          <w:szCs w:val="22"/>
          <w:highlight w:val="none"/>
          <w:lang w:val="en-US" w:eastAsia="zh-CN" w:bidi="ar-SA"/>
        </w:rPr>
      </w:pPr>
    </w:p>
    <w:p w14:paraId="68B6B8D7">
      <w:pPr>
        <w:widowControl w:val="0"/>
        <w:spacing w:line="360" w:lineRule="auto"/>
        <w:ind w:firstLine="960" w:firstLineChars="400"/>
        <w:jc w:val="both"/>
        <w:rPr>
          <w:rFonts w:hint="eastAsia" w:ascii="宋体" w:hAnsi="宋体" w:eastAsia="宋体" w:cs="宋体"/>
          <w:kern w:val="2"/>
          <w:sz w:val="24"/>
          <w:szCs w:val="22"/>
          <w:highlight w:val="none"/>
          <w:u w:val="single"/>
          <w:lang w:val="en-US" w:eastAsia="zh-CN" w:bidi="ar-SA"/>
        </w:rPr>
      </w:pPr>
      <w:r>
        <w:rPr>
          <w:rFonts w:hint="eastAsia" w:ascii="宋体" w:hAnsi="宋体" w:eastAsia="宋体" w:cs="宋体"/>
          <w:kern w:val="2"/>
          <w:sz w:val="24"/>
          <w:szCs w:val="22"/>
          <w:highlight w:val="none"/>
          <w:lang w:val="en-US" w:eastAsia="zh-CN" w:bidi="ar-SA"/>
        </w:rPr>
        <w:t>丙    方：</w:t>
      </w:r>
      <w:r>
        <w:rPr>
          <w:rFonts w:hint="eastAsia" w:ascii="宋体" w:hAnsi="宋体" w:eastAsia="宋体" w:cs="宋体"/>
          <w:kern w:val="2"/>
          <w:sz w:val="24"/>
          <w:szCs w:val="22"/>
          <w:highlight w:val="none"/>
          <w:u w:val="single"/>
          <w:lang w:val="en-US" w:eastAsia="zh-CN" w:bidi="ar-SA"/>
        </w:rPr>
        <w:t>　　　　　　　　　　</w:t>
      </w:r>
    </w:p>
    <w:p w14:paraId="2A7B0C49">
      <w:pPr>
        <w:widowControl w:val="0"/>
        <w:spacing w:line="360" w:lineRule="auto"/>
        <w:ind w:firstLine="960" w:firstLineChars="400"/>
        <w:jc w:val="both"/>
        <w:rPr>
          <w:rFonts w:hint="eastAsia" w:ascii="宋体" w:hAnsi="宋体" w:eastAsia="宋体" w:cs="宋体"/>
          <w:kern w:val="2"/>
          <w:sz w:val="24"/>
          <w:szCs w:val="22"/>
          <w:highlight w:val="none"/>
          <w:lang w:val="en-US" w:eastAsia="zh-CN" w:bidi="ar-SA"/>
        </w:rPr>
      </w:pPr>
    </w:p>
    <w:p w14:paraId="68064255">
      <w:pPr>
        <w:widowControl w:val="0"/>
        <w:spacing w:line="360" w:lineRule="auto"/>
        <w:ind w:firstLine="960" w:firstLineChars="400"/>
        <w:jc w:val="both"/>
        <w:rPr>
          <w:rFonts w:hint="eastAsia" w:ascii="宋体" w:hAnsi="宋体" w:eastAsia="宋体" w:cs="宋体"/>
          <w:kern w:val="2"/>
          <w:sz w:val="24"/>
          <w:szCs w:val="22"/>
          <w:highlight w:val="none"/>
          <w:u w:val="single"/>
          <w:lang w:val="en-US" w:eastAsia="zh-CN" w:bidi="ar-SA"/>
        </w:rPr>
      </w:pPr>
      <w:r>
        <w:rPr>
          <w:rFonts w:hint="eastAsia" w:ascii="宋体" w:hAnsi="宋体" w:eastAsia="宋体" w:cs="宋体"/>
          <w:kern w:val="2"/>
          <w:sz w:val="24"/>
          <w:szCs w:val="22"/>
          <w:highlight w:val="none"/>
          <w:lang w:val="en-US" w:eastAsia="zh-CN" w:bidi="ar-SA"/>
        </w:rPr>
        <w:t>签 订 地：</w:t>
      </w:r>
      <w:r>
        <w:rPr>
          <w:rFonts w:hint="eastAsia" w:ascii="宋体" w:hAnsi="宋体" w:eastAsia="宋体" w:cs="宋体"/>
          <w:kern w:val="2"/>
          <w:sz w:val="24"/>
          <w:szCs w:val="22"/>
          <w:highlight w:val="none"/>
          <w:u w:val="single"/>
          <w:lang w:val="en-US" w:eastAsia="zh-CN" w:bidi="ar-SA"/>
        </w:rPr>
        <w:t>南通市通州区城市管理局</w:t>
      </w:r>
    </w:p>
    <w:p w14:paraId="3F48C332">
      <w:pPr>
        <w:widowControl w:val="0"/>
        <w:spacing w:line="360" w:lineRule="auto"/>
        <w:jc w:val="both"/>
        <w:rPr>
          <w:rFonts w:hint="eastAsia" w:ascii="宋体" w:hAnsi="宋体" w:eastAsia="宋体" w:cs="宋体"/>
          <w:kern w:val="2"/>
          <w:sz w:val="24"/>
          <w:szCs w:val="22"/>
          <w:highlight w:val="none"/>
          <w:lang w:val="en-US" w:eastAsia="zh-CN" w:bidi="ar-SA"/>
        </w:rPr>
      </w:pPr>
      <w:r>
        <w:rPr>
          <w:rFonts w:hint="eastAsia" w:ascii="宋体" w:hAnsi="宋体" w:eastAsia="宋体" w:cs="宋体"/>
          <w:kern w:val="2"/>
          <w:sz w:val="24"/>
          <w:szCs w:val="22"/>
          <w:highlight w:val="none"/>
          <w:lang w:val="en-US" w:eastAsia="zh-CN" w:bidi="ar-SA"/>
        </w:rPr>
        <w:t>　　　　</w:t>
      </w:r>
    </w:p>
    <w:p w14:paraId="080C550A">
      <w:pPr>
        <w:widowControl w:val="0"/>
        <w:spacing w:line="360" w:lineRule="auto"/>
        <w:ind w:firstLine="960" w:firstLineChars="400"/>
        <w:jc w:val="both"/>
        <w:rPr>
          <w:rFonts w:hint="eastAsia" w:ascii="宋体" w:hAnsi="宋体" w:eastAsia="宋体" w:cs="宋体"/>
          <w:kern w:val="2"/>
          <w:sz w:val="24"/>
          <w:szCs w:val="22"/>
          <w:highlight w:val="none"/>
          <w:lang w:val="en-US" w:eastAsia="zh-CN" w:bidi="ar-SA"/>
        </w:rPr>
        <w:sectPr>
          <w:footerReference r:id="rId3" w:type="default"/>
          <w:pgSz w:w="11907" w:h="16840"/>
          <w:pgMar w:top="1474" w:right="1814" w:bottom="1474" w:left="1814" w:header="851" w:footer="851" w:gutter="0"/>
          <w:cols w:space="720" w:num="1"/>
          <w:docGrid w:linePitch="462" w:charSpace="0"/>
        </w:sectPr>
      </w:pPr>
      <w:r>
        <w:rPr>
          <w:rFonts w:hint="eastAsia" w:ascii="宋体" w:hAnsi="宋体" w:eastAsia="宋体" w:cs="宋体"/>
          <w:kern w:val="2"/>
          <w:sz w:val="24"/>
          <w:szCs w:val="22"/>
          <w:highlight w:val="none"/>
          <w:lang w:val="en-US" w:eastAsia="zh-CN" w:bidi="ar-SA"/>
        </w:rPr>
        <w:t>签订日期：  年    月    日</w:t>
      </w:r>
    </w:p>
    <w:p w14:paraId="208DDE0E">
      <w:pPr>
        <w:pStyle w:val="13"/>
        <w:ind w:firstLine="480"/>
      </w:pPr>
      <w:bookmarkStart w:id="1" w:name="_Hlk8807754"/>
      <w:r>
        <w:t>根据《中华人民共和国环境保护法》以及相关环境保护法律法规规定，单位在生产过程中形成的生活垃圾焚烧飞灰不得随意排放、弃置或者转移，应当依法集中处理。根据采购结果，甲方将通州区生活垃圾送丙方焚烧产生的飞灰委托</w:t>
      </w:r>
      <w:r>
        <w:rPr>
          <w:u w:val="single"/>
        </w:rPr>
        <w:t>南通乐环新材料科技有限公司</w:t>
      </w:r>
      <w:r>
        <w:t>进行运输、资源化利用，甲、乙、丙三方现就上述生活垃圾焚烧产生的飞灰运输、资源化利用事宜，根据《中华人民共和国民法典》及相关法律法规，经友好协商，自愿达成如下条款，以兹共同遵照执行。</w:t>
      </w:r>
    </w:p>
    <w:p w14:paraId="4F48F256">
      <w:pPr>
        <w:pStyle w:val="37"/>
        <w:numPr>
          <w:ilvl w:val="0"/>
          <w:numId w:val="14"/>
        </w:numPr>
        <w:tabs>
          <w:tab w:val="left" w:pos="963"/>
        </w:tabs>
        <w:ind w:firstLineChars="0"/>
        <w:rPr>
          <w:rFonts w:hint="eastAsia" w:ascii="宋体" w:hAnsi="宋体" w:cs="宋体"/>
        </w:rPr>
      </w:pPr>
      <w:r>
        <w:t>甲方合同义务</w:t>
      </w:r>
    </w:p>
    <w:p w14:paraId="7A43091F">
      <w:pPr>
        <w:pStyle w:val="13"/>
        <w:ind w:firstLine="480"/>
      </w:pPr>
      <w:r>
        <w:t>1.甲方应依本合同约定方式、时间，按实际资源化利用量准时、足额向乙方支付费用。</w:t>
      </w:r>
    </w:p>
    <w:p w14:paraId="23F3E0CC">
      <w:pPr>
        <w:pStyle w:val="37"/>
        <w:numPr>
          <w:ilvl w:val="0"/>
          <w:numId w:val="14"/>
        </w:numPr>
        <w:tabs>
          <w:tab w:val="left" w:pos="963"/>
        </w:tabs>
        <w:ind w:firstLineChars="0"/>
        <w:rPr>
          <w:rFonts w:hint="eastAsia" w:ascii="宋体" w:hAnsi="宋体" w:cs="宋体"/>
        </w:rPr>
      </w:pPr>
      <w:r>
        <w:t>乙方合同义务</w:t>
      </w:r>
    </w:p>
    <w:p w14:paraId="288F648E">
      <w:pPr>
        <w:pStyle w:val="13"/>
        <w:numPr>
          <w:ilvl w:val="0"/>
          <w:numId w:val="15"/>
        </w:numPr>
        <w:tabs>
          <w:tab w:val="left" w:pos="780"/>
          <w:tab w:val="clear" w:pos="210"/>
        </w:tabs>
      </w:pPr>
      <w:r>
        <w:t>在合同有效期内，乙方应具备资源化利用飞灰所需的条件和设施，并保证所持有营业执照</w:t>
      </w:r>
      <w:r>
        <w:rPr>
          <w:rFonts w:hint="eastAsia"/>
        </w:rPr>
        <w:t>、危废经营许可</w:t>
      </w:r>
      <w:r>
        <w:t>等相关证件</w:t>
      </w:r>
      <w:r>
        <w:rPr>
          <w:rFonts w:hint="eastAsia"/>
        </w:rPr>
        <w:t>、资质</w:t>
      </w:r>
      <w:r>
        <w:t>合法有效。</w:t>
      </w:r>
    </w:p>
    <w:p w14:paraId="72C7DCFF">
      <w:pPr>
        <w:pStyle w:val="13"/>
        <w:widowControl w:val="0"/>
        <w:numPr>
          <w:ilvl w:val="0"/>
          <w:numId w:val="0"/>
        </w:numPr>
        <w:tabs>
          <w:tab w:val="left" w:pos="780"/>
        </w:tabs>
        <w:spacing w:after="120" w:line="360" w:lineRule="auto"/>
        <w:ind w:firstLine="480" w:firstLineChars="200"/>
        <w:rPr>
          <w:rFonts w:hint="eastAsia"/>
          <w:lang w:eastAsia="zh-CN"/>
        </w:rPr>
      </w:pPr>
      <w:r>
        <w:rPr>
          <w:rFonts w:hint="eastAsia"/>
          <w:lang w:val="en-US" w:eastAsia="zh-CN"/>
        </w:rPr>
        <w:t>2.</w:t>
      </w:r>
      <w:r>
        <w:t>乙方须安排具有危废运输资质的</w:t>
      </w:r>
      <w:r>
        <w:rPr>
          <w:rFonts w:hint="eastAsia"/>
          <w:lang w:val="en-US" w:eastAsia="zh-CN"/>
        </w:rPr>
        <w:t>车辆</w:t>
      </w:r>
      <w:r>
        <w:t>，按三方商议的计划</w:t>
      </w:r>
      <w:r>
        <w:rPr>
          <w:rFonts w:hint="eastAsia"/>
          <w:lang w:eastAsia="zh-CN"/>
        </w:rPr>
        <w:t>，</w:t>
      </w:r>
      <w:r>
        <w:rPr>
          <w:rFonts w:hint="eastAsia"/>
          <w:lang w:val="en-US" w:eastAsia="zh-CN"/>
        </w:rPr>
        <w:t>每天及时</w:t>
      </w:r>
      <w:r>
        <w:t>到丙方</w:t>
      </w:r>
      <w:r>
        <w:rPr>
          <w:rFonts w:hint="eastAsia"/>
          <w:lang w:val="en-US" w:eastAsia="zh-CN"/>
        </w:rPr>
        <w:t>飞灰罐底部进行装车</w:t>
      </w:r>
      <w:r>
        <w:rPr>
          <w:rFonts w:hint="eastAsia"/>
        </w:rPr>
        <w:t>（飞灰为未经螯合固化的原灰）</w:t>
      </w:r>
      <w:r>
        <w:t>。</w:t>
      </w:r>
      <w:r>
        <w:rPr>
          <w:rFonts w:hint="eastAsia"/>
        </w:rPr>
        <w:t>乙方应提前将运输方</w:t>
      </w:r>
      <w:r>
        <w:rPr>
          <w:rFonts w:hint="eastAsia"/>
          <w:lang w:val="en-US" w:eastAsia="zh-CN"/>
        </w:rPr>
        <w:t>的</w:t>
      </w:r>
      <w:r>
        <w:rPr>
          <w:rFonts w:hint="eastAsia"/>
        </w:rPr>
        <w:t>资质文件</w:t>
      </w:r>
      <w:r>
        <w:rPr>
          <w:rFonts w:hint="eastAsia"/>
          <w:lang w:val="en-US" w:eastAsia="zh-CN"/>
        </w:rPr>
        <w:t>及驾驶员、押运员相关证件</w:t>
      </w:r>
      <w:r>
        <w:rPr>
          <w:rFonts w:hint="eastAsia"/>
        </w:rPr>
        <w:t>提</w:t>
      </w:r>
      <w:r>
        <w:rPr>
          <w:rFonts w:hint="eastAsia"/>
          <w:lang w:val="en-US" w:eastAsia="zh-CN"/>
        </w:rPr>
        <w:t>交至</w:t>
      </w:r>
      <w:r>
        <w:rPr>
          <w:rFonts w:hint="eastAsia"/>
        </w:rPr>
        <w:t>丙方</w:t>
      </w:r>
      <w:r>
        <w:rPr>
          <w:rFonts w:hint="eastAsia"/>
          <w:lang w:eastAsia="zh-CN"/>
        </w:rPr>
        <w:t>。</w:t>
      </w:r>
      <w:r>
        <w:t>乙方</w:t>
      </w:r>
      <w:r>
        <w:rPr>
          <w:rFonts w:hint="eastAsia"/>
          <w:lang w:val="en-US" w:eastAsia="zh-CN"/>
        </w:rPr>
        <w:t>须每天及时清运当天产生的飞灰，以确保丙方飞灰储罐容量满足次日的日常生产。若乙方某次或某</w:t>
      </w:r>
      <w:r>
        <w:rPr>
          <w:rFonts w:hint="eastAsia"/>
          <w:color w:val="000000"/>
          <w:lang w:val="en-US" w:eastAsia="zh-CN"/>
        </w:rPr>
        <w:t>一段时间内，无特殊情况</w:t>
      </w:r>
      <w:r>
        <w:rPr>
          <w:rFonts w:hint="eastAsia"/>
          <w:lang w:val="en-US" w:eastAsia="zh-CN"/>
        </w:rPr>
        <w:t>且超过三次无法为甲方提供处置处理服务，甲方有权解除本合同。</w:t>
      </w:r>
    </w:p>
    <w:p w14:paraId="508485B4">
      <w:pPr>
        <w:pStyle w:val="13"/>
        <w:numPr>
          <w:ilvl w:val="0"/>
          <w:numId w:val="0"/>
        </w:numPr>
        <w:tabs>
          <w:tab w:val="left" w:pos="780"/>
        </w:tabs>
        <w:ind w:firstLine="480" w:firstLineChars="200"/>
      </w:pPr>
      <w:r>
        <w:rPr>
          <w:rFonts w:hint="eastAsia"/>
          <w:lang w:val="en-US" w:eastAsia="zh-CN"/>
        </w:rPr>
        <w:t>3.</w:t>
      </w:r>
      <w:r>
        <w:t>乙方收运车辆以及司机，应当在丙方厂内文明作业，并遵守丙方的相关环境以及安全管理规定。</w:t>
      </w:r>
    </w:p>
    <w:p w14:paraId="54494427">
      <w:pPr>
        <w:pStyle w:val="13"/>
        <w:numPr>
          <w:ilvl w:val="0"/>
          <w:numId w:val="0"/>
        </w:numPr>
        <w:tabs>
          <w:tab w:val="left" w:pos="780"/>
        </w:tabs>
        <w:ind w:firstLine="480" w:firstLineChars="200"/>
      </w:pPr>
      <w:r>
        <w:rPr>
          <w:rFonts w:hint="eastAsia"/>
          <w:lang w:val="en-US" w:eastAsia="zh-CN"/>
        </w:rPr>
        <w:t>4.</w:t>
      </w:r>
      <w:r>
        <w:t>乙方需主动接受和配合有关部门的专项检查和抽查。</w:t>
      </w:r>
    </w:p>
    <w:p w14:paraId="21E0941A">
      <w:pPr>
        <w:pStyle w:val="13"/>
        <w:numPr>
          <w:ilvl w:val="0"/>
          <w:numId w:val="0"/>
        </w:numPr>
        <w:tabs>
          <w:tab w:val="left" w:pos="780"/>
        </w:tabs>
        <w:ind w:firstLine="480" w:firstLineChars="200"/>
      </w:pPr>
      <w:r>
        <w:rPr>
          <w:rFonts w:hint="eastAsia"/>
          <w:lang w:val="en-US" w:eastAsia="zh-CN"/>
        </w:rPr>
        <w:t>5.</w:t>
      </w:r>
      <w:r>
        <w:t>乙方必须及时运输、资源化利用飞灰，完善好相关手续、台账，规范安全运输、资源化利用飞灰。</w:t>
      </w:r>
    </w:p>
    <w:p w14:paraId="6CEFAEFF">
      <w:pPr>
        <w:pStyle w:val="13"/>
        <w:numPr>
          <w:ilvl w:val="0"/>
          <w:numId w:val="0"/>
        </w:numPr>
        <w:tabs>
          <w:tab w:val="left" w:pos="780"/>
        </w:tabs>
        <w:ind w:firstLine="480" w:firstLineChars="200"/>
        <w:rPr>
          <w:rFonts w:hint="eastAsia"/>
        </w:rPr>
      </w:pPr>
      <w:r>
        <w:rPr>
          <w:rFonts w:hint="eastAsia"/>
        </w:rPr>
        <w:t>乙方须建立飞灰管理台账，如实记录飞灰接收量、利用量、产品种类、数量、流向、贮存位置及处置方式，台账保存期限不少于10年。</w:t>
      </w:r>
    </w:p>
    <w:p w14:paraId="7DDEDB7B">
      <w:pPr>
        <w:pStyle w:val="13"/>
        <w:numPr>
          <w:ilvl w:val="0"/>
          <w:numId w:val="0"/>
        </w:numPr>
        <w:tabs>
          <w:tab w:val="left" w:pos="780"/>
        </w:tabs>
        <w:ind w:firstLine="480" w:firstLineChars="200"/>
      </w:pPr>
      <w:r>
        <w:rPr>
          <w:rFonts w:hint="eastAsia"/>
          <w:lang w:val="en-US" w:eastAsia="zh-CN"/>
        </w:rPr>
        <w:t>6.本合同下飞灰</w:t>
      </w:r>
      <w:r>
        <w:t>的</w:t>
      </w:r>
      <w:r>
        <w:rPr>
          <w:rFonts w:hint="eastAsia"/>
        </w:rPr>
        <w:t>运输、贮存、利用、处置过程中的一切</w:t>
      </w:r>
      <w:r>
        <w:t>安全</w:t>
      </w:r>
      <w:r>
        <w:rPr>
          <w:rFonts w:hint="eastAsia"/>
        </w:rPr>
        <w:t>、环保</w:t>
      </w:r>
      <w:r>
        <w:t>风险</w:t>
      </w:r>
      <w:r>
        <w:rPr>
          <w:rFonts w:hint="eastAsia"/>
        </w:rPr>
        <w:t>及相应的法律责任</w:t>
      </w:r>
      <w:r>
        <w:rPr>
          <w:rFonts w:hint="eastAsia"/>
          <w:lang w:val="en-US" w:eastAsia="zh-CN"/>
        </w:rPr>
        <w:t>自飞灰装车结束后由</w:t>
      </w:r>
      <w:r>
        <w:t>乙方</w:t>
      </w:r>
      <w:r>
        <w:rPr>
          <w:rFonts w:hint="eastAsia"/>
          <w:lang w:val="en-US" w:eastAsia="zh-CN"/>
        </w:rPr>
        <w:t>承担</w:t>
      </w:r>
      <w:r>
        <w:t>。但如丙方故意隐瞒乙方收运人员或者将属于本合同第三条第4款任一异常工业废物装车或交付的生活垃圾焚烧飞灰不符合本合同规定或其他法律法规另有规定或本合同另有约定的除外</w:t>
      </w:r>
      <w:r>
        <w:rPr>
          <w:rFonts w:hint="eastAsia"/>
        </w:rPr>
        <w:t>。</w:t>
      </w:r>
    </w:p>
    <w:p w14:paraId="365AB686">
      <w:pPr>
        <w:pStyle w:val="13"/>
        <w:numPr>
          <w:ilvl w:val="0"/>
          <w:numId w:val="0"/>
        </w:numPr>
        <w:tabs>
          <w:tab w:val="left" w:pos="780"/>
        </w:tabs>
        <w:ind w:firstLine="480" w:firstLineChars="200"/>
      </w:pPr>
      <w:r>
        <w:rPr>
          <w:rFonts w:hint="eastAsia"/>
          <w:lang w:val="en-US" w:eastAsia="zh-CN"/>
        </w:rPr>
        <w:t>7.</w:t>
      </w:r>
      <w:r>
        <w:rPr>
          <w:rFonts w:hint="eastAsia"/>
        </w:rPr>
        <w:t>乙方所采用的技术必须确保最终产物为具有明确用途、符合国家或行业产品标准的资源化产品（如作为混凝土掺合料、路基材料、环保建材等），并严禁以任何形式变相返送填埋场。</w:t>
      </w:r>
    </w:p>
    <w:p w14:paraId="466F40BE">
      <w:pPr>
        <w:pStyle w:val="13"/>
        <w:numPr>
          <w:ilvl w:val="0"/>
          <w:numId w:val="0"/>
        </w:numPr>
        <w:tabs>
          <w:tab w:val="left" w:pos="780"/>
        </w:tabs>
        <w:ind w:firstLine="480" w:firstLineChars="200"/>
      </w:pPr>
      <w:r>
        <w:rPr>
          <w:rFonts w:hint="eastAsia"/>
          <w:lang w:val="en-US" w:eastAsia="zh-CN"/>
        </w:rPr>
        <w:t>8.</w:t>
      </w:r>
      <w:r>
        <w:rPr>
          <w:rFonts w:hint="eastAsia"/>
        </w:rPr>
        <w:t>乙方未按要求建立台账、未按期提交评价报告、未能资源化利用产品致使评价不合格的，以及未能按照合同要求合规、全量处理飞灰，视为违约，丙方因此发生的环保处罚、税费损失、合同违约责任均由乙方全额承担。如乙方未按约定能支付违约金或损失赔偿款的，由甲方从应付乙方的飞灰处置费中予以扣除后直接支付给丙方。</w:t>
      </w:r>
    </w:p>
    <w:p w14:paraId="4FA47AA3">
      <w:pPr>
        <w:pStyle w:val="37"/>
        <w:numPr>
          <w:ilvl w:val="0"/>
          <w:numId w:val="14"/>
        </w:numPr>
        <w:tabs>
          <w:tab w:val="left" w:pos="963"/>
        </w:tabs>
        <w:ind w:firstLineChars="0"/>
        <w:rPr>
          <w:rFonts w:hint="eastAsia" w:ascii="宋体" w:hAnsi="宋体" w:cs="宋体"/>
        </w:rPr>
      </w:pPr>
      <w:r>
        <w:t>丙方合同义务</w:t>
      </w:r>
    </w:p>
    <w:p w14:paraId="68B28B09">
      <w:pPr>
        <w:pStyle w:val="13"/>
        <w:numPr>
          <w:ilvl w:val="0"/>
          <w:numId w:val="16"/>
        </w:numPr>
        <w:tabs>
          <w:tab w:val="left" w:pos="780"/>
          <w:tab w:val="clear" w:pos="210"/>
        </w:tabs>
        <w:rPr>
          <w:highlight w:val="none"/>
        </w:rPr>
      </w:pPr>
      <w:r>
        <w:rPr>
          <w:highlight w:val="none"/>
        </w:rPr>
        <w:t>丙方应将本合同约定下生产过程中所形成的飞灰连同包装物交予乙方处理、处置</w:t>
      </w:r>
      <w:r>
        <w:rPr>
          <w:rFonts w:hint="eastAsia"/>
          <w:highlight w:val="none"/>
          <w:lang w:eastAsia="zh-CN"/>
        </w:rPr>
        <w:t>，</w:t>
      </w:r>
      <w:r>
        <w:rPr>
          <w:rFonts w:hint="eastAsia"/>
          <w:highlight w:val="none"/>
          <w:lang w:val="en-US" w:eastAsia="zh-CN"/>
        </w:rPr>
        <w:t>如遇特殊情况当天无需转运时，丙方应提前通知乙方。为便利生产服务，三方可登记备案相关联系人，并通过群信息等形式进行通知。若丙方未发布无需转运的通知，乙方应确保日产日清</w:t>
      </w:r>
      <w:r>
        <w:rPr>
          <w:rFonts w:hint="eastAsia"/>
          <w:highlight w:val="none"/>
          <w:lang w:eastAsia="zh-CN"/>
        </w:rPr>
        <w:t>。</w:t>
      </w:r>
    </w:p>
    <w:p w14:paraId="1A7215BF">
      <w:pPr>
        <w:pStyle w:val="13"/>
        <w:numPr>
          <w:ilvl w:val="0"/>
          <w:numId w:val="16"/>
        </w:numPr>
        <w:tabs>
          <w:tab w:val="left" w:pos="780"/>
          <w:tab w:val="clear" w:pos="210"/>
        </w:tabs>
        <w:rPr>
          <w:highlight w:val="none"/>
        </w:rPr>
      </w:pPr>
      <w:r>
        <w:rPr>
          <w:highlight w:val="none"/>
        </w:rPr>
        <w:t>丙方应将飞灰存储</w:t>
      </w:r>
      <w:r>
        <w:rPr>
          <w:rFonts w:hint="eastAsia"/>
          <w:highlight w:val="none"/>
          <w:lang w:val="en-US" w:eastAsia="zh-CN"/>
        </w:rPr>
        <w:t>飞灰罐中</w:t>
      </w:r>
      <w:r>
        <w:rPr>
          <w:highlight w:val="none"/>
        </w:rPr>
        <w:t>，不可混入其他杂物，以方便乙方处理及保障操作安全。</w:t>
      </w:r>
      <w:r>
        <w:rPr>
          <w:rFonts w:hint="eastAsia"/>
          <w:highlight w:val="none"/>
          <w:lang w:val="en-US" w:eastAsia="zh-CN"/>
        </w:rPr>
        <w:t>因乙方未及时转运，造成飞灰罐满仓的，乙方需提供合格的飞灰包装袋，</w:t>
      </w:r>
      <w:r>
        <w:rPr>
          <w:highlight w:val="none"/>
        </w:rPr>
        <w:t>对袋装飞灰应按照飞灰包装、标识及贮存技术规范要求贴上标签。</w:t>
      </w:r>
    </w:p>
    <w:p w14:paraId="26C2A560">
      <w:pPr>
        <w:pStyle w:val="13"/>
        <w:numPr>
          <w:ilvl w:val="0"/>
          <w:numId w:val="16"/>
        </w:numPr>
        <w:tabs>
          <w:tab w:val="left" w:pos="780"/>
          <w:tab w:val="clear" w:pos="210"/>
        </w:tabs>
        <w:rPr>
          <w:highlight w:val="none"/>
        </w:rPr>
      </w:pPr>
      <w:r>
        <w:rPr>
          <w:highlight w:val="none"/>
        </w:rPr>
        <w:t>丙方为乙方上门收运提供必要的条件，包括进场道路、作业场地等</w:t>
      </w:r>
      <w:r>
        <w:rPr>
          <w:rFonts w:hint="eastAsia"/>
          <w:highlight w:val="none"/>
          <w:lang w:eastAsia="zh-CN"/>
        </w:rPr>
        <w:t>，</w:t>
      </w:r>
      <w:r>
        <w:rPr>
          <w:rFonts w:hint="eastAsia"/>
          <w:highlight w:val="none"/>
          <w:lang w:val="en-US" w:eastAsia="zh-CN"/>
        </w:rPr>
        <w:t>协助乙方装车</w:t>
      </w:r>
      <w:r>
        <w:rPr>
          <w:highlight w:val="none"/>
        </w:rPr>
        <w:t>。</w:t>
      </w:r>
    </w:p>
    <w:p w14:paraId="11ED4481">
      <w:pPr>
        <w:pStyle w:val="13"/>
        <w:numPr>
          <w:ilvl w:val="0"/>
          <w:numId w:val="16"/>
        </w:numPr>
        <w:tabs>
          <w:tab w:val="left" w:pos="780"/>
          <w:tab w:val="clear" w:pos="210"/>
        </w:tabs>
      </w:pPr>
      <w:r>
        <w:t>丙方承诺并保证提供给乙方的飞灰不出现下列异常情况：</w:t>
      </w:r>
    </w:p>
    <w:p w14:paraId="5D85B977">
      <w:pPr>
        <w:pStyle w:val="13"/>
        <w:numPr>
          <w:ilvl w:val="0"/>
          <w:numId w:val="17"/>
        </w:numPr>
        <w:tabs>
          <w:tab w:val="left" w:pos="720"/>
        </w:tabs>
        <w:ind w:left="0" w:firstLine="480"/>
        <w:rPr>
          <w:rFonts w:hint="eastAsia" w:ascii="宋体" w:hAnsi="宋体" w:cs="宋体"/>
        </w:rPr>
      </w:pPr>
      <w:r>
        <w:t>飞灰中存在未列入本合同附件的品种［特别是含有易爆物质、放射性物质、多氯联苯以及氰化物等剧毒物质的工业废物］；</w:t>
      </w:r>
    </w:p>
    <w:p w14:paraId="07956BE9">
      <w:pPr>
        <w:pStyle w:val="13"/>
        <w:numPr>
          <w:ilvl w:val="0"/>
          <w:numId w:val="17"/>
        </w:numPr>
        <w:tabs>
          <w:tab w:val="left" w:pos="720"/>
        </w:tabs>
        <w:ind w:left="0" w:firstLine="480"/>
        <w:rPr>
          <w:rFonts w:hint="eastAsia" w:ascii="宋体" w:hAnsi="宋体" w:cs="宋体"/>
        </w:rPr>
      </w:pPr>
      <w:r>
        <w:t>标识不规范或者错误；包装破损或者密封不严；</w:t>
      </w:r>
    </w:p>
    <w:p w14:paraId="1309DB1C">
      <w:pPr>
        <w:pStyle w:val="13"/>
        <w:numPr>
          <w:ilvl w:val="0"/>
          <w:numId w:val="17"/>
        </w:numPr>
        <w:tabs>
          <w:tab w:val="left" w:pos="720"/>
        </w:tabs>
        <w:ind w:left="0" w:firstLine="480"/>
        <w:rPr>
          <w:rFonts w:hint="eastAsia" w:ascii="宋体" w:hAnsi="宋体" w:cs="宋体"/>
        </w:rPr>
      </w:pPr>
      <w:r>
        <w:t>将飞灰与工业废物或非危险废物混合装入同一容器；</w:t>
      </w:r>
    </w:p>
    <w:p w14:paraId="243CA438">
      <w:pPr>
        <w:pStyle w:val="13"/>
        <w:numPr>
          <w:ilvl w:val="0"/>
          <w:numId w:val="17"/>
        </w:numPr>
        <w:tabs>
          <w:tab w:val="left" w:pos="720"/>
        </w:tabs>
        <w:ind w:left="0" w:firstLine="480"/>
        <w:rPr>
          <w:rFonts w:hint="eastAsia" w:ascii="宋体" w:hAnsi="宋体" w:cs="宋体"/>
        </w:rPr>
      </w:pPr>
      <w:r>
        <w:t>飞灰中存在未如实告知乙方的危险化学成分</w:t>
      </w:r>
      <w:r>
        <w:rPr>
          <w:rFonts w:hint="eastAsia"/>
          <w:lang w:eastAsia="zh-CN"/>
        </w:rPr>
        <w:t>。</w:t>
      </w:r>
    </w:p>
    <w:p w14:paraId="03C5A59E">
      <w:pPr>
        <w:pStyle w:val="13"/>
        <w:ind w:firstLine="480"/>
      </w:pPr>
      <w:bookmarkStart w:id="2" w:name="bookmark22"/>
      <w:r>
        <w:t>如出现以上任一情形的，乙方有权拒绝接收且无需承担任何责任及费用，造成乙方损失的，乙方有权向丙方要求赔偿。</w:t>
      </w:r>
    </w:p>
    <w:bookmarkEnd w:id="2"/>
    <w:p w14:paraId="6D232DD7">
      <w:pPr>
        <w:pStyle w:val="13"/>
        <w:numPr>
          <w:ilvl w:val="0"/>
          <w:numId w:val="16"/>
        </w:numPr>
        <w:tabs>
          <w:tab w:val="left" w:pos="780"/>
          <w:tab w:val="clear" w:pos="210"/>
        </w:tabs>
      </w:pPr>
      <w:r>
        <w:t>转移飞灰前，乙、丙双方应及时向环保部门进行网上申报，待审批结束后方可进行飞灰转移。</w:t>
      </w:r>
    </w:p>
    <w:p w14:paraId="4C8A562E">
      <w:pPr>
        <w:pStyle w:val="37"/>
        <w:numPr>
          <w:ilvl w:val="0"/>
          <w:numId w:val="14"/>
        </w:numPr>
        <w:tabs>
          <w:tab w:val="left" w:pos="963"/>
        </w:tabs>
        <w:ind w:firstLineChars="0"/>
        <w:rPr>
          <w:rFonts w:hint="eastAsia" w:ascii="宋体" w:hAnsi="宋体" w:cs="宋体"/>
        </w:rPr>
      </w:pPr>
      <w:r>
        <w:t xml:space="preserve">飞灰的计重  </w:t>
      </w:r>
    </w:p>
    <w:p w14:paraId="62BDACF7">
      <w:pPr>
        <w:pStyle w:val="13"/>
        <w:numPr>
          <w:ilvl w:val="0"/>
          <w:numId w:val="0"/>
        </w:numPr>
        <w:ind w:firstLine="480" w:firstLineChars="200"/>
      </w:pPr>
      <w:r>
        <w:t>飞灰的计重</w:t>
      </w:r>
      <w:r>
        <w:rPr>
          <w:rFonts w:hint="eastAsia"/>
        </w:rPr>
        <w:t>要求</w:t>
      </w:r>
      <w:r>
        <w:t>：在丙方厂区过磅称重，由丙方提供计重工具</w:t>
      </w:r>
      <w:r>
        <w:rPr>
          <w:rFonts w:hint="eastAsia"/>
        </w:rPr>
        <w:t>。丙方过磅数量作为甲方付款依据，乙方过磅数量，作为甲方核对依据。年度处置总量不超过通州区垃圾焚烧产生的飞灰量。</w:t>
      </w:r>
    </w:p>
    <w:p w14:paraId="7059374F">
      <w:pPr>
        <w:pStyle w:val="37"/>
        <w:numPr>
          <w:ilvl w:val="0"/>
          <w:numId w:val="14"/>
        </w:numPr>
        <w:tabs>
          <w:tab w:val="left" w:pos="963"/>
        </w:tabs>
        <w:ind w:firstLineChars="0"/>
        <w:rPr>
          <w:rFonts w:hint="eastAsia" w:ascii="宋体" w:hAnsi="宋体" w:cs="宋体"/>
        </w:rPr>
      </w:pPr>
      <w:r>
        <w:t>飞灰种类、数量以及收费凭证及转接责任</w:t>
      </w:r>
    </w:p>
    <w:p w14:paraId="13233938">
      <w:pPr>
        <w:pStyle w:val="13"/>
        <w:numPr>
          <w:ilvl w:val="0"/>
          <w:numId w:val="18"/>
        </w:numPr>
        <w:tabs>
          <w:tab w:val="left" w:pos="780"/>
          <w:tab w:val="clear" w:pos="210"/>
        </w:tabs>
      </w:pPr>
      <w:r>
        <w:t>乙、丙</w:t>
      </w:r>
      <w:r>
        <w:rPr>
          <w:rFonts w:hint="eastAsia"/>
        </w:rPr>
        <w:t>双</w:t>
      </w:r>
      <w:r>
        <w:t>方交接待处理飞灰时，必须认真申报网上《危险废物转移联单》的各项内容，该联单作为合同三方核对飞灰种类、数量以及</w:t>
      </w:r>
      <w:r>
        <w:rPr>
          <w:rFonts w:hint="eastAsia"/>
        </w:rPr>
        <w:t>付款</w:t>
      </w:r>
      <w:r>
        <w:t>的凭证。</w:t>
      </w:r>
    </w:p>
    <w:p w14:paraId="34C2C607">
      <w:pPr>
        <w:pStyle w:val="13"/>
        <w:numPr>
          <w:ilvl w:val="0"/>
          <w:numId w:val="18"/>
        </w:numPr>
        <w:tabs>
          <w:tab w:val="left" w:pos="780"/>
          <w:tab w:val="clear" w:pos="210"/>
        </w:tabs>
      </w:pPr>
      <w:r>
        <w:t>若发生意外或者事故，</w:t>
      </w:r>
      <w:r>
        <w:rPr>
          <w:rFonts w:hint="eastAsia"/>
          <w:lang w:val="en-US" w:eastAsia="zh-CN"/>
        </w:rPr>
        <w:t>在飞灰离开</w:t>
      </w:r>
      <w:r>
        <w:t>丙方</w:t>
      </w:r>
      <w:r>
        <w:rPr>
          <w:rFonts w:hint="eastAsia"/>
          <w:lang w:val="en-US" w:eastAsia="zh-CN"/>
        </w:rPr>
        <w:t>灰仓底部卸灰阀前</w:t>
      </w:r>
      <w:r>
        <w:t>，责任由丙方自行承担；</w:t>
      </w:r>
      <w:r>
        <w:rPr>
          <w:rFonts w:hint="eastAsia"/>
          <w:lang w:val="en-US" w:eastAsia="zh-CN"/>
        </w:rPr>
        <w:t>在飞灰离开</w:t>
      </w:r>
      <w:r>
        <w:t>丙方</w:t>
      </w:r>
      <w:r>
        <w:rPr>
          <w:rFonts w:hint="eastAsia"/>
          <w:lang w:val="en-US" w:eastAsia="zh-CN"/>
        </w:rPr>
        <w:t>灰仓底部卸灰阀后，</w:t>
      </w:r>
      <w:r>
        <w:t>责任由乙方自行承担，但如丙方故意隐瞒乙方收运人员或者将属于第三条第4款的任一异常工业废物装车或交付的生活垃圾焚烧飞灰不符合本合同规定或其他法律法规另有规定或本合同另有约定的除外。</w:t>
      </w:r>
    </w:p>
    <w:p w14:paraId="1397B19A">
      <w:pPr>
        <w:pStyle w:val="37"/>
        <w:numPr>
          <w:ilvl w:val="0"/>
          <w:numId w:val="14"/>
        </w:numPr>
        <w:tabs>
          <w:tab w:val="left" w:pos="963"/>
        </w:tabs>
        <w:ind w:firstLineChars="0"/>
        <w:rPr>
          <w:rFonts w:hint="eastAsia" w:ascii="宋体" w:hAnsi="宋体" w:cs="宋体"/>
        </w:rPr>
      </w:pPr>
      <w:r>
        <w:t>费用结算</w:t>
      </w:r>
    </w:p>
    <w:p w14:paraId="611177F7">
      <w:pPr>
        <w:pStyle w:val="13"/>
        <w:numPr>
          <w:ilvl w:val="0"/>
          <w:numId w:val="19"/>
        </w:numPr>
        <w:tabs>
          <w:tab w:val="left" w:pos="780"/>
          <w:tab w:val="clear" w:pos="210"/>
        </w:tabs>
      </w:pPr>
      <w:r>
        <w:t>合同价：</w:t>
      </w:r>
      <w:r>
        <w:rPr>
          <w:u w:val="single"/>
        </w:rPr>
        <w:t xml:space="preserve">   </w:t>
      </w:r>
      <w:r>
        <w:t>元/吨。</w:t>
      </w:r>
    </w:p>
    <w:p w14:paraId="249B6DDA">
      <w:pPr>
        <w:pStyle w:val="13"/>
        <w:numPr>
          <w:ilvl w:val="0"/>
          <w:numId w:val="19"/>
        </w:numPr>
        <w:tabs>
          <w:tab w:val="left" w:pos="780"/>
          <w:tab w:val="clear" w:pos="210"/>
        </w:tabs>
      </w:pPr>
      <w:r>
        <w:t>结算账户：</w:t>
      </w:r>
    </w:p>
    <w:p w14:paraId="4B69F7F5">
      <w:pPr>
        <w:pStyle w:val="13"/>
        <w:numPr>
          <w:ilvl w:val="0"/>
          <w:numId w:val="20"/>
        </w:numPr>
        <w:tabs>
          <w:tab w:val="left" w:pos="1080"/>
        </w:tabs>
        <w:rPr>
          <w:rFonts w:hint="eastAsia" w:ascii="宋体" w:hAnsi="宋体" w:cs="宋体"/>
          <w:color w:val="000000"/>
        </w:rPr>
      </w:pPr>
      <w:r>
        <w:rPr>
          <w:color w:val="000000"/>
        </w:rPr>
        <w:t>乙方收款单位名称：【    】</w:t>
      </w:r>
    </w:p>
    <w:p w14:paraId="1A421EDB">
      <w:pPr>
        <w:pStyle w:val="13"/>
        <w:numPr>
          <w:ilvl w:val="0"/>
          <w:numId w:val="20"/>
        </w:numPr>
        <w:tabs>
          <w:tab w:val="left" w:pos="1080"/>
        </w:tabs>
        <w:rPr>
          <w:rFonts w:hint="eastAsia" w:ascii="宋体" w:hAnsi="宋体" w:cs="宋体"/>
          <w:color w:val="000000"/>
        </w:rPr>
      </w:pPr>
      <w:r>
        <w:rPr>
          <w:color w:val="000000"/>
        </w:rPr>
        <w:t xml:space="preserve">乙方收款开户银行名称：【   】  </w:t>
      </w:r>
    </w:p>
    <w:p w14:paraId="4FB78D1B">
      <w:pPr>
        <w:pStyle w:val="13"/>
        <w:numPr>
          <w:ilvl w:val="0"/>
          <w:numId w:val="20"/>
        </w:numPr>
        <w:tabs>
          <w:tab w:val="left" w:pos="1080"/>
        </w:tabs>
        <w:rPr>
          <w:rFonts w:hint="eastAsia" w:ascii="宋体" w:hAnsi="宋体" w:cs="宋体"/>
          <w:color w:val="000000"/>
        </w:rPr>
      </w:pPr>
      <w:r>
        <w:rPr>
          <w:color w:val="000000"/>
        </w:rPr>
        <w:t>乙方收款银行账号：【   】</w:t>
      </w:r>
    </w:p>
    <w:p w14:paraId="2DC5C69C">
      <w:pPr>
        <w:pStyle w:val="13"/>
        <w:numPr>
          <w:ilvl w:val="0"/>
          <w:numId w:val="19"/>
        </w:numPr>
        <w:tabs>
          <w:tab w:val="left" w:pos="780"/>
          <w:tab w:val="clear" w:pos="210"/>
        </w:tabs>
        <w:ind w:firstLine="482"/>
      </w:pPr>
      <w:r>
        <w:rPr>
          <w:b/>
          <w:bCs/>
        </w:rPr>
        <w:t>每季度按实际处置量结算产生的处理费，乙方每季度首月5个工作日前将相关经三方核准盖章的对账单、《危险废物转移联单》等结算资料送达甲方，甲方应在5个工作日内确认，乙方在甲方确认后，按照国家相关法律法规向甲方开具相应增值税发票，甲方应在收到乙方开具的发票后</w:t>
      </w:r>
      <w:r>
        <w:rPr>
          <w:rFonts w:hint="eastAsia"/>
          <w:b/>
          <w:bCs/>
        </w:rPr>
        <w:t>2</w:t>
      </w:r>
      <w:r>
        <w:rPr>
          <w:b/>
          <w:bCs/>
        </w:rPr>
        <w:t>0个工作日内向乙方以银行汇款转账形式支付上季度的处置费用，若支付日为非工作日则顺延。以上价格为含处置、运</w:t>
      </w:r>
      <w:r>
        <w:t>输、税费、保险等一切费用按实结算。甲方将合同款项付至上述指定结算账户后方可确定甲方履行了本合同付款义务，乙方因自身原因导致账户汇款无法入账除外，否则视为甲方未履行付款义务，甲方应承担由此造成的一切损失。</w:t>
      </w:r>
    </w:p>
    <w:p w14:paraId="4AD455C2">
      <w:pPr>
        <w:pStyle w:val="37"/>
        <w:numPr>
          <w:ilvl w:val="0"/>
          <w:numId w:val="14"/>
        </w:numPr>
        <w:tabs>
          <w:tab w:val="left" w:pos="963"/>
        </w:tabs>
        <w:ind w:firstLineChars="0"/>
        <w:rPr>
          <w:rFonts w:hint="eastAsia" w:ascii="宋体" w:hAnsi="宋体" w:cs="宋体"/>
        </w:rPr>
      </w:pPr>
      <w:r>
        <w:rPr>
          <w:rFonts w:hint="eastAsia" w:ascii="宋体" w:hAnsi="宋体" w:cs="宋体"/>
        </w:rPr>
        <w:t>履约保证金：免收。</w:t>
      </w:r>
    </w:p>
    <w:p w14:paraId="0A8ADDB9">
      <w:pPr>
        <w:pStyle w:val="37"/>
        <w:numPr>
          <w:ilvl w:val="0"/>
          <w:numId w:val="14"/>
        </w:numPr>
        <w:tabs>
          <w:tab w:val="left" w:pos="963"/>
        </w:tabs>
        <w:ind w:firstLineChars="0"/>
        <w:rPr>
          <w:rFonts w:hint="eastAsia" w:ascii="宋体" w:hAnsi="宋体" w:cs="宋体"/>
        </w:rPr>
      </w:pPr>
      <w:r>
        <w:t>不可抗力</w:t>
      </w:r>
    </w:p>
    <w:p w14:paraId="42721858">
      <w:pPr>
        <w:pStyle w:val="13"/>
        <w:ind w:firstLine="480"/>
      </w:pPr>
      <w:r>
        <w:t>在合同有效期内，因发生不可抗力事件（是指合同订立时不能预见、不能避免并不能克服的客观情况，包括自然灾害、台风、地震、洪水、冰雹；政府行为，如征收、征用；社会异常事件，如罢工、骚乱）导致本合同不能履行时，受到不可抗力影响的一方应在不可抗力事件发生之后三日内，向对方书面通知不能履行或者需要延期履行、部分履行的理由，并</w:t>
      </w:r>
      <w:bookmarkStart w:id="3" w:name="_Hlk6318873"/>
      <w:r>
        <w:t>提供有关证明</w:t>
      </w:r>
      <w:bookmarkEnd w:id="3"/>
      <w:r>
        <w:t>。在取得相关证明之后，主张受到不可抗力影响的一方可以不履行或者延期履行、部分履行本合同，并免予承担违约责任。</w:t>
      </w:r>
    </w:p>
    <w:p w14:paraId="67B3DCC7">
      <w:pPr>
        <w:pStyle w:val="37"/>
        <w:numPr>
          <w:ilvl w:val="0"/>
          <w:numId w:val="14"/>
        </w:numPr>
        <w:tabs>
          <w:tab w:val="left" w:pos="963"/>
        </w:tabs>
        <w:ind w:firstLineChars="0"/>
        <w:rPr>
          <w:rFonts w:hint="eastAsia" w:ascii="宋体" w:hAnsi="宋体" w:cs="宋体"/>
        </w:rPr>
      </w:pPr>
      <w:r>
        <w:t>法律适用及争议解决</w:t>
      </w:r>
    </w:p>
    <w:p w14:paraId="71A69E9F">
      <w:pPr>
        <w:pStyle w:val="13"/>
        <w:numPr>
          <w:ilvl w:val="0"/>
          <w:numId w:val="21"/>
        </w:numPr>
        <w:tabs>
          <w:tab w:val="left" w:pos="780"/>
          <w:tab w:val="clear" w:pos="210"/>
        </w:tabs>
      </w:pPr>
      <w:r>
        <w:rPr>
          <w:color w:val="000000"/>
        </w:rPr>
        <w:t>本合同的订立、效力、解释、履行和争议的解决均适用中华人民共和国法律。</w:t>
      </w:r>
    </w:p>
    <w:p w14:paraId="7ADF5FBC">
      <w:pPr>
        <w:pStyle w:val="13"/>
        <w:numPr>
          <w:ilvl w:val="0"/>
          <w:numId w:val="21"/>
        </w:numPr>
        <w:tabs>
          <w:tab w:val="left" w:pos="780"/>
          <w:tab w:val="clear" w:pos="210"/>
        </w:tabs>
      </w:pPr>
      <w:r>
        <w:t>就本合同履行发生的任何争议，甲、乙、丙三方先应友好协商解决；</w:t>
      </w:r>
      <w:r>
        <w:rPr>
          <w:color w:val="000000"/>
        </w:rPr>
        <w:t>协商不成时，三方一致同意提交乙方所在地人民法院提起诉讼解决。</w:t>
      </w:r>
      <w:r>
        <w:t>争议败诉方承担与争议有关的诉讼费、调查费、公证费、律师费及守约方实现债权的其他费用等。</w:t>
      </w:r>
    </w:p>
    <w:p w14:paraId="467A8CD6">
      <w:pPr>
        <w:pStyle w:val="37"/>
        <w:numPr>
          <w:ilvl w:val="0"/>
          <w:numId w:val="14"/>
        </w:numPr>
        <w:tabs>
          <w:tab w:val="left" w:pos="963"/>
        </w:tabs>
        <w:ind w:firstLineChars="0"/>
        <w:rPr>
          <w:rFonts w:hint="eastAsia" w:ascii="宋体" w:hAnsi="宋体" w:cs="宋体"/>
        </w:rPr>
      </w:pPr>
      <w:r>
        <w:t>保密条款</w:t>
      </w:r>
    </w:p>
    <w:p w14:paraId="2CB436C1">
      <w:pPr>
        <w:pStyle w:val="13"/>
        <w:numPr>
          <w:ilvl w:val="0"/>
          <w:numId w:val="22"/>
        </w:numPr>
        <w:tabs>
          <w:tab w:val="left" w:pos="780"/>
          <w:tab w:val="clear" w:pos="210"/>
        </w:tabs>
      </w:pPr>
      <w:r>
        <w:t>合同三方在本协议签署及履行过程中所知悉的与本合同及其附件有关及/或任一方的技术秘密以及商业秘密有义务进行保密，非因法律法规另有规定、监管部门另有要求或履行本合同项需要，任何一方不得向任何第三方泄露。如有违反，违约方应承担相应的违约责任。</w:t>
      </w:r>
    </w:p>
    <w:p w14:paraId="5A85ED63">
      <w:pPr>
        <w:pStyle w:val="13"/>
        <w:numPr>
          <w:ilvl w:val="0"/>
          <w:numId w:val="22"/>
        </w:numPr>
        <w:tabs>
          <w:tab w:val="left" w:pos="780"/>
          <w:tab w:val="clear" w:pos="210"/>
        </w:tabs>
      </w:pPr>
      <w:r>
        <w:t>本保密义务应在本合同期满、解除或终止后仍然有效。</w:t>
      </w:r>
    </w:p>
    <w:p w14:paraId="7BC4125B">
      <w:pPr>
        <w:pStyle w:val="37"/>
        <w:numPr>
          <w:ilvl w:val="0"/>
          <w:numId w:val="14"/>
        </w:numPr>
        <w:tabs>
          <w:tab w:val="left" w:pos="963"/>
        </w:tabs>
        <w:ind w:firstLineChars="0"/>
        <w:rPr>
          <w:rFonts w:hint="eastAsia" w:ascii="宋体" w:hAnsi="宋体" w:cs="宋体"/>
        </w:rPr>
      </w:pPr>
      <w:r>
        <w:t>廉洁条款</w:t>
      </w:r>
    </w:p>
    <w:p w14:paraId="1D6A5D3D">
      <w:pPr>
        <w:pStyle w:val="13"/>
        <w:ind w:firstLine="480"/>
      </w:pPr>
      <w:r>
        <w:t>合同任何一方在本合同履行过程中不得以任何名义向对方的有关工作人员</w:t>
      </w:r>
      <w:bookmarkStart w:id="4" w:name="_Hlk6319068"/>
      <w:r>
        <w:t>或其亲属</w:t>
      </w:r>
      <w:bookmarkEnd w:id="4"/>
      <w:r>
        <w:t>赠送钱财、物品或输送利益；</w:t>
      </w:r>
    </w:p>
    <w:p w14:paraId="1A630C98">
      <w:pPr>
        <w:pStyle w:val="37"/>
        <w:numPr>
          <w:ilvl w:val="0"/>
          <w:numId w:val="14"/>
        </w:numPr>
        <w:tabs>
          <w:tab w:val="left" w:pos="963"/>
        </w:tabs>
        <w:ind w:firstLineChars="0"/>
        <w:rPr>
          <w:rFonts w:hint="eastAsia" w:ascii="宋体" w:hAnsi="宋体" w:cs="宋体"/>
        </w:rPr>
      </w:pPr>
      <w:r>
        <w:t>违约责任</w:t>
      </w:r>
    </w:p>
    <w:p w14:paraId="30F4B1B9">
      <w:pPr>
        <w:pStyle w:val="13"/>
        <w:numPr>
          <w:ilvl w:val="0"/>
          <w:numId w:val="23"/>
        </w:numPr>
        <w:tabs>
          <w:tab w:val="left" w:pos="780"/>
          <w:tab w:val="clear" w:pos="210"/>
        </w:tabs>
      </w:pPr>
      <w:r>
        <w:t>合同任一方违反本合同的规定，守约方有权要求违约方停止并纠正违约行为，经守约方提出纠正后在10个工作日内仍未予以改正的，守约方有权单方解除本合同，造成守约方经济以及其他方面损失的，违约方应予以全面、足额、及时、有效的赔偿。</w:t>
      </w:r>
    </w:p>
    <w:p w14:paraId="3380A5FC">
      <w:pPr>
        <w:pStyle w:val="13"/>
        <w:numPr>
          <w:ilvl w:val="0"/>
          <w:numId w:val="23"/>
        </w:numPr>
        <w:tabs>
          <w:tab w:val="left" w:pos="780"/>
          <w:tab w:val="clear" w:pos="210"/>
        </w:tabs>
      </w:pPr>
      <w:r>
        <w:t>合同任一方无正当理由撤销或者解除合同，造成合同对方损失的，违约方应赔偿守约方由此造成的所有损失。</w:t>
      </w:r>
    </w:p>
    <w:p w14:paraId="0DA10B57">
      <w:pPr>
        <w:pStyle w:val="13"/>
        <w:numPr>
          <w:ilvl w:val="0"/>
          <w:numId w:val="23"/>
        </w:numPr>
        <w:tabs>
          <w:tab w:val="left" w:pos="780"/>
          <w:tab w:val="clear" w:pos="210"/>
        </w:tabs>
      </w:pPr>
      <w:r>
        <w:t>丙方所交付的飞灰不符合本合同规定的，乙方有权拒绝接收且不承担任何责任及费用。</w:t>
      </w:r>
    </w:p>
    <w:p w14:paraId="7A49DA68">
      <w:pPr>
        <w:pStyle w:val="13"/>
        <w:numPr>
          <w:ilvl w:val="0"/>
          <w:numId w:val="23"/>
        </w:numPr>
        <w:tabs>
          <w:tab w:val="left" w:pos="780"/>
          <w:tab w:val="clear" w:pos="210"/>
        </w:tabs>
      </w:pPr>
      <w:r>
        <w:t>若丙方故意隐瞒乙方收运人员或者将属于异常飞灰装车，由此造成乙方运输、处理飞灰时岀现困难、发生事故或损失的，乙方有权要求丙方赔偿由此造成的所有损失（包括分析检测费、处理工艺研究费、飞灰处理费、事故处理费等）并承担相应法律责任，乙方有权根据《中华人民共和国环境保护法》以及其他环境保护法律法规规定上报环境保护行政主管部门，追究丙方和丙方相关人员的法律责任。</w:t>
      </w:r>
    </w:p>
    <w:p w14:paraId="1C16B97C">
      <w:pPr>
        <w:pStyle w:val="37"/>
        <w:tabs>
          <w:tab w:val="left" w:pos="963"/>
        </w:tabs>
        <w:ind w:firstLine="482"/>
        <w:rPr>
          <w:rFonts w:hint="eastAsia" w:ascii="宋体" w:hAnsi="宋体" w:cs="宋体"/>
        </w:rPr>
      </w:pPr>
      <w:r>
        <w:rPr>
          <w:rFonts w:hint="eastAsia" w:ascii="宋体" w:hAnsi="宋体" w:cs="宋体"/>
        </w:rPr>
        <w:t>5. 乙方违约责任</w:t>
      </w:r>
    </w:p>
    <w:p w14:paraId="4FA9D9B8">
      <w:pPr>
        <w:spacing w:line="360" w:lineRule="auto"/>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5.1.逾期运输、处置的违约责任</w:t>
      </w:r>
    </w:p>
    <w:p w14:paraId="5A9D2539">
      <w:pPr>
        <w:spacing w:line="360" w:lineRule="auto"/>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乙方未按三方商议的计划及时清运飞灰且无正当理由拒绝接收丙方预约的，每发生一次，应向甲方支付违约金人民币贰万元整（¥20,000.00）。若因此导致丙方厂内飞灰积压，乙方还需承担甲方、丙方因此产生的替代处置费用差额、仓储超标风险处置费等全部损失。</w:t>
      </w:r>
    </w:p>
    <w:p w14:paraId="055655E6">
      <w:pPr>
        <w:spacing w:line="360" w:lineRule="auto"/>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5.2.拒绝接收飞灰导致合同解除的责任</w:t>
      </w:r>
    </w:p>
    <w:p w14:paraId="57314D17">
      <w:pPr>
        <w:spacing w:line="360" w:lineRule="auto"/>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在一个合同年度内，乙方无正当理由累计超过3次无法为甲方提供处置服务的，视为乙方根本违约。甲方有权单方解除合同，乙方须向甲方支付违约金贰拾万元整（¥200,000），并赔偿甲方重新采购所产生的全部费用及差价损失。</w:t>
      </w:r>
    </w:p>
    <w:p w14:paraId="711DE60A">
      <w:pPr>
        <w:spacing w:line="360" w:lineRule="auto"/>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5.3.非法处置与转包的违约责任</w:t>
      </w:r>
    </w:p>
    <w:p w14:paraId="7204DDDB">
      <w:pPr>
        <w:spacing w:line="360" w:lineRule="auto"/>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严禁乙方将收集的飞灰及处置副产物进行非法转移、非法填埋，或未经甲方书面同意将本协议项下义务转包、分包给第三方。一经查实，甲方有权立即单方解除合同，乙方须向甲方支付人民币壹佰万元整（¥1,000,000.00）的违约金，并全额赔偿因此造成的环境污染修复费用、行政处罚罚款及甲方的一切损失。</w:t>
      </w:r>
    </w:p>
    <w:p w14:paraId="6BD28E59">
      <w:pPr>
        <w:spacing w:line="360" w:lineRule="auto"/>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5.5违约金扣除方式</w:t>
      </w:r>
    </w:p>
    <w:p w14:paraId="4240518F">
      <w:pPr>
        <w:spacing w:line="360" w:lineRule="auto"/>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依据本条款产生的全部违约金，甲方有权直接从应付乙方的季度处置服务费中直接抵扣。当期费用不足以抵扣的，甲方有权在后续任何一笔应付款项中继续抵扣，乙方应在接到抵扣通知后3个工作日内补足差额。</w:t>
      </w:r>
    </w:p>
    <w:p w14:paraId="5864DB8E">
      <w:pPr>
        <w:spacing w:line="360" w:lineRule="auto"/>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5.6 责任并行原则</w:t>
      </w:r>
    </w:p>
    <w:p w14:paraId="000AE732">
      <w:pPr>
        <w:spacing w:line="360" w:lineRule="auto"/>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本条款约定的违约金是独立于实际损失的惩罚性措施。违约金不足以弥补甲方、丙方及第三方实际损失（包括但不限于环境修复费、行政处罚款、诉讼费、律师费、重新采购成本等）的，乙方仍应就不足部分继续承担全额赔偿责任。</w:t>
      </w:r>
    </w:p>
    <w:p w14:paraId="08AA5F4D">
      <w:pPr>
        <w:pStyle w:val="37"/>
        <w:numPr>
          <w:ilvl w:val="0"/>
          <w:numId w:val="14"/>
        </w:numPr>
        <w:tabs>
          <w:tab w:val="left" w:pos="963"/>
        </w:tabs>
        <w:ind w:firstLineChars="0"/>
        <w:rPr>
          <w:rFonts w:hint="eastAsia" w:ascii="宋体" w:hAnsi="宋体" w:cs="宋体"/>
        </w:rPr>
      </w:pPr>
      <w:r>
        <w:t>合同其他事宜</w:t>
      </w:r>
    </w:p>
    <w:p w14:paraId="59B2B02B">
      <w:pPr>
        <w:pStyle w:val="13"/>
        <w:numPr>
          <w:ilvl w:val="0"/>
          <w:numId w:val="24"/>
        </w:numPr>
        <w:tabs>
          <w:tab w:val="left" w:pos="780"/>
          <w:tab w:val="clear" w:pos="210"/>
        </w:tabs>
      </w:pPr>
      <w:r>
        <w:t>本合同有效期暂定一年。</w:t>
      </w:r>
      <w:r>
        <w:rPr>
          <w:rFonts w:hint="eastAsia"/>
        </w:rPr>
        <w:t>第一年</w:t>
      </w:r>
      <w:r>
        <w:t>本合同有效期为从【 】年【 】月【 】日起至【 】年【 】月【 】日止。注：本次项目为一次招标，三年沿用，合同一年一签，在上一年度</w:t>
      </w:r>
      <w:r>
        <w:rPr>
          <w:rFonts w:hint="eastAsia"/>
        </w:rPr>
        <w:t>履约良好</w:t>
      </w:r>
      <w:r>
        <w:t>且符合《政府购买服务管理办法》第二十四条的情况下，经双方协商，可续签下一年合同，最多续签两次。</w:t>
      </w:r>
    </w:p>
    <w:p w14:paraId="630B69CD">
      <w:pPr>
        <w:pStyle w:val="13"/>
        <w:numPr>
          <w:ilvl w:val="0"/>
          <w:numId w:val="24"/>
        </w:numPr>
        <w:tabs>
          <w:tab w:val="left" w:pos="780"/>
          <w:tab w:val="clear" w:pos="210"/>
        </w:tabs>
      </w:pPr>
      <w:bookmarkStart w:id="5" w:name="_Hlk6318910"/>
      <w:r>
        <w:t>本合同未尽事宜，由三方协商解决或另行签订书面补充协议，补充协议与本合同具有同等法律效力，补充协议与本合同约定不一致的，以补充协议的约定为准。</w:t>
      </w:r>
      <w:bookmarkEnd w:id="5"/>
    </w:p>
    <w:p w14:paraId="5AB802F6">
      <w:pPr>
        <w:pStyle w:val="13"/>
        <w:numPr>
          <w:ilvl w:val="0"/>
          <w:numId w:val="24"/>
        </w:numPr>
        <w:tabs>
          <w:tab w:val="left" w:pos="780"/>
          <w:tab w:val="clear" w:pos="210"/>
        </w:tabs>
      </w:pPr>
      <w:r>
        <w:t>本合同一式陆份，甲方持贰份，乙方持叁份，丙方持壹份。</w:t>
      </w:r>
    </w:p>
    <w:p w14:paraId="23BC909D">
      <w:pPr>
        <w:pStyle w:val="13"/>
        <w:numPr>
          <w:ilvl w:val="0"/>
          <w:numId w:val="24"/>
        </w:numPr>
        <w:tabs>
          <w:tab w:val="left" w:pos="780"/>
          <w:tab w:val="clear" w:pos="210"/>
        </w:tabs>
      </w:pPr>
      <w:r>
        <w:t>本合同经甲、乙、丙三方加盖各自公章或业务专用章之日起正式生效。</w:t>
      </w:r>
    </w:p>
    <w:p w14:paraId="573267CD">
      <w:pPr>
        <w:pStyle w:val="13"/>
        <w:numPr>
          <w:ilvl w:val="0"/>
          <w:numId w:val="24"/>
        </w:numPr>
        <w:tabs>
          <w:tab w:val="left" w:pos="780"/>
          <w:tab w:val="clear" w:pos="210"/>
        </w:tabs>
      </w:pPr>
      <w:r>
        <w:t>本合同附件《飞灰处理处置报价单》、《飞灰清单》，为本合同有效组成部分，与本合同具有同等法律效力。除另有约定外，就同一事项，本合同附件与本合同约定不一致的，以附件约定为准。</w:t>
      </w:r>
    </w:p>
    <w:p w14:paraId="5EF17416">
      <w:pPr>
        <w:pStyle w:val="13"/>
        <w:ind w:firstLine="482"/>
        <w:rPr>
          <w:b/>
        </w:rPr>
      </w:pPr>
      <w:r>
        <w:rPr>
          <w:b/>
        </w:rPr>
        <w:t>【以下无正文，仅供盖章确认】</w:t>
      </w:r>
    </w:p>
    <w:p w14:paraId="38DE580A">
      <w:pPr>
        <w:spacing w:after="120" w:line="360" w:lineRule="auto"/>
        <w:ind w:left="480"/>
        <w:rPr>
          <w:rFonts w:ascii="Times New Roman" w:hAnsi="Times New Roman" w:eastAsia="宋体" w:cs="Times New Roman"/>
          <w:sz w:val="24"/>
          <w:u w:val="single"/>
        </w:rPr>
      </w:pPr>
      <w:r>
        <w:rPr>
          <w:rFonts w:hint="eastAsia" w:ascii="Times New Roman" w:hAnsi="Times New Roman" w:eastAsia="宋体" w:cs="Times New Roman"/>
          <w:sz w:val="24"/>
        </w:rPr>
        <w:t xml:space="preserve">甲方盖章：                  乙方盖章：             丙方盖章：                                              </w:t>
      </w:r>
    </w:p>
    <w:p w14:paraId="2ABE5120">
      <w:pPr>
        <w:spacing w:after="120" w:line="360" w:lineRule="auto"/>
        <w:ind w:left="480" w:right="420"/>
        <w:rPr>
          <w:rFonts w:ascii="Times New Roman" w:hAnsi="Times New Roman" w:eastAsia="宋体" w:cs="Times New Roman"/>
          <w:sz w:val="24"/>
        </w:rPr>
      </w:pPr>
      <w:r>
        <w:rPr>
          <w:rFonts w:hint="eastAsia" w:ascii="Times New Roman" w:hAnsi="Times New Roman" w:eastAsia="宋体" w:cs="Times New Roman"/>
          <w:sz w:val="24"/>
        </w:rPr>
        <w:t>代表签字：                  代表签字：             代表签字：</w:t>
      </w:r>
    </w:p>
    <w:p w14:paraId="2CD2B012">
      <w:pPr>
        <w:spacing w:after="120" w:line="360" w:lineRule="auto"/>
        <w:ind w:left="480" w:right="420"/>
        <w:rPr>
          <w:rFonts w:ascii="Times New Roman" w:hAnsi="Times New Roman" w:eastAsia="宋体" w:cs="Times New Roman"/>
          <w:sz w:val="24"/>
        </w:rPr>
      </w:pPr>
      <w:r>
        <w:rPr>
          <w:rFonts w:hint="eastAsia" w:ascii="Times New Roman" w:hAnsi="Times New Roman" w:eastAsia="宋体" w:cs="Times New Roman"/>
          <w:sz w:val="24"/>
        </w:rPr>
        <w:t>业务联系人：</w:t>
      </w:r>
      <w:r>
        <w:rPr>
          <w:rFonts w:hint="eastAsia" w:ascii="Times New Roman" w:hAnsi="Times New Roman" w:eastAsia="宋体" w:cs="Times New Roman"/>
          <w:color w:val="000000"/>
          <w:sz w:val="24"/>
        </w:rPr>
        <w:t xml:space="preserve">                </w:t>
      </w:r>
      <w:r>
        <w:rPr>
          <w:rFonts w:hint="eastAsia" w:ascii="Times New Roman" w:hAnsi="Times New Roman" w:eastAsia="宋体" w:cs="Times New Roman"/>
          <w:sz w:val="24"/>
        </w:rPr>
        <w:t>收运联系人：           收运联系人：</w:t>
      </w:r>
    </w:p>
    <w:p w14:paraId="712EC8F9">
      <w:pPr>
        <w:spacing w:after="120" w:afterAutospacing="0" w:line="360" w:lineRule="auto"/>
        <w:ind w:right="-147" w:rightChars="-70"/>
        <w:rPr>
          <w:rFonts w:hint="eastAsia" w:ascii="Times New Roman" w:hAnsi="Times New Roman" w:eastAsia="宋体" w:cs="Times New Roman"/>
          <w:sz w:val="24"/>
          <w:highlight w:val="none"/>
        </w:rPr>
      </w:pPr>
      <w:r>
        <w:rPr>
          <w:rFonts w:hint="eastAsia" w:ascii="Times New Roman" w:hAnsi="Times New Roman" w:eastAsia="宋体" w:cs="Times New Roman"/>
          <w:sz w:val="24"/>
        </w:rPr>
        <w:t>日期：                      日期：                  日期：</w:t>
      </w:r>
      <w:r>
        <w:rPr>
          <w:rFonts w:hint="eastAsia" w:ascii="Times New Roman" w:hAnsi="Times New Roman" w:eastAsia="宋体" w:cs="Times New Roman"/>
          <w:sz w:val="24"/>
          <w:highlight w:val="none"/>
        </w:rPr>
        <w:t xml:space="preserve">                                                                  </w:t>
      </w:r>
    </w:p>
    <w:bookmarkEnd w:id="1"/>
    <w:p w14:paraId="2CFB6BA6">
      <w:pPr>
        <w:rPr>
          <w:rFonts w:hint="eastAsia" w:ascii="宋体" w:hAnsi="宋体" w:eastAsia="宋体" w:cs="宋体"/>
          <w:b/>
          <w:sz w:val="44"/>
          <w:szCs w:val="44"/>
          <w:highlight w:val="none"/>
        </w:rPr>
      </w:pPr>
    </w:p>
    <w:p w14:paraId="6F4198E5">
      <w:pPr>
        <w:rPr>
          <w:rFonts w:hint="eastAsia"/>
          <w:sz w:val="36"/>
          <w:szCs w:val="36"/>
          <w:highlight w:val="none"/>
        </w:rPr>
      </w:pPr>
      <w:r>
        <w:rPr>
          <w:rFonts w:hint="eastAsia"/>
          <w:sz w:val="36"/>
          <w:szCs w:val="36"/>
          <w:highlight w:val="none"/>
        </w:rPr>
        <w:br w:type="page"/>
      </w:r>
    </w:p>
    <w:p w14:paraId="36E2144B">
      <w:pPr>
        <w:keepNext w:val="0"/>
        <w:keepLines w:val="0"/>
        <w:pageBreakBefore w:val="0"/>
        <w:widowControl w:val="0"/>
        <w:kinsoku/>
        <w:wordWrap/>
        <w:overflowPunct/>
        <w:topLinePunct w:val="0"/>
        <w:autoSpaceDE/>
        <w:autoSpaceDN/>
        <w:bidi w:val="0"/>
        <w:adjustRightInd/>
        <w:snapToGrid/>
        <w:spacing w:line="360" w:lineRule="auto"/>
        <w:ind w:firstLine="720" w:firstLineChars="200"/>
        <w:jc w:val="center"/>
        <w:textAlignment w:val="auto"/>
        <w:rPr>
          <w:rFonts w:hint="eastAsia"/>
          <w:sz w:val="36"/>
          <w:szCs w:val="36"/>
          <w:highlight w:val="none"/>
        </w:rPr>
      </w:pPr>
      <w:r>
        <w:rPr>
          <w:rFonts w:hint="eastAsia"/>
          <w:sz w:val="36"/>
          <w:szCs w:val="36"/>
          <w:highlight w:val="none"/>
        </w:rPr>
        <w:t>履约验收条款</w:t>
      </w:r>
    </w:p>
    <w:p w14:paraId="1A79C5C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highlight w:val="none"/>
        </w:rPr>
      </w:pPr>
      <w:r>
        <w:rPr>
          <w:rFonts w:hint="eastAsia"/>
          <w:sz w:val="24"/>
          <w:szCs w:val="24"/>
          <w:highlight w:val="none"/>
        </w:rPr>
        <w:t>一、验收主体与方式</w:t>
      </w:r>
    </w:p>
    <w:p w14:paraId="42FE87A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highlight w:val="none"/>
        </w:rPr>
      </w:pPr>
      <w:r>
        <w:rPr>
          <w:rFonts w:hint="eastAsia"/>
          <w:sz w:val="24"/>
          <w:szCs w:val="24"/>
          <w:highlight w:val="none"/>
        </w:rPr>
        <w:t>1. 验收主体：甲方（南通市通州区城市管理局）负责组织实施。</w:t>
      </w:r>
    </w:p>
    <w:p w14:paraId="0D23B82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highlight w:val="none"/>
        </w:rPr>
      </w:pPr>
      <w:r>
        <w:rPr>
          <w:rFonts w:hint="eastAsia"/>
          <w:sz w:val="24"/>
          <w:szCs w:val="24"/>
          <w:highlight w:val="none"/>
        </w:rPr>
        <w:t>2. 验收方式：采用日常抽查、季度综合验收与年度总体验收相结合的模式。</w:t>
      </w:r>
    </w:p>
    <w:p w14:paraId="6B207A6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highlight w:val="none"/>
        </w:rPr>
      </w:pPr>
      <w:r>
        <w:rPr>
          <w:rFonts w:hint="eastAsia"/>
          <w:sz w:val="24"/>
          <w:szCs w:val="24"/>
          <w:highlight w:val="none"/>
        </w:rPr>
        <w:t>（1）日常抽查：甲方有权不定期检查运输车辆、暂存场所、生产线及台账，乙方须全力配合。</w:t>
      </w:r>
    </w:p>
    <w:p w14:paraId="55E79FF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highlight w:val="none"/>
        </w:rPr>
      </w:pPr>
      <w:r>
        <w:rPr>
          <w:rFonts w:hint="eastAsia"/>
          <w:sz w:val="24"/>
          <w:szCs w:val="24"/>
          <w:highlight w:val="none"/>
        </w:rPr>
        <w:t>（2）季度综合验收：每季度末</w:t>
      </w:r>
      <w:r>
        <w:rPr>
          <w:rFonts w:hint="eastAsia"/>
          <w:sz w:val="24"/>
          <w:szCs w:val="24"/>
          <w:highlight w:val="none"/>
          <w:lang w:val="en-US" w:eastAsia="zh-CN"/>
        </w:rPr>
        <w:t>统计</w:t>
      </w:r>
      <w:r>
        <w:rPr>
          <w:rFonts w:hint="eastAsia"/>
          <w:sz w:val="24"/>
          <w:szCs w:val="24"/>
          <w:highlight w:val="none"/>
        </w:rPr>
        <w:t>处置量，结合抽查情况进行评定。</w:t>
      </w:r>
    </w:p>
    <w:p w14:paraId="28B7558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highlight w:val="none"/>
        </w:rPr>
      </w:pPr>
      <w:r>
        <w:rPr>
          <w:rFonts w:hint="eastAsia"/>
          <w:sz w:val="24"/>
          <w:szCs w:val="24"/>
          <w:highlight w:val="none"/>
        </w:rPr>
        <w:t>（3）年度总体验收：合同年度届满前30日进行，作为续签依据。</w:t>
      </w:r>
    </w:p>
    <w:p w14:paraId="652E232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highlight w:val="none"/>
        </w:rPr>
      </w:pPr>
      <w:r>
        <w:rPr>
          <w:rFonts w:hint="eastAsia"/>
          <w:sz w:val="24"/>
          <w:szCs w:val="24"/>
          <w:highlight w:val="none"/>
        </w:rPr>
        <w:t>二、验收内容与核心标准</w:t>
      </w:r>
    </w:p>
    <w:p w14:paraId="642DB71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highlight w:val="none"/>
        </w:rPr>
      </w:pPr>
      <w:r>
        <w:rPr>
          <w:rFonts w:hint="eastAsia"/>
          <w:sz w:val="24"/>
          <w:szCs w:val="24"/>
          <w:highlight w:val="none"/>
        </w:rPr>
        <w:t>1. 运输接收：按计划及时清运，车辆及人员具备危货运输资质，无抛洒泄漏。</w:t>
      </w:r>
    </w:p>
    <w:p w14:paraId="35A09DC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highlight w:val="none"/>
        </w:rPr>
      </w:pPr>
      <w:r>
        <w:rPr>
          <w:rFonts w:hint="eastAsia"/>
          <w:sz w:val="24"/>
          <w:szCs w:val="24"/>
          <w:highlight w:val="none"/>
        </w:rPr>
        <w:t>2. 暂存环节：场所符合《危险废物贮存污染控制标准》(GB 18597-2023)，标识清晰，无超期混存。</w:t>
      </w:r>
    </w:p>
    <w:p w14:paraId="0A3C0EC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highlight w:val="none"/>
        </w:rPr>
      </w:pPr>
      <w:r>
        <w:rPr>
          <w:rFonts w:hint="eastAsia"/>
          <w:sz w:val="24"/>
          <w:szCs w:val="24"/>
          <w:highlight w:val="none"/>
        </w:rPr>
        <w:t>3. 资源化利用：采用</w:t>
      </w:r>
      <w:r>
        <w:rPr>
          <w:rFonts w:hint="eastAsia"/>
          <w:sz w:val="24"/>
          <w:szCs w:val="24"/>
          <w:highlight w:val="none"/>
          <w:lang w:val="en-US" w:eastAsia="zh-CN"/>
        </w:rPr>
        <w:t>环保部门</w:t>
      </w:r>
      <w:r>
        <w:rPr>
          <w:rFonts w:hint="eastAsia"/>
          <w:sz w:val="24"/>
          <w:szCs w:val="24"/>
          <w:highlight w:val="none"/>
        </w:rPr>
        <w:t>认可</w:t>
      </w:r>
      <w:r>
        <w:rPr>
          <w:rFonts w:hint="eastAsia"/>
          <w:sz w:val="24"/>
          <w:szCs w:val="24"/>
          <w:highlight w:val="none"/>
          <w:lang w:eastAsia="zh-CN"/>
        </w:rPr>
        <w:t>的</w:t>
      </w:r>
      <w:r>
        <w:rPr>
          <w:rFonts w:hint="eastAsia"/>
          <w:sz w:val="24"/>
          <w:szCs w:val="24"/>
          <w:highlight w:val="none"/>
          <w:lang w:val="en-US" w:eastAsia="zh-CN"/>
        </w:rPr>
        <w:t>资源化处置</w:t>
      </w:r>
      <w:r>
        <w:rPr>
          <w:rFonts w:hint="eastAsia"/>
          <w:sz w:val="24"/>
          <w:szCs w:val="24"/>
          <w:highlight w:val="none"/>
        </w:rPr>
        <w:t>工艺，严禁变相填埋。</w:t>
      </w:r>
    </w:p>
    <w:p w14:paraId="777EFAE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highlight w:val="none"/>
        </w:rPr>
      </w:pPr>
      <w:r>
        <w:rPr>
          <w:rFonts w:hint="eastAsia"/>
          <w:sz w:val="24"/>
          <w:szCs w:val="24"/>
          <w:highlight w:val="none"/>
        </w:rPr>
        <w:t>4. 台账档案：转移联单、处置记录完整。</w:t>
      </w:r>
    </w:p>
    <w:p w14:paraId="456FF02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highlight w:val="none"/>
        </w:rPr>
      </w:pPr>
      <w:r>
        <w:rPr>
          <w:rFonts w:hint="eastAsia"/>
          <w:sz w:val="24"/>
          <w:szCs w:val="24"/>
          <w:highlight w:val="none"/>
        </w:rPr>
        <w:t>三、验收程序与结论</w:t>
      </w:r>
    </w:p>
    <w:p w14:paraId="483D59E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highlight w:val="none"/>
        </w:rPr>
      </w:pPr>
      <w:r>
        <w:rPr>
          <w:rFonts w:hint="eastAsia"/>
          <w:sz w:val="24"/>
          <w:szCs w:val="24"/>
          <w:highlight w:val="none"/>
          <w:lang w:val="en-US" w:eastAsia="zh-CN"/>
        </w:rPr>
        <w:t>1.</w:t>
      </w:r>
      <w:r>
        <w:rPr>
          <w:rFonts w:hint="eastAsia"/>
          <w:sz w:val="24"/>
          <w:szCs w:val="24"/>
          <w:highlight w:val="none"/>
        </w:rPr>
        <w:t>季度验收：乙方每季度首月5个工作日内提交</w:t>
      </w:r>
      <w:r>
        <w:rPr>
          <w:rFonts w:hint="eastAsia"/>
          <w:sz w:val="24"/>
          <w:szCs w:val="24"/>
          <w:highlight w:val="none"/>
          <w:lang w:val="en-US" w:eastAsia="zh-CN"/>
        </w:rPr>
        <w:t>处置量明细</w:t>
      </w:r>
      <w:r>
        <w:rPr>
          <w:rFonts w:hint="eastAsia"/>
          <w:sz w:val="24"/>
          <w:szCs w:val="24"/>
          <w:highlight w:val="none"/>
        </w:rPr>
        <w:t>，甲方</w:t>
      </w:r>
      <w:r>
        <w:rPr>
          <w:rFonts w:hint="eastAsia"/>
          <w:sz w:val="24"/>
          <w:szCs w:val="24"/>
          <w:highlight w:val="none"/>
          <w:lang w:val="en-US" w:eastAsia="zh-CN"/>
        </w:rPr>
        <w:t>5</w:t>
      </w:r>
      <w:r>
        <w:rPr>
          <w:rFonts w:hint="eastAsia"/>
          <w:sz w:val="24"/>
          <w:szCs w:val="24"/>
          <w:highlight w:val="none"/>
        </w:rPr>
        <w:t>个工作日内审核</w:t>
      </w:r>
      <w:r>
        <w:rPr>
          <w:rFonts w:hint="eastAsia"/>
          <w:sz w:val="24"/>
          <w:szCs w:val="24"/>
          <w:highlight w:val="none"/>
          <w:lang w:eastAsia="zh-CN"/>
        </w:rPr>
        <w:t>，</w:t>
      </w:r>
      <w:r>
        <w:rPr>
          <w:rFonts w:hint="eastAsia"/>
          <w:sz w:val="24"/>
          <w:szCs w:val="24"/>
          <w:highlight w:val="none"/>
        </w:rPr>
        <w:t>合格出具确认单。</w:t>
      </w:r>
    </w:p>
    <w:p w14:paraId="386F688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highlight w:val="none"/>
        </w:rPr>
      </w:pPr>
      <w:r>
        <w:rPr>
          <w:rFonts w:hint="eastAsia"/>
          <w:sz w:val="24"/>
          <w:szCs w:val="24"/>
          <w:highlight w:val="none"/>
          <w:lang w:val="en-US" w:eastAsia="zh-CN"/>
        </w:rPr>
        <w:t>2.</w:t>
      </w:r>
      <w:r>
        <w:rPr>
          <w:rFonts w:hint="eastAsia"/>
          <w:sz w:val="24"/>
          <w:szCs w:val="24"/>
          <w:highlight w:val="none"/>
        </w:rPr>
        <w:t>年度验收结论：</w:t>
      </w:r>
    </w:p>
    <w:p w14:paraId="4064CB3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highlight w:val="none"/>
        </w:rPr>
      </w:pPr>
      <w:r>
        <w:rPr>
          <w:rFonts w:hint="eastAsia"/>
          <w:sz w:val="24"/>
          <w:szCs w:val="24"/>
          <w:highlight w:val="none"/>
        </w:rPr>
        <w:t>合格：全面履约，指标达标，作为续签前提。</w:t>
      </w:r>
    </w:p>
    <w:p w14:paraId="26A1A9A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highlight w:val="none"/>
        </w:rPr>
      </w:pPr>
      <w:r>
        <w:rPr>
          <w:rFonts w:hint="eastAsia"/>
          <w:sz w:val="24"/>
          <w:szCs w:val="24"/>
          <w:highlight w:val="none"/>
        </w:rPr>
        <w:t>基本合格：一般问题已整改，甲方酌情决定续签。</w:t>
      </w:r>
    </w:p>
    <w:p w14:paraId="0F505E2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highlight w:val="none"/>
        </w:rPr>
      </w:pPr>
      <w:r>
        <w:rPr>
          <w:rFonts w:hint="eastAsia"/>
          <w:sz w:val="24"/>
          <w:szCs w:val="24"/>
          <w:highlight w:val="none"/>
        </w:rPr>
        <w:t>不合格：重大违约（环境污染、多次产物不达标、非法转移等），不予续签并追责。</w:t>
      </w:r>
    </w:p>
    <w:p w14:paraId="09F9EE17">
      <w:pPr>
        <w:rPr>
          <w:sz w:val="24"/>
          <w:szCs w:val="24"/>
          <w:highlight w:val="none"/>
        </w:rPr>
        <w:sectPr>
          <w:pgSz w:w="11906" w:h="16838"/>
          <w:pgMar w:top="1440" w:right="1800" w:bottom="1440" w:left="1800" w:header="851" w:footer="992" w:gutter="0"/>
          <w:cols w:space="425" w:num="1"/>
          <w:docGrid w:type="lines" w:linePitch="312" w:charSpace="0"/>
        </w:sectPr>
      </w:pPr>
    </w:p>
    <w:p w14:paraId="48BB6545">
      <w:pPr>
        <w:pStyle w:val="1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jc w:val="center"/>
        <w:rPr>
          <w:highlight w:val="none"/>
        </w:rPr>
      </w:pPr>
      <w:r>
        <w:rPr>
          <w:rFonts w:hint="eastAsia" w:ascii="宋体" w:hAnsi="宋体" w:eastAsia="宋体" w:cs="宋体"/>
          <w:color w:val="000000"/>
          <w:sz w:val="24"/>
          <w:szCs w:val="24"/>
          <w:highlight w:val="none"/>
        </w:rPr>
        <w:t>政府采购履约验收书参考样本(服务类)</w:t>
      </w:r>
    </w:p>
    <w:tbl>
      <w:tblPr>
        <w:tblStyle w:val="22"/>
        <w:tblW w:w="0" w:type="auto"/>
        <w:tblCellSpacing w:w="0"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Layout w:type="autofit"/>
        <w:tblCellMar>
          <w:top w:w="0" w:type="dxa"/>
          <w:left w:w="0" w:type="dxa"/>
          <w:bottom w:w="0" w:type="dxa"/>
          <w:right w:w="0" w:type="dxa"/>
        </w:tblCellMar>
      </w:tblPr>
      <w:tblGrid>
        <w:gridCol w:w="1598"/>
        <w:gridCol w:w="996"/>
        <w:gridCol w:w="996"/>
        <w:gridCol w:w="1906"/>
        <w:gridCol w:w="1738"/>
        <w:gridCol w:w="529"/>
        <w:gridCol w:w="1662"/>
        <w:gridCol w:w="2213"/>
        <w:gridCol w:w="2473"/>
      </w:tblGrid>
      <w:tr w14:paraId="66D0B5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CellMar>
            <w:top w:w="0" w:type="dxa"/>
            <w:left w:w="0" w:type="dxa"/>
            <w:bottom w:w="0" w:type="dxa"/>
            <w:right w:w="0" w:type="dxa"/>
          </w:tblCellMar>
        </w:tblPrEx>
        <w:trPr>
          <w:trHeight w:val="559" w:hRule="atLeast"/>
          <w:tblCellSpacing w:w="0" w:type="dxa"/>
        </w:trPr>
        <w:tc>
          <w:tcPr>
            <w:tcW w:w="1608" w:type="dxa"/>
            <w:tcBorders>
              <w:top w:val="single" w:color="000000" w:sz="2" w:space="0"/>
              <w:left w:val="single" w:color="000000" w:sz="2" w:space="0"/>
              <w:bottom w:val="single" w:color="000000" w:sz="2" w:space="0"/>
              <w:right w:val="single" w:color="000000" w:sz="2" w:space="0"/>
            </w:tcBorders>
            <w:shd w:val="clear" w:color="auto" w:fill="auto"/>
            <w:tcMar>
              <w:left w:w="108" w:type="dxa"/>
              <w:right w:w="108" w:type="dxa"/>
            </w:tcMar>
            <w:vAlign w:val="center"/>
          </w:tcPr>
          <w:p w14:paraId="48B1F185">
            <w:pPr>
              <w:pStyle w:val="1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leftChars="0" w:firstLine="0" w:firstLineChars="0"/>
              <w:jc w:val="center"/>
              <w:rPr>
                <w:highlight w:val="none"/>
              </w:rPr>
            </w:pPr>
            <w:r>
              <w:rPr>
                <w:rFonts w:hint="eastAsia" w:ascii="宋体" w:hAnsi="宋体" w:eastAsia="宋体" w:cs="宋体"/>
                <w:color w:val="000000"/>
                <w:sz w:val="18"/>
                <w:szCs w:val="18"/>
                <w:highlight w:val="none"/>
              </w:rPr>
              <w:t>采购人</w:t>
            </w:r>
          </w:p>
        </w:tc>
        <w:tc>
          <w:tcPr>
            <w:tcW w:w="2002" w:type="dxa"/>
            <w:gridSpan w:val="2"/>
            <w:tcBorders>
              <w:top w:val="single" w:color="000000" w:sz="2" w:space="0"/>
              <w:left w:val="single" w:color="000000" w:sz="2" w:space="0"/>
              <w:bottom w:val="single" w:color="000000" w:sz="2" w:space="0"/>
              <w:right w:val="single" w:color="000000" w:sz="2" w:space="0"/>
            </w:tcBorders>
            <w:shd w:val="clear" w:color="auto" w:fill="auto"/>
            <w:tcMar>
              <w:left w:w="108" w:type="dxa"/>
              <w:right w:w="108" w:type="dxa"/>
            </w:tcMar>
            <w:vAlign w:val="center"/>
          </w:tcPr>
          <w:p w14:paraId="0570598E">
            <w:pPr>
              <w:pStyle w:val="1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highlight w:val="none"/>
              </w:rPr>
            </w:pPr>
          </w:p>
        </w:tc>
        <w:tc>
          <w:tcPr>
            <w:tcW w:w="1920" w:type="dxa"/>
            <w:tcBorders>
              <w:top w:val="single" w:color="000000" w:sz="2" w:space="0"/>
              <w:left w:val="single" w:color="000000" w:sz="2" w:space="0"/>
              <w:bottom w:val="single" w:color="000000" w:sz="2" w:space="0"/>
              <w:right w:val="single" w:color="000000" w:sz="2" w:space="0"/>
            </w:tcBorders>
            <w:shd w:val="clear" w:color="auto" w:fill="auto"/>
            <w:tcMar>
              <w:left w:w="108" w:type="dxa"/>
              <w:right w:w="108" w:type="dxa"/>
            </w:tcMar>
            <w:vAlign w:val="center"/>
          </w:tcPr>
          <w:p w14:paraId="4C8E5E93">
            <w:pPr>
              <w:pStyle w:val="1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leftChars="0" w:firstLine="0" w:firstLineChars="0"/>
              <w:jc w:val="center"/>
              <w:rPr>
                <w:highlight w:val="none"/>
              </w:rPr>
            </w:pPr>
            <w:r>
              <w:rPr>
                <w:rFonts w:hint="eastAsia" w:ascii="宋体" w:hAnsi="宋体" w:eastAsia="宋体" w:cs="宋体"/>
                <w:color w:val="000000"/>
                <w:sz w:val="18"/>
                <w:szCs w:val="18"/>
                <w:highlight w:val="none"/>
              </w:rPr>
              <w:t>项目名称</w:t>
            </w:r>
          </w:p>
        </w:tc>
        <w:tc>
          <w:tcPr>
            <w:tcW w:w="2287" w:type="dxa"/>
            <w:gridSpan w:val="2"/>
            <w:tcBorders>
              <w:top w:val="single" w:color="000000" w:sz="2" w:space="0"/>
              <w:left w:val="single" w:color="000000" w:sz="2" w:space="0"/>
              <w:bottom w:val="single" w:color="000000" w:sz="2" w:space="0"/>
              <w:right w:val="single" w:color="000000" w:sz="2" w:space="0"/>
            </w:tcBorders>
            <w:shd w:val="clear" w:color="auto" w:fill="auto"/>
            <w:tcMar>
              <w:left w:w="108" w:type="dxa"/>
              <w:right w:w="108" w:type="dxa"/>
            </w:tcMar>
            <w:vAlign w:val="center"/>
          </w:tcPr>
          <w:p w14:paraId="74AAC628">
            <w:pPr>
              <w:pStyle w:val="1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highlight w:val="none"/>
              </w:rPr>
            </w:pPr>
            <w:r>
              <w:rPr>
                <w:highlight w:val="none"/>
              </w:rPr>
              <w:t> </w:t>
            </w:r>
          </w:p>
        </w:tc>
        <w:tc>
          <w:tcPr>
            <w:tcW w:w="3908" w:type="dxa"/>
            <w:gridSpan w:val="2"/>
            <w:tcBorders>
              <w:top w:val="single" w:color="000000" w:sz="2" w:space="0"/>
              <w:left w:val="single" w:color="000000" w:sz="2" w:space="0"/>
              <w:bottom w:val="single" w:color="000000" w:sz="2" w:space="0"/>
              <w:right w:val="single" w:color="000000" w:sz="2" w:space="0"/>
            </w:tcBorders>
            <w:shd w:val="clear" w:color="auto" w:fill="auto"/>
            <w:tcMar>
              <w:left w:w="108" w:type="dxa"/>
              <w:right w:w="108" w:type="dxa"/>
            </w:tcMar>
            <w:vAlign w:val="center"/>
          </w:tcPr>
          <w:p w14:paraId="444BCE66">
            <w:pPr>
              <w:pStyle w:val="1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leftChars="0" w:firstLine="0" w:firstLineChars="0"/>
              <w:jc w:val="center"/>
              <w:rPr>
                <w:highlight w:val="none"/>
              </w:rPr>
            </w:pPr>
            <w:r>
              <w:rPr>
                <w:rFonts w:hint="eastAsia" w:ascii="宋体" w:hAnsi="宋体" w:eastAsia="宋体" w:cs="宋体"/>
                <w:color w:val="000000"/>
                <w:sz w:val="18"/>
                <w:szCs w:val="18"/>
                <w:highlight w:val="none"/>
              </w:rPr>
              <w:t>合同名称</w:t>
            </w:r>
          </w:p>
        </w:tc>
        <w:tc>
          <w:tcPr>
            <w:tcW w:w="2496" w:type="dxa"/>
            <w:tcBorders>
              <w:top w:val="single" w:color="000000" w:sz="2" w:space="0"/>
              <w:left w:val="single" w:color="000000" w:sz="2" w:space="0"/>
              <w:bottom w:val="single" w:color="000000" w:sz="2" w:space="0"/>
              <w:right w:val="single" w:color="000000" w:sz="2" w:space="0"/>
            </w:tcBorders>
            <w:shd w:val="clear" w:color="auto" w:fill="auto"/>
            <w:tcMar>
              <w:left w:w="108" w:type="dxa"/>
              <w:right w:w="108" w:type="dxa"/>
            </w:tcMar>
            <w:vAlign w:val="center"/>
          </w:tcPr>
          <w:p w14:paraId="35980D16">
            <w:pPr>
              <w:pStyle w:val="1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highlight w:val="none"/>
              </w:rPr>
            </w:pPr>
            <w:r>
              <w:rPr>
                <w:highlight w:val="none"/>
              </w:rPr>
              <w:t> </w:t>
            </w:r>
          </w:p>
        </w:tc>
      </w:tr>
      <w:tr w14:paraId="678F7F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CellMar>
            <w:top w:w="0" w:type="dxa"/>
            <w:left w:w="0" w:type="dxa"/>
            <w:bottom w:w="0" w:type="dxa"/>
            <w:right w:w="0" w:type="dxa"/>
          </w:tblCellMar>
        </w:tblPrEx>
        <w:trPr>
          <w:trHeight w:val="564" w:hRule="atLeast"/>
          <w:tblCellSpacing w:w="0" w:type="dxa"/>
        </w:trPr>
        <w:tc>
          <w:tcPr>
            <w:tcW w:w="1608" w:type="dxa"/>
            <w:tcBorders>
              <w:top w:val="single" w:color="000000" w:sz="2" w:space="0"/>
              <w:left w:val="single" w:color="000000" w:sz="2" w:space="0"/>
              <w:bottom w:val="single" w:color="000000" w:sz="2" w:space="0"/>
              <w:right w:val="single" w:color="000000" w:sz="2" w:space="0"/>
            </w:tcBorders>
            <w:shd w:val="clear" w:color="auto" w:fill="auto"/>
            <w:tcMar>
              <w:left w:w="108" w:type="dxa"/>
              <w:right w:w="108" w:type="dxa"/>
            </w:tcMar>
            <w:vAlign w:val="center"/>
          </w:tcPr>
          <w:p w14:paraId="58A42C88">
            <w:pPr>
              <w:pStyle w:val="1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leftChars="0" w:firstLine="0" w:firstLineChars="0"/>
              <w:jc w:val="center"/>
              <w:rPr>
                <w:highlight w:val="none"/>
              </w:rPr>
            </w:pPr>
            <w:r>
              <w:rPr>
                <w:rFonts w:hint="eastAsia" w:ascii="宋体" w:hAnsi="宋体" w:eastAsia="宋体" w:cs="宋体"/>
                <w:color w:val="000000"/>
                <w:sz w:val="18"/>
                <w:szCs w:val="18"/>
                <w:highlight w:val="none"/>
              </w:rPr>
              <w:t>供应商</w:t>
            </w:r>
          </w:p>
        </w:tc>
        <w:tc>
          <w:tcPr>
            <w:tcW w:w="2002" w:type="dxa"/>
            <w:gridSpan w:val="2"/>
            <w:tcBorders>
              <w:top w:val="single" w:color="000000" w:sz="2" w:space="0"/>
              <w:left w:val="single" w:color="000000" w:sz="2" w:space="0"/>
              <w:bottom w:val="single" w:color="000000" w:sz="2" w:space="0"/>
              <w:right w:val="single" w:color="000000" w:sz="2" w:space="0"/>
            </w:tcBorders>
            <w:shd w:val="clear" w:color="auto" w:fill="auto"/>
            <w:tcMar>
              <w:left w:w="108" w:type="dxa"/>
              <w:right w:w="108" w:type="dxa"/>
            </w:tcMar>
            <w:vAlign w:val="center"/>
          </w:tcPr>
          <w:p w14:paraId="713936CD">
            <w:pPr>
              <w:pStyle w:val="1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highlight w:val="none"/>
              </w:rPr>
            </w:pPr>
          </w:p>
        </w:tc>
        <w:tc>
          <w:tcPr>
            <w:tcW w:w="1920" w:type="dxa"/>
            <w:tcBorders>
              <w:top w:val="single" w:color="000000" w:sz="2" w:space="0"/>
              <w:left w:val="single" w:color="000000" w:sz="2" w:space="0"/>
              <w:bottom w:val="single" w:color="000000" w:sz="2" w:space="0"/>
              <w:right w:val="single" w:color="000000" w:sz="2" w:space="0"/>
            </w:tcBorders>
            <w:shd w:val="clear" w:color="auto" w:fill="auto"/>
            <w:tcMar>
              <w:left w:w="108" w:type="dxa"/>
              <w:right w:w="108" w:type="dxa"/>
            </w:tcMar>
            <w:vAlign w:val="center"/>
          </w:tcPr>
          <w:p w14:paraId="00A9B00F">
            <w:pPr>
              <w:pStyle w:val="1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leftChars="0" w:firstLine="0" w:firstLineChars="0"/>
              <w:jc w:val="center"/>
              <w:rPr>
                <w:highlight w:val="none"/>
              </w:rPr>
            </w:pPr>
            <w:r>
              <w:rPr>
                <w:rFonts w:hint="eastAsia" w:ascii="宋体" w:hAnsi="宋体" w:eastAsia="宋体" w:cs="宋体"/>
                <w:color w:val="000000"/>
                <w:sz w:val="18"/>
                <w:szCs w:val="18"/>
                <w:highlight w:val="none"/>
              </w:rPr>
              <w:t>项目及合同编号</w:t>
            </w:r>
          </w:p>
        </w:tc>
        <w:tc>
          <w:tcPr>
            <w:tcW w:w="2287" w:type="dxa"/>
            <w:gridSpan w:val="2"/>
            <w:tcBorders>
              <w:top w:val="single" w:color="000000" w:sz="2" w:space="0"/>
              <w:left w:val="single" w:color="000000" w:sz="2" w:space="0"/>
              <w:bottom w:val="single" w:color="000000" w:sz="2" w:space="0"/>
              <w:right w:val="single" w:color="000000" w:sz="2" w:space="0"/>
            </w:tcBorders>
            <w:shd w:val="clear" w:color="auto" w:fill="auto"/>
            <w:tcMar>
              <w:left w:w="108" w:type="dxa"/>
              <w:right w:w="108" w:type="dxa"/>
            </w:tcMar>
            <w:vAlign w:val="center"/>
          </w:tcPr>
          <w:p w14:paraId="60BBE09F">
            <w:pPr>
              <w:pStyle w:val="1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highlight w:val="none"/>
              </w:rPr>
            </w:pPr>
            <w:r>
              <w:rPr>
                <w:highlight w:val="none"/>
              </w:rPr>
              <w:t> </w:t>
            </w:r>
          </w:p>
        </w:tc>
        <w:tc>
          <w:tcPr>
            <w:tcW w:w="3908" w:type="dxa"/>
            <w:gridSpan w:val="2"/>
            <w:tcBorders>
              <w:top w:val="single" w:color="000000" w:sz="2" w:space="0"/>
              <w:left w:val="single" w:color="000000" w:sz="2" w:space="0"/>
              <w:bottom w:val="single" w:color="000000" w:sz="2" w:space="0"/>
              <w:right w:val="single" w:color="000000" w:sz="2" w:space="0"/>
            </w:tcBorders>
            <w:shd w:val="clear" w:color="auto" w:fill="auto"/>
            <w:tcMar>
              <w:left w:w="108" w:type="dxa"/>
              <w:right w:w="108" w:type="dxa"/>
            </w:tcMar>
            <w:vAlign w:val="center"/>
          </w:tcPr>
          <w:p w14:paraId="68EFD00C">
            <w:pPr>
              <w:pStyle w:val="1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leftChars="0" w:firstLine="0" w:firstLineChars="0"/>
              <w:jc w:val="center"/>
              <w:rPr>
                <w:highlight w:val="none"/>
              </w:rPr>
            </w:pPr>
            <w:r>
              <w:rPr>
                <w:rFonts w:hint="eastAsia" w:ascii="宋体" w:hAnsi="宋体" w:eastAsia="宋体" w:cs="宋体"/>
                <w:color w:val="000000"/>
                <w:sz w:val="18"/>
                <w:szCs w:val="18"/>
                <w:highlight w:val="none"/>
              </w:rPr>
              <w:t>合同金额</w:t>
            </w:r>
          </w:p>
        </w:tc>
        <w:tc>
          <w:tcPr>
            <w:tcW w:w="2496" w:type="dxa"/>
            <w:tcBorders>
              <w:top w:val="single" w:color="000000" w:sz="2" w:space="0"/>
              <w:left w:val="single" w:color="000000" w:sz="2" w:space="0"/>
              <w:bottom w:val="single" w:color="000000" w:sz="2" w:space="0"/>
              <w:right w:val="single" w:color="000000" w:sz="2" w:space="0"/>
            </w:tcBorders>
            <w:shd w:val="clear" w:color="auto" w:fill="auto"/>
            <w:tcMar>
              <w:left w:w="108" w:type="dxa"/>
              <w:right w:w="108" w:type="dxa"/>
            </w:tcMar>
            <w:vAlign w:val="center"/>
          </w:tcPr>
          <w:p w14:paraId="41C18E3B">
            <w:pPr>
              <w:pStyle w:val="1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highlight w:val="none"/>
              </w:rPr>
            </w:pPr>
            <w:r>
              <w:rPr>
                <w:highlight w:val="none"/>
              </w:rPr>
              <w:t> </w:t>
            </w:r>
          </w:p>
        </w:tc>
      </w:tr>
      <w:tr w14:paraId="06D33C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CellMar>
            <w:top w:w="0" w:type="dxa"/>
            <w:left w:w="0" w:type="dxa"/>
            <w:bottom w:w="0" w:type="dxa"/>
            <w:right w:w="0" w:type="dxa"/>
          </w:tblCellMar>
        </w:tblPrEx>
        <w:trPr>
          <w:trHeight w:val="559" w:hRule="atLeast"/>
          <w:tblCellSpacing w:w="0" w:type="dxa"/>
        </w:trPr>
        <w:tc>
          <w:tcPr>
            <w:tcW w:w="1608" w:type="dxa"/>
            <w:tcBorders>
              <w:top w:val="single" w:color="000000" w:sz="2" w:space="0"/>
              <w:left w:val="single" w:color="000000" w:sz="2" w:space="0"/>
              <w:bottom w:val="single" w:color="000000" w:sz="2" w:space="0"/>
              <w:right w:val="single" w:color="000000" w:sz="2" w:space="0"/>
            </w:tcBorders>
            <w:shd w:val="clear" w:color="auto" w:fill="auto"/>
            <w:tcMar>
              <w:left w:w="108" w:type="dxa"/>
              <w:right w:w="108" w:type="dxa"/>
            </w:tcMar>
            <w:vAlign w:val="center"/>
          </w:tcPr>
          <w:p w14:paraId="0C1B729D">
            <w:pPr>
              <w:pStyle w:val="1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leftChars="0" w:firstLine="0" w:firstLineChars="0"/>
              <w:jc w:val="both"/>
              <w:rPr>
                <w:highlight w:val="none"/>
              </w:rPr>
            </w:pPr>
            <w:r>
              <w:rPr>
                <w:rFonts w:hint="eastAsia" w:ascii="宋体" w:hAnsi="宋体" w:eastAsia="宋体" w:cs="宋体"/>
                <w:color w:val="000000"/>
                <w:sz w:val="18"/>
                <w:szCs w:val="18"/>
                <w:highlight w:val="none"/>
              </w:rPr>
              <w:t>分期（段）验收</w:t>
            </w:r>
          </w:p>
        </w:tc>
        <w:tc>
          <w:tcPr>
            <w:tcW w:w="1001" w:type="dxa"/>
            <w:tcBorders>
              <w:top w:val="single" w:color="000000" w:sz="2" w:space="0"/>
              <w:left w:val="single" w:color="000000" w:sz="2" w:space="0"/>
              <w:bottom w:val="single" w:color="000000" w:sz="2" w:space="0"/>
              <w:right w:val="nil"/>
            </w:tcBorders>
            <w:shd w:val="clear" w:color="auto" w:fill="auto"/>
            <w:tcMar>
              <w:left w:w="108" w:type="dxa"/>
              <w:right w:w="108" w:type="dxa"/>
            </w:tcMar>
            <w:vAlign w:val="center"/>
          </w:tcPr>
          <w:p w14:paraId="2AC8BF5C">
            <w:pPr>
              <w:pStyle w:val="1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highlight w:val="none"/>
              </w:rPr>
            </w:pPr>
            <w:r>
              <w:rPr>
                <w:rFonts w:hint="eastAsia" w:ascii="宋体" w:hAnsi="宋体" w:eastAsia="宋体" w:cs="宋体"/>
                <w:color w:val="000000"/>
                <w:sz w:val="18"/>
                <w:szCs w:val="18"/>
                <w:highlight w:val="none"/>
              </w:rPr>
              <w:t>是□</w:t>
            </w:r>
          </w:p>
        </w:tc>
        <w:tc>
          <w:tcPr>
            <w:tcW w:w="1001" w:type="dxa"/>
            <w:tcBorders>
              <w:top w:val="single" w:color="000000" w:sz="2" w:space="0"/>
              <w:left w:val="nil"/>
              <w:bottom w:val="single" w:color="000000" w:sz="2" w:space="0"/>
              <w:right w:val="single" w:color="000000" w:sz="2" w:space="0"/>
            </w:tcBorders>
            <w:shd w:val="clear" w:color="auto" w:fill="auto"/>
            <w:tcMar>
              <w:left w:w="108" w:type="dxa"/>
              <w:right w:w="108" w:type="dxa"/>
            </w:tcMar>
            <w:vAlign w:val="center"/>
          </w:tcPr>
          <w:p w14:paraId="0C46EDBF">
            <w:pPr>
              <w:pStyle w:val="1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highlight w:val="none"/>
              </w:rPr>
            </w:pPr>
            <w:r>
              <w:rPr>
                <w:rFonts w:hint="eastAsia" w:ascii="宋体" w:hAnsi="宋体" w:eastAsia="宋体" w:cs="宋体"/>
                <w:color w:val="000000"/>
                <w:sz w:val="18"/>
                <w:szCs w:val="18"/>
                <w:highlight w:val="none"/>
              </w:rPr>
              <w:t>否□</w:t>
            </w:r>
          </w:p>
        </w:tc>
        <w:tc>
          <w:tcPr>
            <w:tcW w:w="1920" w:type="dxa"/>
            <w:tcBorders>
              <w:top w:val="single" w:color="000000" w:sz="2" w:space="0"/>
              <w:left w:val="single" w:color="000000" w:sz="2" w:space="0"/>
              <w:bottom w:val="single" w:color="000000" w:sz="2" w:space="0"/>
              <w:right w:val="single" w:color="000000" w:sz="2" w:space="0"/>
            </w:tcBorders>
            <w:shd w:val="clear" w:color="auto" w:fill="auto"/>
            <w:tcMar>
              <w:left w:w="108" w:type="dxa"/>
              <w:right w:w="108" w:type="dxa"/>
            </w:tcMar>
            <w:vAlign w:val="center"/>
          </w:tcPr>
          <w:p w14:paraId="3CCABECF">
            <w:pPr>
              <w:pStyle w:val="1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leftChars="0" w:firstLine="0" w:firstLineChars="0"/>
              <w:jc w:val="center"/>
              <w:rPr>
                <w:highlight w:val="none"/>
              </w:rPr>
            </w:pPr>
            <w:r>
              <w:rPr>
                <w:rFonts w:hint="eastAsia" w:ascii="宋体" w:hAnsi="宋体" w:eastAsia="宋体" w:cs="宋体"/>
                <w:color w:val="000000"/>
                <w:sz w:val="18"/>
                <w:szCs w:val="18"/>
                <w:highlight w:val="none"/>
              </w:rPr>
              <w:t>分期（段）情况</w:t>
            </w:r>
          </w:p>
        </w:tc>
        <w:tc>
          <w:tcPr>
            <w:tcW w:w="8691" w:type="dxa"/>
            <w:gridSpan w:val="5"/>
            <w:tcBorders>
              <w:top w:val="single" w:color="000000" w:sz="2" w:space="0"/>
              <w:left w:val="single" w:color="000000" w:sz="2" w:space="0"/>
              <w:bottom w:val="single" w:color="000000" w:sz="2" w:space="0"/>
              <w:right w:val="single" w:color="000000" w:sz="2" w:space="0"/>
            </w:tcBorders>
            <w:shd w:val="clear" w:color="auto" w:fill="auto"/>
            <w:tcMar>
              <w:left w:w="108" w:type="dxa"/>
              <w:right w:w="108" w:type="dxa"/>
            </w:tcMar>
            <w:vAlign w:val="center"/>
          </w:tcPr>
          <w:p w14:paraId="4F77D0E0">
            <w:pPr>
              <w:pStyle w:val="1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highlight w:val="none"/>
              </w:rPr>
            </w:pPr>
            <w:r>
              <w:rPr>
                <w:rFonts w:hint="eastAsia" w:ascii="宋体" w:hAnsi="宋体" w:eastAsia="宋体" w:cs="宋体"/>
                <w:color w:val="000000"/>
                <w:sz w:val="18"/>
                <w:szCs w:val="18"/>
                <w:highlight w:val="none"/>
              </w:rPr>
              <w:t>共分</w:t>
            </w:r>
            <w:r>
              <w:rPr>
                <w:rFonts w:hint="eastAsia" w:ascii="宋体" w:hAnsi="宋体" w:eastAsia="宋体" w:cs="宋体"/>
                <w:color w:val="000000"/>
                <w:sz w:val="18"/>
                <w:szCs w:val="18"/>
                <w:highlight w:val="none"/>
                <w:lang w:val="en-US" w:eastAsia="zh-CN"/>
              </w:rPr>
              <w:t xml:space="preserve">  </w:t>
            </w:r>
            <w:r>
              <w:rPr>
                <w:rFonts w:hint="eastAsia" w:ascii="宋体" w:hAnsi="宋体" w:eastAsia="宋体" w:cs="宋体"/>
                <w:color w:val="000000"/>
                <w:sz w:val="18"/>
                <w:szCs w:val="18"/>
                <w:highlight w:val="none"/>
              </w:rPr>
              <w:t>期（段），此为第</w:t>
            </w:r>
            <w:r>
              <w:rPr>
                <w:rFonts w:hint="eastAsia" w:ascii="宋体" w:hAnsi="宋体" w:eastAsia="宋体" w:cs="宋体"/>
                <w:color w:val="000000"/>
                <w:sz w:val="18"/>
                <w:szCs w:val="18"/>
                <w:highlight w:val="none"/>
                <w:lang w:val="en-US" w:eastAsia="zh-CN"/>
              </w:rPr>
              <w:t xml:space="preserve">  </w:t>
            </w:r>
            <w:r>
              <w:rPr>
                <w:rFonts w:hint="eastAsia" w:ascii="宋体" w:hAnsi="宋体" w:eastAsia="宋体" w:cs="宋体"/>
                <w:color w:val="000000"/>
                <w:sz w:val="18"/>
                <w:szCs w:val="18"/>
                <w:highlight w:val="none"/>
              </w:rPr>
              <w:t>期（段）验收</w:t>
            </w:r>
          </w:p>
        </w:tc>
      </w:tr>
      <w:tr w14:paraId="3A69AB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CellMar>
            <w:top w:w="0" w:type="dxa"/>
            <w:left w:w="0" w:type="dxa"/>
            <w:bottom w:w="0" w:type="dxa"/>
            <w:right w:w="0" w:type="dxa"/>
          </w:tblCellMar>
        </w:tblPrEx>
        <w:trPr>
          <w:trHeight w:val="1679" w:hRule="atLeast"/>
          <w:tblCellSpacing w:w="0" w:type="dxa"/>
        </w:trPr>
        <w:tc>
          <w:tcPr>
            <w:tcW w:w="1608" w:type="dxa"/>
            <w:tcBorders>
              <w:top w:val="single" w:color="000000" w:sz="2" w:space="0"/>
              <w:left w:val="single" w:color="000000" w:sz="2" w:space="0"/>
              <w:bottom w:val="single" w:color="000000" w:sz="2" w:space="0"/>
              <w:right w:val="single" w:color="000000" w:sz="2" w:space="0"/>
            </w:tcBorders>
            <w:shd w:val="clear" w:color="auto" w:fill="auto"/>
            <w:tcMar>
              <w:left w:w="108" w:type="dxa"/>
              <w:right w:w="108" w:type="dxa"/>
            </w:tcMar>
            <w:vAlign w:val="center"/>
          </w:tcPr>
          <w:p w14:paraId="5D81A81B">
            <w:pPr>
              <w:pStyle w:val="1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highlight w:val="none"/>
              </w:rPr>
            </w:pPr>
            <w:r>
              <w:rPr>
                <w:rFonts w:hint="eastAsia" w:ascii="宋体" w:hAnsi="宋体" w:eastAsia="宋体" w:cs="宋体"/>
                <w:color w:val="000000"/>
                <w:sz w:val="18"/>
                <w:szCs w:val="18"/>
                <w:highlight w:val="none"/>
              </w:rPr>
              <w:t>验收时间</w:t>
            </w:r>
          </w:p>
        </w:tc>
        <w:tc>
          <w:tcPr>
            <w:tcW w:w="2002" w:type="dxa"/>
            <w:gridSpan w:val="2"/>
            <w:tcBorders>
              <w:top w:val="single" w:color="000000" w:sz="2" w:space="0"/>
              <w:left w:val="single" w:color="000000" w:sz="2" w:space="0"/>
              <w:bottom w:val="single" w:color="000000" w:sz="2" w:space="0"/>
              <w:right w:val="single" w:color="000000" w:sz="2" w:space="0"/>
            </w:tcBorders>
            <w:shd w:val="clear" w:color="auto" w:fill="auto"/>
            <w:tcMar>
              <w:left w:w="108" w:type="dxa"/>
              <w:right w:w="108" w:type="dxa"/>
            </w:tcMar>
            <w:vAlign w:val="center"/>
          </w:tcPr>
          <w:p w14:paraId="0A0D8B45">
            <w:pPr>
              <w:pStyle w:val="1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highlight w:val="none"/>
              </w:rPr>
            </w:pPr>
            <w:r>
              <w:rPr>
                <w:highlight w:val="none"/>
              </w:rPr>
              <w:t> </w:t>
            </w:r>
          </w:p>
        </w:tc>
        <w:tc>
          <w:tcPr>
            <w:tcW w:w="1920" w:type="dxa"/>
            <w:tcBorders>
              <w:top w:val="single" w:color="000000" w:sz="2" w:space="0"/>
              <w:left w:val="single" w:color="000000" w:sz="2" w:space="0"/>
              <w:bottom w:val="single" w:color="000000" w:sz="2" w:space="0"/>
              <w:right w:val="single" w:color="000000" w:sz="2" w:space="0"/>
            </w:tcBorders>
            <w:shd w:val="clear" w:color="auto" w:fill="auto"/>
            <w:tcMar>
              <w:left w:w="108" w:type="dxa"/>
              <w:right w:w="108" w:type="dxa"/>
            </w:tcMar>
            <w:vAlign w:val="center"/>
          </w:tcPr>
          <w:p w14:paraId="600E3B9C">
            <w:pPr>
              <w:pStyle w:val="1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highlight w:val="none"/>
              </w:rPr>
            </w:pPr>
            <w:r>
              <w:rPr>
                <w:rFonts w:hint="eastAsia" w:ascii="宋体" w:hAnsi="宋体" w:eastAsia="宋体" w:cs="宋体"/>
                <w:color w:val="000000"/>
                <w:sz w:val="18"/>
                <w:szCs w:val="18"/>
                <w:highlight w:val="none"/>
              </w:rPr>
              <w:t>验收地点</w:t>
            </w:r>
          </w:p>
        </w:tc>
        <w:tc>
          <w:tcPr>
            <w:tcW w:w="2287" w:type="dxa"/>
            <w:gridSpan w:val="2"/>
            <w:tcBorders>
              <w:top w:val="single" w:color="000000" w:sz="2" w:space="0"/>
              <w:left w:val="single" w:color="000000" w:sz="2" w:space="0"/>
              <w:bottom w:val="single" w:color="000000" w:sz="2" w:space="0"/>
              <w:right w:val="single" w:color="000000" w:sz="2" w:space="0"/>
            </w:tcBorders>
            <w:shd w:val="clear" w:color="auto" w:fill="auto"/>
            <w:tcMar>
              <w:left w:w="108" w:type="dxa"/>
              <w:right w:w="108" w:type="dxa"/>
            </w:tcMar>
            <w:vAlign w:val="center"/>
          </w:tcPr>
          <w:p w14:paraId="64EA374F">
            <w:pPr>
              <w:pStyle w:val="1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highlight w:val="none"/>
              </w:rPr>
            </w:pPr>
            <w:r>
              <w:rPr>
                <w:highlight w:val="none"/>
              </w:rPr>
              <w:t> </w:t>
            </w:r>
          </w:p>
        </w:tc>
        <w:tc>
          <w:tcPr>
            <w:tcW w:w="3908" w:type="dxa"/>
            <w:gridSpan w:val="2"/>
            <w:tcBorders>
              <w:top w:val="single" w:color="000000" w:sz="2" w:space="0"/>
              <w:left w:val="single" w:color="000000" w:sz="2" w:space="0"/>
              <w:bottom w:val="single" w:color="000000" w:sz="2" w:space="0"/>
              <w:right w:val="single" w:color="000000" w:sz="2" w:space="0"/>
            </w:tcBorders>
            <w:shd w:val="clear" w:color="auto" w:fill="auto"/>
            <w:tcMar>
              <w:left w:w="108" w:type="dxa"/>
              <w:right w:w="108" w:type="dxa"/>
            </w:tcMar>
            <w:vAlign w:val="center"/>
          </w:tcPr>
          <w:p w14:paraId="5C723FF2">
            <w:pPr>
              <w:pStyle w:val="1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highlight w:val="none"/>
              </w:rPr>
            </w:pPr>
            <w:r>
              <w:rPr>
                <w:rFonts w:hint="eastAsia" w:ascii="宋体" w:hAnsi="宋体" w:eastAsia="宋体" w:cs="宋体"/>
                <w:color w:val="000000"/>
                <w:sz w:val="18"/>
                <w:szCs w:val="18"/>
                <w:highlight w:val="none"/>
              </w:rPr>
              <w:t>验收组织形式</w:t>
            </w:r>
          </w:p>
        </w:tc>
        <w:tc>
          <w:tcPr>
            <w:tcW w:w="2496" w:type="dxa"/>
            <w:tcBorders>
              <w:top w:val="single" w:color="000000" w:sz="2" w:space="0"/>
              <w:left w:val="single" w:color="000000" w:sz="2" w:space="0"/>
              <w:bottom w:val="single" w:color="000000" w:sz="2" w:space="0"/>
              <w:right w:val="single" w:color="000000" w:sz="2" w:space="0"/>
            </w:tcBorders>
            <w:shd w:val="clear" w:color="auto" w:fill="auto"/>
            <w:tcMar>
              <w:left w:w="108" w:type="dxa"/>
              <w:right w:w="108" w:type="dxa"/>
            </w:tcMar>
            <w:vAlign w:val="center"/>
          </w:tcPr>
          <w:p w14:paraId="0A8387FF">
            <w:pPr>
              <w:pStyle w:val="1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highlight w:val="none"/>
              </w:rPr>
            </w:pPr>
            <w:r>
              <w:rPr>
                <w:rFonts w:hint="eastAsia" w:ascii="宋体" w:hAnsi="宋体" w:eastAsia="宋体" w:cs="宋体"/>
                <w:color w:val="000000"/>
                <w:sz w:val="18"/>
                <w:szCs w:val="18"/>
                <w:highlight w:val="none"/>
              </w:rPr>
              <w:t>□自行简易验收</w:t>
            </w:r>
          </w:p>
          <w:p w14:paraId="0BF45E91">
            <w:pPr>
              <w:pStyle w:val="1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highlight w:val="none"/>
              </w:rPr>
            </w:pPr>
            <w:r>
              <w:rPr>
                <w:highlight w:val="none"/>
              </w:rPr>
              <w:t> </w:t>
            </w:r>
          </w:p>
          <w:p w14:paraId="7602A630">
            <w:pPr>
              <w:pStyle w:val="1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highlight w:val="none"/>
              </w:rPr>
            </w:pPr>
            <w:r>
              <w:rPr>
                <w:rFonts w:hint="eastAsia" w:ascii="宋体" w:hAnsi="宋体" w:eastAsia="宋体" w:cs="宋体"/>
                <w:color w:val="000000"/>
                <w:sz w:val="18"/>
                <w:szCs w:val="18"/>
                <w:highlight w:val="none"/>
              </w:rPr>
              <w:t>□验收小组验收</w:t>
            </w:r>
          </w:p>
          <w:p w14:paraId="24E6653C">
            <w:pPr>
              <w:pStyle w:val="1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highlight w:val="none"/>
              </w:rPr>
            </w:pPr>
            <w:r>
              <w:rPr>
                <w:highlight w:val="none"/>
              </w:rPr>
              <w:t> </w:t>
            </w:r>
          </w:p>
          <w:p w14:paraId="14BA9400">
            <w:pPr>
              <w:pStyle w:val="1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highlight w:val="none"/>
              </w:rPr>
            </w:pPr>
            <w:r>
              <w:rPr>
                <w:rFonts w:hint="eastAsia" w:ascii="宋体" w:hAnsi="宋体" w:eastAsia="宋体" w:cs="宋体"/>
                <w:color w:val="000000"/>
                <w:sz w:val="18"/>
                <w:szCs w:val="18"/>
                <w:highlight w:val="none"/>
              </w:rPr>
              <w:t>□采购代理机构验收</w:t>
            </w:r>
          </w:p>
        </w:tc>
      </w:tr>
      <w:tr w14:paraId="67EF97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CellMar>
            <w:top w:w="0" w:type="dxa"/>
            <w:left w:w="0" w:type="dxa"/>
            <w:bottom w:w="0" w:type="dxa"/>
            <w:right w:w="0" w:type="dxa"/>
          </w:tblCellMar>
        </w:tblPrEx>
        <w:trPr>
          <w:trHeight w:val="559" w:hRule="atLeast"/>
          <w:tblCellSpacing w:w="0" w:type="dxa"/>
        </w:trPr>
        <w:tc>
          <w:tcPr>
            <w:tcW w:w="1608" w:type="dxa"/>
            <w:vMerge w:val="restart"/>
            <w:tcBorders>
              <w:top w:val="single" w:color="000000" w:sz="2" w:space="0"/>
              <w:left w:val="single" w:color="000000" w:sz="2" w:space="0"/>
              <w:bottom w:val="single" w:color="000000" w:sz="2" w:space="0"/>
              <w:right w:val="single" w:color="000000" w:sz="2" w:space="0"/>
            </w:tcBorders>
            <w:shd w:val="clear" w:color="auto" w:fill="auto"/>
            <w:tcMar>
              <w:left w:w="108" w:type="dxa"/>
              <w:right w:w="108" w:type="dxa"/>
            </w:tcMar>
            <w:vAlign w:val="center"/>
          </w:tcPr>
          <w:p w14:paraId="0F04D685">
            <w:pPr>
              <w:pStyle w:val="1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highlight w:val="none"/>
              </w:rPr>
            </w:pPr>
            <w:r>
              <w:rPr>
                <w:rFonts w:hint="eastAsia" w:ascii="宋体" w:hAnsi="宋体" w:eastAsia="宋体" w:cs="宋体"/>
                <w:color w:val="000000"/>
                <w:sz w:val="18"/>
                <w:szCs w:val="18"/>
                <w:highlight w:val="none"/>
              </w:rPr>
              <w:t>验收内容</w:t>
            </w:r>
          </w:p>
        </w:tc>
        <w:tc>
          <w:tcPr>
            <w:tcW w:w="2002" w:type="dxa"/>
            <w:gridSpan w:val="2"/>
            <w:tcBorders>
              <w:top w:val="single" w:color="000000" w:sz="2" w:space="0"/>
              <w:left w:val="single" w:color="000000" w:sz="2" w:space="0"/>
              <w:bottom w:val="single" w:color="000000" w:sz="2" w:space="0"/>
              <w:right w:val="single" w:color="000000" w:sz="2" w:space="0"/>
            </w:tcBorders>
            <w:shd w:val="clear" w:color="auto" w:fill="auto"/>
            <w:tcMar>
              <w:left w:w="108" w:type="dxa"/>
              <w:right w:w="108" w:type="dxa"/>
            </w:tcMar>
            <w:vAlign w:val="center"/>
          </w:tcPr>
          <w:p w14:paraId="6D1FECC0">
            <w:pPr>
              <w:pStyle w:val="1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highlight w:val="none"/>
              </w:rPr>
            </w:pPr>
            <w:r>
              <w:rPr>
                <w:rFonts w:hint="eastAsia" w:ascii="宋体" w:hAnsi="宋体" w:eastAsia="宋体" w:cs="宋体"/>
                <w:color w:val="000000"/>
                <w:sz w:val="18"/>
                <w:szCs w:val="18"/>
                <w:highlight w:val="none"/>
              </w:rPr>
              <w:t>服务质量</w:t>
            </w:r>
          </w:p>
        </w:tc>
        <w:tc>
          <w:tcPr>
            <w:tcW w:w="1920" w:type="dxa"/>
            <w:tcBorders>
              <w:top w:val="single" w:color="000000" w:sz="2" w:space="0"/>
              <w:left w:val="single" w:color="000000" w:sz="2" w:space="0"/>
              <w:bottom w:val="single" w:color="000000" w:sz="2" w:space="0"/>
              <w:right w:val="single" w:color="000000" w:sz="2" w:space="0"/>
            </w:tcBorders>
            <w:shd w:val="clear" w:color="auto" w:fill="auto"/>
            <w:tcMar>
              <w:left w:w="108" w:type="dxa"/>
              <w:right w:w="108" w:type="dxa"/>
            </w:tcMar>
            <w:vAlign w:val="center"/>
          </w:tcPr>
          <w:p w14:paraId="34FA8B58">
            <w:pPr>
              <w:pStyle w:val="1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highlight w:val="none"/>
              </w:rPr>
            </w:pPr>
            <w:r>
              <w:rPr>
                <w:rFonts w:hint="eastAsia" w:ascii="宋体" w:hAnsi="宋体" w:eastAsia="宋体" w:cs="宋体"/>
                <w:color w:val="000000"/>
                <w:sz w:val="18"/>
                <w:szCs w:val="18"/>
                <w:highlight w:val="none"/>
              </w:rPr>
              <w:t>服务进度</w:t>
            </w:r>
          </w:p>
        </w:tc>
        <w:tc>
          <w:tcPr>
            <w:tcW w:w="2287" w:type="dxa"/>
            <w:gridSpan w:val="2"/>
            <w:tcBorders>
              <w:top w:val="single" w:color="000000" w:sz="2" w:space="0"/>
              <w:left w:val="single" w:color="000000" w:sz="2" w:space="0"/>
              <w:bottom w:val="single" w:color="000000" w:sz="2" w:space="0"/>
              <w:right w:val="single" w:color="000000" w:sz="2" w:space="0"/>
            </w:tcBorders>
            <w:shd w:val="clear" w:color="auto" w:fill="auto"/>
            <w:tcMar>
              <w:left w:w="108" w:type="dxa"/>
              <w:right w:w="108" w:type="dxa"/>
            </w:tcMar>
            <w:vAlign w:val="center"/>
          </w:tcPr>
          <w:p w14:paraId="1BD5A122">
            <w:pPr>
              <w:pStyle w:val="1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leftChars="0" w:firstLine="0" w:firstLineChars="0"/>
              <w:jc w:val="both"/>
              <w:rPr>
                <w:highlight w:val="none"/>
              </w:rPr>
            </w:pPr>
            <w:r>
              <w:rPr>
                <w:rFonts w:hint="eastAsia" w:ascii="宋体" w:hAnsi="宋体" w:eastAsia="宋体" w:cs="宋体"/>
                <w:color w:val="000000"/>
                <w:sz w:val="18"/>
                <w:szCs w:val="18"/>
                <w:highlight w:val="none"/>
              </w:rPr>
              <w:t>人员、设备 配备情况</w:t>
            </w:r>
          </w:p>
        </w:tc>
        <w:tc>
          <w:tcPr>
            <w:tcW w:w="1675" w:type="dxa"/>
            <w:tcBorders>
              <w:top w:val="single" w:color="000000" w:sz="2" w:space="0"/>
              <w:left w:val="single" w:color="000000" w:sz="2" w:space="0"/>
              <w:bottom w:val="single" w:color="000000" w:sz="2" w:space="0"/>
              <w:right w:val="single" w:color="000000" w:sz="2" w:space="0"/>
            </w:tcBorders>
            <w:shd w:val="clear" w:color="auto" w:fill="auto"/>
            <w:tcMar>
              <w:left w:w="108" w:type="dxa"/>
              <w:right w:w="108" w:type="dxa"/>
            </w:tcMar>
            <w:vAlign w:val="center"/>
          </w:tcPr>
          <w:p w14:paraId="10C31212">
            <w:pPr>
              <w:pStyle w:val="1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leftChars="0" w:firstLine="0" w:firstLineChars="0"/>
              <w:jc w:val="both"/>
              <w:rPr>
                <w:highlight w:val="none"/>
              </w:rPr>
            </w:pPr>
            <w:r>
              <w:rPr>
                <w:rFonts w:hint="eastAsia" w:ascii="宋体" w:hAnsi="宋体" w:eastAsia="宋体" w:cs="宋体"/>
                <w:color w:val="000000"/>
                <w:sz w:val="18"/>
                <w:szCs w:val="18"/>
                <w:highlight w:val="none"/>
              </w:rPr>
              <w:t>行业、安全标准</w:t>
            </w:r>
          </w:p>
        </w:tc>
        <w:tc>
          <w:tcPr>
            <w:tcW w:w="2233" w:type="dxa"/>
            <w:tcBorders>
              <w:top w:val="single" w:color="000000" w:sz="2" w:space="0"/>
              <w:left w:val="single" w:color="000000" w:sz="2" w:space="0"/>
              <w:bottom w:val="single" w:color="000000" w:sz="2" w:space="0"/>
              <w:right w:val="single" w:color="000000" w:sz="2" w:space="0"/>
            </w:tcBorders>
            <w:shd w:val="clear" w:color="auto" w:fill="auto"/>
            <w:tcMar>
              <w:left w:w="108" w:type="dxa"/>
              <w:right w:w="108" w:type="dxa"/>
            </w:tcMar>
            <w:vAlign w:val="center"/>
          </w:tcPr>
          <w:p w14:paraId="2A1D9139">
            <w:pPr>
              <w:pStyle w:val="1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leftChars="0" w:firstLine="0" w:firstLineChars="0"/>
              <w:jc w:val="both"/>
              <w:rPr>
                <w:highlight w:val="none"/>
              </w:rPr>
            </w:pPr>
            <w:r>
              <w:rPr>
                <w:rFonts w:hint="eastAsia" w:ascii="宋体" w:hAnsi="宋体" w:eastAsia="宋体" w:cs="宋体"/>
                <w:color w:val="000000"/>
                <w:sz w:val="18"/>
                <w:szCs w:val="18"/>
                <w:highlight w:val="none"/>
              </w:rPr>
              <w:t>项目需求、服务承诺</w:t>
            </w:r>
          </w:p>
        </w:tc>
        <w:tc>
          <w:tcPr>
            <w:tcW w:w="2496" w:type="dxa"/>
            <w:tcBorders>
              <w:top w:val="single" w:color="000000" w:sz="2" w:space="0"/>
              <w:left w:val="single" w:color="000000" w:sz="2" w:space="0"/>
              <w:bottom w:val="single" w:color="000000" w:sz="2" w:space="0"/>
              <w:right w:val="single" w:color="000000" w:sz="2" w:space="0"/>
            </w:tcBorders>
            <w:shd w:val="clear" w:color="auto" w:fill="auto"/>
            <w:tcMar>
              <w:left w:w="108" w:type="dxa"/>
              <w:right w:w="108" w:type="dxa"/>
            </w:tcMar>
            <w:vAlign w:val="center"/>
          </w:tcPr>
          <w:p w14:paraId="617903E7">
            <w:pPr>
              <w:pStyle w:val="1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leftChars="0" w:firstLine="0" w:firstLineChars="0"/>
              <w:jc w:val="both"/>
              <w:rPr>
                <w:highlight w:val="none"/>
              </w:rPr>
            </w:pPr>
            <w:r>
              <w:rPr>
                <w:rFonts w:hint="eastAsia" w:ascii="宋体" w:hAnsi="宋体" w:eastAsia="宋体" w:cs="宋体"/>
                <w:color w:val="000000"/>
                <w:sz w:val="18"/>
                <w:szCs w:val="18"/>
                <w:highlight w:val="none"/>
              </w:rPr>
              <w:t>合同履约时间、地点、方式</w:t>
            </w:r>
          </w:p>
        </w:tc>
      </w:tr>
      <w:tr w14:paraId="376653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CellMar>
            <w:top w:w="0" w:type="dxa"/>
            <w:left w:w="0" w:type="dxa"/>
            <w:bottom w:w="0" w:type="dxa"/>
            <w:right w:w="0" w:type="dxa"/>
          </w:tblCellMar>
        </w:tblPrEx>
        <w:trPr>
          <w:trHeight w:val="1119" w:hRule="atLeast"/>
          <w:tblCellSpacing w:w="0" w:type="dxa"/>
        </w:trPr>
        <w:tc>
          <w:tcPr>
            <w:tcW w:w="1608" w:type="dxa"/>
            <w:vMerge w:val="continue"/>
            <w:tcBorders>
              <w:top w:val="single" w:color="000000" w:sz="2" w:space="0"/>
              <w:left w:val="single" w:color="000000" w:sz="2" w:space="0"/>
              <w:bottom w:val="single" w:color="000000" w:sz="2" w:space="0"/>
              <w:right w:val="single" w:color="000000" w:sz="2" w:space="0"/>
            </w:tcBorders>
            <w:shd w:val="clear" w:color="auto" w:fill="auto"/>
            <w:tcMar>
              <w:left w:w="108" w:type="dxa"/>
              <w:right w:w="108" w:type="dxa"/>
            </w:tcMar>
            <w:vAlign w:val="center"/>
          </w:tcPr>
          <w:p w14:paraId="12E723F2">
            <w:pPr>
              <w:rPr>
                <w:rFonts w:hint="eastAsia" w:ascii="宋体"/>
                <w:sz w:val="24"/>
                <w:szCs w:val="24"/>
                <w:highlight w:val="none"/>
              </w:rPr>
            </w:pPr>
          </w:p>
        </w:tc>
        <w:tc>
          <w:tcPr>
            <w:tcW w:w="2002" w:type="dxa"/>
            <w:gridSpan w:val="2"/>
            <w:tcBorders>
              <w:top w:val="single" w:color="000000" w:sz="2" w:space="0"/>
              <w:left w:val="single" w:color="000000" w:sz="2" w:space="0"/>
              <w:bottom w:val="single" w:color="000000" w:sz="2" w:space="0"/>
              <w:right w:val="single" w:color="000000" w:sz="2" w:space="0"/>
            </w:tcBorders>
            <w:shd w:val="clear" w:color="auto" w:fill="auto"/>
            <w:tcMar>
              <w:left w:w="108" w:type="dxa"/>
              <w:right w:w="108" w:type="dxa"/>
            </w:tcMar>
            <w:vAlign w:val="center"/>
          </w:tcPr>
          <w:p w14:paraId="7056C0FF">
            <w:pPr>
              <w:pStyle w:val="1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highlight w:val="none"/>
              </w:rPr>
            </w:pPr>
            <w:r>
              <w:rPr>
                <w:rFonts w:hint="eastAsia" w:ascii="宋体" w:hAnsi="宋体" w:eastAsia="宋体" w:cs="宋体"/>
                <w:color w:val="000000"/>
                <w:sz w:val="18"/>
                <w:szCs w:val="18"/>
                <w:highlight w:val="none"/>
              </w:rPr>
              <w:t>合 格 □</w:t>
            </w:r>
          </w:p>
          <w:p w14:paraId="43674B8F">
            <w:pPr>
              <w:pStyle w:val="1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highlight w:val="none"/>
              </w:rPr>
            </w:pPr>
            <w:r>
              <w:rPr>
                <w:highlight w:val="none"/>
              </w:rPr>
              <w:t> </w:t>
            </w:r>
          </w:p>
          <w:p w14:paraId="74646A26">
            <w:pPr>
              <w:pStyle w:val="1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highlight w:val="none"/>
              </w:rPr>
            </w:pPr>
            <w:r>
              <w:rPr>
                <w:rFonts w:hint="eastAsia" w:ascii="宋体" w:hAnsi="宋体" w:eastAsia="宋体" w:cs="宋体"/>
                <w:color w:val="000000"/>
                <w:sz w:val="18"/>
                <w:szCs w:val="18"/>
                <w:highlight w:val="none"/>
              </w:rPr>
              <w:t>不合格□</w:t>
            </w:r>
          </w:p>
        </w:tc>
        <w:tc>
          <w:tcPr>
            <w:tcW w:w="1920" w:type="dxa"/>
            <w:tcBorders>
              <w:top w:val="single" w:color="000000" w:sz="2" w:space="0"/>
              <w:left w:val="single" w:color="000000" w:sz="2" w:space="0"/>
              <w:bottom w:val="single" w:color="000000" w:sz="2" w:space="0"/>
              <w:right w:val="single" w:color="000000" w:sz="2" w:space="0"/>
            </w:tcBorders>
            <w:shd w:val="clear" w:color="auto" w:fill="auto"/>
            <w:tcMar>
              <w:left w:w="108" w:type="dxa"/>
              <w:right w:w="108" w:type="dxa"/>
            </w:tcMar>
            <w:vAlign w:val="center"/>
          </w:tcPr>
          <w:p w14:paraId="56B91D1C">
            <w:pPr>
              <w:pStyle w:val="1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highlight w:val="none"/>
              </w:rPr>
            </w:pPr>
            <w:r>
              <w:rPr>
                <w:rFonts w:hint="eastAsia" w:ascii="宋体" w:hAnsi="宋体" w:eastAsia="宋体" w:cs="宋体"/>
                <w:color w:val="000000"/>
                <w:sz w:val="18"/>
                <w:szCs w:val="18"/>
                <w:highlight w:val="none"/>
              </w:rPr>
              <w:t>按 时 □</w:t>
            </w:r>
          </w:p>
          <w:p w14:paraId="7A14838D">
            <w:pPr>
              <w:pStyle w:val="1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highlight w:val="none"/>
              </w:rPr>
            </w:pPr>
            <w:r>
              <w:rPr>
                <w:highlight w:val="none"/>
              </w:rPr>
              <w:t> </w:t>
            </w:r>
          </w:p>
          <w:p w14:paraId="71197FCF">
            <w:pPr>
              <w:pStyle w:val="1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highlight w:val="none"/>
              </w:rPr>
            </w:pPr>
            <w:r>
              <w:rPr>
                <w:rFonts w:hint="eastAsia" w:ascii="宋体" w:hAnsi="宋体" w:eastAsia="宋体" w:cs="宋体"/>
                <w:color w:val="000000"/>
                <w:sz w:val="18"/>
                <w:szCs w:val="18"/>
                <w:highlight w:val="none"/>
              </w:rPr>
              <w:t>不按时□</w:t>
            </w:r>
          </w:p>
        </w:tc>
        <w:tc>
          <w:tcPr>
            <w:tcW w:w="2287" w:type="dxa"/>
            <w:gridSpan w:val="2"/>
            <w:tcBorders>
              <w:top w:val="single" w:color="000000" w:sz="2" w:space="0"/>
              <w:left w:val="single" w:color="000000" w:sz="2" w:space="0"/>
              <w:bottom w:val="single" w:color="000000" w:sz="2" w:space="0"/>
              <w:right w:val="single" w:color="000000" w:sz="2" w:space="0"/>
            </w:tcBorders>
            <w:shd w:val="clear" w:color="auto" w:fill="auto"/>
            <w:tcMar>
              <w:left w:w="108" w:type="dxa"/>
              <w:right w:w="108" w:type="dxa"/>
            </w:tcMar>
            <w:vAlign w:val="center"/>
          </w:tcPr>
          <w:p w14:paraId="0B6CD37C">
            <w:pPr>
              <w:pStyle w:val="1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highlight w:val="none"/>
              </w:rPr>
            </w:pPr>
            <w:r>
              <w:rPr>
                <w:rFonts w:hint="eastAsia" w:ascii="宋体" w:hAnsi="宋体" w:eastAsia="宋体" w:cs="宋体"/>
                <w:color w:val="000000"/>
                <w:sz w:val="18"/>
                <w:szCs w:val="18"/>
                <w:highlight w:val="none"/>
              </w:rPr>
              <w:t>合 格 □</w:t>
            </w:r>
          </w:p>
          <w:p w14:paraId="34BD4E62">
            <w:pPr>
              <w:pStyle w:val="1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highlight w:val="none"/>
              </w:rPr>
            </w:pPr>
            <w:r>
              <w:rPr>
                <w:highlight w:val="none"/>
              </w:rPr>
              <w:t> </w:t>
            </w:r>
          </w:p>
          <w:p w14:paraId="1BAB1F56">
            <w:pPr>
              <w:pStyle w:val="1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highlight w:val="none"/>
              </w:rPr>
            </w:pPr>
            <w:r>
              <w:rPr>
                <w:rFonts w:hint="eastAsia" w:ascii="宋体" w:hAnsi="宋体" w:eastAsia="宋体" w:cs="宋体"/>
                <w:color w:val="000000"/>
                <w:sz w:val="18"/>
                <w:szCs w:val="18"/>
                <w:highlight w:val="none"/>
              </w:rPr>
              <w:t>不合格□</w:t>
            </w:r>
          </w:p>
        </w:tc>
        <w:tc>
          <w:tcPr>
            <w:tcW w:w="1675" w:type="dxa"/>
            <w:tcBorders>
              <w:top w:val="single" w:color="000000" w:sz="2" w:space="0"/>
              <w:left w:val="single" w:color="000000" w:sz="2" w:space="0"/>
              <w:bottom w:val="single" w:color="000000" w:sz="2" w:space="0"/>
              <w:right w:val="single" w:color="000000" w:sz="2" w:space="0"/>
            </w:tcBorders>
            <w:shd w:val="clear" w:color="auto" w:fill="auto"/>
            <w:tcMar>
              <w:left w:w="108" w:type="dxa"/>
              <w:right w:w="108" w:type="dxa"/>
            </w:tcMar>
            <w:vAlign w:val="center"/>
          </w:tcPr>
          <w:p w14:paraId="5CFE2F82">
            <w:pPr>
              <w:pStyle w:val="1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highlight w:val="none"/>
              </w:rPr>
            </w:pPr>
            <w:r>
              <w:rPr>
                <w:rFonts w:hint="eastAsia" w:ascii="宋体" w:hAnsi="宋体" w:eastAsia="宋体" w:cs="宋体"/>
                <w:color w:val="000000"/>
                <w:sz w:val="18"/>
                <w:szCs w:val="18"/>
                <w:highlight w:val="none"/>
              </w:rPr>
              <w:t>合 格 □</w:t>
            </w:r>
          </w:p>
          <w:p w14:paraId="1EC5093B">
            <w:pPr>
              <w:pStyle w:val="1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highlight w:val="none"/>
              </w:rPr>
            </w:pPr>
            <w:r>
              <w:rPr>
                <w:highlight w:val="none"/>
              </w:rPr>
              <w:t> </w:t>
            </w:r>
          </w:p>
          <w:p w14:paraId="10FE77C5">
            <w:pPr>
              <w:pStyle w:val="1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highlight w:val="none"/>
              </w:rPr>
            </w:pPr>
            <w:r>
              <w:rPr>
                <w:rFonts w:hint="eastAsia" w:ascii="宋体" w:hAnsi="宋体" w:eastAsia="宋体" w:cs="宋体"/>
                <w:color w:val="000000"/>
                <w:sz w:val="18"/>
                <w:szCs w:val="18"/>
                <w:highlight w:val="none"/>
              </w:rPr>
              <w:t>不合格□</w:t>
            </w:r>
          </w:p>
        </w:tc>
        <w:tc>
          <w:tcPr>
            <w:tcW w:w="2233" w:type="dxa"/>
            <w:tcBorders>
              <w:top w:val="single" w:color="000000" w:sz="2" w:space="0"/>
              <w:left w:val="single" w:color="000000" w:sz="2" w:space="0"/>
              <w:bottom w:val="single" w:color="000000" w:sz="2" w:space="0"/>
              <w:right w:val="single" w:color="000000" w:sz="2" w:space="0"/>
            </w:tcBorders>
            <w:shd w:val="clear" w:color="auto" w:fill="auto"/>
            <w:tcMar>
              <w:left w:w="108" w:type="dxa"/>
              <w:right w:w="108" w:type="dxa"/>
            </w:tcMar>
            <w:vAlign w:val="center"/>
          </w:tcPr>
          <w:p w14:paraId="5FCC6BCF">
            <w:pPr>
              <w:pStyle w:val="1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highlight w:val="none"/>
              </w:rPr>
            </w:pPr>
            <w:r>
              <w:rPr>
                <w:rFonts w:hint="eastAsia" w:ascii="宋体" w:hAnsi="宋体" w:eastAsia="宋体" w:cs="宋体"/>
                <w:color w:val="000000"/>
                <w:sz w:val="18"/>
                <w:szCs w:val="18"/>
                <w:highlight w:val="none"/>
              </w:rPr>
              <w:t>合 格 □</w:t>
            </w:r>
          </w:p>
          <w:p w14:paraId="0706E8F3">
            <w:pPr>
              <w:pStyle w:val="1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highlight w:val="none"/>
              </w:rPr>
            </w:pPr>
            <w:r>
              <w:rPr>
                <w:highlight w:val="none"/>
              </w:rPr>
              <w:t> </w:t>
            </w:r>
          </w:p>
          <w:p w14:paraId="104B4857">
            <w:pPr>
              <w:pStyle w:val="1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highlight w:val="none"/>
              </w:rPr>
            </w:pPr>
            <w:r>
              <w:rPr>
                <w:rFonts w:hint="eastAsia" w:ascii="宋体" w:hAnsi="宋体" w:eastAsia="宋体" w:cs="宋体"/>
                <w:color w:val="000000"/>
                <w:sz w:val="18"/>
                <w:szCs w:val="18"/>
                <w:highlight w:val="none"/>
              </w:rPr>
              <w:t>不合格□</w:t>
            </w:r>
          </w:p>
        </w:tc>
        <w:tc>
          <w:tcPr>
            <w:tcW w:w="2496" w:type="dxa"/>
            <w:tcBorders>
              <w:top w:val="single" w:color="000000" w:sz="2" w:space="0"/>
              <w:left w:val="single" w:color="000000" w:sz="2" w:space="0"/>
              <w:bottom w:val="single" w:color="000000" w:sz="2" w:space="0"/>
              <w:right w:val="single" w:color="000000" w:sz="2" w:space="0"/>
            </w:tcBorders>
            <w:shd w:val="clear" w:color="auto" w:fill="auto"/>
            <w:tcMar>
              <w:left w:w="108" w:type="dxa"/>
              <w:right w:w="108" w:type="dxa"/>
            </w:tcMar>
            <w:vAlign w:val="center"/>
          </w:tcPr>
          <w:p w14:paraId="6BECB19C">
            <w:pPr>
              <w:pStyle w:val="1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highlight w:val="none"/>
              </w:rPr>
            </w:pPr>
            <w:r>
              <w:rPr>
                <w:rFonts w:hint="eastAsia" w:ascii="宋体" w:hAnsi="宋体" w:eastAsia="宋体" w:cs="宋体"/>
                <w:color w:val="000000"/>
                <w:sz w:val="18"/>
                <w:szCs w:val="18"/>
                <w:highlight w:val="none"/>
              </w:rPr>
              <w:t>合 格 □</w:t>
            </w:r>
          </w:p>
          <w:p w14:paraId="696EFA7E">
            <w:pPr>
              <w:pStyle w:val="1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highlight w:val="none"/>
              </w:rPr>
            </w:pPr>
            <w:r>
              <w:rPr>
                <w:highlight w:val="none"/>
              </w:rPr>
              <w:t> </w:t>
            </w:r>
          </w:p>
          <w:p w14:paraId="25D34646">
            <w:pPr>
              <w:pStyle w:val="1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highlight w:val="none"/>
              </w:rPr>
            </w:pPr>
            <w:r>
              <w:rPr>
                <w:rFonts w:hint="eastAsia" w:ascii="宋体" w:hAnsi="宋体" w:eastAsia="宋体" w:cs="宋体"/>
                <w:color w:val="000000"/>
                <w:sz w:val="18"/>
                <w:szCs w:val="18"/>
                <w:highlight w:val="none"/>
              </w:rPr>
              <w:t>不合格□</w:t>
            </w:r>
          </w:p>
        </w:tc>
      </w:tr>
      <w:tr w14:paraId="110C8D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CellMar>
            <w:top w:w="0" w:type="dxa"/>
            <w:left w:w="0" w:type="dxa"/>
            <w:bottom w:w="0" w:type="dxa"/>
            <w:right w:w="0" w:type="dxa"/>
          </w:tblCellMar>
        </w:tblPrEx>
        <w:trPr>
          <w:trHeight w:val="1118" w:hRule="atLeast"/>
          <w:tblCellSpacing w:w="0" w:type="dxa"/>
        </w:trPr>
        <w:tc>
          <w:tcPr>
            <w:tcW w:w="1608" w:type="dxa"/>
            <w:tcBorders>
              <w:top w:val="single" w:color="000000" w:sz="2" w:space="0"/>
              <w:left w:val="single" w:color="000000" w:sz="2" w:space="0"/>
              <w:bottom w:val="single" w:color="000000" w:sz="2" w:space="0"/>
              <w:right w:val="single" w:color="000000" w:sz="2" w:space="0"/>
            </w:tcBorders>
            <w:shd w:val="clear" w:color="auto" w:fill="auto"/>
            <w:tcMar>
              <w:left w:w="108" w:type="dxa"/>
              <w:right w:w="108" w:type="dxa"/>
            </w:tcMar>
            <w:vAlign w:val="center"/>
          </w:tcPr>
          <w:p w14:paraId="5AC41F5C">
            <w:pPr>
              <w:pStyle w:val="1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leftChars="0" w:firstLine="0" w:firstLineChars="0"/>
              <w:jc w:val="both"/>
              <w:rPr>
                <w:highlight w:val="none"/>
              </w:rPr>
            </w:pPr>
            <w:r>
              <w:rPr>
                <w:rFonts w:hint="eastAsia" w:ascii="宋体" w:hAnsi="宋体" w:eastAsia="宋体" w:cs="宋体"/>
                <w:color w:val="000000"/>
                <w:sz w:val="18"/>
                <w:szCs w:val="18"/>
                <w:highlight w:val="none"/>
              </w:rPr>
              <w:t>专业检测机构情</w:t>
            </w:r>
          </w:p>
          <w:p w14:paraId="1B0CD9ED">
            <w:pPr>
              <w:pStyle w:val="1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left"/>
              <w:rPr>
                <w:highlight w:val="none"/>
              </w:rPr>
            </w:pPr>
            <w:r>
              <w:rPr>
                <w:rFonts w:hint="eastAsia" w:ascii="宋体" w:hAnsi="宋体" w:eastAsia="宋体" w:cs="宋体"/>
                <w:color w:val="000000"/>
                <w:sz w:val="18"/>
                <w:szCs w:val="18"/>
                <w:highlight w:val="none"/>
              </w:rPr>
              <w:t>况说明</w:t>
            </w:r>
          </w:p>
        </w:tc>
        <w:tc>
          <w:tcPr>
            <w:tcW w:w="12613" w:type="dxa"/>
            <w:gridSpan w:val="8"/>
            <w:tcBorders>
              <w:top w:val="single" w:color="000000" w:sz="2" w:space="0"/>
              <w:left w:val="single" w:color="000000" w:sz="2" w:space="0"/>
              <w:bottom w:val="single" w:color="000000" w:sz="2" w:space="0"/>
              <w:right w:val="single" w:color="000000" w:sz="2" w:space="0"/>
            </w:tcBorders>
            <w:shd w:val="clear" w:color="auto" w:fill="auto"/>
            <w:tcMar>
              <w:left w:w="108" w:type="dxa"/>
              <w:right w:w="108" w:type="dxa"/>
            </w:tcMar>
            <w:vAlign w:val="center"/>
          </w:tcPr>
          <w:p w14:paraId="0AB77188">
            <w:pPr>
              <w:pStyle w:val="1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highlight w:val="none"/>
              </w:rPr>
            </w:pPr>
            <w:r>
              <w:rPr>
                <w:rFonts w:hint="eastAsia"/>
                <w:highlight w:val="none"/>
                <w:lang w:val="en-US" w:eastAsia="zh-CN"/>
              </w:rPr>
              <w:t>/</w:t>
            </w:r>
            <w:r>
              <w:rPr>
                <w:highlight w:val="none"/>
              </w:rPr>
              <w:t> </w:t>
            </w:r>
          </w:p>
        </w:tc>
      </w:tr>
      <w:tr w14:paraId="24BA26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CellMar>
            <w:top w:w="0" w:type="dxa"/>
            <w:left w:w="0" w:type="dxa"/>
            <w:bottom w:w="0" w:type="dxa"/>
            <w:right w:w="0" w:type="dxa"/>
          </w:tblCellMar>
        </w:tblPrEx>
        <w:trPr>
          <w:trHeight w:val="1117" w:hRule="atLeast"/>
          <w:tblCellSpacing w:w="0" w:type="dxa"/>
        </w:trPr>
        <w:tc>
          <w:tcPr>
            <w:tcW w:w="1608" w:type="dxa"/>
            <w:tcBorders>
              <w:top w:val="single" w:color="000000" w:sz="2" w:space="0"/>
              <w:left w:val="single" w:color="000000" w:sz="2" w:space="0"/>
              <w:bottom w:val="single" w:color="000000" w:sz="2" w:space="0"/>
              <w:right w:val="single" w:color="000000" w:sz="2" w:space="0"/>
            </w:tcBorders>
            <w:shd w:val="clear" w:color="auto" w:fill="auto"/>
            <w:tcMar>
              <w:left w:w="108" w:type="dxa"/>
              <w:right w:w="108" w:type="dxa"/>
            </w:tcMar>
            <w:vAlign w:val="center"/>
          </w:tcPr>
          <w:p w14:paraId="026C74CE">
            <w:pPr>
              <w:pStyle w:val="1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leftChars="0" w:firstLine="0" w:firstLineChars="0"/>
              <w:jc w:val="center"/>
              <w:rPr>
                <w:highlight w:val="none"/>
              </w:rPr>
            </w:pPr>
            <w:r>
              <w:rPr>
                <w:rFonts w:hint="eastAsia" w:ascii="宋体" w:hAnsi="宋体" w:eastAsia="宋体" w:cs="宋体"/>
                <w:color w:val="000000"/>
                <w:sz w:val="18"/>
                <w:szCs w:val="18"/>
                <w:highlight w:val="none"/>
              </w:rPr>
              <w:t>存在问题和改进意见</w:t>
            </w:r>
          </w:p>
        </w:tc>
        <w:tc>
          <w:tcPr>
            <w:tcW w:w="12613" w:type="dxa"/>
            <w:gridSpan w:val="8"/>
            <w:tcBorders>
              <w:top w:val="single" w:color="000000" w:sz="2" w:space="0"/>
              <w:left w:val="single" w:color="000000" w:sz="2" w:space="0"/>
              <w:bottom w:val="single" w:color="000000" w:sz="2" w:space="0"/>
              <w:right w:val="single" w:color="000000" w:sz="2" w:space="0"/>
            </w:tcBorders>
            <w:shd w:val="clear" w:color="auto" w:fill="auto"/>
            <w:tcMar>
              <w:left w:w="108" w:type="dxa"/>
              <w:right w:w="108" w:type="dxa"/>
            </w:tcMar>
            <w:vAlign w:val="center"/>
          </w:tcPr>
          <w:p w14:paraId="6981E225">
            <w:pPr>
              <w:pStyle w:val="1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highlight w:val="none"/>
              </w:rPr>
            </w:pPr>
            <w:r>
              <w:rPr>
                <w:highlight w:val="none"/>
              </w:rPr>
              <w:t> </w:t>
            </w:r>
          </w:p>
        </w:tc>
      </w:tr>
      <w:tr w14:paraId="35C905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CellMar>
            <w:top w:w="0" w:type="dxa"/>
            <w:left w:w="0" w:type="dxa"/>
            <w:bottom w:w="0" w:type="dxa"/>
            <w:right w:w="0" w:type="dxa"/>
          </w:tblCellMar>
        </w:tblPrEx>
        <w:trPr>
          <w:trHeight w:val="1117" w:hRule="atLeast"/>
          <w:tblCellSpacing w:w="0" w:type="dxa"/>
        </w:trPr>
        <w:tc>
          <w:tcPr>
            <w:tcW w:w="1608" w:type="dxa"/>
            <w:tcBorders>
              <w:top w:val="single" w:color="000000" w:sz="2" w:space="0"/>
              <w:left w:val="single" w:color="000000" w:sz="2" w:space="0"/>
              <w:bottom w:val="single" w:color="000000" w:sz="2" w:space="0"/>
              <w:right w:val="single" w:color="000000" w:sz="2" w:space="0"/>
            </w:tcBorders>
            <w:shd w:val="clear" w:color="auto" w:fill="auto"/>
            <w:tcMar>
              <w:left w:w="108" w:type="dxa"/>
              <w:right w:w="108" w:type="dxa"/>
            </w:tcMar>
            <w:vAlign w:val="center"/>
          </w:tcPr>
          <w:p w14:paraId="2E928F57">
            <w:pPr>
              <w:pStyle w:val="1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leftChars="0" w:firstLine="0" w:firstLineChars="0"/>
              <w:jc w:val="center"/>
              <w:rPr>
                <w:highlight w:val="none"/>
              </w:rPr>
            </w:pPr>
            <w:r>
              <w:rPr>
                <w:rFonts w:hint="eastAsia" w:ascii="宋体" w:hAnsi="宋体" w:eastAsia="宋体" w:cs="宋体"/>
                <w:color w:val="000000"/>
                <w:sz w:val="18"/>
                <w:szCs w:val="18"/>
                <w:highlight w:val="none"/>
              </w:rPr>
              <w:t>最终结论</w:t>
            </w:r>
          </w:p>
        </w:tc>
        <w:tc>
          <w:tcPr>
            <w:tcW w:w="12613" w:type="dxa"/>
            <w:gridSpan w:val="8"/>
            <w:tcBorders>
              <w:top w:val="single" w:color="000000" w:sz="2" w:space="0"/>
              <w:left w:val="single" w:color="000000" w:sz="2" w:space="0"/>
              <w:bottom w:val="single" w:color="000000" w:sz="2" w:space="0"/>
              <w:right w:val="single" w:color="000000" w:sz="2" w:space="0"/>
            </w:tcBorders>
            <w:shd w:val="clear" w:color="auto" w:fill="auto"/>
            <w:tcMar>
              <w:left w:w="108" w:type="dxa"/>
              <w:right w:w="108" w:type="dxa"/>
            </w:tcMar>
            <w:vAlign w:val="center"/>
          </w:tcPr>
          <w:p w14:paraId="0A16451B">
            <w:pPr>
              <w:pStyle w:val="1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highlight w:val="none"/>
              </w:rPr>
            </w:pPr>
            <w:r>
              <w:rPr>
                <w:rFonts w:hint="eastAsia" w:ascii="宋体" w:hAnsi="宋体" w:eastAsia="宋体" w:cs="宋体"/>
                <w:color w:val="000000"/>
                <w:sz w:val="18"/>
                <w:szCs w:val="18"/>
                <w:highlight w:val="none"/>
              </w:rPr>
              <w:t>合 格 □不合格□</w:t>
            </w:r>
          </w:p>
        </w:tc>
      </w:tr>
      <w:tr w14:paraId="05E2B4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CellMar>
            <w:top w:w="0" w:type="dxa"/>
            <w:left w:w="0" w:type="dxa"/>
            <w:bottom w:w="0" w:type="dxa"/>
            <w:right w:w="0" w:type="dxa"/>
          </w:tblCellMar>
        </w:tblPrEx>
        <w:trPr>
          <w:trHeight w:val="1117" w:hRule="atLeast"/>
          <w:tblCellSpacing w:w="0" w:type="dxa"/>
        </w:trPr>
        <w:tc>
          <w:tcPr>
            <w:tcW w:w="1608" w:type="dxa"/>
            <w:tcBorders>
              <w:top w:val="single" w:color="000000" w:sz="2" w:space="0"/>
              <w:left w:val="single" w:color="000000" w:sz="2" w:space="0"/>
              <w:bottom w:val="single" w:color="000000" w:sz="2" w:space="0"/>
              <w:right w:val="single" w:color="000000" w:sz="2" w:space="0"/>
            </w:tcBorders>
            <w:shd w:val="clear" w:color="auto" w:fill="auto"/>
            <w:tcMar>
              <w:left w:w="108" w:type="dxa"/>
              <w:right w:w="108" w:type="dxa"/>
            </w:tcMar>
            <w:vAlign w:val="center"/>
          </w:tcPr>
          <w:p w14:paraId="7AF61A41">
            <w:pPr>
              <w:pStyle w:val="1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leftChars="0" w:right="155" w:firstLine="0" w:firstLineChars="0"/>
              <w:jc w:val="center"/>
              <w:rPr>
                <w:highlight w:val="none"/>
              </w:rPr>
            </w:pPr>
            <w:r>
              <w:rPr>
                <w:rFonts w:hint="eastAsia" w:ascii="宋体" w:hAnsi="宋体" w:eastAsia="宋体" w:cs="宋体"/>
                <w:color w:val="000000"/>
                <w:sz w:val="18"/>
                <w:szCs w:val="18"/>
                <w:highlight w:val="none"/>
              </w:rPr>
              <w:t>验收小组成员签字</w:t>
            </w:r>
          </w:p>
        </w:tc>
        <w:tc>
          <w:tcPr>
            <w:tcW w:w="12613" w:type="dxa"/>
            <w:gridSpan w:val="8"/>
            <w:tcBorders>
              <w:top w:val="single" w:color="000000" w:sz="2" w:space="0"/>
              <w:left w:val="single" w:color="000000" w:sz="2" w:space="0"/>
              <w:bottom w:val="single" w:color="000000" w:sz="2" w:space="0"/>
              <w:right w:val="single" w:color="000000" w:sz="2" w:space="0"/>
            </w:tcBorders>
            <w:shd w:val="clear" w:color="auto" w:fill="auto"/>
            <w:tcMar>
              <w:left w:w="108" w:type="dxa"/>
              <w:right w:w="108" w:type="dxa"/>
            </w:tcMar>
            <w:vAlign w:val="center"/>
          </w:tcPr>
          <w:p w14:paraId="182DCE3E">
            <w:pPr>
              <w:pStyle w:val="1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highlight w:val="none"/>
              </w:rPr>
            </w:pPr>
            <w:r>
              <w:rPr>
                <w:highlight w:val="none"/>
              </w:rPr>
              <w:t> </w:t>
            </w:r>
          </w:p>
        </w:tc>
      </w:tr>
      <w:tr w14:paraId="26360D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CellMar>
            <w:top w:w="0" w:type="dxa"/>
            <w:left w:w="0" w:type="dxa"/>
            <w:bottom w:w="0" w:type="dxa"/>
            <w:right w:w="0" w:type="dxa"/>
          </w:tblCellMar>
        </w:tblPrEx>
        <w:trPr>
          <w:trHeight w:val="1117" w:hRule="atLeast"/>
          <w:tblCellSpacing w:w="0" w:type="dxa"/>
        </w:trPr>
        <w:tc>
          <w:tcPr>
            <w:tcW w:w="7283" w:type="dxa"/>
            <w:gridSpan w:val="5"/>
            <w:tcBorders>
              <w:top w:val="single" w:color="000000" w:sz="2" w:space="0"/>
              <w:left w:val="single" w:color="000000" w:sz="2" w:space="0"/>
              <w:bottom w:val="single" w:color="000000" w:sz="2" w:space="0"/>
              <w:right w:val="single" w:color="000000" w:sz="2" w:space="0"/>
            </w:tcBorders>
            <w:shd w:val="clear" w:color="auto" w:fill="auto"/>
            <w:tcMar>
              <w:left w:w="108" w:type="dxa"/>
              <w:right w:w="108" w:type="dxa"/>
            </w:tcMar>
            <w:vAlign w:val="center"/>
          </w:tcPr>
          <w:p w14:paraId="71B9263C">
            <w:pPr>
              <w:pStyle w:val="1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highlight w:val="none"/>
              </w:rPr>
            </w:pPr>
            <w:r>
              <w:rPr>
                <w:rFonts w:hint="eastAsia" w:ascii="宋体" w:hAnsi="宋体" w:eastAsia="宋体" w:cs="宋体"/>
                <w:color w:val="000000"/>
                <w:sz w:val="18"/>
                <w:szCs w:val="18"/>
                <w:highlight w:val="none"/>
              </w:rPr>
              <w:t>采购代理机构意见</w:t>
            </w:r>
          </w:p>
        </w:tc>
        <w:tc>
          <w:tcPr>
            <w:tcW w:w="6938" w:type="dxa"/>
            <w:gridSpan w:val="4"/>
            <w:tcBorders>
              <w:top w:val="single" w:color="000000" w:sz="2" w:space="0"/>
              <w:left w:val="single" w:color="000000" w:sz="2" w:space="0"/>
              <w:bottom w:val="single" w:color="000000" w:sz="2" w:space="0"/>
              <w:right w:val="single" w:color="000000" w:sz="2" w:space="0"/>
            </w:tcBorders>
            <w:shd w:val="clear" w:color="auto" w:fill="auto"/>
            <w:tcMar>
              <w:left w:w="108" w:type="dxa"/>
              <w:right w:w="108" w:type="dxa"/>
            </w:tcMar>
            <w:vAlign w:val="center"/>
          </w:tcPr>
          <w:p w14:paraId="22846D6F">
            <w:pPr>
              <w:pStyle w:val="1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highlight w:val="none"/>
              </w:rPr>
            </w:pPr>
            <w:r>
              <w:rPr>
                <w:rFonts w:hint="eastAsia" w:ascii="宋体" w:hAnsi="宋体" w:eastAsia="宋体" w:cs="宋体"/>
                <w:color w:val="000000"/>
                <w:sz w:val="18"/>
                <w:szCs w:val="18"/>
                <w:highlight w:val="none"/>
              </w:rPr>
              <w:t>采购人意见</w:t>
            </w:r>
          </w:p>
        </w:tc>
      </w:tr>
      <w:tr w14:paraId="3AD054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CellMar>
            <w:top w:w="0" w:type="dxa"/>
            <w:left w:w="0" w:type="dxa"/>
            <w:bottom w:w="0" w:type="dxa"/>
            <w:right w:w="0" w:type="dxa"/>
          </w:tblCellMar>
        </w:tblPrEx>
        <w:trPr>
          <w:trHeight w:val="1117" w:hRule="atLeast"/>
          <w:tblCellSpacing w:w="0" w:type="dxa"/>
        </w:trPr>
        <w:tc>
          <w:tcPr>
            <w:tcW w:w="7283" w:type="dxa"/>
            <w:gridSpan w:val="5"/>
            <w:tcBorders>
              <w:top w:val="single" w:color="000000" w:sz="2" w:space="0"/>
              <w:left w:val="single" w:color="000000" w:sz="2" w:space="0"/>
              <w:bottom w:val="single" w:color="000000" w:sz="2" w:space="0"/>
              <w:right w:val="single" w:color="000000" w:sz="2" w:space="0"/>
            </w:tcBorders>
            <w:shd w:val="clear" w:color="auto" w:fill="auto"/>
            <w:tcMar>
              <w:left w:w="108" w:type="dxa"/>
              <w:right w:w="108" w:type="dxa"/>
            </w:tcMar>
            <w:vAlign w:val="center"/>
          </w:tcPr>
          <w:p w14:paraId="277CD9C3">
            <w:pPr>
              <w:pStyle w:val="1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rPr>
                <w:highlight w:val="none"/>
              </w:rPr>
            </w:pPr>
            <w:r>
              <w:rPr>
                <w:rFonts w:hint="eastAsia" w:ascii="宋体" w:hAnsi="宋体" w:eastAsia="宋体" w:cs="宋体"/>
                <w:color w:val="000000"/>
                <w:sz w:val="18"/>
                <w:szCs w:val="18"/>
                <w:highlight w:val="none"/>
              </w:rPr>
              <w:t>经办人：负责人：（采购代理机构公章）</w:t>
            </w:r>
          </w:p>
        </w:tc>
        <w:tc>
          <w:tcPr>
            <w:tcW w:w="6938" w:type="dxa"/>
            <w:gridSpan w:val="4"/>
            <w:tcBorders>
              <w:top w:val="single" w:color="000000" w:sz="2" w:space="0"/>
              <w:left w:val="single" w:color="000000" w:sz="2" w:space="0"/>
              <w:bottom w:val="single" w:color="000000" w:sz="2" w:space="0"/>
              <w:right w:val="single" w:color="000000" w:sz="2" w:space="0"/>
            </w:tcBorders>
            <w:shd w:val="clear" w:color="auto" w:fill="auto"/>
            <w:tcMar>
              <w:left w:w="108" w:type="dxa"/>
              <w:right w:w="108" w:type="dxa"/>
            </w:tcMar>
            <w:vAlign w:val="center"/>
          </w:tcPr>
          <w:p w14:paraId="69BB17B7">
            <w:pPr>
              <w:pStyle w:val="1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highlight w:val="none"/>
              </w:rPr>
            </w:pPr>
            <w:r>
              <w:rPr>
                <w:rFonts w:hint="eastAsia" w:ascii="宋体" w:hAnsi="宋体" w:eastAsia="宋体" w:cs="宋体"/>
                <w:color w:val="000000"/>
                <w:sz w:val="18"/>
                <w:szCs w:val="18"/>
                <w:highlight w:val="none"/>
              </w:rPr>
              <w:t>经办人：负责人：（采购代理机构公章）</w:t>
            </w:r>
          </w:p>
        </w:tc>
      </w:tr>
      <w:tr w14:paraId="370211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CellMar>
            <w:top w:w="0" w:type="dxa"/>
            <w:left w:w="0" w:type="dxa"/>
            <w:bottom w:w="0" w:type="dxa"/>
            <w:right w:w="0" w:type="dxa"/>
          </w:tblCellMar>
        </w:tblPrEx>
        <w:trPr>
          <w:trHeight w:val="1117" w:hRule="atLeast"/>
          <w:tblCellSpacing w:w="0" w:type="dxa"/>
        </w:trPr>
        <w:tc>
          <w:tcPr>
            <w:tcW w:w="14221" w:type="dxa"/>
            <w:gridSpan w:val="9"/>
            <w:tcBorders>
              <w:top w:val="single" w:color="000000" w:sz="2" w:space="0"/>
              <w:left w:val="single" w:color="000000" w:sz="2" w:space="0"/>
              <w:bottom w:val="single" w:color="000000" w:sz="2" w:space="0"/>
              <w:right w:val="single" w:color="000000" w:sz="2" w:space="0"/>
            </w:tcBorders>
            <w:shd w:val="clear" w:color="auto" w:fill="auto"/>
            <w:tcMar>
              <w:left w:w="108" w:type="dxa"/>
              <w:right w:w="108" w:type="dxa"/>
            </w:tcMar>
            <w:vAlign w:val="center"/>
          </w:tcPr>
          <w:p w14:paraId="77FCA644">
            <w:pPr>
              <w:pStyle w:val="1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107"/>
              <w:jc w:val="both"/>
              <w:rPr>
                <w:highlight w:val="none"/>
              </w:rPr>
            </w:pPr>
            <w:r>
              <w:rPr>
                <w:rFonts w:hint="eastAsia" w:ascii="宋体" w:hAnsi="宋体" w:eastAsia="宋体" w:cs="宋体"/>
                <w:color w:val="000000"/>
                <w:sz w:val="18"/>
                <w:szCs w:val="18"/>
                <w:highlight w:val="none"/>
              </w:rPr>
              <w:t>供应商确认</w:t>
            </w:r>
          </w:p>
          <w:p w14:paraId="0963DA18">
            <w:pPr>
              <w:pStyle w:val="1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107"/>
              <w:jc w:val="both"/>
              <w:rPr>
                <w:highlight w:val="none"/>
              </w:rPr>
            </w:pPr>
            <w:r>
              <w:rPr>
                <w:highlight w:val="none"/>
              </w:rPr>
              <w:t> </w:t>
            </w:r>
          </w:p>
          <w:p w14:paraId="685EC117">
            <w:pPr>
              <w:pStyle w:val="1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highlight w:val="none"/>
              </w:rPr>
            </w:pPr>
            <w:r>
              <w:rPr>
                <w:rFonts w:hint="eastAsia" w:ascii="宋体" w:hAnsi="宋体" w:eastAsia="宋体" w:cs="宋体"/>
                <w:color w:val="000000"/>
                <w:sz w:val="18"/>
                <w:szCs w:val="18"/>
                <w:highlight w:val="none"/>
              </w:rPr>
              <w:t>（单位公章或授权代表签字）</w:t>
            </w:r>
          </w:p>
        </w:tc>
      </w:tr>
    </w:tbl>
    <w:p w14:paraId="763B2498">
      <w:pPr>
        <w:pStyle w:val="1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highlight w:val="none"/>
        </w:rPr>
      </w:pPr>
      <w:r>
        <w:rPr>
          <w:highlight w:val="none"/>
        </w:rPr>
        <w:t> </w:t>
      </w:r>
    </w:p>
    <w:p w14:paraId="5233F938">
      <w:pPr>
        <w:rPr>
          <w:sz w:val="24"/>
          <w:szCs w:val="24"/>
          <w:highlight w:val="none"/>
        </w:rPr>
        <w:sectPr>
          <w:footerReference r:id="rId4" w:type="default"/>
          <w:pgSz w:w="16840" w:h="11907" w:orient="landscape"/>
          <w:pgMar w:top="1814" w:right="1474" w:bottom="1814" w:left="1474" w:header="851" w:footer="851" w:gutter="0"/>
          <w:cols w:space="720" w:num="1"/>
          <w:docGrid w:linePitch="462" w:charSpace="0"/>
        </w:sectPr>
      </w:pPr>
    </w:p>
    <w:p w14:paraId="79899739">
      <w:pPr>
        <w:rPr>
          <w:highlight w:val="none"/>
        </w:rPr>
      </w:pPr>
    </w:p>
    <w:p w14:paraId="75B81232">
      <w:pPr>
        <w:pStyle w:val="35"/>
        <w:ind w:left="0" w:leftChars="0" w:firstLine="0" w:firstLineChars="0"/>
        <w:outlineLvl w:val="0"/>
        <w:rPr>
          <w:highlight w:val="none"/>
        </w:rPr>
      </w:pPr>
      <w:r>
        <w:rPr>
          <w:highlight w:val="none"/>
        </w:rPr>
        <w:t>第四部分  响应文件格式要求</w:t>
      </w:r>
    </w:p>
    <w:p w14:paraId="3BA6A031">
      <w:pPr>
        <w:widowControl/>
        <w:spacing w:line="360" w:lineRule="auto"/>
        <w:jc w:val="left"/>
        <w:rPr>
          <w:rFonts w:hint="eastAsia" w:ascii="宋体" w:hAnsi="宋体" w:eastAsia="宋体" w:cs="宋体"/>
          <w:b/>
          <w:highlight w:val="none"/>
        </w:rPr>
      </w:pPr>
    </w:p>
    <w:p w14:paraId="025C4654">
      <w:pPr>
        <w:pStyle w:val="37"/>
        <w:numPr>
          <w:ilvl w:val="0"/>
          <w:numId w:val="25"/>
        </w:numPr>
        <w:tabs>
          <w:tab w:val="left" w:pos="1203"/>
        </w:tabs>
        <w:topLinePunct w:val="0"/>
        <w:ind w:left="0" w:leftChars="0" w:firstLine="482" w:firstLineChars="200"/>
        <w:jc w:val="center"/>
        <w:outlineLvl w:val="0"/>
        <w:rPr>
          <w:rFonts w:hint="eastAsia" w:ascii="宋体" w:hAnsi="宋体" w:eastAsia="宋体" w:cs="宋体"/>
          <w:b/>
          <w:highlight w:val="none"/>
        </w:rPr>
      </w:pPr>
      <w:r>
        <w:rPr>
          <w:highlight w:val="none"/>
        </w:rPr>
        <w:t>协商供应商资格声明</w:t>
      </w:r>
    </w:p>
    <w:p w14:paraId="2902C5C8">
      <w:pPr>
        <w:pStyle w:val="13"/>
        <w:ind w:left="0" w:leftChars="0" w:firstLine="0" w:firstLineChars="0"/>
        <w:rPr>
          <w:rFonts w:ascii="Times New Roman" w:hAnsi="Times New Roman" w:eastAsia="宋体" w:cs="Times New Roman"/>
          <w:sz w:val="24"/>
          <w:highlight w:val="none"/>
        </w:rPr>
      </w:pPr>
      <w:r>
        <w:rPr>
          <w:rFonts w:ascii="Times New Roman" w:hAnsi="Times New Roman" w:eastAsia="宋体" w:cs="Times New Roman"/>
          <w:sz w:val="24"/>
          <w:highlight w:val="none"/>
        </w:rPr>
        <w:t>致</w:t>
      </w:r>
      <w:r>
        <w:rPr>
          <w:rFonts w:hint="eastAsia" w:cs="Times New Roman"/>
          <w:sz w:val="24"/>
          <w:highlight w:val="none"/>
          <w:lang w:eastAsia="zh-CN"/>
        </w:rPr>
        <w:t>南通市通州区城市管理局</w:t>
      </w:r>
      <w:r>
        <w:rPr>
          <w:rFonts w:ascii="Times New Roman" w:hAnsi="Times New Roman" w:eastAsia="宋体" w:cs="Times New Roman"/>
          <w:sz w:val="24"/>
          <w:highlight w:val="none"/>
        </w:rPr>
        <w:t xml:space="preserve">：   </w:t>
      </w:r>
    </w:p>
    <w:p w14:paraId="6A6A4526">
      <w:pPr>
        <w:pStyle w:val="13"/>
        <w:numPr>
          <w:ilvl w:val="0"/>
          <w:numId w:val="26"/>
        </w:numPr>
        <w:tabs>
          <w:tab w:val="left" w:pos="482"/>
          <w:tab w:val="clear" w:pos="210"/>
        </w:tabs>
        <w:ind w:left="799" w:leftChars="0" w:hanging="317" w:firstLineChars="0"/>
        <w:rPr>
          <w:rFonts w:ascii="Times New Roman" w:hAnsi="Times New Roman" w:eastAsia="宋体" w:cs="Times New Roman"/>
          <w:sz w:val="24"/>
          <w:highlight w:val="none"/>
        </w:rPr>
      </w:pPr>
      <w:r>
        <w:rPr>
          <w:rFonts w:ascii="Times New Roman" w:hAnsi="Times New Roman" w:eastAsia="宋体" w:cs="Times New Roman"/>
          <w:sz w:val="24"/>
          <w:highlight w:val="none"/>
        </w:rPr>
        <w:t>我方承诺完全具备《中华人民共和国政府采购法》规定的条件以及本项目单一来源采购文件规定的协商供应商须满足的其他条件。</w:t>
      </w:r>
    </w:p>
    <w:p w14:paraId="09EBBC31">
      <w:pPr>
        <w:pStyle w:val="13"/>
        <w:numPr>
          <w:ilvl w:val="0"/>
          <w:numId w:val="26"/>
        </w:numPr>
        <w:tabs>
          <w:tab w:val="left" w:pos="482"/>
          <w:tab w:val="clear" w:pos="210"/>
        </w:tabs>
        <w:ind w:left="799" w:leftChars="0" w:hanging="317" w:firstLineChars="0"/>
        <w:rPr>
          <w:rFonts w:ascii="Times New Roman" w:hAnsi="Times New Roman" w:eastAsia="宋体" w:cs="Times New Roman"/>
          <w:sz w:val="24"/>
          <w:highlight w:val="none"/>
        </w:rPr>
      </w:pPr>
      <w:r>
        <w:rPr>
          <w:rFonts w:ascii="Times New Roman" w:hAnsi="Times New Roman" w:eastAsia="宋体" w:cs="Times New Roman"/>
          <w:sz w:val="24"/>
          <w:highlight w:val="none"/>
        </w:rPr>
        <w:t>我方承诺未被中国政府采购网等渠道列入政府采购严重违法失信行为记录名单；未被中华人民共和国应急管理部网站等渠道列入安全生产失信联合惩戒“黑名单”；未被国家税务总局网站等渠道列入重大税收违法案件当事人名单；未被国家企业信用信息公示系统等渠道列入经营异常名录、严重违法失信企业名单，未被全国公共资源交易平台等渠道列入黑名单，否则，协商小组可将我方的协商响应文件按照无效响应文件处理。</w:t>
      </w:r>
    </w:p>
    <w:p w14:paraId="339F612B">
      <w:pPr>
        <w:pStyle w:val="13"/>
        <w:numPr>
          <w:ilvl w:val="0"/>
          <w:numId w:val="26"/>
        </w:numPr>
        <w:tabs>
          <w:tab w:val="left" w:pos="482"/>
          <w:tab w:val="clear" w:pos="210"/>
        </w:tabs>
        <w:ind w:left="799" w:leftChars="0" w:hanging="317" w:firstLineChars="0"/>
        <w:rPr>
          <w:rFonts w:ascii="Times New Roman" w:hAnsi="Times New Roman" w:eastAsia="宋体" w:cs="Times New Roman"/>
          <w:sz w:val="24"/>
          <w:highlight w:val="none"/>
        </w:rPr>
      </w:pPr>
      <w:r>
        <w:rPr>
          <w:rFonts w:ascii="Times New Roman" w:hAnsi="Times New Roman" w:eastAsia="宋体" w:cs="Times New Roman"/>
          <w:sz w:val="24"/>
          <w:highlight w:val="none"/>
        </w:rPr>
        <w:t>我方承诺在参加本次采购活动前三年内，在经营活动中没有重大违法记录，否则，协商小组可将我方的协商响应文件按照无效响应文件处理。</w:t>
      </w:r>
    </w:p>
    <w:p w14:paraId="045F7F66">
      <w:pPr>
        <w:pStyle w:val="13"/>
        <w:numPr>
          <w:ilvl w:val="0"/>
          <w:numId w:val="26"/>
        </w:numPr>
        <w:tabs>
          <w:tab w:val="left" w:pos="482"/>
          <w:tab w:val="clear" w:pos="210"/>
        </w:tabs>
        <w:ind w:left="799" w:leftChars="0" w:hanging="317" w:firstLineChars="0"/>
        <w:rPr>
          <w:rFonts w:ascii="Times New Roman" w:hAnsi="Times New Roman" w:eastAsia="宋体" w:cs="Times New Roman"/>
          <w:sz w:val="24"/>
          <w:highlight w:val="none"/>
        </w:rPr>
      </w:pPr>
      <w:r>
        <w:rPr>
          <w:rFonts w:ascii="Times New Roman" w:hAnsi="Times New Roman" w:eastAsia="宋体" w:cs="Times New Roman"/>
          <w:sz w:val="24"/>
          <w:highlight w:val="none"/>
        </w:rPr>
        <w:t>我方承诺按照本项目单一来源采购文件和相关技术标准的条件，提供相关服务，并承担因服务等引起的一切责任。</w:t>
      </w:r>
    </w:p>
    <w:p w14:paraId="5EA71830">
      <w:pPr>
        <w:pStyle w:val="13"/>
        <w:numPr>
          <w:ilvl w:val="0"/>
          <w:numId w:val="26"/>
        </w:numPr>
        <w:tabs>
          <w:tab w:val="left" w:pos="482"/>
          <w:tab w:val="clear" w:pos="210"/>
        </w:tabs>
        <w:ind w:left="799" w:leftChars="0" w:hanging="317" w:firstLineChars="0"/>
        <w:rPr>
          <w:rFonts w:ascii="Times New Roman" w:hAnsi="Times New Roman" w:eastAsia="宋体" w:cs="Times New Roman"/>
          <w:sz w:val="24"/>
          <w:highlight w:val="none"/>
        </w:rPr>
      </w:pPr>
      <w:r>
        <w:rPr>
          <w:rFonts w:ascii="Times New Roman" w:hAnsi="Times New Roman" w:eastAsia="宋体" w:cs="Times New Roman"/>
          <w:sz w:val="24"/>
          <w:highlight w:val="none"/>
        </w:rPr>
        <w:t>我方承诺完全具有履行合同所必需的人员和专业技术能力。</w:t>
      </w:r>
    </w:p>
    <w:p w14:paraId="4B57C2C0">
      <w:pPr>
        <w:pStyle w:val="13"/>
        <w:numPr>
          <w:ilvl w:val="0"/>
          <w:numId w:val="26"/>
        </w:numPr>
        <w:tabs>
          <w:tab w:val="left" w:pos="482"/>
          <w:tab w:val="clear" w:pos="210"/>
        </w:tabs>
        <w:ind w:left="799" w:leftChars="0" w:hanging="317" w:firstLineChars="0"/>
        <w:rPr>
          <w:rFonts w:ascii="Times New Roman" w:hAnsi="Times New Roman" w:eastAsia="宋体" w:cs="Times New Roman"/>
          <w:sz w:val="24"/>
          <w:highlight w:val="none"/>
        </w:rPr>
      </w:pPr>
      <w:r>
        <w:rPr>
          <w:rFonts w:ascii="Times New Roman" w:hAnsi="Times New Roman" w:eastAsia="宋体" w:cs="Times New Roman"/>
          <w:sz w:val="24"/>
          <w:highlight w:val="none"/>
        </w:rPr>
        <w:t>我方对本项目单一来源采购文件（包括修改文件及有关附件）完全理解，并承诺在发生争议时，不会以对单一来源采购文件存在误解、不明为由，向你方行使任何法律上的抗辩权。</w:t>
      </w:r>
    </w:p>
    <w:p w14:paraId="00D72D60">
      <w:pPr>
        <w:pStyle w:val="13"/>
        <w:numPr>
          <w:ilvl w:val="0"/>
          <w:numId w:val="26"/>
        </w:numPr>
        <w:tabs>
          <w:tab w:val="left" w:pos="482"/>
          <w:tab w:val="clear" w:pos="210"/>
        </w:tabs>
        <w:ind w:left="799" w:leftChars="0" w:hanging="317" w:firstLineChars="0"/>
        <w:rPr>
          <w:rFonts w:ascii="Times New Roman" w:hAnsi="Times New Roman" w:eastAsia="宋体" w:cs="Times New Roman"/>
          <w:sz w:val="24"/>
          <w:highlight w:val="none"/>
        </w:rPr>
      </w:pPr>
      <w:r>
        <w:rPr>
          <w:rFonts w:ascii="Times New Roman" w:hAnsi="Times New Roman" w:eastAsia="宋体" w:cs="Times New Roman"/>
          <w:sz w:val="24"/>
          <w:highlight w:val="none"/>
        </w:rPr>
        <w:t>我方协商响应文件有效期为自递交协商响应文件截止之日起45个日历日，若成交，则协商响应文件有效期自动延续至合同履行完毕。</w:t>
      </w:r>
    </w:p>
    <w:p w14:paraId="59F46562">
      <w:pPr>
        <w:pStyle w:val="13"/>
        <w:numPr>
          <w:ilvl w:val="0"/>
          <w:numId w:val="26"/>
        </w:numPr>
        <w:tabs>
          <w:tab w:val="left" w:pos="482"/>
          <w:tab w:val="clear" w:pos="210"/>
        </w:tabs>
        <w:ind w:left="799" w:leftChars="0" w:hanging="317" w:firstLineChars="0"/>
        <w:rPr>
          <w:rFonts w:ascii="Times New Roman" w:hAnsi="Times New Roman" w:eastAsia="宋体" w:cs="Times New Roman"/>
          <w:sz w:val="24"/>
          <w:highlight w:val="none"/>
        </w:rPr>
      </w:pPr>
      <w:r>
        <w:rPr>
          <w:rFonts w:ascii="Times New Roman" w:hAnsi="Times New Roman" w:eastAsia="宋体" w:cs="Times New Roman"/>
          <w:sz w:val="24"/>
          <w:highlight w:val="none"/>
        </w:rPr>
        <w:t>我方承诺接受单一来源采购文件规定的付款方式。</w:t>
      </w:r>
    </w:p>
    <w:p w14:paraId="0FE25292">
      <w:pPr>
        <w:pStyle w:val="13"/>
        <w:numPr>
          <w:ilvl w:val="0"/>
          <w:numId w:val="26"/>
        </w:numPr>
        <w:tabs>
          <w:tab w:val="left" w:pos="482"/>
          <w:tab w:val="clear" w:pos="210"/>
        </w:tabs>
        <w:ind w:left="799" w:leftChars="0" w:hanging="317" w:firstLineChars="0"/>
        <w:rPr>
          <w:rFonts w:ascii="Times New Roman" w:hAnsi="Times New Roman" w:eastAsia="宋体" w:cs="Times New Roman"/>
          <w:sz w:val="24"/>
          <w:highlight w:val="none"/>
        </w:rPr>
      </w:pPr>
      <w:r>
        <w:rPr>
          <w:rFonts w:ascii="Times New Roman" w:hAnsi="Times New Roman" w:eastAsia="宋体" w:cs="Times New Roman"/>
          <w:sz w:val="24"/>
          <w:highlight w:val="none"/>
        </w:rPr>
        <w:t>我方协商响应文件和你方的成交通知书、单一来源采购文件将成为约束双方的合同文件组成部分，若单一来源采购文件存在要求，而本协商响应文件没有拒绝亦没有涉及的情形下，我方接受单一来源采购文件的有关约束，并同意将单一来源采购文件对协商供应商的要求作为成交供应商合同义务的组成部分。</w:t>
      </w:r>
    </w:p>
    <w:p w14:paraId="7886748A">
      <w:pPr>
        <w:pStyle w:val="13"/>
        <w:numPr>
          <w:ilvl w:val="0"/>
          <w:numId w:val="26"/>
        </w:numPr>
        <w:tabs>
          <w:tab w:val="left" w:pos="482"/>
          <w:tab w:val="clear" w:pos="210"/>
        </w:tabs>
        <w:ind w:left="799" w:leftChars="0" w:hanging="317" w:firstLineChars="0"/>
        <w:rPr>
          <w:rFonts w:ascii="Times New Roman" w:hAnsi="Times New Roman" w:eastAsia="宋体" w:cs="Times New Roman"/>
          <w:sz w:val="24"/>
          <w:highlight w:val="none"/>
        </w:rPr>
      </w:pPr>
      <w:r>
        <w:rPr>
          <w:rFonts w:ascii="Times New Roman" w:hAnsi="Times New Roman" w:eastAsia="宋体" w:cs="Times New Roman"/>
          <w:sz w:val="24"/>
          <w:highlight w:val="none"/>
        </w:rPr>
        <w:t>我方承诺协商响应文件中所有的资料及所作各项承诺均真实准确，所提交的营业执照副本复印件已依法履行相应的年度报告登记公示手续（或所提交的《事业单位法人证书》副本复印件/《社会团体法人登记证书》复印件/《民办非企业单位登记证书》复印件已经国家主管部门年检），不存在任何虚假之处，否则，协商小组可将我方的协商响应文件按照无效响应文件处理，即使我方成交，成交结果无效，对于因此给你方造成的全部损失，我方同意无条件予以赔偿。</w:t>
      </w:r>
    </w:p>
    <w:p w14:paraId="5931D99A">
      <w:pPr>
        <w:pStyle w:val="13"/>
        <w:numPr>
          <w:ilvl w:val="0"/>
          <w:numId w:val="26"/>
        </w:numPr>
        <w:tabs>
          <w:tab w:val="left" w:pos="482"/>
          <w:tab w:val="clear" w:pos="210"/>
        </w:tabs>
        <w:ind w:left="799" w:leftChars="0" w:hanging="317" w:firstLineChars="0"/>
        <w:rPr>
          <w:rFonts w:ascii="Times New Roman" w:hAnsi="Times New Roman" w:eastAsia="宋体" w:cs="Times New Roman"/>
          <w:sz w:val="24"/>
          <w:highlight w:val="none"/>
        </w:rPr>
      </w:pPr>
      <w:r>
        <w:rPr>
          <w:rFonts w:ascii="Times New Roman" w:hAnsi="Times New Roman" w:eastAsia="宋体" w:cs="Times New Roman"/>
          <w:sz w:val="24"/>
          <w:highlight w:val="none"/>
        </w:rPr>
        <w:t>我方委托授权(姓名：_______身份证号：_________，联系电话：________)作为我方的代理人参加本项目协商，负责提交协商响应文件以及其它相关资料，参加协商，接受质询并予以澄清，签署、接受协商过程中的各种法律文件，办理协商过程中的其他相关事务。</w:t>
      </w:r>
    </w:p>
    <w:p w14:paraId="6875D25E">
      <w:pPr>
        <w:pStyle w:val="13"/>
        <w:numPr>
          <w:ilvl w:val="0"/>
          <w:numId w:val="26"/>
        </w:numPr>
        <w:tabs>
          <w:tab w:val="left" w:pos="482"/>
          <w:tab w:val="clear" w:pos="210"/>
        </w:tabs>
        <w:ind w:left="799" w:leftChars="0" w:hanging="317" w:firstLineChars="0"/>
        <w:rPr>
          <w:rFonts w:ascii="Times New Roman" w:hAnsi="Times New Roman" w:eastAsia="宋体" w:cs="Times New Roman"/>
          <w:sz w:val="24"/>
          <w:highlight w:val="none"/>
        </w:rPr>
      </w:pPr>
      <w:r>
        <w:rPr>
          <w:rFonts w:ascii="Times New Roman" w:hAnsi="Times New Roman" w:eastAsia="宋体" w:cs="Times New Roman"/>
          <w:sz w:val="24"/>
          <w:highlight w:val="none"/>
        </w:rPr>
        <w:t>我方承诺将严格遵守《中华人民共和国政府采购法》及相关法规，若存在违法违规行为，将承担相应的法律后果。</w:t>
      </w:r>
    </w:p>
    <w:p w14:paraId="0B144FCC">
      <w:pPr>
        <w:tabs>
          <w:tab w:val="left" w:pos="945"/>
        </w:tabs>
        <w:adjustRightInd w:val="0"/>
        <w:snapToGrid w:val="0"/>
        <w:spacing w:after="120" w:afterAutospacing="0" w:line="360" w:lineRule="auto"/>
        <w:ind w:firstLine="2160" w:firstLineChars="900"/>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法定代表人（或单位负责人）签字或盖章：</w:t>
      </w:r>
    </w:p>
    <w:p w14:paraId="2545EAF3">
      <w:pPr>
        <w:adjustRightInd w:val="0"/>
        <w:snapToGrid w:val="0"/>
        <w:spacing w:after="120" w:afterAutospacing="0" w:line="360" w:lineRule="auto"/>
        <w:ind w:right="840" w:firstLine="4536" w:firstLineChars="1890"/>
        <w:jc w:val="center"/>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单位公章：</w:t>
      </w:r>
    </w:p>
    <w:p w14:paraId="06533BB5">
      <w:pPr>
        <w:adjustRightInd w:val="0"/>
        <w:snapToGrid w:val="0"/>
        <w:spacing w:after="120" w:afterAutospacing="0" w:line="360" w:lineRule="auto"/>
        <w:ind w:right="840" w:firstLine="4536" w:firstLineChars="1890"/>
        <w:jc w:val="center"/>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日期：</w:t>
      </w:r>
    </w:p>
    <w:p w14:paraId="4226308C">
      <w:pPr>
        <w:widowControl/>
        <w:spacing w:line="360" w:lineRule="auto"/>
        <w:jc w:val="left"/>
        <w:rPr>
          <w:rFonts w:hint="eastAsia" w:ascii="宋体" w:hAnsi="宋体" w:eastAsia="宋体" w:cs="宋体"/>
          <w:b/>
          <w:highlight w:val="none"/>
        </w:rPr>
      </w:pPr>
      <w:r>
        <w:rPr>
          <w:rFonts w:hint="eastAsia" w:ascii="宋体" w:hAnsi="宋体" w:eastAsia="宋体" w:cs="宋体"/>
          <w:b/>
          <w:highlight w:val="none"/>
        </w:rPr>
        <w:br w:type="page"/>
      </w:r>
    </w:p>
    <w:p w14:paraId="4E2141A0">
      <w:pPr>
        <w:pStyle w:val="37"/>
        <w:numPr>
          <w:ilvl w:val="0"/>
          <w:numId w:val="25"/>
        </w:numPr>
        <w:tabs>
          <w:tab w:val="left" w:pos="1203"/>
        </w:tabs>
        <w:topLinePunct w:val="0"/>
        <w:ind w:left="0" w:leftChars="0" w:firstLine="482" w:firstLineChars="200"/>
        <w:jc w:val="center"/>
        <w:outlineLvl w:val="0"/>
        <w:rPr>
          <w:rFonts w:hint="eastAsia" w:ascii="宋体" w:hAnsi="宋体" w:eastAsia="宋体" w:cs="宋体"/>
          <w:b/>
          <w:highlight w:val="none"/>
        </w:rPr>
      </w:pPr>
      <w:r>
        <w:rPr>
          <w:highlight w:val="none"/>
        </w:rPr>
        <w:t>法定代表人（或单位负责人）证明书</w:t>
      </w:r>
    </w:p>
    <w:p w14:paraId="6CDF7E00">
      <w:pPr>
        <w:pStyle w:val="13"/>
        <w:ind w:left="0" w:leftChars="0" w:firstLine="0" w:firstLineChars="0"/>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采购单位名称：</w:t>
      </w:r>
    </w:p>
    <w:p w14:paraId="54F1AEE6">
      <w:pPr>
        <w:pStyle w:val="13"/>
        <w:ind w:left="0" w:leftChars="0" w:firstLine="480" w:firstLineChars="200"/>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（姓名、性别、年龄）</w:t>
      </w:r>
      <w:r>
        <w:rPr>
          <w:rFonts w:ascii="Times New Roman" w:hAnsi="Times New Roman" w:eastAsia="宋体" w:cs="Times New Roman"/>
          <w:sz w:val="24"/>
          <w:highlight w:val="none"/>
        </w:rPr>
        <w:t>在我单位任</w:t>
      </w:r>
      <w:r>
        <w:rPr>
          <w:rFonts w:ascii="Times New Roman" w:hAnsi="Times New Roman" w:eastAsia="宋体" w:cs="Times New Roman"/>
          <w:sz w:val="24"/>
          <w:highlight w:val="none"/>
          <w:u w:val="single"/>
        </w:rPr>
        <w:t>（职务名称）</w:t>
      </w:r>
      <w:r>
        <w:rPr>
          <w:rFonts w:ascii="Times New Roman" w:hAnsi="Times New Roman" w:eastAsia="宋体" w:cs="Times New Roman"/>
          <w:sz w:val="24"/>
          <w:highlight w:val="none"/>
        </w:rPr>
        <w:t>职务，是我单位的法定代表人（或单位负责人）。</w:t>
      </w:r>
    </w:p>
    <w:p w14:paraId="56CF92C8">
      <w:pPr>
        <w:pStyle w:val="13"/>
        <w:ind w:left="0" w:leftChars="0" w:firstLine="480" w:firstLineChars="200"/>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特此证明。</w:t>
      </w:r>
    </w:p>
    <w:p w14:paraId="2CE54B8F">
      <w:pPr>
        <w:pStyle w:val="13"/>
        <w:ind w:left="0" w:leftChars="0" w:firstLine="480" w:firstLineChars="200"/>
        <w:rPr>
          <w:rFonts w:ascii="Times New Roman" w:hAnsi="Times New Roman" w:eastAsia="宋体" w:cs="Times New Roman"/>
          <w:sz w:val="24"/>
          <w:highlight w:val="none"/>
        </w:rPr>
      </w:pPr>
      <w:r>
        <w:rPr>
          <w:rFonts w:ascii="Times New Roman" w:hAnsi="Times New Roman" w:eastAsia="宋体" w:cs="Times New Roman"/>
          <w:sz w:val="24"/>
          <w:highlight w:val="none"/>
        </w:rPr>
        <w:t>法定代表人（或单位负责人）住址：</w:t>
      </w:r>
      <w:r>
        <w:rPr>
          <w:rFonts w:ascii="Times New Roman" w:hAnsi="Times New Roman" w:eastAsia="宋体" w:cs="Times New Roman"/>
          <w:sz w:val="24"/>
          <w:highlight w:val="none"/>
          <w:u w:val="single"/>
        </w:rPr>
        <w:t xml:space="preserve">               </w:t>
      </w:r>
      <w:r>
        <w:rPr>
          <w:rFonts w:ascii="Times New Roman" w:hAnsi="Times New Roman" w:eastAsia="宋体" w:cs="Times New Roman"/>
          <w:sz w:val="24"/>
          <w:highlight w:val="none"/>
        </w:rPr>
        <w:t>法定代表人（或单位负责人）身份证号：</w:t>
      </w:r>
      <w:r>
        <w:rPr>
          <w:rFonts w:ascii="Times New Roman" w:hAnsi="Times New Roman" w:eastAsia="宋体" w:cs="Times New Roman"/>
          <w:sz w:val="24"/>
          <w:highlight w:val="none"/>
          <w:u w:val="single"/>
        </w:rPr>
        <w:t xml:space="preserve">             </w:t>
      </w:r>
    </w:p>
    <w:p w14:paraId="73906777">
      <w:pPr>
        <w:pStyle w:val="13"/>
        <w:ind w:left="0" w:leftChars="0" w:firstLine="480" w:firstLineChars="200"/>
        <w:rPr>
          <w:rFonts w:ascii="Times New Roman" w:hAnsi="Times New Roman" w:eastAsia="宋体" w:cs="Times New Roman"/>
          <w:sz w:val="24"/>
          <w:highlight w:val="none"/>
        </w:rPr>
      </w:pPr>
      <w:r>
        <w:rPr>
          <w:rFonts w:ascii="Times New Roman" w:hAnsi="Times New Roman" w:eastAsia="宋体" w:cs="Times New Roman"/>
          <w:sz w:val="24"/>
          <w:highlight w:val="none"/>
        </w:rPr>
        <w:t>法定代表人（或单位负责人）电话：</w:t>
      </w:r>
      <w:r>
        <w:rPr>
          <w:rFonts w:ascii="Times New Roman" w:hAnsi="Times New Roman" w:eastAsia="宋体" w:cs="Times New Roman"/>
          <w:sz w:val="24"/>
          <w:highlight w:val="none"/>
          <w:u w:val="single"/>
        </w:rPr>
        <w:t xml:space="preserve">                </w:t>
      </w:r>
    </w:p>
    <w:p w14:paraId="398E9D2E">
      <w:pPr>
        <w:spacing w:after="120" w:afterAutospacing="0" w:line="360" w:lineRule="auto"/>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                                         供应商全称（公章）：                                             </w:t>
      </w:r>
    </w:p>
    <w:p w14:paraId="2F30B8CA">
      <w:pPr>
        <w:spacing w:after="120" w:afterAutospacing="0" w:line="360" w:lineRule="auto"/>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                                         日期：  年   月  日</w:t>
      </w:r>
    </w:p>
    <w:p w14:paraId="2D77D71F">
      <w:pPr>
        <w:pStyle w:val="13"/>
        <w:ind w:left="0" w:leftChars="0" w:firstLine="482" w:firstLineChars="200"/>
        <w:rPr>
          <w:rFonts w:ascii="Times New Roman" w:hAnsi="Times New Roman" w:eastAsia="宋体" w:cs="Times New Roman"/>
          <w:b/>
          <w:sz w:val="24"/>
          <w:highlight w:val="none"/>
        </w:rPr>
      </w:pPr>
      <w:r>
        <w:rPr>
          <w:rFonts w:ascii="Times New Roman" w:hAnsi="Times New Roman" w:eastAsia="宋体" w:cs="Times New Roman"/>
          <w:b/>
          <w:sz w:val="24"/>
          <w:highlight w:val="none"/>
        </w:rPr>
        <w:t>附：法定代表人（或单位负责人）身份证复印件</w:t>
      </w:r>
    </w:p>
    <w:p w14:paraId="1DCB381F">
      <w:pPr>
        <w:rPr>
          <w:rFonts w:hint="eastAsia" w:ascii="宋体" w:hAnsi="宋体" w:eastAsia="宋体" w:cs="宋体"/>
          <w:b/>
          <w:highlight w:val="none"/>
        </w:rPr>
      </w:pPr>
      <w:r>
        <w:rPr>
          <w:rFonts w:hint="eastAsia" w:ascii="宋体" w:hAnsi="宋体" w:eastAsia="宋体" w:cs="宋体"/>
          <w:b/>
          <w:highlight w:val="none"/>
        </w:rPr>
        <w:br w:type="page"/>
      </w:r>
    </w:p>
    <w:p w14:paraId="1834C1F9">
      <w:pPr>
        <w:pStyle w:val="37"/>
        <w:numPr>
          <w:ilvl w:val="0"/>
          <w:numId w:val="25"/>
        </w:numPr>
        <w:tabs>
          <w:tab w:val="left" w:pos="1203"/>
        </w:tabs>
        <w:topLinePunct w:val="0"/>
        <w:ind w:left="0" w:leftChars="0" w:firstLine="482" w:firstLineChars="200"/>
        <w:jc w:val="center"/>
        <w:outlineLvl w:val="0"/>
        <w:rPr>
          <w:rFonts w:hint="eastAsia" w:ascii="宋体" w:hAnsi="宋体" w:eastAsia="宋体" w:cs="宋体"/>
          <w:b/>
          <w:highlight w:val="none"/>
        </w:rPr>
      </w:pPr>
      <w:r>
        <w:rPr>
          <w:highlight w:val="none"/>
        </w:rPr>
        <w:t>法定代表人（或单位负责人）授权委托书</w:t>
      </w:r>
    </w:p>
    <w:p w14:paraId="7B984BBE">
      <w:pPr>
        <w:pStyle w:val="13"/>
        <w:ind w:left="0" w:leftChars="0" w:firstLine="480" w:firstLineChars="200"/>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 </w:t>
      </w:r>
    </w:p>
    <w:p w14:paraId="2D339747">
      <w:pPr>
        <w:pStyle w:val="13"/>
        <w:ind w:left="0" w:leftChars="0" w:firstLine="480" w:firstLineChars="200"/>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委托人（单位）：</w:t>
      </w:r>
      <w:r>
        <w:rPr>
          <w:rFonts w:ascii="Times New Roman" w:hAnsi="Times New Roman" w:eastAsia="宋体" w:cs="Times New Roman"/>
          <w:sz w:val="24"/>
          <w:highlight w:val="none"/>
          <w:u w:val="single"/>
        </w:rPr>
        <w:t xml:space="preserve">          </w:t>
      </w:r>
      <w:r>
        <w:rPr>
          <w:rFonts w:ascii="Times New Roman" w:hAnsi="Times New Roman" w:eastAsia="宋体" w:cs="Times New Roman"/>
          <w:sz w:val="24"/>
          <w:highlight w:val="none"/>
        </w:rPr>
        <w:t>法定代表人（或单位负责人）或负责人：</w:t>
      </w:r>
      <w:r>
        <w:rPr>
          <w:rFonts w:ascii="Times New Roman" w:hAnsi="Times New Roman" w:eastAsia="宋体" w:cs="Times New Roman"/>
          <w:sz w:val="24"/>
          <w:highlight w:val="none"/>
          <w:u w:val="single"/>
        </w:rPr>
        <w:t xml:space="preserve">          </w:t>
      </w:r>
      <w:r>
        <w:rPr>
          <w:rFonts w:ascii="Times New Roman" w:hAnsi="Times New Roman" w:eastAsia="宋体" w:cs="Times New Roman"/>
          <w:sz w:val="24"/>
          <w:highlight w:val="none"/>
        </w:rPr>
        <w:t xml:space="preserve"> 职务： </w:t>
      </w:r>
      <w:r>
        <w:rPr>
          <w:rFonts w:ascii="Times New Roman" w:hAnsi="Times New Roman" w:eastAsia="宋体" w:cs="Times New Roman"/>
          <w:sz w:val="24"/>
          <w:highlight w:val="none"/>
          <w:u w:val="single"/>
        </w:rPr>
        <w:t xml:space="preserve">        </w:t>
      </w:r>
      <w:r>
        <w:rPr>
          <w:rFonts w:ascii="Times New Roman" w:hAnsi="Times New Roman" w:eastAsia="宋体" w:cs="Times New Roman"/>
          <w:sz w:val="24"/>
          <w:highlight w:val="none"/>
        </w:rPr>
        <w:t>联系方式：</w:t>
      </w:r>
      <w:r>
        <w:rPr>
          <w:rFonts w:ascii="Times New Roman" w:hAnsi="Times New Roman" w:eastAsia="宋体" w:cs="Times New Roman"/>
          <w:sz w:val="24"/>
          <w:highlight w:val="none"/>
          <w:u w:val="single"/>
        </w:rPr>
        <w:t xml:space="preserve">        </w:t>
      </w:r>
    </w:p>
    <w:p w14:paraId="391622DE">
      <w:pPr>
        <w:pStyle w:val="13"/>
        <w:ind w:left="0" w:leftChars="0" w:firstLine="480" w:firstLineChars="200"/>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受委托人：</w:t>
      </w:r>
      <w:r>
        <w:rPr>
          <w:rFonts w:ascii="Times New Roman" w:hAnsi="Times New Roman" w:eastAsia="宋体" w:cs="Times New Roman"/>
          <w:sz w:val="24"/>
          <w:highlight w:val="none"/>
          <w:u w:val="single"/>
        </w:rPr>
        <w:t xml:space="preserve">            </w:t>
      </w:r>
      <w:r>
        <w:rPr>
          <w:rFonts w:ascii="Times New Roman" w:hAnsi="Times New Roman" w:eastAsia="宋体" w:cs="Times New Roman"/>
          <w:sz w:val="24"/>
          <w:highlight w:val="none"/>
        </w:rPr>
        <w:t>联系方式：</w:t>
      </w:r>
      <w:r>
        <w:rPr>
          <w:rFonts w:ascii="Times New Roman" w:hAnsi="Times New Roman" w:eastAsia="宋体" w:cs="Times New Roman"/>
          <w:sz w:val="24"/>
          <w:highlight w:val="none"/>
          <w:u w:val="single"/>
        </w:rPr>
        <w:t xml:space="preserve">                      </w:t>
      </w:r>
    </w:p>
    <w:p w14:paraId="21447C89">
      <w:pPr>
        <w:pStyle w:val="13"/>
        <w:ind w:left="0" w:leftChars="0" w:firstLine="480" w:firstLineChars="200"/>
        <w:rPr>
          <w:rFonts w:ascii="Times New Roman" w:hAnsi="Times New Roman" w:eastAsia="宋体" w:cs="Times New Roman"/>
          <w:sz w:val="24"/>
          <w:highlight w:val="none"/>
        </w:rPr>
      </w:pPr>
      <w:r>
        <w:rPr>
          <w:rFonts w:ascii="Times New Roman" w:hAnsi="Times New Roman" w:eastAsia="宋体" w:cs="Times New Roman"/>
          <w:sz w:val="24"/>
          <w:highlight w:val="none"/>
        </w:rPr>
        <w:t>工作单位：</w:t>
      </w:r>
      <w:r>
        <w:rPr>
          <w:rFonts w:ascii="Times New Roman" w:hAnsi="Times New Roman" w:eastAsia="宋体" w:cs="Times New Roman"/>
          <w:sz w:val="24"/>
          <w:highlight w:val="none"/>
          <w:u w:val="single"/>
        </w:rPr>
        <w:t xml:space="preserve">                      </w:t>
      </w:r>
      <w:r>
        <w:rPr>
          <w:rFonts w:ascii="Times New Roman" w:hAnsi="Times New Roman" w:eastAsia="宋体" w:cs="Times New Roman"/>
          <w:sz w:val="24"/>
          <w:highlight w:val="none"/>
        </w:rPr>
        <w:t xml:space="preserve"> 职务：</w:t>
      </w:r>
      <w:r>
        <w:rPr>
          <w:rFonts w:ascii="Times New Roman" w:hAnsi="Times New Roman" w:eastAsia="宋体" w:cs="Times New Roman"/>
          <w:sz w:val="24"/>
          <w:highlight w:val="none"/>
          <w:u w:val="single"/>
        </w:rPr>
        <w:t xml:space="preserve">                            </w:t>
      </w:r>
      <w:r>
        <w:rPr>
          <w:rFonts w:ascii="Times New Roman" w:hAnsi="Times New Roman" w:eastAsia="宋体" w:cs="Times New Roman"/>
          <w:sz w:val="24"/>
          <w:highlight w:val="none"/>
        </w:rPr>
        <w:t xml:space="preserve"> </w:t>
      </w:r>
    </w:p>
    <w:p w14:paraId="5B6A5E19">
      <w:pPr>
        <w:pStyle w:val="13"/>
        <w:ind w:left="0" w:leftChars="0" w:firstLine="480" w:firstLineChars="200"/>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身份证号码：</w:t>
      </w:r>
      <w:r>
        <w:rPr>
          <w:rFonts w:ascii="Times New Roman" w:hAnsi="Times New Roman" w:eastAsia="宋体" w:cs="Times New Roman"/>
          <w:sz w:val="24"/>
          <w:highlight w:val="none"/>
          <w:u w:val="single"/>
        </w:rPr>
        <w:t xml:space="preserve">                     </w:t>
      </w:r>
    </w:p>
    <w:p w14:paraId="57C528FD">
      <w:pPr>
        <w:pStyle w:val="13"/>
        <w:ind w:left="0" w:leftChars="0" w:firstLine="480" w:firstLineChars="200"/>
        <w:rPr>
          <w:rFonts w:ascii="Times New Roman" w:hAnsi="Times New Roman" w:eastAsia="宋体" w:cs="Times New Roman"/>
          <w:sz w:val="24"/>
          <w:highlight w:val="none"/>
        </w:rPr>
      </w:pPr>
      <w:r>
        <w:rPr>
          <w:rFonts w:ascii="Times New Roman" w:hAnsi="Times New Roman" w:eastAsia="宋体" w:cs="Times New Roman"/>
          <w:sz w:val="24"/>
          <w:highlight w:val="none"/>
        </w:rPr>
        <w:t>现委托上列受委托人在</w:t>
      </w:r>
      <w:r>
        <w:rPr>
          <w:rFonts w:ascii="Times New Roman" w:hAnsi="Times New Roman" w:eastAsia="宋体" w:cs="Times New Roman"/>
          <w:sz w:val="24"/>
          <w:highlight w:val="none"/>
          <w:u w:val="single"/>
        </w:rPr>
        <w:t xml:space="preserve"> 采购单位名称 </w:t>
      </w:r>
      <w:r>
        <w:rPr>
          <w:rFonts w:ascii="Times New Roman" w:hAnsi="Times New Roman" w:eastAsia="宋体" w:cs="Times New Roman"/>
          <w:sz w:val="24"/>
          <w:highlight w:val="none"/>
        </w:rPr>
        <w:t>组织的</w:t>
      </w:r>
      <w:r>
        <w:rPr>
          <w:rFonts w:ascii="Times New Roman" w:hAnsi="Times New Roman" w:eastAsia="宋体" w:cs="Times New Roman"/>
          <w:sz w:val="24"/>
          <w:highlight w:val="none"/>
          <w:u w:val="single"/>
        </w:rPr>
        <w:t xml:space="preserve">  （项目名称）</w:t>
      </w:r>
      <w:r>
        <w:rPr>
          <w:rFonts w:ascii="Times New Roman" w:hAnsi="Times New Roman" w:eastAsia="宋体" w:cs="Times New Roman"/>
          <w:sz w:val="24"/>
          <w:highlight w:val="none"/>
        </w:rPr>
        <w:t xml:space="preserve">单一来源采购中，作为我方的合法代理人，代理以下事项：  </w:t>
      </w:r>
    </w:p>
    <w:p w14:paraId="41C265AD">
      <w:pPr>
        <w:pStyle w:val="13"/>
        <w:numPr>
          <w:ilvl w:val="0"/>
          <w:numId w:val="27"/>
        </w:numPr>
        <w:tabs>
          <w:tab w:val="left" w:pos="482"/>
          <w:tab w:val="clear" w:pos="2487"/>
        </w:tabs>
        <w:ind w:left="1083" w:leftChars="0" w:hanging="601" w:firstLineChars="0"/>
        <w:rPr>
          <w:rFonts w:ascii="Times New Roman" w:hAnsi="Times New Roman" w:eastAsia="宋体" w:cs="Times New Roman"/>
          <w:sz w:val="24"/>
          <w:highlight w:val="none"/>
        </w:rPr>
      </w:pPr>
      <w:r>
        <w:rPr>
          <w:rFonts w:ascii="Times New Roman" w:hAnsi="Times New Roman" w:eastAsia="宋体" w:cs="Times New Roman"/>
          <w:sz w:val="24"/>
          <w:highlight w:val="none"/>
        </w:rPr>
        <w:t>代理委托人签署、提交协商响应文件以及其它相关资料；</w:t>
      </w:r>
    </w:p>
    <w:p w14:paraId="59C369AD">
      <w:pPr>
        <w:pStyle w:val="13"/>
        <w:numPr>
          <w:ilvl w:val="0"/>
          <w:numId w:val="27"/>
        </w:numPr>
        <w:tabs>
          <w:tab w:val="left" w:pos="482"/>
          <w:tab w:val="clear" w:pos="2487"/>
        </w:tabs>
        <w:ind w:left="1083" w:leftChars="0" w:hanging="601" w:firstLineChars="0"/>
        <w:rPr>
          <w:rFonts w:ascii="Times New Roman" w:hAnsi="Times New Roman" w:eastAsia="宋体" w:cs="Times New Roman"/>
          <w:sz w:val="24"/>
          <w:highlight w:val="none"/>
        </w:rPr>
      </w:pPr>
      <w:r>
        <w:rPr>
          <w:rFonts w:ascii="Times New Roman" w:hAnsi="Times New Roman" w:eastAsia="宋体" w:cs="Times New Roman"/>
          <w:sz w:val="24"/>
          <w:highlight w:val="none"/>
        </w:rPr>
        <w:t>参加协商，接受质询并予以澄清；</w:t>
      </w:r>
    </w:p>
    <w:p w14:paraId="38B9E4CB">
      <w:pPr>
        <w:pStyle w:val="13"/>
        <w:numPr>
          <w:ilvl w:val="0"/>
          <w:numId w:val="27"/>
        </w:numPr>
        <w:tabs>
          <w:tab w:val="left" w:pos="482"/>
          <w:tab w:val="clear" w:pos="2487"/>
        </w:tabs>
        <w:ind w:left="1083" w:leftChars="0" w:hanging="601" w:firstLineChars="0"/>
        <w:rPr>
          <w:rFonts w:ascii="Times New Roman" w:hAnsi="Times New Roman" w:eastAsia="宋体" w:cs="Times New Roman"/>
          <w:sz w:val="24"/>
          <w:highlight w:val="none"/>
        </w:rPr>
      </w:pPr>
      <w:r>
        <w:rPr>
          <w:rFonts w:ascii="Times New Roman" w:hAnsi="Times New Roman" w:eastAsia="宋体" w:cs="Times New Roman"/>
          <w:sz w:val="24"/>
          <w:highlight w:val="none"/>
        </w:rPr>
        <w:t>签署、接受协商过程中的各种法律文件；</w:t>
      </w:r>
    </w:p>
    <w:p w14:paraId="4E8B1C82">
      <w:pPr>
        <w:pStyle w:val="13"/>
        <w:numPr>
          <w:ilvl w:val="0"/>
          <w:numId w:val="27"/>
        </w:numPr>
        <w:tabs>
          <w:tab w:val="left" w:pos="482"/>
          <w:tab w:val="clear" w:pos="2487"/>
        </w:tabs>
        <w:ind w:left="1083" w:leftChars="0" w:hanging="601" w:firstLineChars="0"/>
        <w:rPr>
          <w:rFonts w:ascii="Times New Roman" w:hAnsi="Times New Roman" w:eastAsia="宋体" w:cs="Times New Roman"/>
          <w:sz w:val="24"/>
          <w:highlight w:val="none"/>
        </w:rPr>
      </w:pPr>
      <w:r>
        <w:rPr>
          <w:rFonts w:ascii="Times New Roman" w:hAnsi="Times New Roman" w:eastAsia="宋体" w:cs="Times New Roman"/>
          <w:sz w:val="24"/>
          <w:highlight w:val="none"/>
        </w:rPr>
        <w:t>办理协商过程中的其他事务。</w:t>
      </w:r>
    </w:p>
    <w:p w14:paraId="49D17C1F">
      <w:pPr>
        <w:pStyle w:val="13"/>
        <w:ind w:left="0" w:leftChars="0" w:firstLine="482" w:firstLineChars="200"/>
        <w:rPr>
          <w:rFonts w:ascii="Times New Roman" w:hAnsi="Times New Roman" w:eastAsia="宋体" w:cs="Times New Roman"/>
          <w:b/>
          <w:sz w:val="24"/>
          <w:highlight w:val="none"/>
        </w:rPr>
      </w:pPr>
      <w:r>
        <w:rPr>
          <w:rFonts w:ascii="Times New Roman" w:hAnsi="Times New Roman" w:eastAsia="宋体" w:cs="Times New Roman"/>
          <w:b/>
          <w:sz w:val="24"/>
          <w:highlight w:val="none"/>
        </w:rPr>
        <w:t>代理人无权转委托，特此声明。</w:t>
      </w:r>
    </w:p>
    <w:p w14:paraId="2A242370">
      <w:pPr>
        <w:pStyle w:val="13"/>
        <w:ind w:left="0" w:leftChars="0" w:firstLine="482" w:firstLineChars="200"/>
        <w:rPr>
          <w:rFonts w:ascii="Times New Roman" w:hAnsi="Times New Roman" w:eastAsia="宋体" w:cs="Times New Roman"/>
          <w:b/>
          <w:sz w:val="24"/>
          <w:highlight w:val="none"/>
        </w:rPr>
      </w:pPr>
      <w:r>
        <w:rPr>
          <w:rFonts w:ascii="Times New Roman" w:hAnsi="Times New Roman" w:eastAsia="宋体" w:cs="Times New Roman"/>
          <w:b/>
          <w:sz w:val="24"/>
          <w:highlight w:val="none"/>
        </w:rPr>
        <w:t>附：被授权人个人身份证复印件</w:t>
      </w:r>
    </w:p>
    <w:p w14:paraId="47705B8D">
      <w:pPr>
        <w:spacing w:after="120" w:afterAutospacing="0" w:line="360" w:lineRule="auto"/>
        <w:ind w:firstLine="4252" w:firstLineChars="1772"/>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委托人：（盖章）</w:t>
      </w:r>
    </w:p>
    <w:p w14:paraId="3C74FE39">
      <w:pPr>
        <w:spacing w:after="120" w:afterAutospacing="0" w:line="360" w:lineRule="auto"/>
        <w:ind w:firstLine="960" w:firstLineChars="400"/>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法定代表人（或单位负责人）：（签字或盖章）</w:t>
      </w:r>
    </w:p>
    <w:p w14:paraId="6F49ADEA">
      <w:pPr>
        <w:adjustRightInd w:val="0"/>
        <w:snapToGrid w:val="0"/>
        <w:spacing w:after="120" w:afterAutospacing="0" w:line="360" w:lineRule="auto"/>
        <w:ind w:firstLine="5640"/>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年    月    日</w:t>
      </w:r>
    </w:p>
    <w:p w14:paraId="78A1E8B5">
      <w:pPr>
        <w:rPr>
          <w:rFonts w:hint="eastAsia" w:ascii="宋体" w:hAnsi="宋体" w:eastAsia="宋体" w:cs="宋体"/>
          <w:b/>
          <w:sz w:val="30"/>
          <w:szCs w:val="30"/>
          <w:highlight w:val="none"/>
        </w:rPr>
      </w:pPr>
      <w:r>
        <w:rPr>
          <w:rFonts w:hint="eastAsia" w:ascii="宋体" w:hAnsi="宋体" w:eastAsia="宋体" w:cs="宋体"/>
          <w:b/>
          <w:sz w:val="30"/>
          <w:szCs w:val="30"/>
          <w:highlight w:val="none"/>
        </w:rPr>
        <w:br w:type="page"/>
      </w:r>
    </w:p>
    <w:p w14:paraId="76696DF3">
      <w:pPr>
        <w:pStyle w:val="37"/>
        <w:numPr>
          <w:ilvl w:val="0"/>
          <w:numId w:val="25"/>
        </w:numPr>
        <w:tabs>
          <w:tab w:val="left" w:pos="1203"/>
        </w:tabs>
        <w:topLinePunct w:val="0"/>
        <w:ind w:left="0" w:leftChars="0" w:firstLine="482" w:firstLineChars="200"/>
        <w:jc w:val="center"/>
        <w:outlineLvl w:val="0"/>
        <w:rPr>
          <w:rFonts w:hint="eastAsia" w:ascii="宋体" w:hAnsi="宋体" w:eastAsia="宋体" w:cs="宋体"/>
          <w:b/>
          <w:highlight w:val="none"/>
        </w:rPr>
      </w:pPr>
      <w:r>
        <w:rPr>
          <w:highlight w:val="none"/>
        </w:rPr>
        <w:t>报价函</w:t>
      </w:r>
    </w:p>
    <w:p w14:paraId="6F26046F">
      <w:pPr>
        <w:pStyle w:val="13"/>
        <w:widowControl/>
        <w:ind w:left="2443" w:leftChars="0" w:hanging="1962" w:firstLineChars="0"/>
        <w:rPr>
          <w:rFonts w:ascii="Times New Roman" w:hAnsi="Times New Roman" w:eastAsia="宋体" w:cs="Times New Roman"/>
          <w:sz w:val="24"/>
          <w:highlight w:val="none"/>
        </w:rPr>
      </w:pPr>
      <w:r>
        <w:rPr>
          <w:rFonts w:ascii="Times New Roman" w:hAnsi="Times New Roman" w:eastAsia="宋体" w:cs="Times New Roman"/>
          <w:sz w:val="24"/>
          <w:highlight w:val="none"/>
        </w:rPr>
        <w:t>项目名称：</w:t>
      </w:r>
    </w:p>
    <w:tbl>
      <w:tblPr>
        <w:tblStyle w:val="22"/>
        <w:tblW w:w="8247" w:type="dxa"/>
        <w:tblInd w:w="10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FFFFFF"/>
        <w:tblLayout w:type="fixed"/>
        <w:tblCellMar>
          <w:top w:w="15" w:type="dxa"/>
          <w:left w:w="15" w:type="dxa"/>
          <w:bottom w:w="15" w:type="dxa"/>
          <w:right w:w="15" w:type="dxa"/>
        </w:tblCellMar>
      </w:tblPr>
      <w:tblGrid>
        <w:gridCol w:w="851"/>
        <w:gridCol w:w="7396"/>
      </w:tblGrid>
      <w:tr w14:paraId="6CB6EE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15" w:type="dxa"/>
            <w:left w:w="15" w:type="dxa"/>
            <w:bottom w:w="15" w:type="dxa"/>
            <w:right w:w="15" w:type="dxa"/>
          </w:tblCellMar>
        </w:tblPrEx>
        <w:trPr>
          <w:trHeight w:val="379" w:hRule="atLeast"/>
        </w:trPr>
        <w:tc>
          <w:tcPr>
            <w:tcW w:w="851" w:type="dxa"/>
            <w:tcBorders>
              <w:top w:val="single" w:color="auto" w:sz="8"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2085055F">
            <w:pPr>
              <w:widowControl/>
              <w:spacing w:line="420" w:lineRule="atLeas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序号</w:t>
            </w:r>
          </w:p>
        </w:tc>
        <w:tc>
          <w:tcPr>
            <w:tcW w:w="7396" w:type="dxa"/>
            <w:tcBorders>
              <w:top w:val="single" w:color="auto" w:sz="8" w:space="0"/>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2A2BC87B">
            <w:pPr>
              <w:widowControl/>
              <w:spacing w:line="420" w:lineRule="atLeas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项目名称</w:t>
            </w:r>
          </w:p>
        </w:tc>
      </w:tr>
      <w:tr w14:paraId="15A9A9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15" w:type="dxa"/>
            <w:left w:w="15" w:type="dxa"/>
            <w:bottom w:w="15" w:type="dxa"/>
            <w:right w:w="15" w:type="dxa"/>
          </w:tblCellMar>
        </w:tblPrEx>
        <w:trPr>
          <w:trHeight w:val="429" w:hRule="atLeast"/>
        </w:trPr>
        <w:tc>
          <w:tcPr>
            <w:tcW w:w="851"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40EE3996">
            <w:pPr>
              <w:widowControl/>
              <w:spacing w:line="420" w:lineRule="atLeas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7396"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0E23FCE5">
            <w:pPr>
              <w:keepNext/>
              <w:keepLines/>
              <w:widowControl/>
              <w:spacing w:before="480" w:after="480" w:line="504" w:lineRule="atLeast"/>
              <w:jc w:val="left"/>
              <w:outlineLvl w:val="9"/>
              <w:rPr>
                <w:rFonts w:hint="eastAsia" w:ascii="宋体" w:hAnsi="宋体" w:eastAsia="宋体" w:cs="宋体"/>
                <w:bCs/>
                <w:kern w:val="2"/>
                <w:sz w:val="24"/>
                <w:szCs w:val="24"/>
                <w:highlight w:val="none"/>
                <w:lang w:val="en-US" w:eastAsia="zh-CN" w:bidi="ar-SA"/>
              </w:rPr>
            </w:pPr>
            <w:r>
              <w:rPr>
                <w:rFonts w:hint="eastAsia" w:ascii="宋体" w:hAnsi="宋体" w:eastAsia="宋体" w:cs="宋体"/>
                <w:bCs/>
                <w:kern w:val="2"/>
                <w:sz w:val="24"/>
                <w:szCs w:val="24"/>
                <w:highlight w:val="none"/>
                <w:lang w:val="en-US" w:eastAsia="zh-CN" w:bidi="ar-SA"/>
              </w:rPr>
              <w:t>通州区生活垃圾焚烧飞灰资源化利用处置项目</w:t>
            </w:r>
          </w:p>
        </w:tc>
      </w:tr>
      <w:tr w14:paraId="2C5578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15" w:type="dxa"/>
            <w:left w:w="15" w:type="dxa"/>
            <w:bottom w:w="15" w:type="dxa"/>
            <w:right w:w="15" w:type="dxa"/>
          </w:tblCellMar>
        </w:tblPrEx>
        <w:trPr>
          <w:trHeight w:val="533" w:hRule="atLeast"/>
        </w:trPr>
        <w:tc>
          <w:tcPr>
            <w:tcW w:w="851" w:type="dxa"/>
            <w:vMerge w:val="restart"/>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28C5F7C4">
            <w:pPr>
              <w:widowControl/>
              <w:spacing w:line="420" w:lineRule="atLeas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总价</w:t>
            </w:r>
          </w:p>
        </w:tc>
        <w:tc>
          <w:tcPr>
            <w:tcW w:w="7396"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4DBED09A">
            <w:pPr>
              <w:widowControl/>
              <w:spacing w:line="420" w:lineRule="atLeast"/>
              <w:jc w:val="left"/>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大写：</w:t>
            </w:r>
            <w:r>
              <w:rPr>
                <w:rFonts w:hint="eastAsia" w:ascii="宋体" w:hAnsi="宋体" w:eastAsia="宋体" w:cs="宋体"/>
                <w:sz w:val="24"/>
                <w:szCs w:val="24"/>
                <w:highlight w:val="none"/>
                <w:lang w:val="en-US" w:eastAsia="zh-CN"/>
              </w:rPr>
              <w:t xml:space="preserve">   元/吨</w:t>
            </w:r>
          </w:p>
        </w:tc>
      </w:tr>
      <w:tr w14:paraId="3D1C0B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15" w:type="dxa"/>
            <w:left w:w="15" w:type="dxa"/>
            <w:bottom w:w="15" w:type="dxa"/>
            <w:right w:w="15" w:type="dxa"/>
          </w:tblCellMar>
        </w:tblPrEx>
        <w:trPr>
          <w:trHeight w:val="555" w:hRule="atLeast"/>
        </w:trPr>
        <w:tc>
          <w:tcPr>
            <w:tcW w:w="851" w:type="dxa"/>
            <w:vMerge w:val="continue"/>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6609A23A">
            <w:pPr>
              <w:rPr>
                <w:rFonts w:hint="eastAsia" w:ascii="宋体" w:hAnsi="宋体" w:eastAsia="宋体" w:cs="宋体"/>
                <w:sz w:val="24"/>
                <w:szCs w:val="24"/>
                <w:highlight w:val="none"/>
              </w:rPr>
            </w:pPr>
          </w:p>
        </w:tc>
        <w:tc>
          <w:tcPr>
            <w:tcW w:w="7396"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1AA167E9">
            <w:pPr>
              <w:widowControl/>
              <w:spacing w:line="420" w:lineRule="atLeast"/>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小写：          </w:t>
            </w:r>
            <w:r>
              <w:rPr>
                <w:rFonts w:hint="eastAsia" w:ascii="宋体" w:hAnsi="宋体" w:eastAsia="宋体" w:cs="宋体"/>
                <w:sz w:val="24"/>
                <w:szCs w:val="24"/>
                <w:highlight w:val="none"/>
                <w:lang w:val="en-US" w:eastAsia="zh-CN"/>
              </w:rPr>
              <w:t>元/吨</w:t>
            </w:r>
          </w:p>
        </w:tc>
      </w:tr>
    </w:tbl>
    <w:p w14:paraId="77E45870">
      <w:pPr>
        <w:widowControl/>
        <w:shd w:val="clear" w:color="auto" w:fill="FFFFFF"/>
        <w:spacing w:after="120" w:afterAutospacing="0" w:line="360" w:lineRule="auto"/>
        <w:ind w:left="480" w:leftChars="0" w:firstLine="0" w:firstLineChars="0"/>
        <w:jc w:val="lef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shd w:val="clear" w:color="auto" w:fill="FFFFFF"/>
        </w:rPr>
        <w:t>谈判供应商：（盖章）             </w:t>
      </w:r>
    </w:p>
    <w:p w14:paraId="0E21C444">
      <w:pPr>
        <w:widowControl/>
        <w:shd w:val="clear" w:color="auto" w:fill="FFFFFF"/>
        <w:spacing w:after="120" w:afterAutospacing="0" w:line="360" w:lineRule="auto"/>
        <w:ind w:left="480" w:leftChars="0" w:firstLine="0" w:firstLineChars="0"/>
        <w:jc w:val="lef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shd w:val="clear" w:color="auto" w:fill="FFFFFF"/>
        </w:rPr>
        <w:t>法定代表人或被授权人（签字）：</w:t>
      </w:r>
    </w:p>
    <w:p w14:paraId="407316AE">
      <w:pPr>
        <w:widowControl/>
        <w:shd w:val="clear" w:color="auto" w:fill="FFFFFF"/>
        <w:spacing w:after="120" w:afterAutospacing="0" w:line="360" w:lineRule="auto"/>
        <w:ind w:left="480" w:leftChars="0" w:firstLine="0" w:firstLineChars="0"/>
        <w:jc w:val="lef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shd w:val="clear" w:color="auto" w:fill="FFFFFF"/>
        </w:rPr>
        <w:t>日期：</w:t>
      </w:r>
    </w:p>
    <w:p w14:paraId="1A39F0F9">
      <w:pPr>
        <w:pStyle w:val="13"/>
        <w:widowControl/>
        <w:ind w:left="0" w:leftChars="0" w:firstLine="480" w:firstLineChars="200"/>
        <w:rPr>
          <w:rFonts w:ascii="Times New Roman" w:hAnsi="Times New Roman" w:eastAsia="宋体" w:cs="Times New Roman"/>
          <w:sz w:val="24"/>
          <w:highlight w:val="none"/>
        </w:rPr>
      </w:pPr>
      <w:r>
        <w:rPr>
          <w:rFonts w:ascii="Times New Roman" w:hAnsi="Times New Roman" w:eastAsia="宋体" w:cs="Times New Roman"/>
          <w:sz w:val="24"/>
          <w:highlight w:val="none"/>
        </w:rPr>
        <w:t>注：</w:t>
      </w:r>
    </w:p>
    <w:p w14:paraId="3BDE392E">
      <w:pPr>
        <w:pStyle w:val="13"/>
        <w:widowControl/>
        <w:numPr>
          <w:ilvl w:val="0"/>
          <w:numId w:val="28"/>
        </w:numPr>
        <w:tabs>
          <w:tab w:val="left" w:pos="840"/>
        </w:tabs>
        <w:topLinePunct w:val="0"/>
        <w:ind w:left="0" w:leftChars="0" w:firstLine="480" w:firstLineChars="200"/>
        <w:rPr>
          <w:rFonts w:hint="eastAsia" w:ascii="宋体" w:hAnsi="宋体" w:eastAsia="宋体" w:cs="宋体"/>
          <w:b w:val="0"/>
          <w:sz w:val="24"/>
          <w:highlight w:val="none"/>
        </w:rPr>
      </w:pPr>
      <w:r>
        <w:rPr>
          <w:rFonts w:ascii="Times New Roman" w:hAnsi="Times New Roman" w:eastAsia="宋体" w:cs="Times New Roman"/>
          <w:sz w:val="24"/>
          <w:highlight w:val="none"/>
        </w:rPr>
        <w:t>本表格式，不得自行改动。</w:t>
      </w:r>
    </w:p>
    <w:p w14:paraId="57446071">
      <w:pPr>
        <w:pStyle w:val="13"/>
        <w:widowControl/>
        <w:numPr>
          <w:ilvl w:val="0"/>
          <w:numId w:val="28"/>
        </w:numPr>
        <w:tabs>
          <w:tab w:val="left" w:pos="840"/>
        </w:tabs>
        <w:topLinePunct w:val="0"/>
        <w:ind w:left="0" w:leftChars="0" w:firstLine="480" w:firstLineChars="200"/>
        <w:rPr>
          <w:rFonts w:hint="eastAsia" w:ascii="宋体" w:hAnsi="宋体" w:eastAsia="宋体" w:cs="宋体"/>
          <w:b w:val="0"/>
          <w:sz w:val="24"/>
          <w:highlight w:val="none"/>
        </w:rPr>
      </w:pPr>
      <w:r>
        <w:rPr>
          <w:rFonts w:ascii="Times New Roman" w:hAnsi="Times New Roman" w:eastAsia="宋体" w:cs="Times New Roman"/>
          <w:sz w:val="24"/>
          <w:highlight w:val="none"/>
        </w:rPr>
        <w:t>谈判报价中应包括从项目实施到结束的所有费用，包括为完成本项目所必需的其他辅助工作的相关费用及响应采购文件要求等的一切应有费用。</w:t>
      </w:r>
    </w:p>
    <w:p w14:paraId="02F1E577">
      <w:pPr>
        <w:widowControl/>
        <w:shd w:val="clear" w:color="auto" w:fill="FFFFFF"/>
        <w:spacing w:line="420" w:lineRule="atLeast"/>
        <w:jc w:val="left"/>
        <w:rPr>
          <w:rFonts w:hint="eastAsia" w:ascii="宋体" w:hAnsi="宋体" w:eastAsia="宋体" w:cs="宋体"/>
          <w:b/>
          <w:sz w:val="28"/>
          <w:szCs w:val="28"/>
          <w:highlight w:val="none"/>
          <w:shd w:val="clear" w:color="auto" w:fill="FFFFFF"/>
        </w:rPr>
      </w:pPr>
    </w:p>
    <w:p w14:paraId="14FCC1CD">
      <w:pPr>
        <w:widowControl/>
        <w:shd w:val="clear" w:color="auto" w:fill="FFFFFF"/>
        <w:spacing w:line="420" w:lineRule="atLeast"/>
        <w:jc w:val="left"/>
        <w:rPr>
          <w:rFonts w:hint="eastAsia" w:ascii="宋体" w:hAnsi="宋体" w:eastAsia="宋体" w:cs="宋体"/>
          <w:b/>
          <w:sz w:val="28"/>
          <w:szCs w:val="28"/>
          <w:highlight w:val="none"/>
          <w:shd w:val="clear" w:color="auto" w:fill="FFFFFF"/>
        </w:rPr>
      </w:pPr>
    </w:p>
    <w:p w14:paraId="3FA39876">
      <w:pPr>
        <w:widowControl/>
        <w:shd w:val="clear" w:color="auto" w:fill="FFFFFF"/>
        <w:spacing w:line="420" w:lineRule="atLeast"/>
        <w:jc w:val="left"/>
        <w:rPr>
          <w:rFonts w:hint="eastAsia" w:ascii="宋体" w:hAnsi="宋体" w:eastAsia="宋体" w:cs="宋体"/>
          <w:b/>
          <w:sz w:val="28"/>
          <w:szCs w:val="28"/>
          <w:highlight w:val="none"/>
          <w:shd w:val="clear" w:color="auto" w:fill="FFFFFF"/>
        </w:rPr>
      </w:pPr>
    </w:p>
    <w:p w14:paraId="021CC030">
      <w:pPr>
        <w:widowControl/>
        <w:shd w:val="clear" w:color="auto" w:fill="FFFFFF"/>
        <w:spacing w:line="420" w:lineRule="atLeast"/>
        <w:jc w:val="left"/>
        <w:rPr>
          <w:rFonts w:hint="eastAsia" w:ascii="宋体" w:hAnsi="宋体" w:eastAsia="宋体" w:cs="宋体"/>
          <w:b/>
          <w:sz w:val="28"/>
          <w:szCs w:val="28"/>
          <w:highlight w:val="none"/>
          <w:shd w:val="clear" w:color="auto" w:fill="FFFFFF"/>
        </w:rPr>
      </w:pPr>
    </w:p>
    <w:p w14:paraId="24059255">
      <w:pPr>
        <w:widowControl/>
        <w:shd w:val="clear" w:color="auto" w:fill="FFFFFF"/>
        <w:spacing w:line="420" w:lineRule="atLeast"/>
        <w:jc w:val="left"/>
        <w:rPr>
          <w:rFonts w:hint="eastAsia" w:ascii="宋体" w:hAnsi="宋体" w:eastAsia="宋体" w:cs="宋体"/>
          <w:b/>
          <w:sz w:val="28"/>
          <w:szCs w:val="28"/>
          <w:highlight w:val="none"/>
          <w:shd w:val="clear" w:color="auto" w:fill="FFFFFF"/>
        </w:rPr>
      </w:pPr>
    </w:p>
    <w:p w14:paraId="04CB96C2">
      <w:pPr>
        <w:widowControl/>
        <w:shd w:val="clear" w:color="auto" w:fill="FFFFFF"/>
        <w:spacing w:line="420" w:lineRule="atLeast"/>
        <w:jc w:val="left"/>
        <w:rPr>
          <w:rFonts w:hint="eastAsia" w:ascii="宋体" w:hAnsi="宋体" w:eastAsia="宋体" w:cs="宋体"/>
          <w:b/>
          <w:sz w:val="28"/>
          <w:szCs w:val="28"/>
          <w:highlight w:val="none"/>
          <w:shd w:val="clear" w:color="auto" w:fill="FFFFFF"/>
        </w:rPr>
      </w:pPr>
    </w:p>
    <w:p w14:paraId="11634CB9">
      <w:pPr>
        <w:widowControl/>
        <w:shd w:val="clear" w:color="auto" w:fill="FFFFFF"/>
        <w:spacing w:line="420" w:lineRule="atLeast"/>
        <w:jc w:val="left"/>
        <w:rPr>
          <w:rFonts w:hint="eastAsia" w:ascii="宋体" w:hAnsi="宋体" w:eastAsia="宋体" w:cs="宋体"/>
          <w:b/>
          <w:sz w:val="28"/>
          <w:szCs w:val="28"/>
          <w:highlight w:val="none"/>
          <w:shd w:val="clear" w:color="auto" w:fill="FFFFFF"/>
        </w:rPr>
      </w:pPr>
    </w:p>
    <w:p w14:paraId="29830A2F">
      <w:pPr>
        <w:widowControl/>
        <w:shd w:val="clear" w:color="auto" w:fill="FFFFFF"/>
        <w:spacing w:line="420" w:lineRule="atLeast"/>
        <w:jc w:val="left"/>
        <w:rPr>
          <w:rFonts w:hint="eastAsia" w:ascii="宋体" w:hAnsi="宋体" w:eastAsia="宋体" w:cs="宋体"/>
          <w:b/>
          <w:sz w:val="28"/>
          <w:szCs w:val="28"/>
          <w:highlight w:val="none"/>
          <w:shd w:val="clear" w:color="auto" w:fill="FFFFFF"/>
        </w:rPr>
      </w:pPr>
    </w:p>
    <w:p w14:paraId="232A70A9">
      <w:pPr>
        <w:widowControl/>
        <w:shd w:val="clear" w:color="auto" w:fill="FFFFFF"/>
        <w:spacing w:line="420" w:lineRule="atLeast"/>
        <w:jc w:val="left"/>
        <w:rPr>
          <w:rFonts w:hint="eastAsia" w:ascii="宋体" w:hAnsi="宋体" w:eastAsia="宋体" w:cs="宋体"/>
          <w:b/>
          <w:sz w:val="28"/>
          <w:szCs w:val="28"/>
          <w:highlight w:val="none"/>
          <w:shd w:val="clear" w:color="auto" w:fill="FFFFFF"/>
        </w:rPr>
      </w:pPr>
    </w:p>
    <w:p w14:paraId="2E30D717">
      <w:pPr>
        <w:widowControl/>
        <w:shd w:val="clear" w:color="auto" w:fill="FFFFFF"/>
        <w:spacing w:line="420" w:lineRule="atLeast"/>
        <w:jc w:val="left"/>
        <w:rPr>
          <w:rFonts w:hint="eastAsia" w:ascii="宋体" w:hAnsi="宋体" w:eastAsia="宋体" w:cs="宋体"/>
          <w:b/>
          <w:sz w:val="28"/>
          <w:szCs w:val="28"/>
          <w:highlight w:val="none"/>
          <w:shd w:val="clear" w:color="auto" w:fill="FFFFFF"/>
        </w:rPr>
      </w:pPr>
    </w:p>
    <w:p w14:paraId="22B86313">
      <w:pPr>
        <w:widowControl/>
        <w:shd w:val="clear" w:color="auto" w:fill="FFFFFF"/>
        <w:spacing w:line="420" w:lineRule="atLeast"/>
        <w:jc w:val="left"/>
        <w:rPr>
          <w:rFonts w:hint="eastAsia" w:ascii="宋体" w:hAnsi="宋体" w:eastAsia="宋体" w:cs="宋体"/>
          <w:b/>
          <w:sz w:val="28"/>
          <w:szCs w:val="28"/>
          <w:highlight w:val="none"/>
          <w:shd w:val="clear" w:color="auto" w:fill="FFFFFF"/>
        </w:rPr>
      </w:pPr>
    </w:p>
    <w:p w14:paraId="16BDA1F4">
      <w:pPr>
        <w:widowControl/>
        <w:shd w:val="clear" w:color="auto" w:fill="FFFFFF"/>
        <w:spacing w:line="420" w:lineRule="atLeast"/>
        <w:jc w:val="left"/>
        <w:rPr>
          <w:rFonts w:hint="eastAsia" w:ascii="宋体" w:hAnsi="宋体" w:eastAsia="宋体" w:cs="宋体"/>
          <w:b/>
          <w:sz w:val="28"/>
          <w:szCs w:val="28"/>
          <w:highlight w:val="none"/>
          <w:shd w:val="clear" w:color="auto" w:fill="FFFFFF"/>
        </w:rPr>
      </w:pPr>
    </w:p>
    <w:p w14:paraId="493BD867">
      <w:pPr>
        <w:rPr>
          <w:rFonts w:hint="eastAsia" w:ascii="宋体" w:hAnsi="宋体" w:eastAsia="宋体" w:cs="宋体"/>
          <w:highlight w:val="none"/>
        </w:rPr>
      </w:pPr>
    </w:p>
    <w:sectPr>
      <w:pgSz w:w="11907" w:h="16840"/>
      <w:pgMar w:top="1474" w:right="1814" w:bottom="1474" w:left="1814" w:header="851" w:footer="851" w:gutter="0"/>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幼圆">
    <w:panose1 w:val="0201050906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7099FC">
    <w:pPr>
      <w:pStyle w:val="16"/>
      <w:jc w:val="center"/>
    </w:pPr>
    <w:r>
      <w:fldChar w:fldCharType="begin"/>
    </w:r>
    <w:r>
      <w:instrText xml:space="preserve">PAGE   \* MERGEFORMAT</w:instrText>
    </w:r>
    <w:r>
      <w:fldChar w:fldCharType="separate"/>
    </w:r>
    <w:r>
      <w:rPr>
        <w:lang w:val="zh-CN"/>
      </w:rPr>
      <w:t>18</w:t>
    </w:r>
    <w:r>
      <w:fldChar w:fldCharType="end"/>
    </w:r>
  </w:p>
  <w:p w14:paraId="3366A97A">
    <w:pPr>
      <w:pStyle w:val="1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9C0929">
    <w:pPr>
      <w:pStyle w:val="16"/>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94C3BCC">
                          <w:pPr>
                            <w:pStyle w:val="16"/>
                          </w:pPr>
                          <w:r>
                            <w:fldChar w:fldCharType="begin"/>
                          </w:r>
                          <w:r>
                            <w:instrText xml:space="preserve"> PAGE  \* MERGEFORMAT </w:instrText>
                          </w:r>
                          <w:r>
                            <w:fldChar w:fldCharType="separate"/>
                          </w:r>
                          <w:r>
                            <w:t>1</w:t>
                          </w:r>
                          <w:r>
                            <w:fldChar w:fldCharType="end"/>
                          </w:r>
                        </w:p>
                      </w:txbxContent>
                    </wps:txbx>
                    <wps:bodyPr wrap="none" lIns="0" tIns="0" rIns="0" bIns="0" upright="1">
                      <a:spAutoFit/>
                    </wps:bodyPr>
                  </wps:wsp>
                </a:graphicData>
              </a:graphic>
            </wp:anchor>
          </w:drawing>
        </mc:Choice>
        <mc:Fallback>
          <w:pict>
            <v:shape id="文本框 1028"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KXl8HTLAQAAnAMAAA4AAAAAAAAAAQAgAAAAHgEAAGRycy9lMm9E&#10;b2MueG1sUEsFBgAAAAAGAAYAWQEAAFsFAAAAAA==&#10;">
              <v:fill on="f" focussize="0,0"/>
              <v:stroke on="f"/>
              <v:imagedata o:title=""/>
              <o:lock v:ext="edit" aspectratio="f"/>
              <v:textbox inset="0mm,0mm,0mm,0mm" style="mso-fit-shape-to-text:t;">
                <w:txbxContent>
                  <w:p w14:paraId="594C3BCC">
                    <w:pPr>
                      <w:pStyle w:val="16"/>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10C673F"/>
    <w:multiLevelType w:val="singleLevel"/>
    <w:tmpl w:val="810C673F"/>
    <w:lvl w:ilvl="0" w:tentative="0">
      <w:start w:val="1"/>
      <w:numFmt w:val="decimal"/>
      <w:lvlText w:val="%1)"/>
      <w:lvlJc w:val="left"/>
      <w:pPr>
        <w:tabs>
          <w:tab w:val="left" w:pos="210"/>
        </w:tabs>
        <w:ind w:left="425" w:firstLine="480"/>
      </w:pPr>
      <w:rPr>
        <w:rFonts w:hint="default"/>
      </w:rPr>
    </w:lvl>
  </w:abstractNum>
  <w:abstractNum w:abstractNumId="1">
    <w:nsid w:val="81E5B05F"/>
    <w:multiLevelType w:val="singleLevel"/>
    <w:tmpl w:val="81E5B05F"/>
    <w:lvl w:ilvl="0" w:tentative="0">
      <w:start w:val="1"/>
      <w:numFmt w:val="decimal"/>
      <w:suff w:val="nothing"/>
      <w:lvlText w:val="%1、"/>
      <w:lvlJc w:val="left"/>
      <w:pPr>
        <w:ind w:left="0" w:firstLine="480"/>
      </w:pPr>
      <w:rPr>
        <w:rFonts w:hint="default"/>
      </w:rPr>
    </w:lvl>
  </w:abstractNum>
  <w:abstractNum w:abstractNumId="2">
    <w:nsid w:val="8510C171"/>
    <w:multiLevelType w:val="singleLevel"/>
    <w:tmpl w:val="8510C171"/>
    <w:lvl w:ilvl="0" w:tentative="0">
      <w:start w:val="1"/>
      <w:numFmt w:val="decimal"/>
      <w:lvlText w:val="%1."/>
      <w:lvlJc w:val="left"/>
      <w:pPr>
        <w:tabs>
          <w:tab w:val="left" w:pos="210"/>
        </w:tabs>
        <w:ind w:left="0" w:firstLine="480"/>
      </w:pPr>
      <w:rPr>
        <w:rFonts w:hint="default"/>
      </w:rPr>
    </w:lvl>
  </w:abstractNum>
  <w:abstractNum w:abstractNumId="3">
    <w:nsid w:val="8A8AEA03"/>
    <w:multiLevelType w:val="singleLevel"/>
    <w:tmpl w:val="8A8AEA03"/>
    <w:lvl w:ilvl="0" w:tentative="0">
      <w:start w:val="1"/>
      <w:numFmt w:val="decimal"/>
      <w:suff w:val="nothing"/>
      <w:lvlText w:val="%1、"/>
      <w:lvlJc w:val="left"/>
      <w:pPr>
        <w:ind w:left="0" w:firstLine="480"/>
      </w:pPr>
      <w:rPr>
        <w:rFonts w:hint="default"/>
      </w:rPr>
    </w:lvl>
  </w:abstractNum>
  <w:abstractNum w:abstractNumId="4">
    <w:nsid w:val="94BA39F7"/>
    <w:multiLevelType w:val="singleLevel"/>
    <w:tmpl w:val="94BA39F7"/>
    <w:lvl w:ilvl="0" w:tentative="0">
      <w:start w:val="1"/>
      <w:numFmt w:val="decimal"/>
      <w:lvlText w:val="%1."/>
      <w:lvlJc w:val="left"/>
      <w:pPr>
        <w:tabs>
          <w:tab w:val="left" w:pos="210"/>
        </w:tabs>
        <w:ind w:left="0" w:firstLine="480"/>
      </w:pPr>
      <w:rPr>
        <w:rFonts w:hint="default"/>
      </w:rPr>
    </w:lvl>
  </w:abstractNum>
  <w:abstractNum w:abstractNumId="5">
    <w:nsid w:val="9FAAA985"/>
    <w:multiLevelType w:val="singleLevel"/>
    <w:tmpl w:val="9FAAA985"/>
    <w:lvl w:ilvl="0" w:tentative="0">
      <w:start w:val="1"/>
      <w:numFmt w:val="decimal"/>
      <w:suff w:val="nothing"/>
      <w:lvlText w:val="（%1）"/>
      <w:lvlJc w:val="left"/>
      <w:pPr>
        <w:ind w:left="0" w:firstLine="480"/>
      </w:pPr>
      <w:rPr>
        <w:rFonts w:hint="default"/>
      </w:rPr>
    </w:lvl>
  </w:abstractNum>
  <w:abstractNum w:abstractNumId="6">
    <w:nsid w:val="B191A51C"/>
    <w:multiLevelType w:val="singleLevel"/>
    <w:tmpl w:val="B191A51C"/>
    <w:lvl w:ilvl="0" w:tentative="0">
      <w:start w:val="1"/>
      <w:numFmt w:val="decimal"/>
      <w:lvlText w:val="%1."/>
      <w:lvlJc w:val="left"/>
      <w:pPr>
        <w:tabs>
          <w:tab w:val="left" w:pos="210"/>
        </w:tabs>
        <w:ind w:left="0" w:firstLine="480"/>
      </w:pPr>
      <w:rPr>
        <w:rFonts w:hint="default"/>
      </w:rPr>
    </w:lvl>
  </w:abstractNum>
  <w:abstractNum w:abstractNumId="7">
    <w:nsid w:val="C3B5C0E8"/>
    <w:multiLevelType w:val="singleLevel"/>
    <w:tmpl w:val="C3B5C0E8"/>
    <w:lvl w:ilvl="0" w:tentative="0">
      <w:start w:val="1"/>
      <w:numFmt w:val="decimal"/>
      <w:lvlText w:val="%1."/>
      <w:lvlJc w:val="left"/>
      <w:pPr>
        <w:tabs>
          <w:tab w:val="left" w:pos="210"/>
        </w:tabs>
        <w:ind w:left="0" w:firstLine="480"/>
      </w:pPr>
      <w:rPr>
        <w:rFonts w:hint="default"/>
      </w:rPr>
    </w:lvl>
  </w:abstractNum>
  <w:abstractNum w:abstractNumId="8">
    <w:nsid w:val="CCFF384A"/>
    <w:multiLevelType w:val="singleLevel"/>
    <w:tmpl w:val="CCFF384A"/>
    <w:lvl w:ilvl="0" w:tentative="0">
      <w:start w:val="1"/>
      <w:numFmt w:val="decimal"/>
      <w:suff w:val="nothing"/>
      <w:lvlText w:val="%1、"/>
      <w:lvlJc w:val="left"/>
      <w:pPr>
        <w:ind w:left="0" w:firstLine="480"/>
      </w:pPr>
      <w:rPr>
        <w:rFonts w:hint="default"/>
      </w:rPr>
    </w:lvl>
  </w:abstractNum>
  <w:abstractNum w:abstractNumId="9">
    <w:nsid w:val="EBE530C5"/>
    <w:multiLevelType w:val="singleLevel"/>
    <w:tmpl w:val="EBE530C5"/>
    <w:lvl w:ilvl="0" w:tentative="0">
      <w:start w:val="1"/>
      <w:numFmt w:val="decimal"/>
      <w:lvlText w:val="%1."/>
      <w:lvlJc w:val="left"/>
      <w:pPr>
        <w:tabs>
          <w:tab w:val="left" w:pos="210"/>
        </w:tabs>
        <w:ind w:left="0" w:firstLine="480"/>
      </w:pPr>
      <w:rPr>
        <w:rFonts w:hint="default"/>
      </w:rPr>
    </w:lvl>
  </w:abstractNum>
  <w:abstractNum w:abstractNumId="10">
    <w:nsid w:val="ED4DAA7F"/>
    <w:multiLevelType w:val="singleLevel"/>
    <w:tmpl w:val="ED4DAA7F"/>
    <w:lvl w:ilvl="0" w:tentative="0">
      <w:start w:val="1"/>
      <w:numFmt w:val="chineseCounting"/>
      <w:suff w:val="nothing"/>
      <w:lvlText w:val="%1、"/>
      <w:lvlJc w:val="left"/>
      <w:pPr>
        <w:ind w:left="148" w:firstLine="482"/>
      </w:pPr>
      <w:rPr>
        <w:rFonts w:hint="eastAsia"/>
      </w:rPr>
    </w:lvl>
  </w:abstractNum>
  <w:abstractNum w:abstractNumId="11">
    <w:nsid w:val="EDAD8072"/>
    <w:multiLevelType w:val="singleLevel"/>
    <w:tmpl w:val="EDAD8072"/>
    <w:lvl w:ilvl="0" w:tentative="0">
      <w:start w:val="1"/>
      <w:numFmt w:val="decimal"/>
      <w:lvlText w:val="%1)"/>
      <w:lvlJc w:val="left"/>
      <w:pPr>
        <w:ind w:left="425" w:hanging="425"/>
      </w:pPr>
      <w:rPr>
        <w:rFonts w:hint="default"/>
      </w:rPr>
    </w:lvl>
  </w:abstractNum>
  <w:abstractNum w:abstractNumId="12">
    <w:nsid w:val="F0201A7D"/>
    <w:multiLevelType w:val="singleLevel"/>
    <w:tmpl w:val="F0201A7D"/>
    <w:lvl w:ilvl="0" w:tentative="0">
      <w:start w:val="1"/>
      <w:numFmt w:val="decimal"/>
      <w:lvlText w:val="%1."/>
      <w:lvlJc w:val="left"/>
      <w:pPr>
        <w:tabs>
          <w:tab w:val="left" w:pos="210"/>
        </w:tabs>
        <w:ind w:left="0" w:firstLine="480"/>
      </w:pPr>
      <w:rPr>
        <w:rFonts w:hint="default"/>
      </w:rPr>
    </w:lvl>
  </w:abstractNum>
  <w:abstractNum w:abstractNumId="13">
    <w:nsid w:val="00D7C121"/>
    <w:multiLevelType w:val="singleLevel"/>
    <w:tmpl w:val="00D7C121"/>
    <w:lvl w:ilvl="0" w:tentative="0">
      <w:start w:val="1"/>
      <w:numFmt w:val="decimal"/>
      <w:lvlText w:val="(%1)"/>
      <w:lvlJc w:val="left"/>
      <w:pPr>
        <w:tabs>
          <w:tab w:val="left" w:pos="210"/>
        </w:tabs>
        <w:ind w:left="425" w:hanging="5"/>
      </w:pPr>
      <w:rPr>
        <w:rFonts w:hint="default"/>
      </w:rPr>
    </w:lvl>
  </w:abstractNum>
  <w:abstractNum w:abstractNumId="14">
    <w:nsid w:val="10D98D79"/>
    <w:multiLevelType w:val="singleLevel"/>
    <w:tmpl w:val="10D98D79"/>
    <w:lvl w:ilvl="0" w:tentative="0">
      <w:start w:val="1"/>
      <w:numFmt w:val="decimal"/>
      <w:lvlText w:val="%1."/>
      <w:lvlJc w:val="left"/>
      <w:pPr>
        <w:tabs>
          <w:tab w:val="left" w:pos="210"/>
        </w:tabs>
        <w:ind w:left="0" w:firstLine="480"/>
      </w:pPr>
      <w:rPr>
        <w:rFonts w:hint="default"/>
      </w:rPr>
    </w:lvl>
  </w:abstractNum>
  <w:abstractNum w:abstractNumId="15">
    <w:nsid w:val="13CC319B"/>
    <w:multiLevelType w:val="singleLevel"/>
    <w:tmpl w:val="13CC319B"/>
    <w:lvl w:ilvl="0" w:tentative="0">
      <w:start w:val="1"/>
      <w:numFmt w:val="decimal"/>
      <w:lvlText w:val="(%1)"/>
      <w:lvlJc w:val="left"/>
      <w:pPr>
        <w:tabs>
          <w:tab w:val="left" w:pos="210"/>
        </w:tabs>
        <w:ind w:left="425" w:hanging="5"/>
      </w:pPr>
      <w:rPr>
        <w:rFonts w:hint="default"/>
      </w:rPr>
    </w:lvl>
  </w:abstractNum>
  <w:abstractNum w:abstractNumId="16">
    <w:nsid w:val="1C1B7E6A"/>
    <w:multiLevelType w:val="singleLevel"/>
    <w:tmpl w:val="1C1B7E6A"/>
    <w:lvl w:ilvl="0" w:tentative="0">
      <w:start w:val="1"/>
      <w:numFmt w:val="decimal"/>
      <w:lvlText w:val="%1."/>
      <w:lvlJc w:val="left"/>
      <w:pPr>
        <w:tabs>
          <w:tab w:val="left" w:pos="210"/>
        </w:tabs>
        <w:ind w:left="0" w:firstLine="480"/>
      </w:pPr>
      <w:rPr>
        <w:rFonts w:hint="default"/>
      </w:rPr>
    </w:lvl>
  </w:abstractNum>
  <w:abstractNum w:abstractNumId="17">
    <w:nsid w:val="2230B3AD"/>
    <w:multiLevelType w:val="singleLevel"/>
    <w:tmpl w:val="2230B3AD"/>
    <w:lvl w:ilvl="0" w:tentative="0">
      <w:start w:val="1"/>
      <w:numFmt w:val="decimal"/>
      <w:lvlText w:val="%1."/>
      <w:lvlJc w:val="left"/>
      <w:pPr>
        <w:tabs>
          <w:tab w:val="left" w:pos="210"/>
        </w:tabs>
        <w:ind w:left="0" w:firstLine="480"/>
      </w:pPr>
      <w:rPr>
        <w:rFonts w:hint="default"/>
      </w:rPr>
    </w:lvl>
  </w:abstractNum>
  <w:abstractNum w:abstractNumId="18">
    <w:nsid w:val="31CAE7F6"/>
    <w:multiLevelType w:val="singleLevel"/>
    <w:tmpl w:val="31CAE7F6"/>
    <w:lvl w:ilvl="0" w:tentative="0">
      <w:start w:val="1"/>
      <w:numFmt w:val="decimal"/>
      <w:suff w:val="nothing"/>
      <w:lvlText w:val="%1、"/>
      <w:lvlJc w:val="left"/>
      <w:pPr>
        <w:ind w:left="0" w:firstLine="480"/>
      </w:pPr>
      <w:rPr>
        <w:rFonts w:hint="default"/>
      </w:rPr>
    </w:lvl>
  </w:abstractNum>
  <w:abstractNum w:abstractNumId="19">
    <w:nsid w:val="4A676493"/>
    <w:multiLevelType w:val="singleLevel"/>
    <w:tmpl w:val="4A676493"/>
    <w:lvl w:ilvl="0" w:tentative="0">
      <w:start w:val="1"/>
      <w:numFmt w:val="decimal"/>
      <w:suff w:val="nothing"/>
      <w:lvlText w:val="(%1)"/>
      <w:lvlJc w:val="left"/>
      <w:pPr>
        <w:ind w:left="425" w:hanging="5"/>
      </w:pPr>
      <w:rPr>
        <w:rFonts w:hint="default"/>
      </w:rPr>
    </w:lvl>
  </w:abstractNum>
  <w:abstractNum w:abstractNumId="20">
    <w:nsid w:val="4AF1E279"/>
    <w:multiLevelType w:val="singleLevel"/>
    <w:tmpl w:val="4AF1E279"/>
    <w:lvl w:ilvl="0" w:tentative="0">
      <w:start w:val="1"/>
      <w:numFmt w:val="decimal"/>
      <w:suff w:val="nothing"/>
      <w:lvlText w:val="%1、"/>
      <w:lvlJc w:val="left"/>
      <w:pPr>
        <w:ind w:left="0" w:firstLine="480"/>
      </w:pPr>
      <w:rPr>
        <w:rFonts w:hint="default"/>
      </w:rPr>
    </w:lvl>
  </w:abstractNum>
  <w:abstractNum w:abstractNumId="21">
    <w:nsid w:val="5AC015A5"/>
    <w:multiLevelType w:val="singleLevel"/>
    <w:tmpl w:val="5AC015A5"/>
    <w:lvl w:ilvl="0" w:tentative="0">
      <w:start w:val="1"/>
      <w:numFmt w:val="decimal"/>
      <w:suff w:val="nothing"/>
      <w:lvlText w:val="%1．"/>
      <w:lvlJc w:val="left"/>
      <w:pPr>
        <w:ind w:left="0" w:firstLine="480"/>
      </w:pPr>
      <w:rPr>
        <w:rFonts w:hint="default"/>
      </w:rPr>
    </w:lvl>
  </w:abstractNum>
  <w:abstractNum w:abstractNumId="22">
    <w:nsid w:val="623F526F"/>
    <w:multiLevelType w:val="singleLevel"/>
    <w:tmpl w:val="623F526F"/>
    <w:lvl w:ilvl="0" w:tentative="0">
      <w:start w:val="1"/>
      <w:numFmt w:val="decimal"/>
      <w:lvlText w:val="%1."/>
      <w:lvlJc w:val="left"/>
      <w:pPr>
        <w:tabs>
          <w:tab w:val="left" w:pos="210"/>
        </w:tabs>
        <w:ind w:left="0" w:firstLine="480"/>
      </w:pPr>
      <w:rPr>
        <w:rFonts w:hint="default"/>
      </w:rPr>
    </w:lvl>
  </w:abstractNum>
  <w:abstractNum w:abstractNumId="23">
    <w:nsid w:val="63AFED43"/>
    <w:multiLevelType w:val="singleLevel"/>
    <w:tmpl w:val="63AFED43"/>
    <w:lvl w:ilvl="0" w:tentative="0">
      <w:start w:val="1"/>
      <w:numFmt w:val="chineseCounting"/>
      <w:suff w:val="nothing"/>
      <w:lvlText w:val="%1、"/>
      <w:lvlJc w:val="left"/>
      <w:pPr>
        <w:ind w:firstLine="482"/>
      </w:pPr>
      <w:rPr>
        <w:rFonts w:hint="eastAsia"/>
      </w:rPr>
    </w:lvl>
  </w:abstractNum>
  <w:abstractNum w:abstractNumId="24">
    <w:nsid w:val="67681F02"/>
    <w:multiLevelType w:val="singleLevel"/>
    <w:tmpl w:val="67681F02"/>
    <w:lvl w:ilvl="0" w:tentative="0">
      <w:start w:val="1"/>
      <w:numFmt w:val="decimal"/>
      <w:suff w:val="nothing"/>
      <w:lvlText w:val="%1、"/>
      <w:lvlJc w:val="left"/>
      <w:pPr>
        <w:ind w:left="0" w:firstLine="480"/>
      </w:pPr>
      <w:rPr>
        <w:rFonts w:hint="default"/>
      </w:rPr>
    </w:lvl>
  </w:abstractNum>
  <w:abstractNum w:abstractNumId="25">
    <w:nsid w:val="69453D2A"/>
    <w:multiLevelType w:val="multilevel"/>
    <w:tmpl w:val="69453D2A"/>
    <w:lvl w:ilvl="0" w:tentative="0">
      <w:start w:val="1"/>
      <w:numFmt w:val="decimal"/>
      <w:lvlText w:val="（%1）"/>
      <w:lvlJc w:val="left"/>
      <w:pPr>
        <w:tabs>
          <w:tab w:val="left" w:pos="2487"/>
        </w:tabs>
        <w:ind w:left="2487" w:hanging="720"/>
      </w:pPr>
      <w:rPr>
        <w:lang w:val="en-US"/>
      </w:rPr>
    </w:lvl>
    <w:lvl w:ilvl="1" w:tentative="0">
      <w:start w:val="1"/>
      <w:numFmt w:val="lowerLetter"/>
      <w:lvlText w:val="%2)"/>
      <w:lvlJc w:val="left"/>
      <w:pPr>
        <w:tabs>
          <w:tab w:val="left" w:pos="1321"/>
        </w:tabs>
        <w:ind w:left="1321" w:hanging="42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6">
    <w:nsid w:val="791FA869"/>
    <w:multiLevelType w:val="singleLevel"/>
    <w:tmpl w:val="791FA869"/>
    <w:lvl w:ilvl="0" w:tentative="0">
      <w:start w:val="1"/>
      <w:numFmt w:val="decimal"/>
      <w:suff w:val="nothing"/>
      <w:lvlText w:val="（%1）"/>
      <w:lvlJc w:val="left"/>
      <w:pPr>
        <w:ind w:left="0" w:firstLine="480"/>
      </w:pPr>
      <w:rPr>
        <w:rFonts w:hint="default"/>
      </w:rPr>
    </w:lvl>
  </w:abstractNum>
  <w:abstractNum w:abstractNumId="27">
    <w:nsid w:val="7CD5831E"/>
    <w:multiLevelType w:val="singleLevel"/>
    <w:tmpl w:val="7CD5831E"/>
    <w:lvl w:ilvl="0" w:tentative="0">
      <w:start w:val="1"/>
      <w:numFmt w:val="chineseCounting"/>
      <w:suff w:val="nothing"/>
      <w:lvlText w:val="%1、"/>
      <w:lvlJc w:val="left"/>
      <w:pPr>
        <w:ind w:left="0" w:firstLine="482"/>
      </w:pPr>
      <w:rPr>
        <w:rFonts w:hint="eastAsia"/>
      </w:rPr>
    </w:lvl>
  </w:abstractNum>
  <w:num w:numId="1">
    <w:abstractNumId w:val="3"/>
  </w:num>
  <w:num w:numId="2">
    <w:abstractNumId w:val="8"/>
  </w:num>
  <w:num w:numId="3">
    <w:abstractNumId w:val="20"/>
  </w:num>
  <w:num w:numId="4">
    <w:abstractNumId w:val="24"/>
  </w:num>
  <w:num w:numId="5">
    <w:abstractNumId w:val="1"/>
  </w:num>
  <w:num w:numId="6">
    <w:abstractNumId w:val="4"/>
  </w:num>
  <w:num w:numId="7">
    <w:abstractNumId w:val="5"/>
  </w:num>
  <w:num w:numId="8">
    <w:abstractNumId w:val="23"/>
  </w:num>
  <w:num w:numId="9">
    <w:abstractNumId w:val="7"/>
  </w:num>
  <w:num w:numId="10">
    <w:abstractNumId w:val="21"/>
  </w:num>
  <w:num w:numId="11">
    <w:abstractNumId w:val="13"/>
  </w:num>
  <w:num w:numId="12">
    <w:abstractNumId w:val="19"/>
  </w:num>
  <w:num w:numId="13">
    <w:abstractNumId w:val="15"/>
  </w:num>
  <w:num w:numId="14">
    <w:abstractNumId w:val="10"/>
  </w:num>
  <w:num w:numId="15">
    <w:abstractNumId w:val="22"/>
  </w:num>
  <w:num w:numId="16">
    <w:abstractNumId w:val="12"/>
  </w:num>
  <w:num w:numId="17">
    <w:abstractNumId w:val="11"/>
  </w:num>
  <w:num w:numId="18">
    <w:abstractNumId w:val="14"/>
  </w:num>
  <w:num w:numId="19">
    <w:abstractNumId w:val="17"/>
  </w:num>
  <w:num w:numId="20">
    <w:abstractNumId w:val="26"/>
  </w:num>
  <w:num w:numId="21">
    <w:abstractNumId w:val="6"/>
  </w:num>
  <w:num w:numId="22">
    <w:abstractNumId w:val="2"/>
  </w:num>
  <w:num w:numId="23">
    <w:abstractNumId w:val="16"/>
  </w:num>
  <w:num w:numId="24">
    <w:abstractNumId w:val="9"/>
  </w:num>
  <w:num w:numId="25">
    <w:abstractNumId w:val="27"/>
  </w:num>
  <w:num w:numId="26">
    <w:abstractNumId w:val="0"/>
  </w:num>
  <w:num w:numId="2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Y3ZDViZGIzMzY5ZjFmYjVmYmM5NmYxYTk0MjE4ZTgifQ=="/>
  </w:docVars>
  <w:rsids>
    <w:rsidRoot w:val="00443B9F"/>
    <w:rsid w:val="00031BE8"/>
    <w:rsid w:val="0008358C"/>
    <w:rsid w:val="00133F6C"/>
    <w:rsid w:val="001A53F7"/>
    <w:rsid w:val="003419A8"/>
    <w:rsid w:val="00360FF8"/>
    <w:rsid w:val="003857D4"/>
    <w:rsid w:val="003A2B85"/>
    <w:rsid w:val="003A7341"/>
    <w:rsid w:val="003B4A4D"/>
    <w:rsid w:val="00422692"/>
    <w:rsid w:val="00443B9F"/>
    <w:rsid w:val="004672B9"/>
    <w:rsid w:val="004732D6"/>
    <w:rsid w:val="00475734"/>
    <w:rsid w:val="00563CAA"/>
    <w:rsid w:val="0070146A"/>
    <w:rsid w:val="007156C3"/>
    <w:rsid w:val="0076481B"/>
    <w:rsid w:val="007822AC"/>
    <w:rsid w:val="00854BAE"/>
    <w:rsid w:val="009302B3"/>
    <w:rsid w:val="0096044A"/>
    <w:rsid w:val="00973539"/>
    <w:rsid w:val="009C51B6"/>
    <w:rsid w:val="00A360B1"/>
    <w:rsid w:val="00AB4ED2"/>
    <w:rsid w:val="00B103ED"/>
    <w:rsid w:val="00B87B05"/>
    <w:rsid w:val="00BD63E9"/>
    <w:rsid w:val="00C4657F"/>
    <w:rsid w:val="00C72AA6"/>
    <w:rsid w:val="00C91C60"/>
    <w:rsid w:val="00CF450E"/>
    <w:rsid w:val="00D222E4"/>
    <w:rsid w:val="00DE1F63"/>
    <w:rsid w:val="00DE4CB0"/>
    <w:rsid w:val="00E324E1"/>
    <w:rsid w:val="00E52B0B"/>
    <w:rsid w:val="00F41E84"/>
    <w:rsid w:val="00F76F91"/>
    <w:rsid w:val="010242D3"/>
    <w:rsid w:val="01341276"/>
    <w:rsid w:val="016245C6"/>
    <w:rsid w:val="02722BB2"/>
    <w:rsid w:val="044C5DDB"/>
    <w:rsid w:val="05DC523E"/>
    <w:rsid w:val="064249C6"/>
    <w:rsid w:val="06A05249"/>
    <w:rsid w:val="078575F9"/>
    <w:rsid w:val="07911761"/>
    <w:rsid w:val="080E7D8B"/>
    <w:rsid w:val="089E0289"/>
    <w:rsid w:val="08B1373D"/>
    <w:rsid w:val="09D815E1"/>
    <w:rsid w:val="09E57362"/>
    <w:rsid w:val="0A56391C"/>
    <w:rsid w:val="0BA13F3D"/>
    <w:rsid w:val="0C064348"/>
    <w:rsid w:val="0CEE31B2"/>
    <w:rsid w:val="0D330BC5"/>
    <w:rsid w:val="0D605FB8"/>
    <w:rsid w:val="0F227143"/>
    <w:rsid w:val="0FA125CD"/>
    <w:rsid w:val="10345380"/>
    <w:rsid w:val="1109680C"/>
    <w:rsid w:val="13A1192E"/>
    <w:rsid w:val="13BF31B2"/>
    <w:rsid w:val="1437543F"/>
    <w:rsid w:val="14D47131"/>
    <w:rsid w:val="15981F0D"/>
    <w:rsid w:val="15D667BF"/>
    <w:rsid w:val="15DB2457"/>
    <w:rsid w:val="163774AC"/>
    <w:rsid w:val="16F45869"/>
    <w:rsid w:val="177379A0"/>
    <w:rsid w:val="19E739E6"/>
    <w:rsid w:val="1AF018FC"/>
    <w:rsid w:val="1CAD65DF"/>
    <w:rsid w:val="1D175E0D"/>
    <w:rsid w:val="1EB661F9"/>
    <w:rsid w:val="2033010B"/>
    <w:rsid w:val="20AA51EA"/>
    <w:rsid w:val="2148274F"/>
    <w:rsid w:val="216655B5"/>
    <w:rsid w:val="21D97B35"/>
    <w:rsid w:val="21DA4E87"/>
    <w:rsid w:val="21FF25B1"/>
    <w:rsid w:val="22AE1629"/>
    <w:rsid w:val="26C524B8"/>
    <w:rsid w:val="28695261"/>
    <w:rsid w:val="28B451A3"/>
    <w:rsid w:val="290D033B"/>
    <w:rsid w:val="292A336C"/>
    <w:rsid w:val="29305728"/>
    <w:rsid w:val="2B3B53BD"/>
    <w:rsid w:val="2CC62F71"/>
    <w:rsid w:val="2DD913A8"/>
    <w:rsid w:val="2EF17C72"/>
    <w:rsid w:val="302931BD"/>
    <w:rsid w:val="31AA06AE"/>
    <w:rsid w:val="326E42CA"/>
    <w:rsid w:val="343024B3"/>
    <w:rsid w:val="34A65035"/>
    <w:rsid w:val="35C366DA"/>
    <w:rsid w:val="35FD523E"/>
    <w:rsid w:val="37A95DA4"/>
    <w:rsid w:val="37B247ED"/>
    <w:rsid w:val="37C36123"/>
    <w:rsid w:val="38C81C30"/>
    <w:rsid w:val="3A437DEA"/>
    <w:rsid w:val="3A582663"/>
    <w:rsid w:val="3A6A34E7"/>
    <w:rsid w:val="3A914FF9"/>
    <w:rsid w:val="3C2033DF"/>
    <w:rsid w:val="3DCF1C68"/>
    <w:rsid w:val="3DDB2643"/>
    <w:rsid w:val="3E1F0B6E"/>
    <w:rsid w:val="3E3C34CE"/>
    <w:rsid w:val="3E447E33"/>
    <w:rsid w:val="3FA0183A"/>
    <w:rsid w:val="41872CB2"/>
    <w:rsid w:val="41E00614"/>
    <w:rsid w:val="41F853E3"/>
    <w:rsid w:val="424379EF"/>
    <w:rsid w:val="430E20A9"/>
    <w:rsid w:val="4495241B"/>
    <w:rsid w:val="45C641DB"/>
    <w:rsid w:val="45C9708E"/>
    <w:rsid w:val="461D3BC8"/>
    <w:rsid w:val="46730D0E"/>
    <w:rsid w:val="46F149D9"/>
    <w:rsid w:val="47951504"/>
    <w:rsid w:val="494D658F"/>
    <w:rsid w:val="4A027274"/>
    <w:rsid w:val="4C45326F"/>
    <w:rsid w:val="4C9761D1"/>
    <w:rsid w:val="4D21045F"/>
    <w:rsid w:val="4D605492"/>
    <w:rsid w:val="4EE93098"/>
    <w:rsid w:val="4F11368A"/>
    <w:rsid w:val="50795EBC"/>
    <w:rsid w:val="50852AB2"/>
    <w:rsid w:val="512C1B6B"/>
    <w:rsid w:val="517A4EB9"/>
    <w:rsid w:val="519F42C1"/>
    <w:rsid w:val="51C8534D"/>
    <w:rsid w:val="522D4D54"/>
    <w:rsid w:val="52766D39"/>
    <w:rsid w:val="52F10F75"/>
    <w:rsid w:val="539C2B28"/>
    <w:rsid w:val="54442C85"/>
    <w:rsid w:val="54AB2D04"/>
    <w:rsid w:val="54B81A07"/>
    <w:rsid w:val="55780E38"/>
    <w:rsid w:val="55886BA1"/>
    <w:rsid w:val="566D52ED"/>
    <w:rsid w:val="569A4429"/>
    <w:rsid w:val="57A028E6"/>
    <w:rsid w:val="57C72FB6"/>
    <w:rsid w:val="57DE5369"/>
    <w:rsid w:val="57EC1669"/>
    <w:rsid w:val="598633F7"/>
    <w:rsid w:val="599245E2"/>
    <w:rsid w:val="59F502E5"/>
    <w:rsid w:val="5AC16B0F"/>
    <w:rsid w:val="5B9F3CB1"/>
    <w:rsid w:val="5BBB382C"/>
    <w:rsid w:val="5E1260A5"/>
    <w:rsid w:val="5E4443F8"/>
    <w:rsid w:val="5E530E54"/>
    <w:rsid w:val="5E6D1EF9"/>
    <w:rsid w:val="5F117C07"/>
    <w:rsid w:val="62960B4F"/>
    <w:rsid w:val="63D5517B"/>
    <w:rsid w:val="651D7306"/>
    <w:rsid w:val="655D5954"/>
    <w:rsid w:val="659A6DF2"/>
    <w:rsid w:val="65AF6E2F"/>
    <w:rsid w:val="65DE56AE"/>
    <w:rsid w:val="660E452A"/>
    <w:rsid w:val="68297D70"/>
    <w:rsid w:val="682D3278"/>
    <w:rsid w:val="68573EF7"/>
    <w:rsid w:val="687F7178"/>
    <w:rsid w:val="68B7181F"/>
    <w:rsid w:val="68F16ADF"/>
    <w:rsid w:val="690802CD"/>
    <w:rsid w:val="69DA12FC"/>
    <w:rsid w:val="6AC458C1"/>
    <w:rsid w:val="6B167EE3"/>
    <w:rsid w:val="6D842F64"/>
    <w:rsid w:val="6DD8026E"/>
    <w:rsid w:val="6F405DFC"/>
    <w:rsid w:val="70756248"/>
    <w:rsid w:val="7086631E"/>
    <w:rsid w:val="70DA1B4C"/>
    <w:rsid w:val="71846D71"/>
    <w:rsid w:val="71B7120F"/>
    <w:rsid w:val="72C963D7"/>
    <w:rsid w:val="733221CE"/>
    <w:rsid w:val="73933164"/>
    <w:rsid w:val="73B21561"/>
    <w:rsid w:val="73B51141"/>
    <w:rsid w:val="748B7C2A"/>
    <w:rsid w:val="75E35A02"/>
    <w:rsid w:val="75F45E61"/>
    <w:rsid w:val="76DE20D5"/>
    <w:rsid w:val="779C67B0"/>
    <w:rsid w:val="780C7C8D"/>
    <w:rsid w:val="79115E0F"/>
    <w:rsid w:val="79A56761"/>
    <w:rsid w:val="7AEA0A36"/>
    <w:rsid w:val="7B452CBB"/>
    <w:rsid w:val="7B6E2211"/>
    <w:rsid w:val="7D1E37C3"/>
    <w:rsid w:val="7D1F7C67"/>
    <w:rsid w:val="7D2B70C2"/>
    <w:rsid w:val="7D8816B7"/>
    <w:rsid w:val="7FCA19E0"/>
    <w:rsid w:val="7FE30DC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99" w:semiHidden="0" w:name="Normal Indent"/>
    <w:lsdException w:uiPriority="99" w:name="footnote text"/>
    <w:lsdException w:qFormat="1"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99"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9"/>
    <w:pPr>
      <w:keepNext w:val="0"/>
      <w:keepLines w:val="0"/>
      <w:widowControl w:val="0"/>
      <w:spacing w:before="240" w:beforeLines="0" w:after="120" w:line="360" w:lineRule="auto"/>
      <w:jc w:val="left"/>
      <w:outlineLvl w:val="0"/>
    </w:pPr>
    <w:rPr>
      <w:rFonts w:ascii="宋体" w:hAnsi="宋体" w:eastAsia="宋体" w:cs="宋体"/>
      <w:b/>
      <w:bCs/>
      <w:kern w:val="44"/>
      <w:sz w:val="24"/>
      <w:szCs w:val="30"/>
    </w:rPr>
  </w:style>
  <w:style w:type="paragraph" w:styleId="3">
    <w:name w:val="heading 2"/>
    <w:next w:val="1"/>
    <w:semiHidden/>
    <w:unhideWhenUsed/>
    <w:qFormat/>
    <w:uiPriority w:val="9"/>
    <w:pPr>
      <w:keepNext w:val="0"/>
      <w:keepLines w:val="0"/>
      <w:widowControl w:val="0"/>
      <w:spacing w:beforeAutospacing="0" w:after="120" w:afterAutospacing="0" w:line="360" w:lineRule="auto"/>
      <w:jc w:val="left"/>
      <w:outlineLvl w:val="1"/>
    </w:pPr>
    <w:rPr>
      <w:rFonts w:ascii="Times New Roman" w:hAnsi="Times New Roman" w:eastAsia="宋体" w:cs="Times New Roman"/>
      <w:b/>
      <w:sz w:val="24"/>
    </w:rPr>
  </w:style>
  <w:style w:type="paragraph" w:styleId="4">
    <w:name w:val="heading 3"/>
    <w:next w:val="1"/>
    <w:semiHidden/>
    <w:unhideWhenUsed/>
    <w:qFormat/>
    <w:uiPriority w:val="9"/>
    <w:pPr>
      <w:keepNext w:val="0"/>
      <w:keepLines w:val="0"/>
      <w:widowControl w:val="0"/>
      <w:spacing w:beforeAutospacing="0" w:after="120" w:afterAutospacing="0" w:line="360" w:lineRule="auto"/>
      <w:jc w:val="left"/>
      <w:outlineLvl w:val="2"/>
    </w:pPr>
    <w:rPr>
      <w:rFonts w:ascii="Times New Roman" w:hAnsi="Times New Roman" w:eastAsia="宋体" w:cs="Times New Roman"/>
      <w:b/>
      <w:sz w:val="24"/>
    </w:rPr>
  </w:style>
  <w:style w:type="paragraph" w:styleId="5">
    <w:name w:val="heading 4"/>
    <w:next w:val="1"/>
    <w:semiHidden/>
    <w:unhideWhenUsed/>
    <w:qFormat/>
    <w:uiPriority w:val="9"/>
    <w:pPr>
      <w:keepNext w:val="0"/>
      <w:keepLines w:val="0"/>
      <w:widowControl w:val="0"/>
      <w:spacing w:beforeAutospacing="0" w:after="120" w:afterAutospacing="0" w:line="360" w:lineRule="auto"/>
      <w:outlineLvl w:val="3"/>
    </w:pPr>
    <w:rPr>
      <w:rFonts w:ascii="Times New Roman" w:hAnsi="Times New Roman" w:eastAsia="宋体" w:cs="Times New Roman"/>
      <w:sz w:val="24"/>
    </w:rPr>
  </w:style>
  <w:style w:type="paragraph" w:styleId="6">
    <w:name w:val="heading 5"/>
    <w:next w:val="1"/>
    <w:unhideWhenUsed/>
    <w:qFormat/>
    <w:uiPriority w:val="9"/>
    <w:pPr>
      <w:keepNext w:val="0"/>
      <w:keepLines w:val="0"/>
      <w:widowControl w:val="0"/>
      <w:spacing w:beforeLines="0" w:beforeAutospacing="0" w:after="120" w:afterLines="0" w:afterAutospacing="0" w:line="440" w:lineRule="exact"/>
      <w:jc w:val="left"/>
      <w:outlineLvl w:val="4"/>
    </w:pPr>
    <w:rPr>
      <w:rFonts w:ascii="Times New Roman" w:hAnsi="Times New Roman" w:eastAsia="宋体" w:cs="Times New Roman"/>
      <w:sz w:val="24"/>
    </w:rPr>
  </w:style>
  <w:style w:type="paragraph" w:styleId="7">
    <w:name w:val="heading 6"/>
    <w:next w:val="1"/>
    <w:semiHidden/>
    <w:unhideWhenUsed/>
    <w:qFormat/>
    <w:uiPriority w:val="9"/>
    <w:pPr>
      <w:keepNext w:val="0"/>
      <w:keepLines w:val="0"/>
      <w:widowControl w:val="0"/>
      <w:spacing w:beforeLines="0" w:beforeAutospacing="0" w:after="120" w:afterLines="0" w:afterAutospacing="0" w:line="360" w:lineRule="auto"/>
      <w:jc w:val="left"/>
      <w:outlineLvl w:val="5"/>
    </w:pPr>
    <w:rPr>
      <w:rFonts w:ascii="Times New Roman" w:hAnsi="Times New Roman" w:eastAsia="宋体" w:cs="Times New Roman"/>
      <w:sz w:val="24"/>
    </w:rPr>
  </w:style>
  <w:style w:type="paragraph" w:styleId="8">
    <w:name w:val="heading 7"/>
    <w:next w:val="1"/>
    <w:semiHidden/>
    <w:unhideWhenUsed/>
    <w:qFormat/>
    <w:uiPriority w:val="9"/>
    <w:pPr>
      <w:keepNext w:val="0"/>
      <w:keepLines w:val="0"/>
      <w:widowControl w:val="0"/>
      <w:spacing w:beforeLines="0" w:beforeAutospacing="0" w:after="120" w:afterLines="0" w:afterAutospacing="0" w:line="360" w:lineRule="auto"/>
      <w:jc w:val="left"/>
      <w:outlineLvl w:val="6"/>
    </w:pPr>
    <w:rPr>
      <w:rFonts w:ascii="Times New Roman" w:hAnsi="Times New Roman" w:eastAsia="宋体" w:cs="Times New Roman"/>
      <w:sz w:val="24"/>
    </w:rPr>
  </w:style>
  <w:style w:type="paragraph" w:styleId="9">
    <w:name w:val="heading 8"/>
    <w:next w:val="1"/>
    <w:semiHidden/>
    <w:unhideWhenUsed/>
    <w:qFormat/>
    <w:uiPriority w:val="9"/>
    <w:pPr>
      <w:keepNext w:val="0"/>
      <w:keepLines w:val="0"/>
      <w:widowControl w:val="0"/>
      <w:spacing w:beforeLines="0" w:beforeAutospacing="0" w:after="120" w:afterLines="0" w:afterAutospacing="0" w:line="360" w:lineRule="auto"/>
      <w:jc w:val="left"/>
      <w:outlineLvl w:val="7"/>
    </w:pPr>
    <w:rPr>
      <w:rFonts w:ascii="Times New Roman" w:hAnsi="Times New Roman" w:eastAsia="宋体" w:cs="Times New Roman"/>
      <w:sz w:val="24"/>
    </w:rPr>
  </w:style>
  <w:style w:type="paragraph" w:styleId="10">
    <w:name w:val="heading 9"/>
    <w:next w:val="1"/>
    <w:semiHidden/>
    <w:unhideWhenUsed/>
    <w:qFormat/>
    <w:uiPriority w:val="9"/>
    <w:pPr>
      <w:keepNext w:val="0"/>
      <w:keepLines w:val="0"/>
      <w:widowControl w:val="0"/>
      <w:spacing w:beforeLines="0" w:beforeAutospacing="0" w:after="120" w:afterLines="0" w:afterAutospacing="0" w:line="360" w:lineRule="auto"/>
      <w:jc w:val="left"/>
      <w:outlineLvl w:val="8"/>
    </w:pPr>
    <w:rPr>
      <w:rFonts w:ascii="Times New Roman" w:hAnsi="Times New Roman" w:eastAsia="宋体" w:cs="Times New Roman"/>
      <w:sz w:val="24"/>
    </w:rPr>
  </w:style>
  <w:style w:type="character" w:default="1" w:styleId="24">
    <w:name w:val="Default Paragraph Font"/>
    <w:semiHidden/>
    <w:unhideWhenUsed/>
    <w:qFormat/>
    <w:uiPriority w:val="1"/>
  </w:style>
  <w:style w:type="table" w:default="1" w:styleId="22">
    <w:name w:val="Normal Table"/>
    <w:semiHidden/>
    <w:unhideWhenUsed/>
    <w:qFormat/>
    <w:uiPriority w:val="99"/>
    <w:tblPr>
      <w:tblCellMar>
        <w:top w:w="0" w:type="dxa"/>
        <w:left w:w="108" w:type="dxa"/>
        <w:bottom w:w="0" w:type="dxa"/>
        <w:right w:w="108" w:type="dxa"/>
      </w:tblCellMar>
    </w:tblPr>
  </w:style>
  <w:style w:type="paragraph" w:styleId="11">
    <w:name w:val="Normal Indent"/>
    <w:basedOn w:val="1"/>
    <w:qFormat/>
    <w:uiPriority w:val="99"/>
    <w:pPr>
      <w:adjustRightInd w:val="0"/>
      <w:spacing w:line="360" w:lineRule="atLeast"/>
      <w:ind w:firstLine="482"/>
      <w:textAlignment w:val="baseline"/>
    </w:pPr>
    <w:rPr>
      <w:rFonts w:ascii="Calibri" w:hAnsi="Calibri"/>
      <w:kern w:val="0"/>
      <w:sz w:val="24"/>
      <w:szCs w:val="24"/>
    </w:rPr>
  </w:style>
  <w:style w:type="paragraph" w:styleId="12">
    <w:name w:val="annotation text"/>
    <w:basedOn w:val="1"/>
    <w:semiHidden/>
    <w:unhideWhenUsed/>
    <w:qFormat/>
    <w:uiPriority w:val="99"/>
    <w:pPr>
      <w:jc w:val="left"/>
    </w:pPr>
  </w:style>
  <w:style w:type="paragraph" w:styleId="13">
    <w:name w:val="Body Text"/>
    <w:next w:val="1"/>
    <w:qFormat/>
    <w:uiPriority w:val="99"/>
    <w:pPr>
      <w:widowControl w:val="0"/>
      <w:spacing w:after="120" w:afterAutospacing="0" w:line="360" w:lineRule="auto"/>
      <w:ind w:firstLine="420" w:firstLineChars="200"/>
    </w:pPr>
    <w:rPr>
      <w:rFonts w:ascii="Times New Roman" w:hAnsi="Times New Roman" w:eastAsia="宋体" w:cs="Times New Roman"/>
      <w:sz w:val="24"/>
    </w:rPr>
  </w:style>
  <w:style w:type="paragraph" w:styleId="14">
    <w:name w:val="Body Text Indent"/>
    <w:basedOn w:val="1"/>
    <w:qFormat/>
    <w:uiPriority w:val="0"/>
    <w:pPr>
      <w:adjustRightInd w:val="0"/>
      <w:snapToGrid w:val="0"/>
      <w:spacing w:before="78" w:beforeLines="25" w:line="300" w:lineRule="auto"/>
      <w:ind w:right="-466" w:rightChars="-222" w:firstLine="540" w:firstLineChars="225"/>
    </w:pPr>
    <w:rPr>
      <w:rFonts w:eastAsia="仿宋_GB2312"/>
      <w:sz w:val="24"/>
    </w:rPr>
  </w:style>
  <w:style w:type="paragraph" w:styleId="15">
    <w:name w:val="Plain Text"/>
    <w:basedOn w:val="1"/>
    <w:qFormat/>
    <w:uiPriority w:val="99"/>
    <w:rPr>
      <w:rFonts w:ascii="宋体" w:hAnsi="Courier New" w:eastAsia="等线"/>
    </w:rPr>
  </w:style>
  <w:style w:type="paragraph" w:styleId="16">
    <w:name w:val="footer"/>
    <w:basedOn w:val="1"/>
    <w:link w:val="29"/>
    <w:semiHidden/>
    <w:unhideWhenUsed/>
    <w:qFormat/>
    <w:uiPriority w:val="99"/>
    <w:pPr>
      <w:tabs>
        <w:tab w:val="center" w:pos="4153"/>
        <w:tab w:val="right" w:pos="8306"/>
      </w:tabs>
      <w:snapToGrid w:val="0"/>
      <w:jc w:val="left"/>
    </w:pPr>
    <w:rPr>
      <w:sz w:val="18"/>
      <w:szCs w:val="18"/>
    </w:rPr>
  </w:style>
  <w:style w:type="paragraph" w:styleId="17">
    <w:name w:val="header"/>
    <w:basedOn w:val="1"/>
    <w:link w:val="28"/>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18">
    <w:name w:val="Subtitle"/>
    <w:qFormat/>
    <w:uiPriority w:val="11"/>
    <w:pPr>
      <w:widowControl w:val="0"/>
      <w:spacing w:beforeLines="0" w:beforeAutospacing="0" w:after="240" w:afterLines="0" w:afterAutospacing="0" w:line="240" w:lineRule="auto"/>
      <w:jc w:val="center"/>
      <w:outlineLvl w:val="9"/>
    </w:pPr>
    <w:rPr>
      <w:rFonts w:ascii="Times New Roman" w:hAnsi="Times New Roman" w:eastAsia="宋体" w:cs="Times New Roman"/>
      <w:kern w:val="28"/>
      <w:sz w:val="21"/>
    </w:rPr>
  </w:style>
  <w:style w:type="paragraph" w:styleId="19">
    <w:name w:val="Normal (Web)"/>
    <w:basedOn w:val="1"/>
    <w:semiHidden/>
    <w:unhideWhenUsed/>
    <w:qFormat/>
    <w:uiPriority w:val="99"/>
    <w:pPr>
      <w:spacing w:before="0" w:beforeAutospacing="1" w:after="0" w:afterAutospacing="1"/>
      <w:ind w:left="0" w:right="0"/>
      <w:jc w:val="left"/>
    </w:pPr>
    <w:rPr>
      <w:kern w:val="0"/>
      <w:sz w:val="24"/>
      <w:lang w:val="en-US" w:eastAsia="zh-CN" w:bidi="ar"/>
    </w:rPr>
  </w:style>
  <w:style w:type="paragraph" w:styleId="20">
    <w:name w:val="Title"/>
    <w:qFormat/>
    <w:uiPriority w:val="10"/>
    <w:pPr>
      <w:spacing w:before="240" w:beforeAutospacing="0" w:after="240" w:afterAutospacing="0" w:line="240" w:lineRule="auto"/>
      <w:jc w:val="center"/>
      <w:outlineLvl w:val="9"/>
    </w:pPr>
    <w:rPr>
      <w:rFonts w:ascii="Times New Roman" w:hAnsi="Times New Roman" w:eastAsia="宋体" w:cs="Times New Roman"/>
      <w:b/>
      <w:sz w:val="32"/>
    </w:rPr>
  </w:style>
  <w:style w:type="paragraph" w:styleId="21">
    <w:name w:val="Body Text First Indent"/>
    <w:basedOn w:val="13"/>
    <w:qFormat/>
    <w:uiPriority w:val="0"/>
    <w:pPr>
      <w:ind w:firstLine="420" w:firstLineChars="100"/>
    </w:pPr>
  </w:style>
  <w:style w:type="table" w:styleId="23">
    <w:name w:val="Table Grid"/>
    <w:basedOn w:val="2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5">
    <w:name w:val="page number"/>
    <w:qFormat/>
    <w:uiPriority w:val="0"/>
  </w:style>
  <w:style w:type="character" w:styleId="26">
    <w:name w:val="Hyperlink"/>
    <w:unhideWhenUsed/>
    <w:qFormat/>
    <w:uiPriority w:val="99"/>
    <w:rPr>
      <w:color w:val="0000FF"/>
      <w:u w:val="single"/>
    </w:rPr>
  </w:style>
  <w:style w:type="paragraph" w:customStyle="1" w:styleId="27">
    <w:name w:val="Default"/>
    <w:next w:val="1"/>
    <w:qFormat/>
    <w:uiPriority w:val="0"/>
    <w:pPr>
      <w:widowControl w:val="0"/>
      <w:autoSpaceDE w:val="0"/>
      <w:autoSpaceDN w:val="0"/>
      <w:adjustRightInd w:val="0"/>
    </w:pPr>
    <w:rPr>
      <w:rFonts w:ascii="宋体" w:hAnsi="宋体" w:eastAsia="宋体" w:cs="宋体"/>
      <w:color w:val="000000"/>
      <w:sz w:val="24"/>
      <w:szCs w:val="24"/>
      <w:lang w:val="en-US" w:eastAsia="zh-CN" w:bidi="ar-SA"/>
    </w:rPr>
  </w:style>
  <w:style w:type="character" w:customStyle="1" w:styleId="28">
    <w:name w:val="页眉 字符"/>
    <w:basedOn w:val="24"/>
    <w:link w:val="17"/>
    <w:semiHidden/>
    <w:qFormat/>
    <w:uiPriority w:val="99"/>
    <w:rPr>
      <w:sz w:val="18"/>
      <w:szCs w:val="18"/>
    </w:rPr>
  </w:style>
  <w:style w:type="character" w:customStyle="1" w:styleId="29">
    <w:name w:val="页脚 字符"/>
    <w:basedOn w:val="24"/>
    <w:link w:val="16"/>
    <w:semiHidden/>
    <w:qFormat/>
    <w:uiPriority w:val="99"/>
    <w:rPr>
      <w:sz w:val="18"/>
      <w:szCs w:val="18"/>
    </w:rPr>
  </w:style>
  <w:style w:type="paragraph" w:styleId="30">
    <w:name w:val="List Paragraph"/>
    <w:basedOn w:val="1"/>
    <w:unhideWhenUsed/>
    <w:qFormat/>
    <w:uiPriority w:val="99"/>
    <w:pPr>
      <w:ind w:firstLine="420" w:firstLineChars="200"/>
    </w:pPr>
  </w:style>
  <w:style w:type="paragraph" w:customStyle="1" w:styleId="31">
    <w:name w:val="普通正文"/>
    <w:basedOn w:val="1"/>
    <w:qFormat/>
    <w:uiPriority w:val="0"/>
    <w:pPr>
      <w:adjustRightInd w:val="0"/>
      <w:spacing w:before="120" w:after="120" w:line="360" w:lineRule="auto"/>
      <w:ind w:firstLine="480"/>
      <w:jc w:val="left"/>
      <w:textAlignment w:val="baseline"/>
    </w:pPr>
    <w:rPr>
      <w:rFonts w:ascii="Arial" w:hAnsi="Arial" w:eastAsia="宋体" w:cs="Times New Roman"/>
      <w:kern w:val="0"/>
      <w:sz w:val="24"/>
      <w:szCs w:val="24"/>
    </w:rPr>
  </w:style>
  <w:style w:type="character" w:customStyle="1" w:styleId="32">
    <w:name w:val="15"/>
    <w:basedOn w:val="24"/>
    <w:qFormat/>
    <w:uiPriority w:val="0"/>
    <w:rPr>
      <w:rFonts w:hint="default" w:ascii="Times New Roman" w:hAnsi="Times New Roman" w:eastAsia="宋体" w:cs="Times New Roman"/>
      <w:sz w:val="21"/>
      <w:szCs w:val="21"/>
    </w:rPr>
  </w:style>
  <w:style w:type="paragraph" w:customStyle="1" w:styleId="33">
    <w:name w:val="样式 小四"/>
    <w:qFormat/>
    <w:uiPriority w:val="99"/>
    <w:pPr>
      <w:widowControl w:val="0"/>
      <w:adjustRightInd w:val="0"/>
      <w:spacing w:line="360" w:lineRule="atLeast"/>
      <w:textAlignment w:val="baseline"/>
    </w:pPr>
    <w:rPr>
      <w:rFonts w:ascii="Times New Roman" w:hAnsi="Times New Roman" w:eastAsia="宋体" w:cs="Calibri"/>
      <w:sz w:val="24"/>
      <w:szCs w:val="24"/>
      <w:lang w:val="en-US" w:eastAsia="zh-CN" w:bidi="ar-SA"/>
    </w:rPr>
  </w:style>
  <w:style w:type="paragraph" w:customStyle="1" w:styleId="34">
    <w:name w:val="正文文本1"/>
    <w:basedOn w:val="1"/>
    <w:next w:val="1"/>
    <w:qFormat/>
    <w:uiPriority w:val="0"/>
    <w:rPr>
      <w:sz w:val="28"/>
      <w:szCs w:val="24"/>
    </w:rPr>
  </w:style>
  <w:style w:type="paragraph" w:customStyle="1" w:styleId="35">
    <w:name w:val="章节标题"/>
    <w:next w:val="1"/>
    <w:qFormat/>
    <w:uiPriority w:val="0"/>
    <w:pPr>
      <w:pageBreakBefore w:val="0"/>
      <w:widowControl w:val="0"/>
      <w:spacing w:before="240" w:beforeLines="0" w:after="240" w:line="240" w:lineRule="auto"/>
      <w:jc w:val="center"/>
      <w:outlineLvl w:val="0"/>
    </w:pPr>
    <w:rPr>
      <w:rFonts w:ascii="Times New Roman" w:hAnsi="Times New Roman" w:eastAsia="黑体" w:cs="Times New Roman"/>
      <w:kern w:val="44"/>
      <w:sz w:val="32"/>
      <w:szCs w:val="36"/>
    </w:rPr>
  </w:style>
  <w:style w:type="character" w:customStyle="1" w:styleId="36">
    <w:name w:val="强调说明"/>
    <w:qFormat/>
    <w:uiPriority w:val="0"/>
    <w:rPr>
      <w:rFonts w:ascii="Calibri" w:hAnsi="Calibri" w:eastAsia="宋体"/>
      <w:b/>
      <w:sz w:val="24"/>
    </w:rPr>
  </w:style>
  <w:style w:type="paragraph" w:customStyle="1" w:styleId="37">
    <w:name w:val="强调标题"/>
    <w:next w:val="1"/>
    <w:qFormat/>
    <w:uiPriority w:val="0"/>
    <w:pPr>
      <w:spacing w:after="120" w:line="360" w:lineRule="auto"/>
      <w:ind w:firstLine="420" w:firstLineChars="200"/>
      <w:outlineLvl w:val="0"/>
    </w:pPr>
    <w:rPr>
      <w:rFonts w:ascii="Calibri" w:hAnsi="Calibri" w:eastAsia="宋体" w:cs="Times New Roman"/>
      <w:b/>
      <w:sz w:val="24"/>
    </w:rPr>
  </w:style>
  <w:style w:type="paragraph" w:customStyle="1" w:styleId="38">
    <w:name w:val="章前标题"/>
    <w:next w:val="1"/>
    <w:qFormat/>
    <w:uiPriority w:val="0"/>
    <w:pPr>
      <w:keepNext w:val="0"/>
      <w:keepLines w:val="0"/>
      <w:pageBreakBefore w:val="0"/>
      <w:widowControl w:val="0"/>
      <w:kinsoku/>
      <w:wordWrap/>
      <w:overflowPunct/>
      <w:topLinePunct w:val="0"/>
      <w:autoSpaceDE/>
      <w:autoSpaceDN/>
      <w:bidi w:val="0"/>
      <w:adjustRightInd/>
      <w:spacing w:before="240" w:after="240" w:line="240" w:lineRule="auto"/>
      <w:jc w:val="center"/>
      <w:textAlignment w:val="auto"/>
      <w:outlineLvl w:val="9"/>
    </w:pPr>
    <w:rPr>
      <w:rFonts w:ascii="黑体" w:hAnsi="黑体" w:eastAsia="黑体" w:cs="黑体"/>
      <w:kern w:val="44"/>
      <w:sz w:val="32"/>
      <w:szCs w:val="36"/>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1.wmf"/><Relationship Id="rId6" Type="http://schemas.openxmlformats.org/officeDocument/2006/relationships/oleObject" Target="embeddings/oleObject1.bin"/><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P R C</Company>
  <Pages>28</Pages>
  <Words>2256</Words>
  <Characters>2321</Characters>
  <Lines>97</Lines>
  <Paragraphs>27</Paragraphs>
  <TotalTime>9</TotalTime>
  <ScaleCrop>false</ScaleCrop>
  <LinksUpToDate>false</LinksUpToDate>
  <CharactersWithSpaces>2347</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2020-07-05T12:59:00Z</dcterms:created>
  <dc:creator>Windows User</dc:creator>
  <cp:lastModifiedBy>吴</cp:lastModifiedBy>
  <cp:lastPrinted>2022-03-30T02:40:00Z</cp:lastPrinted>
  <dcterms:modified xsi:type="dcterms:W3CDTF">2026-06-09T07:24:18Z</dcterms:modified>
  <cp:revision>25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568A5C33A9E34DED906B62B72F837DCA_13</vt:lpwstr>
  </property>
  <property fmtid="{D5CDD505-2E9C-101B-9397-08002B2CF9AE}" pid="4" name="KSOTemplateDocerSaveRecord">
    <vt:lpwstr>eyJoZGlkIjoiYWJmNTAxYTA0NTllZTU0OWY5NWY0MWNlMzBjNGU2OTYiLCJ1c2VySWQiOiI2MDcyNDQ5MTMifQ==</vt:lpwstr>
  </property>
</Properties>
</file>