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85" w:lineRule="atLeast"/>
        <w:rPr>
          <w:rFonts w:hint="eastAsia" w:ascii="宋体" w:hAnsi="宋体" w:cs="宋体"/>
          <w:b/>
          <w:sz w:val="72"/>
        </w:rPr>
        <w:pBdr>
          <w:top w:val="none" w:color="000000" w:sz="0" w:space="0"/>
          <w:left w:val="none" w:color="000000" w:sz="0" w:space="0"/>
          <w:bottom w:val="none" w:color="000000" w:sz="0" w:space="0"/>
          <w:right w:val="none" w:color="000000" w:sz="0" w:space="0"/>
        </w:pBdr>
      </w:pPr>
      <w:r>
        <w:rPr>
          <w:rFonts w:hint="eastAsia" w:ascii="宋体" w:hAnsi="宋体" w:cs="宋体"/>
          <w:b/>
          <w:sz w:val="72"/>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太仓市政府采购</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招 标 文 件</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630"/>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right"/>
        <w:spacing w:line="85" w:lineRule="atLeast"/>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项目编号：JSZC-320585-JZCG-G2026-0034</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项目名称：新建欧亚马地块幼儿园、九年一贯制学</w:t>
      </w:r>
      <w:r/>
    </w:p>
    <w:p>
      <w:pPr>
        <w:ind w:firstLine="2942"/>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校（横沥佳苑南侧）智能化项目</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采购单位：江苏省太仓高新技术产业</w:t>
      </w:r>
      <w:r/>
    </w:p>
    <w:p>
      <w:pPr>
        <w:ind w:firstLine="2942"/>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开发区管理委员会</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采购项目类别：货物类</w:t>
      </w:r>
      <w:r/>
    </w:p>
    <w:p>
      <w:pPr>
        <w:ind w:firstLine="1084"/>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标的所属行业：（二）工业</w:t>
      </w:r>
      <w:r/>
    </w:p>
    <w:p>
      <w:pPr>
        <w:spacing w:line="85" w:lineRule="atLeast"/>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pStyle w:val="876"/>
        <w:rPr>
          <w:sz w:val="28"/>
        </w:rPr>
      </w:pPr>
      <w:r>
        <w:rPr>
          <w:sz w:val="28"/>
        </w:rPr>
      </w:r>
      <w:r/>
    </w:p>
    <w:p>
      <w:r/>
      <w:r/>
    </w:p>
    <w:p>
      <w:pPr>
        <w:pStyle w:val="865"/>
        <w:rPr>
          <w:lang w:eastAsia="zh-CN"/>
        </w:rPr>
      </w:pPr>
      <w:r>
        <w:rPr>
          <w:lang w:eastAsia="zh-CN"/>
        </w:rPr>
      </w:r>
      <w:r/>
    </w:p>
    <w:p>
      <w:pPr>
        <w:pStyle w:val="865"/>
        <w:rPr>
          <w:lang w:eastAsia="zh-CN"/>
        </w:rPr>
      </w:pPr>
      <w:r>
        <w:rPr>
          <w:lang w:eastAsia="zh-CN"/>
        </w:rPr>
      </w:r>
      <w:r/>
    </w:p>
    <w:p>
      <w:pPr>
        <w:pStyle w:val="865"/>
        <w:rPr>
          <w:rFonts w:eastAsiaTheme="minorEastAsia"/>
          <w:lang w:eastAsia="zh-CN"/>
        </w:rPr>
      </w:pPr>
      <w:r>
        <w:rPr>
          <w:rFonts w:eastAsiaTheme="minorEastAsia"/>
          <w:lang w:eastAsia="zh-CN"/>
        </w:rPr>
      </w:r>
      <w:r/>
    </w:p>
    <w:p>
      <w:pPr>
        <w:pStyle w:val="865"/>
        <w:rPr>
          <w:rFonts w:eastAsiaTheme="minorEastAsia"/>
          <w:lang w:eastAsia="zh-CN"/>
        </w:rPr>
      </w:pPr>
      <w:r>
        <w:rPr>
          <w:rFonts w:eastAsiaTheme="minorEastAsia"/>
          <w:lang w:eastAsia="zh-CN"/>
        </w:rPr>
      </w:r>
      <w:r/>
    </w:p>
    <w:p>
      <w:pPr>
        <w:pStyle w:val="865"/>
        <w:rPr>
          <w:rFonts w:eastAsiaTheme="minorEastAsia"/>
          <w:lang w:eastAsia="zh-CN"/>
        </w:rPr>
      </w:pPr>
      <w:r>
        <w:rPr>
          <w:rFonts w:eastAsiaTheme="minorEastAsia"/>
          <w:lang w:eastAsia="zh-CN"/>
        </w:rPr>
      </w:r>
      <w:r/>
    </w:p>
    <w:p>
      <w:pPr>
        <w:pStyle w:val="865"/>
        <w:rPr>
          <w:rFonts w:eastAsiaTheme="minorEastAsia"/>
          <w:lang w:eastAsia="zh-CN"/>
        </w:rPr>
      </w:pPr>
      <w:r>
        <w:rPr>
          <w:rFonts w:eastAsiaTheme="minorEastAsia"/>
          <w:lang w:eastAsia="zh-CN"/>
        </w:rPr>
      </w:r>
      <w:r/>
    </w:p>
    <w:p>
      <w:pPr>
        <w:pStyle w:val="865"/>
        <w:rPr>
          <w:rFonts w:eastAsiaTheme="minorEastAsia"/>
          <w:lang w:eastAsia="zh-CN"/>
        </w:rPr>
      </w:pPr>
      <w:r>
        <w:rPr>
          <w:rFonts w:eastAsiaTheme="minorEastAsia"/>
          <w:lang w:eastAsia="zh-CN"/>
        </w:rPr>
      </w:r>
      <w:r/>
    </w:p>
    <w:p>
      <w:pPr>
        <w:pStyle w:val="865"/>
        <w:rPr>
          <w:lang w:eastAsia="zh-CN"/>
        </w:rPr>
      </w:pPr>
      <w:r>
        <w:rPr>
          <w:lang w:eastAsia="zh-CN"/>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44"/>
        </w:rPr>
        <w:t xml:space="preserve">苏州市公共资源交易中心太仓分中心</w:t>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ascii="宋体" w:hAnsi="宋体" w:cs="宋体"/>
          <w:sz w:val="44"/>
        </w:rPr>
        <w:t xml:space="preserve">202</w:t>
      </w:r>
      <w:r>
        <w:rPr>
          <w:rFonts w:hint="eastAsia" w:ascii="宋体" w:hAnsi="宋体" w:cs="宋体"/>
          <w:sz w:val="44"/>
        </w:rPr>
        <w:t xml:space="preserve">6</w:t>
      </w:r>
      <w:r>
        <w:rPr>
          <w:rFonts w:ascii="宋体" w:hAnsi="宋体" w:cs="宋体"/>
          <w:sz w:val="44"/>
        </w:rPr>
        <w:t xml:space="preserve">年</w:t>
      </w:r>
      <w:r>
        <w:rPr>
          <w:rFonts w:hint="eastAsia" w:ascii="宋体" w:hAnsi="宋体" w:cs="宋体"/>
          <w:sz w:val="44"/>
          <w:lang w:val="en-US" w:eastAsia="zh-CN"/>
        </w:rPr>
        <w:t xml:space="preserve">6</w:t>
      </w:r>
      <w:r>
        <w:rPr>
          <w:rFonts w:ascii="宋体" w:hAnsi="宋体" w:cs="宋体"/>
          <w:sz w:val="44"/>
        </w:rPr>
        <w:t xml:space="preserve">月</w:t>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r>
      <w:r/>
    </w:p>
    <w:p>
      <w:pPr>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目 录</w:t>
      </w:r>
      <w:r/>
    </w:p>
    <w:p>
      <w:pPr>
        <w:spacing w:line="85"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第一部分：招标公告</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第二部分：投标人须知</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第三部分：项目需求</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第四部分：投标文件格式</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第五部分：评标方法与评标标准</w:t>
      </w:r>
      <w:r/>
    </w:p>
    <w:p>
      <w:pPr>
        <w:spacing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第六部分：合同主要条款</w:t>
      </w:r>
      <w:r/>
    </w:p>
    <w:p>
      <w:pPr>
        <w:spacing w:before="240" w:after="240" w:line="5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rPr>
          <w:rFonts w:hint="eastAsia" w:ascii="宋体" w:hAnsi="宋体" w:cs="宋体"/>
          <w:b/>
          <w:sz w:val="44"/>
        </w:rPr>
      </w:pPr>
      <w:r>
        <w:rPr>
          <w:rFonts w:hint="eastAsia" w:ascii="宋体" w:hAnsi="宋体" w:cs="宋体"/>
        </w:rPr>
        <w:br w:type="page" w:clear="all"/>
      </w:r>
      <w:r>
        <w:rPr>
          <w:rFonts w:ascii="宋体" w:hAnsi="宋体" w:cs="宋体"/>
          <w:b/>
          <w:sz w:val="44"/>
        </w:rPr>
        <w:t xml:space="preserve">第一部分</w:t>
      </w:r>
      <w:r>
        <w:rPr>
          <w:rFonts w:hint="eastAsia" w:ascii="宋体" w:hAnsi="宋体" w:cs="宋体"/>
          <w:b/>
          <w:sz w:val="44"/>
        </w:rPr>
        <w:t xml:space="preserve">  </w:t>
      </w:r>
      <w:r>
        <w:rPr>
          <w:rFonts w:ascii="宋体" w:hAnsi="宋体" w:cs="宋体"/>
          <w:b/>
          <w:sz w:val="44"/>
        </w:rPr>
        <w:t xml:space="preserve">招标公告</w:t>
      </w:r>
      <w:r/>
    </w:p>
    <w:tbl>
      <w:tblPr>
        <w:tblStyle w:val="856"/>
        <w:tblW w:w="940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40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403" w:type="dxa"/>
            <w:vAlign w:val="center"/>
            <w:textDirection w:val="lrTb"/>
            <w:noWrap w:val="false"/>
          </w:tcPr>
          <w:p>
            <w:pPr>
              <w:pStyle w:val="863"/>
              <w:ind w:left="0" w:right="0"/>
              <w:jc w:val="left"/>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项目概况</w:t>
            </w:r>
            <w:r/>
          </w:p>
          <w:p>
            <w:pPr>
              <w:pStyle w:val="863"/>
              <w:ind w:left="0" w:right="0"/>
              <w:jc w:val="left"/>
              <w:keepLines w:val="0"/>
              <w:keepNext w:val="0"/>
              <w:spacing w:before="0" w:beforeAutospacing="0" w:after="0" w:afterAutospacing="0" w:line="360" w:lineRule="auto"/>
              <w:widowControl/>
              <w:rPr>
                <w:rFonts w:hint="eastAsia" w:ascii="仿宋" w:hAnsi="仿宋" w:eastAsia="仿宋" w:cs="仿宋"/>
                <w:sz w:val="24"/>
                <w:szCs w:val="24"/>
                <w:lang w:eastAsia="zh-CN"/>
              </w:rPr>
              <w:suppressLineNumbers w:val="0"/>
            </w:pPr>
            <w:r>
              <w:rPr>
                <w:rFonts w:hint="eastAsia" w:ascii="仿宋" w:hAnsi="仿宋" w:eastAsia="仿宋" w:cs="仿宋"/>
                <w:sz w:val="24"/>
                <w:szCs w:val="24"/>
                <w:lang w:eastAsia="zh-CN"/>
              </w:rPr>
              <w:t xml:space="preserve">新建欧亚马地块幼儿园、九年一贯制学校（横沥佳苑南侧）智能化项目JSZC-320585-JZCG-G2026-0034招标项目的潜在投标人应在“苏采云”系统（网址：http://jszfcg.jsczt.cn/）自行下载 获取招标文件，并于2026-7-27 09:30 （北京时间）前递交投标文件。</w:t>
            </w:r>
            <w:r/>
          </w:p>
        </w:tc>
      </w:tr>
    </w:tbl>
    <w:p>
      <w:pPr>
        <w:pStyle w:val="854"/>
        <w:keepLines w:val="0"/>
        <w:keepNext w:val="0"/>
        <w:spacing w:before="0" w:after="0" w:line="360" w:lineRule="auto"/>
        <w:shd w:val="clear" w:color="auto" w:fill="ffffff"/>
        <w:rPr>
          <w:rFonts w:hint="eastAsia" w:ascii="仿宋" w:hAnsi="仿宋" w:eastAsia="仿宋" w:cs="仿宋"/>
          <w:sz w:val="24"/>
        </w:rPr>
      </w:pPr>
      <w:r>
        <w:rPr>
          <w:rStyle w:val="867"/>
          <w:rFonts w:hint="eastAsia" w:ascii="仿宋" w:hAnsi="仿宋" w:eastAsia="仿宋" w:cs="仿宋"/>
          <w:sz w:val="24"/>
          <w:shd w:val="clear" w:color="auto" w:fill="ffffff"/>
        </w:rPr>
        <w:t xml:space="preserve">一、项目基本情况</w:t>
      </w:r>
      <w:r/>
    </w:p>
    <w:p>
      <w:pPr>
        <w:pStyle w:val="863"/>
        <w:ind w:firstLine="480"/>
        <w:spacing w:after="0" w:line="360" w:lineRule="auto"/>
        <w:shd w:val="clear" w:color="auto" w:fill="ffffff"/>
        <w:widowControl/>
        <w:rPr>
          <w:rFonts w:hint="eastAsia" w:ascii="仿宋" w:hAnsi="仿宋" w:eastAsia="仿宋" w:cs="仿宋"/>
          <w:sz w:val="24"/>
          <w:szCs w:val="24"/>
          <w:lang w:eastAsia="zh-CN"/>
        </w:rPr>
      </w:pPr>
      <w:r/>
      <w:bookmarkStart w:id="0" w:name="OLE_LINK4"/>
      <w:r>
        <w:rPr>
          <w:rFonts w:hint="eastAsia" w:ascii="仿宋" w:hAnsi="仿宋" w:eastAsia="仿宋" w:cs="仿宋"/>
          <w:sz w:val="24"/>
          <w:szCs w:val="24"/>
          <w:shd w:val="clear" w:color="auto" w:fill="ffffff"/>
          <w:lang w:eastAsia="zh-CN"/>
        </w:rPr>
        <w:t xml:space="preserve">项目编号：</w:t>
      </w:r>
      <w:r>
        <w:rPr>
          <w:rFonts w:hint="eastAsia" w:ascii="仿宋" w:hAnsi="仿宋" w:eastAsia="仿宋" w:cs="仿宋"/>
          <w:sz w:val="24"/>
          <w:szCs w:val="24"/>
          <w:lang w:eastAsia="zh-CN"/>
        </w:rPr>
        <w:t xml:space="preserve">JSZC-320585-JZCG-G2026-0034</w:t>
      </w:r>
      <w:r/>
    </w:p>
    <w:p>
      <w:pPr>
        <w:pStyle w:val="863"/>
        <w:ind w:firstLine="480"/>
        <w:spacing w:after="0"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项目名称：</w:t>
      </w:r>
      <w:r>
        <w:rPr>
          <w:rFonts w:hint="eastAsia" w:ascii="仿宋" w:hAnsi="仿宋" w:eastAsia="仿宋" w:cs="仿宋"/>
          <w:sz w:val="24"/>
          <w:szCs w:val="24"/>
          <w:lang w:eastAsia="zh-CN"/>
        </w:rPr>
        <w:t xml:space="preserve">新建欧亚马地块幼儿园、九年一贯制学校（横沥佳苑南侧）智能化项目</w:t>
      </w:r>
      <w:r/>
    </w:p>
    <w:p>
      <w:pPr>
        <w:pStyle w:val="863"/>
        <w:ind w:firstLine="480"/>
        <w:spacing w:after="0" w:line="360" w:lineRule="auto"/>
        <w:shd w:val="clear" w:color="auto" w:fill="ffffff"/>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预算金额：1265 万元；</w:t>
      </w:r>
      <w:r/>
    </w:p>
    <w:p>
      <w:pPr>
        <w:pStyle w:val="863"/>
        <w:ind w:firstLine="480"/>
        <w:spacing w:after="0" w:line="360" w:lineRule="auto"/>
        <w:shd w:val="clear" w:color="auto" w:fill="ffffff"/>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最高限价（如有）：无；</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采购方式：公开招标 </w:t>
      </w:r>
      <w:bookmarkEnd w:id="0"/>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采购需求：</w:t>
      </w:r>
      <w:r/>
    </w:p>
    <w:tbl>
      <w:tblPr>
        <w:tblStyle w:val="856"/>
        <w:tblW w:w="4421" w:type="pct"/>
        <w:tblInd w:w="359" w:type="dxa"/>
        <w:tblLayout w:type="fixed"/>
        <w:tblCellMar>
          <w:left w:w="108" w:type="dxa"/>
          <w:top w:w="0" w:type="dxa"/>
          <w:right w:w="108" w:type="dxa"/>
          <w:bottom w:w="0" w:type="dxa"/>
        </w:tblCellMar>
        <w:tblLook w:val="04A0" w:firstRow="1" w:lastRow="0" w:firstColumn="1" w:lastColumn="0" w:noHBand="0" w:noVBand="1"/>
      </w:tblPr>
      <w:tblGrid>
        <w:gridCol w:w="721"/>
        <w:gridCol w:w="2290"/>
        <w:gridCol w:w="2757"/>
        <w:gridCol w:w="737"/>
        <w:gridCol w:w="734"/>
        <w:gridCol w:w="1294"/>
      </w:tblGrid>
      <w:tr>
        <w:trPr>
          <w:trHeight w:val="38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sz w:val="24"/>
              </w:rPr>
              <w:suppressLineNumbers w:val="0"/>
            </w:pPr>
            <w:r>
              <w:rPr>
                <w:rFonts w:hint="eastAsia" w:ascii="仿宋" w:hAnsi="仿宋" w:eastAsia="仿宋" w:cs="仿宋"/>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sz w:val="24"/>
              </w:rPr>
              <w:suppressLineNumbers w:val="0"/>
            </w:pPr>
            <w:r>
              <w:rPr>
                <w:rFonts w:hint="eastAsia" w:ascii="仿宋" w:hAnsi="仿宋" w:eastAsia="仿宋" w:cs="仿宋"/>
                <w:b/>
                <w:bCs/>
                <w:sz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sz w:val="24"/>
              </w:rPr>
              <w:suppressLineNumbers w:val="0"/>
            </w:pPr>
            <w:r>
              <w:rPr>
                <w:rFonts w:hint="eastAsia" w:ascii="仿宋" w:hAnsi="仿宋" w:eastAsia="仿宋" w:cs="仿宋"/>
                <w:b/>
                <w:bCs/>
                <w:sz w:val="24"/>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sz w:val="24"/>
              </w:rPr>
              <w:suppressLineNumbers w:val="0"/>
            </w:pPr>
            <w:r>
              <w:rPr>
                <w:rFonts w:hint="eastAsia" w:ascii="仿宋" w:hAnsi="仿宋" w:eastAsia="仿宋" w:cs="仿宋"/>
                <w:b/>
                <w:bCs/>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sz w:val="24"/>
              </w:rPr>
              <w:suppressLineNumbers w:val="0"/>
            </w:pPr>
            <w:r>
              <w:rPr>
                <w:rFonts w:hint="eastAsia" w:ascii="仿宋" w:hAnsi="仿宋" w:eastAsia="仿宋" w:cs="仿宋"/>
                <w:b/>
                <w:bCs/>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sz w:val="24"/>
              </w:rPr>
              <w:suppressLineNumbers w:val="0"/>
            </w:pPr>
            <w:r>
              <w:rPr>
                <w:rFonts w:hint="eastAsia" w:ascii="仿宋" w:hAnsi="仿宋" w:eastAsia="仿宋" w:cs="仿宋"/>
                <w:b/>
                <w:bCs/>
                <w:sz w:val="24"/>
                <w:lang w:bidi="ar"/>
              </w:rPr>
              <w:t xml:space="preserve">行业属性</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241"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sz w:val="24"/>
              </w:rPr>
              <w:suppressLineNumbers w:val="0"/>
            </w:pPr>
            <w:r>
              <w:rPr>
                <w:rFonts w:hint="eastAsia" w:ascii="仿宋" w:hAnsi="仿宋" w:eastAsia="仿宋" w:cs="仿宋"/>
                <w:b/>
                <w:bCs/>
                <w:sz w:val="24"/>
                <w:lang w:bidi="ar"/>
              </w:rPr>
              <w:t xml:space="preserve">第一部分：设备材料清单</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b/>
                <w:bCs/>
                <w:sz w:val="24"/>
              </w:rPr>
              <w:suppressLineNumbers w:val="0"/>
            </w:pPr>
            <w:r>
              <w:rPr>
                <w:rFonts w:hint="eastAsia" w:ascii="仿宋" w:hAnsi="仿宋" w:eastAsia="仿宋" w:cs="仿宋"/>
                <w:b/>
                <w:bCs/>
                <w:sz w:val="24"/>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241"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sz w:val="24"/>
              </w:rPr>
              <w:suppressLineNumbers w:val="0"/>
            </w:pPr>
            <w:r>
              <w:rPr>
                <w:rFonts w:hint="eastAsia" w:ascii="仿宋" w:hAnsi="仿宋" w:eastAsia="仿宋" w:cs="仿宋"/>
                <w:b/>
                <w:bCs/>
                <w:sz w:val="24"/>
                <w:lang w:bidi="ar"/>
              </w:rPr>
              <w:t xml:space="preserve">一、安防系统</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b/>
                <w:bCs/>
                <w:sz w:val="24"/>
              </w:rPr>
              <w:suppressLineNumbers w:val="0"/>
            </w:pPr>
            <w:r>
              <w:rPr>
                <w:rFonts w:hint="eastAsia" w:ascii="仿宋" w:hAnsi="仿宋" w:eastAsia="仿宋" w:cs="仿宋"/>
                <w:b/>
                <w:bCs/>
                <w:sz w:val="24"/>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241"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sz w:val="24"/>
              </w:rPr>
              <w:suppressLineNumbers w:val="0"/>
            </w:pPr>
            <w:r>
              <w:rPr>
                <w:rFonts w:hint="eastAsia" w:ascii="仿宋" w:hAnsi="仿宋" w:eastAsia="仿宋" w:cs="仿宋"/>
                <w:b/>
                <w:bCs/>
                <w:sz w:val="24"/>
                <w:lang w:bidi="ar"/>
              </w:rPr>
              <w:t xml:space="preserve">（一）安防（监控、电子围栏报警、巡更）系统</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b/>
                <w:bCs/>
                <w:sz w:val="24"/>
              </w:rPr>
              <w:suppressLineNumbers w:val="0"/>
            </w:pPr>
            <w:r>
              <w:rPr>
                <w:rFonts w:hint="eastAsia" w:ascii="仿宋" w:hAnsi="仿宋" w:eastAsia="仿宋" w:cs="仿宋"/>
                <w:b/>
                <w:bCs/>
                <w:sz w:val="24"/>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764" w:type="pct"/>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b/>
                <w:bCs/>
                <w:sz w:val="24"/>
              </w:rPr>
              <w:suppressLineNumbers w:val="0"/>
            </w:pPr>
            <w:r>
              <w:rPr>
                <w:rFonts w:hint="eastAsia" w:ascii="仿宋" w:hAnsi="仿宋" w:eastAsia="仿宋" w:cs="仿宋"/>
                <w:b/>
                <w:bCs/>
                <w:sz w:val="24"/>
                <w:lang w:bidi="ar"/>
              </w:rPr>
              <w:t xml:space="preserve">A.监控系统</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tcPr>
          <w:p>
            <w:pPr>
              <w:ind w:left="0" w:right="0"/>
              <w:jc w:val="left"/>
              <w:keepLines w:val="0"/>
              <w:keepNext w:val="0"/>
              <w:spacing w:before="0" w:beforeAutospacing="0" w:after="0" w:afterAutospacing="0"/>
              <w:rPr>
                <w:rFonts w:hint="eastAsia" w:ascii="仿宋" w:hAnsi="仿宋" w:eastAsia="仿宋" w:cs="仿宋"/>
                <w:b/>
                <w:bCs/>
                <w:sz w:val="24"/>
              </w:rPr>
              <w:suppressLineNumbers w:val="0"/>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ind w:left="0" w:right="0"/>
              <w:keepLines w:val="0"/>
              <w:keepNext w:val="0"/>
              <w:spacing w:before="0" w:beforeAutospacing="0" w:after="0" w:afterAutospacing="0"/>
              <w:rPr>
                <w:rFonts w:hint="eastAsia" w:ascii="仿宋" w:hAnsi="仿宋" w:eastAsia="仿宋" w:cs="仿宋"/>
                <w:b/>
                <w:bCs/>
                <w:sz w:val="24"/>
              </w:rPr>
              <w:suppressLineNumbers w:val="0"/>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b/>
                <w:bCs/>
                <w:sz w:val="24"/>
              </w:rPr>
              <w:suppressLineNumbers w:val="0"/>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rPr>
                <w:rFonts w:hint="eastAsia" w:ascii="仿宋" w:hAnsi="仿宋" w:eastAsia="仿宋" w:cs="仿宋"/>
                <w:b/>
                <w:bCs/>
                <w:sz w:val="24"/>
              </w:rPr>
              <w:suppressLineNumbers w:val="0"/>
            </w:pPr>
            <w:r>
              <w:rPr>
                <w:rFonts w:hint="eastAsia" w:ascii="仿宋" w:hAnsi="仿宋" w:eastAsia="仿宋" w:cs="仿宋"/>
                <w:b/>
                <w:bCs/>
                <w:sz w:val="24"/>
              </w:rPr>
            </w:r>
            <w:r/>
          </w:p>
        </w:tc>
      </w:tr>
      <w:tr>
        <w:trPr>
          <w:trHeight w:val="72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sz w:val="24"/>
              </w:rPr>
              <w:suppressLineNumbers w:val="0"/>
            </w:pPr>
            <w:r>
              <w:rPr>
                <w:rFonts w:hint="eastAsia" w:ascii="仿宋" w:hAnsi="仿宋" w:eastAsia="仿宋" w:cs="仿宋"/>
                <w:b/>
                <w:bCs/>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室内高清筒形摄像机（</w:t>
            </w:r>
            <w:r>
              <w:rPr>
                <w:rStyle w:val="888"/>
                <w:rFonts w:hint="default" w:ascii="仿宋" w:hAnsi="仿宋" w:eastAsia="仿宋" w:cs="仿宋"/>
                <w:color w:val="auto"/>
                <w:sz w:val="24"/>
                <w:szCs w:val="24"/>
                <w:lang w:bidi="ar"/>
              </w:rPr>
              <w:t xml:space="preserve">核心产品</w:t>
            </w:r>
            <w:r>
              <w:rPr>
                <w:rFonts w:hint="eastAsia" w:ascii="仿宋" w:hAnsi="仿宋" w:eastAsia="仿宋" w:cs="仿宋"/>
                <w:sz w:val="24"/>
                <w:lang w:bidi="ar"/>
              </w:rPr>
              <w:t xml:space="preserve">）</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shd w:val="clear" w:color="auto" w:fill="ffffff"/>
              </w:rPr>
              <w:t xml:space="preserve">详见第三部分项目需求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231</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sz w:val="24"/>
              </w:rPr>
              <w:suppressLineNumbers w:val="0"/>
            </w:pPr>
            <w:r>
              <w:rPr>
                <w:rFonts w:hint="eastAsia" w:ascii="仿宋" w:hAnsi="仿宋" w:eastAsia="仿宋" w:cs="仿宋"/>
                <w:b/>
                <w:bCs/>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高清网络彩色半球摄像机</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shd w:val="clear" w:color="auto" w:fill="ffffff"/>
              </w:rPr>
              <w:t xml:space="preserve">详见第三部分项目需求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368</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sz w:val="24"/>
              </w:rPr>
              <w:suppressLineNumbers w:val="0"/>
            </w:pPr>
            <w:r>
              <w:rPr>
                <w:rFonts w:hint="eastAsia" w:ascii="仿宋" w:hAnsi="仿宋" w:eastAsia="仿宋" w:cs="仿宋"/>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高清网络电梯半球摄像机</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shd w:val="clear" w:color="auto" w:fill="ffffff"/>
              </w:rPr>
              <w:t xml:space="preserve">详见第三部分项目需求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sz w:val="24"/>
              </w:rPr>
              <w:suppressLineNumbers w:val="0"/>
            </w:pPr>
            <w:r>
              <w:rPr>
                <w:rFonts w:hint="eastAsia" w:ascii="仿宋" w:hAnsi="仿宋" w:eastAsia="仿宋" w:cs="仿宋"/>
                <w:b/>
                <w:bCs/>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341"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电梯专用无线网桥（带楼显）</w:t>
            </w:r>
            <w:r/>
          </w:p>
        </w:tc>
        <w:tc>
          <w:tcPr>
            <w:tcBorders>
              <w:top w:val="single" w:color="000000" w:sz="4" w:space="0"/>
              <w:left w:val="single" w:color="000000" w:sz="4" w:space="0"/>
              <w:bottom w:val="single" w:color="000000" w:sz="4" w:space="0"/>
              <w:right w:val="single" w:color="000000" w:sz="4" w:space="0"/>
            </w:tcBorders>
            <w:tcW w:w="1615"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shd w:val="clear" w:color="auto" w:fill="ffffff"/>
              </w:rPr>
              <w:t xml:space="preserve">详见第三部分项目需求</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lang w:bidi="ar"/>
              </w:rPr>
              <w:t xml:space="preserve">工业</w:t>
            </w:r>
            <w:r/>
          </w:p>
        </w:tc>
      </w:tr>
      <w:tr>
        <w:trPr>
          <w:trHeight w:val="38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lang w:bidi="ar"/>
              </w:rPr>
              <w:suppressLineNumbers w:val="0"/>
            </w:pPr>
            <w:r>
              <w:rPr>
                <w:rFonts w:hint="eastAsia" w:ascii="仿宋" w:hAnsi="仿宋" w:eastAsia="仿宋" w:cs="仿宋"/>
                <w:sz w:val="24"/>
                <w:lang w:bidi="ar"/>
              </w:rPr>
              <w:t xml:space="preserve">......</w:t>
            </w:r>
            <w:r/>
          </w:p>
        </w:tc>
      </w:tr>
    </w:tbl>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具体内容详见第三部分项目需求.</w:t>
      </w:r>
      <w:r/>
    </w:p>
    <w:p>
      <w:pPr>
        <w:pStyle w:val="863"/>
        <w:ind w:firstLine="480"/>
        <w:spacing w:after="0" w:line="360" w:lineRule="auto"/>
        <w:shd w:val="clear" w:color="auto" w:fill="ffffff"/>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合同履行期限：</w:t>
      </w:r>
      <w:r>
        <w:rPr>
          <w:rFonts w:hint="eastAsia" w:ascii="仿宋" w:hAnsi="仿宋" w:eastAsia="仿宋" w:cs="仿宋"/>
          <w:color w:val="333333"/>
          <w:sz w:val="24"/>
          <w:szCs w:val="24"/>
          <w:shd w:val="clear" w:color="auto" w:fill="ffffff"/>
          <w:lang w:eastAsia="zh-CN"/>
        </w:rPr>
        <w:t xml:space="preserve">自签订合同后配合项目现场装修进度，120天内完成安装调试，具体时间以采购单位要求为准</w:t>
      </w:r>
      <w:r>
        <w:rPr>
          <w:rFonts w:hint="eastAsia" w:ascii="仿宋" w:hAnsi="仿宋" w:eastAsia="仿宋" w:cs="仿宋"/>
          <w:sz w:val="24"/>
          <w:szCs w:val="24"/>
          <w:shd w:val="clear" w:color="auto" w:fill="ffffff"/>
          <w:lang w:eastAsia="zh-CN"/>
        </w:rPr>
        <w:t xml:space="preserve">。</w:t>
      </w:r>
      <w:r/>
    </w:p>
    <w:p>
      <w:pPr>
        <w:pStyle w:val="863"/>
        <w:ind w:firstLine="480"/>
        <w:spacing w:after="0" w:line="360" w:lineRule="auto"/>
        <w:shd w:val="clear" w:color="auto" w:fill="ffffff"/>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本项目（是/否）接受联合体投标：不接受联合体</w:t>
      </w:r>
      <w:r/>
    </w:p>
    <w:p>
      <w:pPr>
        <w:pStyle w:val="854"/>
        <w:keepLines w:val="0"/>
        <w:keepNext w:val="0"/>
        <w:spacing w:before="0" w:after="0" w:line="360" w:lineRule="auto"/>
        <w:rPr>
          <w:rFonts w:hint="eastAsia" w:ascii="仿宋" w:hAnsi="仿宋" w:eastAsia="仿宋" w:cs="仿宋"/>
          <w:sz w:val="24"/>
        </w:rPr>
      </w:pPr>
      <w:r>
        <w:rPr>
          <w:rStyle w:val="867"/>
          <w:rFonts w:hint="eastAsia" w:ascii="仿宋" w:hAnsi="仿宋" w:eastAsia="仿宋" w:cs="仿宋"/>
          <w:sz w:val="24"/>
          <w:shd w:val="clear" w:color="auto" w:fill="ffffff"/>
        </w:rPr>
        <w:t xml:space="preserve">二、申请人的资格要求</w:t>
      </w:r>
      <w:r/>
    </w:p>
    <w:p>
      <w:pPr>
        <w:pStyle w:val="863"/>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（一）满足《中华人民共和国政府采购法》第二十二条规定；</w:t>
      </w:r>
      <w:r/>
    </w:p>
    <w:p>
      <w:pPr>
        <w:pStyle w:val="863"/>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1.具有独立承担民事责任的能力证明，包括法人或者其他组织的营业执照等证明文件，自然人的身份证明；</w:t>
      </w:r>
      <w:r/>
    </w:p>
    <w:p>
      <w:pPr>
        <w:pStyle w:val="863"/>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2.具有良好的商业信誉和健全的财务会计制度证明；</w:t>
      </w:r>
      <w:r/>
    </w:p>
    <w:p>
      <w:pPr>
        <w:pStyle w:val="863"/>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3.具备履行合同所必需的设备和专业技术能力的证明材料或承诺；</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4.依法缴纳税收和社会保障资金的相关资料；</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5.参加政府采购活动前三年内在经营活动中没有重大违法记录的书面声明函；</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6.法律、行政法规规定的其他条件；</w:t>
      </w:r>
      <w:r/>
    </w:p>
    <w:p>
      <w:pPr>
        <w:pStyle w:val="863"/>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（二）落实政府采购政策需满足的资格要求：</w:t>
      </w:r>
      <w:r/>
    </w:p>
    <w:p>
      <w:pPr>
        <w:pStyle w:val="863"/>
        <w:ind w:firstLine="723"/>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本项目非专门面向中小企业采购</w:t>
      </w:r>
      <w:r/>
    </w:p>
    <w:p>
      <w:pPr>
        <w:pStyle w:val="863"/>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（三）本项目的特定资格要求： </w:t>
      </w:r>
      <w:r/>
    </w:p>
    <w:p>
      <w:pPr>
        <w:pStyle w:val="863"/>
        <w:ind w:firstLine="480"/>
        <w:jc w:val="left"/>
        <w:spacing w:after="0" w:line="360" w:lineRule="auto"/>
        <w:widowControl/>
        <w:rPr>
          <w:rFonts w:hint="default" w:ascii="仿宋" w:hAnsi="仿宋" w:eastAsia="仿宋" w:cs="仿宋"/>
          <w:sz w:val="24"/>
          <w:szCs w:val="24"/>
          <w:shd w:val="clear" w:color="auto" w:fill="ffffff"/>
          <w:lang w:val="en-US" w:eastAsia="zh-CN"/>
        </w:rPr>
      </w:pPr>
      <w:r>
        <w:rPr>
          <w:rFonts w:hint="eastAsia" w:ascii="仿宋" w:hAnsi="仿宋" w:eastAsia="仿宋" w:cs="仿宋"/>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（四）拒绝下述供应商参加本次采购活动：</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2、凡为采购项目提供整体设计、规范编制或者项目管理、监理、检测等服务的供应商，不得再参加本项目的采购活动。</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3、法人的分支机构不得参加响应活动（除银行、保险、石油石化、电力、电信等行业特殊情况外）。</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854"/>
        <w:keepLines w:val="0"/>
        <w:keepNext w:val="0"/>
        <w:spacing w:before="0" w:after="0" w:line="360" w:lineRule="auto"/>
        <w:rPr>
          <w:rFonts w:hint="eastAsia" w:ascii="仿宋" w:hAnsi="仿宋" w:eastAsia="仿宋" w:cs="仿宋"/>
          <w:sz w:val="24"/>
        </w:rPr>
      </w:pPr>
      <w:r>
        <w:rPr>
          <w:rStyle w:val="867"/>
          <w:rFonts w:hint="eastAsia" w:ascii="仿宋" w:hAnsi="仿宋" w:eastAsia="仿宋" w:cs="仿宋"/>
          <w:sz w:val="24"/>
          <w:shd w:val="clear" w:color="auto" w:fill="ffffff"/>
        </w:rPr>
        <w:t xml:space="preserve">三、获取招标文件</w:t>
      </w:r>
      <w:r/>
    </w:p>
    <w:p>
      <w:pPr>
        <w:ind w:firstLine="480"/>
        <w:spacing w:line="360" w:lineRule="auto"/>
        <w:shd w:val="clear" w:color="auto" w:fill="ffffff"/>
        <w:rPr>
          <w:rFonts w:hint="eastAsia" w:ascii="仿宋" w:hAnsi="仿宋" w:eastAsia="仿宋" w:cs="仿宋"/>
          <w:sz w:val="24"/>
          <w:shd w:val="clear" w:color="auto" w:fill="ffffff"/>
        </w:rPr>
        <w:pBdr>
          <w:top w:val="single" w:color="CCCCCC" w:sz="2" w:space="0"/>
          <w:left w:val="single" w:color="CCCCCC" w:sz="2" w:space="30"/>
          <w:bottom w:val="single" w:color="CCCCCC" w:sz="2" w:space="0"/>
          <w:right w:val="single" w:color="CCCCCC" w:sz="2" w:space="0"/>
        </w:pBdr>
      </w:pPr>
      <w:r>
        <w:rPr>
          <w:rFonts w:hint="eastAsia" w:ascii="仿宋" w:hAnsi="仿宋" w:eastAsia="仿宋" w:cs="仿宋"/>
          <w:sz w:val="24"/>
          <w:shd w:val="clear" w:color="auto" w:fill="ffffff"/>
        </w:rPr>
        <w:t xml:space="preserve">时间：自本公告发布之日起5个工作日</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w:t>
      </w:r>
      <w:bookmarkStart w:id="1" w:name="OLE_LINK2"/>
      <w:r>
        <w:rPr>
          <w:rFonts w:hint="eastAsia" w:ascii="仿宋" w:hAnsi="仿宋" w:eastAsia="仿宋" w:cs="仿宋"/>
          <w:sz w:val="24"/>
          <w:szCs w:val="24"/>
          <w:shd w:val="clear" w:color="auto" w:fill="ffffff"/>
          <w:lang w:eastAsia="zh-CN"/>
        </w:rPr>
        <w:t xml:space="preserve">“苏采云”系统（网址：http://jszfcg.jsczt.cn/）</w:t>
      </w:r>
      <w:bookmarkEnd w:id="1"/>
      <w:r>
        <w:rPr>
          <w:rFonts w:hint="eastAsia" w:ascii="仿宋" w:hAnsi="仿宋" w:eastAsia="仿宋" w:cs="仿宋"/>
          <w:sz w:val="24"/>
          <w:szCs w:val="24"/>
          <w:shd w:val="clear" w:color="auto" w:fill="ffffff"/>
          <w:lang w:eastAsia="zh-CN"/>
        </w:rPr>
        <w:t xml:space="preserve">自行下载 </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方式：自行下载 </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 </w:t>
      </w:r>
      <w:r/>
    </w:p>
    <w:p>
      <w:pPr>
        <w:pStyle w:val="854"/>
        <w:keepLines w:val="0"/>
        <w:keepNext w:val="0"/>
        <w:spacing w:before="0" w:after="0" w:line="360" w:lineRule="auto"/>
        <w:rPr>
          <w:rFonts w:hint="eastAsia" w:ascii="仿宋" w:hAnsi="仿宋" w:eastAsia="仿宋" w:cs="仿宋"/>
          <w:sz w:val="24"/>
        </w:rPr>
      </w:pPr>
      <w:r>
        <w:rPr>
          <w:rStyle w:val="867"/>
          <w:rFonts w:hint="eastAsia" w:ascii="仿宋" w:hAnsi="仿宋" w:eastAsia="仿宋" w:cs="仿宋"/>
          <w:sz w:val="24"/>
          <w:shd w:val="clear" w:color="auto" w:fill="ffffff"/>
        </w:rPr>
        <w:t xml:space="preserve">四、提交投标文件截止时间、开标时间和地点</w:t>
      </w:r>
      <w:r/>
    </w:p>
    <w:p>
      <w:pPr>
        <w:pStyle w:val="863"/>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2026-7-27 </w:t>
      </w:r>
      <w:r>
        <w:rPr>
          <w:rFonts w:hint="eastAsia" w:ascii="仿宋" w:hAnsi="仿宋" w:eastAsia="仿宋" w:cs="仿宋"/>
          <w:sz w:val="24"/>
          <w:szCs w:val="24"/>
          <w:shd w:val="clear" w:color="auto" w:fill="ffffff"/>
          <w:lang w:eastAsia="zh-CN"/>
        </w:rPr>
        <w:t xml:space="preserve"> 09:30 （北京时间）</w:t>
      </w:r>
      <w:r/>
    </w:p>
    <w:p>
      <w:pPr>
        <w:pStyle w:val="863"/>
        <w:ind w:firstLine="480"/>
        <w:spacing w:after="0" w:line="360" w:lineRule="auto"/>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地点：苏采云系统 </w:t>
      </w:r>
      <w:r/>
    </w:p>
    <w:p>
      <w:pPr>
        <w:pStyle w:val="854"/>
        <w:keepLines w:val="0"/>
        <w:keepNext w:val="0"/>
        <w:spacing w:before="0" w:after="0" w:line="360" w:lineRule="auto"/>
        <w:shd w:val="clear" w:color="auto" w:fill="ffffff"/>
        <w:rPr>
          <w:rFonts w:hint="eastAsia" w:ascii="仿宋" w:hAnsi="仿宋" w:eastAsia="仿宋" w:cs="仿宋"/>
          <w:sz w:val="24"/>
        </w:rPr>
      </w:pPr>
      <w:r>
        <w:rPr>
          <w:rStyle w:val="867"/>
          <w:rFonts w:hint="eastAsia" w:ascii="仿宋" w:hAnsi="仿宋" w:eastAsia="仿宋" w:cs="仿宋"/>
          <w:sz w:val="24"/>
          <w:shd w:val="clear" w:color="auto" w:fill="ffffff"/>
        </w:rPr>
        <w:t xml:space="preserve">五、公告期限</w:t>
      </w:r>
      <w:r/>
    </w:p>
    <w:p>
      <w:pPr>
        <w:pStyle w:val="863"/>
        <w:ind w:firstLine="480"/>
        <w:spacing w:after="0"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自本公告发布之日起5个工作日。</w:t>
      </w:r>
      <w:r/>
    </w:p>
    <w:p>
      <w:pPr>
        <w:pStyle w:val="854"/>
        <w:keepLines w:val="0"/>
        <w:keepNext w:val="0"/>
        <w:spacing w:before="0" w:after="0" w:line="360" w:lineRule="auto"/>
        <w:rPr>
          <w:rFonts w:hint="eastAsia" w:ascii="仿宋" w:hAnsi="仿宋" w:eastAsia="仿宋" w:cs="仿宋"/>
          <w:sz w:val="24"/>
        </w:rPr>
      </w:pPr>
      <w:r>
        <w:rPr>
          <w:rStyle w:val="867"/>
          <w:rFonts w:hint="eastAsia" w:ascii="仿宋" w:hAnsi="仿宋" w:eastAsia="仿宋" w:cs="仿宋"/>
          <w:sz w:val="24"/>
          <w:shd w:val="clear" w:color="auto" w:fill="ffffff"/>
        </w:rPr>
        <w:t xml:space="preserve">六、其他补充事宜</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1、本项目需要使用CA数字证书制作、上传电子投标文件完成电子投标，请供应商在参加投标活动前办理好CA数字证书申领及电子签章等操作。</w:t>
      </w:r>
      <w:r/>
    </w:p>
    <w:p>
      <w:pPr>
        <w:ind w:firstLine="482"/>
        <w:spacing w:line="360" w:lineRule="auto"/>
        <w:rPr>
          <w:rFonts w:hint="eastAsia" w:ascii="仿宋" w:hAnsi="仿宋" w:eastAsia="仿宋" w:cs="仿宋"/>
          <w:b/>
          <w:sz w:val="24"/>
        </w:rPr>
      </w:pPr>
      <w:r>
        <w:rPr>
          <w:rFonts w:hint="eastAsia" w:ascii="仿宋" w:hAnsi="仿宋" w:eastAsia="仿宋" w:cs="仿宋"/>
          <w:b/>
          <w:sz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rPr>
          <w:rFonts w:hint="eastAsia" w:ascii="仿宋" w:hAnsi="仿宋" w:eastAsia="仿宋" w:cs="仿宋"/>
          <w:sz w:val="24"/>
        </w:rPr>
      </w:pPr>
      <w:r>
        <w:rPr>
          <w:rFonts w:hint="eastAsia" w:ascii="仿宋" w:hAnsi="仿宋" w:eastAsia="仿宋" w:cs="仿宋"/>
          <w:b/>
          <w:sz w:val="24"/>
        </w:rPr>
        <w:t xml:space="preserve">3、本项目采用不见面开标，投标人开标时无需到开标现场进行解密，采取网上开标大厅解密电子投标文件，投标人远程解密要求如下：</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2）投标人登录苏采云系统，点击开标大厅，选择开标项目，完成不见面开标流程。</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3）投标截止时间后根据系统提示解密电子投标文件。</w:t>
      </w:r>
      <w:r>
        <w:rPr>
          <w:rFonts w:hint="eastAsia" w:ascii="仿宋" w:hAnsi="仿宋" w:eastAsia="仿宋" w:cs="仿宋"/>
          <w:b/>
          <w:sz w:val="24"/>
        </w:rPr>
        <w:t xml:space="preserve">解密时间为15分钟，</w:t>
      </w:r>
      <w:r>
        <w:rPr>
          <w:rFonts w:hint="eastAsia" w:ascii="仿宋" w:hAnsi="仿宋" w:eastAsia="仿宋" w:cs="仿宋"/>
          <w:sz w:val="24"/>
        </w:rPr>
        <w:t xml:space="preserve">未在规定时间内完成解密，其投标文件将被拒绝，不参与后续投标流程。</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b/>
          <w:sz w:val="24"/>
        </w:rPr>
        <w:t xml:space="preserve">有关苏采云系统驱动安装，</w:t>
      </w:r>
      <w:r>
        <w:rPr>
          <w:rFonts w:hint="eastAsia" w:ascii="仿宋" w:hAnsi="仿宋" w:eastAsia="仿宋" w:cs="仿宋"/>
          <w:sz w:val="24"/>
        </w:rPr>
        <w:t xml:space="preserve">登录苏州政府采购网，点击页面底部苏采云图标，进入苏采云政府采购一体化平台，点击“驱动下载”，下载</w:t>
      </w:r>
      <w:r>
        <w:rPr>
          <w:rFonts w:hint="eastAsia" w:ascii="仿宋" w:hAnsi="仿宋" w:eastAsia="仿宋" w:cs="仿宋"/>
          <w:b/>
          <w:sz w:val="24"/>
        </w:rPr>
        <w:t xml:space="preserve">“政务CA、方正签章控件驱动安装包及安装说明”</w:t>
      </w:r>
      <w:r>
        <w:rPr>
          <w:rFonts w:hint="eastAsia" w:ascii="仿宋" w:hAnsi="仿宋" w:eastAsia="仿宋" w:cs="仿宋"/>
          <w:sz w:val="24"/>
        </w:rPr>
        <w:t xml:space="preserve">文件，按要求安装驱动。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b/>
          <w:sz w:val="24"/>
        </w:rPr>
        <w:t xml:space="preserve">有关供应商注册、报名、下载电子招标文件、制作上传电子投标文件</w:t>
      </w:r>
      <w:r>
        <w:rPr>
          <w:rFonts w:hint="eastAsia" w:ascii="仿宋" w:hAnsi="仿宋" w:eastAsia="仿宋" w:cs="仿宋"/>
          <w:sz w:val="24"/>
        </w:rPr>
        <w:t xml:space="preserve">、不见面开标及其他注意事项登录苏州政府采购网，在“下载中心”栏目下载“</w:t>
      </w:r>
      <w:r>
        <w:rPr>
          <w:rFonts w:hint="eastAsia" w:ascii="仿宋" w:hAnsi="仿宋" w:eastAsia="仿宋" w:cs="仿宋"/>
          <w:b/>
          <w:sz w:val="24"/>
        </w:rPr>
        <w:t xml:space="preserve">苏采云系统供应商操作</w:t>
      </w:r>
      <w:r>
        <w:rPr>
          <w:rFonts w:hint="eastAsia" w:ascii="仿宋" w:hAnsi="仿宋" w:eastAsia="仿宋" w:cs="仿宋"/>
          <w:b/>
          <w:bCs/>
          <w:sz w:val="24"/>
        </w:rPr>
        <w:t xml:space="preserve">手册</w:t>
      </w:r>
      <w:r>
        <w:rPr>
          <w:rFonts w:hint="eastAsia" w:ascii="仿宋" w:hAnsi="仿宋" w:eastAsia="仿宋" w:cs="仿宋"/>
          <w:sz w:val="24"/>
        </w:rPr>
        <w:t xml:space="preserve">”查阅。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6、有关办理CA数字申领及电子签章事项，登录苏州政府采购网，点击页面底部苏采云图标，进入苏采云政府采购一体化平台，下载“新CA办理指南”文件查阅。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7、有关电子投标制作技术疑问，请咨询苏采云软件公司客服：18261002950、0512-69820854、0519-86722802</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8、政府采购监督电话：0512-53512539</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9、本次招标投标保证金：本项目无须缴纳投标保证金。</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10、政府采购信用融资政策：中标供应商可凭政府采购合同办理融资贷款，详情请见江苏政府采购网“政采贷”专栏。</w:t>
      </w:r>
      <w:r>
        <w:rPr>
          <w:rFonts w:hint="eastAsia" w:ascii="仿宋" w:hAnsi="仿宋" w:eastAsia="仿宋" w:cs="仿宋"/>
          <w:sz w:val="24"/>
        </w:rPr>
        <w:br/>
      </w:r>
      <w:r>
        <w:rPr>
          <w:rFonts w:hint="eastAsia" w:ascii="仿宋" w:hAnsi="仿宋" w:eastAsia="仿宋" w:cs="仿宋"/>
          <w:sz w:val="24"/>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854"/>
        <w:keepLines w:val="0"/>
        <w:keepNext w:val="0"/>
        <w:spacing w:before="0" w:after="0" w:line="360" w:lineRule="auto"/>
        <w:rPr>
          <w:rFonts w:hint="eastAsia" w:ascii="仿宋" w:hAnsi="仿宋" w:eastAsia="仿宋" w:cs="仿宋"/>
          <w:sz w:val="24"/>
        </w:rPr>
      </w:pPr>
      <w:r>
        <w:rPr>
          <w:rStyle w:val="867"/>
          <w:rFonts w:hint="eastAsia" w:ascii="仿宋" w:hAnsi="仿宋" w:eastAsia="仿宋" w:cs="仿宋"/>
          <w:sz w:val="24"/>
          <w:shd w:val="clear" w:color="auto" w:fill="ffffff"/>
        </w:rPr>
        <w:t xml:space="preserve">七、对本次招标提出询问，请按以下方式联系</w:t>
      </w:r>
      <w:r/>
    </w:p>
    <w:p>
      <w:pPr>
        <w:pStyle w:val="863"/>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1.采购人信息 </w:t>
      </w:r>
      <w:r/>
    </w:p>
    <w:p>
      <w:pPr>
        <w:pStyle w:val="863"/>
        <w:ind w:firstLine="480"/>
        <w:jc w:val="left"/>
        <w:spacing w:after="0" w:line="360" w:lineRule="auto"/>
        <w:widowControl/>
        <w:rPr>
          <w:rFonts w:hint="eastAsia"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名称：江苏省太仓高新技术产业开发区管理委员会</w:t>
      </w:r>
      <w:r/>
    </w:p>
    <w:p>
      <w:pPr>
        <w:pStyle w:val="863"/>
        <w:ind w:firstLine="480"/>
        <w:jc w:val="left"/>
        <w:spacing w:after="0" w:line="360" w:lineRule="auto"/>
        <w:widowControl/>
        <w:rPr>
          <w:rFonts w:hint="eastAsia"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地址：太仓市上海东路88号</w:t>
      </w:r>
      <w:r/>
    </w:p>
    <w:p>
      <w:pPr>
        <w:pStyle w:val="863"/>
        <w:ind w:firstLine="480"/>
        <w:jc w:val="left"/>
        <w:spacing w:after="0" w:line="360" w:lineRule="auto"/>
        <w:widowControl/>
        <w:rPr>
          <w:rFonts w:hint="eastAsia"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联系方式：沈熙峰  0512-53595073 </w:t>
      </w:r>
      <w:r/>
    </w:p>
    <w:p>
      <w:pPr>
        <w:pStyle w:val="863"/>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2.采购代理机构信息（如有）</w:t>
      </w:r>
      <w:r/>
    </w:p>
    <w:p>
      <w:pPr>
        <w:pStyle w:val="863"/>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单位名称：苏州市公共资源交易中心太仓分中心</w:t>
      </w:r>
      <w:r/>
    </w:p>
    <w:p>
      <w:pPr>
        <w:pStyle w:val="863"/>
        <w:ind w:firstLine="480"/>
        <w:jc w:val="left"/>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单位地址：太仓市陆渡街道万金北路88号3栋</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联系人：周萌</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联系电话：0512-53890581</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3.项目联系方式</w:t>
      </w:r>
      <w:r/>
    </w:p>
    <w:p>
      <w:pPr>
        <w:pStyle w:val="863"/>
        <w:ind w:firstLine="480"/>
        <w:spacing w:after="0" w:line="360" w:lineRule="auto"/>
        <w:widowControl/>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项目联系人：周萌</w:t>
      </w:r>
      <w:r/>
    </w:p>
    <w:p>
      <w:pPr>
        <w:pStyle w:val="863"/>
        <w:ind w:firstLine="480"/>
        <w:spacing w:after="0" w:line="360" w:lineRule="auto"/>
        <w:widowControl/>
        <w:rPr>
          <w:rFonts w:hint="eastAsia" w:ascii="宋体" w:hAnsi="宋体" w:eastAsia="宋体" w:cs="宋体"/>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电话：0512-53890581</w:t>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第二部分  投标人须知</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一、说明和释义</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 说明</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1.1本招标文件仅适用于苏州市公共资源交易中心太仓分中心组织的招标活动。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1.2本次招标活动及因本次招标产生的合同受中国法律制约和保护。</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1.3本招标文件的解释权属于苏州市公共资源交易中心太仓分中心。</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 词语释义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2.1采购代理机构：具体组织实施招标活动的法人。本项目采购代理机构是苏州市公共资源交易中心太仓分中心。</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2.2投标人：经认定有资格响应招标，参加投标竞争的法人或其他组织和自然人。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2.3响应：投标人根据采购人或采购代理机构发布的招标文件，编制投标文件并按规定投标的行为。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2.5甲方（采购方）：合同中明确规定的实际购买货物和服务的法人或其他组织和自然人（采购人）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2.6乙方（供应商）：合同中规定的向采购方提供货物和服务的法人或其他组织和自然人（中标人）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2.7货物：系指乙方按招标采购文件规定，应向甲方提供的一切设备、备品、备件、工具、手册及其它有关技术资料和材料。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2.9知识产权：指专利权、商标权、著作权等无形财产专有权的统称。</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2.10天：日历日。</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2.11交货地点：合同中明确约定的乙方提交的货物和服务最终到达地点。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 合同价款：根据合同规定，乙方在正确地履行合同义务后甲方应支付乙方的价款。</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2.13 产地：货物开采、生长、生产、最终制造、加工或提供服务的来源地。</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2.14不可抗力：不能预见、不能避免并且不能克服的客观情况。</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2.15实质性响应：满足有关本次采购标的、数量、质量、价款或者报酬、履行期限、履行地点和方式、违约责任和解决争议方法等要求。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2.17进口产品：指通过中国海关报关验收进入中国境内且产自境外的产品。本项目不接受进口产品投标。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2.18书面形式：指书面文字、合同书、信件和传真等可以有形地表现所载内容的形式。</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 投标人</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 合格投标人的基本条件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3.1符合《中华人民共和国政府采购法》第二十二条第一款之规定；</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3.2满足本文件实质性条款的规定。</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4．合格投标人的特定条件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4.1 按招标公告规定。</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5. 投标人代表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5.1指全权代表投标人参加投标活动并签署投标文件的人，如果投标人代表不是法人代表，须持有《法人代表授权委托书》（详见统一格式）。</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6. 联合投标及转包、分包</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6.1本项目不接受联合体投标。</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6.2本项目不接受转包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6.3本项目不接受分包。</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 投标费用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7.1投标人应自行承担所有准备及参加投标的相关费用。不论投标结果如何，采购代理机构在任何情况下均无义务也无责任承担这些费用。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7.2本次招标项目不收取标书费及中标服务费，请投标人在投标时充分考虑这一因素。</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三、招标文件说明</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8. 招标文件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8.2招标文件及其更正文件不是直接从采购代理机构或指定媒体获得的，采购代理机构对招标文件及其补遗的真实性、完整性不承担任何责任。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9. 招标文件的澄清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9.1投标人在获取招标文件后，若有疑问，应于投标截止时间之前，向采购代理机构提出，采购代理机构将予以解答。</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9.2如有必要，问题答复将以“变更公告”形式由采购代理机构按照本须知第10条的规定发出。</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10.招标文件的修改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10.1采购代理机构无论出于自己的考虑，还是出于对投标人提问的澄清，均可对已发出的招标文件用补充文件的方式进行必要澄清或者修改。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10.3招标文件的更正（含澄清、修改等）内容与原招标文件在同一内容上表述不一致时，以发出日期最接近开标时间的公告为准。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10.5招标文件若有最新的答疑文件，投标供应商必须下载并使用该文件制作新的电子投标文件，否则将无法完成电子投标文件的上传及投标。</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11.质疑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11.3上述应知其权益受到损害之日是指：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11.3.1对采购文件提出质疑的，为获取采购文件或者采购文件公告期限届满之日起计算；</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11.3.2对采购过程提出质疑的，自采购程序环节结束之日起计算；</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11.3.3对中标结果提出质疑的，自中标结果公告期限届满之日起计算。</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 供应商提出质疑应当提交质疑函和必要的证明材料。质疑函应当包括下列内容：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11.4.1 供应商的姓名或者名称、地址、邮编、联系人及联系电话；</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11.4.2 质疑项目的名称、编号；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11.4.3 具体、明确的质疑事项和与质疑事项相关的请求；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11.4.4 事实依据；</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11.4.5 必要的法律依据；</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11.4.6 提出质疑的日期。</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11.5质疑函的格式和内容应当符合财政部《政府采购供应商质疑函范本》 要求，质疑函范本在财政部官网上提供下载。</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 提交质疑函同时应当附如下证明材料：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11.6.1对采购文件提出质疑的供应商提供参加本项目的《投标供应商确认函</w:t>
      </w:r>
      <w:r>
        <w:rPr>
          <w:rFonts w:hint="eastAsia" w:ascii="宋体" w:hAnsi="宋体" w:cs="宋体"/>
          <w:b/>
          <w:sz w:val="24"/>
        </w:rPr>
        <w:t xml:space="preserve">》</w:t>
      </w:r>
      <w:r>
        <w:rPr>
          <w:rFonts w:hint="eastAsia" w:ascii="宋体" w:hAnsi="宋体" w:cs="宋体"/>
          <w:sz w:val="24"/>
        </w:rPr>
        <w:t xml:space="preserve">；</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11.6.2质疑供应商的营业执照复印件加盖单位公章；</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11.6.3质疑供应商法定代表人身份证复印件加盖单位公章；</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11.9 供应商如对本项目提出质疑须在法定质疑期内一次性提出针对同一采购程序环节的质疑。</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cs="宋体"/>
          <w:b/>
          <w:sz w:val="24"/>
        </w:rPr>
        <w:t xml:space="preserve">（即《投标供应商确认函》）</w:t>
      </w:r>
      <w:r>
        <w:rPr>
          <w:rFonts w:hint="eastAsia" w:ascii="宋体" w:hAnsi="宋体" w:cs="宋体"/>
          <w:sz w:val="24"/>
        </w:rPr>
        <w:t xml:space="preserve">与质疑函一起递交，否则不予受理。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11.11 接受质疑函联系方式见采购公告联系事项。</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 投标文件说明</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12、提示与要求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12.2无论是否递交投标文件，投标人都应将招标文件及以后的所有通知、文件等视为保密文件。</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13. 投标文件计量单位和使用文字</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13.1投标文件中所使用的计量单位，除招标文件中有特殊要求外，均应使用中华人民共和国法定计量单位。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14. 知识产权</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 投标文件的组成</w:t>
      </w:r>
      <w:r/>
    </w:p>
    <w:p>
      <w:pPr>
        <w:ind w:firstLine="12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15.1报价部分（详见投标文件格式）：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15.1.1封面</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15.1.2《开标一览表》(统一格式)；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15.1.3公开分项报价表；</w:t>
      </w:r>
      <w:r/>
    </w:p>
    <w:p>
      <w:pPr>
        <w:ind w:firstLine="12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15.2 投标正文部分（包含资质证明和技术部分）</w:t>
      </w:r>
      <w:r/>
    </w:p>
    <w:p>
      <w:pPr>
        <w:ind w:firstLine="36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15.2.1资质证明文件部分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15.2.1.1关于资格文件的声明函（详见投标文件格式）；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15.2.1.2投标承诺函（详见投标文件格式）；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15.2.1.3投标人基本情况表（详见投标文件格式）；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15.2.1.4投标人法定代表人身份证复印件；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15.2.1.5投标人法定代表人授权委托书原件（如有授权）（详见投标文件格式）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15.2.1.6投标人授权代理人身份证复印件（如有授权）</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15.2.1.7投标单位营业执照副本或三证合一营业执照复印件；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15.2.1.8投标人参加本次政府采购活动前的财务状况报告或者银行出具的资信证明；</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15.2.1.9投标人根据项目需求提供履行合同所必需的设备和专业技术能力的证明材料；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15.2.1.10投标人参加本次政府采购活动前半年（至少一个月）依法缴纳税收和社会保障资金的证明材料；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15.2.1.11投标人参加政府采购活动前三年在经营活动中没有重大违法记录的书面申明（详见投标文件格式）；</w:t>
      </w:r>
      <w:r/>
    </w:p>
    <w:p>
      <w:pPr>
        <w:ind w:firstLine="36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15.2.1.12投标人证明其符合招标文件规定的投标人特定资格条件的证书、证明和文件材料</w:t>
      </w:r>
      <w:r>
        <w:rPr>
          <w:rFonts w:hint="eastAsia" w:ascii="宋体" w:hAnsi="宋体" w:cs="宋体"/>
          <w:sz w:val="24"/>
          <w:highlight w:val="none"/>
        </w:rPr>
        <w:t xml:space="preserve">；（如有）</w:t>
      </w:r>
      <w:r/>
    </w:p>
    <w:p>
      <w:pPr>
        <w:ind w:firstLine="36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15.2.1.13中小企业声明函（如有）</w:t>
      </w:r>
      <w:r/>
    </w:p>
    <w:p>
      <w:pPr>
        <w:ind w:firstLine="36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15.2.1.14残疾人福利性单位声明函</w:t>
      </w:r>
      <w:bookmarkStart w:id="2" w:name="_Hlk186581680"/>
      <w:r>
        <w:rPr>
          <w:rFonts w:hint="eastAsia" w:ascii="宋体" w:hAnsi="宋体" w:cs="宋体"/>
          <w:sz w:val="24"/>
          <w:highlight w:val="none"/>
        </w:rPr>
        <w:t xml:space="preserve">（如有）</w:t>
      </w:r>
      <w:bookmarkEnd w:id="2"/>
      <w:r>
        <w:rPr>
          <w:rFonts w:hint="eastAsia" w:ascii="宋体" w:hAnsi="宋体" w:cs="宋体"/>
          <w:sz w:val="24"/>
          <w:highlight w:val="none"/>
        </w:rPr>
        <w:t xml:space="preserve">；</w:t>
      </w:r>
      <w:r/>
    </w:p>
    <w:p>
      <w:pPr>
        <w:ind w:firstLine="361"/>
        <w:spacing w:line="439" w:lineRule="atLeast"/>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w:t>
      </w:r>
      <w:r>
        <w:rPr>
          <w:rFonts w:ascii="宋体" w:hAnsi="宋体" w:cs="宋体"/>
          <w:sz w:val="24"/>
          <w:highlight w:val="none"/>
        </w:rPr>
        <w:t xml:space="preserve">5</w:t>
      </w:r>
      <w:r>
        <w:rPr>
          <w:rFonts w:hint="eastAsia" w:ascii="宋体" w:hAnsi="宋体"/>
          <w:sz w:val="24"/>
          <w:szCs w:val="21"/>
          <w:highlight w:val="none"/>
        </w:rPr>
        <w:t xml:space="preserve">关于符合本国产品标准的声明函</w:t>
      </w:r>
      <w:r>
        <w:rPr>
          <w:rFonts w:hint="eastAsia" w:ascii="宋体" w:hAnsi="宋体" w:cs="宋体"/>
          <w:sz w:val="24"/>
          <w:highlight w:val="none"/>
        </w:rPr>
        <w:t xml:space="preserve">（如有）</w:t>
      </w:r>
      <w:r/>
    </w:p>
    <w:p>
      <w:pPr>
        <w:ind w:firstLine="361"/>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15.2.2技术部分</w:t>
      </w:r>
      <w:r/>
    </w:p>
    <w:p>
      <w:pPr>
        <w:ind w:firstLine="360"/>
        <w:spacing w:line="43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15.2.2.1投标货物数量、品牌规格、材质、性能、交货期说明表（详见文件格式）；</w:t>
      </w:r>
      <w:r/>
    </w:p>
    <w:p>
      <w:pPr>
        <w:ind w:firstLine="360"/>
        <w:spacing w:line="43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15.2.2.2技术要求偏离表（详见文件格式）；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w:t>
      </w:r>
      <w:r>
        <w:rPr>
          <w:rFonts w:hint="eastAsia" w:ascii="宋体" w:hAnsi="宋体" w:cs="宋体"/>
          <w:sz w:val="24"/>
        </w:rPr>
        <w:t xml:space="preserve">3商务要求偏离表（详见文件格式）；</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15.2.2.4项目的技术及服务方案；</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15.2.2.5项目实施方案和进度方案</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15.2.2.6质量保证措施和承诺；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15.2.2.7售后服务内容；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15.2.2.8投入本项目技术（服务）人员一览表及相关证明材料（详见文件格式）；</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15.2.2.9类似项目业绩一览表及相关证明材料（详见文件格式）；</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15.2.2.10其他投标人认为需要提供的材料；</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15.3投标文件由15.1、15.2款规定的内容共同组成。</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16. 投标文件编制要求   </w:t>
      </w:r>
      <w:r/>
    </w:p>
    <w:p>
      <w:pPr>
        <w:ind w:firstLine="424"/>
        <w:spacing w:line="43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16.1</w:t>
      </w:r>
      <w:r>
        <w:rPr>
          <w:rFonts w:hint="eastAsia" w:ascii="宋体" w:hAnsi="宋体" w:cs="宋体"/>
          <w:b/>
          <w:sz w:val="24"/>
        </w:rPr>
        <w:t xml:space="preserve">电子投标文件编制要求：</w:t>
      </w:r>
      <w:r>
        <w:rPr>
          <w:rFonts w:hint="eastAsia" w:ascii="宋体" w:hAnsi="宋体" w:cs="宋体"/>
          <w:sz w:val="24"/>
        </w:rPr>
        <w:t xml:space="preserve">投标人应使用</w:t>
      </w:r>
      <w:r>
        <w:rPr>
          <w:rFonts w:hint="eastAsia" w:ascii="宋体" w:hAnsi="宋体" w:cs="宋体"/>
          <w:b/>
          <w:sz w:val="24"/>
        </w:rPr>
        <w:t xml:space="preserve">招标文件要求的投标文件制作软件制作电子投标文件</w:t>
      </w:r>
      <w:r>
        <w:rPr>
          <w:rFonts w:hint="eastAsia" w:ascii="宋体" w:hAnsi="宋体" w:cs="宋体"/>
          <w:sz w:val="24"/>
        </w:rPr>
        <w:t xml:space="preserve">，电子投标文件按招标文件规定的格式制作，如果未按要求制作上传，可能导致投标无效。</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17. 投标报价（编制）要求的说明</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17.3 一项投标内容只允许一个报价，采购代理机构不接受任何有选择性的投标报价。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17.4投标文件报价中的单价和总价全部采用人民币表示，除非合同的特殊条款另有规定。</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17.5最低的投标报价或最高的折扣比例是中标的重要条件，但不是中标的唯一条件。</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18. 投标保证金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本项目无须缴纳投标保证金</w:t>
      </w:r>
      <w:r>
        <w:rPr>
          <w:rFonts w:hint="eastAsia" w:ascii="宋体" w:hAnsi="宋体" w:cs="宋体"/>
          <w:b/>
          <w:sz w:val="24"/>
        </w:rPr>
        <w:t xml:space="preserve">。</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19. 投标文件的有效期</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19.1在本招标文件规定的开标之日起九十（90）天内，投标人所提交的投标文件应保持有效。</w:t>
      </w:r>
      <w:r>
        <w:rPr>
          <w:rFonts w:hint="eastAsia" w:ascii="宋体" w:hAnsi="宋体" w:cs="宋体"/>
          <w:b/>
          <w:sz w:val="24"/>
        </w:rPr>
        <w:t xml:space="preserve">有效期短于这个规定期限的投标文件，将被认定为未实质性响应招标文件要求。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 投标文件的提交、撤回和修改</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20. 投标文件的上传、提交</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w:t>
      </w:r>
      <w:r>
        <w:rPr>
          <w:rFonts w:hint="eastAsia" w:ascii="宋体" w:hAnsi="宋体" w:cs="宋体"/>
          <w:b/>
          <w:sz w:val="24"/>
        </w:rPr>
        <w:t xml:space="preserve">1投标人应将制作好的加密电子投标文件按要求在投标截止时间前上传到交易系统平台中。</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21. 投标截止时间</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w:t>
      </w:r>
      <w:r>
        <w:rPr>
          <w:rFonts w:hint="eastAsia" w:ascii="宋体" w:hAnsi="宋体" w:cs="宋体"/>
          <w:b/>
          <w:sz w:val="24"/>
        </w:rPr>
        <w:t xml:space="preserve">电子投标文件必须按招标公告中规定的网上投标截止时间前提交</w:t>
      </w:r>
      <w:r>
        <w:rPr>
          <w:rFonts w:hint="eastAsia" w:ascii="宋体" w:hAnsi="宋体" w:cs="宋体"/>
          <w:sz w:val="24"/>
        </w:rPr>
        <w:t xml:space="preserve">，</w:t>
      </w:r>
      <w:r>
        <w:rPr>
          <w:rFonts w:hint="eastAsia" w:ascii="宋体" w:hAnsi="宋体" w:cs="宋体"/>
          <w:b/>
          <w:sz w:val="24"/>
        </w:rPr>
        <w:t xml:space="preserve">否则投标无效</w:t>
      </w:r>
      <w:r>
        <w:rPr>
          <w:rFonts w:hint="eastAsia" w:ascii="宋体" w:hAnsi="宋体" w:cs="宋体"/>
          <w:sz w:val="24"/>
        </w:rPr>
        <w:t xml:space="preserve">。</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21.3在投标截止时间止，采购代理机构于本项目（或标段）收到的电子投标文件少于三份的，采购代理机构有权宣布本项目（或标段）招标失败。</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22. 投标文件的修改和撤回</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22.1投标人在提交投标文件截止时间前，可对其投标文件进行撤回或修改。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23.2开标后投标人不得撤回投标。</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六、开标和评标</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23. 开标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23.1采购代理机构按采购公告规定的时间、地点主持不见面开标活动。开标仪式由采购代理机构、采购人等主持。</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23.2</w:t>
      </w:r>
      <w:r>
        <w:rPr>
          <w:rFonts w:hint="eastAsia" w:ascii="宋体" w:hAnsi="宋体" w:cs="宋体"/>
          <w:b/>
          <w:sz w:val="24"/>
        </w:rPr>
        <w:t xml:space="preserve">参加开标的投标法定代表人或授权代理人须在项目开标前登录苏采云不见面开标系统，进入网上不见面开标大厅，做好相关准备工作。</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23.3</w:t>
      </w:r>
      <w:r>
        <w:rPr>
          <w:rFonts w:hint="eastAsia" w:ascii="宋体" w:hAnsi="宋体" w:cs="宋体"/>
          <w:b/>
          <w:sz w:val="24"/>
        </w:rPr>
        <w:t xml:space="preserve">本项目开标后在规定的解密时间内，投标人须自行登录网上开标大厅解密投标文件，解密时间为15分钟，因自身原因导致解密失败的，由投标人自行承担相关责任。</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23.4采购代理机构在开标仪式上，将公布投标人的名称、投标价格，并将作唱标记录。</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23.5投标人代表对开标过程和开标记录有疑义，以及认为采购人、采购代理机构相关工作人员有需要回避的情形的，</w:t>
      </w:r>
      <w:r>
        <w:rPr>
          <w:rFonts w:hint="eastAsia" w:ascii="宋体" w:hAnsi="宋体" w:cs="宋体"/>
          <w:b/>
          <w:sz w:val="24"/>
        </w:rPr>
        <w:t xml:space="preserve">应通过不见面开标大厅提出</w:t>
      </w:r>
      <w:r>
        <w:rPr>
          <w:rFonts w:hint="eastAsia" w:ascii="宋体" w:hAnsi="宋体" w:cs="宋体"/>
          <w:sz w:val="24"/>
        </w:rPr>
        <w:t xml:space="preserve">询问或者回避申请。采购人、采购代理机构对投标人代表提出的询问或者回避申请应当及时处理。</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24. 评标委员会</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24.1评标委员会由采购人或委托采购代理机构依法组建，负责本项目的评标事务。</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24.2评标委员会独立履行下列职责：</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24.2.1审查投标文件是否符合招标文件的要求，并作出评价；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24.2.2可以要求投标供应商对投标文件有关事项作出解释或澄清；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24.2.3推荐中标候选供应商名单，或者受采购人委托按照事先确定的办法直接确定中标供应商；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24.2.4向采购代理机构或者有关部门报告非法干预评标工作的行为；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24.3评标委员会成员应当履行下列义务：</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24.3.1遵纪守法，客观、公正、廉洁地履行职责；</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24.3.2按照招标文件规定的评标办法和评标标准进行评标，对评审意见承担个人责任；</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24.3.3对评标过程和结果，以及投标人的商业秘密保密；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24.3.4参与评标报告的起草；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24.3.5配合采购代理机构答复投标供应商提出的质疑；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24.3.6配合相关部门的投诉处理工作；</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25. 评标内容的保密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25.3在评标期间，采购代理机构将通过指定联络人与投标人进行联系。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26.对投标文件初审</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26.1投标文件初审分为资格性检查和符合性检查。</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 关于信用记录查询：</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26.1.2.1查询时间：评标开始前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26.1.2.2查询渠道：通过“信用中国”网站、中国政府采购网等渠道查询相关主体信用记录。</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26.1.2.4信用记录使用规则：评审小组在对供应商进行资格性审查时，应根据查询结果对供应商的不良信用记录逐项甄别确认。</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26.2.1 不同投标人的投标文件由同一单位或者个人编制；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26.2.2不同投标人委托同一单位或者个人办理投标事宜；</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26.2.3不同投标人的投标文件载明的项目管理成员或者联系人员为同一人；</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26.2.4不同投标人的投标文件异常一致或者投标报价呈规律性差异；</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26.2.5不同投标人的投标文件相互混装；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26.6评标委员会将对确定为实质性响应的投标进行审核，看其是否有计算上或累加上的算术错误，修正错误的原则如下：</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26.6.1投标文件中开标一览表（报价表）内容与投标文件中相应内容不一致的，以开标一览表（报价表）为准；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26.6.2大写金额和小写金额不一致的，以大写金额为准；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26.6.3单价金额小数点或者百分比有明显错位的，以开标一览表的总价为准，并修改单价；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26.6.4总价金额与按单价汇总金额不一致的，以单价金额计算结果为准。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同时出现两种以上不一致的，按照前款规定的顺序修正。修正后的报价按照本须知26.6条规定经投标人确认后产生约束力，投标人不确认的，其投标无效。</w:t>
      </w:r>
      <w:r/>
    </w:p>
    <w:p>
      <w:pPr>
        <w:pStyle w:val="879"/>
        <w:ind w:firstLine="482"/>
        <w:spacing w:line="480" w:lineRule="exact"/>
        <w:rPr>
          <w:rFonts w:hint="eastAsia"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w:t>
      </w:r>
      <w:r>
        <w:rPr>
          <w:rFonts w:hint="eastAsia" w:cs="微软雅黑" w:asciiTheme="minorEastAsia" w:hAnsiTheme="minorEastAsia"/>
          <w:b/>
          <w:sz w:val="24"/>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b/>
          <w:sz w:val="24"/>
        </w:rPr>
        <w:t xml:space="preserve">2026</w:t>
      </w:r>
      <w:r>
        <w:rPr>
          <w:rFonts w:hint="eastAsia" w:cs="微软雅黑" w:asciiTheme="minorEastAsia" w:hAnsiTheme="minorEastAsia"/>
          <w:b/>
          <w:sz w:val="24"/>
        </w:rPr>
        <w:t xml:space="preserve">〕</w:t>
      </w:r>
      <w:r>
        <w:rPr>
          <w:rFonts w:hint="eastAsia" w:asciiTheme="minorEastAsia" w:hAnsiTheme="minorEastAsia"/>
          <w:b/>
          <w:sz w:val="24"/>
        </w:rPr>
        <w:t xml:space="preserve">2号</w:t>
      </w:r>
      <w:r>
        <w:rPr>
          <w:rFonts w:hint="eastAsia" w:cs="微软雅黑" w:asciiTheme="minorEastAsia" w:hAnsiTheme="minorEastAsia"/>
          <w:b/>
          <w:sz w:val="24"/>
        </w:rPr>
        <w:t xml:space="preserve">），应当要求其在不见面开标大厅内合理的时间内提供说明，必要时提交相关证明材料：投标人不能证明其报价合理性的，评标委员会应当将其作为无效投标处理。：</w:t>
      </w:r>
      <w:r/>
    </w:p>
    <w:p>
      <w:pPr>
        <w:pStyle w:val="879"/>
        <w:ind w:firstLine="482"/>
        <w:spacing w:line="480" w:lineRule="exact"/>
        <w:rPr>
          <w:rFonts w:hint="eastAsia" w:asciiTheme="minorEastAsia" w:hAnsiTheme="minorEastAsia"/>
          <w:b/>
          <w:sz w:val="24"/>
        </w:rPr>
      </w:pPr>
      <w:r>
        <w:rPr>
          <w:rFonts w:hint="eastAsia" w:cs="微软雅黑" w:asciiTheme="minorEastAsia" w:hAnsiTheme="minorEastAsia"/>
          <w:b/>
          <w:sz w:val="24"/>
        </w:rPr>
        <w:t xml:space="preserve">异常低价投标（响应）审查的情形和具体要求如下：</w:t>
      </w:r>
      <w:r/>
    </w:p>
    <w:p>
      <w:pPr>
        <w:pStyle w:val="879"/>
        <w:ind w:firstLine="482"/>
        <w:spacing w:line="480" w:lineRule="exact"/>
        <w:rPr>
          <w:rFonts w:hint="eastAsia" w:cs="微软雅黑"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7.1</w:t>
      </w:r>
      <w:r>
        <w:rPr>
          <w:rFonts w:asciiTheme="minorEastAsia" w:hAnsiTheme="minorEastAsia"/>
          <w:b/>
          <w:sz w:val="24"/>
        </w:rPr>
        <w:t xml:space="preserve"> </w:t>
      </w:r>
      <w:r>
        <w:rPr>
          <w:rFonts w:hint="eastAsia" w:cs="微软雅黑" w:asciiTheme="minorEastAsia" w:hAnsiTheme="minorEastAsia"/>
          <w:b/>
          <w:sz w:val="24"/>
        </w:rPr>
        <w:t xml:space="preserve">投标（响应）报价低于全部通过符合性审查供应商投标（响应）报价平均值</w:t>
      </w:r>
      <w:r>
        <w:rPr>
          <w:rFonts w:asciiTheme="minorEastAsia" w:hAnsiTheme="minorEastAsia"/>
          <w:b/>
          <w:sz w:val="24"/>
        </w:rPr>
        <w:t xml:space="preserve">50%</w:t>
      </w:r>
      <w:r>
        <w:rPr>
          <w:rFonts w:hint="eastAsia" w:cs="微软雅黑" w:asciiTheme="minorEastAsia" w:hAnsiTheme="minorEastAsia"/>
          <w:b/>
          <w:sz w:val="24"/>
        </w:rPr>
        <w:t xml:space="preserve">的，即投标（响应）报价</w:t>
      </w:r>
      <w:r>
        <w:rPr>
          <w:rFonts w:asciiTheme="minorEastAsia" w:hAnsiTheme="minorEastAsia"/>
          <w:b/>
          <w:sz w:val="24"/>
        </w:rPr>
        <w:t xml:space="preserve">&lt;</w:t>
      </w:r>
      <w:r>
        <w:rPr>
          <w:rFonts w:hint="eastAsia" w:cs="微软雅黑" w:asciiTheme="minorEastAsia" w:hAnsiTheme="minorEastAsia"/>
          <w:b/>
          <w:sz w:val="24"/>
        </w:rPr>
        <w:t xml:space="preserve">全部通过符合性审查供应商投标（响应）报价平均值</w:t>
      </w:r>
      <w:r>
        <w:rPr>
          <w:rFonts w:asciiTheme="minorEastAsia" w:hAnsiTheme="minorEastAsia"/>
          <w:b/>
          <w:sz w:val="24"/>
        </w:rPr>
        <w:t xml:space="preserve">×50%</w:t>
      </w:r>
      <w:r>
        <w:rPr>
          <w:rFonts w:hint="eastAsia" w:cs="微软雅黑" w:asciiTheme="minorEastAsia" w:hAnsiTheme="minorEastAsia"/>
          <w:b/>
          <w:sz w:val="24"/>
        </w:rPr>
        <w:t xml:space="preserve">；</w:t>
      </w:r>
      <w:r/>
    </w:p>
    <w:p>
      <w:pPr>
        <w:pStyle w:val="879"/>
        <w:ind w:firstLine="482"/>
        <w:spacing w:line="480" w:lineRule="exact"/>
        <w:rPr>
          <w:rFonts w:hint="eastAsia" w:cs="微软雅黑"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w:t>
      </w:r>
      <w:r>
        <w:rPr>
          <w:rFonts w:asciiTheme="minorEastAsia" w:hAnsiTheme="minorEastAsia"/>
          <w:b/>
          <w:sz w:val="24"/>
        </w:rPr>
        <w:t xml:space="preserve">.2 </w:t>
      </w:r>
      <w:r>
        <w:rPr>
          <w:rFonts w:hint="eastAsia" w:cs="微软雅黑" w:asciiTheme="minorEastAsia" w:hAnsiTheme="minorEastAsia"/>
          <w:b/>
          <w:sz w:val="24"/>
        </w:rPr>
        <w:t xml:space="preserve">投标（响应）报价低于通过符合性审查的次低报价供应商投标（响应）报价</w:t>
      </w:r>
      <w:r>
        <w:rPr>
          <w:rFonts w:asciiTheme="minorEastAsia" w:hAnsiTheme="minorEastAsia"/>
          <w:b/>
          <w:sz w:val="24"/>
        </w:rPr>
        <w:t xml:space="preserve">50%</w:t>
      </w:r>
      <w:r>
        <w:rPr>
          <w:rFonts w:hint="eastAsia" w:cs="微软雅黑" w:asciiTheme="minorEastAsia" w:hAnsiTheme="minorEastAsia"/>
          <w:b/>
          <w:sz w:val="24"/>
        </w:rPr>
        <w:t xml:space="preserve">的，即投标（响应）报价</w:t>
      </w:r>
      <w:r>
        <w:rPr>
          <w:rFonts w:asciiTheme="minorEastAsia" w:hAnsiTheme="minorEastAsia"/>
          <w:b/>
          <w:sz w:val="24"/>
        </w:rPr>
        <w:t xml:space="preserve">&lt;</w:t>
      </w:r>
      <w:r>
        <w:rPr>
          <w:rFonts w:hint="eastAsia" w:cs="微软雅黑" w:asciiTheme="minorEastAsia" w:hAnsiTheme="minorEastAsia"/>
          <w:b/>
          <w:sz w:val="24"/>
        </w:rPr>
        <w:t xml:space="preserve">通过符合性审查的次低报价供应商投标（响应）报价</w:t>
      </w:r>
      <w:r>
        <w:rPr>
          <w:rFonts w:asciiTheme="minorEastAsia" w:hAnsiTheme="minorEastAsia"/>
          <w:b/>
          <w:sz w:val="24"/>
        </w:rPr>
        <w:t xml:space="preserve">×50%</w:t>
      </w:r>
      <w:r>
        <w:rPr>
          <w:rFonts w:hint="eastAsia" w:cs="微软雅黑" w:asciiTheme="minorEastAsia" w:hAnsiTheme="minorEastAsia"/>
          <w:b/>
          <w:sz w:val="24"/>
        </w:rPr>
        <w:t xml:space="preserve">；</w:t>
      </w:r>
      <w:r/>
    </w:p>
    <w:p>
      <w:pPr>
        <w:pStyle w:val="879"/>
        <w:ind w:firstLine="482"/>
        <w:spacing w:line="480" w:lineRule="exact"/>
        <w:rPr>
          <w:rFonts w:hint="eastAsia" w:cs="微软雅黑"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w:t>
      </w:r>
      <w:r>
        <w:rPr>
          <w:rFonts w:asciiTheme="minorEastAsia" w:hAnsiTheme="minorEastAsia"/>
          <w:b/>
          <w:sz w:val="24"/>
        </w:rPr>
        <w:t xml:space="preserve">.3 </w:t>
      </w:r>
      <w:r>
        <w:rPr>
          <w:rFonts w:hint="eastAsia" w:cs="微软雅黑" w:asciiTheme="minorEastAsia" w:hAnsiTheme="minorEastAsia"/>
          <w:b/>
          <w:sz w:val="24"/>
        </w:rPr>
        <w:t xml:space="preserve">投标（响应）报价低于采购项目最高限价</w:t>
      </w:r>
      <w:r>
        <w:rPr>
          <w:rFonts w:asciiTheme="minorEastAsia" w:hAnsiTheme="minorEastAsia"/>
          <w:b/>
          <w:sz w:val="24"/>
        </w:rPr>
        <w:t xml:space="preserve">45%</w:t>
      </w:r>
      <w:r>
        <w:rPr>
          <w:rFonts w:hint="eastAsia" w:cs="微软雅黑" w:asciiTheme="minorEastAsia" w:hAnsiTheme="minorEastAsia"/>
          <w:b/>
          <w:sz w:val="24"/>
        </w:rPr>
        <w:t xml:space="preserve">的，即投标（响应）报价</w:t>
      </w:r>
      <w:r>
        <w:rPr>
          <w:rFonts w:asciiTheme="minorEastAsia" w:hAnsiTheme="minorEastAsia"/>
          <w:b/>
          <w:sz w:val="24"/>
        </w:rPr>
        <w:t xml:space="preserve">&lt;</w:t>
      </w:r>
      <w:r>
        <w:rPr>
          <w:rFonts w:hint="eastAsia" w:cs="微软雅黑" w:asciiTheme="minorEastAsia" w:hAnsiTheme="minorEastAsia"/>
          <w:b/>
          <w:sz w:val="24"/>
        </w:rPr>
        <w:t xml:space="preserve">采购项目最高限价</w:t>
      </w:r>
      <w:r>
        <w:rPr>
          <w:rFonts w:asciiTheme="minorEastAsia" w:hAnsiTheme="minorEastAsia"/>
          <w:b/>
          <w:sz w:val="24"/>
        </w:rPr>
        <w:t xml:space="preserve">×45%</w:t>
      </w:r>
      <w:r>
        <w:rPr>
          <w:rFonts w:hint="eastAsia" w:cs="微软雅黑" w:asciiTheme="minorEastAsia" w:hAnsiTheme="minorEastAsia"/>
          <w:b/>
          <w:sz w:val="24"/>
        </w:rPr>
        <w:t xml:space="preserve">；</w:t>
      </w:r>
      <w:r/>
    </w:p>
    <w:p>
      <w:pPr>
        <w:pStyle w:val="879"/>
        <w:ind w:firstLine="482"/>
        <w:spacing w:line="480" w:lineRule="exact"/>
        <w:rPr>
          <w:rFonts w:hint="eastAsia" w:cs="微软雅黑" w:asciiTheme="minorEastAsia" w:hAnsiTheme="minorEastAsia"/>
          <w:b/>
          <w:sz w:val="24"/>
        </w:rPr>
      </w:pPr>
      <w:r>
        <w:rPr>
          <w:rFonts w:hint="eastAsia" w:asciiTheme="minorEastAsia" w:hAnsiTheme="minorEastAsia"/>
          <w:b/>
          <w:sz w:val="24"/>
        </w:rPr>
        <w:t xml:space="preserve">26</w:t>
      </w:r>
      <w:r>
        <w:rPr>
          <w:rFonts w:asciiTheme="minorEastAsia" w:hAnsiTheme="minorEastAsia"/>
          <w:b/>
          <w:sz w:val="24"/>
        </w:rPr>
        <w:t xml:space="preserve">.</w:t>
      </w:r>
      <w:r>
        <w:rPr>
          <w:rFonts w:hint="eastAsia" w:asciiTheme="minorEastAsia" w:hAnsiTheme="minorEastAsia"/>
          <w:b/>
          <w:sz w:val="24"/>
        </w:rPr>
        <w:t xml:space="preserve">7</w:t>
      </w:r>
      <w:r>
        <w:rPr>
          <w:rFonts w:asciiTheme="minorEastAsia" w:hAnsiTheme="minorEastAsia"/>
          <w:b/>
          <w:sz w:val="24"/>
        </w:rPr>
        <w:t xml:space="preserve">.4 </w:t>
      </w:r>
      <w:r>
        <w:rPr>
          <w:rFonts w:hint="eastAsia" w:cs="微软雅黑" w:asciiTheme="minorEastAsia" w:hAnsiTheme="minorEastAsia"/>
          <w:b/>
          <w:sz w:val="24"/>
        </w:rPr>
        <w:t xml:space="preserve">评审委员会基于专业判断，认为供应商报价过低，有可能影响产品质量或者不能诚信履约的其他情形。</w:t>
      </w:r>
      <w:r/>
    </w:p>
    <w:p>
      <w:pPr>
        <w:pStyle w:val="879"/>
        <w:ind w:firstLine="482"/>
        <w:jc w:val="left"/>
        <w:spacing w:line="480" w:lineRule="exact"/>
        <w:rPr>
          <w:rFonts w:hint="eastAsia" w:asciiTheme="minorEastAsia" w:hAnsiTheme="minorEastAsia"/>
          <w:b/>
          <w:sz w:val="24"/>
        </w:rPr>
      </w:pPr>
      <w:r>
        <w:rPr>
          <w:rFonts w:hint="eastAsia" w:asciiTheme="minorEastAsia" w:hAnsiTheme="minorEastAsia"/>
          <w:b/>
          <w:sz w:val="24"/>
        </w:rPr>
        <w:t xml:space="preserve">26.8</w:t>
      </w:r>
      <w:r>
        <w:rPr>
          <w:rFonts w:asciiTheme="minorEastAsia" w:hAnsiTheme="minorEastAsia"/>
          <w:b/>
          <w:sz w:val="24"/>
        </w:rPr>
        <w:t xml:space="preserve"> </w:t>
      </w:r>
      <w:r>
        <w:rPr>
          <w:rFonts w:hint="eastAsia" w:ascii="宋体" w:hAnsi="宋体" w:cs="宋体"/>
          <w:b/>
          <w:bCs/>
          <w:sz w:val="24"/>
        </w:rPr>
        <w:t xml:space="preserve">评审委员会启动异常低价投标（响应）审查后，属于前述第</w:t>
      </w:r>
      <w:r>
        <w:rPr>
          <w:rFonts w:ascii="宋体" w:hAnsi="宋体" w:cs="宋体"/>
          <w:b/>
          <w:bCs/>
          <w:sz w:val="24"/>
        </w:rPr>
        <w:t xml:space="preserve">1</w:t>
      </w:r>
      <w:r>
        <w:rPr>
          <w:rFonts w:hint="eastAsia" w:ascii="宋体" w:hAnsi="宋体" w:cs="宋体"/>
          <w:b/>
          <w:bCs/>
          <w:sz w:val="24"/>
        </w:rPr>
        <w:t xml:space="preserve">项至第</w:t>
      </w:r>
      <w:r>
        <w:rPr>
          <w:rFonts w:ascii="宋体" w:hAnsi="宋体" w:cs="宋体"/>
          <w:b/>
          <w:bCs/>
          <w:sz w:val="24"/>
        </w:rPr>
        <w:t xml:space="preserve">4</w:t>
      </w:r>
      <w:r>
        <w:rPr>
          <w:rFonts w:hint="eastAsia" w:ascii="宋体" w:hAnsi="宋体" w:cs="宋体"/>
          <w:b/>
          <w:bCs/>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rPr>
        <w:t xml:space="preserve">30</w:t>
      </w:r>
      <w:r>
        <w:rPr>
          <w:rFonts w:hint="eastAsia" w:ascii="宋体" w:hAnsi="宋体" w:cs="宋体"/>
          <w:b/>
          <w:bCs/>
          <w:sz w:val="24"/>
        </w:rPr>
        <w:t xml:space="preserve">分钟。其中，属于第</w:t>
      </w:r>
      <w:r>
        <w:rPr>
          <w:rFonts w:ascii="宋体" w:hAnsi="宋体" w:cs="宋体"/>
          <w:b/>
          <w:bCs/>
          <w:sz w:val="24"/>
        </w:rPr>
        <w:t xml:space="preserve">3</w:t>
      </w:r>
      <w:r>
        <w:rPr>
          <w:rFonts w:hint="eastAsia" w:ascii="宋体" w:hAnsi="宋体" w:cs="宋体"/>
          <w:b/>
          <w:bCs/>
          <w:sz w:val="24"/>
        </w:rPr>
        <w:t xml:space="preserve">项情形，供应商已随投标（响应）文件一并提交相关书面说明及必要的证明材料的，在评审现场可不再重复提交。</w:t>
      </w:r>
      <w:r>
        <w:rPr>
          <w:rFonts w:asciiTheme="minorEastAsia" w:hAnsiTheme="minorEastAsia"/>
          <w:b/>
          <w:sz w:val="24"/>
        </w:rPr>
        <w:br/>
      </w:r>
      <w:r>
        <w:rPr>
          <w:rFonts w:hint="eastAsia" w:asciiTheme="minorEastAsia" w:hAnsiTheme="minorEastAsia"/>
          <w:b/>
          <w:sz w:val="24"/>
        </w:rPr>
        <w:t xml:space="preserve">    26.</w:t>
      </w:r>
      <w:r>
        <w:rPr>
          <w:rFonts w:asciiTheme="minorEastAsia" w:hAnsiTheme="minorEastAsia"/>
          <w:b/>
          <w:sz w:val="24"/>
        </w:rPr>
        <w:t xml:space="preserve">9 </w:t>
      </w: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9"/>
        <w:ind w:firstLine="480"/>
        <w:spacing w:line="480" w:lineRule="exact"/>
        <w:rPr>
          <w:rFonts w:hint="eastAsia" w:asciiTheme="minorEastAsia" w:hAnsiTheme="minorEastAsia"/>
          <w:sz w:val="24"/>
        </w:rPr>
      </w:pPr>
      <w:r>
        <w:rPr>
          <w:rFonts w:hint="eastAsia" w:asciiTheme="minorEastAsia" w:hAnsiTheme="minorEastAsia"/>
          <w:sz w:val="24"/>
        </w:rPr>
        <w:t xml:space="preserve">26.1</w:t>
      </w:r>
      <w:r>
        <w:rPr>
          <w:rFonts w:asciiTheme="minorEastAsia" w:hAnsiTheme="minorEastAsia"/>
          <w:sz w:val="24"/>
        </w:rPr>
        <w:t xml:space="preserve">0 </w:t>
      </w:r>
      <w:r>
        <w:rPr>
          <w:rFonts w:hint="eastAsia" w:cs="微软雅黑" w:asciiTheme="minorEastAsia" w:hAnsiTheme="minorEastAsia"/>
          <w:sz w:val="24"/>
        </w:rPr>
        <w:t xml:space="preserve">评标委员会对投标文件的判定，只依据投标内容本身，不依靠开标后的任何外来证明。</w:t>
      </w:r>
      <w:r/>
    </w:p>
    <w:p>
      <w:pPr>
        <w:pStyle w:val="879"/>
        <w:ind w:firstLine="480"/>
        <w:spacing w:line="480" w:lineRule="exact"/>
        <w:rPr>
          <w:rFonts w:hint="eastAsia" w:ascii="宋体" w:hAnsi="宋体" w:cs="宋体"/>
          <w:b/>
          <w:sz w:val="24"/>
        </w:rPr>
      </w:pPr>
      <w:r>
        <w:rPr>
          <w:rFonts w:hint="eastAsia" w:asciiTheme="minorEastAsia" w:hAnsiTheme="minorEastAsia"/>
          <w:sz w:val="24"/>
        </w:rPr>
        <w:t xml:space="preserve">26.1</w:t>
      </w:r>
      <w:r>
        <w:rPr>
          <w:rFonts w:asciiTheme="minorEastAsia" w:hAnsiTheme="minorEastAsia"/>
          <w:sz w:val="24"/>
        </w:rPr>
        <w:t xml:space="preserve">1 </w:t>
      </w:r>
      <w:r>
        <w:rPr>
          <w:rFonts w:hint="eastAsia" w:cs="微软雅黑" w:asciiTheme="minorEastAsia" w:hAnsiTheme="minorEastAsia"/>
          <w:sz w:val="24"/>
        </w:rPr>
        <w:t xml:space="preserve">评标委员会将拒绝被确定为非实质性响应的投标，投标人不能通过修正或撤销不符之处而使其投标成为实质性响应的投标。</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27.投标的澄清</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28.无效投标和废标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28.1无效投标的具体情形有：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28.1.1投标文件未按招标文件要求签署、盖章或电子签章的；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28.1.2不具备招标文件中规定的资格要求的；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28.1.3报价超过招标文件中规定的预算金额或者最高限价的；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28.1.4</w:t>
      </w:r>
      <w:r>
        <w:rPr>
          <w:rFonts w:hint="eastAsia" w:ascii="宋体" w:hAnsi="宋体" w:cs="宋体"/>
          <w:b/>
          <w:sz w:val="24"/>
        </w:rPr>
        <w:t xml:space="preserve">不同投标人的投标文件使用同一台电脑编制的；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28.1.5投标文件含有采购人不能接受的附加条件的；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28.1.6法律、法规和招标文件规定的其他无效情形。</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 在招标采购中，出现下列情形之一的，应予废标：</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28.2.1符合专业条件的供应商或者对招标文件作实质响应的供应商不足三家的；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28.2.2出现影响采购公正的违法、违规行为的；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28.2.3投标人的报价均超过了采购预算，采购人不能支付的；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28.2.4因重大变故，采购任务取消的。</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 废标后，采购人应当将废标理由通知所有投标人。</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29. 投标文件的评价和比较</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29.1评标委员会按招标文件规定的评标方法和标准，仅对资格性检查和符合性检查合格的投标文件进行商务和技术评估，综合比较与评价。</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29.2.1服务的质量保证（保障）内容；</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29.2.2服务配备的人员；</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29.2.3投标者的资信情况和履约能力；</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29.2.4投标者提供的其他优惠条件；</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29.2.5参与本项目政府采购工作的态度及信誉；</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29.2.6最低的投标报价或最高的折扣比例是中标的重要条件，但不是唯一条件。</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七、授予合同</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30. 中标供应商的确认          </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30.2经评标委员会评审并确定中标供应商后，采购人或授权采购代理机构将在规定的时间内将中标结果在相关媒体上予以公告。</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30.4质疑函递交地点及联系方式详见公告内容</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31. 合同授予标准</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32. 中标通知书</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32.3</w:t>
      </w:r>
      <w:r>
        <w:rPr>
          <w:rFonts w:hint="eastAsia" w:ascii="宋体" w:hAnsi="宋体" w:cs="宋体"/>
          <w:sz w:val="24"/>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32.4中标通知书将成为合同的组成部分。</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32.5采购代理机构对未中标供应商不承担解释未中标原因的义务。</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33.履约保证金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33.1中标供应商按合同约定要求提交履约保证金。</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33.2履约保证金用以约束供应商在合同履行中的行为，弥补合同执行中由于自身行为可能给采购人带来的各种损失。</w:t>
      </w:r>
      <w:r/>
    </w:p>
    <w:p>
      <w:pPr>
        <w:ind w:firstLine="360"/>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33.3履约保证金（无息）将在中标供应商合同履行完毕且质保期满后，采购人在五个工作日内退返中标供应商。</w:t>
      </w:r>
      <w:r/>
    </w:p>
    <w:p>
      <w:pPr>
        <w:ind w:firstLine="480"/>
        <w:spacing w:line="439"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34. 合同的签订</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34.2中标供应商应按中标通知书中中规定，由法定代表人或授权代理人与采购人代表签订合同，否则按放弃中标权处理。</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34.3签订合同及合同条款应以招标文件和中标供应商的投标文件及其澄清文件为依据。</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八、政府采购相关政策</w:t>
      </w:r>
      <w:r/>
    </w:p>
    <w:p>
      <w:pP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35.节能产品和环境标志产品</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spacing w:line="43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sz w:val="24"/>
        </w:rPr>
        <w:t xml:space="preserve">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r/>
    </w:p>
    <w:p>
      <w:pPr>
        <w:jc w:val="left"/>
        <w:spacing w:line="460" w:lineRule="exact"/>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36.中小企业相关政策：</w:t>
      </w:r>
      <w:r/>
    </w:p>
    <w:p>
      <w:pPr>
        <w:ind w:firstLine="480"/>
        <w:spacing w:line="460" w:lineRule="exact"/>
        <w:widowControl/>
        <w:rPr>
          <w:rFonts w:hint="eastAsia" w:cs="宋体" w:asciiTheme="minorEastAsia" w:hAnsiTheme="minorEastAsia"/>
          <w:bCs/>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color w:val="000000"/>
          <w:sz w:val="24"/>
        </w:rPr>
        <w:t xml:space="preserve">36.1</w:t>
      </w:r>
      <w:r>
        <w:rPr>
          <w:rFonts w:hint="eastAsia" w:cs="仿宋" w:asciiTheme="minorEastAsia" w:hAnsiTheme="minorEastAsia"/>
          <w:color w:val="000000"/>
          <w:sz w:val="24"/>
        </w:rPr>
        <w:t xml:space="preserve">根据《政府采购促进中小企业发展管理办法》（财库﹝</w:t>
      </w:r>
      <w:r>
        <w:rPr>
          <w:rFonts w:cs="仿宋" w:asciiTheme="minorEastAsia" w:hAnsiTheme="minorEastAsia"/>
          <w:color w:val="000000"/>
          <w:sz w:val="24"/>
        </w:rPr>
        <w:t xml:space="preserve">2020﹞46号）</w:t>
      </w:r>
      <w:r>
        <w:rPr>
          <w:rFonts w:hint="eastAsia" w:cs="仿宋" w:asciiTheme="minorEastAsia" w:hAnsiTheme="minorEastAsia"/>
          <w:color w:val="000000"/>
          <w:sz w:val="24"/>
        </w:rPr>
        <w:t xml:space="preserve">规定，</w:t>
      </w:r>
      <w:r>
        <w:rPr>
          <w:rFonts w:cs="仿宋" w:asciiTheme="minorEastAsia" w:hAnsiTheme="minorEastAsia"/>
          <w:color w:val="000000"/>
          <w:sz w:val="24"/>
        </w:rPr>
        <w:t xml:space="preserve">第二条 本办法所称中小企业，是指在中华人民共和国境内依法设立，依据国务院批准的中小企业划分标准确定的中型企业、小型企业和微型企业，</w:t>
      </w:r>
      <w:r>
        <w:rPr>
          <w:rFonts w:cs="仿宋" w:asciiTheme="minorEastAsia" w:hAnsiTheme="minorEastAsia"/>
          <w:b/>
          <w:color w:val="000000"/>
          <w:sz w:val="24"/>
        </w:rPr>
        <w:t xml:space="preserve">但与大企业的负责人为同一人，或者与大企业存在直接控股、管理关系的除外</w:t>
      </w:r>
      <w:r>
        <w:rPr>
          <w:rFonts w:cs="仿宋" w:asciiTheme="minorEastAsia" w:hAnsiTheme="minorEastAsia"/>
          <w:color w:val="000000"/>
          <w:sz w:val="24"/>
        </w:rPr>
        <w:t xml:space="preserve">。符合中小企业划分标准的个体工商户，</w:t>
      </w:r>
      <w:r>
        <w:rPr>
          <w:rFonts w:cs="仿宋" w:asciiTheme="minorEastAsia" w:hAnsiTheme="minorEastAsia"/>
          <w:sz w:val="24"/>
        </w:rPr>
        <w:t xml:space="preserve">在政府采购活动中视同中小企业。</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1</w:t>
      </w:r>
      <w:r>
        <w:rPr>
          <w:rFonts w:cs="仿宋" w:asciiTheme="minorEastAsia" w:hAnsiTheme="minorEastAsia"/>
          <w:sz w:val="24"/>
        </w:rPr>
        <w:t xml:space="preserve">）在货物采购项目中，货物由小、微企业制造，即货物由小、微企业生产且使用该小、微企业商号或者注册商标。对其报价给予20%的扣除，扣除后的价格参与价格评审。</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2</w:t>
      </w:r>
      <w:r>
        <w:rPr>
          <w:rFonts w:cs="仿宋" w:asciiTheme="minorEastAsia" w:hAnsiTheme="minorEastAsia"/>
          <w:sz w:val="24"/>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3</w:t>
      </w:r>
      <w:r>
        <w:rPr>
          <w:rFonts w:cs="仿宋" w:asciiTheme="minorEastAsia" w:hAnsiTheme="minorEastAsia"/>
          <w:sz w:val="24"/>
        </w:rPr>
        <w:t xml:space="preserve">）在货物采购项目中，供应商提供的货物既有小、微企业制造货物，也有中、大型企业制造货物的，不享受本办法规定的小、微企业价格扶持政策。</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4</w:t>
      </w:r>
      <w:r>
        <w:rPr>
          <w:rFonts w:cs="仿宋" w:asciiTheme="minorEastAsia" w:hAnsiTheme="minorEastAsia"/>
          <w:sz w:val="24"/>
        </w:rPr>
        <w:t xml:space="preserve">）以联合体形式参加政府采购活动，联合体各方均为中小企业的，联合体视同中小企业。其中，联合体各方均为小微企业的，联合体视同小微企业。</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5</w:t>
      </w:r>
      <w:r>
        <w:rPr>
          <w:rFonts w:cs="仿宋" w:asciiTheme="minorEastAsia" w:hAnsiTheme="minorEastAsia"/>
          <w:sz w:val="24"/>
        </w:rPr>
        <w:t xml:space="preserve">）符合中小企业划分标准的个体工商户，在政府采购活动中视同中小企业。</w:t>
      </w:r>
      <w:r/>
    </w:p>
    <w:p>
      <w:pPr>
        <w:ind w:firstLine="482"/>
        <w:spacing w:line="460" w:lineRule="exact"/>
        <w:widowControl/>
        <w:rPr>
          <w:rFonts w:hint="eastAsia" w:cs="仿宋" w:asciiTheme="minorEastAsia" w:hAnsiTheme="minorEastAsia"/>
          <w:sz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6</w:t>
      </w:r>
      <w:r>
        <w:rPr>
          <w:rFonts w:cs="仿宋" w:asciiTheme="minorEastAsia" w:hAnsiTheme="minorEastAsia"/>
          <w:sz w:val="24"/>
        </w:rPr>
        <w:t xml:space="preserve">）残疾人福利性单位及监狱企业视同小型企业，享受评审中价格扣除等促进中小企业发展的政府采购政策。</w:t>
      </w:r>
      <w:r/>
    </w:p>
    <w:p>
      <w:pPr>
        <w:ind w:firstLine="482"/>
        <w:spacing w:line="460" w:lineRule="exact"/>
        <w:widowControl/>
        <w:pBdr>
          <w:top w:val="none" w:color="000000" w:sz="0" w:space="0"/>
          <w:left w:val="none" w:color="000000" w:sz="0" w:space="0"/>
          <w:bottom w:val="none" w:color="000000" w:sz="0" w:space="0"/>
          <w:right w:val="none" w:color="000000" w:sz="0" w:space="0"/>
        </w:pBdr>
      </w:pPr>
      <w:r>
        <w:rPr>
          <w:rFonts w:cs="仿宋" w:asciiTheme="minorEastAsia" w:hAnsiTheme="minorEastAsia"/>
          <w:sz w:val="24"/>
        </w:rPr>
        <w:t xml:space="preserve">（</w:t>
      </w:r>
      <w:r>
        <w:rPr>
          <w:rFonts w:hint="eastAsia" w:cs="仿宋" w:asciiTheme="minorEastAsia" w:hAnsiTheme="minorEastAsia"/>
          <w:sz w:val="24"/>
        </w:rPr>
        <w:t xml:space="preserve">7</w:t>
      </w:r>
      <w:r>
        <w:rPr>
          <w:rFonts w:cs="仿宋" w:asciiTheme="minorEastAsia" w:hAnsiTheme="minorEastAsia"/>
          <w:sz w:val="24"/>
        </w:rPr>
        <w:t xml:space="preserve">）供应商按照本办法规定提供声明函内容不实的，属于提供虚假材料谋取中标、 </w:t>
      </w:r>
      <w:r>
        <w:rPr>
          <w:rFonts w:hint="eastAsia" w:cs="仿宋" w:asciiTheme="minorEastAsia" w:hAnsiTheme="minorEastAsia"/>
          <w:sz w:val="24"/>
        </w:rPr>
        <w:t xml:space="preserve">成交，</w:t>
      </w:r>
      <w:r>
        <w:rPr>
          <w:rFonts w:cs="仿宋" w:asciiTheme="minorEastAsia" w:hAnsiTheme="minorEastAsia"/>
          <w:sz w:val="24"/>
        </w:rPr>
        <w:t xml:space="preserve"> </w:t>
      </w:r>
      <w:r>
        <w:rPr>
          <w:rFonts w:hint="eastAsia" w:cs="仿宋" w:asciiTheme="minorEastAsia" w:hAnsiTheme="minorEastAsia"/>
          <w:sz w:val="24"/>
        </w:rPr>
        <w:t xml:space="preserve">依照《中华人民共和国政府采购法》</w:t>
      </w:r>
      <w:r>
        <w:rPr>
          <w:rFonts w:cs="仿宋" w:asciiTheme="minorEastAsia" w:hAnsiTheme="minorEastAsia"/>
          <w:sz w:val="24"/>
        </w:rPr>
        <w:t xml:space="preserve"> </w:t>
      </w:r>
      <w:r>
        <w:rPr>
          <w:rFonts w:hint="eastAsia" w:cs="仿宋" w:asciiTheme="minorEastAsia" w:hAnsiTheme="minorEastAsia"/>
          <w:sz w:val="24"/>
        </w:rPr>
        <w:t xml:space="preserve">等国家有关规定追究相应责任。</w:t>
      </w:r>
      <w:r/>
    </w:p>
    <w:p>
      <w:pPr>
        <w:jc w:val="left"/>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37.绿色数据中心政策</w:t>
      </w:r>
      <w:r/>
    </w:p>
    <w:p>
      <w:pPr>
        <w:ind w:firstLine="480"/>
        <w:jc w:val="left"/>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37.1 依据《绿色数据中心政府采购需求标准（试行）》（财办库〔2023〕7 号）文件精神，采购</w:t>
      </w:r>
      <w:r>
        <w:rPr>
          <w:rFonts w:hint="eastAsia" w:ascii="宋体" w:hAnsi="宋体" w:cs="宋体"/>
          <w:sz w:val="24"/>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38.商品包装、快递包装政策</w:t>
      </w:r>
      <w:r/>
    </w:p>
    <w:p>
      <w:pPr>
        <w:ind w:firstLine="480"/>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50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w:t>
      </w:r>
      <w:r>
        <w:rPr>
          <w:rFonts w:ascii="宋体" w:hAnsi="宋体" w:cs="宋体"/>
          <w:b/>
          <w:sz w:val="24"/>
        </w:rPr>
        <w:t xml:space="preserve">9</w:t>
      </w:r>
      <w:r>
        <w:rPr>
          <w:rFonts w:hint="eastAsia" w:ascii="宋体" w:hAnsi="宋体" w:cs="宋体"/>
          <w:b/>
          <w:sz w:val="24"/>
        </w:rPr>
        <w:t xml:space="preserve">.采购本国产品的支持政策</w:t>
      </w:r>
      <w:r/>
    </w:p>
    <w:p>
      <w:pPr>
        <w:ind w:firstLine="480"/>
        <w:jc w:val="left"/>
        <w:spacing w:line="500" w:lineRule="exact"/>
        <w:rPr>
          <w:rFonts w:hint="eastAsia" w:ascii="宋体" w:hAnsi="宋体" w:cs="宋体"/>
          <w:sz w:val="24"/>
        </w:rPr>
      </w:pPr>
      <w:r>
        <w:rPr>
          <w:rFonts w:ascii="宋体" w:hAnsi="宋体" w:cs="宋体"/>
          <w:sz w:val="24"/>
        </w:rPr>
        <w:t xml:space="preserve">39</w:t>
      </w:r>
      <w:r>
        <w:rPr>
          <w:rFonts w:hint="eastAsia" w:ascii="宋体" w:hAnsi="宋体" w:cs="宋体"/>
          <w:sz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ascii="宋体" w:hAnsi="宋体" w:cs="宋体"/>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hint="eastAsia" w:ascii="宋体" w:hAnsi="宋体" w:cs="宋体"/>
          <w:b/>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 本项目政府采购活动中既有本国产品又有非本国产品参与竞争的，依法对本国产品给予价格评审优惠，</w:t>
      </w:r>
      <w:r>
        <w:rPr>
          <w:rFonts w:hint="eastAsia" w:ascii="宋体" w:hAnsi="宋体" w:cs="宋体"/>
          <w:b/>
          <w:sz w:val="24"/>
        </w:rPr>
        <w:t xml:space="preserve">对本国产品的报价给予20%的价格扣除，用扣除后的价格参与评审。</w:t>
      </w:r>
      <w:r/>
    </w:p>
    <w:p>
      <w:pPr>
        <w:ind w:firstLine="480"/>
        <w:jc w:val="left"/>
        <w:spacing w:line="500" w:lineRule="exact"/>
        <w:rPr>
          <w:rFonts w:hint="eastAsia" w:ascii="宋体" w:hAnsi="宋体" w:cs="宋体"/>
          <w:b/>
          <w:bCs/>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sz w:val="24"/>
        </w:rPr>
        <w:t xml:space="preserve">（供应商需在“第四部分 投标文件格式”的“投标报价明细表”中填写比例数值），</w:t>
      </w:r>
      <w:r>
        <w:rPr>
          <w:rFonts w:hint="eastAsia" w:ascii="宋体" w:hAnsi="宋体" w:cs="宋体"/>
          <w:sz w:val="24"/>
        </w:rPr>
        <w:t xml:space="preserve">依法对该供应商提供的全部产品给予价格评审优惠，即对该供应商提供的全部产品的总报价给予20%的价格扣除，用扣除后的价格参与评审。</w:t>
      </w:r>
      <w:r>
        <w:rPr>
          <w:rFonts w:hint="eastAsia" w:ascii="宋体" w:hAnsi="宋体" w:cs="宋体"/>
          <w:b/>
          <w:bCs/>
          <w:sz w:val="24"/>
        </w:rPr>
        <w:t xml:space="preserve">供应商未填写比例数值，或比例数值不足80%的，将不享受本国产品价格评审优惠。</w:t>
      </w:r>
      <w:r/>
    </w:p>
    <w:p>
      <w:pPr>
        <w:ind w:firstLine="480"/>
        <w:jc w:val="left"/>
        <w:spacing w:line="500" w:lineRule="exact"/>
        <w:rPr>
          <w:rFonts w:hint="eastAsia" w:ascii="宋体" w:hAnsi="宋体" w:cs="宋体"/>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 供应商需按照招标文件的要求提供《关于符合本国产品标准的声明函》（以下简称《声明函》），</w:t>
      </w:r>
      <w:r>
        <w:rPr>
          <w:rFonts w:hint="eastAsia" w:ascii="宋体" w:hAnsi="宋体" w:cs="宋体"/>
          <w:b/>
          <w:sz w:val="24"/>
        </w:rPr>
        <w:t xml:space="preserve">如不提供将不享受本国产品价格评审优惠。</w:t>
      </w:r>
      <w:r/>
    </w:p>
    <w:p>
      <w:pPr>
        <w:ind w:firstLine="480"/>
        <w:jc w:val="left"/>
        <w:spacing w:line="500" w:lineRule="exact"/>
        <w:rPr>
          <w:rFonts w:hint="eastAsia" w:ascii="宋体" w:hAnsi="宋体" w:cs="宋体"/>
          <w:b/>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6</w:t>
      </w:r>
      <w:r>
        <w:rPr>
          <w:rFonts w:hint="eastAsia" w:ascii="宋体" w:hAnsi="宋体" w:cs="宋体"/>
          <w:b/>
          <w:sz w:val="24"/>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cs="宋体"/>
          <w:b/>
          <w:sz w:val="24"/>
        </w:rPr>
      </w:pPr>
      <w:r>
        <w:rPr>
          <w:rFonts w:ascii="宋体" w:hAnsi="宋体" w:cs="宋体"/>
          <w:sz w:val="24"/>
        </w:rPr>
        <w:t xml:space="preserve">39</w:t>
      </w: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九、其他事项</w:t>
      </w:r>
      <w:r/>
    </w:p>
    <w:p>
      <w:pPr>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40</w:t>
      </w:r>
      <w:r>
        <w:rPr>
          <w:rFonts w:hint="eastAsia" w:ascii="宋体" w:hAnsi="宋体" w:cs="宋体"/>
          <w:b/>
          <w:sz w:val="24"/>
        </w:rPr>
        <w:t xml:space="preserve">. 监督和公证</w:t>
      </w:r>
      <w:r/>
    </w:p>
    <w:p>
      <w:pPr>
        <w:ind w:firstLine="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40</w:t>
      </w:r>
      <w:r>
        <w:rPr>
          <w:rFonts w:hint="eastAsia" w:ascii="宋体" w:hAnsi="宋体" w:cs="宋体"/>
          <w:sz w:val="24"/>
        </w:rPr>
        <w:t xml:space="preserve">.1政府有关监督部门将对招投标全过程进行监督。</w:t>
      </w:r>
      <w:r/>
    </w:p>
    <w:p>
      <w:pPr>
        <w:ind w:firstLine="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40</w:t>
      </w:r>
      <w:r>
        <w:rPr>
          <w:rFonts w:hint="eastAsia" w:ascii="宋体" w:hAnsi="宋体" w:cs="宋体"/>
          <w:sz w:val="24"/>
        </w:rPr>
        <w:t xml:space="preserve">.2采购代理机构的招标过程将依采购人申请，通过公证机关进行公证。</w:t>
      </w:r>
      <w:r/>
    </w:p>
    <w:p>
      <w:pPr>
        <w:spacing w:line="44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w:t>
      </w:r>
      <w:r>
        <w:rPr>
          <w:rFonts w:ascii="宋体" w:hAnsi="宋体" w:cs="宋体"/>
          <w:b/>
          <w:bCs/>
          <w:sz w:val="24"/>
        </w:rPr>
        <w:t xml:space="preserve">1</w:t>
      </w:r>
      <w:r>
        <w:rPr>
          <w:rFonts w:hint="eastAsia" w:ascii="宋体" w:hAnsi="宋体" w:cs="宋体"/>
          <w:b/>
          <w:bCs/>
          <w:sz w:val="24"/>
        </w:rPr>
        <w:t xml:space="preserve">.未尽事宜</w:t>
      </w:r>
      <w:r/>
    </w:p>
    <w:p>
      <w:pPr>
        <w:spacing w:line="500" w:lineRule="exact"/>
        <w:rPr>
          <w:rFonts w:hint="eastAsia" w:ascii="宋体" w:hAnsi="宋体" w:cs="宋体"/>
          <w:b/>
          <w:sz w:val="24"/>
        </w:rPr>
      </w:pPr>
      <w:r>
        <w:rPr>
          <w:rFonts w:hint="eastAsia" w:ascii="宋体" w:hAnsi="宋体" w:cs="宋体"/>
          <w:sz w:val="24"/>
        </w:rPr>
        <w:t xml:space="preserve">按《中华人民共和国政府采购法》及其他有关法律法规的规定执行。</w:t>
      </w:r>
      <w:r/>
    </w:p>
    <w:p>
      <w:pPr>
        <w:pStyle w:val="880"/>
        <w:jc w:val="center"/>
        <w:spacing w:line="460" w:lineRule="exact"/>
        <w:rPr>
          <w:rFonts w:hint="eastAsia" w:hAnsi="宋体" w:eastAsia="宋体" w:cs="宋体"/>
          <w:b/>
          <w:sz w:val="44"/>
          <w:szCs w:val="44"/>
        </w:rPr>
      </w:pPr>
      <w:r>
        <w:rPr>
          <w:rFonts w:hint="eastAsia" w:hAnsi="宋体" w:eastAsia="宋体" w:cs="宋体"/>
          <w:b/>
          <w:sz w:val="44"/>
          <w:szCs w:val="44"/>
        </w:rPr>
        <w:t xml:space="preserve">         </w:t>
      </w:r>
      <w:r/>
    </w:p>
    <w:p>
      <w:pPr>
        <w:pStyle w:val="880"/>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80"/>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80"/>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80"/>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80"/>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80"/>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80"/>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80"/>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80"/>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880"/>
        <w:jc w:val="center"/>
        <w:spacing w:line="460" w:lineRule="exact"/>
      </w:pPr>
      <w:r>
        <w:rPr>
          <w:rFonts w:hint="eastAsia" w:hAnsi="宋体" w:eastAsia="宋体" w:cs="宋体"/>
          <w:b/>
          <w:sz w:val="44"/>
          <w:szCs w:val="44"/>
          <w:highlight w:val="none"/>
        </w:rPr>
      </w:r>
      <w:r>
        <w:rPr>
          <w:rFonts w:hint="eastAsia" w:hAnsi="宋体" w:eastAsia="宋体" w:cs="宋体"/>
          <w:b/>
          <w:sz w:val="44"/>
          <w:szCs w:val="44"/>
          <w:highlight w:val="none"/>
        </w:rPr>
      </w:r>
      <w:r/>
    </w:p>
    <w:p>
      <w:pPr>
        <w:pStyle w:val="880"/>
        <w:jc w:val="center"/>
        <w:spacing w:line="460" w:lineRule="exact"/>
        <w:rPr>
          <w:rFonts w:hint="eastAsia" w:hAnsi="宋体" w:eastAsia="宋体" w:cs="宋体"/>
          <w:b/>
          <w:bCs/>
          <w:sz w:val="44"/>
          <w:szCs w:val="44"/>
          <w:highlight w:val="none"/>
        </w:rPr>
      </w:pPr>
      <w:r>
        <w:rPr>
          <w:rFonts w:hint="eastAsia" w:hAnsi="宋体" w:eastAsia="宋体" w:cs="宋体"/>
          <w:b/>
          <w:sz w:val="44"/>
          <w:szCs w:val="44"/>
        </w:rPr>
        <w:t xml:space="preserve">第三部分 项目需求</w:t>
      </w:r>
      <w:r/>
    </w:p>
    <w:p>
      <w:pPr>
        <w:pStyle w:val="876"/>
        <w:ind w:firstLine="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w:t>
      </w: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sz w:val="24"/>
          <w:szCs w:val="24"/>
        </w:rPr>
        <w:t xml:space="preserve">项目背景</w:t>
      </w:r>
      <w:r/>
    </w:p>
    <w:p>
      <w:pPr>
        <w:pStyle w:val="876"/>
        <w:ind w:firstLine="0"/>
        <w:spacing w:line="48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b/>
          <w:bCs/>
          <w:sz w:val="24"/>
          <w:szCs w:val="24"/>
        </w:rPr>
        <w:t xml:space="preserve">（一）</w:t>
      </w:r>
      <w:r>
        <w:rPr>
          <w:rFonts w:hint="eastAsia" w:asciiTheme="minorEastAsia" w:hAnsiTheme="minorEastAsia" w:eastAsiaTheme="minorEastAsia" w:cstheme="minorEastAsia"/>
          <w:b/>
          <w:bCs/>
          <w:sz w:val="24"/>
          <w:szCs w:val="24"/>
          <w:lang w:bidi="ar"/>
        </w:rPr>
        <w:t xml:space="preserve">项目概况</w:t>
      </w:r>
      <w:r/>
    </w:p>
    <w:p>
      <w:pPr>
        <w:ind w:firstLine="480"/>
        <w:jc w:val="left"/>
        <w:spacing w:line="480" w:lineRule="exact"/>
        <w:widowControl/>
        <w:rPr>
          <w:rFonts w:hint="eastAsia" w:asciiTheme="minorEastAsia" w:hAnsiTheme="minorEastAsia" w:cstheme="minorEastAsia"/>
          <w:sz w:val="24"/>
        </w:rPr>
      </w:pPr>
      <w:r>
        <w:rPr>
          <w:rFonts w:hint="eastAsia" w:asciiTheme="minorEastAsia" w:hAnsiTheme="minorEastAsia" w:cstheme="minorEastAsia"/>
          <w:sz w:val="24"/>
          <w:lang w:bidi="ar"/>
        </w:rPr>
        <w:t xml:space="preserve">本次采购内容为</w:t>
      </w:r>
      <w:r>
        <w:rPr>
          <w:rFonts w:hint="eastAsia" w:asciiTheme="minorEastAsia" w:hAnsiTheme="minorEastAsia" w:cstheme="minorEastAsia"/>
          <w:sz w:val="24"/>
        </w:rPr>
        <w:t xml:space="preserve">新建欧亚马地块幼儿园、九年一贯制学校（横沥佳苑南侧）智能化项目的供货、安装及调试</w:t>
      </w:r>
      <w:r>
        <w:rPr>
          <w:rFonts w:hint="eastAsia" w:asciiTheme="minorEastAsia" w:hAnsiTheme="minorEastAsia" w:cstheme="minorEastAsia"/>
          <w:sz w:val="24"/>
          <w:lang w:bidi="ar"/>
        </w:rPr>
        <w:t xml:space="preserve">，</w:t>
      </w:r>
      <w:r>
        <w:rPr>
          <w:rFonts w:hint="eastAsia" w:asciiTheme="minorEastAsia" w:hAnsiTheme="minorEastAsia" w:cstheme="minorEastAsia"/>
          <w:sz w:val="24"/>
        </w:rPr>
        <w:t xml:space="preserve">项目位于江苏省苏州市太仓市富达路西、横沥路南；项目设备主要由以下部分组成：</w:t>
      </w:r>
      <w:r/>
    </w:p>
    <w:p>
      <w:pPr>
        <w:ind w:firstLine="482"/>
        <w:spacing w:line="48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1、技防系统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（1）安防（监控、电子围栏报警、巡更）系统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（2）出入口管理系统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（3）机房工程</w:t>
      </w:r>
      <w:r/>
    </w:p>
    <w:p>
      <w:pPr>
        <w:ind w:firstLine="482"/>
        <w:spacing w:line="480" w:lineRule="exact"/>
        <w:rPr>
          <w:rFonts w:hint="eastAsia" w:asciiTheme="minorEastAsia" w:hAnsiTheme="minorEastAsia" w:cstheme="minorEastAsia"/>
          <w:sz w:val="24"/>
        </w:rPr>
      </w:pPr>
      <w:r>
        <w:rPr>
          <w:rFonts w:hint="eastAsia" w:asciiTheme="minorEastAsia" w:hAnsiTheme="minorEastAsia" w:cstheme="minorEastAsia"/>
          <w:b/>
          <w:bCs/>
          <w:sz w:val="24"/>
        </w:rPr>
        <w:t xml:space="preserve">2、智能化系统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（1）综合布线系统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（2）计算机网络系统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（3）校园背景音乐系统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（4）音视频会议系统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（5）LED信息发布系统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（6）录播教室系统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（7）校园时钟系统</w:t>
      </w:r>
      <w:r/>
    </w:p>
    <w:p>
      <w:pPr>
        <w:jc w:val="left"/>
        <w:spacing w:line="48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（二）界面范围说明</w:t>
      </w:r>
      <w:r/>
    </w:p>
    <w:p>
      <w:pPr>
        <w:ind w:firstLine="482"/>
        <w:spacing w:line="480" w:lineRule="exact"/>
        <w:rPr>
          <w:rFonts w:hint="eastAsia" w:asciiTheme="minorEastAsia" w:hAnsiTheme="minorEastAsia" w:cstheme="minorEastAsia"/>
          <w:b/>
          <w:bCs/>
          <w:sz w:val="24"/>
        </w:rPr>
      </w:pPr>
      <w:r>
        <w:rPr>
          <w:rFonts w:hint="eastAsia" w:asciiTheme="minorEastAsia" w:hAnsiTheme="minorEastAsia" w:cstheme="minorEastAsia"/>
          <w:b/>
          <w:bCs/>
          <w:sz w:val="24"/>
        </w:rPr>
        <w:t xml:space="preserve">1、技防系统</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（1）安防（监控、报警、巡更）系统主要包括监控摄像机、录像机及管理平台、监控系统交换机、室内报警设备、张力围栏、巡更设备等。</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（2）出入口管理系统设备主要包括访客机、人行闸机、车辆闸机、车牌识别设备、车辆抓拍设备、人像抓拍设备、读卡器、磁力锁、门禁控制器、液压升降柱等。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（3）机房工程设备主要包括UPS不间断电源、精密空调、配电柜/箱等。</w:t>
      </w:r>
      <w:r/>
    </w:p>
    <w:p>
      <w:pPr>
        <w:ind w:firstLine="482"/>
        <w:spacing w:line="480" w:lineRule="exact"/>
        <w:rPr>
          <w:rFonts w:hint="eastAsia" w:asciiTheme="minorEastAsia" w:hAnsiTheme="minorEastAsia" w:cstheme="minorEastAsia"/>
          <w:sz w:val="24"/>
        </w:rPr>
      </w:pPr>
      <w:r>
        <w:rPr>
          <w:rFonts w:hint="eastAsia" w:asciiTheme="minorEastAsia" w:hAnsiTheme="minorEastAsia" w:cstheme="minorEastAsia"/>
          <w:b/>
          <w:bCs/>
          <w:sz w:val="24"/>
        </w:rPr>
        <w:t xml:space="preserve">2、智能化系统</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（1）综合布线系统主要包括6类非屏蔽双绞线、光缆主干、网络机柜等。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（2）计算机网络系统设备主要包括核心交换机、接入交换机、网关、全光网设备、上网行为管理、无线网络设备等。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（3）校园广播系统设备主要包括IP网络有源音箱等。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（4）音视频会议系统设备主要包括音箱、功放、报告厅舞台灯光等。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（5）LED信息发布系统主要包括室外P2.5全彩屏、室内P2.5全彩屏等。</w:t>
      </w:r>
      <w:r/>
    </w:p>
    <w:p>
      <w:pPr>
        <w:ind w:firstLine="480"/>
        <w:jc w:val="left"/>
        <w:spacing w:line="480" w:lineRule="exact"/>
        <w:rPr>
          <w:rFonts w:hint="eastAsia" w:asciiTheme="minorEastAsia" w:hAnsiTheme="minorEastAsia" w:cstheme="minorEastAsia"/>
          <w:sz w:val="24"/>
        </w:rPr>
      </w:pPr>
      <w:r>
        <w:rPr>
          <w:rFonts w:hint="eastAsia" w:asciiTheme="minorEastAsia" w:hAnsiTheme="minorEastAsia" w:cstheme="minorEastAsia"/>
          <w:sz w:val="24"/>
          <w:lang w:bidi="ar"/>
        </w:rPr>
        <w:t xml:space="preserve">（6）录播教室系统主要包括录播教室系统设备、材料等。</w:t>
      </w:r>
      <w:r/>
    </w:p>
    <w:p>
      <w:pPr>
        <w:ind w:firstLine="480"/>
        <w:jc w:val="left"/>
        <w:spacing w:line="480" w:lineRule="exact"/>
        <w:rPr>
          <w:rFonts w:hint="eastAsia" w:asciiTheme="minorEastAsia" w:hAnsiTheme="minorEastAsia" w:cstheme="minorEastAsia"/>
          <w:sz w:val="24"/>
          <w:lang w:bidi="ar"/>
        </w:rPr>
      </w:pPr>
      <w:r>
        <w:rPr>
          <w:rFonts w:hint="eastAsia" w:asciiTheme="minorEastAsia" w:hAnsiTheme="minorEastAsia" w:cstheme="minorEastAsia"/>
          <w:sz w:val="24"/>
          <w:lang w:bidi="ar"/>
        </w:rPr>
        <w:t xml:space="preserve">（7）校园时钟系统主要包括教室的网络时钟和服务器（含软件）等。</w:t>
      </w:r>
      <w:r/>
    </w:p>
    <w:p>
      <w:pPr>
        <w:pStyle w:val="879"/>
        <w:spacing w:line="440" w:lineRule="exact"/>
        <w:rPr>
          <w:rFonts w:hint="eastAsia" w:ascii="宋体" w:hAnsi="宋体" w:cs="宋体"/>
          <w:sz w:val="24"/>
          <w:szCs w:val="22"/>
          <w:lang w:bidi="ar"/>
        </w:rPr>
      </w:pPr>
      <w:r>
        <w:rPr>
          <w:rFonts w:hint="eastAsia" w:ascii="宋体" w:hAnsi="宋体" w:cs="宋体"/>
          <w:sz w:val="24"/>
          <w:szCs w:val="22"/>
          <w:lang w:bidi="ar"/>
        </w:rPr>
        <w:t xml:space="preserve">二、</w:t>
      </w:r>
      <w:r>
        <w:rPr>
          <w:rFonts w:hint="eastAsia" w:ascii="宋体" w:hAnsi="宋体" w:cs="宋体"/>
          <w:b/>
          <w:sz w:val="24"/>
        </w:rPr>
        <w:t xml:space="preserve">项目需求</w:t>
      </w:r>
      <w:r/>
    </w:p>
    <w:p>
      <w:pPr>
        <w:spacing w:line="440" w:lineRule="exact"/>
        <w:rPr>
          <w:rFonts w:hint="eastAsia" w:ascii="宋体" w:hAnsi="宋体" w:cs="宋体"/>
          <w:b/>
          <w:bCs/>
          <w:sz w:val="24"/>
          <w:lang w:bidi="ar"/>
        </w:rPr>
      </w:pPr>
      <w:r>
        <w:rPr>
          <w:rFonts w:hint="eastAsia" w:ascii="宋体" w:hAnsi="宋体" w:cs="宋体"/>
          <w:b/>
          <w:bCs/>
          <w:color w:val="000000"/>
          <w:sz w:val="24"/>
        </w:rPr>
        <w:t xml:space="preserve">（一）采购项目标的物清单</w:t>
      </w:r>
      <w:r>
        <w:rPr>
          <w:rFonts w:hint="eastAsia" w:ascii="宋体" w:hAnsi="宋体" w:cs="宋体"/>
          <w:b/>
          <w:bCs/>
          <w:sz w:val="24"/>
          <w:lang w:bidi="ar"/>
        </w:rPr>
        <w:t xml:space="preserve">：</w:t>
      </w:r>
      <w:r/>
    </w:p>
    <w:tbl>
      <w:tblPr>
        <w:tblStyle w:val="856"/>
        <w:tblW w:w="4909" w:type="pct"/>
        <w:tblInd w:w="0" w:type="dxa"/>
        <w:tblLayout w:type="fixed"/>
        <w:tblCellMar>
          <w:left w:w="108" w:type="dxa"/>
          <w:top w:w="0" w:type="dxa"/>
          <w:right w:w="108" w:type="dxa"/>
          <w:bottom w:w="0" w:type="dxa"/>
        </w:tblCellMar>
        <w:tblLook w:val="04A0" w:firstRow="1" w:lastRow="0" w:firstColumn="1" w:lastColumn="0" w:noHBand="0" w:noVBand="1"/>
      </w:tblPr>
      <w:tblGrid>
        <w:gridCol w:w="1166"/>
        <w:gridCol w:w="1551"/>
        <w:gridCol w:w="4257"/>
        <w:gridCol w:w="832"/>
        <w:gridCol w:w="675"/>
        <w:gridCol w:w="993"/>
      </w:tblGrid>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行业属性</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第一部分：设备材料清单</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一、安防系统</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（一）安防（监控、电子围栏报警、巡更）系统</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434"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A.监控系统</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室内高清筒形摄像机（</w:t>
            </w:r>
            <w:r>
              <w:rPr>
                <w:rStyle w:val="888"/>
                <w:rFonts w:hint="eastAsia" w:ascii="宋体" w:hAnsi="宋体" w:eastAsia="宋体" w:cs="宋体"/>
                <w:color w:val="auto"/>
                <w:sz w:val="21"/>
                <w:szCs w:val="21"/>
                <w:lang w:bidi="ar"/>
              </w:rPr>
              <w:t xml:space="preserve">核心产品</w:t>
            </w:r>
            <w:r>
              <w:rPr>
                <w:rFonts w:hint="eastAsia" w:ascii="宋体" w:hAnsi="宋体" w:eastAsia="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1．传感器类型：1/3英寸CMOS；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2．像素：400万；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3．最大分辨率：2560×1440；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4．最低照度：0.01lux（彩色模式）；0.001lux（黑白模式）；0lux（补光灯开启）；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5．最大补光距离：50m（红外）；</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6．补光灯：2颗（红外灯）；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7．镜头类型：定焦；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8．镜头焦距：3.6mm；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9．镜头光圈：F2.0；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10．设备可同时采用DC12V电源与POE供电,当一路电源停止供电后,样机可正常工作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11．智能行为分析功能检验:</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12．当以下的智能分析行为达到设定的阈值时,可通过客户端软件或IE浏览器给出报警提示;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13．a)绊线入侵;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14．b)区域入侵;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样机支持行为分析触发后联动抓图、录像、目标跟踪、报警上传、发送邮件等多种报警触发方式;样机支持设置6组智能周界规则并进行独立布防,每组的布撤防时间可单独设置,目标在布防区域和布防时间段内出现会触发报警,并联动相关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16．可以对人、机动车、全部(人或机动车)进行检测;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17．支持对智能行为分析目标方向规则进行设置,可设置方向为A-&gt;B、B-&gt;A、A&lt;-&gt;B3种规则;</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18．支持灵敏度设置0~10;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19．当小动物、灯光、树叶、气球等非人或机动车目标经过检测区域时,不会触发报警;可对目标大小(像素值)范围进行设置,使样机只对预设大小(像素值)范围内的人员及机动车辆进行检测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20．视场角：水平：78°；垂直：43°；对角：92°；</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21．周界防范：绊线入侵；区域入侵；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22．智能编码：H.264：支持；H.265：支持；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23．宽动态：支持；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24．报警事件：网络断开；IP冲突；非法访问；动态检测；视频遮挡；安全异常；智能动检（人）；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25．接入标准：ONVIF（Profile S &amp; Profile T）；CGI；GB/T28181；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26．预览最大用户数：6个（总带宽：24M）；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27．供电方式：DC12V（±30%）；PoE（802.3af）；</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28．防护等级：IP67。</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231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高清网络彩色半球摄像机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1．传感器类型：1/3英寸CMOS；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2．像素：400万；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3．最大分辨率：2560×1440；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4．最低照度：0.01lux（彩色模式）；0.001lux（黑白模式）；0lux（补光灯开启）；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5．最大补光距离：50m（红外）；</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6．补光灯：2颗（红外灯）；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7．镜头类型：定焦；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8．镜头焦距：2.8mm；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9．镜头光圈：F2.0；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10．视场角：水平：89°；垂直：48°；对角：105°；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11．周界防范：绊线入侵；区域入侵；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12．智能编码：H.264：支持；H.265：支持；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13．宽动态：支持；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设备可同时采用DC12V电源与POE供电,当一路电源停止供电后,样机可正常工作（应满足依据GA/T1127-2013安全防范视频监控摄像机通用技术要求，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当小动物、灯光、树叶、气球等非人或机动车目标经过检测区域时,不会触发报警;可对目标大小(像素值)范围进行设置,使样机只对预设大小(像素值)范围内的人员及机动车辆进行检测（应满足依据GA/T1127-2013安全防范视频监控摄像机通用技术要求，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16.内置麦克风：支持，内置1个麦克风；</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17.报警事件：网络断开；IP冲突；非法访问；动态检测；视频遮挡；音频异常侦测；智能动检（人）；安全异常；</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18.接入标准：ONVIF（ProfileS&amp;ProfileT）；CGI；GB/T28181；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19.预览最大用户数：6个（总带宽：24M）；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20．供电方式：DC12V（±30%）；PoE（802.3af）；</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21．防护等级：IP67。</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368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高清网络电梯半球摄像机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1．支持电瓶车入梯检测算法，可实现电瓶车入梯行为的检测及报警；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2．内置ToF传感器，可对画面中人为手、雨伞等恶意遮挡相机行为进行报警；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3．采用星光级低照度400万像素1/2.9英寸CMOS图像传感器；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4．最大可输出400万(2688×1520)@25/30fps；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5．支持H.265编码，压缩比高，实现超低码流传输；</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6．内置高效红外补光灯，最大红外监控距离10米；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7．支持声光报警联动，当报警产生时，可触发联动声音警报和灯光闪烁；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8．支持走廊模式，宽动态，3D降噪，强光抑制，背光补偿，数字水印，适用不同监控环境；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9．支持ROI，SMART H.264/H.265，灵活编码，适用不同带宽和存储环境；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10．支持报警1进1出（报警输出为干式报警，支持常开/常闭），485，最大支持256G Micro SD卡，内置MIC，内置扬声器；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11．支持DC12V供电方式，12V电源返送，最大电流165mA，峰值电流700mA，用于楼显传感器供电；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12．出厂自带楼层显示传感器，可对接设备，显示电梯所在楼层和运行速度参数（传感器通过光电感应原理实现楼层计数，仅适用每层有遮光板的电梯结构）；</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13．支持电瓶车禁止入梯楼层可设；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14．可通过IE浏览器配置电瓶车禁止入梯楼层,开启该功能后,当电瓶车在禁入楼层进入电梯时,将给出报警提示,默认布控楼层为1楼及地下楼层,已经在楼上的电瓶车可以正常入梯下楼；</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15．▲当设备进行重启操作后,无需重新配置楼层信息,监控画面可正确显示当前楼层（应满足依据GA/T 1127-2013 安全防范视频监控摄像机通用技术要求的标准，采用CMA认证的第三方检测机构提供的检测结果为:“符合”或“达标”或“通过”或“合格”的检测报告为佐证并加盖投标单位公章）。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电梯专用无线网桥（带楼显）</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1.电梯监控专用，200W相机不卡顿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2.可在各种场景灵活使用，支持多种安装方式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3.极简WEB：操作简易，零配置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 4.性能稳定：7*24小时全天候稳定工作</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室外低照度摄像机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1．传感器类型：1/3英寸CMOS；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2．像素：400万；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3．最大分辨率：2560×1440；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4．最低照度：0.01lux（彩色模式）；0.001lux（黑白模式）；0lux（补光灯开启）；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5．最大补光距离：50m（红外）；30m（暖光）；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6．补光灯：4颗（多晶（红外+暖光）灯）；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7．镜头类型：定焦；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8．镜头焦距：6mm；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9．镜头光圈：F2.0；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10．视场角：水平：47°；垂直：26°；对角：54°；</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11．周界防范：绊线入侵；区域入侵；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12．智能编码：H.264：支持；H.265：支持；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13．宽动态：支持；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14．智能动态检测(SMD)功能检验:支持对人、机动车、全部(人或机动车)进行检测,当小狗、树叶等非人或车辆目标经过检测区域时,不会触发报警</w:t>
            </w:r>
            <w:r>
              <w:rPr>
                <w:rFonts w:hint="eastAsia" w:ascii="宋体" w:hAnsi="宋体" w:eastAsia="宋体" w:cs="宋体"/>
                <w:strike/>
                <w:sz w:val="21"/>
                <w:szCs w:val="21"/>
                <w:lang w:bidi="ar"/>
              </w:rPr>
              <w:br/>
            </w:r>
            <w:r>
              <w:rPr>
                <w:rFonts w:hint="eastAsia" w:ascii="宋体" w:hAnsi="宋体" w:eastAsia="宋体" w:cs="宋体"/>
                <w:sz w:val="21"/>
                <w:szCs w:val="21"/>
                <w:lang w:bidi="ar"/>
              </w:rPr>
              <w:t xml:space="preserve">15．内置麦克风：支持，内置1个麦克风；</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16．报警事件：网络断开；IP冲突；非法访问；动态检测；视频遮挡；安全异常；智能动检（人）；音频异常；</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17．接入标准：ONVIF（ProfileS&amp;ProfileT）；CGI；GB/T28181；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18．预览最大用户数：6个（总带宽：24M）；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19．供电方式：DC12V（±30%）；PoE（802.3af）；</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20．防护等级：IP67。</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161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带拾音器筒形摄像机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1．传感器类型：1/3英寸CMOS；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2．像素：400万；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3．最大分辨率：2560×1440；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4．最低照度：0.01lux（彩色模式）；0.001lux（黑白模式）；0lux（补光灯开启）；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5．最大补光距离：50m（红外）；30m（暖光）；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6．补光灯：4颗（多晶（红外+暖光）灯）；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7．镜头类型：定焦；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8．镜头焦距：6mm；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9．镜头光圈：F2.0；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10．视场角：水平：47°；垂直：26°；对角：54°；</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11．周界防范：绊线入侵；区域入侵；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12．智能编码：H.264：支持；H.265：支持；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13．宽动态：支持；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智能动态检测(SMD)功能检验:支持对人、机动车、全部(人或机动车)进行检测,当小狗、树叶等非人或车辆目标经过检测区域时,不会触发报警（应满足依据GA/T1127-2013安全防范视频监控摄像机通用技术要求，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15．智能行为分析功能检验:</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当以下的智能分析行为达到设定的阈值时,可通过客户端软件或IE浏览器给出报警提示;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1)绊线入侵;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2)区域入侵;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样机支持行为分析触发后联动抓图、录像、目标跟踪、报警上传、发送邮件等多种报警触发方式;样机支持设置6组智能周界规则并进行独立布防,每组的布撤防时间可单独设置,目标在布防区域和布防时间段内出现会触发报警,并联动相关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4)可以对人、机动车、全部(人或机动车)进行检测;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5)支持对智能行为分析目标方向规则进行设置,可设置方向为A-&gt;B、B-&gt;A、A&lt;-&gt;B3种规则;</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6)支持灵敏度设置0~10;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16．当小动物、灯光、树叶、气球等非人或机动车目标经过检测区域时,不会触发报警;可对目标大小(像素值)范围进行设置,使样机只对预设大小(像素值)范围内的人员及机动车辆进行检测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17．内置麦克风：支持，内置1个麦克风；</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18．报警事件：网络断开；IP冲突；非法访问；动态检测；视频遮挡；安全异常；智能动检（人）；音频异常；</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19．接入标准：ONVIF（ProfileS&amp;ProfileT）；CGI；GB/T28181；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20．预览最大用户数：6个（总带宽：24M）；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21．供电方式：DC12V（±30%）；PoE（802.3af）；</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22．防护等级：IP67。</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全景摄像机度摄像机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numPr>
                <w:ilvl w:val="0"/>
                <w:numId w:val="1"/>
              </w:num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传感器类型：1/2.8英寸CMOS（×2）；</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2．像素：400万；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3．最大分辨率：3840×1080；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4．最低照度：0.001lux（彩色模式）；0.0001lux（黑白模式）；0lux（补光灯开启）；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5．最大补光距离：30m；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6．补光灯：4颗（暖光灯）；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7．镜头类型：定焦；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8．镜头焦距：2.8mm；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9．镜头光圈：F1.0；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10．视场角：水平：190°；垂直：55°；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11．热度图：支持；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12．深度智能：支持；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13．周界防范：绊线入侵；区域入侵；快速移动（三项均支持人车分类及精准检测）；徘徊检测；人员聚集；停车检测；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14．物品监控：物品遗留；物品拿取；</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15．人数统计：支持人数统计，区域内人数统计；排队管理；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16．智能检索：配合SmartNVR实现事件录像的二次智能检索、分析和浓缩播放；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17．视频压缩标准：H.265；H.264；H.264H；H.264B；MJPEG（仅辅码流支持）；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18．智能编码：H.264:支持；H.265:支持；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19．AI编码：H.264:支持（压缩率≥25%）；H.265:支持（压缩率≥25%）；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20．视频帧率：50Hz主码流（3840×1080@25fps），辅码流（960×268@25fps），第三码流（1920×540@25fps）60Hz主码流（3840×1080@30fps），辅码流（960×268@30fps），第三码流（1920×540@30fps）；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21．宽动态：120dB；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22．默认分辨率下默认码流：1536kbps（3840×1080）；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23．音频接口：支持；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24．内置麦克风：支持，内置1个麦克风；</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25．内置扬声器：支持；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26．报警：支持；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27．网络接口：1个（RJ-45网口，支持10M/100M网络数据）；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28．接入标准：ONVIF（ProfileS&amp;ProfileG&amp;ProfileT）；GB/T28181-2022（双国标）；RTMP；</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29．智能分时复用功能检验:支持智能分时复用功能,可支持设置10套智能方案,不同智能方案可配置不同的智能组合,可按时间设置自动切换；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30．主码流视频分辨率和帧率最大为:50Hz:3840×1080.25fps60Hz:3840×1080、30fps第二码流视频分辨率和帧率最大为:50Hz:960×270、25fps60Hz:960×270、30fps第三码流视频分辨率和帧率最大为:50Hz:1920×540、25fps60Hz:1920×540、3Ofps</w:t>
            </w:r>
            <w:r/>
          </w:p>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31．最大MicroSD卡：256GB；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32．低照等级：超星光；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33．RS-485接口：1个（波特率范围：1200bps～115200bps）；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34．音频输入：1路（RCA头）；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35．音频输出：1路（RCA头）；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36．报警输入：2路（支持对接湿接点报警输出（直流3～5V电位，最大5mA电流）；支持对接干接点报警输出）；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37．报警输出：2路（湿接点，支持直流最大12V电位，0.3A电流）；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38．模拟输出接口：1路（CVBS输出BNC接口）；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39．电源返送：支持DC12V电源返送，最大电流165mA，峰值电流700mA；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40．供电方式：DC12V/PoE；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41．防护等级：IP67。</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人脸抓拍摄像机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1．传感器类型：通道1（细节）：1/1.8英寸CMOS；通道2（全景）：1/1.8英寸CMOS；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2．像素：通道1（细节）：400万；通道2（全景）：400万；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3．最大分辨率：通道1（细节）：2688×1520；通道2（全景）：2688×1520；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4．最低照度：通道1（细节）：0.001lux（彩色模式）；0.0001lux（黑白模式）；0lux（补光灯开启）；通道2（全景）：0.001lux（彩色模式）；0.0001lux（黑白模式）；0lux（补光灯开启）；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5．最大补光距离：80m（红外）；60m（暖光）；16m（人脸检测距离）；</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6．补光灯：6颗（柔光双色灯）；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7．镜头类型：通道1（细节）：机芯镜头；通道2（全景）：定焦镜头；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8．镜头焦距：通道1（细节）：8mm～32mm；通道2（全景）：3.6mm；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9．镜头光圈：通道1（细节）：F1.6；通道2（全景）：F1.0；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10．视场角：通道1（细节）：水平：42°～16.4°；垂直：23°～9°；对角：47°～17°；通道2（全景）：水平：93°；垂直：49°；对角：110°；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11．通用行为分析：通道1（细节）：物品遗留；物品搬移；通道2（全景）：不支持；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12．热度图：支持；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13．智能说明：通道1（细节）：支持通用行为分析、人脸检测、人数统计、道路监控、热度图；通道2（全景）：不支持；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14．支持场景大模型算法,开启环境自适应功能后,可自动识别不同环境光的监控场景并切换图像配置,包括宽动态、曝光、增益等参数；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15．具有状态指示灯,可通过指示灯显示工作状态；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16．全景镜头支持在垂直方向进行调节,调节范围为-10°~10°；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17．镜头前盖玻璃呈倾斜状,与镜头平面呈8°夹角,可改变沿镜头光轴方向入射光束的反射光方向,降低鬼影对视频画面的影响；</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18．周界防范：绊线入侵；区域入侵；快速移动（三项均支持人车分类及精准检测）；徘徊检测；人员聚集；停车检测；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人脸检测：支持人脸检测；支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人数统计：支持绊线人数统计，支持区域内人数统计，并可显示及输出日、月、年统计报表；支持排队管理功能，并可显示及输出日、月统计报表；支持4个绊线人数统计，4个区域内人数统计，4个排队管理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道路监控：支持非机动车逆行检测，支持上传非机动车全景图、车身图、车牌；支持机动车占非机动车道检测，支持上传机动车全景图、车身图、车牌；支持卡口，支持上传机动车全景图、车身图、车牌，支持上传非机动车全景图、车身图、车牌；支持交通拥堵，支持车辆拥堵阈值可设，支持拥堵时间可设；支持绘制车道，支持车道方向可设；支持绘制4个车道；支持非机动车车牌识别；</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22．AI编码：H.264：支持；H.265：支持*包含智能编码；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23．宽动态：120dB；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24．走廊模式：90°/270°（在2688×1520分辨率及以下支持）；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25．自适应镜头校正（图像矫正）：支持；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26．重瞳：支持；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27．音频接口：支持；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28．内置麦克风：支持，内置双麦克风；</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29．内置扬声器：支持，内置1个扬声器；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30．报警事件：无SD卡；SD卡空间不足；SD卡出错；网络断开；IP冲突；非法访问；动态检测；视频遮挡；绊线入侵；区域入侵；快速移动；物品遗留；物品搬移；徘徊检测；人员聚集；停车检测；场景变更；音频异常侦测；电压检测；虚焦侦测；外部报警；人脸检测；区域内人数统计；人数统计；安全异常；</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31．接入标准：ONVIF（Profile S &amp; Profile G &amp; Profile T）；CGI；GB/T28181-2022（双国标）；GB/35114A；；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32．预览最大用户数：20个（总带宽：80M）；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33．除雾功能：支持；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34．RS-485接口：1个（波特率范围：1200bps～115200bps）；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35．音频输入：2路（RCA头）；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36．音频输出：1路（RCA头）；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37．报警输入：3路（支持对接湿接点报警输出（直流3～5V电位，最大5mA电流）；支持对接干接点报警输出）；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38．报警输出：2路（干接点，支持直流最大30V电位，1A电流/交流最大50V电位，0.5A电流）；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39．模拟输出接口：1路（CVBS输出 BNC接口）；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40．电源返送：支持DC12V电源返送，最大电流165mA，峰值电流700mA；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41．供电方式：DC12V（±30%）；PoE（802.3at）；</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42．防护等级：IP67；</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43．防腐蚀等级：普通防护*该级别的产品适用于不需要特定防腐保护的区域。；</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44．外观：枪型；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45．深度智能：支持；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46．智能检索：配合Smart NVR实现事件录像的二次智能检索、分析和浓缩播放；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47．视频压缩标准：H.265；H.264；H.264H；H.264B；MJPEG（仅辅码流支持）；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48．视频帧率：50Hz：主码流（2688×1520@25fps），辅码流（704×576@25fps），第三码流（1920×1080@25fps）60Hz：主码流（2688×1520@30fps），辅码流（704×480@30fps），第三码流（1920×1080@30fps）；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49．默认分辨率下默认码流：5120kbps（2688×1520）；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50．报警：支持；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51．网络接口：1个（RJ-45网口，支持10M/100M/1000M 网络数据）；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52．低照等级：超星光。</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鹰眼摄像机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numPr>
                <w:ilvl w:val="0"/>
                <w:numId w:val="2"/>
              </w:num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内置2颗GPU芯片，支持深度学习算法，有效提升检测准确率；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2．全景支持绊线入侵，区域入侵，支持人车分类；</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3．细节支持周界防范、视频结构化、人脸检测；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4．采用4个高性能200万像素1/1.8英寸CMOS图像传感器，低照度效果好，图像清晰度高；</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5．最大单路可输出800万(4096×1800)@25fps；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6．支持H.265编码，压缩比高，实现超低码流传输；</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7．支持PCM/G.711A/G.711Mu/G.726/AAC/G.723/G.722.1/G.729/MPEG2-Layer2音频压缩标准；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8．球机内置高效红外补光灯，最大红外监控距离100米；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9．支持宽动态，3D降噪，强光抑制，背光补偿，适用不同监控环境；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10．支持ROI，SMARTH.264/H.265，灵活编码，适用不同带宽和存储环境；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11．支持报警3进2出，音频2进1出，BNC，RS485，最大支持512GMicroSD卡；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12．DC36V供电方式，支持12V电源返送，最大电流165mA，方便工程安装；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13．支持无SD卡、SD卡空间不足、SD卡出错、网络断开、IP冲突、移动检测、视频遮挡事件报警；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扬声器声级检验:样机正前方1m处,内置扬声器播放最大声级不小于80dB(A)（应满足依据GA/T1127-2013安全防范视频监控摄像机通用技术要求的标准，采用CMA认证的第三方检测机构提供的检测结果为:“符合”或“达标”或“通过”或“合格”的检测报告为佐证并加盖投标单位公章）；</w:t>
            </w:r>
            <w:r/>
          </w:p>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15.</w:t>
            </w:r>
            <w:r>
              <w:rPr>
                <w:rFonts w:hint="eastAsia" w:ascii="宋体" w:hAnsi="宋体" w:eastAsia="宋体" w:cs="宋体"/>
                <w:sz w:val="21"/>
                <w:szCs w:val="21"/>
                <w:lang w:bidi="ar"/>
              </w:rPr>
              <w:t xml:space="preserve">▲麦克风拾音距离检验:回放时,应能听清距样机5m处声级不小于70dB(A)的声音（依据GA/T1127-2013安全防范视频监控摄像机通用技术要求的标准，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16．支持IP67防护等级；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17．支持双MIC；</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18．内置扬声器；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19．支持GPS/北斗经纬度定位；</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20．支持枪球联动。</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治安球机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1．传感器类型：全景：1/2.8英寸CMOS；细节：1/2.8英寸CMOS；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2．像素：全景：400万；细节：200万；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3．最大分辨率：全景：2560×1440；细节：1920×1080；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4．最低照度：全景： 彩色：0.005ux@F1.6黑白：0.0005lux@F1.6 0Lux（白光灯开启） 细节： 彩色：0.005lux@F1.6 黑白：0.0005lux@F1.6 0Lux（红外灯开启）；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5．最大补光距离：全景：30m（白光）；细节：150m（红外）；</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6．补光类型：红外+白光；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7．镜头焦距：全景：4mm；细节：5mm～115mm；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8．镜头光圈：全景F1.6细节F1.6-F3.5；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9．视场角：全景：水平：76° 垂直：41.5° 对角：88°细节：水平：57.7°~4° 垂直：32.7°~2.3°对角线：65.2°~4.5°；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10．光学变倍：细节：23倍；</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11．定时任务：预置点；巡迹；巡航；线扫；</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12．可视域功能：支持；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13．智能分类：易智能；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14．周界防范：支持绊线入侵；支持区域入侵；支持穿越围栏；支持徘徊检测；支持物品遗留；支持物品搬移；支持快速移动；支持停车检测；支持人员聚集；支持人车分类报警；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人脸检测：支持人脸检测；支持人脸轨迹框；支持优选；支持抓拍；支持上报最优的人脸抓图；支持人脸增强；支持人脸属性提取，支持6种属性4种表情：性别，年龄，眼镜，表情（惊讶，平静，高兴，困惑），口罩，胡子；支持人脸抠图区域可设：人脸，单寸照；支持实时抓拍，优选抓拍，支持质量优先三种抓拍策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16．智能说明：联动态：全景周界联动细节跟踪。独立态：目前全景细节不支持同开检测，可定制。全景：周界防范，细节：人脸检测（可独立巡航）；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17．光警戒：支持白光；闪烁时间可设置：5-30秒；频率：高/中/低；</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18．透雾功能：电子透雾；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19．全景摄像机具有具备4个暖光灯，细节摄像机具备4个红外灯、2个白光灯，有光警戒报警功能；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20．当设置为联动态时，全景通道可进行周界检测并联动细节通道跟踪目标；当设置为独立态时，全景通道可独立进行周界检测同时细节通道独立进行人脸检测；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21．网络接口：1个（内置RJ-45网口，支持10M/100M网络数据）；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22．音频输入：1路；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23．音频输出：1路；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24．语音对讲：支持；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25．报警输入：2路，开关量输入(0～5V DC)；</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26．报警输出：1路；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27．供电方式：DC36V/2.23A±25%（标配）；</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28．防护等级：IP66；TVS 6000V防雷、防浪涌和防突波保护；符合GB/T 17626.5 4级标准；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29．接口类型：RJ45接口。</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行为分析摄像机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1．传感器类型：通道1（细节）：1/1.8英寸CMOS；通道2（全景）：1/1.8英寸CMOS；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2．像素：通道1（细节）：400万；通道2（全景）：400万；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3．最大分辨率：通道1（细节）：2688×1520；通道2（全景）：2688×1520；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4．最低照度：通道1（细节）：0.001lux（彩色模式）；0.0001lux（黑白模式）；0lux（补光灯开启）；通道2（全景）：0.001lux（彩色模式）；0.0001lux（黑白模式）；0lux（补光灯开启）；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5．最大补光距离：80m（红外）；60m（暖光）；16m（人脸检测距离）；</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6．补光灯：6颗（柔光双色灯）；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7．镜头类型：通道1（细节）：机芯镜头；通道2（全景）：定焦镜头；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8．镜头焦距：通道1（细节）：8mm～32mm；通道2（全景）：3.6mm；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9．镜头光圈：通道1（细节）：F1.6；通道2（全景）：F1.0；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10．视场角：通道1（细节）：水平：42°～16.4°；垂直：23°～9°；对角：47°～17°；通道2（全景）：水平：93°；垂直：49°；对角：110°；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11．通用行为分析：通道1（细节）：物品遗留；物品搬移；通道2（全景）：不支持；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12．热度图：支持；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13．智能说明：通道1（细节）：支持通用行为分析、人脸检测、人数统计、道路监控、热度图；通道2（全景）：不支持；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14．支持场景大模型算法,开启环境自适应功能后,可自动识别不同环境光的监控场景并切换图像配置,包括宽动态、曝光、增益等参数；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15．具有状态指示灯,可通过指示灯显示工作状态；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16．全景镜头支持在垂直方向进行调节,调节范围为-10°~10°；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17．▲镜头前盖玻璃呈倾斜状,与镜头平面呈8°夹角,可改变沿镜头光轴方向入射光束的反射光方向,降低鬼影对视频画面的影响（应满足依据GA/T 1127-2013 安全防范视频监控摄像机通用技术要求的标准，采用CMA认证的第三方检测机构提供的检测结果为:“符合”或“达标”或“通过”或“合格”的检测报告为佐证并加盖投标单位公章）；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18．周界防范：绊线入侵；区域入侵；快速移动（三项均支持人车分类及精准检测）；徘徊检测；人员聚集；停车检测；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人脸检测：支持人脸检测；支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人数统计：支持绊线人数统计，支持区域内人数统计，并可显示及输出日、月、年统计报表；支持排队管理功能，并可显示及输出日、月统计报表；支持4个绊线人数统计，4个区域内人数统计，4个排队管理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道路监控：支持非机动车逆行检测，支持上传非机动车全景图、车身图、车牌；支持机动车占非机动车道检测，支持上传机动车全景图、车身图、车牌；支持卡口，支持上传机动车全景图、车身图、车牌，支持上传非机动车全景图、车身图、车牌；支持交通拥堵，支持车辆拥堵阈值可设，支持拥堵时间可设；支持绘制车道，支持车道方向可设；支持绘制4个车道；支持非机动车车牌识别；</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22．AI编码：H.264：支持；H.265：支持*包含智能编码；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23．宽动态：120dB；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24．走廊模式：90°/270°（在2688×1520分辨率及以下支持）；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25．自适应镜头校正（图像矫正）：支持；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26．重瞳：支持；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27．音频接口：支持；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28．内置麦克风：支持，内置双麦克风；</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29．内置扬声器：支持，内置1个扬声器；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30．报警事件：无SD卡；SD卡空间不足；SD卡出错；网络断开；IP冲突；非法访问；动态检测；视频遮挡；绊线入侵；区域入侵；快速移动；物品遗留；物品搬移；徘徊检测；人员聚集；停车检测；场景变更；音频异常侦测；电压检测；虚焦侦测；外部报警；人脸检测；区域内人数统计；人数统计；安全异常；</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31．接入标准：ONVIF（Profile S &amp; Profile G &amp; Profile T）；CGI；GB/T28181-2022（双国标）；GB/35114A；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32．预览最大用户数：20个（总带宽：80M）；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33．最大Micro SD卡：512GB；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34．除雾功能：支持；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35．RS-485接口：1个（波特率范围：1200bps～115200bps）；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36．音频输入：2路（RCA头）；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37．音频输出：1路（RCA头）；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38．报警输入：3路（支持对接湿接点报警输出（直流3～5V电位，最大5mA电流）；支持对接干接点报警输出）；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39．报警输出：2路（干接点，支持直流最大30V电位，1A电流/交流最大50V电位，0.5A电流）；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40．模拟输出接口：1路（CVBS输出 BNC接口）；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41．电源返送：支持DC12V电源返送，最大电流165mA，峰值电流700mA；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42．供电方式：DC12V（±30%）；PoE（802.3at）；</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43．防护等级：IP67；</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44．防腐蚀等级：普通防护*该级别的产品适用于不需要特定防腐保护的区域；</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45．深度智能：支持；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46．智能检索：配合Smart NVR实现事件录像的二次智能检索、分析和浓缩播放；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47．视频压缩标准：H.265；H.264；H.264H；H.264B；MJPEG（仅辅码流支持）；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48．视频帧率：50Hz：主码流（2688×1520@25fps），辅码流（704×576@25fps），第三码流（1920×1080@25fps）60Hz：主码流（2688×1520@30fps），辅码流（704×480@30fps），第三码流（1920×1080@30fps）；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49．默认分辨率下默认码流：5120kbps（2688×1520）；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50．报警：支持；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51．网络接口：1个（RJ-45网口，支持10M/100M/1000M 网络数据）；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52．低照等级：超星光。</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车辆抓拍摄像机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采用行业专用GS-CMOS图像传感器，高感光度，高信噪比，高宽动态，高帧率，全天候呈现逼真场景图像；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采用高性能AI处理器，实时提取机动车、人脸结构化信息，为业务快速决策提供全方位的特征数据；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采用一体化结构设计，IP66防护等级，适用于各种恶劣环境；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采用不需要900万像素图像传感器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支持网络接口、USB接口、RS-485接口、RS-232接口、报警输入输出接口；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支持国密35114-A级认证，加强公安网络视频信息数据安全；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具有防雷和防浪涌功能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车队模式设置检查：支持开启车队模式，设置连续过车最长报警输出时间，道闸不落闸。</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防砸雷达设备状态获取功能检查：支持接入防砸雷达，可实时展示接入设备的工作状态、运行次数。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▲智能事件检测功能检查智</w:t>
            </w:r>
            <w:r>
              <w:rPr>
                <w:rFonts w:hint="eastAsia" w:ascii="宋体" w:hAnsi="宋体" w:eastAsia="宋体" w:cs="宋体"/>
                <w:sz w:val="21"/>
                <w:szCs w:val="21"/>
                <w:lang w:bidi="ar"/>
              </w:rPr>
              <w:t xml:space="preserve">能事件检测功能检查：支持22种车牌识别，包括普通蓝牌、单层黄牌、双层黄牌、教练车牌、应急车牌、小型新能源牌、大型新能源牌、警用车牌、单层军牌、双层军牌、单层武警车牌、双层武警车牌、使馆车牌、领馆车牌、港澳进出大陆车牌、普通民航车牌(单层)、农用车牌、三地车牌、挂车号牌、"厂"字车牌、"电"字车牌、非机动车车牌。（依据GA/T 1127-2013 安全防范视频监控摄像机通用技术要求的标准，采用CMA认证的第三方检测机构提供的检测结果为:“符合”或“达标”或“通过”或“合格”的检测报告为佐证并加盖投标单位公章）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宽动态摄像机（地下室出入口）</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1．传感器类型：1/3英寸CMOS；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2．像素：400万；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3．最大分辨率：2560×1440；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4．最低照度：0.01lux（彩色模式）；0.001lux（黑白模式）；0lux（补光灯开启）；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5．最大补光距离：50m（红外）；</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6．补光灯：2颗（红外灯）；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7．镜头类型：定焦；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8．镜头焦距：3.6mm；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9．镜头光圈：F2.0；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10．设备可同时采用DC12V电源与POE供电,当一路电源停止供电后,样机可正常工作；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11．当小动物、灯光、树叶、气球等非人或机动车目标经过检测区域时,不会触发报警;可对目标大小(像素值)范围进行设置,使样机只对预设大小(像素值)范围内的人员及机动车辆进行检测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12．视场角：水平：78°；垂直：43°；对角：92°；</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13．周界防范：绊线入侵；区域入侵；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14．智能编码：H.264：支持；H.265：支持；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15．宽动态：支持；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16．报警事件：网络断开；IP冲突；非法访问；动态检测；视频遮挡；安全异常；智能动检（人）；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17．接入标准：ONVIF（ProfileS&amp;ProfileT）；CGI；GB/T28181；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18．预览最大用户数：6个（总带宽：24M）；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19．供电方式：DC12V（±30%）；PoE（802.3af）；</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20．防护等级：IP67。</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二合一避雷器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二合一避雷器</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218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电源</w:t>
            </w:r>
            <w:r>
              <w:rPr>
                <w:rStyle w:val="888"/>
                <w:rFonts w:hint="eastAsia" w:ascii="宋体" w:hAnsi="宋体" w:eastAsia="宋体" w:cs="宋体"/>
                <w:color w:val="auto"/>
                <w:sz w:val="21"/>
                <w:szCs w:val="21"/>
                <w:lang w:bidi="ar"/>
              </w:rPr>
              <w:t xml:space="preserve">（3C认证)</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12V12.5A</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24口POE交换机(安防）</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1.≥24个10/100/1000M电口+1个千兆SFP光口；POE供电；交流供电；非管理型；交换容量≥52Gbps，包转发率≥39Mpps；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2.端口配置功能检查:支持通过APP、管理平台对接入交换机的端口进行速率、流控使能配置。</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24口工业交换机(安防）</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1.室外工业级，24个10/100/1000M电口+1个千兆SFP光口，宽温（-40℃-85℃）；二层管理型；交换容量336Gbps；包转发率56Mpps；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2.电器设备外壳对外界机械碰撞的防护等级：IK06。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单模千兆光模块</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千兆单模SFP光模块，波长1310nm，最大传输距离10km</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274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24口交换机(安防）</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1.≥24个10/100/1000M电口+1个千兆SFP光口；POE供电；交流供电；非管理型；交换容量≥52Gbps，包转发率≥39Mpps。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2.端口配置功能检查:支持通过APP、管理平台对接入交换机的端口进行速率、流控使能配置。</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核心交换机（安防）</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1．4U一体化主机套装，已标配：2×电源、1×风扇盘（包含2个风扇）；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2．主机提供3个业务插槽（1槽位任意业务板卡即可激活主控，无需额外配置主控板卡），单板支持热插拔；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3．设备提供1个Default恢复出厂按键、1个Console管理口；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4．交换容量：38.4Tbps、包转发率：7200Mpps；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5．支持802.1D(STP)、802.1W(RSTP)、802.1S(MSTP)，支持BPDU保护、根保护、环路保护；</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6．支持GVRP；支持1:1和N:1 VLAN Mapping；支持基本QinQ和灵活QinQ功能；支持Private VLAN；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7．支持静态、动态链路聚合；</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8．支持IGMP v1/v2/v3；支持IGMP Snooping；支持IGMP Fast Leave；支持组播组策略及组播组数量限制；支持组播流量跨VLAN复制；支持PIM-SM、PIM-DM；支持VRRP；</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9．支持ARP、RARP、免费ARP；支持Dynamic ARP Inspection；支持ARP anti-attack；支持ARP源抑制；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10．支持基于L2/L3/L4的ACL流识别与过滤安全机制；支持对组播、广播、未知单播报文的抑制功能；支持端口隔离支持端口安全、IP+MAC+端口绑定；支持DHCP Snooping、DHCP Option 82；支持IEEE 802.1x认证；支持Radius认证；支持uRPF；支持命令行分级保护；</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11．支持基于L2/L3/L4协议头各字段的流量分类；支持CAR流量限制支持802.1P/DSCP优先级重新标记；支持SP、WRR、SP+WRR等队列调度方式；支持Tail-Drop、WRED等拥塞避免机制；支持流量监管与流量整形；支持Ingress和Egress ACL；支持匹配L2、L3、L4和IP五元组进行复制、转发、丢弃；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12．支持ICMPv6、DHCPv6、ACLv6、IPv6 Telnet；支持IPv6邻居发现；支持Path MTU发现；支持MLD 、MLD Snooping；支持IPv6静态路由、RIPng、OSPFv3、BGP4+；支持手工隧道、ISATAP隧道、6to4隧道；</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13．支持Console、Telnet、SSH；支持SNMP v1/v2/v3；支持TFTP方式的文件上传、下载管理、支持RMON、支持sFLOW、Netflow流量统计分析；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14．工作温度：0℃～+40℃；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15．支持ERPS环网保护协议，环网切换时间≤50ms；支持GVRP功能。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电源模块（安防）</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电源模块</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24口电板卡（安防）</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24口电板卡</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24口光板卡（安防）</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24口光板卡</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48口电板卡（安防）</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48口电板卡</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48口光板卡（安防）</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48口光板卡</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6路高清解码器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1．支持6路HDMI信号输出；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2．输出接口最大支持1920×1080@60及以下常规分辨率输出；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3．支持超高超宽自定义分辨率输出设置，水平分辨率最宽可达3840像素，垂直分辨率最高可达3840像素；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4．具备1对语音对讲接口：1个3.5mm音频输入接口和1个3.5mm音频输出接口；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5．整机解码支持2路32MP@25fps（仅H.265支持）；7路12MP@25fps；10路8MP@25fps；14路6MP@25fps；18路5MP@25fps；21路4MP@25fps；28路3MP@25fps；43路1080p@25fps；108路D1@25fps；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6．支持MPEG2；MPEG4；H.264；H.265；SVAC；MJPEG标准网络视频流解码；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7．支持QCIF；CIF；2CIF；HD1；D1；960H；720p；1080p；3MP；4MP；5MP；6MP；8MP；12MP；32MP视频解码；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8．支持音频压缩格式：PCM；G711；AAC；</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9．支持每屏1；4；6；8；9；16；25；36分割，支持M×N自由分割；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10．支持任意开窗、漫游，每屏最大支持36路开窗；</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11．支持电视墙默认底色设置，支持高清底图显示；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12．支持预案轮巡；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13．支持多屏融合拼接，跨屏画面毫秒级完美同步；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14．支持在大屏上叠加OSD文字信息，支持位置，字体大小等自定义设置；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15．支持Onvif，RTSP，GB28181协议接入，支持海康私有；大华私有协议接入；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16．▲具有智能防火功能，当火情传感器检测到当前环境存在火情时，可自动控制显示器关闭。（应满足依据GA/T 1216-2015《安全防范监控网络视音频编解码设备》的标准，采用CMA认证的第三方检测机构提供的检测结果为:“符合”或“达标”或“通过”或“合格”的检测报告为佐证并加盖投标单位公章）；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17．具有智能节能功能，当传感器检测到当前环境无人时，可自动控制电视墙熄屏；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18．应能设置从检测到无人到进行熄屏的时间间隔；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19．▲支持跨屏同步显示功能，所有跨屏信号源可以同时发送至各个屏幕显示，时差应≤10ns。（应满足依据GA/T 1216-2015《安全防范监控网络视音频编解码设备》的标准，采用CMA认证的第三方检测机构提供的检测结果为:“符合”或“达标”或“通过”或“合格”的检测报告为佐证并加盖投标单位公章）。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9路高清解码器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1.支持9路HDMI信号输出；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2．输出接口最大支持1920×1080@60及以下常规分辨率输出；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3．支持超高超宽自定义分辨率输出设置，水平分辨率最宽可达3840像素，垂直分辨率最高可达3840像素；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4．具备1对语音对讲接口：1个3.5mm音频输入接口和1个3.5mm音频输出接口；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5．整机解码支持2路32MP@25fps（仅H.265支持）；7路12MP@25fps；10路8MP@25fps；14路6MP@25fps；18路5MP@25fps；21路4MP@25fps；28路3MP@25fps；43路1080p@25fps；108路D1@25fps；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6．支持MPEG2；MPEG4；H.264；H.265；SVAC；MJPEG标准网络视频流解码；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7．具有智能防火功能，当火情传感器检测到当前环境存在火情时，可自动控制显示器关闭。</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具有智能节能功能，当传感器检测到当前环境无人时，可自动控制电视墙熄屏。应能设置从检测到无人到进行熄屏的时间间隔。（应满足依据GA/T1216-2015《安全防范监控网络视音频编解码设备》的标准，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9．支持跨屏同步显示功能，所有跨屏信号源可以同时发送至各个屏幕显示，时差应≤10ns。</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43寸拼接显示屏（含拼接处理器、软件、支架）</w:t>
            </w:r>
            <w:r>
              <w:rPr>
                <w:rStyle w:val="888"/>
                <w:rFonts w:hint="eastAsia" w:ascii="宋体" w:hAnsi="宋体" w:eastAsia="宋体" w:cs="宋体"/>
                <w:color w:val="auto"/>
                <w:sz w:val="21"/>
                <w:szCs w:val="21"/>
                <w:lang w:bidi="ar"/>
              </w:rPr>
              <w:t xml:space="preserve">（强制节能、3C认证）</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1．色彩一致性高、亮度一致性高；</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2．支持安防、汇报、广告三种场景模式切换；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3．支持16块屏同源信号自拼接；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4．物理分辨率高达1920 x 1080；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5．全高清显示，画面细腻，色彩丰富；</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6．高清晰度、高亮度、高色域；</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7．视角可达178°，趋近于水平。</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64路硬盘录像机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1．主处理器：工业级微控制器；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2．操作系统：嵌入式Linux操作系统；</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3．后智能分析：支持后智能人脸检测、人脸识别、周界防范、智能动检；</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4．前智能分析：支持前智能人脸检测、人脸识别、视频结构化、周界防范、智能动检、立体行为分析、人像检测、人群分布、人数统计、热度图、车牌识别、车辆密度、物品监控、高空抛物检测、电瓶车入梯；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5．周界后智能性能（路数）：4路，每路绘制10规则线；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6．周界前智能性能（路数）：全通道（最大处理16个事件/秒）；</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7．人脸检测后智能性能（1080P）(路数)：2路，单路同时最多检测12张人脸；</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8．人脸识别后智能性能（1080P）(路数)：1.前端人脸检测+后端人脸比对支持16路图片流，最多同时处理16张/秒人脸；2.后端人脸检测+后端人脸比对支持2路视频流，最多同时处理12张/秒人脸；</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9．人脸识别前智能性能（路数）：全通道（最大处理16个事件/秒）；</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10．接入路数：64路；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11．分辨率：32MP；24MP；16MP；12MP；8MP；6MP；5MP；4MP；3MP；1080p；720p；960p；D1；CIF；</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解码能力：不开智能：2路32MP@25fps；2路24MP@25fps；4路16MP@25fps；6路12MP@25fps；9路8MP@25fps；12路6MP@25fps；14路5MP@25fps；18路4MP@25fps；36路1080p@25fps；开智能：1路32MP@25fps；1路24MP@25fps；2路16MP@30fps；4路12MP@30fps；6路8MP@30fps；8路6MP@30fps；8路5MP@30fps；12路4MP@30fps；24路1080p@30f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13．RAID：RAID0/1/5/6/10；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14．报警输入：16路；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15．报警输出：9路，其中8路继电器输出，1路12V1Actrl输出；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16．硬盘接口：16个SATA，单盘最大20T；</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17．RS-485接口：2个（1个半双工串行AB接口，1个全双工串行接口）；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18．网络接口：2个（10M/100M/1000M以太网口，RJ-45）；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19．具有录像目标检索功能，录像目标检索支持单帧进退模式调整日标画面，可通过鼠标滚轮调整录像抓拍画面帧序列;在事件中心、切片回放、回放界面具有目标检索快速入口；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20．样机可对登入IP进行安全性检测，检测到上一次登录的IP地址与本次登录的IP地址不在同一个网段时，会提示上一次登录信息(IP和时间)并有日志记录；</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21．温度45±2°C、持续时间2h、处于非工作状态，试验后样机应能正常工作。</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32路硬盘录像机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1．支持全新UI4.0界面风格；</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2．支持嵌入式Linux系统，工业级嵌入式微控制器；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3．支持WEB、本地GUI界面操作；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4．支持Smart H.265;H.265;Smart H.264;H.264/MJPEG码流；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5．支持VGA、HDMI异源输出，HDMI视频输出分辨率最高达4K；</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6．支持1路后智能人脸检测比对； 最大10个人脸库，共20000张人脸图片；2路后智能周界检测；4路后智能SMD；</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7．支持前智能：人脸检测比对、周界防范、通用行为分析、立体行为分析、人群分布、人数统计、热度图、SMD功能；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8．可接驳支持ONVIF、RTSP协议的第三方摄像机和主流品牌摄像机；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9．支持IPv4、IPv6、HTTP、NTP、DNS、ONVIF网络协议；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10．支持16M/12M/8M/6M/5M/4M/3M/1080P/960P/720PIPC分辨率接入；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11．支持语音对讲，客户端通过NVR与网络摄像机进行语音对讲；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12．支持按时间、按事件等多种方式进行录像的检索、回放、备份，支持图片本地回放与查询；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13．支持标签自定义功能，设备支持对指定时间的录像进行标签并归档，便于后续査看；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14．支持本机硬盘、网络等存储方式，支持硬盘、外接USB存储设备备份方式；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15．支持设备操作日志、报警日志、系统日志的记录与查询功能；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16．支持断网续传功能，能对前端摄像机断网这段时间内SD卡中的录像回传到NVR；</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17．支持即时回放功能，在预览画面下回放指定通道的录像；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18．支持预览图像与回放图像的电子放大；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19．采用 协议，可以通过鼠标控制云台转动、放大、定位等操作；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20．支持远程管理IPC功能，支持对前端IPC远程升级，支持远程对IPC的编码配置修改等操作；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21．支持远程零通道预览功能，可将接入的多路视频图像多画面显示在一路视频图像上；</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22．支持盘组管理功能，实现视频录像的定向存储；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23．支持配额管理功能，实现按通道分配不同的录像天数进行存储；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24．支持走廊模式功能，支持IPC画面旋转90°或270°，成9:16走廊模式；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25．支持 云联功能，支持云联APP远程监控，预览，回放。</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16路硬盘录像机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1．支持全新UI4.0界面风格；</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2．支持嵌入式Linux系统，工业级嵌入式微控制器；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3．支持WEB、本地GUI界面操作；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4．支持Smart H.265;H.265;Smart H.264;H.264/MJPEG码流；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5．支持VGA、HDMI异源输出，HDMI视频输出分辨率最高达4K；</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6．支持1路后智能人脸检测比对； 最大10个人脸库，共20000张人脸图片；2路后智能周界检测；4路后智能SMD；</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7．支持前智能：人脸检测比对、周界防范、通用行为分析、立体行为分析、人群分布、人数统计、热度图、SMD功能；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8．可接驳支持ONVIF、RTSP协议的第三方摄像机和主流品牌摄像机；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9．支持IPv4、IPv6、HTTP、NTP、DNS、ONVIF网络协议；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10．支持16M/12M/8M/6M/5M/4M/3M/1080P/960P/720PIPC分辨率接入；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11．支持语音对讲，客户端通过NVR与网络摄像机进行语音对讲；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12．支持按时间、按事件等多种方式进行录像的检索、回放、备份，支持图片本地回放与查询；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13．支持标签自定义功能，设备支持对指定时间的录像进行标签并归档，便于后续査看；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14．支持本机硬盘、网络等存储方式，支持硬盘、外接USB存储设备备份方式；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15．支持设备操作日志、报警日志、系统日志的记录与查询功能；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16．支持断网续传功能，能对前端摄像机断网这段时间内SD卡中的录像回传到NVR；</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17．支持即时回放功能，在预览画面下回放指定通道的录像；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18．支持预览图像与回放图像的电子放大；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19．采用 协议，可以通过鼠标控制云台转动、放大、定位等操作；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20．支持远程管理IPC功能，支持对前端IPC远程升级，支持远程对IPC的编码配置修改等操作；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21．支持远程零通道预览功能，可将接入的多路视频图像多画面显示在一路视频图像上；</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22．支持盘组管理功能，实现视频录像的定向存储；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23．支持配额管理功能，实现按通道分配不同的录像天数进行存储；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24．支持走廊模式功能，支持IPC画面旋转90°或270°，成9:16走廊模式；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25．支持 云联功能，支持云联APP远程监控，预览，回放。</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操作键盘</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1．10.1英寸电容触摸屏，分辨率1280*800；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2．支持H.265、H.264、H264H、H264B、MJPEG、MPEG4、SVAC、SmartH.264 、非标码流等；最大16画面分割；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3．支持在触屏观看图像或通过HDMI将图像投到屏幕上；</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4．16路200W(1080p)@30fps（4096Kb/s）"；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5．支持最大2万路设备控制；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6．支持支持抓图、录像功能，文件保存至U盘；</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7．USB2.0和USB3.0各2个；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8．4路报警输入，高低电平可调；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9．4路报警输出，3路继电器，1路12V_1A可控"；</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人脸识别NVR</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主处理器：64位高性能多核处理器；</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操作系统：嵌入式Linux操作系统；</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GPU：设备内置1颗高性能GPU，单颗GPU算力22TOPS（int8），每颗GPU最多可虚拟成4个智能引擎，每个智能引擎支持最多单独运行一类算法（以具体算法的加载要求为准）；</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后智能分析：1.支持最大选配8类算法；2.后智能分析支持实时模式和分时轮巡模式切换，在分时轮巡模式下，依据算法能力不同，可配置分时视频分析和轮巡视频分析；3.支持展示所有安装的算法及版本，展示算法状态，可对已安装的算法进行手动更新；</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人脸检测（前智能）：配套前智能摄像机，支持24路200万或24路400万分辨率前智能；</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人脸识别（前智能）：配套前智能摄像机，支持24路200万或24路400万分辨率前智能；</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结构化（前智能）：配套前智能摄像机，支持24路200万或24路400万分辨率前智能；</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通用行为分析（前智能）：配套前智能摄像机，支持24路200万或24路400万分辨率前智能；</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人数统计：配套前端摄像机，支持绊线人数统计；区域人数统计；排队人数统计；拥堵检测；</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接入路数：64路；</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网络带宽：384Mbps接入、384Mbps存储、384Mbps转发；</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分辨率：32MP；24MP；16MP；12MP；8MP；6MP；5MP；4MP；3MP；1080p；720p；</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解码能力：1路32MP;1路24MP;2路16MP;5路8MP@30fps;6路6MP@30fps;8路5MP@30fps;10路4MP@30fps;20路1080p@30fps;45路720p@30fps；</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音频输入：1路；</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音频输出：1路；</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报警输入：16路；</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报警输出：8路；</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硬盘接口：9个；SATA；单盘最大24TB，接第9块硬盘需要拓展支架；</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电源接口：单电源；</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外观形态：2U机架；</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可接入普通相机，配置应用视觉大模型，可对各类设备运行状态进行检测；可自定义创建算法，最多可创建64个算法，可对算法进行管理，并可按通道快速应用部署；可对指定设备进行跟踪并识别运行状态，运行状态包括运动报警、静止报警、运动到静</w:t>
            </w:r>
            <w:r>
              <w:rPr>
                <w:rFonts w:hint="eastAsia" w:ascii="宋体" w:hAnsi="宋体" w:eastAsia="宋体" w:cs="宋体"/>
                <w:sz w:val="21"/>
                <w:szCs w:val="21"/>
                <w:lang w:bidi="ar"/>
              </w:rPr>
              <w:t xml:space="preserve">止报警、静止到运动报警，当触发事件报警，可在界面实时弹出报警窗口、报警面板滚动展示报警信息、报警中心实时展示报警信息并可查看详情，可按事件类型和状态报警类型进行查看报警记录，可联动录像、抓图、蜂鸣、邮件、报警上传、本地报警输出、远程报警输出、远程语音、远程警戒灯、门禁、音频、预置点（云台）以及日志记录（应满足依据GB/T 30147-2013安防监控视频实时智能分析设备技术要求的标准，采用CMA认证的第三方检测机构提供的检测结果为:“符合”或“达标”或“通过”或“合格”的检测报告为佐证并加盖投标单位公章）；</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▲具有独处行为、 拌线入侵、 区域入侵、 打架斗殴、 跌倒行为检测， 并可抓拍关联人脸、 识别异常行为和识别人员身份信息， 当触发事件报警时，可在预览界面实时弹出报警窗口、 报警</w:t>
            </w:r>
            <w:r>
              <w:rPr>
                <w:rFonts w:hint="eastAsia" w:ascii="宋体" w:hAnsi="宋体" w:eastAsia="宋体" w:cs="宋体"/>
                <w:sz w:val="21"/>
                <w:szCs w:val="21"/>
                <w:lang w:bidi="ar"/>
              </w:rPr>
              <w:t xml:space="preserve">面板滚动展示报警信息、 报警中心实时展示报警信息并可查看详情；可按事件类型查看报警记录， 报警记录展示异常行为报警信息、 抓拍人脸图、 身份比对人脸图， 可联动录像、抓图、 蜂鸣、 邮件、 报警上传、 本地报警输出、 远程报警输出、 远程语音、 远程警戒灯、 门禁、 音频、 预置点（云台）以及日志记录（应满足依据GB/T 30147-2013安防监控视频实时智能分析设备技术要求的标准，采用CMA认证的第三方检测机构提供的检测结果为:“符合”或“达标”或“通过”或“合格”的检测报告为佐证并加盖投标单位公章）；</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▲具有文本布控功能， 可使用文本描述目标关键特征，快速开启布防任务；可对大模型功能进行管理， 基于大模型能力扩展新算法， 通过输入自然语言生成新算法并进行部署和应用；可将小模型关联文本算法实现大小模型协同编排报警；具有零样本创建算法功能， 可在1min内完成零样本自定义算法创建， 并完成算法冷启动（应满足依据GB/T 30147-2013安防监控视频实时智能分析设备技术要求的标准，采用CMA认证的第三方检测机构提供的检测结果为:“符合”或“达标”或“通过”或“合格”的检测报告为佐证并加盖投标单位公章）；</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供电方式：100-240VAC，50-60Hz；</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工作温度：0℃～+55℃；</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储存温度：-20℃～+70℃；</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工作湿度：10%～90%RH（无凝结）；</w:t>
            </w:r>
            <w:r/>
          </w:p>
          <w:p>
            <w:pPr>
              <w:numPr>
                <w:ilvl w:val="0"/>
                <w:numId w:val="3"/>
              </w:numPr>
              <w:ind w:right="0" w:firstLine="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储存湿度：5%～95%RH（无凝结）。</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行为分析服务器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主处理器：64位高性能多核处理器；</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操作系统：嵌入式Linux操作系统；</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GPU：设备内置1颗高性能GPU，单颗GPU算力22TOPS（int8），每颗GPU最多可虚拟成4个智能引擎，每个智能引擎支持最多单独运行一类算法（以具体算法的加载要求为准）；</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后智能分析：1.支持最大选配8类算法；2.后智能分析支持实时模式和分时轮巡模式切换，在分时轮巡模式下，依据算法能力不同，可配置分时视频分析和轮巡视频分析；3.支持展示所有安装的算法及版本，展示算法状态，可对已安装的算法进行手动更新；；</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高空抛物：配套高空抛物摄像机，支持高空抛物轨迹显示；</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人脸检测（前智能）：配套前智能摄像机，支持24路200万或24路400万分辨率前智能；</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人脸识别（前智能）：配套前智能摄像机，支持24路200万或24路400万分辨率前智能；</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结构化（前智能）：配套前智能摄像机，支持24路200万或24路400万分辨率前智能；</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通用行为分析（前智能）：配套前智能摄像机，支持24路200万或24路400万分辨率前智能；</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人数统计：配套前端摄像机，支持绊线人数统计；区域人数统计；排队人数统计；拥堵检测；</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接入路数：64路；</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网络带宽：384Mbps接入、384Mbps存储、384Mbps转发；</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分辨率：32MP；24MP；16MP；12MP；8MP；6MP；5MP；4MP；3MP；1080p；720p；</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解码能力：1路32MP;1路24MP;2路16MP;5路8MP@30fps;6路6MP@30fps;8路5MP@30fps;10路4MP@30fps;20路1080p@30fps;45路720p@30fps；</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音频输入：1路；</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音频输出：1路；</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报警输入：16路；</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报警输出：8路；</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硬盘接口：9个；SATA；单盘最大24TB，接第9块硬盘需要拓展支架；</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电源接口：单电源；</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外观形态：2U机架；</w:t>
            </w:r>
            <w:r/>
          </w:p>
          <w:p>
            <w:pPr>
              <w:pStyle w:val="857"/>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22.▲可将预览画面、 回放画面、 文搜图关联录像画面进行视频冻结， 并支持对文搜图结果图片进行冻结， 通过手动或自动的方式框选人/车目标， 将所选目标和数据库中的历史目标抓拍数据进行比对检索， 检索结果可根据相似度或抓拍时间进行排序展示（应满足依据GB/T 30147-2013安防监控视频实时智能分析设备技术要求的标准，采用CMA认证的第三方检测机构提供的检测结果为:“符合”或“达标”或“通过”或“合格”的检测报告为佐证并加盖投标单位公章）；</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供电方式：100-240VAC，50-60Hz；</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工作温度：0℃～+55℃；</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储存温度：-20℃～+70℃；</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工作湿度：10%～90%RH（无凝结）；</w:t>
            </w:r>
            <w:r/>
          </w:p>
          <w:p>
            <w:pPr>
              <w:numPr>
                <w:ilvl w:val="0"/>
                <w:numId w:val="4"/>
              </w:numPr>
              <w:ind w:right="0" w:firstLine="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储存湿度：5%～95%RH（无凝结）。</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NTP时钟服务器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br/>
            </w:r>
            <w:r>
              <w:rPr>
                <w:rFonts w:hint="eastAsia" w:ascii="宋体" w:hAnsi="宋体" w:eastAsia="宋体" w:cs="宋体"/>
                <w:sz w:val="21"/>
                <w:szCs w:val="21"/>
                <w:lang w:bidi="ar"/>
              </w:rPr>
              <w:t xml:space="preserve">1.每一路时间信号都可以独立设置输出信号格式；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2.GPS/BD信号；</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3.通道数：48通道；</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4.捕获时间：热启动时间＜1min、冷启动时间＜25min；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5.授时能力：1200次/秒；</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6.守时精度：≤100us（24 小时）；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7.授时精度：≤1ms；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8.网络接口：RJ45以太网接口，管理口是百兆接口，NTPINP、NTP1、NTP2是千兆接口；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9.AC：90～240V，55Hz±8Hz；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10.工作温度：-40° C- +85°C；</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11.湿度：5% 至 95%，无凝结。</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车辆管理服务器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支持过车信息实时发布和滚动发布，支持发布车牌、速度、违法信息、抓拍地址、抓拍时间等过车信息和自定义信息，支持卡口和多种违法类型内容发布，及字体颜色单独设置，支持立即显示、上下左右移动、闪烁等多种显示风格设置，支持按速度区间区别显示所发布信息颜色，支持内容语音播报及分时间段屏幕亮度设置，支持卡口及多种违法类型语音播报内容独立设置，支持语音、语速、语调、音量设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2．支持视频接入和卡口合成两种工作模式切换，视频接入模式支持16路高清视频及图片输入，无图片合成功能，卡口合成模式支持12路高清视频及图片输入，同时支持图片合成；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3．内置16个10M/100M自适应以太网口，视频接入模式最大码流支持288Mbps，卡口合成模式最大码流支持240Mbps；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4．支持一对多、多对一、多对多通道区间测速，支持多区间独立配置，支持区分大小车以及高低限速值，支持异常测速值过滤，支持根据不同超速比设置对应的违法名称和违法代码；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1/2/3/4/5/6张图片普通合成和关联合成，支持两通道、三通道、多通道关联匹配并将图片合成或编组，支持ID匹配、车牌匹配、先ID后车牌匹配方式，支持以车型、车道、车牌颜色、车身颜色进行模糊匹配，支持多匹配方案独立设置，合成形状、顺序和特写图片序号可自定义设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6．支持对设备主从属性设置，1个主设备最多可添加4个从设备；主设备可对从设备进行视频预览、图片查询、统计结果展示、录像回放等操作；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7．支持路口管理统计，可对路口的设备状态、卡口、流量、违法、事件进行分类管理和统计，并通过折线图或柱状图展示，支持日报表和周报表；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8．支持双网卡路由设置，支持表格形式展示已添加的路由；</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9．支持按时间、通道、违法类型、车牌、车速、车道、对象类型、车牌颜色、车身颜色、主/副驾驶安全带状态、主/副驾驶遮阳板状态查询图片功能，支持csv或excel格式导出查询结果；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支持按时间或文件下载图片及关联录像，关联录像时长可自定义设置1-100秒，支持将图片附带的特写图、车牌图片、主驾驶图片、副驾驶图片、非机动车人脸、行人人脸抠图分离并下载，图片及关联录像下载命名格式，可分卡口和违法自定义设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11．支持接入视图库GA/T1400、国标GB/T28181-2016、国标GB35114A-2017；</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12．标配1个2T硬盘，最大支持4个SATA接口3.5" 4T硬盘（空盘位不包含硬盘安装配件，配件见标准配置清单）；</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13．支持手动上传图片至平台和FTP服务器，可自定义设置通道、时间、图片类型；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14．支持上传状态可视化，可展示对接2个平台的图片上传结果，及上传成功或失败的时间节点记录；</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15．支持IEEE802.1X协议，支持PEAP认证模式；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16．支持3个FTP同时传输，原始图片、合成图片、车身图片、车牌图片、关联录像、主驾驶图片、副驾驶图片、行人人脸图片、非机动车人脸图片上传类型可选，FTP连接模式长连接或短连接可选；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17．支持集成我司协议的第三方相机接入，可进行视频预览、存储，图片接收、合成、存储及转发；</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18．支持跨网段远程升级、配置前端摄像机；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19．支持按时间、通道查询车流量功能，支持CSV格式导出查询结果；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20．支持GPS/北斗功能；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21．支持硬盘图片和录像配额比例设置，支持盘满循环覆盖；</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22．断网续传、自动注册、黑白名单导入导出、数据防删改功能；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23．支持接收与储存违法图片，可选图片类型包括不礼让横向行人、非法加装牛眼灯；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24．支持按照抓拍时间查询和存储时间查询两种方式查询图片；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25．支持关联合成卡口重用，当抓拍到车辆在卡口有多种违法行为时，可以将多违法抓拍图片进行合成；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26．支持在关联合成方案配置中开启模糊匹配后，只对黄牌车抓拍图进行匹配合成。</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8T企业级硬盘</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1.硬盘接口：SATA；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2.转速：5400RPM；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3.缓存：256MB</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395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综合管理平台服务器</w:t>
            </w:r>
            <w:r/>
          </w:p>
        </w:tc>
        <w:tc>
          <w:tcPr>
            <w:tcBorders>
              <w:top w:val="single" w:color="000000" w:sz="4" w:space="0"/>
              <w:left w:val="single" w:color="000000" w:sz="4" w:space="0"/>
              <w:bottom w:val="single" w:color="000000" w:sz="4" w:space="0"/>
              <w:right w:val="single" w:color="000000" w:sz="4" w:space="0"/>
            </w:tcBorders>
            <w:tcW w:w="2246"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软件集成系统管理、视频管理、报警管理、门禁管理、可视对讲、车辆卡口、设备运维、停车管理、园区工作台、安全数据库10大业务系统；</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一、系统管理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1、基础资源管理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（1）支持组织基础信息的增删改查、导入、导出等功能；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（2）提供设备的统一接入及管理，包含：视频设备、门禁设备、出入口设备、对讲设备、报警设备、卡口设备、动环设备、物模型设备等；支持设备的增删改查、导入、导出、自动搜索等功能；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（4）支持角色基础信息的增删改查；角色关联权限，可配置角色的应用菜单、部门、逻辑组织以及系统资源操作权限；支持角色的复制能力；</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（5）支持部门基础信息的增删改查、导入、导出等功能；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（6）支持人员基础信息的增删改查、导入、导出、移动等功能；支持人员信息的采集，包含：人脸、指纹、卡片等，人脸照片支持图片质量检测；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（7）支持卡片基础信息的增删改查、导入、导出等功能；支持人员开卡、挂失、解挂、退卡、补卡、回收等功能；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（8）支持车辆基础信息的增删改查、导入、导出等功能；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（9）提供地图管理配置能力，地图类型包含；二维、光栅、三维地图，支持厂家包含：百度、谷歌、高德、天地图、 Arcgis；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（10）支持平台资源绑定，包含：设备、通道等，绑定的资源可供各业务系统调阅使用；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提供门户首页内容自定义能力，支持自定义快捷入口、自定义菜单内容、自定义页面元素设置；支持门户展示元素自定义，包括页面logo图标、修改网站标题、设置并添加网站外部链接、界面微件自定义布局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（12）提供级联管理能力，包含：实现上下级基础资源数据汇聚，视频预览、回放、对讲、反控制，门禁、卡口的抓拍记录汇聚等；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2、平台运维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（1）支持平台运维，提供服务部署维护功能、支持模块化升级部署、系统资源使用情况监控等运维相关功能；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（2）支持级联、分布式、集群，实现系统扩展及稳定性要求；</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（3）支持双机热备，提升系统灾备能力，保障系统的可靠性；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（4）支持mysql数据库、云数据库切换配置，满足图片、视频、结构化数据的按需求存储；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（5）支持标准开放平台，提供rest ful 等多维度接口实现第三方系统对接；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（6）提供NTP校时服务能力，支持对服务间、服务器和设备间的统一校时；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（7）集成可信计算能力，支持程序包可信安装升级完整性校验，以及监控可执行文件可信执行功能，阻止未经授信的可疑程序（如防勒索病毒、挖矿程序）对系统造成破坏；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二、软件功能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1、视频管理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（1）支持实时视频、录像回放、录像下载、电视墙、雷球联动，热成像；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（2）支持与车载单兵等移动设备的对接，提供车载单兵设备GPS信息接收服务；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（3）支持手机移动客户端进行实时视频监控，音频播放，本地截图，本地录像，云台控制，远程视频回放；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（4）录像支持1/2、1/4、1/8、1/16、1/32、1/64、2、4、8、16、32、64倍速快/慢放；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2、报警管理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（1）支持报警主机接入及布撤防；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（2）提供防区管理功能检查，支持自动获取设备防区类型（即时防区、延时防区、24小时防区)并可自定义修改类型，客户端支持防区布防、撤防、消警、旁路、隔离、取消旁路操作；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3、车辆卡口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（1）支持道路监控、过车记录、布控记录、违章信息、区间测试；</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（2）支持布控报警及相关记录信息查询；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4、停车管理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（1）支持出入口管理、场区管理、地图管理、收费规则管理、用户布控设置、场内超速报警；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（2）支持在线支付和无人值守；</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停车概览引导，可依据停车向导跳转至对应页面，流程化完成停车业务，向导包含：停车设备、场区设置、收费规则管理、二维码管理、支付配置、系统配置；同时包括了部分统计数据，包括：今日泊位概况、今日收款占比、收款统计、车流量统计、用户总览；</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5、门禁管理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（1）支持门禁设备管理；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（2）支持门禁应用，包括门禁的可视化开门、关门、常开、常闭、恢复正常，支持按组织、门组、收藏夹快速分类筛选门禁设备，支持紧急情况下的一键常开、恢复正常；</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（3）支持门禁控制授权及复核，支持门禁管理任务查询；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（4）支持门禁系统集群，分布式方式提升接入能力；</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（5）支持门禁可视化权限下发，实时展示平台当前的授权下发速率、下发进度、预计完成时间，可根据当前平台总体未完成记录数与总体下发的速率，综合换算出授权下发预计完成时间；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6、可视对讲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（1）支持设备管理、权限分组、呼叫分组、监控权限分组、信息发布分组；</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（2）支持卡片、人脸等授权及复核；</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（3）支持呼叫通话、信息发布、开门记录查询；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（4）支持在无室内机场景下实现门口机呼叫虚拟室内机转移至管理中心、小区APP和云移动端APP进行接听；</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7、设备运维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（1）资源监控模块：支持对前端点位、物联设备、动环主机、服务器、服务进行统一纳管监控运，绘制服务拓扑；</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（2）报警管理模块：支持对所纳管资源配置报警策略，并将产生的报警消息进行统一汇聚和展示，支持对报警进行确认处理，联动工单，推送报警消息、短信及邮件；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（3）自动化巡检模块：支持对前端视频点位的视频质量及录像巡检、服务器及服务的资源占用巡检、网络环境巡检；</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（4）可视化报表模块：支持故障工单统计和报警统计；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（5）系统内置前端设备、软硬件等资产类型，并可新增自定义资产类型；支持资产类型建模功能，支持新增属性类别及属性；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8、加密数据库</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（1）原生加密：支持采用多层级密钥保护体系，对数据做全链路加密；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（2）极致安全: 支持安全网络传输来防护网络拦截造成的信息泄露。支持一机一密的数据密态存储，让数据可用不可读；</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（3）无感对接：支持非加密数据一键导入到平台，实现数据切换；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可视化运维：提供数据库的运行监控大盘，包括CPU、内存及存储空间实时使用情况，慢sql统计分析。同时支持数据的备份还原，及时主机损坏也能通过备份数据快速恢复到新平台上，保护数据不丢失，业务稳定运行；</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三、性能规格</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1、支持管理视频通道点位不少于100万路；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2、支持管理门禁点位不少于100000路，管理存储门禁记录不少于1亿条；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3、支持管理室内机点位不少于10000路，虚拟室内机不少于200000路；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4、支持管理园区卡口点位不少于10000路；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5、支持管理出入口车道不少于500进500出，车位不少于10000个；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6、支持管理用户数量不少于100万个，支持同时用户在线数量不少于5000个；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四、系统兼容与开放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1、国产化服务器兼容：支持在市面上主流的国产化服务器部署平台，；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2、用户终端兼容：支持提供WEB端、CS端（客户端）、APP、公众号、小程序等；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3、国产化操作系统兼容：支持适配市面上主流的国产化操作系统；</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4、平台配套的APP支持鸿蒙系统；</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5、平台开放兼容，支持提供API接口满足三方系统对接需求；</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6、支持提供容器系统，满足可视化应用开发规范和可插拔式业务加载，满足不同业态应用融合，统一呈现。</w:t>
            </w:r>
            <w:r/>
          </w:p>
          <w:p>
            <w:pPr>
              <w:pStyle w:val="857"/>
              <w:ind w:left="0" w:right="0"/>
              <w:jc w:val="left"/>
              <w:keepLines w:val="0"/>
              <w:keepNext w:val="0"/>
              <w:spacing w:before="0" w:beforeAutospacing="0" w:after="0" w:afterAutospacing="0"/>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四、软件著作</w:t>
            </w:r>
            <w:r/>
          </w:p>
          <w:p>
            <w:pPr>
              <w:ind w:left="0" w:right="0"/>
              <w:jc w:val="left"/>
              <w:keepLines w:val="0"/>
              <w:keepNext w:val="0"/>
              <w:spacing w:before="0" w:beforeAutospacing="0" w:after="0" w:afterAutospacing="0"/>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1、▲提供门禁系统类软件的著作权登记证书复印件与中国版权保护中心网页查询结果截图并加盖投标单位公章。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综合管理平台软件</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监控模块</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门禁模块</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道闸模块</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监控授权</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832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门禁授权</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道闸授权</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4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人闸授权</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86寸教育平板</w:t>
            </w:r>
            <w:r>
              <w:rPr>
                <w:rStyle w:val="888"/>
                <w:rFonts w:hint="eastAsia" w:ascii="宋体" w:hAnsi="宋体" w:eastAsia="宋体" w:cs="宋体"/>
                <w:color w:val="auto"/>
                <w:sz w:val="21"/>
                <w:szCs w:val="21"/>
                <w:lang w:bidi="ar"/>
              </w:rPr>
              <w:t xml:space="preserve">（3C认证）</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1、高精度红外触控，零贴合工艺；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 4K 超高清显示；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3、支持双系统切换；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 Office等多种办公软件和音视频文件播放；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5、支持有线和无线网络双系统上网；</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6、内置1300万高清摄像头；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7、内置麦克风，支持远场拾音；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8、内置2.0声道音响，2个中高音喇叭；</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9、前置八大功能按键，便捷操作；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10、前置TYPE-C接口，支持音视频和触控信号传输；</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校园智慧管理终端（OPS)</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1．内存：8GB；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2．硬盘：256GB；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3．无线：1 × 2230 PCIE/USB2.0，WIFI/BT Module；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4．按键：前置，1×电源开关按键，1×还原按键（凹入式插孔）；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5．电源接口：1 × 2.5mm×5.2mm DC IN接口；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6．网络接口：1×RJ45（10/100/1000Mbps）；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7．USB接口：4×USB3.0 Type-A，2×USB2.0 Type-A；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8．TYPE-C接口：1×USB3.0 Type-C；</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9．DP接口：1×DP1.2 out，Max.4K/60Hz；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10．HDMI接口：1×HDMI 1.4 out，Max.4K/30Hz；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11．音频接口：1×3.5mm Line out，1×3.5mm Mic in；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12．扩展接口：1×80pin JAE接口；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13．工作电压：DC12V-19V；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14．待机功耗：0.8W</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434"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B.安防电子围栏报警</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张力围栏控制器(双防区）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1．5．0寸以上液晶触控屏；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2．可显示围栏线制、拉力值、报警阈值、报警状态（拉紧、松弛、断线报警）等信息；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3．拉紧、松弛、断线报警可精确定位到某根线；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4．可定时控制报警阈值和布/撤防；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5．支持防拆、故障报警；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6．防区可设置24小时禁止撤防模式；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7．支持DC12V辅助电源输出接口，连接警灯时无需再增加辅助电源；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8．可外接蓄电池或UPS，系统断电可正常工作12小时以上；</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9．支持RS485和网口TCP/IP通讯协议，具备远程查看主机信息、远程布/撤防、报警阈值调节等功能；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10．支持USB接口，可通过USB接口升级程序；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11．支持用户登陆操作设置密码。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12．可链接手机APP软件，通过手机APP进行智能查看和管理。</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张力围栏控制器(单防区）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1．5．0寸以上液晶触控屏；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2．可显示围栏线制、拉力值、报警阈值、报警状态（拉紧、松弛、断线报警）等信息；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3．拉紧、松弛、断线报警可精确定位到某根线；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4．可定时控制报警阈值和布/撤防；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5．支持防拆、故障报警；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6．防区可设置24小时禁止撤防模式；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7．支持DC12V辅助电源输出接口，连接警灯时无需再增加辅助电源；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8．可外接蓄电池或UPS，系统断电可正常工作12小时以上；</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9．支持RS485和网口TCP/IP通讯协议，具备远程查看主机信息、远程布/撤防、报警阈值调节等功能；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10．支持USB接口，可通过USB接口升级程序；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11．支持用户登陆操作设置密码。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12．可链接手机APP软件，通过手机APP进行智能查看和管理。</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电源</w:t>
            </w:r>
            <w:r>
              <w:rPr>
                <w:rStyle w:val="888"/>
                <w:rFonts w:hint="eastAsia" w:ascii="宋体" w:hAnsi="宋体" w:eastAsia="宋体" w:cs="宋体"/>
                <w:color w:val="auto"/>
                <w:sz w:val="21"/>
                <w:szCs w:val="21"/>
                <w:lang w:bidi="ar"/>
              </w:rPr>
              <w:t xml:space="preserve">（3C认证)</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AC220V输入AC24V输出，2A</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六道双防区控制杆</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t xml:space="preserve">防水等级：IP66（应满足依据GA/T1032-2013《张力式电子围栏通用技术要求》，采用CMA认证的第三方检测机构提供的检测结果为:“符合”或“达标”或“通过”或“合格”的检测报告为佐证并加盖投标单位公章）；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2．材质：控制杆体采用铝合金+抗氧化处理，底座和配件螺丝均采用SUS304不锈钢材质；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3．张力探测杆内置万向型传感器，可全方位探测拉力值，精度为±1N；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4．内置收紧电机，应无需手动紧线，可控制电机收紧或放松张力线。可设置警戒张力值，由于环境、气候等变化导致张力值变化，应可电动电机自动收紧或放松张力线；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5．支持攀爬报警功能（选配）高1200mm。</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六道单防区控制杆</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1．防水等级：IP66；</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2．材质：控制杆体采用铝合金+抗氧化处理，底座和配件螺丝均采用SUS304不锈钢材质；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3．张力探测杆内置万向型传感器，可全方位探测拉力值，精度为±1N；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4．内置收紧电机，应无需手动紧线，可控制电机收紧或放松张力线。可设置警戒张力值，由于环境、气候等变化导致张力值变化，应可电动电机自动收紧或放松张力线。</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壁挂红外幕帘探测器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1．产品内置双元热释红外传感器，有效提高报警准确率；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2．探测器探测距离6m，探测角度15°；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3．报警输出常开/常闭信号，适应不同项目需求；</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4．探测器内置防拆开关，防拆报警输出，更加安全可靠；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5．支持双向数字温度补偿技术，确保高温环境下探测距离不衰减；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6．支持数字抗白光技术，专用滤光镜片，抗白光等级6500Lux；</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7．抗EMC、RFI干扰,适应基站、货仓等较为恶劣的使用环境；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8．支持报警延时功能，可设置5S报警延时，满足不同项目需求；</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9．支持3.6m以下的安装高度，适应不同项目需求；</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10．产品自带86盒安装支架，可根据现场情况选择壁挂或吸顶的安装方式。</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防盗报警控制器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自带8个防区接口，自带1个控制键盘，485双总线可接518防区，可链接16个键盘，存储999条记录。</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报警主机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1．支持本地32路报警输入，最大可扩展到256路；支持接入常开或常闭型探测器；支持探测器防拆、防短、防遮挡功能;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2．支持本地4路报警输出，最大可扩展到256路；支持强制开启、强制关闭、自动控制功能，支持报警联动;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3．支持即时防区、延时防区、24小时无声等多种防区类型;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4．支持报警输入输出接口电路保护功能;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5．支持异常报警，包括主机防拆报警、键盘防拆报警、主电掉电报警、蓄电池掉电报警、蓄电池欠压报警、PSTN掉线报警、网络断开报警、IP冲突报警、MAC冲突报警等;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6．支持2路RS-485接口，支持最大32路键盘接入，支持打印机接入;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7．支持火警、医疗、胁迫等紧急报警;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8．支持CID（Contact ID protocol），支持话机复用（拨打个人电话功能需定制PSTN硬件模块）;</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9．可选4G模块，支持短信报警，设置个人电话后TTS语音报警，支持4G电话反控，无线网络支持主动注册;</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10．支持键盘、WEB多种配置方式，支持快速配置向导，支持远程配置及查询;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11．支持最多8个子系统，支持单防区和子系统布撤防，支持键盘、遥控器、IC卡等多种布撤防方式;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12．支持多个接警中心和报警数据上传策略;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13．支持海量日志查询功能;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14．支持远程升级;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15．支持多种设备恢复方式;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16．支持双网口，2个有线中心。</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单防区模块</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1．8位拨码开关、可设255防区地址；</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2．支持1路防区输入扩展；</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3．支持最大传输距离2400m；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4．支持总线供电；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5．遵循MBus通讯协议。</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报警软件</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1．首页界面可同时显示多张电子地图，地图画面数量可切换成一、四、六、八、十六，最多可同时显示十六张电子地图；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2．防区报警时，弹框提示报警内容，报警提示框内应显示当前报警防区的地图和报警点的位置，如防区绑定网络摄像机，则报警提示框内应显示当前报警防区的视频画面；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3．可实时显示每个防区的工作状态如：报警、布/撤防、在线/离线等；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4．可定时设置前端防区的报警阈值和布/撤防；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5．周界地图防区，用户可自由绘制，可绘制圆点与直线，报警时可直观呈现出报警防区范围；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6．支持LED电子地图联动与视频联动；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7．支持查看网络摄像机图像；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8．每个防区可同时绑定4个网络摄像机，当防区报警时主界面可同时弹出对应防区的4路图像，同时也可多个防区绑定1个网络摄像机；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9．具备报警视频录像本地化存储，提供报警视频录像远程回放；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10．可通过报警记录点击查看报警视频录像；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11．报警记录的视频录像存储时长可设置；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12．可自定义报警记录、报警视频录像与系统日志的保存期限，自动清除超期记录、与视频录像；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13．系统可分为二级权限管理，可自定义权限管理内容，用户使用更灵活；</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14．提供短信服务功能，可实现短信报警，用户可自定义接警手机。</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蓄电池</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DC12V7AH</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警示灯（室内）</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额定电压：DC 12V 额定电流：300mA 闪动频次：150次/分</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32路继电器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LED电子模拟墙显示、标准配置32防区、可扩展至255个防区</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电子地图</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1平方米</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32路继电器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视频联动</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紧急按钮</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1．支持常开/常闭的触点模式，一键紧急报警；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2．支持凸出墙体表面安装，螺丝固定；</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3．支持电压≤250VDC，电流≤300mA的环境下工作；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4．设备无需供电；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5．自带配套复位钥匙，出警确认警情，通过钥匙复位；</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声光报警器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同时发出警号和闪光</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声光报警器电源</w:t>
            </w:r>
            <w:r>
              <w:rPr>
                <w:rStyle w:val="888"/>
                <w:rFonts w:hint="eastAsia" w:ascii="宋体" w:hAnsi="宋体" w:eastAsia="宋体" w:cs="宋体"/>
                <w:color w:val="auto"/>
                <w:sz w:val="21"/>
                <w:szCs w:val="21"/>
                <w:lang w:bidi="ar"/>
              </w:rPr>
              <w:t xml:space="preserve">（3C认证)</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12V2A</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单兵设备</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1．处理器：8核 2.4GHz；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2．显示屏：6.3英寸,分辨率1080*2340，支持120HZ高刷；</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3．内部存储：8+256GB；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4．外部存储：最大支持256GB TF卡；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5．后摄像头：4800W+500W；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6．前摄像头：800W；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7．电池容量：5500mAh；</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8．网络：5G全网通；</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9．麦克风：数字MIC，智能降噪；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10．电声：前置双喇叭；</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11．WIFI：2.4G&amp;5G,WIFI6；</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12．蓝牙：5.1；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13．NFC：支持；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14．定位：GPS+北斗+格洛纳斯；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15．外部接口：TYPE-C；</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16．SIM卡类型：双SIM卡+TF（双卡槽，其中一个支持SIM卡与TF卡混插）；</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17．指纹识别：带指纹识别；</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18．传感器：光距感应,加速度，地磁 ，陀螺仪；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19．充电指示灯：支持；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20．系统：安卓11；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21．存储温度：零下30~+70摄氏度；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22．工作温度：零下20~+55摄氏度；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23．防护等级：IP68，跌落1.5米大理石板；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24．温湿度要求：相对湿度5%~95%；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25．充电器：标配，15W快充；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26．数据线：标配，Tpye-C数据线。</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无声式一键报警按钮</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1．紧急求助功能；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2．支持PSTN电话链路对讲功能；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3．采用200万像素低照度CMOS摄像头、星光级图像传感器；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4．采用高灵敏度麦克风，拾音距离可达10米，语音清晰，内置3W扬声器；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5．支持语音播报、分组广播功能；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6．支持明装安装；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7．支持双网卡；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8．整机支持IP66，室外产品。</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接警机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1．主处理器：高性能嵌入式处理器；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2．操作系统：Android 11.0；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3．按键类型：机械按键；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4．接入标准：ONVIF；CGI；SDK；SIP；</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5．网络协议：IPv4；RTSP；UDP；FTP；RTP；TCP；</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6．屏幕类型：电容触摸屏；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7．显示屏：10.1英寸显示屏；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8．显示屏分辨率：1024×600；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9．音频输入：2路；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10．音频输出：内置喇叭;听筒扬声器；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11．状态指示灯：2个，红色-电源指示灯，绿色-信息指示灯；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12．通讯方式：全数字；</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13．存储功能：支持Micro SD卡存储，支持最大512GB；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14．WEB配置：支持；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15．主动注册：支持；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16．外壳材料：PC+ABS；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17．RS-485接口：1个；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18．HDMI接口：1个；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19．USB接口：1个USB2.0接口1个USB3.0接口；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20．电源输出：1路12V/200mA；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21．网络接口：1个RJ-45 100Mbps/1000Mbps自适应；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w:t>
            </w: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bidi="ar"/>
              </w:rPr>
              <w:t xml:space="preserve">．供电方式：DC12V 4A；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w:t>
            </w: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bidi="ar"/>
              </w:rPr>
              <w:t xml:space="preserve">．安装方式：桌面安装；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w:t>
            </w: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bidi="ar"/>
              </w:rPr>
              <w:t xml:space="preserve">．功耗：≤5W(待机)，≤10W(工作)。</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室外报警立柱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1．集成摄像头，视频压缩标准H.264/H.265；视频视场角120*102*54；分辨率704*480、640*480、1280*720、1920*1080；帧率1~25FPS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2．红外补光；支持昼夜切换；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3．音频压缩标准G.711a\G.711U\PCM\G.726\AAC；支持1路音频输入,可外接拾音器;本机最大拾音距离5米;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4．音频输出1路，可外接有源音箱，本机喇叭最大功率30W;支持音量调节，支持语音对讲，支持多种音频格式的音频播放；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5．2个功能指示灯（呼叫指示灯、通话指示灯灯），一个紧急求助呼叫按键；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6．支持2路报警输入，支持4路报警输出，2个RJ-45 10M/100M以太网口，支持1路PSTN电话接口，4G模块可选，1个RS-232接口,1路RS-485接口，可接点阵屏；支持1路12V 1A辅电输出，1个Micro SD卡槽；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7．支持电话告警，支持视频联动，支持联动视频抓图，WEB端支持OSD叠加，最大支持五行，每行20个汉字.支持web端布撤防；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8．支持远程升级，支持FTP服务器；支持2路门磁防拆；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9．支持64个远程用户；支持远程WEB访问、快速设置；支持10000条日志记录，包括报警事件、操作日志等, 支持远程报警事件检索；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10．供电AC110~240V；空载功耗：7W，满载功耗：45.6W；工作温度-30℃~65℃；工作湿度93%&amp;40℃；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11．外壳镀锌板，公安蓝，防护等级IPX5；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12．1.10M/100M有线网口（RJ45）：2个；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13．2.喇叭（30W）接口：2个；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14．3.PSTN电话网络：1个；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应能录制通话开始前5s的视频图像（应满足依据GB/T31070.3-2021楼寓对讲系统第3部分:特定应用技术要求的标准，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434"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C.电子巡更</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巡更点</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直径22MM，感应距离3-5厘米</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巡更棒</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1．记录存储容量 30719 条记录；</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2．功耗 探测电流 60uA；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3．电池寿命 一节CR123A电池可连续使用二年左右（每日读卡200次）；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4．读卡距离 3～6cm；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5．通讯格式 无线感应通讯；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6．工作温度 -40℃～70℃；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7．工作湿度 0～95℅。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通讯座</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设备类型 无线通讯座 配置 4个LED指示灯，助于识别数据传输状态 同一通讯坐型号可配用于多类巡更巡检产品 提供无线传输方式，让巡更巡检器设计达到完全无接口，防止破坏 巡更巡检器连接：RFID 无线传输 计算机连接：USB</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软件</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产品可靠性高、实用性强。特别进行电磁学设计使功耗革命性的降低，使非接触式巡更机走向实用。防水、抗摔设计使故障率降低。</w:t>
            </w:r>
            <w:r/>
          </w:p>
          <w:p>
            <w:pPr>
              <w:pStyle w:val="857"/>
              <w:ind w:left="0" w:right="0"/>
              <w:keepLines w:val="0"/>
              <w:keepNext w:val="0"/>
              <w:spacing w:before="0" w:beforeAutospacing="0" w:after="0" w:afterAutospacing="0"/>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▲提供电子巡更系统类软件的著作权登记证书复印件与中国版权保护中心网页查询结果截图并加盖投标单位公章。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人员卡</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人员卡,作为巡逻人员身份识别使用</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(二）出入口管理系统</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434"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A.访客系统</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访客管理一体机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1．采用金属材质成型；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2．主屏：采用15.6英寸触摸显示屏，分辨率1920(H)*1080(V)；辅屏：采用11.6英寸显示屏，分辨率1366(H)*768(V)；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3．采用200万高清单目摄像头；摄像头角度可调，可适应不同身高访客登记；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4．支持发卡功能；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5．支持脱机运行，事件记录存储功能；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6．支持身份证、二维码、IC卡等多种签离方式；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7．支持图片、视频广告播放功能；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8．支持语音提示功能；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9．支持访客信息打印功能；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10．支持双网口网络通信；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11．支持2路USB2.0、2路RJ45。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434"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B.人行出入口管理</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人脸识别终端（含支架、遮阳罩）</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1．显示屏：7英寸显示屏；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2．屏幕类型：电容触摸屏；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3．显示屏分辨率：600(H)×1024(V)；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4．摄像头：2MP CMOS高清双摄像头；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5．光照补偿：自动红外补光；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6．验证方式：刷卡；密码；人脸识别；</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7．读卡类型：IC卡；CPU卡（需另购PSAM卡）；身份证（序列号）；CPU卡序列号；</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8．黑白名单设定：支持；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9．广告播放：支持图文、视频广告播放；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10．外接读卡器：支持1路485读卡器；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11．实时监控：支持；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12．抓拍功能：支持；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13．WEB配置：支持；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14．主动注册：支持；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15．IC卡加密：支持；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16．人脸识别速度：0.1s；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17．人脸容量：50000；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18．用户容量：50000；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19．卡片容量：100000；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20．密码容量：50000；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21．存储记录数量：300000；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22．RS-485接口：1个；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23．RS-232接口：1个；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24．韦根接口：1路，输入输出可配；</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25．USB接口：1个USB2.0接口；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26．网络接口：1个10Mbps/100Mbps/1000Mbps自适应以太网口；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27．报警输入：2路（开关量）；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28．报警输出：1路；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29．报警联动：支持；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30．开门按钮：支持；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31．门状态检测：支持；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32．门锁控制：支持；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33．音频接口：支持；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34．电源输出接口：支持，12V 1A；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35．音频输出接口：支持；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36．供电方式：DC 12V 2A；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37．功耗：≤24W；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38．工作温度：-30℃～+60℃；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39．工作湿度：0%～90%RH（无凝结）；</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40．设备关键器件均为国产品牌，包括主控芯片、内存、EMMC。系统采用国产化操作系统；</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41．▲设备应支持通过U盘导出和导入人员信息（包含用户数据、卡数据、指纹数据、人脸数据等信息）。（应满足依据GB/T 37078-2018《出入口控制系统技术要求》的标准，采用CMA认证的第三方检测机构提供的检测结果为:“符合”或“达标”或“通过”或“合格”的检测报告为佐证并加盖投标单位公章）；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42．▲设备应支持通过WEB导出和导入人员信息，导入导出方式可支持模板方式及人员信息压缩包方式，压缩包导入导出支持数据加密（应满足依据GB/T 37078-2018《出入口控制系统技术要求》的标准，采用CMA认证的第三方检测机构提供的检测结果为:“符合”或“达标”或“通过”或“合格”的检测报告为佐证并加盖投标单位公章）；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43．▲人脸识别(人脸特征比对)速度应&lt;60ms；（应满足依据GB/T 37078-2018《出入口控制系统技术要求》的标准，采用CMA认证的第三方检测机构提供的检测结果为:“符合”或“达标”或“通过”或“合格”的检测报告为佐证并加盖投标单位公章）；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44．设备应支持最多6人同时进行人脸识别；</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45．▲屏幕可视角度不小于 170°（应满足依据GB/T 37078-2018《出入口控制系统技术要求》以及GA/T 1093-2023《安全防范人脸识别应用出入口控制人脸识别技术要求》的标准，采用CMA认证的第三方检测机构提供的检测结果为:“符合”或“达标”或“通过”或“合格”的检测报告为佐证并加盖投标单位公章）。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单机芯道闸</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1．机身厚度：1.2mm；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2．通道宽度：亚克力：600mm～1200mm；不锈钢：600mm～1500mm（1200mm以上，摆臂会超出箱体外）；</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3．状态指示灯：蓝色常亮-工作状态；红色频闪-异常状态；绿色频闪-授权状态；绿色常亮-常开状态；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4．MCBF：300万次；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5．读卡距离：0cm～5cm；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6．开关门速度：≥0.8s；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7．工作温度：-25℃～+70℃；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8．工作湿度：10%～95%（无凝露）；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9．闸机应标配交换机板支持门禁设备接入，无需单独配置交换机；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10．设备应支持网络在线升级雷达探测器固件升级功能。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双机芯道闸</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1．产品类型：摆闸；</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2．机身厚度：1.2mm；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3．通道宽度：亚克力：600mm～1200mm；不锈钢：600mm～1500mm（1200mm以上，摆臂会超出箱体外）；</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4．激光雷达数量：6个；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5．状态指示灯：蓝色常亮-工作状态；红色频闪-异常状态；绿色频闪-授权状态；绿色常亮-常开状态；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6．语音提示：支持；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7．MCBF：300万次；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8．读卡距离：0cm～5cm；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9．开关门速度：≥0.8s；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10．工作温度：-25℃～+70℃；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11．工作湿度：10%～95%（无凝露）；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12．闸机应标配交换机板支持门禁设备接入，无需单独配置交换机；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13．设备应支持网络在线升级雷达探测器固件升级功能。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434"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C.门禁管理系统</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单门门禁控制器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1．主处理器：高性能嵌入式处理器；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2．网络协议：IPv4；UDP；P2P；IPv6；TCP；</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3．OSDP协议：支持；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4．接入标准：CGI；</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5．是否支持SDK：支持；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6．产品款式：铁箱门禁控制器；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7．蜂鸣器：支持；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8．外壳材料：SGCC镀锌；</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9．远程验证：支持；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10．用户容量：100000；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11．指纹容量：10000；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12．卡片容量：100000；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13．存储记录数量：500000；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14．RS-485接口：3个（2个读卡器接口，1个扩展接口）；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15．韦根接口：2路输入；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16．网络接口：1个RJ-45，10Mbps/100Mbps自适应；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17．报警输入：7路（其中1路为消防接口，另外6路中前2路支持多态报警，含正常/报警/短路/断路四态;另可外接报警模块扩展8路）；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18．报警输出：4路（外接报警模块可扩展8路）；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19．门状态检测：1路；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20．供电方式：开关电源（AC转DC，AC100V-240V1.4A;DC12V6A）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21．供电方式检查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1)支持控制器给门禁一体机或读卡器和双门磁力锁供电；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2)控制器输出额定电压12V，6.5A；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3)内置电源接口，不外漏，只有用专用钥匙开盖才能操作；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22．样品应具有以下硬件接口：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1)LAN*1（10M/100M自适应）；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2)RS485通讯*1；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3)读卡器接口*4（其中2个RS485接口，2个韦根接口：同时支持韦根26、32、34、66，RS485与韦根接口可通过拨码切换）；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4)读卡器电源输出*2；</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5)开门按钮输入*1；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6)门磁输入*1；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7)门锁输出*1；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8)门锁电源输出*1；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9)报警输入*7（支持三态报警，支持防短路、防断路、报警，支持联动报警输出；含1路消防接口)；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10)报警输出*4（支持扩展到12路）；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11)蓄电池接口*1（具备充放电功能）；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连接端子与控制主板、电源采用封装方式隔离（应满足依据GB/T37078-2018《出入口控制系统技术要求》的标准，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双门门禁控制器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1．主处理器：高性能嵌入式处理器；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2．网络协议：IPv4；UDP；P2P；IPv6；TCP；</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3．OSDP协议：支持；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4．接入标准：CGI；</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5．是否支持SDK：支持；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6．产品款式：铁箱门禁控制器；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7．蜂鸣器：支持；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8．外壳材料：SGCC镀锌；</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9．远程验证：支持；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10．用户容量：100000；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11．指纹容量：10000；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12．卡片容量：100000；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13．存储记录数量：500000；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14．RS-485接口：5个（4个读卡器接口，1个扩展接口）；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15．韦根接口：4路输入；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16．网络接口：1个RJ-45，10Mbps/100Mbps自适应；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17．报警输入：7路（其中1路为消防接口，另外6路中前2路支持多态报警，含正常/报警/短路/断路四态;另可外接报警模块扩展8路）；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18．报警输出：4路（外接报警模块可扩展8路）；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19．门状态检测：2路；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20．供电方式：开关电源（AC转DC，AC 100V-240V 1.4A;DC 12V 6A）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21．供电方式检查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1)支持控制器给 门禁一体机或读卡器和双门磁力锁供电；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2)控制器输出额定电压 12V，6.5A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3)内置电源接口，不外漏，只有用专用钥匙开盖才能操作；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4)设备应具有以下硬件接口：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5)LAN * 1（10M/100M 自适应）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6)RS485 通讯 * 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7)读卡器接口 * 8（其中 4 个 RS485 接口，4 个韦根接口：同时支持韦根 26、32、34、66，RS485与韦根接口可通过拨码切换）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8)读卡器电源输出 * 4</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9)开门按钮输入* 2</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10)门磁输入 * 2</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11)门锁输出 * 2</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12)门锁电源输出 * 2</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13)报警输入 * 7（支持三态报警，支持防短路、防断路、报警，支持联动报警输出；含 1 路消防接口)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14)报警输出 * 4（支持扩展到 12 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15)蓄电池接口 *1（具备充放电功能）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22．连接端子与控制主板、电源采用封装方式隔离。</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四门门禁控制器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1．主处理器：高性能嵌入式处理器；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2．网络协议：IPv4；UDP；P2P；IPv6；TCP；</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3．OSDP协议：支持；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4．接入标准：CGI；</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5．是否支持SDK：支持；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6．产品款式：铁箱门禁控制器；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7．蜂鸣器：支持；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8．外壳材料：SGCC镀锌；</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9．远程验证：支持；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10．用户容量：100000；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11．指纹容量：10000；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12．卡片容量：100000；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13．存储记录数量：500000；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14．RS-485接口：5个（4个读卡器接口，1个扩展接口）；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15．韦根接口：4路输入；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16．网络接口：1个RJ-45，10Mbps/100Mbps自适应；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17．报警输入：5路（其中1路为消防接口，另外4路中前2路支持多态报警，含正常/报警/短路/断路四态；另可外接报警模块扩展8路）；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18．报警输出：4路（外接报警模块可扩展8路）；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19．门状态检测：4路；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20．供电方式：开关电源（AC转DC，AC 100V-240V 4A；DC 12V 12.5A）；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21．供电方式检查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a.支持控制器给 8 个门禁一体机或读卡器和 4 把双门磁力锁供电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b.控制器输出额定电压 12V，12.5A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c.内置电源接口，不外漏，只有用专用钥匙开盖才能操作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22．设备应具有以下硬件接口：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a.LAN * 1（10M/100M 自适应）；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b.RS485 通讯 * 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c.读卡器接口 * 16（其中 8 个 RS485 接口，8 个韦根接口：同时支持韦根 26、32、34、66，RS485与韦根接口可通过拨码切换）；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d.读卡器电源输出 * 8；</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e.开门按钮输入* 4；</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f.门磁输入 * 4；</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g.门锁输出 * 4；</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h.门锁电源输出 * 4；</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i报警输入 * 5（支持三态报警，支持防短路、防断路、报警，支持联动报警输出；含 1 路消防接口)；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j.10.报警输出 * 4（支持扩展到 12 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k.蓄电池接口 *1（具备充放电功能）；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l.连接端子与控制主板、电源采用封装方式隔离。</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读卡器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1.采用PC材质、亚克力面板，IP66防护等级，适用于室内、室外场景；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2.非接触式读卡，可读取Mifare卡（IC卡）卡号、CPU序列号、身份证序列号；</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3.支持刷卡开门模式；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4.支持RS485和韦根通信协议；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5.支持蜂鸣器蜂鸣和指示灯提示功能；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6.支持防拆报警；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7.内置看门狗程序，能够检控设备的异常运行状态，并执行修复处理，确保设备长期运行；</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8.所有连接端口均具备过流和过压保护。</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开门按钮</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标准86型</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：尺寸为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86mm × 86mm × 25mm</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 或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86×86×32mm</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，适配标准86底盒安装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材质类型：</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塑料；</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工作电压</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：常见为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DC 12V</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，部分支持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220VDC</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最大电流</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：通常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3A@24VDC 或 36VDC</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，少数达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10A</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接点类型</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：常开（NO）、常闭（NC）、公共端（COM）三端子设计，支持灵活接线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触发方式</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机械按压；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防水等级</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：部分工业级产品达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IP54</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 或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IP65</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工作温度</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：普遍为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-20℃ ~ +55℃</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使用寿命</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：机械寿命普遍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50万~100万次</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 </w:t>
            </w:r>
            <w:r>
              <w:rPr>
                <w:rStyle w:val="889"/>
                <w:rFonts w:hint="eastAsia" w:ascii="宋体" w:hAnsi="宋体" w:eastAsia="宋体" w:cs="宋体"/>
                <w:color w:val="auto"/>
                <w:sz w:val="21"/>
                <w:szCs w:val="21"/>
                <w:lang w:bidi="ar"/>
              </w:rPr>
              <w:t xml:space="preserve">‌‌</w:t>
            </w:r>
            <w:r>
              <w:rPr>
                <w:rFonts w:hint="eastAsia" w:ascii="宋体" w:hAnsi="宋体" w:eastAsia="宋体" w:cs="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单门磁力锁</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1．外壳采用铝合金材质，表面氧化工艺，适用于室内场景；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2．内置反向电流保护装置；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3．防残磁设计，防磨损材料制造；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4．支持LED灯展示当前开关状态；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5．五线，支持门磁信号反馈功能；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6．完全电磁吸力，不存在机械故障；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7．经过4万次通电老化测试，寿命超长；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8．断电情况下自动开门。</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双门磁力锁</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1．外壳采用铝合金材质，表面氧化工艺，适用于室内场景；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2．内置反向电流保护装置；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3．防残磁设计，防磨损材料制造；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4．支持LED灯展示当前开关状态；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5．五线，支持门磁信号反馈功能；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6．完全电磁吸力，不存在机械故障；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7．经过4万次通电老化测试，寿命超长；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8．断电情况下自动开门。</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人脸识别一体机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numPr>
                <w:ilvl w:val="0"/>
                <w:numId w:val="5"/>
              </w:num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主处理器：高性能嵌入式处理器；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2．显示屏：7英寸显示屏；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3．屏幕类型：电容触摸屏；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4．广告播放：支持图文、视频广告播放；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5．摄像头：2MPCMOS高清双摄像头；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6．外壳材料：钢化玻璃/PC+ABS；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7．远程验证：支持；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8．黑白名单设定：支持；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9．实时监控：支持；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10．多重认证：支持；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11．WEB配置：支持；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12．主动注册：支持；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13．人脸识别准确率：99.9%；</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14．人脸识别速度：0.2s；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15．用户容量：20000；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16．人脸容量：20000；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17．卡片容量：50000；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18．密码容量：20000；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19．存储记录数量：300000；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20．RS-485接口：1个；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21．RS-232接口：1个；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22．韦根接口：1路输入/输出；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23．USB接口：1个USB2.0接口；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24．网络接口：1个10Mbps/100Mbps自适应以太网口；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25．报警输入：2路（开关量）；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26．报警输出：1路（继电器）；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27．报警联动：支持；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28．开门按钮：1路；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29．门状态检测：1路；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30．门锁控制：1路；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31．防反潜：支持；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32．防拆报警：支持；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33．胁迫报警：支持；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34．门超时报警：支持；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35．非法闯入报警：支持；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36．非法卡超次报警：支持；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37．供电方式：DC12V2A；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w:t>
            </w:r>
            <w:r>
              <w:rPr>
                <w:rFonts w:hint="eastAsia" w:ascii="宋体" w:hAnsi="宋体" w:eastAsia="宋体" w:cs="宋体"/>
                <w:sz w:val="21"/>
                <w:szCs w:val="21"/>
                <w:lang w:val="en-US" w:eastAsia="zh-CN" w:bidi="ar"/>
              </w:rPr>
              <w:t xml:space="preserve">8</w:t>
            </w:r>
            <w:r>
              <w:rPr>
                <w:rFonts w:hint="eastAsia" w:ascii="宋体" w:hAnsi="宋体" w:eastAsia="宋体" w:cs="宋体"/>
                <w:sz w:val="21"/>
                <w:szCs w:val="21"/>
                <w:lang w:bidi="ar"/>
              </w:rPr>
              <w:t xml:space="preserve">．工作温度：-20℃～+55℃；</w:t>
            </w:r>
            <w:r>
              <w:rPr>
                <w:rFonts w:hint="eastAsia" w:ascii="宋体" w:hAnsi="宋体" w:eastAsia="宋体" w:cs="宋体"/>
                <w:sz w:val="21"/>
                <w:szCs w:val="21"/>
                <w:lang w:bidi="ar"/>
              </w:rPr>
              <w:br/>
            </w:r>
            <w:r>
              <w:rPr>
                <w:rFonts w:hint="eastAsia" w:ascii="宋体" w:hAnsi="宋体" w:eastAsia="宋体" w:cs="宋体"/>
                <w:sz w:val="21"/>
                <w:szCs w:val="21"/>
                <w:lang w:val="en-US" w:eastAsia="zh-CN" w:bidi="ar"/>
              </w:rPr>
              <w:t xml:space="preserve">39</w:t>
            </w:r>
            <w:r>
              <w:rPr>
                <w:rFonts w:hint="eastAsia" w:ascii="宋体" w:hAnsi="宋体" w:eastAsia="宋体" w:cs="宋体"/>
                <w:sz w:val="21"/>
                <w:szCs w:val="21"/>
                <w:lang w:bidi="ar"/>
              </w:rPr>
              <w:t xml:space="preserve">．安装方式：壁装；落地式支架安装；桌面式支架安装；闸机安装；86盒安装；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w:t>
            </w:r>
            <w:r>
              <w:rPr>
                <w:rFonts w:hint="eastAsia" w:ascii="宋体" w:hAnsi="宋体" w:eastAsia="宋体" w:cs="宋体"/>
                <w:sz w:val="21"/>
                <w:szCs w:val="21"/>
                <w:lang w:val="en-US" w:eastAsia="zh-CN" w:bidi="ar"/>
              </w:rPr>
              <w:t xml:space="preserve">0</w:t>
            </w:r>
            <w:r>
              <w:rPr>
                <w:rFonts w:hint="eastAsia" w:ascii="宋体" w:hAnsi="宋体" w:eastAsia="宋体" w:cs="宋体"/>
                <w:sz w:val="21"/>
                <w:szCs w:val="21"/>
                <w:lang w:bidi="ar"/>
              </w:rPr>
              <w:t xml:space="preserve">．读卡类型：IC卡；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w:t>
            </w: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．设备应支持通过SD卡存储人脸抓拍图及验证前后的视频，视频时长应能自定义配置；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w:t>
            </w: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bidi="ar"/>
              </w:rPr>
              <w:t xml:space="preserve">．设备应支持通过U盘导出和导入人员信息（包含用户数据、卡数据、指纹数据、人脸数据等信息）；</w:t>
            </w:r>
            <w:r/>
          </w:p>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w:t>
            </w: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bidi="ar"/>
              </w:rPr>
              <w:t xml:space="preserve">.▲设备应支持通过WEB导出和导入人员信息，导入导出方式可支持模板方式及人员信息压缩包方式，压缩包导入导出支持数据加密。（应满足依据GB/T37078-2018《出入口控制系统技术要求》的标准，采用CMA认证的第三方检测机构提供的检测结果为:“符合”或“达标”或“通过”或“合格”的检测报告为佐证并加盖投标单位公章）。</w:t>
            </w:r>
            <w:r/>
          </w:p>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w:t>
            </w: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bidi="ar"/>
              </w:rPr>
              <w:t xml:space="preserve">.▲设备关键器件均为国产品牌，包括主控芯片、内存、EMMC。系统采用国产化鸿蒙 V4.1 版本操作系统。（应满足依据GB/T37078-2018《出入口控制系统技术要求》的标准，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一体机电源</w:t>
            </w:r>
            <w:r>
              <w:rPr>
                <w:rStyle w:val="888"/>
                <w:rFonts w:hint="eastAsia" w:ascii="宋体" w:hAnsi="宋体" w:eastAsia="宋体" w:cs="宋体"/>
                <w:color w:val="auto"/>
                <w:sz w:val="21"/>
                <w:szCs w:val="21"/>
                <w:lang w:bidi="ar"/>
              </w:rPr>
              <w:t xml:space="preserve">（3C认证)</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12V2A</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网络控制主机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1.支持LED指示灯；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2.支持通过TCP/IP通信；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3.支持2路继电器输出；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4.支持3路RS-485输出；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5.支持最大可接入4个联动模块(主机最大支持给2个联动模块供电)，最大可控制120层楼层按钮（协议限制）。</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电梯层控器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1．工作电压：DC5V-5V；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2．功率：＜6W；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3．工作温度：-35℃-60℃，工作湿度RH30%~95%不结露；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4．485通讯距离：＜5m；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5．通信方式：上行RS485接口*2个，继电器输出*36个，光耦输出*1个；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6．通过干节点的开关达到楼层控制器目的，可实现手动和自动点亮楼层；</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7．支持看门狗检测功能。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读卡器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1．读卡器和主控器配套使用；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2．天线总成通过射频通讯方式与主控器连接；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3．通过刷卡给主控器信号后，开放权限楼层；</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4．此款适用于电梯后加装，适合各种操纵盘环境，安装简单。</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梯控管理模块</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1．设备管理，支持电梯设备新增、删除；</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2．楼层分组，支持选择电梯后自定义对楼层进行分组以及楼层分组名称命名；</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3．梯控计划，支持添加、删除、修改在线梯控计划； 梯控计划支持按一天 4个时段单独配置，支持梯控计划复制功能；支持选择楼梯通道及梯控计划进行高峰配置；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4．梯控授权，支持配置在线梯控授权和离线梯控授权，在线梯控授权支持按部门授权、按人员授权管理，支持离线梯控写卡授权；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5．记录查询，支持展示在线梯控的刷卡、刷脸记录，支持数据导出；支持记录保存时长配置；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6．人脸授权任务查询100W条任务展示时间：2分钟内；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7．单平台设备1万人（1W卡、1W人脸）快速下发授权性能：25分钟以内。</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人脸采集器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1．1/2.8英寸 CMOS传感器，最大支持1080P30fps视频输出，对角视场角127.6°；</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2．支持1080P高清，最大可提供1080@30fps图像编码输出，同时向下兼容720p等分辨率；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3．对角线视场角最大可达127.6°；</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4．全功能USB 2.0接口，供电、视频、音频于一体；</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5．内置麦克风阵列，可全向拾音，拾音距离高达3米；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6．星光级超高性噪比的全新CMOS图像传感器可有效降低在低照度情况下的图像噪声，同时应用2D和3D降噪算法，大幅降低了图像噪声，即便是超低照度情况下，依然保持画面干净清晰，图像信噪比高达50dB以上；</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7．标配立式支架，安装简便。</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94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IC卡</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IC卡</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发卡器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1．采用PC+ABS材质，适用于室内；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2．支持Mifare卡（IC卡）刷卡；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3．支持USB2.0接口，即插即用，无需安装驱动；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4．发卡成功或失败有双色LED指示灯和蜂鸣器提示。</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434"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D.车辆管理系统（出入口4进3出）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自动快速栅栏档车器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1．杆件类型：栅栏杆；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2．支持杆长：4米；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3．起杆速度：2.5s；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4．电机类型：直流无刷；</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5．防砸功能：支持：压力波防砸、雷达防砸、线圈防砸、红外防砸；</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6．断电抬杆：支持；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7．遇阻反弹：支持；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8．485获取道闸状态与日志功能检查：可通过485接口连接相机，通过相机web端可读取道闸状态包括运行次数和运行状态。并且可以读取道闸运行日志；</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9．延迟落闸速度设置功能检查：可以通过主板上功能按键设置延迟落杆时的速度。</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车牌识别一体机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1．采用高性能AI处理器，加载第三代智慧停车深度学习算法；</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2．内置暖光、红外双光补光灯（可根据需求自由切换），根据环境亮度自动控制开关或调节补光亮度，降低光污染和功耗；</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3．采用1/1.8英寸CMOS图像传感器，加载新一代图像处理算法，兼顾车牌及车身环境效果，同时提升图像整体质量；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4．支持全天候车辆信息全结构化深度提取，车辆捕获率和车牌识别率都达到99.9%以上；</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5．支持通过RS485接入道闸、雷达等外设，实时获取设备工作状态，实现远程运维管控；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6．集成LED显示屏，用户可自由配置显示内容，支持二维码显示，支持屏幕坏点检测，且屏幕亮度可自适应调节；</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7．支持语音播报功能，用户可自由配置播报内容；</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8．采用智能除雾技术，有效杜绝玻璃结冰、起雾现象，满足全天候使用；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9．集相机、LED显示屏于一体，单网口配置，简化施工；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10．LED屏显示雷达调试信息功能检查：雷达调试过程中，LED屏支持显示雷达监测范围内目标物体坐标位置；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二维码功能检查：支持二维码显示信息功能。（应满足依据GB/T15211-2013安全防范报警设备环境适应性要求和试验方法的标准，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12．LED屏点间距检查：≤4mm。</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防砸车检雷达</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1．支持全系（直杆、曲臂、栅栏、广告）道闸应用场景；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2．支持串口和手机WIFI调试和设置；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3．支持虚警点检测及剔除；</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4．支持通过485连接相机读取雷达设置参数及雷达日志记录；</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5．支持在线升级程序。</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控制终端</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1.产品处理器标配4G内存、M.2接口256G固态硬盘，可用存储容量230G；</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2.预留DDR内存卡槽、2.5寸硬盘SATA接口可扩展；</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3.内置SmartParking加密狗，支持添加2万条白名单，支持同步下发相机，支持按次收费、按时收费、按时段收费、按日夜收费、分时收费；</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4.支持5类车类：免费车、月租车、储值车、临时车和VIP车，支持3种车型：黄牌、蓝牌和绿牌；</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5.单台最大支持4车道（1进3出、2进2出、3进1出），支持5台级联；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6.支持2/4车道监控，岗亭收费、异常放行，支持接入云平台实现电子支付；</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7.外部接口：4个USB3.0接口、1个VGA、1个HDMI、1路音频输入、1路音频输出，双网卡设计，8口千兆交换机，1个电源开关按键；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8.采用无风扇、低功耗设计。</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434"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E.防撞柱系统</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防撞柱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全自动液压一体升降柱，采用独立一体式液压驱动，通过控制柜控制柱体的自由升降，实现对过往车辆的限制，有效地保障了交通秩序及主要设施和场所的安全。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 电动液压一体式驱动；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 专业防护，结构坚固防撞；</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 配备环绕式LED警示灯和5cm宽钻石纹反光带；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 具有升降提醒功能：升降过程指示灯闪烁，下降到底灯灭，上升到顶灯常亮；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 支持断电情况下，通过控制柜蓄电池供电操作应急按钮控制柱体紧急下降；</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 220VAC/50HZ供电，仅在升降过程接通，安全方便；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 3S快速升降；</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 支持IP68防护等级。</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101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控制盒</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全自动液压一体升降柱配套网络控制柜，可通过手动按钮或遥控器或网络平台来控制升降柱的升降，实现对过往车辆的限制，有效地保障了交通秩序及主要设施和场所的安全。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 通过手控盒或遥控器或软件管理平台对控制柜接入的升降柱进行批量控制；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 升降柱升降过程通电运行时间1~10S可调；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 内置存贮装置，升降柱运行日志自动存储，操作记录可追溯查询；支持日志U盘或网络导出查询；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 内置蓄电池，支持断电情况下操作应急按钮控制升降柱下降；</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 预留安全保护接口，可接入红外、地感、雷达等保护信号，实现防撞防顶功能；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 LED环绕警示灯设置短路保护功能；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 可连接网络通过软件管理平台进行升降管理、日志查询等功能；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 220VAC供电，3S快速升降，仅在升降过程通电，安全节能。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遥控器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配套</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103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排水泵</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液位控制，自动启停等</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（三）机房工程</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UPS配电箱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机房一级UPS配电箱，定制落地箱。开关数量暂订：输入开关：≥63A/3P*1；输出开关：≥32A/2P*1，≥25A/2P*1，≥16A/2P，≥10A/1P*2，详见电气系统图。</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5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UPS配电箱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机房一级UPS配电箱，定制落地箱。开关数量暂订：输入开关：≥32A/3P*1；输出开关：≥25A/2P*1，≥16A/2P*6，≥10A/1P*2，详见电气系统图。</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室内二级配电箱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弱电间二级配电分箱，PZ30型明装挂墙箱，箱体底部距地面1.5m挂墙安装。开关数量暂订：输入开关：16/2P*1；输出开关：10A/1P*6，详见电气系统图。</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107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地下车库二级配电箱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弱电间二级配电分箱，PZ30型明装挂墙箱，箱体底部距地面1.5m挂墙安装。开关数量暂订：输入开关：16/2P*1；输出开关：10A/1P*6，详见电气系统图。</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80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室外二级配电箱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门禁电源总箱，箱体尺寸，PZ30型明装挂墙箱，箱体底部距地面1.5m挂墙安装。开关数量暂订：输入开关：16A/2P*1；输出开关：10A/1P*3，详见电气系统图。</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76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门禁二级配电箱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弱电间二级配电分箱，PZ30型明装挂墙箱，箱体底部距地面1.5m挂墙安装。开关数量暂订：输入开关：16/2P*1；输出开关：10A/1P*5，详见电气系统图。</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10KWUPS主机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1、本次UPS电源采用单进单出高频塔式UPS电源，容量10KVA，UPS具有LCD液晶显示和LED指示；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1、输入电压范围：≥176V-264V；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2、输入频率范围：≥48-52Hz；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3、输入功率因数：≥0.996；</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4、输入电流谐波成份：＜4%；</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5、输出电压：≤220VAC±1%；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6、输出波形失真度：100%阻性负载：≤1%，100%非线性负载：≤1.5%；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7、输出功率因素：1；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8、输出频率：≤50Hz±0.5%；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9、输出效率：＞0.94（100%阻性负载）；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10、保护功能：输出短路、过载保护、过温保护、电池低压保护、输出过欠压保护、风扇故障保护、防雷保护；</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11、通信接口：RS232/RS485/USB接口；</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30kWUPS主机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（1）本次UPS主机需求为30kVA三进三出塔式高频机在线式UPS</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（2）输入电压范围304-480V，输出电压精度：≤±1.0％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（3）为保证UPS产品的高效节能、绿色环保，UPS输入功率因数≥0.999（100%非线性负载）；系统效率≥96%（50%负载）；输出功率因数1</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（4）输入电流谐波成分THDi：≤2%，输出电压波形失真度：≤1%(正常工作、额定阻性负载），≤2%（正常工作、额定非线性载）。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（5）UPS 支持并机数量≥4 台</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（6）UPS应当具备丰富的显示界面，能直观地查看UPS本地记录及UPS设置功能，屏幕应不小于7英寸</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（7）UPS 显示面板标配三色告警灯柱，可根据机器运行状况显示不同颜色，正常状态显示绿色，一般告警为黄色，紧急告警为红色</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（8）UPS 系统集成 128M Flash，支持不低于 10 万条历史记录和历史数据存储，还可支持外扩SD卡，实现拓展数据存储</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（9）UPS需采用全数字化双DSP控制，实现整流、逆变、充电、放电各个功率变换环节全部数字化控制</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（10）UPS所有电路板均需要采用三防漆涂覆工艺，确保在低恶劣环境下的使用寿命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（11）UPS 支持电池组节数 30-50 节可调，便于未来遭遇个别电池故障需要维护、更换时, 可灵活调节电池节数的需要。（测试依据GB/T25000.51-2016《系统与软件工程系统与软件质量要求和评价(SQuaRE）第51部分：就绪可用软件产品(RUSP)的质量要求和测试细则》</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（12）UPS 内部需要集成独立主路输入空开、旁路输入空开、输出空开以及维修旁路空开，便于用户接线</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（13）UPS 具备实现监测每一节蓄电池的电压、内阻、 温度信息的功能，可在 UPS 的屏幕上实时显示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（14）UPS 系统具有黑匣子智能故障录波功能，全面监控功率模块关键部分参数，实现故障可控可管：记录和预警关键部位器件的数据，可设置风扇更换时间到期提示功能，每个模块提供不少于 8 个温度监控点，包含 IGBT 温度、进风口温度、出风口温度。有故障发生时，能够自动记录该时刻前后一段时间的整流\逆变的波形数据，并可以导出至电脑端生成波形图。</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蓄电池</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12V铅酸免维护电池100安时容量。</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节</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113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电池柜</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可容纳16组电池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电池柜</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可容纳32组电池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机房精密空调</w:t>
            </w:r>
            <w:r>
              <w:rPr>
                <w:rStyle w:val="888"/>
                <w:rFonts w:hint="eastAsia" w:ascii="宋体" w:hAnsi="宋体" w:eastAsia="宋体" w:cs="宋体"/>
                <w:color w:val="auto"/>
                <w:sz w:val="21"/>
                <w:szCs w:val="21"/>
                <w:lang w:bidi="ar"/>
              </w:rPr>
              <w:t xml:space="preserve">（满足强制节能要求）</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1)机房空调主要技术参数要求，制冷量≥13.1kW，显冷量≥12.1kW，风量≥3800m³/h，加热量≥3kW，显热比≥0.92，能效比≥3.0，采用R410A制冷剂；</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2)电源要求：电压380±10%，频率50Hz±2Hz。要求具有过欠压保护、频率保护等电源保护功能，当空调机组的输入电源因故障恢复正常后,空调机组应能自动启动。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3).制冷系统须配置电子膨胀阀，调节速度快、范围大、精度高。</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4)机房空调室内机须采用EC风机，可通过控制面板调整风机转速，上送风。</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5)压缩机选用高能效比的涡旋式压缩机，选用知名品牌，推荐选用谷轮品牌，压缩机需安装在室内机内部，以确保制冷系统运行稳定和方便维护。</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6)须采用大面积“/”型结构蒸发器，采用铜管铝翅片材质。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7)须采用电极式加湿器。须采用PTC电加热器，加热器配置安全保护功能。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8)机房空调采用金属框架可清洗并反复使用空气过滤器，需紧贴蒸发器安装，过滤网形状为“W”褶皱型，过滤效率达到G4标准。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9)须采用先进的微处理控制器，采用不小于4英寸彩色触摸屏，能显示温湿度曲线，具有图形显示机组内各组件的运行状态的功能，应具有不少于500条故障报警记录储存的功能，可储存和显示当前和历史报警信息。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10)标配RS485接口，可进行远程监控，实现远程开关机、状态查看、参数设置、告警查看等功能。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11)机房空调必须具有群控功能。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12)室外机冷凝器采用铜管铝翅片，而非全铝微通道，冷凝器风扇需可根据制冷系统管道压力无级调速运行，降低精密空调能耗。</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13)精密空调标准配置漏水报警功能，在发生漏水时发出报警。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14)为方便空调安装，避免使用明火，空调须标配螺纹快速接头，现场快速安装无需焊接。</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机房精密空调</w:t>
            </w:r>
            <w:r>
              <w:rPr>
                <w:rStyle w:val="888"/>
                <w:rFonts w:hint="eastAsia" w:ascii="宋体" w:hAnsi="宋体" w:eastAsia="宋体" w:cs="宋体"/>
                <w:color w:val="auto"/>
                <w:sz w:val="21"/>
                <w:szCs w:val="21"/>
                <w:lang w:bidi="ar"/>
              </w:rPr>
              <w:t xml:space="preserve">（满足强制节能要求）</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1)机房空调主要技术参数要求，制冷量≥30kW，显冷量≥27.9kW，风量≥9000m³/h，加热量≥6kW。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2)要求具有过欠压保护、频率保护等电源保护功能，当空调机组的输入电源因故障恢复正常后,空调机组应能自动启动。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3)上送风，配置风帽，机房空调室内机需采用EC风机，推荐使用施乐百或EBM品牌。压缩机推荐选用高能效比的谷轮涡旋式压缩机，配置电子膨胀阀。</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4)蒸发器采用铜管铝翅片材质，须采用电极式加湿器，采用PTC电加热器。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应采用先进的微处理控制器，采用不小于7英寸彩色触摸屏，能显示温湿度曲线，具有图形显示机组内各组件的运行状态的功能，应具有不少于3000条故障报警记录储存的功能，可储存和显示当前和历史报警信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标配RS485接口，可进行远程监控，实现远程开关机、状态查看、参数设置、告警查看等功能。必须具有群控功能，群控机组台数不少于32台，当群控功能失效，必须保证单机自动接管运行，实现机组群控不需增加额外的费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室外机应采用耐腐蚀外壳结构，具有良好的刚性和防腐性能，以适应多种环境条件，室外机组可根据现场情况选择水平或垂直安装方式。室外机冷凝器采用铜管铝翅片，而非全铝微通道，室外风机可根据制冷系统压力无级调速运行。</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8)为保证设备质量，空调主要部件（壳体、蒸发器及冷凝器）需要自产。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9)精密空调应具有群控功能。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二、智能化系统</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（一）综合布线系统</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单口面板</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1．面板类型：86*86mm型；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2．面板端口数：单口；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3．面板主体塑料材质：采用ABS塑胶材质，耐冲压，阻燃；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4．防尘门：优质ABS工程塑料；</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5．Z字形弹簧材质：钢丝；</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6．连接方式：直接卡接信息模块；</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7．边框拆卸：侧面拆卸边框；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8．安装方式：使用面板包装内配套的双螺丝明装或暗装；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9．匹配性：与语音、有线电视、五类、超五类，六类、超六类等全线模块兼容；</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10．使用温度： -20～70℃；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11．湿度：85%（温度85℃±3℃）。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832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双孔面板</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1．面板类型：86*86mm型；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2．面板端口数：双口；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3．面板主体塑料材质：采用ABS塑胶材质，耐冲压，阻燃；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4．防尘门：优质ABS工程塑料；</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5．Z字形弹簧材质：钢丝；</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6．连接方式：直接卡接信息模块；</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7．边框拆卸：侧面拆卸边框；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8．安装方式：使用面板包装内配套的双螺丝明装或暗装；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9．匹配性：与语音、有线电视、五类、超五类，六类、超六类等全线模块兼容；</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10．使用温度： -20～70℃；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11．湿度：85%（温度85℃±3℃）。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RJ45模块</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1．接线方式：180度卡接，使用110工具端接；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2．提供T568A&amp;T568B打线标示系统；</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3．壳体材料：聚碳酸酯工程塑料（PC料），阻燃符合UL-94V0，抗冲击；</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4．IDC端子材质：磷青铜镀镍；</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5．金针材质：磷青铜镀金50μm；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6．IDC端子可卡接线径：单股或多股裸铜导体0.4-0.6mm；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7．频率范围 0～250MHz；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8．额定电流 1.5A；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9．接触电阻 ≤2.5mΩ；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10．绝缘电阻 ≥500 MΩ；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11．插入力和拔出力：插入力≤20N，拔出力≥20N；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12．RJ45拔插次数：≥1000次；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13．IDC端子端接次数：≥250次；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14．抗电强度 750VAC ，60HZ 1 分钟，无击穿无飞弧；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15．使用温度： -20～70℃；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16．湿度：85%（温度85℃±3℃）。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998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24口配线架含理线架</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1．配线架金属材质：全钢架结构+黑色喷塑；</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2．配线架塑料材质：PBT工程塑料、PC聚碳酸酯、ABS工程塑料；</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3．IDC打线端子：磷青铜镀镍；</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4．镀金层厚度：50µm；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5．配线架模块类型：6口一体式模块*4组；</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6．RJ45端口：可连接1-24根跳线；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7．接线端子类型：IDC与110双用端子，可卡接导体为0.4～0.6mm；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8．安装性：19英寸标准机架式设备；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9．安装高度：1U；</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10．配线架背部理线功能：配线架背部含1*24金属理线板；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11．安装方式：使用配线架包装内标配螺丝安装于机架内；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12．维护方式：从背部进行维护；</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13．频率范围：0～250MHz；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14．工作电压：125V；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15．耐压：750V；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16．插入损耗：0.4dB@100MHz；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17．绝缘电阻：初始值≥100MΩ，恒定湿热试验后≥100MΩ；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18．插入力：≤20N；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19．拔出力：≥20N；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20．RJ45卡接次数：≥750次；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21．接线端子卡接次数：≥250次；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22．使用温度： -20～70℃；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23．湿度：85%（温度85℃±3℃</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架</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121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110配线架机理线架</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1．跳线架整体材质：优质PC工程塑料；</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2．IDC接线端子：PC+磷青铜镀镍；</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3．镀金层厚度：50µm；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4．可接线缆对数：100对（100路模拟电话信号或50路数字电话信号）；</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5．插入力：≥20N；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6．导线端接次数：≥250次；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7．带有拆卸方便的标签管理系统，满足TIA/EIA-606标准；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8．适合线径：适用于22-26AWG线芯的卡接；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9．连接方式：4对110接线工具端接大对数（使用正确的工具，按大对数色谱接线）；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10．安装方式：具有墙装型和机架型两种；</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11．使用温度：-20～70℃；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12．湿度：85%（温度85℃±3℃）；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架</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（二）计算机网络系统</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122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24口POE交换机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1.交换容量≥672Gbps，包转发率≥126Mpps；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2.提供≥24个10/100/1000BASE-T PoE+电口，提供≥4个100/1000BASE-X SFP端口（其中包含4个10/100/1000BASE-T combo电口）；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3.支持802.3at/POE+供电标准，单端口最大支持30W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4.支持基于端口的VLAN，支持基于协议的VLAN；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5.堆叠链路冗余保护能够快速收敛，收敛时间≤50ms；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6.支持IPv4/IPV6双栈管理和转发，支持静态路由协议和RIP、OSPF等路由协议，支持丰富的管理和安全特性；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7.支持CPU保护功能；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8.支持攻击溯源Attack source tracing；</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9.支持内置智能图形化管理功能。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123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24口交换机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1.交换容量≥672Gbps，包转发率≥126Mpps，静音无风扇；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2.提供≥24个10/100/1000BASE-T电口，提供≥4个1000 BASE-X SFP端口；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3.支持基于端口的VLAN，支持基于协议的VLAN；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4.堆叠链路冗余保护能够快速收敛，收敛时间≤50ms；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5.支持IPv4/IPV6双栈管理和转发，支持静态路由协议和RIP、OSPF等路由协议，支持丰富的管理和安全特性；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6.支持CPU保护功能；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7.支持攻击溯源Attack source tracing；</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8.支持内置智能图形化管理功能。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124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48口交换机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1、交换容量≥672Gbps，包转发率≥166Mpps，静音无风扇；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2、提供≥48个10/100/1000BASE-T电口，提供≥4个1000 BASE-X SFP端口；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3、支持基于端口的VLAN，支持基于协议的VLAN；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4、堆叠链路冗余保护能够快速收敛，收敛时间≤50ms；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5、支持IPv4/IPV6双栈管理和转发，支持静态路由协议和RIP、OSPF等路由协议，支持丰富的管理和安全特性；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6、支持内置智能图形化管理功能</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吸顶ap</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1、采用整机双频4流设计，可同时工作在802.11a/b/g/n/ac/ac wave2/ax模式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2、整机协商速率≥2.975Gbps</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3、≥1个2.5G/1G光口，1个10/100/1000M电口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4、内置智能天线系统</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5、内置BLE5.1</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6、支持面板、壁挂和吸顶等多种安装方式</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POE供电模块（门卫AP供电）</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AP配套</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127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AC管理器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1、集中转发性能≥10Gbps</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2、技术标准（ax/ac/n）：11ax/ac/n</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3、内置双电源</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4、接口数量≥10个千兆电接口，2个万兆光接口</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5、支持常规AP最大数量≥144</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6、支持基于终端画像和终端业务的漫游调度</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7、支持独立射频扫描漫游增强和WIPS增强；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8、配置</w:t>
            </w:r>
            <w:r>
              <w:rPr>
                <w:rFonts w:hint="eastAsia" w:ascii="宋体" w:hAnsi="宋体" w:eastAsia="宋体" w:cs="宋体"/>
                <w:sz w:val="21"/>
                <w:szCs w:val="21"/>
                <w:lang w:val="en-US" w:eastAsia="zh-CN" w:bidi="ar"/>
              </w:rPr>
              <w:t xml:space="preserve">16个</w:t>
            </w:r>
            <w:r>
              <w:rPr>
                <w:rFonts w:hint="eastAsia" w:ascii="宋体" w:hAnsi="宋体" w:eastAsia="宋体" w:cs="宋体"/>
                <w:sz w:val="21"/>
                <w:szCs w:val="21"/>
                <w:lang w:bidi="ar"/>
              </w:rPr>
              <w:t xml:space="preserve">AP管理授权</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AC管理器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1、集中转发性能≥40Gbps</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2、技术标准（ax/ac/n）：11ax/ac/n</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3、内置双电源</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4、接口数量≥16个千兆电接口，10个千兆光接口，2个万兆光接口</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5、支持常规AP最大数量≥1536</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6、支持基于终端画像和终端业务的漫游调度；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7、支持独立射频扫描漫游增强和WIPS增强；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8、▲提供产品无线局域网接入点无线平台软件的著作权登记证书复印件与中国版权保护中心网页查询结果截图并加盖投标单位公章。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9、配置128个AP管理授权</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核心交换机</w:t>
            </w:r>
            <w:r/>
          </w:p>
        </w:tc>
        <w:tc>
          <w:tcPr>
            <w:tcBorders>
              <w:top w:val="single" w:color="000000" w:sz="4" w:space="0"/>
              <w:left w:val="single" w:color="000000" w:sz="4" w:space="0"/>
              <w:right w:val="single" w:color="000000" w:sz="4" w:space="0"/>
            </w:tcBorders>
            <w:tcW w:w="2246"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1、交换容量≥51.2Tbps；包转发率≥38400Mpps。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2、主控引擎≥2；整机业务板槽位≥3；</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3、支持融合无线AC功能，无需独立的AC业务板卡，即支持无线AP管理功能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4、支持虚拟化技术，支持多台虚拟化为一台</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5、支持VxLAN 网关，支持EVPN VxLAN</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6、支持静态路由、RIP、OSPF、BGP等增强三层路由协议</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7、支持MAC/802.1X等多种认证方式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8、支持TAP能力，可支持TAP同源同宿功能，报文截断功能，源端口标识功能，支持TAP基于端口的M:N模型功能，支持TAP基于报文头部修改功能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9、▲支持软件安全可信计算，支持系统通过对代码的数字签名来标识软件来源，通过签名机制来防止软件被篡改，提高系统软件的安全可信（应满足根据《信息安全技术 网络安全等级保护基本要求》（GB/T 22239-2019）中可信验证要求，提供CMA认证的检测结果为“符合”、“达标”、“合格”的权威第三方检测报告，并加盖投标单位公章）；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10、端口支持自动恢复功能，对于PFC死锁检测、CRC错报检测、端口翻转测试、光功率异常等端口down后，端口支持自动恢复，能够设置自动恢复为UP的延时时间</w:t>
            </w:r>
            <w:r>
              <w:rPr>
                <w:rFonts w:hint="eastAsia" w:ascii="宋体" w:hAnsi="宋体" w:eastAsia="宋体" w:cs="宋体"/>
                <w:sz w:val="21"/>
                <w:szCs w:val="21"/>
                <w:lang w:eastAsia="zh-CN" w:bidi="ar"/>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lang w:eastAsia="zh-CN" w:bidi="ar"/>
              </w:rPr>
              <w:suppressLineNumbers w:val="0"/>
            </w:pPr>
            <w:r>
              <w:rPr>
                <w:rFonts w:hint="eastAsia" w:ascii="宋体" w:hAnsi="宋体" w:eastAsia="宋体" w:cs="宋体"/>
                <w:sz w:val="21"/>
                <w:szCs w:val="21"/>
                <w:lang w:bidi="ar"/>
              </w:rPr>
              <w:t xml:space="preserve">11、支持网络安全协防功能，支持将IP和端口扫描流量重定向给网络安全系统进行诱捕</w:t>
            </w:r>
            <w:r>
              <w:rPr>
                <w:rFonts w:hint="eastAsia" w:ascii="宋体" w:hAnsi="宋体" w:eastAsia="宋体" w:cs="宋体"/>
                <w:sz w:val="21"/>
                <w:szCs w:val="21"/>
                <w:lang w:eastAsia="zh-CN" w:bidi="ar"/>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lang w:eastAsia="zh-CN" w:bidi="ar"/>
              </w:rPr>
              <w:suppressLineNumbers w:val="0"/>
            </w:pPr>
            <w:r>
              <w:rPr>
                <w:rFonts w:hint="eastAsia" w:ascii="宋体" w:hAnsi="宋体" w:eastAsia="宋体" w:cs="宋体"/>
                <w:sz w:val="21"/>
                <w:szCs w:val="21"/>
                <w:lang w:bidi="ar"/>
              </w:rPr>
              <w:t xml:space="preserve">12、支持跨板转发时延功能，跨板转发不丢包</w:t>
            </w:r>
            <w:r>
              <w:rPr>
                <w:rFonts w:hint="eastAsia" w:ascii="宋体" w:hAnsi="宋体" w:eastAsia="宋体" w:cs="宋体"/>
                <w:sz w:val="21"/>
                <w:szCs w:val="21"/>
                <w:lang w:eastAsia="zh-CN" w:bidi="ar"/>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13、实际配置双主控，双电源，24个千兆电接口，24个千兆光接口，8个万兆光接口</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电源模块</w:t>
            </w:r>
            <w:r/>
          </w:p>
        </w:tc>
        <w:tc>
          <w:tcPr>
            <w:tcBorders>
              <w:left w:val="single" w:color="000000" w:sz="4" w:space="0"/>
              <w:right w:val="single" w:color="000000" w:sz="4" w:space="0"/>
            </w:tcBorders>
            <w:tcW w:w="2246"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131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24口电板卡</w:t>
            </w:r>
            <w:r/>
          </w:p>
        </w:tc>
        <w:tc>
          <w:tcPr>
            <w:tcBorders>
              <w:left w:val="single" w:color="000000" w:sz="4" w:space="0"/>
              <w:right w:val="single" w:color="000000" w:sz="4" w:space="0"/>
            </w:tcBorders>
            <w:tcW w:w="2246"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24口光板卡</w:t>
            </w:r>
            <w:r/>
          </w:p>
        </w:tc>
        <w:tc>
          <w:tcPr>
            <w:tcBorders>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133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应用交付网关</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1）采用非X86多核架构，支持双交流电源，1U的独立盒式设备，专业负载均衡，同时具备链路负载和服务器负载功能，非防火墙增加功能授权；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2）网络吞吐量≥3Gbps，应用层吞吐量≥2Gbps，最大并发连接数≥500万，每秒新建连接数≥7万；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3）千兆电接口≥14个，千兆光接口≥12个，万兆光接口≥4个，支持扩展槽位≥4个；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支持端口聚合，支持RIP、OSPF、BGP等路由协议；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4）支持轮询、加权轮询、最小连接、加权最小连接、随机、源地址HASH、目的地址HASH、源地址端口HASH、动态就近性、带宽算法、最大带宽算法、本地优先级、基于ISP选路等链路调度算法；</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5）支持DNS透明代理功能，可基于负载均衡算法代理内网用户进行DNS请求转发，避6）免单运营商DNS解析出现单一链路流量过载，平衡多条运营商线路的带宽利用率。</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134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防火墙</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1）采用非X86多核架构，支持以路由模式、透明模式、混合模式进行部署；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2）防火墙吞吐量≥10G，并发连接数≥500万，每秒新建连接数≥5万，应用层吞吐≥3.5G；</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3）千兆电接口≥16个，千兆光电复用接口≥4个，千兆光口≥6个，万兆接口≥2个，接口扩展槽位≥2个；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4）支持静态路由、策略路由、RIP、OSPF、BGP等路由协议；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5）支持安全区域划分，配置访问控制列表，支持一体化安全策略，支持在安全策略中调用IPS、防病毒、文件过滤、URL过滤等增值业务功能；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6）支持策略风险调优，支持安全策略优化分析，支持策略数冗余及命中分析，支持基于应用风险的策略调优，并给出总体安全评分；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7）支持根据流量自动学习生成安全策略，支持安全策略风险调优功能；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8）支持MPLS隧道流量控制功能，支持WAF功能；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9）▲支持至少100层病毒压缩文件检测功能（应满足根据《信息安全技术 网络安全等级保护基本要求》（GB/T 22239-2019）中安全计算环境层面的入侵防范控制要求，提供CMA认证的检测结果为“符合”、“达标”、“合格”的权威第三方检测报告，并加盖投标单位公章）。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上网行为管理</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1）机架式独立硬件设备，非X86架构多核架构设计，功能采用模块化结构设计；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2）网络吞吐量≥40Gbps，应用层吞吐量≥15Gbps，最大并发连接数≥1000万，每秒新建连接数≥20万，冗余电源；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3）千兆电接口≥12个（支持3对Bypass接口），千兆光接口≥12个，万兆光接口≥4个，；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4）支持路由模式、透明（网桥）模式、混合模式，支持镜像接口，部署模式切换无需重启设备；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5）支持首页大屏展示网络状态、包括在线用户、审计日志类别及数量、流量分析、违规用户信息等；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6）支持MySQL、PostgreSQL、Oracle、Informix、SQL Server、Sybase、Db2等常用数据库操作和表名的审计；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7）支持打印机、投影仪、电视、摄像头、Windows、Linux等终端识别及操作；支持针对https流量在认证时弹Portal页面；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翻墙软件的识别与阻断功能，支持基于时间戳、UA识别、应用特征、微信长连接等共享接入管理功能（应满足根据《中华人民共和国计算机信息网络国际联网管理暂行规定》中要求任何单位和个人不得自行建立或者使用其他信道进行国际联网，提供CMA认证的检测结果为“符合”、“达标”、“合格”的权威第三方检测报告，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9）配置三年特征库升级服务。</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136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网管软件</w:t>
            </w:r>
            <w:r/>
          </w:p>
        </w:tc>
        <w:tc>
          <w:tcPr>
            <w:tcBorders>
              <w:top w:val="single" w:color="000000" w:sz="4" w:space="0"/>
              <w:left w:val="single" w:color="000000" w:sz="4" w:space="0"/>
              <w:bottom w:val="single" w:color="000000" w:sz="4" w:space="0"/>
              <w:right w:val="single" w:color="000000" w:sz="4" w:space="0"/>
            </w:tcBorders>
            <w:tcW w:w="2246"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1）支持单台服务器融合部署，统一UI体验，支持在单台服务器上，同时融合部署控制、分析、准入、DHCP、网络管理等软件产品的能力，实现统一门户，统一UI体验；</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2）支持PON融合方案，支持光电融合部署在一台物理设备上，支持PON网络OLT+ONU零配置自动化上线，支持业务随行，以及ONU故障诊断等智能运维能力；</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3）支持MACSEC的安全配置，支持通过拓扑呈现MACSEC的链路加解密情况；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4）支持交换机、无线设备、PON、安全设备、BRAS设备一网统管运维；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5）支持IPv6单栈场景自动化，支持IPv6单栈场景，网络基于IPv6地址实现自动化上线，业务自动部署，策略一键下发，支持业务随行；</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6）支持M-LAG组网自动化，支持核心/汇聚设备M-LAG组网方案，支持M-LAG组网模型下开启认证功能，实现自动配置部署，保证网络高可靠；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7）支持对无线AP节能控制，自主开启节能模式；支持AP实时和历史功耗统计分析，支持任意时刻的功耗对比，及AP功耗详情分析；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8）支持业务随行（组间和组内）访问控制功能；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9）支持网络接入侧IP地址冲突问题根因分析功能和链路闪断问题根因分析；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10）本次配置25个有线设备管理授权，20个无线设备管理授权，100个终端并发智能接入管理授权；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11）本次配置1台2U机架式服务器，不低于2颗2.6GHz 8核CPU，128GB内存，2*480GB SSD,2*2.4TB HDD, 带4GB缓存RAID卡，4个千兆电接口，冗余风扇电源。</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137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网络管理服务器</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4口ONU</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1、≥1个10G PON对称接口，4*GE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2、工作温度：-10°~55°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3、采用无风扇静音设计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4、金属外壳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5、支持10G EPON/XGS-PON自适应</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139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分光器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1、支持灵活放置于楼道信息箱，或通过扎带绑定在机柜上</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2、支持1:8分光比</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3、适配器类型：SC/UPC</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OLT</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配套核心使用</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141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万兆光模块</w:t>
            </w:r>
            <w:r/>
          </w:p>
        </w:tc>
        <w:tc>
          <w:tcPr>
            <w:tcBorders>
              <w:top w:val="single" w:color="000000" w:sz="4" w:space="0"/>
              <w:left w:val="single" w:color="000000" w:sz="4" w:space="0"/>
              <w:bottom w:val="single" w:color="000000" w:sz="4" w:space="0"/>
              <w:right w:val="single" w:color="000000" w:sz="4" w:space="0"/>
            </w:tcBorders>
            <w:tcW w:w="2246"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1、交换容量≥204.8Tbps；包转发率≥128000Mpps</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2、主控板交换容量≥9.6Tbit/s；OLT每业务槽位最大带宽≥480Gbit/s</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3、主控引擎≥2；整机业务槽位≥10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4、支持XGSPON 端口数≥240，10GE/GE上联端口数≥480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5、支持VxLAN 网关，支持EVPN VxLAN</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6、支持静态路由、RIP、OSPF、BGP等增强三层路由协议</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7、支持内置DHCP服务器，可为终端动态分配IP地址，支持的地址池规格≥17000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8、支持TAP能力，可支持TAP同源同宿功能，报文截断功能，源端口标识功能，支持TAP基于端口的M:N模型功能，支持TAP基于报文头部修改功能；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9、支持软件安全可信计算，支持系统通过对代码的数字签名来标识软件来源，通过签名机制来防止软件被篡改，提高系统软件的安全可信；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10、端口支持自动恢复功能，对于PFC死锁检测、CRC错报检测、端口翻转测试、光功率异常等端口down后，端口支持自动恢复，能够设置自动恢复为UP的延时时间；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11、支持网络安全协防功能，支持将IP和端口扫描流量重定向给网络安全系统进行诱捕；</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12、支持跨板转发时延功能，跨板转发不丢包；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13、配置主控引擎≥2个，电源≥2个，配置10G PON光接口≥24个（含14个10G PON模块），1GE以太网光接口≥96个，1GE以太网电接口≥48个</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142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电源模块</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144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48口电板卡</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145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48口光板卡</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146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网闸</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1、2U机架式设备，单电源，硬盘≥64GB SSD；</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2、网络吞吐量≥450Mbps，整体时延&lt;1ms，最大受控协议通道数≥2000个，并发连接数≥10W，文件同步任务数≥60；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3、内网≥6个千兆电接口（其中含MAN口1个），≥2个千兆以太光口，≥1个串口，≥2个USB口；外网≥6个千兆电接口（其中含HA口一个），≥2千兆以太光口，≥1个串口，≥2个USB口；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4、支持安全上网功能，提供安全的上网访问，支持HTTP协议及代理等；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5、支持安全邮件功能，提供安全的邮件访问，支持POP3、SMTP协议；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6.支持文件传输功能，提供安全的文件传输功能，支持FTP、NFS、SAMBA等文件传输协议；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7.支持文件同步功能，可通过samba、nfs、sftp方式提供安全的文件同步功能；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8、支持对视频流量进行签名验签，对信令内容进行检查；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9、支持通道批量配置，简化运维；</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光纤收发器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千兆单模单纤光纤收发器 光电转换器 电信级SC接口自适应3KM。</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（三）校园背景音乐系统</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148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数字IP网络广播服务器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1.亮度：350，对比度：600:1，分辨率：1920×1080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2.网络广播主机带5个COM接口；4路MIC输入口； 8路USB接口，其中4个USB接口为USB3.0；双网卡设计，2个RJ45接口；1路VGA接口和1路DVI-D视频接口，可以外接LCD监视器；2路PS/2接口，可以外接PS/2的鼠标和键盘</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3.6×4音频矩阵功能：6路线路输入接口，每一路线路输入有两个编组按键发送到任意编组混音</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4.线路输入和话筒输入均带音量和音调调节，具有9个音量调节旋钮，9组（18个）高低音调节旋钮</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5.带2组线路输出接口</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6.面板带1个可以编程的紧急按键</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7.内置监听功能，监听音量可以单独调整</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8.具有一路短路触发开机运行接口，用于外部设备定时驱动开机运行</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9.硬盘容量：256G固态硬盘</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10.内存容量:8G。</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149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网络广播主控软件</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1.网络广播系统控制的核心软件；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2.无需互联网静态IP地址即可与IP广播管理平台主控软件互联；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3.注册方式以USB加密狗硬件注册方式；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4.系统服务器软件，支持双向通讯设备的权限分配，网络冗余、即时性音频应急保障备份、推送备份和定压备份设定；</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5.自动音乐播放；自动预开电源，播放结束自动关闭；</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6.支持单点播放：可以对任意单点、组群、分区或全部广播；</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7.网上讲话：远程对全区、分区、分组讲话；</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8.支持LED显示推送：以手动或自动的方式实时、定时发布文本信息；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9.具备自动增益功能：内置自主算法、自主技术的DSP处理模式，能自动识别和区分终端环境噪声和正常的广播内容，自动根据环境噪声自动增减广播增益。同时保证声音的清晰度和强度；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10.具备一键巡检功能，可以在30秒内快速检查所有网络音箱的声音品质是否符合播音要求，自动以警示图标形式显示故障终端，可保存所有终端的检测数据，作为核查依据。</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网络广播分控软件</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1、网上任意的台式电脑或笔记本电脑，运行本远程客户端分控软件；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2、分控点通过系统服务器的登录与权限验证，就可以对广播系统进行控制；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3、通过远程客户端，用户可以通过客户端电脑的声卡进行实时采播，采播的内容可以是实时讲话或者现场声音的混音；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4、远程客户端还可以进行本地文件播放，并可以远程编排定时播放任务，上传至服务器后等待服务器自动播放；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5、系统管理员还可以通过远程客户端进行整个广播系统的管理和监控，并可以实时调整广播信息d点的音量大小，可实现实时广播（寻呼）、编排、节目采编等功能。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151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网络寻呼基站</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1.≥7寸高清IPS液晶屏，工业级设计，精致美观；</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2.可对全区，分区，指定终端发起广播寻呼喊话，分区数量不限；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3.支持麦克风，外接输入音源自由切换；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4.支持本地U盘和服务器媒体库点播，指定终端或分区播放；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5.支持在播放界面显示文件名称，播放区域范围，播放总时长，当前文件时长，用户体验更友好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6.支持外部音源采播，直接采集外部音频广播；</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7.支持寻呼和网络文件广播混音输入，双路并行至终端或分区播放，混音音量比例可调；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8.支持同时创建30路实时广播，同时开启6路平行广播，无需登录客户端，具备强大的播控能力；</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9.可对分组或终端进行环境音实况监听，支持分组循环监听，灵活设置监听时间；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10.可进行远程升级和本地USB升级；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11.支持本地静态IP和DHCP双配置，跨网段，跨路由，灵活方便；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12.具有无操作进入屏保与休眠，屏保状态具有播控浮窗功能；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13.支持多种界面主题风格自由切换。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14、电源供电：DC15V/3A（电源适配器）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15、网络传输速率：10M/100M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16、喇叭额定输出功率：3W/8Ω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17、广播延时：端到端≤40ms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18、工作温度:-10℃～50℃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19、工作湿度:10～90% RH(不凝结)</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调音台</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1、至少4路MIC/LINE，2组立体声输入，2路效果返回输入（2路 6.35接口），1路USB、蓝牙输入</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2、至少2路主输出，2路编组输出，2路辅助输出，1路效果输出，1路立体声耳机输出，1组立体声录音输出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3、内置效果器，内置多媒体播放器 （配遥控器），支持牙接收功能，支持USB播放，可直接播放WAV、MP3双格式音乐，PC声卡</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4、频率响应：20Hz～20kHz（±1dB）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5、总谐波失真：≤0.05%@0dBu，1kHz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6、信噪比≥98dB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7、串音≥60dB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8、话筒增益：≥50dB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9、线路增益：≥50dB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10、最大输出电平：≥18dBu</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153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调音台</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1）≥12路独立话筒/线路输入，1组立体声输入，1组辅助返回输入；1路SD卡、蓝牙输入，≥12路话筒输入独立48V幻象供电开关；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2）≥2路主输出，2路编组输出，2路辅助输出，1组立体声录音输出，1路监听输出；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3）带USB接口和操作界面，可直接播放WMA、MP3双格式音乐；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4）内置100种模式的数字效果器；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5）配置2×10点LED电平指示；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6）频率响应：20Hz～20kHz（+1dB）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7）总谐波失真(1kHz)：≤1%；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8）线路输入增益：≥55dB；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9）话筒输入增益：≥68dB；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10）最大输入输出电平：≥14dB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11）信噪比（A计权）：≥85dB。</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841"/>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一拖二无线麦克风（手持）</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1）采用金属机箱，具有坚固的结构、散热及隔离谐波干扰极佳的专业质量；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2）采用天线分集式接收及数字导音，杂音锁定双重静音控制，接收距离远，消除接收断音及不稳的缺失；</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3）支持天线环路输出，支持AC电源环路输出；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4）载波频段: UHF530-690、000MHZ；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5）频率响应 : 不低于60Hz-15500Hz；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指向性频响曲线：不低于300-2000Hz（应满足依据（GB/T12060.4-2012《声系统设备第4部分:传声器测量方法》GB/T14198-2012《传声器通用规范》GB/T9388-1988《无线传声器系统测量方法》GB/T17276-1998《无线传声器系统通用规范》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7）最大声压级：不低于109dB，失真：&lt;0、5%；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8）发射器最大输出功率：30mW允差±2mW；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9）天线：50Ω/TNC，支持天线环路输出；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10）发射器拾音头：动圈式；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11）发射器供电方式：两节AA电池；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12）电池寿命：约8小时（发射器功率为高功率）；                                                                                                                                                                               13）内含一个主机+2个手持话筒。</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155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无线信号分路器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1.天线输入连接座具有供应天线放大器的电源，可直接连接具有天线放大器的延长天线及内建放大器的天线</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2.能提供四台宽频多频道接收机共用一对天线， 第二台分配器 同时级联或宽频多频道接收机，简化天线装配工程</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3.分路器可提供4路12V DC电源输出，为4台无线接收机提供电源，简化机柜安装</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4.载波范围为500MHZ─850MHZ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5、输入截断点： +15dBm</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6、输出/输入增益： +1.0dB±1dB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7、输出端隔离度： &gt;18dB 在500MHz ─ 850MHz </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8、输出/入阻抗： 50Ω</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9、天线输出接头： TNC插座</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10、电源输入： 12V-15V/5A DC</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11、电源输出： 12V/1.2A DC (Each one)</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156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无线信号放大器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1.采用对数周期偶极振子阵列，能够在面向所需的覆盖区域时提供最佳接收效果。集成式放大器具有28档位增益设置，用于补偿同轴缆线的插入损失；</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2.▲适应频率范围： 500MHz  ─ 850MHz，天线阻抗：50Ω，驻波比：≤2.5：1，天线增益：3-5dB，增益范围：-9~+18（应满足依据GB/T 17626.2-2018《电磁兼容 试验和测量技术 静电放电抗扰度试验》采用CMA认证的第三方检测机构提供的检测结果为:“符合”或“达标”或“通过”或“合格”的检测报告为佐证并加盖投标单位公章)。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157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天线延长线</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50Ω同轴天线延长线20米</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网络音频采集器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将音频输入接口输入的音频编码为采样率48K的高品质音频流，并通过IP广播系统将音频流传送到指定的IP广播终端进行播放。实现的方式有三种:1、在音频采集器上手动播放；2）可以在服务器上编辑任务，定时采集指定的音源，放给指定的区域；3、在服务器上手动播音，采集音源，播放给指定的区域；</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带音乐播放模块，支持USB接口播放、SD卡接口播放、支持蓝牙连接播放、内置FM收音模块。支持MP3\WAV\WMA格式的音乐播放。带5个工业金属控制按键，支持播放\暂停、上一曲\下一曲、循环、音源模式切换等功能操作。面板带双液晶显示屏，显示一目了然，支持红外遥控功能（遥控器选配），操作方便快捷；</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3.▲面板带双液晶显示屏，面板带≥12个可定义的快捷键，（提供设备面板实物图并加盖投标单位公章）可将采集的信号快速的放给指定的区域或全区。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4.面板带5段LED信号输出幅度实时指示灯，动态显示信号输出强度；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带四组立体声线路输入，每一路的音量单独可调；带两组扩展线路输出，可连接有源监听音箱和外扩功放。四组线路输入可任意选择进行音采集，也可以选择音乐播放模块的信号、话筒信号与线路输入进行混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6.带6路受控电源接口，1-4路分别与四组立体声线路输入对应；5-6路为任务扩展电源接口。有采集任务时，可外接其他扩展设备；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7.2路φ6.35话筒接口。每路均带48V幻像电源开关，每路的高低音调节、音量调节单独可控；其中话筒2带默音调节功能；话筒1输入在话筒插入或话筒上电时直接激活IP网络广播系统，实现全区讲话或语音广播，做到“想讲就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8.支持远程固件升级，无需到终端本地升级，减轻维护人员工作强度；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9.2组信号输出，可连接有源监听音箱和外扩功放；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10.输入灵敏度 ：线路　-10dB； 话筒 -35dB；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11.输出灵敏度： 0dB±1dB；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12.输入阻抗：   ＞10KΩ；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13.频率响应：   20Hz~20KHz（﹢1dB~﹣3dB） ；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14.总谐波失真： ≤0.5%；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15.音调： 100Hz   ±10dB；   10KHz    ±10dB；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16.电源电压范围：220V±10%　50Hz；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17.消耗功率：  30W（除外控电源外）；</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18.网络接口： 标准RJ45；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19.信噪比：&gt;70dB；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20.采样率：8K～48KHz；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21.音频格式：MP3；</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22.传输速率：10/100Mbps；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23.支持协议：ARP、UDP、TCP/IP、ICMP、IGMP(组播)；</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24.受控电源接口≥6路。其中4路能分别与四组立体声线路输入对应；2路能在有采集任务是受控打开，外接其他扩展设备。</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159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合并式定压功率放大器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1.D类数字功率放大器</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2.具有MP3、Bluetooth播放功能,音量独立可调</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3路话筒（TRS6.35）输入、≥3组(6路)线路输入，≥1路录音输出，≥1路消防信号输入，≥3路话筒音量、线路音量独立调节，话筒高、低音独立调节功能，≥3路话筒具有+48V幻像供电选择开关，≥1路话筒具有默音可调功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4.≥1路短路报警强切接口，≥1路24V报警强切接口</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5.采用100V定压输出、70V定压输出、定阻（8Ω）输出三种输出方式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6.≥6分区输出：可通过按键控制各分区通断，也可通过网络广播模块（需选配）远程控制各分区通断</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7.≥1路RS485接口：实现RS485远程监控功能。通过广播管理系统主机能监测功放的输出电流，电压，输出模式，功放温度，网络状态，功放保护状态</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8.插卡式设计可选配插卡式网络模块或物联网模块让功放成IP网络功放或物联网功放，即插即用。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9.网络音频信号优先或混音可选</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10.输出功率：500W</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11.线路输入灵敏度：300mV±30mV</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12.话筒输入灵敏度：15mV±3mV</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13.话筒音调：低音100Hz、高音10KHz ≥8dB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14.频率响应：120Hz~20KHz （+0.5dB~-3dB）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15.信噪比：线路 ≥82dB（A计权），话筒：≥72dB（A计权）</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16.失真度：≤1%（@1KHz，额定输出功率）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17.功放输出调整率：400HZ ≤2；4KHZ ≤2.5</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18.电源：220V±10%/50Hz</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160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IP解码功放</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1.D类数字功率放大器；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2.具有MP3、Bluetooth播放功能,音量独立可调；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3路话筒（TRS6.35）输入、≥3组(6路)线路输入，≥1路录音输出，≥1路消防信号输入。≥3路话筒音量、线路音量独立调节，话筒高、低音独立调节功能，≥3路话筒具有+48V幻像供电选择开关，≥1路话筒具有默音可调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4.≥1路短路报警强切接口，≥1路24V报警强切接口；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5.采用100V定压输出、70V定压输出、定阻（8Ω）输出三种输出方式；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6.▲≥1路RS485接口：实现RS485远程监控功能。通过广播管理系统主机能监测功放的输出电流，电压，输出模式，功放温度，网络状态，功放保护状态。（应满足依据GB/T 2423.1-2008《电工电子产品环境试验 第 2 部分》试验方法 试验 A：低温GB/T 2423.2-2008《电工电子产品环境试验 第 2 部分》：试验方法 试验 B：高温（干热）；采用CMA认证的第三方检测机构提供的检测结果为:“符合”或“达标”或“通过”或“合格”的检测报告为佐证并加盖投标单位公章)；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7.插卡式设计可选配插卡式网络模块或物联网模块让功放成IP网络功放或物联网功放，即插即用；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8.网络音频信号优先或混音可选；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9.输出功率：200W；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10.线路输入灵敏度：300mV±30mV；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11.话筒输入灵敏度：15mV±3mV；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12.话筒音调：低音100Hz、高音10KHz ≥8dB；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13.频率响应：120Hz~20KHz （+0.5dB~-3dB）；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14.信噪比：线路 ≥82dB（A计权），话筒：≥72dB（A计权）；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15.失真度：≤1%（@1KHz，额定输出功率）；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16.功放输出调整率：400HZ ≤2；4KHZ ≤2.5；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17.电源：220V±10%/50Hz。</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161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IP解码功放</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1.D类数字功率放大器</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2.具有MP3、Bluetooth播放功能,音量独立可调。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3路话筒（TRS6.35）输入、≥3组(6路)线路输入，≥1路录音输出，≥1路消防信号输入，≥3路话筒音量、线路音量独立调节，话筒高、低音独立调节功能，≥3路话筒具有+48V幻像供电选择开关，≥1路话筒具有默音可调功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4.≥1路短路报警强切接口，≥1路24V报警强切接口</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5.采用100V定压输出、70V定压输出、定阻（8Ω）输出三种输出方式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6.≥6分区输出：可通过按键控制各分区通断，也可通过网络广播模块（需选配）远程控制各分区通断</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7.≥1路RS485接口：实现RS485远程监控功能。通过广播管理系统主机能监测功放的输出电流，电压，输出模式，功放温度，网络状态，功放保护状态</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8.插卡式设计可选配插卡式网络模块或物联网模块让功放成IP网络功放或物联网功放，即插即用。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9.网络音频信号优先或混音可选</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10.输出功率：300W</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11.线路输入灵敏度：300mV±30mV</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12.话筒输入灵敏度：15mV±3mV</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13.话筒音调：低音100Hz、高音10KHz ≥8dB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14.频率响应：120Hz~20KHz （+0.5dB~-3dB）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15.信噪比：线路 ≥82dB（A计权），话筒：≥72dB（A计权）</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16.失真度：≤1%（@1KHz，额定输出功率）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17.功放输出调整率：400HZ ≤2；4KHZ ≤2.5</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18.电源：220V±10%/50HzD类数字功率放大器</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 具有两路AUX输入，每路输入具有音量控制旋钮</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20.具有1路话筒输入，话筒音量单独可调，具有默音可调功能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21.内置网络模块，实现网络解码功能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22.优先级切换功能：可以自主选择网络优先或网络和本地信号混音输出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23.具有1路录音输出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24.RS485远程监控。通过广播管理系统主机可监控功放的工作模式、工作温度、输出电平、保护状态、工作电流等工作状态</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25.额定输出电压：100V</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26.具有总音量调整旋钮</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27.定压输出功率：350W</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28.额定电源电压：AC 220V/50Hz（±10%）。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162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网络音频解码器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1.内置1路网络硬件音频解码模块，支持TCP/IP、UDP、IGMP(组播)协议，实现网络化传输16位CD音质的音频信号，可远程调整音量和IP地址</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2.带本地话筒和线路扩音功能，且话筒、线路音量单独可调，带默音功能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3.带有24V信号和短路信号报警输入接口</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4.一路话筒输入、一组线路信号输入、一组线路信号输出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5.带优先级切换功能，可以自主选择网络信号优先或网络和本地信号混音输出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6.带USB接口，接入U盘后，用于播放本地节目。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7.支持四线制和三线制消防强切，内置24V强切电源</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8.带短路输出，可实现外部设备联动控制</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9.可选配信息推送功能，系统崩溃或网络瘫痪后，也可以自动执行任务，保证系统的平稳运行</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10.信噪比：＞80dB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11.支持协议：ARP、UDP、TCP/IP、ICMP、IGMP(组播)</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12.网络输入接口：RJ45×1</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13.音频输出口：RCA×2</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14.本地音频输入口：RCA×2</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15.外接功放输出电源插座：（10A）×1</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16.本地扩声话筒输入口：TRS×1</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17.报警输入接口：短路、24V</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18.短路输出接口：1个</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163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定压功率放大器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1.D类数字功率放大器</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2.≥1路TRS6.35接口,≥1路XLR输入接口,≥2路凤凰音频输入接口,≥1组（2路）莲花输入接口，≥1路莲花输出接口，≥1路紧急信号输入接口</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3.≥1路短路控制接口，≥1路短路报警强切接口，≥1路24V报警强切接口</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4.采用100V定压输出、70V定压输出、定阻（4Ω）输出三种输出方式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5.≥1路RS485接口：实现RS485远程监控功能。通过广播管理系统主机能监测功放的输出电流，电压，输出模式，功放温度，网络状态，功放保护状态</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6.可选配网络广播模块</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7.网络音频信号优先或混音可选</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8.输出功率：1800W</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9.输入灵敏度：775mv</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10.线路输出：775mv</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11.频率响应：120Hz-20KHz（定压 100V） 20Hz-20KHz（+0.5dB~-3dB）（定阻）</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12.信噪比：≥100dBA (A 计权)</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13.总谐波失真：≤1%(1kHz，额定输出功率)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14.过载源电动势：≥14dB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15.功放输出调整率：400HZ ≤2；4KHZ ≤2.5</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16.电源：220V±10%/50Hz</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164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1.标准2U高度机柜式设计；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2.16路电源输出，时序开关控制，顺序开启，反序关闭；</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3.时序控制增加控制口，短路信号输入，可将时序开关外接，方便与其他系统联动，使用更加灵活；</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4.可按键单独开启和关闭每一路电源输出；一个RS232串口和两个RS422数据接口，提供电源裸线端子接入市电。根据任务需求自动打开和关闭，实现无人化自动值守；</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5.时序间隔时间：1秒；</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6.单路最大电源电流：10A；16路电源总电流：40A；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7.硬件接口：RS232控制口×1；RS422数据接口×2；</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8.适用电压：220V±10%。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165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数字调谐器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1.FM自动搜索功能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2.高对比度128X64中文点阵屏,内置音源信息一目了然,自动屏保功能；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3.高灵敏度的收音系统</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4.最多可存储80个电台；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5.频率范围：FM：87.5~108MHZ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6.电源 AC220V～240V/50Hz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7.电源功耗 10～15W</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播音话筒</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1.双咪芯矩阵拾音技术，实现超心型指向性，更好地抑制啸叫；</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2.麦克风拾音距离30—50cm，适合远距离拾音要求；</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3.全金属结构及专利级抗RF辐射电路，彻底解决会议中手机信号干扰 </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4.特别设计的无冲击声静音开关，方便会场使用;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5.双软管鹅颈式话筒杆，可将拾音头灵活调到任意方向，以达到最佳拾音效果</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6.螺纹式卡侬接口，连接牢固可靠，无机械噪音；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7.换能方式: 电容式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8.指 向 性: 超心型</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9.频率响应: 40Hz—16KHz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10.灵 敏 度: -29dB±3dB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11.输出阻抗:≤100Ω</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12.电源: 幻像48V</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167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网络音箱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bidi="ar"/>
              </w:rPr>
              <w:t xml:space="preserve">1.专业一体化壁挂式设计，木质箱体。</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双色灯光指示输出接口，可实现声光同步输出，同步报警,（应满足检验依据SJ/T10406-2016；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3.内置D类数字功放，带2 x 1 5 W功率输出( 8欧定阻)输出，完美音质，发热小，功效更高；</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4.带本地线路输入一路，音量可调；话筒输入一路，音量、高低音可调；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5.带信息推送功能，系统崩溃或网络瘫痪后，也可以独立执行定时任务，保证系统的平稳运行（选配）</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6.预留2</w:t>
            </w: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bidi="ar"/>
              </w:rPr>
              <w:t xml:space="preserve">G天线接口，可选配</w:t>
            </w:r>
            <w:r>
              <w:rPr>
                <w:rFonts w:hint="eastAsia" w:ascii="宋体" w:hAnsi="宋体" w:eastAsia="宋体" w:cs="宋体"/>
                <w:sz w:val="21"/>
                <w:szCs w:val="21"/>
                <w:lang w:val="en-US" w:eastAsia="zh-CN" w:bidi="ar"/>
              </w:rPr>
              <w:t xml:space="preserve">2.4</w:t>
            </w:r>
            <w:r>
              <w:rPr>
                <w:rFonts w:hint="eastAsia" w:ascii="宋体" w:hAnsi="宋体" w:eastAsia="宋体" w:cs="宋体"/>
                <w:sz w:val="21"/>
                <w:szCs w:val="21"/>
                <w:lang w:bidi="ar"/>
              </w:rPr>
              <w:t xml:space="preserve">G接收模块，可实现本地语音扩声</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7.带1 0 0 V定压保障接口，可以选配定压保障模块，实现定压保障功能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8.带音频应急保障功能，和1 0 0 V定压保障功能一起组成网络信号的双重保障功能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9.灵敏度：9 0 d B±3 d 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10.网络接入口：R J 4 5×1</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11.内置数字功放：≥2×1 5 W / 8Ω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12.单元规格：4 .5吋宽频扬声器单元×1；</w:t>
            </w:r>
            <w:r>
              <w:rPr>
                <w:rFonts w:hint="eastAsia" w:ascii="宋体" w:hAnsi="宋体" w:eastAsia="宋体" w:cs="宋体"/>
                <w:sz w:val="21"/>
                <w:szCs w:val="21"/>
                <w:lang w:val="en-US" w:eastAsia="zh-CN" w:bidi="ar"/>
              </w:rPr>
              <w:t xml:space="preserve">2.7</w:t>
            </w:r>
            <w:r>
              <w:rPr>
                <w:rFonts w:hint="eastAsia" w:ascii="宋体" w:hAnsi="宋体" w:eastAsia="宋体" w:cs="宋体"/>
                <w:sz w:val="21"/>
                <w:szCs w:val="21"/>
                <w:lang w:bidi="ar"/>
              </w:rPr>
              <w:t xml:space="preserve">5吋高音扬声器单元×1</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吸顶音箱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1.塑料盆架，弹簧压片系统，吸顶式安装；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2.灵敏度：90±3dB；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3.额定功率：≥6W；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4.输入电压：100V；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5.频率范围：不低于120Hz-15KHz</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169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室外防雨音柱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1.外壳采用铝合金材料；</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2.专业的表面处理工艺，防水防锈，全天候设计；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3.选用防水单元，室内外均宜，寿命长，灵敏度高，声音清晰、明亮；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4.配有安装支架，安装便捷；</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5.扬声器单元通过IP56防尘防水等级认证；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6.额定功率：80W；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7.输入电压：100V；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8.灵敏度：90±3dB；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9.频率响应：110Hz-18KHz（±15%）；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10.喇叭单元：LF:5.25"×4；HF:3"×1。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音柱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1.外观美观，产品外壳主要采用铝质材料，网罩采用不锈钢钢网，抗腐蚀经久耐用</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2.安装方便灵活。</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3.喇叭单元采用两分频设计</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4.输入电压：100V</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5.额定功率：60W</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6.频率响应：130Hz-18KHz (±10%）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7.灵敏度：89dB ±3 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8.最大声压级：107dB±1dB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9.喇叭单元：LF：5"×4；HF：1"吋高音</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171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室内音柱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1.室内音柱箱体采用优质中纤板，白色，配金属网罩，外形小巧美观；</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2.扬声器采用 3吋优质全频扬声器，具有高灵敏度，高清晰度，功率大，语音清晰、声压级高的特点；</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3.广泛用于学校、工厂、车站、宾馆、机场、商场等播音场所；</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4.额定功率：20W；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5.输入电压：100V；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6.频率范围：140Hz-20KHz（±10%）；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7.灵敏度：88dB±3dB；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8.喇叭单元：3"×2。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(四)音视频会议系统</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172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线阵列音箱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numPr>
                <w:ilvl w:val="0"/>
                <w:numId w:val="6"/>
              </w:num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两分频线阵音箱；</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2.不小于2×8"低频驱动单元，不小于2×1.4"高驱动单元；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3.额定功率（RMS）不小于350W/8Ω；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4.特性灵敏度不小于100dB；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5.最大声压级不小于131dB；</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6.额定频率范围（-10dB）60Hz-20KHz；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7.覆盖角度（H×V）：100°×10°；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8.高音采用波阵面修正技术的平面波或线阵号筒/号角技术。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173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线阵列低音音箱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1.线阵低音音箱 不小于1×18"低频驱动单元；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2.额定功率（RMS）不小于800W/8Ω；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3.特性灵敏度不小于100dB；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4.最大声压级不小于135dB；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5.额定频率范围（-10dB）：35-500Hz。</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174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专业主音箱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1.不小于1×12"低频驱动单元；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2.不小于1×1.75"高频驱动单元；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3.额定功率不小于300W/8Ω；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4.特性灵敏度不小于97dB；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5.最大声压级不小于128dB；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6.额定频率范围（-10dB）：50～20000Hz；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7.覆盖角度（H×V）：90°×60°。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超低音箱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1.额定功率： 500W/2000W （Peak）；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2.额定阻抗： 8Ω；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3.特性灵敏度：98dB/W/m；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4.输出声压级：125dB（Continues）131dB（Peak）；</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5.额定频率范围： 40~500Hz；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6.扬声器单元：15英寸×1；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7.推荐分频点：（Hz） ≤120（外置）；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8.输入接口：2×Speakon NL4MP；</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9.支撑座 ：φ36mm标准支撑座；</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176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台唇音箱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1.不小于1×10"低频驱动单元；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2.不小于1×1.35"高频驱动单元；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3.额定功率不小于200W/8Ω；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4.特性灵敏度不小于96dB；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5.最大声压级不小于125dB；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6.额定频率范围（-10dB）：55～20000Hz；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7.覆盖角度（H×V）：90°×60。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177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专业补声音箱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1.不小于1×10"低频驱动单元；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2.不小于1×1.35"高频驱动单元；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3.额定功率不小于200W/8Ω；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4.特性灵敏度不小于96dB；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5.最大声压级不小于125dB；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6.额定频率范围（-10dB）：55～20000Hz；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7.覆盖角度（H×V）：90°×60°。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178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多用途专业音箱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1.额定/峰值功率：； 250W /1000 W ；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2.额定阻抗：8 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3.特性灵敏度：96dB/W/m；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4.输出声压级：120 dB/W/m(Continues)；126 dB/W/m(Peak)；</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5.额定频率范围:；55 ~ 20000Hz                                                                                                                                                                        6.扬声器单元： LF:1*12 英寸 ； HF:1* 1.34 英寸；</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7.箱体材料： 15mm中密度纤维板；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8.输入接口：NL4MP×1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9.吊挂点： 多点M8 螺丝吊装孔位；</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10.支撑座：音箱底部Φ35mm支撑座。</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179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返送监听音箱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1.不小于1×10"低频驱动单元；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2.不小于1×1.35"高频驱动单元；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3.额定功率不小于250W/8Ω；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4.特性灵敏度不小于97dB；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5.最大声压级不小于127dB；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6.额定频率范围（-10dB）：55～20000Hz；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7.覆盖角度（H×V）：90°×60°。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功率放大器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1.额定功率：2×450W/8Ω，2×675W/4Ω，桥接：1×1350W/8Ω；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2.频率响应：20Hz～20kHz（±1dB）；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3.输入灵敏度：0dBu（775mV）；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4.输入阻抗：平衡20kΩ，非平衡10kΩ；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5.总谐波失真(1kHz)：≤0.1%；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6.信噪比(A计权)：≥100dB；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7.串音衰减(1kHz)：≥70dB；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8.增益差：≤1dB；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9.阻尼系数：≥250；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10.最大功率消耗：1600W；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11.电压适应范围：AC110-242V，50Hz/60Hz。</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181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超低音箱功放</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1.输出功率：2x700W/8Ω 2x1050W/4Ω；桥接：2100W/8Ω；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2.频率响应：20Hz~20kHz（±1dB）；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3.总谐波失真(1kHz)：≤0.1%；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4.输入灵敏度(±10%)：0dBu(775mV)；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5.输入阻抗(典型值)：平衡 20KΩ，非平衡 10KΩ；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6.信噪比(A计权)：≥100dB；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7.串音衰减(1kHz)：≥70dB；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8.增益差：≤1dB；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9.阻尼系数：≥250；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10.最大功率消耗：2500W；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11.电源适应范围：AC110-242V 50/60Hz；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12.灵敏度选择：0dB/2dB/4dB；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13.工作模式选择：立体声/并接/桥接。</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补声音箱功放</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1.额定功率：2×300W/8Ω，2×450W/4Ω，桥接：1×900W/8Ω；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2.频率响应：20Hz～20kHz（±1dB）；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3.输入灵敏度：0dBu（775mV）；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4.输入阻抗：平衡20kΩ，非平衡10kΩ；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5.总谐波失真(1kHz)：≤0.1%；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6.信噪比(A计权)：≥100dB；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7.串音衰减(1kHz)：≥70dB；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8.增益差：≤1dB；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9.阻尼系数：≥250;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10.最大功率消耗：1200W；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11.电压适应范围：AC110-242V，50Hz/60Hz</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6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183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一拖二无线话筒（手持）</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1、载波频段: UHF530-690.000MHZ；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2、频率响应 : 不低于60Hz-15500kHz；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3、指向性频响曲线：不低于300-2000Hz；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4、最大声压级：不低于109dB，失真：&lt;0.5%；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5、电源供应：100-240V,内置AC电源板，支持AC电源环路输出级联；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6、发射器最大功率：不低于31mW。</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184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一拖二无线麦克风（1头戴1领夹）</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1.载波频段: UHF530-690.000MHZ；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2.频率响应 : 不低于60Hz-15500kHz；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3.指向性频响曲线：不低于300-2000Hz；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4.最大声压级：不低于109dB，失真：&lt;0.5%；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5.电源供应：100-240V,内置AC电源板，支持AC电源环路输出级联；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6.发射器最大功率：不低于31mW。</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4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185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一拖二无线麦克风（2头戴）</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1.载波频段: UHF530-690.000MHZ；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2.频率响应 : 不低于60Hz-15500kHz；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3.指向性频响曲线：不低于300-2000Hz；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4.最大声压级：不低于109dB，失真：&lt;0.5%；</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5.电源供应：100-240V,内置AC电源板，支持AC电源环路输出级联；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6、发射器最大功率：不低于31mW。</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66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186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无线传声器（2手持）</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1.连接互联网，通过TCP/IP协议可对接到物联网平台，进行多频段设备集中控制、状态显示、设备名称自定义、无干扰频率一键部署等；</w:t>
            </w:r>
            <w:r/>
          </w:p>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2.可通过PC、平板客户端无线传声器管理系统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w:t>
            </w:r>
            <w:r/>
          </w:p>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3.无线传声器管理系统软件适配windows、安卓、鸿蒙等常用系统；将频谱测试与无线传输系统高效结合和互动，图形化实时监测当前环境射频详情，并自动筛选不受干扰的频点，实现无线系统的稳定运行；</w:t>
            </w:r>
            <w:r/>
          </w:p>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4.使用EIA标准金属机箱，天线分集式接收线路、稳定的PLL相位锁定振荡电路，配合“杂音检测”静音控制功能，能有效地阻隔工作环境中的嘈杂射频干扰，理想使用距离可达80米以上；</w:t>
            </w:r>
            <w:r/>
          </w:p>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5.频率调节采用群组预设结合用户自定义调节的方式：1-4组各预设16个互不干扰频率，5-8组各预设24个互不干扰频率，用户可在群组内自由选择；第U组为用户自定义组，多达2000个频率可供用户调节；</w:t>
            </w:r>
            <w:r/>
          </w:p>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6.4.6寸LCD显示器实时显示群组、频率、电池电量、静音位准、电子音量等相关信息；LED灯柱同步显示当前通道RF、AF强度，直观明了；</w:t>
            </w:r>
            <w:r/>
          </w:p>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7.接收机具有一键自动搜频（scan）功能，自动搜索及锁定在实际工作环境中不受干扰的频道上；</w:t>
            </w:r>
            <w:r/>
          </w:p>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8.各通道可单独或混合平衡输出支持MIC/LINE两段输出增益可调，确保麦克风最佳的灵敏度及动态范围，避免产生饱和失真；</w:t>
            </w:r>
            <w:r/>
          </w:p>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9.各通道支持独立的SQ(降噪)调节，用于提升系统接收距离或避免噪声干扰；</w:t>
            </w:r>
            <w:r/>
          </w:p>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10.接收机内置开关电源，在电压巨幅变动下确保系统稳定运行；并支持电源环出功能，多台叠机只需一根电源线，可极大地减少机箱布线和电源插座的需求；</w:t>
            </w:r>
            <w:r/>
          </w:p>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11.接收机天线座提供偏置电压，可连接有源对数周期天线提升接收距离和信号质量；并支持射频级联功能，无需天线分配器即可实现多台（多至8台）叠机使用。</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187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一拖四无线麦克风</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1.采用UHF四通道设计，运用高精度锁相环频率合成PLL技术，传输更稳定；</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2.接收机采用1.8寸TFT彩色显示屏，多个通道频道号、频率、电量、音量、音频电平一目了然；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3.接收机内置啸叫抑制，可根据需要开启或关闭；</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4.接收机内置4种EQ模式——直通、低切、高切及用户模式，其中用户模式可灵活调节13段 EQ增益，适配更多场合使用；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5.接收机采用真分集接收技术，CPU自动选讯，保证接收稳定，有效预防断频；</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6.使用无声轻触电源开关，有效避免开关噪声；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7.采用动态随机ID设计，杜绝串频，接收机只接收最后一次对频的发射器；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8.接收机预置多组规避干扰的频率，有效提高多套同时使用的安装效率；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9.使用无线对频方式，无需发射器对准接收机红外发射口也能进行对频；</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10.发射器带2.8寸LCD彩色显示屏，外形简洁稳重，抗静电设计；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11.发射器显示屏带发言计时功能，方便发言人员了解发言时间；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12.超心形高保真驻极体电容咪芯，拾音灵敏、语音清晰；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13.发言按键带透光发言指示，发言时常亮，关闭时熄灭；</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14.发射器采用3节AA电池供电，可连续发言8小时以上，待机12小时以上</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                </w:t>
            </w:r>
            <w:r/>
          </w:p>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15.内含1个主机+4个会议鹅颈发射器</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188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线阵低音箱功放</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1.输出功率：2x1200W/8Ω 2x1800W/4Ω；桥接：3600W/8Ω；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2.频率响应：20Hz~20kHz +1，-3dB；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3.总谐波失真(1kHz)：≤0.1%；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4.输入灵敏度(±10%)：0dBu(775mV)；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5.输入阻抗(典型值)：平衡 20KΩ，非平衡 10KΩ；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6.信噪比(A计权)：≥100dB；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7.串音衰减(1kHz)：≥70dB；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8.增益差：≤1dB；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9.阻尼系数：≥250；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10.最大功率消耗：4400W；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11.电源适应范围：交流~110-242V /50-60Hz；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12.灵敏度选择：0dB/2dB/4dB；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13.工作模式选择：立体声/并接/桥接。</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189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音箱处理器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1.总谐波失真（1kHz）：≤0.1%；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2.信噪比（A计权）：≥105dB；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3.频率响应：20Hz～20kHz （±0.5dB）；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4.最大输入电平：≥16dBu；</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5.最大输出电平：≥16dBu；</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6.最大增益：≥20dB；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7.底噪：≤-85dBu；</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8.采用24位DSP技术，高性能AD/DA编解码器，采样率 96kHz；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9.输入输出音量调节，范围从-80dB到+12dB，最小步进0.1dB；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10.每个输入通道至少有9段参量均衡（PEQ），每个输出通道至少有15段参量均衡（PEQ），每段均有有参量，低架和高架等多种EQ类型选择；</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11.输出具备高通和低通滤波器，每个滤波器有多种斜率和类型供选择；</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12.每个输入/输出通道可设置最长延时达；1200.00ms；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13.输入输出增益：-80dB～+12dB可调，歩进0.1dB；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14.直观友好的用户界面，USB，RS485等多种方式与上位机连接。</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190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网络电源时序器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1.LED数码管显示屏，可实时显示当前电压，编辑通道状态；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2.8路通道每通道额定2.2KW电源，通道延时1秒；</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3.采用新国标电源插座，安全有保障；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4.配置RS232接口，支持外部中控设备控制；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5.▲支持物联网连接，可实现远程控制；支持PC和Android端控制。（应满足依据GB/T 2423.1-2008《电工电子产品环境试验第2部分:试验方法试验A:低温》;GB/T2423.2-2008《电工电子产品环境试验第2部分:试验方法试验B:高温》；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6.内置高性能滤波器，有效防止市电对设备干扰。</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191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1.电源电压显示：LED数码管实时显示，显示精度士2%，能实时显输入电源电压，显示误差满足精度范围；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2.可控制交流电源输出路数：14路独立220V/20A交流电源时序控制输出能时序总控制和单路控制输出；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3.时序延迟时间：≥0.5s；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4.直流输出路数：6路12V(±1V)/1.2A直流输出；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5.控制功能：RS232串口控制、凤凰控制口，实现单机控制、多机联机控制、远程控制；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6.保护功能：前面板配有80A空气开关，具有过流漏电保护功能；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7.按键和指示灯：每路交流输出电源带独文控制按键和LED指示灯；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8.接口功能：前面板带有USB接口，USB口有5V直流电源输出；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9.电源电压适应范围：AC 220V士10%50Hz/60Hz；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10.安全测试-抗电强度：对电源L-机壳之间进行测试试验条件：1500VAC，(1min）应无弧或击穿。对电源L-输入口之间、电源L-输出口之间进行测试。试验条件:3000VAC，（1min)应无飞弧或击穿；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11.接地电阻：外壳(远端）对电线插头接地端接地电阻应≤0.1Ω(25A60s)。</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192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数字音频矩阵</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1.▲≥8路模拟信号输入,≥8路模拟信号输出,支持手机、平板电脑端上位机软件与物联网平台任意切换；（应满足依据GB/T 2423.1-2008《电工电子产品环境试验第2部分:试验方法试验A:低温》GB/T 2423.2-2008《电工电子产品环境试验第2部分:试验方法试验B:高温》；采用CMA认证的第三方检测机构提供的检测结果为:“符合”或“达标”或“通过”或“合格”的检测报告为佐证并加盖投标单位公章)；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2.以太网接口支持连接局域网进行本地调试挖制;支持连接外网,对接物联网平台,进行远程设备监测与控制；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3.输入通道:ANS噪声抑制、AFC反馈抑制、AEC回声消除、信号发生器、扩展器、压缩器、自动增益、参量均衡,输出通道:延时器、高低通滤波器、限幅器、参量均衡；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4.处理器:ADI SHARC 21489@450 MHz SIMD；</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5.采样率:48 kHz，± 100 ppm；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6.THD+N:0.002% @+4dBu；</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7.≥8*AUDIO IN,≥8*AUDIO OUT,≥1*RS232,≥1*RS485,≥4*GPIO,≥1*以太网接口,≥1*USB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8.回声消除AEC：尾长时间：512ms，收敛率：60dB/S, 回声消除幅度：≥60dB；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9.反馈抑制AFC：采用陷波式算法，传声增益提升幅度：≥10dB；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10.噪声抑制（ANS）：信噪比提升≥18dB；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11.≥8段英式参量均衡，提供≥5种滤波器选择：Parametric,Lowshelf,Highshelf,Lowpass,Highpass；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物联网功能：支持物联网平台实时查看设备在线状态（支持物联网平台查看实时电平、通道静音状态、矩阵混音状态）支持物联网平台远程操控设备音频矩阵切换、支持一键静音、调整每路音频增益控制音量大小；(提供软件功能截图、并加盖投标单位公章）。</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193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反馈抑制器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1.最大输入电平≥18dBu；</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2.频率响应：80Hz～15kHz ±2dB；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3.总谐波失真（1kHz）：≤0.0008%；</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4.信噪比（A计权）：≥109dB；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5.串音：≥102dB；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6.过载源电动势≥6.4V；</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7.陷波器数量不少于双通道18段；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8.不少于12段参量均衡，内置高低通滤波器；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9.监测速度：高/中/低可选；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10.输出电平：高/中/低可选；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11.▲配备4个场景保存调用功能（应满足依据GB/T 2423.1-2008; GB/T 2423.2-2008；采用CMA认证的第三方检测机构提供的检测结果为:“符合”或“达标”或“通过”或“合格”的检测报告为佐证并加盖投标单位公章)；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12.前面板2英寸液晶显示屏；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13.支持密码锁功能；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14.中英文语言选择功能；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15.支持PC软件全功能控制。</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194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8路调音台</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1.8路输入(4路MIC/LINE+2路立体声)；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2.1组立体声输出，2路编组输出，1路效果输出，2路辅助输出，1组录音输出；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3.支持蓝牙接收功能，支持MP3，WAV双解码播放功能，支持USB播放，多媒体播放器配备遥控器；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4.内置效果器；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5.支持48V幻象电源；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6.耳机监听功能。1、8路输入(4路MIC/LINE+2路立体声)；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8.1组立体声输出，2路编组输出，1路效果输出，2路辅助输出，1组录音输出；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9.支持蓝牙接收功能，支持MP3，WAV双解码播放功能，支持USB播放，多媒体播放器配备遥控器；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10.内置效果器；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11.支持48V幻象电源；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12.耳机监听功能。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技术指标: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1.频率响应：20Hz～20kHz ±1dB；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2.总谐波失真：≤0.05%@0dBu，1kHz；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3.信噪比：≥98dB；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4.最大输出电平：≥18dBu；</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5.增益：MIC: ≥50dB;LINE:≥50dB；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6.串音：≥50dB@1kHz。</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195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12路调音台</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1.≥12路独立话筒/线路输入，1组立体声输入，1组辅助返回输入；1路SD卡、蓝牙输入，≥12路话筒输入独立48V幻象供电开关；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2.≥2路主输出，2路编组输出，2路辅助输出，1组立体声录音输出，1路监听输出；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3.带USB接口和操作界面，可直接播放WMA、MP3双格式音乐；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4.内置100种模式的数字效果器；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5.配置2×10点LED电平指示；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6.频率响应：20Hz～20kHz（+1dB）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7.总谐波失真(1kHz)：≤1%；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8.线路输入增益：≥55dB；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9.话筒输入增益：≥68dB；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10.最大输入输出电平：≥14dB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11.信噪比（A计权）：≥85dB。</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196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数字调音台</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1.不少于12路MIC/LINE（COMBO XLR接口）2组RCA线路输入</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2.不少于2路主输出、6路编组输出、1组立体声辅助输出、1路立体声耳机输出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3.7英寸触摸屏，1024×600分辨率，中英文界切换无需重启</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4.内置USB录音、放音功能，USB播放器可以识别中文歌曲名</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5.内置12个通道独立的反馈抑制器，集成音箱管理器</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6.支持RS232、TCP/IP协议，便于第三方中控控制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7.9个100mm电动推子</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8.可通过网络或U盘升级软件</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9.输入通道具有4段参量均衡、噪声门、反馈抑制器、高低通、压缩、反相</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10.输出通道具有8段参量均衡、高低通、压缩、反相、延时器</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11.支持100组场景预设功能，可导出、导入USB存储器，便于数据备份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12.内置信号发生器：正弦波、粉红噪声、白噪声</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13.通道参数拷贝功能，相同的通道快速复制数据</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14.支持2个DCA分组支持通道名称自定义</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15.支持PC端，Android端及IOS端控制</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16.支持AMM自动混音</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17.频率响应：20Hz～20kHz（+1dB，-3dB）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18.总谐波失真：≤0.01%@0dBu，20Hz～20kHz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19.信噪比（A计权）：≥105dB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20.串音：≤-100dB（1kHz）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21.增益：≥76dB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22.最大输入、输出电平：≥18dBu</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23.底噪≤-90dBu</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197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HDMI矩阵</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1.高清HDMI矩阵，标准机架设计，高度为1U；</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2.支持8路HDMI输入，8路HDMI输出，输入输出均支持HDMI1.4a协议，分辨率可达4K@30HZ、1080@120HZ；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3.每路输入接口均支持HDCP解析、支持EDID透传和学习；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4.采用水晶可视化按键，两键式操作，让信号切换更加简单有效，操作人员零基础就可以轻松掌握所有操作；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5.支持可视化按键、RS-232、TCP/IP以及遥控多种控制方式；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 前面板LCD显示屏能够实时显示矩阵信号切换状态及系统配置；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7.采用ESD静电防护设计，能承受人体放电模式:  ± 8kV (气隙放电)，± 4kV (接触放电)，有效地避免了静电对设备的干扰及损害；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8.采用航空式螺旋电源接口，为电源的稳定性保驾护航。</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198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高清混插矩阵</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1.插卡式箱体结构，输入/输出卡支持：Video、VGA、DVI、HDMI、SDI、光纤等视频接口；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2.支持16进16出视频管控，每块接入板卡为4路接口，可按需求配置不同格式的输入输出板卡；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3.支持无缝视频切换,切换过程无黑屏信号；</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4.分辨率支持1920*1200@60Hz,并向下兼容；</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5.DVI、VGA、SDI、色差、Video 等输入接口支持模拟音频输入混合；HDMI输入支持模拟音频 /数字音频选择混合；</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6.具备支持切换状态和记忆功能；具有掉电记忆功能和现场记忆功能：带有断电现场保护功能；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7.具有单路指示灯设计，指示灯具备低亮、闪烁、高亮状态指示；通过指示灯状态即可判定单路输入或者输出视频信号状态；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8.具有发光按键设计，按键带有发光指示功能，切换信息能直接通过按键背光获得；</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9.支持协议3D、HDMI 1.4（部分）、HDCP及 DVI 1.0 协议；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10.具RJ45网口≥1路，RS-232通讯接口≥1路；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11.支持中控控制、PC端软件控制、面板按键控制；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12.电源：AC 220V-230V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199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HDMI输入板块</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1.支持4路HDMI信号输入接口；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2.支持800*600~1920*1200@60信号；</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3.支持4路HDMI信号内嵌音频（立体声），4路模拟音频输入，混合方式可选；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4.具有4路信号指示灯；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5.具有12位音频凤凰插接口；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6.卡片式结构，即插即用。</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HDMI输出板卡</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1.支持4路HDMI信号输出（带音频），4 路立体声分离输出；可强制为DVI输出模式；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2.具有4路信号指示灯；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3.具有音频12位凤凰插接口；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4.支持1920*1200@60Hz等多种分辨率；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5.卡片式结构，即插即用。</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201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会议系统主机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1.主控机采用全金属结构设计，庄重大方；列席单元采用工程塑料材质加上新颖的外型设计，美观得体；</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2.会议主机支持无线传输与有线传输2种方式，无线会议单元与有线会议单元可以共用一个系统；</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3.会议主机具有LCD显示屏，分级菜单显示，且有电量显示、欠压警告、频率信道和信号指示等显示功能；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4.会议系统具有轮替模式、限制模式、主席专有多种会议发言模式；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5.会议主机可外接视像跟踪模块，实现会议单元的视像跟踪功能；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6.单台会议主机可挂载≦255席表决单元或≦1000席发言单元同时进行会议；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7.会议主机可外接8芯转换盒，实现有线列席单元供电及音频通讯8芯电缆方式传送；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8.会议主机支持无线方式单元采用FM调频方式实现声音信号传输，音频信道和控制信道皆采用无线方式传送，高保真，信噪比高，无声音延时；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9.会议主机具有4路ANT信号接口、RS232接口、无线单元音频输出接口、有线单元音频输出接口、系统移频功能开关，音频混合输出接口、音频混合平衡输出接口、DSP音效调节控制接口；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10.会议主机支持在有线无线单元混合使用情况下，将有线单元与无线单元音频信号分开输出；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11.会议主机具有至少3路网络接口，用于信号传输、系统控制等功能；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12.电源输入： DC12V-15V，1A-2A；消耗功率： &lt; 7W</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202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会议主席单元</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1.新颖的结构设计，驻极体超心形指向性话筒，方管电容话筒；</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2.主席话筒具有主席优先功能键，可一键关闭所有代表话筒</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3.单元具有抗手机、电磁、高频干扰能力；</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4.LCD显示屏，可显示话筒状态及系统菜单；</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5.会议单元具有独立电源开关键，智能电路管理电池电量、具有实时电量显示；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6.具有话筒开关按键，按下开关键咪管指示灯环亮，话筒为开启状态；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7.单元具有至少5个表决操作功能按键，配合会议系统专用管理软件具有投票、表决类功能；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8.单元采用3节5号普通干电池供电方式，超低功耗，列席单元大于8小时的连续发言时间和大于20小时的待机时间；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9.音频通信方式：超高频无线电波</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10.咪管长度：240mm</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203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会议代表单元</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1.新颖的结构设计，驻极体超心形指向性话筒，方管电容话筒；</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2.单元具有抗手机、电磁、高频干扰能力；</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3.LCD显示屏，可显示话筒状态及系统菜单；</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4.会议单元具有独立电源开关键，智能电路管理电池电量、具有实时电量显示；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5.具有话筒开关按键，按下开关键咪管指示灯环亮，话筒为开启状态；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6.单元具有至少5个表决操作功能按键，配合会议系统专用管理软件具有投票、表决类功能；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7.单元采用3节5号普通干电池供电方式，超低功耗，列席单元大于8小时的连续发言时间和大于20小时的待机时间；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8.音频通信方式：超高频无线电波</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9.咪管长度：240mm</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204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报告席麦克风</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1.全金属结构，抗干扰;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2.双软管鹅颈式话筒杆，管体长度≥400mm；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3.换能方式：电容式；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4.咪芯规格：≥Φ9.7mm；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5.咪芯数量：≥2颗、阵列式拾音；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6.频率响应：40Hz-16KHz；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7.灵敏度：-29dB±3dB（@1KHz，0 dB=1v/Pa）；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8.指向性： 心形；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9.最大声压级：≥114dB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10.输出阻抗：≤100Ω；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11.供电：48V平衡幻象；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12.指示灯：红色LED；</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13.消耗电流：≤10mA；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14.具有按键开关；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15.输出接口：XLR公三针。</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205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无线信号分路器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1.天线输入连接座具有供应天线放大器的电源，可直接连接具有天线放大器的延长天线及内建放大器的天线</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2.能提供四台宽频多频道接收机共用一对天线， 第二台分配器 同时级联或宽频多频道接收机，简化天线装配工程</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3.分路器可提供4路12V DC电源输出，为4台无线接收机提供电源，简化机柜安装</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4.载波范围为500MHZ─850MHZ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5.输入截断点：+15dBm</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6.输出/输入增益：+1.0dB±1dB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7.输出端隔离度：&gt;18dB 在500MHz ─ 850MHz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8.输出/入阻抗：50Ω</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9.天线输出接头：TNC插座</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10.电源输入：12V-15V/5A DC</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11.电源输出：12V/1.2A DC (Each one)</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206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无线信号放大器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1.采用对数周期偶极振子阵列，能够在面向所需的覆盖区域时提供最佳接收效果。集成式放大器具有28档位增益设置，用于补偿同轴缆线的插入损失；</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2）适应频率范围： 500MHz  ─ 850MHz，天线阻抗：50Ω，驻波比：≤2.5：1，天线增益：3-5dB，增益范围：-9~+18。</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207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调光台</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1.DMX512/1990标准，最大1024个DMX控制通道，两路光电隔离信号输出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 最大控制96台电脑灯或96路调光</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 增加网络协议，远程控制控台场景输出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 使用珍珠灯库（R20格式灯库），且控台上可自行编写灯库</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 支持通道数为40主通道+40微调通道的灯库</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 带背光的LCD显示屏，首创的中英文显示可切换界面</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面板中英文可选</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 内置图形效果器，有135个内置图形，方便用户对电脑灯进行图形轨迹控制，如画圆、螺旋、彩虹、追逐等多种效果</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 图形参数（如：振幅、速度、间隔、波浪、方向）均可独立设置，更方便快捷的做出想要的造型和场景</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9.每个场景可保存图形数量5个；同时可运行图形数量10个</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 可储存60个素材（如颜色，位置，棱镜，图案）</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 支独享素材</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 可储存60个重演场景，用于储存多步场景和单步场景。每个多步场景最多可储存600个单步</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 可同时输出和运行10个重演场景</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 场景的时间控制支持淡入、淡出、LTP滑步</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 支持展开修改多步场景中某一步的时间或者增加减少步数</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 带10根集控推杆。按键点控和推杆集控兼容。</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 支持重新配接地址码、垂直水平交换、通道输出反向等功能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 支持自动计算灯具地址码进行配接</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 关机或者突发断电等情况数据可记忆保持</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 U盘可备份控台数据，并支持重新导入到控台使用，同型号控台数据可共享</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 支持远程软件升级，随时随地增加新的功能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 预置推杆可控制电脑灯的属性，属性控制更方便快捷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 支持立即黑场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 专业鹅颈工作灯，适合室内外演出使用。（选配）</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208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LED面光灯</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1.功    率：180W</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2.光    源：54颗*3W LED灯珠</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3.色    温：3200K±5%-5600K±5%可调</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4.显色指数：Ra≥90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5.透镜角度：25°（45°/60°可选）</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6.通    道：7CH</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7.控制模式：DMX512控制操作、主从机模式、单机模式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8.调    光：0—100%线性调光</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9.显   示：LED数码管按键拨码</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10.频   闪：电子频闪1-25次/秒</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11.防护等级：IP20</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209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LED聚光灯</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1.灯     珠：1色COB 200W LED</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2.寿     命：约50000小时</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3.颜     色：冷白或暖白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4.显指：&gt;95</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5.透镜角度：15-50°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6.调      光：16BT线性调光0～100%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7.频      闪：0～25/秒</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8.额定电压：AC100/240V, 50/60Hz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9.额定功率：260W</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10.最佳投射距离：4-30米</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11.环境温度：-25℃～40℃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12、散热系统: 静音风扇散热结合铜制热管散热系统</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13.温度监控：内置温度保护传感器,通过自动调节灯具功率来进行过温保护，显示面板实时查看灯具工作温度</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14.防护等级：IP20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15.操作模式：DMX模式，主从模式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16.DMX通道：2通道</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顶光</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numPr>
                <w:ilvl w:val="0"/>
                <w:numId w:val="7"/>
              </w:num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额定功率:200W；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2.光   源：252颗0.5W正白LED灯珠+14颗10W RGBW全彩LED灯珠；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3.颜    色： RGBW无限混色、可调速彩虹效果和正白效果；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4.投光角度：全彩25°（可选8/15/45/60°）和正白120°；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5.显 指(Ra)：Ra≥95±1；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6.调    光：0~100% 线性调光，4种调光曲线，调光频率500hz-25000hz；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7.色    温：3000K-6000K可调；</w:t>
            </w:r>
            <w:r/>
          </w:p>
          <w:p>
            <w:pPr>
              <w:numPr>
                <w:ilvl w:val="0"/>
                <w:numId w:val="7"/>
              </w:num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8.通    道：10CH；</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9.工作环境：-15℃-40℃；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10.工作声音：≤25分贝 ；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11.防护等级：IP20；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12.散热方式：静音风机；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13.其他功能：支持双向RDM功能，可远程拨码，温度实时显示功能。</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211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顶光</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1.光    源：96颗 0.5w LED灯珠；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2.显色指数：Ra≥96；</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3.色    温：3200K/5600K可选；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4.功    率：150W；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5.DMX 通道：2CH；</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6.控制协议：国际标准DMX512信号、自走、主从；</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7.照射角度：120°；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8.防护等级：IP20。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212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顶光</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1.功    率：180W；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2.光    源：54颗*3W LED灯珠；</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3.光学：具备25°透镜角度，1-25Hz/s的频闪速度，具有调光功能，可根据不同场景更换其他规格透镜；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4.通道：7CH；</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5.全彩混色：具有RGBW混色功能，3000-7500K色温调节功能，连续的红绿蓝和白色的颜色转换，1670万种颜色（0-100%饱和度可调），内置宏功能；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6.调    光：0—100%线性调光；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7.同步模式：具有主从自走自动同步功能，具有控台正常控制自走永久同步，具有声控功能；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8.散   热：通过优质压铸铝散热片对流冷却,智能静音风机辅助散热；</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9.智能控制：具备DMX512接口，支持DMX控制通道数量为4/7通道。支持RDM协议，具有程序在线更新功能；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10.显示：采用中文液晶显示，方便用户快捷操作。</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213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摇头灯</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1.功    率：320W；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2.光    源：250W灯泡；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3.色    温：8000K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4.颜    色：14色片+白光，任意半色效果，带双向旋转的彩虹效果；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5.图    案：13个图案片+白圆，带图案抖动和图案任意定位功能；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6.棱    镜：旋转十二面棱镜，棱镜角度27度，棱镜可单独控制旋转，棱镜可双向旋转；</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7.效    果：雾化片，外加一个七彩片；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8.光束角度：1.8°；</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9.调    焦：0-100％线性聚焦；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10.频    闪：双片式机械频闪（1-15次／秒）；</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11.扫描角度：水平：540°，垂直：270°；16bit/8bit控制，双传感器定位，带自动纠错功能；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12.控制方式：国际标准DMX512信号、声控；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13.通道数量：16通道；</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14.其他功能：电子点泡、远程控制开关灯泡。</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214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灯光信号放大器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1.电    源：AC100V-240V,50/60Hz；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2.输入/输出：1路DMX512数码输入，1路DMX512直接输出，8路独立放大驱动输出；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3.功    能：输入输出光电隔离，信号放大整形功能，延长信号传输距离；</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4.产品特点：保护灯光控制台DMX512输出接口，故障现场隔离，提高数字式灯光控制系统的安全可靠性；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5.显    示：独立的LED信号指示。</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215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灯光控台</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1、电源：AC100V-240V ,50/60Hz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2、DMX512/1990标准，最大256个DMX控制通道，光电隔离信号输出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3、最大控制12台，32通道的电脑灯</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4、内置图形轨迹发生器，有27个内置图形，方便用户对电脑灯进行图形轨迹 控制，如画圆、螺旋、彩虹、追逐等多种效果。图形参数均可独立设置</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5、48个重演场景，用于储存多步场景和单步场景。多步场景最多可储存100步， 32个宏快速调用多个场景的组合</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6、带背光的LCD显示屏，中英文显示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7、关机数据保持</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8、U盘备份和升级，U盘读取：支持FAT32格式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9、DMX512 通道数：256</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10、电脑灯的配接数量：12</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11、每台电脑灯最多可控制通道：32</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12、可保存的场景数量：80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13、可同时运行的场景数量：16</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14、多步场景的总步数：100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15、推杆启动场景并进行调光：支持</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16、图形生成器：可生成Dimmer, P/T, RGB, Color图形</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17、可同时运行图形数量：10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18、立即黑场：支持</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19、转盘调整XY数值：支持</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20、转盘调整多步场景速度：支持</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21、场景调光：支持</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216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12路直通柜</w:t>
            </w:r>
            <w:r/>
          </w:p>
        </w:tc>
        <w:tc>
          <w:tcPr>
            <w:tcBorders>
              <w:top w:val="single" w:color="000000" w:sz="4" w:space="0"/>
              <w:left w:val="single" w:color="000000" w:sz="4" w:space="0"/>
              <w:bottom w:val="single" w:color="000000" w:sz="4" w:space="0"/>
              <w:right w:val="single" w:color="000000" w:sz="4" w:space="0"/>
            </w:tcBorders>
            <w:tcW w:w="2246" w:type="pc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1、输入：三相五线制AC380V±10％，频率50Hz±5％</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2、输出：AC220V,12路×4KW，可用于任何负载</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3、保护：过载与短路双重保护高分断空气开关</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217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薄雾机（水性）</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1、功    率：1500W</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2、输 出 量：10000立方尺/分钟</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3、预热时间：8Min</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4、油桶容积：2.3L</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5、控制方式：支持遥控，支持512，液晶屏控制</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6、DMX 通道：2通道</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7、内置控制器：LCD定时控制器</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218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专业薄雾油</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1、规格：4桶/箱，4.5L/桶</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2、配用机型：加热式薄雾机。</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(五)LED信息发布系统</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219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西南门室外P2.5LED</w:t>
            </w:r>
            <w:r/>
          </w:p>
        </w:tc>
        <w:tc>
          <w:tcPr>
            <w:tcBorders>
              <w:top w:val="single" w:color="000000" w:sz="4" w:space="0"/>
              <w:left w:val="single" w:color="000000" w:sz="4" w:space="0"/>
              <w:bottom w:val="single" w:color="000000" w:sz="4" w:space="0"/>
              <w:right w:val="single" w:color="000000" w:sz="4" w:space="0"/>
            </w:tcBorders>
            <w:tcW w:w="2246"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1)像素间距：2.5mm</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2)像素组成：1R1G1B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3)LED类型：SMD1515</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4)模组分辨率(W×H)：128*64</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5)模组尺寸(长×宽×厚)：320×160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6)像素点密度（点/㎡）：160000</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7)显示单元亮度≥5500nit，亮度调试0-100%无极可调</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8)调节精度0.01mm；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9)投标产品应具备较好的对比度，最高对比度应≥10000∶1</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10)画面刷新率≥3840 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11)亮度均匀性≥99%，色度均匀性±0.001Cx，Cy之内；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12)灰度等级16bit，且支持在不同亮度下8-16bit任意设置；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13)屏体色温800-11000K可调；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14)屏体峰值功耗≤710W/㎡，平均功耗≤350W/㎡；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15)屏体失控点/失控率&lt;1/10000,无连续失控点；</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16)箱体通过抗拉力测试，数值≥6000N，箱体通过抗压力测试，数值≥60000N；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17)LED显示屏正常使用达到热平衡后，屏体结构金属部分温升不超过45K，绝缘材料温升不超过70K；</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18)灯芯的波长误差值在士lnm之内，每个灯芯的亮度误差在5%以内。</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3.21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南门室外P2.5LED</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221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北门室外P2.5LED</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222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多功能厅室内P2.5LED</w:t>
            </w:r>
            <w:r/>
          </w:p>
        </w:tc>
        <w:tc>
          <w:tcPr>
            <w:tcBorders>
              <w:top w:val="single" w:color="000000" w:sz="4" w:space="0"/>
              <w:left w:val="single" w:color="000000" w:sz="4" w:space="0"/>
              <w:bottom w:val="single" w:color="000000" w:sz="4" w:space="0"/>
              <w:right w:val="single" w:color="000000" w:sz="4" w:space="0"/>
            </w:tcBorders>
            <w:tcW w:w="2246"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1)像素间距：2.5mm；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2)像素组成：1R1G1B；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3)LED类型：SMD2121；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4)像素点密度（点/㎡）：160000；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5)模组分辨率(W×H)：128*64；</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6)模组尺寸(长×宽×厚)：320×160；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7)显示单元亮度≥800nit，亮度调试0-100%无极可调；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8)调节精度0.01mm；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9)投标产品应具备较好的对比度，最高对比度应≥10000∶1；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10)画面刷新率≥3840 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11)亮度均匀性≥99%，色度均匀性±0.001Cx，Cy之内；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12)灰度等级16bit，且支持在不同亮度下8-16bit任意设置；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显示屏具备低亮高灰功能，亮度调节至500cd/㎡灰度等级为16bit，刷新率不低于3200hz，亮度调节至300cd/㎡灰度等级为15bit，刷新率不低于3100hz，亮度调节至200cd/㎡灰度等级为14bit，刷新率不低于3000hz，亮度调节至100cd/㎡灰度等级为14bit以上，刷新率不低于2800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14)屏体色温800-11000K可调；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15)屏体峰值功耗≤505W/㎡，平均功耗≤180W/㎡；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16)屏体失控点/失控率&lt;1/20000,无连续失控点；</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17)箱体通过抗拉力测试，数值≥6000N，箱体通过抗压力测试，数值≥60000N；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18)LED显示屏正常使用达到热平衡后，屏体结构金属部分温升不超过45K，绝缘材料温升不超过70K；</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19)屏体防护等级符合IP63；</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20)平均无故障时间≥100000小时；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21)LED屏幕要求支持N+1、N+2电源冗余备份，在某一电源出现故障后，冗余电源可自动切换，使屏体可以维续正党工作。</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9.32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223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报告厅P2.5LED</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42.8</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餐厅P2.5LED</w:t>
            </w:r>
            <w:r/>
          </w:p>
        </w:tc>
        <w:tc>
          <w:tcPr>
            <w:tcBorders>
              <w:top w:val="single" w:color="000000" w:sz="4" w:space="0"/>
              <w:left w:val="single" w:color="000000" w:sz="4" w:space="0"/>
              <w:bottom w:val="single" w:color="000000" w:sz="4" w:space="0"/>
              <w:right w:val="single" w:color="000000" w:sz="4" w:space="0"/>
            </w:tcBorders>
            <w:tcW w:w="2246" w:type="pct"/>
            <w:vAlign w:val="center"/>
            <w:vMerge w:val="continue"/>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1.56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225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视频处理器（室外）</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1)采用1U机箱，支持安装到标准机架上；</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2)支持6 个千兆网口输出，单机带载不低于390万像素，支持输出信号的极限分辨率为宽度 16384 像素，高度 16384 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3)支持2 路视频源同时输入，包含 1 路 HDMI 输入，1 路 HDMI 或 DP 二选一输入，最大输入分辨率 4096×2160@60Hz，极限宽度：8192，极限高度：8192；</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4)支持同时处理视频图层数量：2个,1 个 4K@60 图层和 1个 2K@60 图层。支持字幕图层数量≥1个。支持底图图层数量≥1 个</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5)设备前面板应标配 1 块 2 英寸 320×240 分辨率的液晶屏，可用于监看设备工作状态与系统参数，搭配前面板的旋钮与按键，可快捷完成参数设置、画面控制等操作</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6)产品支持接入第三方接收卡，支持接入多功能卡（RS232 口或输出网口接入），用于连接配电箱下发屏幕亮屏/黑屏指令</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7)支持设备备份、输入源备份、网口备份功能，单台设备故障、单设备输入源异常、单网线异常时不影响图像画面。。</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226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接收卡</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1．单卡最大带载 512×512 像素，最多支持24 组 RGB 并行数据。采用 12 个；</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2．标准的 HUB75 接口，具有高稳定性和高可靠性，适用于多种环境的搭建；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3．支持自主知识产权的逐点亮色度校正，配合原厂对应调试软件和原厂校正软件，对每个灯点的亮度和色度进行校正；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4．快速亮暗线调节，可在对应调试软件上进行快速亮暗线调节，用来消除灯板与灯板、箱体与箱体之间的缝隙；</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5．配合支持 3D 功能的独立主控，在调试软件或独立主控的操作面板上开启 3D 功能，并设置 3D 参数，使画面显示 3D 效果；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6．带载：− 256×256（PWM IC），− 256×208（通用 IC）；</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7．RGB 独立 Gamma 调节，配合支持 RGB 独立 Gamma 调节的独立主控和对应版本的调试软件通过对“红 Gamma” 、“绿 Gamma” 、 “蓝 Gamma”分别进行调节，有效控制显示屏低灰不均匀、白平衡漂移等问题，使画面更加真实；</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8．Mapping 功能在 原厂调试软件上启用 Mapping 功能后，目标箱体上会显示接收卡编号和网口信息，可以清晰获取l 接收卡的位置和走线方式；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9．接收卡预存画面设置，在调试软件上可以将指定图片设置为显示屏的开机、网线断开或无视频源信号时的画面；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10．温度和电压监测，可以监测自身的温度和电压，无需其他外设，在原厂调试软件 上可以查看接收卡的温度和电压；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11．液晶模块，支持原厂的通用 5pin 液晶模块，用于显示接收卡的温度、电压、单次运行时间和总运行时间；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12．误码率监测，配合对应版本的调试软件 ，监测接收卡间通讯时传输链路上的数据丢包情况；</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13．固件程序回读，在敌营版本软件上可以回读接收卡的固件程序并保存到本地；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14．配置参数回读，在 调试软件上可以回读接收卡配置参数并保存到本地；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15．环路备份，通过主备冗余机制增加接收卡串联的可靠性。主备串联线路中，当其中一条线路出现故障时，另一条线路会即时工作，保证显示屏正常工作；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16．配置参数双备份，通过调试软件在接收卡上保存两份接收卡配置参数，其中一份作为备份参数；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17．双程序备份，接收卡出厂时保存了两份应用程序，以防程序更新异常导致的升级卡死。</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171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227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智能配电柜</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10KW，三相工业限流保护。</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228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视频处理器（室外）</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1)采用1U机箱，支持安装到标准机架上；</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2)支持8 个千兆网口输出，单机带载不低于520万像素，支持输出信号的极限分辨率为宽度 16384 像素，高度 16384 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3)支持2 路视频源同时输入，包含 1 路 HDMI 输入，1 路 HDMI 或 DP 二选一输入，最大输入分辨率 4096×2160@60Hz，极限宽度：8192，极限高度：8192；</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4)支持同时处理视频图层数量：2个,1 个 4K@60 图层和 1个 2K@60 图层。支持字幕图层数量≥1个。支持底图图层数量≥1 个</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5)设备前面板应标配 1 块 2 英寸 320×240 分辨率的液晶屏，可用于监看设备工作状态与系统参数，搭配前面板的旋钮与按键，可快捷完成参数设置、画面控制等操作</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6)产品支持接入第三方接收卡，支持接入多功能卡（RS232 口或输出网口接入），用于连接配电箱下发屏幕亮屏/黑屏指令</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7)支持设备备份、输入源备份、网口备份功能，单台设备故障、单设备输入源异常、单网线异常时不影响图像画面</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8)设备支持监控硬件信息，包括发送盒状态、接收卡温度、接收卡电压和接收卡误码率等</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9)产品支持 PC 客户端、本地按键、PAD 进行设备控制。支持通过本地按键和液晶屏可完成，窗口大小及位置配置、预案保存和切换、输入源切换、窗口层级调节</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10)产品支持多台设备同步显示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11)产品具备智能节能功能，自动检测当前环境是否有人，无人时自动调暗屏幕画面或黑屏；支持同时接入5 个以上人体检测传感器；支持设置从无人到熄屏的时间；支持防动物误触发；支持无视频信号输入时，自动黑屏。</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229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b/>
                <w:bCs/>
                <w:sz w:val="21"/>
                <w:szCs w:val="21"/>
                <w:lang w:bidi="ar"/>
              </w:rPr>
              <w:t xml:space="preserve">智能配电柜（3C认证、生产许可）</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50KW，一键远程控制，三相工业限流保护 ，分步式上下电。</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(六)录播教室系统</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230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录播主机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1）设备采用一体化嵌入式硬件设计，集成度极高，设备高度为1U；</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2）视频输入接口：6路HD SDI视频输入接口、2路HDMI视频（1080P）输入接口、1路VGA视频输入接口、2路S端子支持CVBS、S-video、YPbPr输入；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3）视频输出接口：2路HDMI视频输出接口、1路VGA视频输出接口、1路YPbPr视频输出接口；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4）视频编码格式：H.264 HP；音频编码格式：AAC；最高分辨率支持1080p60；</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5）编码码流：设备支持高低码流可调；</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6）支持1路千兆网接口，支持双网段设置；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7）音频输入输出：2路Line in接口， 2路Line out；本地导播实时显示音量输出大小音频柱；</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8）通讯端口支持4路RS232；1路USB3.0，3路USB2.0接口，支持外接5G wifi即插即用，通过无线网络进行流媒体实时直播；</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9）12V用电，保证用电安全；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10）自主研发嵌入式设备，无需安装任何插件，开机即登录系统导播平台，实现实时导播,支持本地导播与远程导播两种导播方式；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11）课件支持主讲人、课程信息设置，课件内支持添加字幕、当前时间、台标、片头片尾添加，片头片尾支持上传自定义任意图片或文字；</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12）主机支持精品课、微课、互动课三种模式。 微课模式只需一块背景布即可自动抠像，便于老师录制虚拟微课。支持蓝、绿、任意纯色抠像布设置色号抠像、支持前景视频、背景视频、背景图片三种方式任意组合；支持8个背景图片上传；背景视频支持鼠标随意拖动位置，视频大小支持修改；</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13）最多支持同时10路视频输入，支持至少一路模拟信号输入;支持2路通道上传mp4视频；支持电影模式和资源模式录制；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14）资源模式下最多可同时录制5路视频，具备存储空间预警功能。支持断电保护，录制过程中突然断电自动保存视频；</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15）支持画中画等8种以上分屏格式，含淡入淡出等超过15种以上切换特效；</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16）支持手动导播和半自动、自动导播三种方式。自动导播方式，可与图像智能跟踪系统组合，实现全自动跟踪录播；无跟踪系统的情况，支持老师电脑信号接入自动切换；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17）支持TCP/UDP各类云台控制协议，集云台切换于一体的实用控制系统。支持点击定位跟踪功能，每个云台摄像机可设置8个预置位，方便在导播的时镜头进行快速的切换，避免垃圾镜头的产生；</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18）内置1Ｔ硬盘（最高支持4T）。支持录制的视频同时录制在硬盘或U盘中，支持U盘直接下载视频,支持将U盘中视频上传至主机自定义通道；</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19）支持至少5条字幕内容预设或临时输入。支持对文字大小、位置、颜色进行配置调整、位置任意拖动；支持字幕背景图片上传，加强字幕美观可读；</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20）支持10路资源通道同时直播；支持导播通道三路不同码流直播；本机直播并发超100路；资源平台或学校自有平台均可调用直播链接，进行大规模直播讲堂。视频直播码流：25Kbps～6Mbps 可调；支持TS/RTSP/RTMP不同协议直播；</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21）远程导播平台内嵌主机，无需其它服务器支撑。可通过IE直接访问；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2）22）远程导播平台支持页面观看直播、录播课件点播，下载；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23）远程录播中的微课系统支持对生成的微课资源按照年级、学科进行分类，同时支持条件检索；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24）可自定义开关机时间，进行自我恢复，可远程唤醒。可设置定时录制功能，一次性完成两周内的课程安排；</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25）支持对接MCU，通过SIP或H.323协议进行大规模外网互动，支持局域网无需MCU点对点对呼。最多支持4间教室同时呈现在一个互动画面；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26）支持单个教室同时输出两路视频进行互动，分享任意教室VGA视频；</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27）支持对接变送器，在主机本地界面实时显示温度、湿度、CO2浓度、PM2.5浓度、PM10浓度。支持手动设置CO2浓度、PM2.5浓度、PM10浓度报警值，环境超过报警值自动红字报警；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28）支持读取指定地区当天/次日天气预报、气象预警信息；支持设置考试倒计时、考试提醒；支持发布学校紧急通知；所有内容可配置以浮窗方法实时显示在主屏；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29）远程导播平台支持新增多个用户，管理员针对不同角色可以自定义权限范围。系统管理员支持自定义不同角色可访问的模块；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30）远程导播平台支持远程系统升级，支持一键格式化硬盘；</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31）支持对接第三方平台、FTP服务器进行视频上传，支持全自动、自定义时间、手动三种不同上传方式 ，实时显示服务器连接状态。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231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导播键盘</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1、支持控制录播主机开始录制、停止录制、暂停录制；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2、支持录播主机自动，半自动，手动三种录制模式切换；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3、可支持手动控制录播主机五路视频画面导播切换；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4、配备摇杆支持手动控制云台跟踪摄像机及设定调用8个预置位等；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5、通信（供电）接口：USB；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6、具备明显的功能灯光提示，所有按键支持红蓝双色背光显示，以提当前导播状态；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7、支持visca，pelco-d，pelco-p等多种控制协议。</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232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老师跟踪系统</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 无需跟踪主机，智能前置化，跟踪算法内嵌至前端摄像机；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 接口：1*LAN, 1*DC 12V, 1*SDI, 2*COM, 1*AUDI0 IN；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 教师区可设置多个屏蔽区域,屏 蔽区域形状可自定义调整,不受教学多媒体设备 (投影、电子白板、一体机)、 光线、背景、窗帘、温度、湿度等因素干扰。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 以500万像素高清摄像机图像为分析依据，针对老师区域的细节、纹理、形状及环境均可以做到精准分析捕捉，指定区域内最多可高达10个目标的识别。</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 采全景切换模式下,无需云台摄像机参与,可预设教师中景,当 教师移动时,系统立即切换教师中景画面,避免出现镜头晃动等效果。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 系统具备 自适应跟踪算法,可根据目标运动规律自动调整摄像机跟踪速度,避免以固定速度跟踪不同目标造成的画面丢失、跟踪延迟等问题；</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 跟踪抗干扰能力强，在自然光、弱光、光影环境较恶劣的场景，教室存在常用干扰物如：电视、镜子、窗帘、反光衣等均体现超强抗干扰能力。可基于以上环境或物体进行现场抗干扰演示。</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233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学生跟踪系统</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1、无需跟踪主机，智能前置化，跟踪算法内嵌至前端摄像机；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 接口：1*LAN, 1*DC 12V, 1*SDI, 2*COM, 1*AUDI0 IN；</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3、设备使用12V电源供电，保证教室用电安全；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4、全景切换模式下,无需云台摄像机参与,可预设学生全景,当 学生站立时,系统立即切换教师中景画面,避免出现镜头晃动等效果；</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5、采系统具各自适应跟踪算法,可根据目标运动规律自动调整摄像机跟踪速度,避 免以固定速度跟踪不同目标造成的画面丢失、跟踪延迟等问题；</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6、学生区可设置多个屏蔽区域,屏 蔽区域形状可自定义调整,不受学生小幅度动作 (举手等)、 灯光、窗户、温度、湿度等因素干扰；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7、状态保持机制,通过设置现有状态保护时长,避免动作过快而导致全景与特写频繁切换,减少垃圾镜头</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234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板书跟踪系统</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1、精确定位黑板区域，可自行设置黑板区域及屏蔽区域，有效屏蔽干扰</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                                                   2、 安装位置至于黑板对角线上方一端，可有效因为学生嬉戏导致误差情况等 。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235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老师、学生、板书特写摄像机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 1/2.8 英寸350万像素高品质图像传感器，有效像素207万，可实现最大1920x1080 60fps全高分辨率高帧率的优质图像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2、采用20倍光学变焦镜头+16倍数码变倍，58.7度无畸变水平视角</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3、支持USB3.0+HDMI+IP+3G-SDI四接口同时输出，支持最高60帧的1080p全高清画面输出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4、超高信噪比的全新CMOS图像传感器可有效降低在低照度情况下的图像噪声，同时应用2D和3D降噪算法，大幅降低了图像噪声，即便是超低照度情况下，依然保持画面干净清晰，图像信噪比高达50dB以上</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5、使用RS232和RS485串口，可对多台摄像机进行控制</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6、除了能够接收自己的专用遥控器信号外，还能够接收用户红外遥控器信号，并通过VISCA IN端口发送到视频会议终端</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7、多种安装方式，可桌面、吸顶、壁挂安装</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8、支持背光补偿、图像冻结；</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9、接口：1*HDMI、1*3G-SDI、1*RJ45、1*RS232IN/OUT、1*RS485、1*USB3.0、1*Line In</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10、支持VISCA、PELCO P/D、Onvif多种控制协议，支持自动识别协议</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11、不同接口支持YUY2、H265、MJPG、H264多种视频压缩格式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12、支持ONVIF、SRT、RTSP、RTMP、RTMPS等网络协议。</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236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老师、学生全景摄像机</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 1/2.8 英寸、207 万有效像素的高品质 HD CMOS传感器，可实现最大 1920x1080 高分辨率的优质图像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2、摄像头借助芯片的Al算力，搭载先进的Al算法实现单目人形跟踪，可实现教育、会议和直播等场景的自动跟踪</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3、1080P下输出帧率可达60fps</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 AAC 音频编码，音质更佳，带宽占用更小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5、支持本地存储功能，无需 NVR 即可实现 U 盘本地直接录制</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6、超高信噪比的 CMOS 图像传感器可有效降低在低照度下的图像噪声 , 同时应用 2D 和 3D 降噪算法 , 大幅降低了图像噪声，即便是低照度情况下，依然保持画面干净清晰，图像信噪比高达 55dB 以上</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7、支持HDMI和3G-SDI高清输出接口，HDMI、3G-SDI、USB3.0、LAN可同时输出4路高清</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8、采用72.5°高品质超广角镜头，12X 光学变焦 +16X 数字变焦</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9、支持POE供电</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10、摄像机可设置不少于255个预置位，预置位精度≤0.1°</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11、多种控制方式，可使用RS232、RS485、网络以及USB对摄像机进行控制</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12、支持水平、垂直翻转功能，适应吊装需求。</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237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功率放大器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1、带两路有线话筒输入接口，两路无线话筒输入接口，三组线路输入接口，三组线路输出接口，两组功率输出接口；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2、话筒、线路的音量可独立调节并具有高低音两段均衡，有线话筒输入通道带可独立开关的+48V幻像电源；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3、本机带有蓝牙和USB播放功能，方便不同音乐节目的播放；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4、带有一键静音和RS232接口，可实现远程控制；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5、功放输出通道中L通道可独立调节输出大小。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技术参数：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1、带U盘播放（优先播放，格式MP3）和蓝牙播放，带LCD液晶显示屏，四路音源切换按键（带记忆功能），对线路1/线路2/线路3/（蓝牙/U盘）进行切换；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2、带2路有线话筒输入（6.35话筒口，+48V幻像电源可切换）、2路无线话筒输入（1路3.5三芯+1路USB，USB可用于2.4G无线话筒供电）、2组立体声线路输入（RCA*4莲花接口）、1路线路平衡输入（凤凰接口）；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3、带2组立体声线路输出（RCA*4莲花接口）、1路线路平衡输出（凤凰接口）；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4、带1路RS232控制接口、1路一键静音控制接口；</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5、话筒和线路音量、高/低音独立可调，带功放L输出通道信号大小调节功能；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6、额定功率(RMS)：2×200W  8Ω,2×300W  4Ω；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7、总谐波失真：≤1%；</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8、线路频率响应：20Hz～20KHz  ±3dB，话筒频率响应：80Hz～16KHz  ±3dB；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9、输入灵敏度：300±30mV线路，60±6mV有线话筒，200±20mV无线话筒；</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10、信噪比：≥82dB；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11、线路高音提衰量（10KHz）：14dB±2dB，线路低音提衰量（100Hz）：14dB±2dB，话筒高音提衰量（10KHz）：14dB±2dB，话筒低音提衰量（100Hz）14dB±2dB；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12、整机高度：1U；</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13、最大功率消耗：950W；</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14、额定电源电压：～220V/50Hz，电压适应范围：～180V-242V。</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数字音频处理器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1．采用B/S软件平台 ，任意PC、移动设备通过浏览器进行远程访问登陆 ，操作音频处理器的参数、获取操作手册等资源；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2．8路平衡式话筒／线路输入，具有48V幻象供电软开关；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3．8路平衡式线路输出；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4．提供24bit/48kHz的高品质音质；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5．优化的前级增益，具0dB,10dB,20dB,30dB,40dB多级调节，适用MIC和LINE电平；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6．USB2.0音频接口 ，支持接U盘录制和播放；</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7．反馈消除（AFC）自适应型 ，高速浮点的数字算法为每路麦克风提供反馈抑制 ，抑制系统啸叫，等级1-6级可控；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8．反馈消除（AFC）陷波型：抑制点数： 16点 ，具有手动 ，动态 ，固定三种处理方式 ，多种模式可选；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9．自动增益控制AGC，确保音响系统的输出音量平稳，不受演讲者距话筒忽远忽近而影响观众区的音量；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10．智能闪避器DUCKER，可通过话筒轻松压制背景音乐信号，更突显人声；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11．增益分享型自动混音AM，轻松管理多支麦克组合输出，门限自动混音模块围绕自适应阈值算法构建，易于设置，不需要设置固定阈值；</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12．自适应回声消除AEC，快速消除视频会议中产生的回声；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13．多种参量均衡类型可选 ，包括PEQ、High-Shelf、Low-Shelf、 LP、 HP,可灵活应用于更多的场合；</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14．自带中文操作WEB，直观、图形化软件控制界面;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15．灵活多样的控制方式，实时监听功能：通过管理软件实时监听每通道的声音；</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16．以太网口轻松连接电脑及其他网络设备；</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17．开放的第三方控制协议 ，通过UDP或RS-232管理、控制音频处理器；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18．存储：预设50组；</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19．输入通道功能：前置放大、信号发生器、扩展器、压缩器、5段参量均衡具有PEQ、High-Shelf、Low- Shelf、 LP、 HP等类型可选；</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20．输出通道功能：10段参量均衡、延时器、分频器、高低通滤波器、限幅器；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21．自适应回声消除（AEC）：回声消除尾长：256ms;内置ANC噪声消除量：18dB ，MAX；</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22．采样频率：48kHz；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23．输入到输出动态范围： &gt;106dB ，A计权（20Hz-20kHz@0dB增益）；</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24．幻像供电 ：DC 48±6V,10mA；</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25．输入共模抑制： ≥60d Bu@+20dBu,60Hz；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26．通道隔离度： ≤ -105dB@+20d Bu，1KHz；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27．频率响应 ：20Hz～20kHz ( ±0.5dB)；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28．本底噪(A-计权):-90d Bu；</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29．总谐波失真(THD+N)： ≤0.005%@1kHz， +4d Bu；</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30．最大输入增益：40dB；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31．输入阻抗 ：2KΩ balance；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32．输出阻抗 ：200Ω balance；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33．最大输出电平：20d Bu；</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34．工作电压： 110~220VAC±10% ，50~60Hz；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35．功率 ：35W。</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42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239</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一拖二无线麦克风(一手持一头戴)</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1、采用金属机箱，具有坚固的结构、散热及隔离谐波干扰极佳的专业质量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2、RF高动态范围及第三代中频电路，大幅提升互不干扰的频道数及抗干扰特性</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3、预设群组，第1-4组预设16个互不干扰频率，第5－8预设24个互不干扰频率，第U组为用户自定义组，最多可提供2000频率供客户自定义选择使用</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4、采用天线分集式接收及数字导音，杂音锁定双重静音控制，接收距离远，消除接收断音及不稳的缺失</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5、黑色金属面板，LED段码显示器，可同时显示群组、频率、电池电量、静音位准、电子音量等相关信息；LED灯柱显示RF/AF强度</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6、采用飞梭旋钮取代传统复杂的按键，操作快速方便</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7、天线接口采用50Ω/TNC，保持天线可靠连接的同时。并支持天线环路输出，支持8套同型产品射频级联</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8、各频道可单独或混合输出，可切换两段输出的音量，具有MIC/LINE输出开关：LINE比MIC输出约大10dBu</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9、天线座提供强波器偏压，可以连接天线系统，增加接收距离及稳定的接收效果</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10、100-240V,内置AC电源板。保持系统稳定，且支持AC电源环路输出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技术参数：</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1、载波频段: UHF530-690.000MHZ（常规：640.000MHZ-690.000MHZ）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2、单机频带宽度 :50 MHz </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3、单机频道数量：2000个</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4、频率间隔：25KHz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5、音频灵敏度: -48±3dB</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6、综合S/N比 : &gt;100dB(A)</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7、指向性频响曲线：300-2000Hz≤-8dB </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8、综合T.H.D. :&lt;0.5%@1kHz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9、频率响应 : 65Hz-15kHz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10、天线：50Ω/TNC，支持天线环路输出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11、发射器拾音头：动圈式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12、发射器供电方式：两节AA电池</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13、电池寿命：约8小时（发射器功率为高功率）</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42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240</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1）电源电压显示：LED数码管实时显示，显示精度士2%，能实时显输入电源电压，显示误差满足精度范围；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2）可控制交流电源输出路数：14路独立220V/20A交流电源时序控制输出能时序总控制和单路控制输出；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3）时序延迟时间：≥0.5s；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4）直流输出路数：6路12V(±1V)/1.2A直流输出；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5）控制功能：RS232串口控制、凤凰控制口，实现单机控制、多机联机控制、远程控制；</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6）保护功能：前面板配有80A空气开关，具有过流漏电保护功能；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7）按键和指示灯：每路交流输出电源带独文控制按键和LED指示灯；</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8）接口功能：前面板带有USB接口，USB口有5V直流电源输出；</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9）电源电压适应范围：AC 220V士10%50Hz/60Hz；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10）安全测试-抗电强度：对电源L-机壳之间进行测试试验条件：1500VAC，(1min）应无弧或击穿。对电源L-输入口之间、电源L-输出口之间进行测试。试验条件:3000VAC，（1min)应无飞弧或击穿；</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11）接地电阻：外壳(远端）对电线插头接地端接地电阻应≤0.1Ω(25A60s)。</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241</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枪式吊装话筒</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1.传感器类型：电容式；</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2.指向性：心型；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3.频响：50Hz~16kHz；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4.灵敏度：-47dB±3dB(0dB=1V/Pa@1kHz)；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5.输出阻抗：2.2kΩ（@ 1kHz）；</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6.最大声压级：≥135dB；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7.信噪比：≥75dB；</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8.输出连接器/线缆：标准XLR-3公型/双绞屏蔽MIC电缆；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9.尺寸：Φ20×142mm；</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10.颜色：亚光黑色；</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11.供电方式：48V幻象电源；</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12.安装方式：吊杆安装</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支</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242</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语音音箱</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lang w:bidi="ar"/>
              </w:rPr>
              <w:t xml:space="preserve">1、额定/峰值功率：80W /320 W</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2、额定阻抗：8   Ω</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3、特性灵敏度：91dB/W/m</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4、输出声压级：110 dB/W/m(Continues)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               116 dB/W/m(Peak)</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6、额定频率范围:65 ~ 20000Hz</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7、覆盖角度H×V：120º×120º</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8、扬声器单元： LF: 6.5 英寸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               HF: 1英寸丝膜高音</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9、箱体材料：12mm中密度纤维板</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10、输入接口：压缩式接插座 </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 </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11、吊挂点：多点M8 螺丝吊装孔位，配有专用挂件</w:t>
            </w:r>
            <w:r>
              <w:rPr>
                <w:rFonts w:hint="eastAsia" w:ascii="宋体" w:hAnsi="宋体" w:eastAsia="宋体" w:cs="宋体"/>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243</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控制面板</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1、采用7英寸触摸式控制面板，采用6位真彩色RGB显示(64K色)，一键式控制，与录播配套使用；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2、连接方式：RS232；</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3、支持录播系统的录制、停止；支持自动模式、手动模式切换；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4、支持摄像机手动控制及预置位设置；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5、支持分屏切换录制，支持5种分屏切换；</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6、支持手动通道切换，支持PGM通道及6个单通道录制功能。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7、电源：DC12V。</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244</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观摩显示器</w:t>
            </w:r>
            <w:r>
              <w:rPr>
                <w:rFonts w:hint="eastAsia" w:ascii="宋体" w:hAnsi="宋体" w:eastAsia="宋体" w:cs="宋体"/>
                <w:b/>
                <w:bCs/>
                <w:sz w:val="21"/>
                <w:szCs w:val="21"/>
                <w:lang w:bidi="ar"/>
              </w:rPr>
              <w:t xml:space="preserve">（3C认证和</w:t>
            </w:r>
            <w:r>
              <w:rPr>
                <w:rFonts w:hint="eastAsia" w:ascii="宋体" w:hAnsi="宋体" w:eastAsia="宋体" w:cs="宋体"/>
                <w:b/>
                <w:bCs/>
                <w:sz w:val="21"/>
                <w:szCs w:val="21"/>
              </w:rPr>
              <w:t xml:space="preserve">强制节能</w:t>
            </w:r>
            <w:r>
              <w:rPr>
                <w:rFonts w:hint="eastAsia" w:ascii="宋体" w:hAnsi="宋体" w:eastAsia="宋体" w:cs="宋体"/>
                <w:b/>
                <w:bCs/>
                <w:sz w:val="21"/>
                <w:szCs w:val="21"/>
                <w:lang w:bidi="ar"/>
              </w:rPr>
              <w:t xml:space="preserve">）</w:t>
            </w:r>
            <w:r>
              <w:rPr>
                <w:rFonts w:hint="eastAsia" w:ascii="宋体" w:hAnsi="宋体" w:eastAsia="宋体" w:cs="宋体"/>
                <w:sz w:val="21"/>
                <w:szCs w:val="21"/>
                <w:lang w:bidi="ar"/>
              </w:rPr>
              <w:t xml:space="preserve">(含挂架）</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1.‌分辨率‌：‌4K（3840×2160）；</w:t>
            </w:r>
            <w:r/>
          </w:p>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2.‌刷新率：‌120Hz；</w:t>
            </w:r>
            <w:r/>
          </w:p>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3.‌亮度：不小于‌1000 尼特；</w:t>
            </w:r>
            <w:r/>
          </w:p>
          <w:p>
            <w:pPr>
              <w:ind w:left="0" w:right="0"/>
              <w:jc w:val="left"/>
              <w:keepLines w:val="0"/>
              <w:keepNext w:val="0"/>
              <w:spacing w:before="0" w:beforeAutospacing="0" w:after="0" w:afterAutospacing="0"/>
              <w:widowControl/>
              <w:rPr>
                <w:rFonts w:hint="eastAsia" w:ascii="宋体" w:hAnsi="宋体" w:eastAsia="宋体" w:cs="宋体"/>
                <w:sz w:val="21"/>
                <w:szCs w:val="21"/>
                <w:lang w:bidi="ar"/>
              </w:rPr>
              <w:suppressLineNumbers w:val="0"/>
            </w:pPr>
            <w:r>
              <w:rPr>
                <w:rFonts w:hint="eastAsia" w:ascii="宋体" w:hAnsi="宋体" w:eastAsia="宋体" w:cs="宋体"/>
                <w:sz w:val="21"/>
                <w:szCs w:val="21"/>
                <w:lang w:bidi="ar"/>
              </w:rPr>
              <w:t xml:space="preserve">4.‌色域：‌DCI-P3 90% ；</w:t>
            </w:r>
            <w:r/>
          </w:p>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5.‌内存：运行内存‌4GB 。</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（七）校园时钟系统</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245</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校园时钟</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1、采用全面屏设计，可显示时分秒，≥4英寸“时-分”数码管，≥0.8英寸“秒”数码管。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2、接口：RJ45，传输协议：标准NTP协议；</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3、具有主动同步功能，在外部时码驱动下，子钟间同步时差应不超过40ns；</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4、应支持网管功能，故障主动上报，并将运行情况通过TCP/IP协议传输到网络集中监控平台实时监控，以确保稳定可靠运行，与服务器时间同步；</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5、网络时钟应支持主动上报功能，具备时间不同步报警功能、具备网络离线报警功能、具备断电报警功能；</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6、断电记忆功能，支持断电后时钟内部继续计时至少24小时，恢复供电时，钟面继续显示内部计时的时间；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7、为保证长期运行的稳定性，网络时钟的数码管驱动电流应采用恒流源驱动；</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8、具备对网络时钟屏幕远程开启和关闭，络时钟秒位远程开启和关闭；</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9、具备设备开机自动进行全部数码管检测；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10、网络时钟外壳的后面和顶部应预留有挂孔，可用于壁挂方式安装，也可吊装；</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11、具备网络时钟可靠性指标：平均无故障时间(MTBF)≥30000h。</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246</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服务器（含软件）</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1、具有可以观察到卫星信号的卫星编号、信噪比；</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2、为保证对网络时钟的精细化管理，平台应可以统一显示时钟的实际时间；</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3、考场应可以和时钟IP绑定，并可以显示逻辑考场编号、物理考场编号和已绑定时钟的显示时间和工作状态；</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4、平台应可以通过大屏展示可视化数据（包括考点总数、时钟总数、异常情况报警）；</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5、平台应支持多机构管理及考点级时钟场所定位管理；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6、平台应可以通过IP对上下级平台进行级联，下级平台主动上报本级平台时钟状态（数量、正常/异常），上级平台可以对所有下级平台时钟状态进行统计与查看；</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7、上级平台（省、市、县区）应可以实时查看下级各考点网络时钟的数量、在线情况、离线情况、异常情况统计和授时方式统计；</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8、应支持对所辖系统内时钟设备软件进行集中升级；</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9、平台应具备用户管理功能，包括日志查询、数据还原与备份、恢复权限划分；</w:t>
            </w:r>
            <w:r>
              <w:rPr>
                <w:rFonts w:hint="eastAsia" w:ascii="宋体" w:hAnsi="宋体" w:eastAsia="宋体" w:cs="宋体"/>
                <w:sz w:val="21"/>
                <w:szCs w:val="21"/>
                <w:lang w:bidi="ar"/>
              </w:rPr>
              <w:br/>
            </w:r>
            <w:r>
              <w:rPr>
                <w:rFonts w:hint="eastAsia" w:ascii="宋体" w:hAnsi="宋体" w:eastAsia="宋体" w:cs="宋体"/>
                <w:sz w:val="21"/>
                <w:szCs w:val="21"/>
                <w:lang w:bidi="ar"/>
              </w:rPr>
              <w:t xml:space="preserve">10、软件应通过信息安全性测试，经过安全漏洞扫描应未发现高、中级漏洞。</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工业</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第二部分：技术服务清单</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247</w:t>
            </w:r>
            <w:r/>
          </w:p>
        </w:tc>
        <w:tc>
          <w:tcPr>
            <w:tcBorders>
              <w:top w:val="single" w:color="000000" w:sz="4" w:space="0"/>
              <w:left w:val="single" w:color="000000" w:sz="4" w:space="0"/>
              <w:bottom w:val="single" w:color="000000" w:sz="4" w:space="0"/>
              <w:right w:val="single" w:color="000000" w:sz="4" w:space="0"/>
            </w:tcBorders>
            <w:tcW w:w="81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系统集成</w:t>
            </w:r>
            <w:r/>
          </w:p>
        </w:tc>
        <w:tc>
          <w:tcPr>
            <w:tcBorders>
              <w:top w:val="single" w:color="000000" w:sz="4" w:space="0"/>
              <w:left w:val="single" w:color="000000" w:sz="4" w:space="0"/>
              <w:bottom w:val="non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安防系统：专网链路架设，按使用需求提供技术支持，交换机、安防设备功能设置、复核设计方案的合理性、依照现场环境提供现实可靠的布点调整方案，提供运维服务，培训，7*24小时在线服务等。</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248</w:t>
            </w:r>
            <w:r/>
          </w:p>
        </w:tc>
        <w:tc>
          <w:tcPr>
            <w:tcBorders>
              <w:top w:val="single" w:color="000000" w:sz="4" w:space="0"/>
              <w:left w:val="single" w:color="000000" w:sz="4" w:space="0"/>
              <w:bottom w:val="single" w:color="000000" w:sz="4" w:space="0"/>
              <w:right w:val="single" w:color="000000" w:sz="4" w:space="0"/>
            </w:tcBorders>
            <w:tcW w:w="81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出入口控制管理：按使用需求提供技术支持，功能设置、复核设计方案的合理性、依照现场环境提供现实可靠的点位规划，提供运维服务，培训，7*24小时在线服务等。</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249</w:t>
            </w:r>
            <w:r/>
          </w:p>
        </w:tc>
        <w:tc>
          <w:tcPr>
            <w:tcBorders>
              <w:top w:val="single" w:color="000000" w:sz="4" w:space="0"/>
              <w:left w:val="single" w:color="000000" w:sz="4" w:space="0"/>
              <w:bottom w:val="single" w:color="000000" w:sz="4" w:space="0"/>
              <w:right w:val="single" w:color="000000" w:sz="4" w:space="0"/>
            </w:tcBorders>
            <w:tcW w:w="81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机房工程：按使用需求提供技术支持，功能设置、复核设计方案的合理性、依照现场环境提供现实可靠的调整点位规划意见，机房环境测评，等电位测试，提供运维服务，培训，7*24小时在线服务等。</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250</w:t>
            </w:r>
            <w:r/>
          </w:p>
        </w:tc>
        <w:tc>
          <w:tcPr>
            <w:tcBorders>
              <w:top w:val="single" w:color="000000" w:sz="4" w:space="0"/>
              <w:left w:val="single" w:color="000000" w:sz="4" w:space="0"/>
              <w:bottom w:val="single" w:color="000000" w:sz="4" w:space="0"/>
              <w:right w:val="single" w:color="000000" w:sz="4" w:space="0"/>
            </w:tcBorders>
            <w:tcW w:w="81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综合布线：按使用需求提供技术支持，功能设置、复核设计方案的合理性、依照现场环境提供现实可靠的调整点位规划意见，线缆的测试，使用性能测评等，提供运维服务，培训，7*24小时在线服务等。</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251</w:t>
            </w:r>
            <w:r/>
          </w:p>
        </w:tc>
        <w:tc>
          <w:tcPr>
            <w:tcBorders>
              <w:top w:val="single" w:color="000000" w:sz="4" w:space="0"/>
              <w:left w:val="single" w:color="000000" w:sz="4" w:space="0"/>
              <w:bottom w:val="single" w:color="000000" w:sz="4" w:space="0"/>
              <w:right w:val="single" w:color="000000" w:sz="4" w:space="0"/>
            </w:tcBorders>
            <w:tcW w:w="81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计算机网络：按使用需求提供技术支持，功能设置、复核设计方案的合理性、依照现场环境提供现实可靠的调整规划意见，提供运维服务，培训，7*24小时在线服务等。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81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背景音乐：按使用需求提供技术支持，功能设置、复核设计方案的合理性、提供优化方案、依照现场环境提供现实可靠的调整点位规划意见，提供运维服务，培训，7*24小时在线服务等。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253</w:t>
            </w:r>
            <w:r/>
          </w:p>
        </w:tc>
        <w:tc>
          <w:tcPr>
            <w:tcBorders>
              <w:top w:val="single" w:color="000000" w:sz="4" w:space="0"/>
              <w:left w:val="single" w:color="000000" w:sz="4" w:space="0"/>
              <w:bottom w:val="single" w:color="000000" w:sz="4" w:space="0"/>
              <w:right w:val="single" w:color="000000" w:sz="4" w:space="0"/>
            </w:tcBorders>
            <w:tcW w:w="81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音视频会议：按使用需求提供技术支持，功能设置、复核设计方案的合理性、提供优化方案、依照现场环境提供现实可靠的调整点位规划意见，提供运维服务，培训，7*24小时在线服务等。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254</w:t>
            </w:r>
            <w:r/>
          </w:p>
        </w:tc>
        <w:tc>
          <w:tcPr>
            <w:tcBorders>
              <w:top w:val="single" w:color="000000" w:sz="4" w:space="0"/>
              <w:left w:val="single" w:color="000000" w:sz="4" w:space="0"/>
              <w:bottom w:val="single" w:color="000000" w:sz="4" w:space="0"/>
              <w:right w:val="single" w:color="000000" w:sz="4" w:space="0"/>
            </w:tcBorders>
            <w:tcW w:w="81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信息发布：按使用需求提供技术支持，功能设置、复核设计方案的合理性、依照现场环境提供现实可靠的调整安装规划意见，提供运维服务，培训，7*24小时在线服务等。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W w:w="81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录播教室：按使用需求提供技术支持，功能设置、复核设计方案的合理性、提供优化方案、依照现场环境提供现实可靠的调整点位规划意见，甲供智慧黑板安装提供运维服务，培训，7*24小时在线服务等。</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256</w:t>
            </w:r>
            <w:r/>
          </w:p>
        </w:tc>
        <w:tc>
          <w:tcPr>
            <w:tcBorders>
              <w:top w:val="single" w:color="000000" w:sz="4" w:space="0"/>
              <w:left w:val="single" w:color="000000" w:sz="4" w:space="0"/>
              <w:bottom w:val="single" w:color="000000" w:sz="4" w:space="0"/>
              <w:right w:val="single" w:color="000000" w:sz="4" w:space="0"/>
            </w:tcBorders>
            <w:tcW w:w="818"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校园时钟：按使用需求提供技术支持，功能设置、复核设计方案的合理性、提供优化方案、依照现场环境提供现实可靠的调整点位规划意见，提供运维服务，培训，7*24小时在线服务等。</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w:t>
            </w:r>
            <w:r/>
          </w:p>
        </w:tc>
      </w:tr>
      <w:tr>
        <w:trPr>
          <w:trHeight w:val="380"/>
        </w:trPr>
        <w:tc>
          <w:tcPr>
            <w:gridSpan w:val="5"/>
            <w:tcBorders>
              <w:top w:val="single" w:color="000000" w:sz="4" w:space="0"/>
              <w:left w:val="single" w:color="000000" w:sz="4" w:space="0"/>
              <w:bottom w:val="single" w:color="000000" w:sz="4" w:space="0"/>
              <w:right w:val="single" w:color="000000" w:sz="4" w:space="0"/>
            </w:tcBorders>
            <w:tcW w:w="447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第三部分：云存储租赁清单</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257</w:t>
            </w:r>
            <w:r/>
          </w:p>
        </w:tc>
        <w:tc>
          <w:tcPr>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一类监控设备云存储</w:t>
            </w:r>
            <w:r/>
          </w:p>
        </w:tc>
        <w:tc>
          <w:tcPr>
            <w:tcBorders>
              <w:top w:val="single" w:color="000000" w:sz="4" w:space="0"/>
              <w:left w:val="single" w:color="000000" w:sz="4" w:space="0"/>
              <w:bottom w:val="single" w:color="000000" w:sz="4" w:space="0"/>
              <w:right w:val="single" w:color="000000" w:sz="4" w:space="0"/>
            </w:tcBorders>
            <w:tcW w:w="22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9台一类监控设备，每台接入公安网一类监控设备存储租赁费</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bidi="ar"/>
              </w:rPr>
              <w:t xml:space="preserve">/</w:t>
            </w:r>
            <w:r/>
          </w:p>
        </w:tc>
      </w:tr>
    </w:tbl>
    <w:p>
      <w:r/>
      <w:r/>
    </w:p>
    <w:p>
      <w:r/>
      <w:r/>
    </w:p>
    <w:p>
      <w:pPr>
        <w:spacing w:line="360" w:lineRule="auto"/>
        <w:rPr>
          <w:rFonts w:hint="eastAsia" w:ascii="宋体" w:hAnsi="宋体" w:eastAsia="宋体" w:cs="宋体"/>
          <w:b/>
          <w:bCs/>
          <w:sz w:val="22"/>
          <w:szCs w:val="22"/>
        </w:rPr>
      </w:pPr>
      <w:r>
        <w:rPr>
          <w:rFonts w:hint="eastAsia" w:ascii="宋体" w:hAnsi="宋体" w:eastAsia="宋体" w:cs="宋体"/>
          <w:b/>
          <w:bCs/>
          <w:sz w:val="22"/>
          <w:szCs w:val="22"/>
        </w:rPr>
      </w:r>
      <w:r/>
    </w:p>
    <w:p>
      <w:pPr>
        <w:jc w:val="left"/>
        <w:spacing w:line="360" w:lineRule="auto"/>
        <w:widowControl/>
      </w:pPr>
      <w:r>
        <w:rPr>
          <w:rFonts w:hint="eastAsia" w:ascii="宋体" w:hAnsi="宋体" w:cs="宋体"/>
          <w:b/>
          <w:bCs/>
          <w:color w:val="000000"/>
          <w:sz w:val="24"/>
        </w:rPr>
        <w:t xml:space="preserve">（二）采购项目辅材清单</w:t>
      </w:r>
      <w:r/>
    </w:p>
    <w:tbl>
      <w:tblPr>
        <w:tblStyle w:val="856"/>
        <w:tblW w:w="4831" w:type="pct"/>
        <w:tblInd w:w="115" w:type="dxa"/>
        <w:tblLayout w:type="autofit"/>
        <w:tblCellMar>
          <w:left w:w="108" w:type="dxa"/>
          <w:top w:w="0" w:type="dxa"/>
          <w:right w:w="108" w:type="dxa"/>
          <w:bottom w:w="0" w:type="dxa"/>
        </w:tblCellMar>
        <w:tblLook w:val="04A0" w:firstRow="1" w:lastRow="0" w:firstColumn="1" w:lastColumn="0" w:noHBand="0" w:noVBand="1"/>
      </w:tblPr>
      <w:tblGrid>
        <w:gridCol w:w="942"/>
        <w:gridCol w:w="1660"/>
        <w:gridCol w:w="4561"/>
        <w:gridCol w:w="925"/>
        <w:gridCol w:w="1236"/>
      </w:tblGrid>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数量</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258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L型普通支架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lang w:eastAsia="zh-CN"/>
              </w:rPr>
              <w:suppressLineNumbers w:val="0"/>
            </w:pPr>
            <w:r>
              <w:rPr>
                <w:rFonts w:hint="eastAsia" w:ascii="宋体" w:hAnsi="宋体" w:eastAsia="宋体" w:cs="宋体"/>
                <w:b w:val="0"/>
                <w:bCs w:val="0"/>
                <w:sz w:val="21"/>
                <w:szCs w:val="21"/>
                <w:lang w:bidi="ar"/>
              </w:rPr>
              <w:t xml:space="preserve">枪机专用支架</w:t>
            </w:r>
            <w:r>
              <w:rPr>
                <w:rFonts w:hint="eastAsia" w:ascii="宋体" w:hAnsi="宋体" w:eastAsia="宋体" w:cs="宋体"/>
                <w:b w:val="0"/>
                <w:b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203</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259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围墙摄像机支架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lang w:eastAsia="zh-CN"/>
              </w:rPr>
              <w:suppressLineNumbers w:val="0"/>
            </w:pPr>
            <w:r>
              <w:rPr>
                <w:rFonts w:hint="eastAsia" w:ascii="宋体" w:hAnsi="宋体" w:eastAsia="宋体" w:cs="宋体"/>
                <w:b w:val="0"/>
                <w:bCs w:val="0"/>
                <w:sz w:val="21"/>
                <w:szCs w:val="21"/>
                <w:lang w:bidi="ar"/>
              </w:rPr>
              <w:t xml:space="preserve">枪机专用支架</w:t>
            </w:r>
            <w:r>
              <w:rPr>
                <w:rFonts w:hint="eastAsia" w:ascii="宋体" w:hAnsi="宋体" w:eastAsia="宋体" w:cs="宋体"/>
                <w:b w:val="0"/>
                <w:b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260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人卡立杆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lang w:eastAsia="zh-CN"/>
              </w:rPr>
              <w:suppressLineNumbers w:val="0"/>
            </w:pPr>
            <w:r>
              <w:rPr>
                <w:rFonts w:hint="eastAsia" w:ascii="宋体" w:hAnsi="宋体" w:eastAsia="宋体" w:cs="宋体"/>
                <w:b w:val="0"/>
                <w:bCs w:val="0"/>
                <w:sz w:val="21"/>
                <w:szCs w:val="21"/>
                <w:lang w:bidi="ar"/>
              </w:rPr>
              <w:t xml:space="preserve">万向节支架</w:t>
            </w:r>
            <w:r>
              <w:rPr>
                <w:rFonts w:hint="eastAsia" w:ascii="宋体" w:hAnsi="宋体" w:eastAsia="宋体" w:cs="宋体"/>
                <w:b w:val="0"/>
                <w:b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261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摄像机立杆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lang w:eastAsia="zh-CN"/>
              </w:rPr>
              <w:suppressLineNumbers w:val="0"/>
            </w:pPr>
            <w:r>
              <w:rPr>
                <w:rFonts w:hint="eastAsia" w:ascii="宋体" w:hAnsi="宋体" w:eastAsia="宋体" w:cs="宋体"/>
                <w:b w:val="0"/>
                <w:bCs w:val="0"/>
                <w:sz w:val="21"/>
                <w:szCs w:val="21"/>
                <w:lang w:bidi="ar"/>
              </w:rPr>
              <w:t xml:space="preserve">3.5米，烤漆，白色</w:t>
            </w:r>
            <w:r>
              <w:rPr>
                <w:rFonts w:hint="eastAsia" w:ascii="宋体" w:hAnsi="宋体" w:eastAsia="宋体" w:cs="宋体"/>
                <w:b w:val="0"/>
                <w:b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262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摄像机立杆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lang w:eastAsia="zh-CN"/>
              </w:rPr>
              <w:suppressLineNumbers w:val="0"/>
            </w:pPr>
            <w:r>
              <w:rPr>
                <w:rFonts w:hint="eastAsia" w:ascii="宋体" w:hAnsi="宋体" w:eastAsia="宋体" w:cs="宋体"/>
                <w:b w:val="0"/>
                <w:bCs w:val="0"/>
                <w:sz w:val="21"/>
                <w:szCs w:val="21"/>
                <w:lang w:bidi="ar"/>
              </w:rPr>
              <w:t xml:space="preserve">6米，烤漆，白色</w:t>
            </w:r>
            <w:r>
              <w:rPr>
                <w:rFonts w:hint="eastAsia" w:ascii="宋体" w:hAnsi="宋体" w:eastAsia="宋体" w:cs="宋体"/>
                <w:b w:val="0"/>
                <w:b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263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吊装支架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lang w:eastAsia="zh-CN"/>
              </w:rPr>
              <w:suppressLineNumbers w:val="0"/>
            </w:pPr>
            <w:r>
              <w:rPr>
                <w:rFonts w:hint="eastAsia" w:ascii="宋体" w:hAnsi="宋体" w:eastAsia="宋体" w:cs="宋体"/>
                <w:b w:val="0"/>
                <w:bCs w:val="0"/>
                <w:sz w:val="21"/>
                <w:szCs w:val="21"/>
                <w:lang w:bidi="ar"/>
              </w:rPr>
              <w:t xml:space="preserve">枪机专用支架</w:t>
            </w:r>
            <w:r>
              <w:rPr>
                <w:rFonts w:hint="eastAsia" w:ascii="宋体" w:hAnsi="宋体" w:eastAsia="宋体" w:cs="宋体"/>
                <w:b w:val="0"/>
                <w:b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184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264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车卡立杆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lang w:eastAsia="zh-CN"/>
              </w:rPr>
              <w:suppressLineNumbers w:val="0"/>
            </w:pPr>
            <w:r>
              <w:rPr>
                <w:rFonts w:hint="eastAsia" w:ascii="宋体" w:hAnsi="宋体" w:eastAsia="宋体" w:cs="宋体"/>
                <w:b w:val="0"/>
                <w:bCs w:val="0"/>
                <w:sz w:val="21"/>
                <w:szCs w:val="21"/>
                <w:lang w:bidi="ar"/>
              </w:rPr>
              <w:t xml:space="preserve">万向节支架</w:t>
            </w:r>
            <w:r>
              <w:rPr>
                <w:rFonts w:hint="eastAsia" w:ascii="宋体" w:hAnsi="宋体" w:eastAsia="宋体" w:cs="宋体"/>
                <w:b w:val="0"/>
                <w:b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w:t>
            </w:r>
            <w:r/>
          </w:p>
        </w:tc>
      </w:tr>
      <w:tr>
        <w:trPr>
          <w:trHeight w:val="2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265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操作台</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lang w:eastAsia="zh-CN"/>
              </w:rPr>
              <w:suppressLineNumbers w:val="0"/>
            </w:pPr>
            <w:r>
              <w:rPr>
                <w:rFonts w:hint="eastAsia" w:ascii="宋体" w:hAnsi="宋体" w:eastAsia="宋体" w:cs="宋体"/>
                <w:b w:val="0"/>
                <w:bCs w:val="0"/>
                <w:sz w:val="21"/>
                <w:szCs w:val="21"/>
                <w:lang w:bidi="ar"/>
              </w:rPr>
              <w:t xml:space="preserve">三联操作台</w:t>
            </w:r>
            <w:r>
              <w:rPr>
                <w:rFonts w:hint="eastAsia" w:ascii="宋体" w:hAnsi="宋体" w:eastAsia="宋体" w:cs="宋体"/>
                <w:b w:val="0"/>
                <w:b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266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防水箱  </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lang w:eastAsia="zh-CN"/>
              </w:rPr>
              <w:suppressLineNumbers w:val="0"/>
            </w:pPr>
            <w:r>
              <w:rPr>
                <w:rFonts w:hint="eastAsia" w:ascii="宋体" w:hAnsi="宋体" w:eastAsia="宋体" w:cs="宋体"/>
                <w:b w:val="0"/>
                <w:bCs w:val="0"/>
                <w:sz w:val="21"/>
                <w:szCs w:val="21"/>
                <w:lang w:bidi="ar"/>
              </w:rPr>
              <w:t xml:space="preserve">张力主机配套，不锈钢，自带防拆</w:t>
            </w:r>
            <w:r>
              <w:rPr>
                <w:rFonts w:hint="eastAsia" w:ascii="宋体" w:hAnsi="宋体" w:eastAsia="宋体" w:cs="宋体"/>
                <w:b w:val="0"/>
                <w:b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267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中间支撑杆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1．材质：杆体工字型铝合金材质，实心结构；</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2．底座铝合金材质；</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3．为防止固定件损坏造成张力线脱落，张力线应在杆体内穿入，不应安装外部固定件；</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4．所有配件螺丝采用SUS304不锈钢；不低于950mm。</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245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268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终端受力杆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材质：铝合金+抗氧化处理，底座为铝合金材质，所有配件螺丝采用SUS304不锈钢不低于950mm。</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269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转向承力杆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材质：铝合金+抗氧化处理，底座为铝合金材质，所有配件螺丝采用SUS304不锈钢；不低于950mm。</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270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转向滑轮</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铝合金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88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271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张力收紧器</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铝合金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174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272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张力弹簧</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不锈钢</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174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273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终端杆绝缘子</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复合材料（椭圆形）</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174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274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多股张力线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不锈钢（500米一卷）</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6600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275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束线器（铝套）</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铝合金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1100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276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警示牌</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张力200×100双面  夜光</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102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277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警示灯（室外）</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DC12V</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278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钢板烤漆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279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接地桩</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2米镀锌角铁</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280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铜接线端子</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材料：铜</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281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避雷接地线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6平方的铜导线</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254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282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红外对射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30米红外</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283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红外对射不锈钢（直型或L型支架）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19</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284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转换器</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报警主机链接电脑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285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安全岛</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水泥黄沙浇筑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7</w:t>
            </w:r>
            <w:r/>
          </w:p>
        </w:tc>
      </w:tr>
      <w:tr>
        <w:trPr>
          <w:trHeight w:val="2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286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防撞柱基础</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砼浇筑</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287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电池连接线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配套</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288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汇流箱</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配套</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289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承重架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配套</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290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3.21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291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292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293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9.32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294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42.8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295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钢结构</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配套定制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1.56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296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辅线材</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LED屏幕内部数据线、直流电源线接插件及屏体信号线等</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297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天线延长线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50Ω同轴天线延长线20米</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298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立杆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2.5-3米，烤漆，白色</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299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音箱壁架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配套壁架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视频线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HDMI线</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301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灯杆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固定灯光</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道</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302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地插</w:t>
            </w:r>
            <w:r>
              <w:rPr>
                <w:rFonts w:hint="eastAsia" w:ascii="宋体" w:hAnsi="宋体" w:eastAsia="宋体" w:cs="宋体"/>
                <w:b/>
                <w:bCs/>
                <w:sz w:val="21"/>
                <w:szCs w:val="21"/>
                <w:lang w:bidi="ar"/>
              </w:rPr>
              <w:t xml:space="preserve">（3C认证）</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音频，网络，视频等模块</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303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配套吊架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线阵低音配套吊架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304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线阵连接架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线阵配套连接架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305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桌插</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音频，网络，视频等模块</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306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轻型 DN50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1735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307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轻型 DN32</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124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308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轻型 DN25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2195.4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309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钢管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DN50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1812.7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310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钢管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DN32</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162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311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钢管</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DN25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175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312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弱电管道</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JDG25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451.4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313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弱电管道</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DN20镀锌锁紧式JDG线管</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13528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314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PVC20</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外径‌：20mm‌壁厚‌：1.25mm（允许差+0.3mm）‌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‌原料‌：聚氯乙烯（PVC）‌</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33203.81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315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200*100桥架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200*100铝合金桥架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2977.5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316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300*100桥架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300*100铝合金桥架</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966.1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317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抗震支架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桥架抗震支架（综合）</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552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318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铁构件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桥架安装支架、固定件螺栓等</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kg</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3290.16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319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室外手井（含井盖）</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600mm*600mm手孔井</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320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挖填方回填</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挖填方</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m³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363.88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321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6口光纤熔接盒</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6口光纤熔接盒</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322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24口光纤配线架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1.光纤配线架材质：表明磨砂亚光磨面处理；</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2.全封闭式结构；</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3.喷塑后铝板厚度：1.2±0.2m；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4.安装高度：1U；</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5.19英寸标准机架式安装；</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6.配线架部分采用铝板材质，轻量化设计；</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7.配线架支持前后调节深度安装；</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8.配线架内部附带魔术扎带；</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9.光纤配线架内部挑孔设计，用于扎线、捆绑</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附件自带自带粘贴固定线束装置，可安装内部用于理线；</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10.最大支持24 芯SC/FC/ST 单芯适配器安装或48 11.芯DLC 双芯适配器安装；</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12.安装FC/ST可单独选配安装板，自带SC/LC安装 板也可固定卡接；</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13.配线架背部、左右各有独立进线孔，前部、左右均可出线；</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14.使用温度：-20～70℃；</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15.湿度：≤85%（温度85℃±3℃）。</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323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光纤熔接</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藤仓热熔</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链路</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2012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324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LC双联光纤适配器</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1.连接器类型：LC-LC</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2.耦合器套管材料：高强度高密度氧化锆套管</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3.插入损耗：≤0.3dB/每接口  </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4.连续插拔附加损耗 ＜0.02 Db</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5.互换性：≤0.1dB</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6.回波损耗 ＞50 dB</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7.拔插次数：≥1500次</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8.工作温度：-20～+60℃</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9.储存温度：-20～+60℃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2012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325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LC/PC单芯单模光纤尾纤（1米）</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1．连接器插针类型：陶瓷氧化锆；</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2．插头材质：高耐冲击性防火阻燃型PC，符合UL94V-0；</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3．插针端面：UPC端面；</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4．连接器插入损耗：≤0.2dB/每接口；</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5．最大插入损耗：≤0.35dB/每接口；</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6．重复性：≤0.1dB；</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7．互换性：≤0.20dB；</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8．回波损耗 PC≥45，UPC ≥ 50dB，APC ≥ 60dB；；</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9．拔插次数：≥1000次；</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10．线缆外径：2.0mm（单芯）；</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11．护套材质：PVC；</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12．护套颜色可选：单模OS2黄色；</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13．工厂预端接并100%测试合格，确保产品质量及传输性能；</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14．使用弯曲半径：建议使用弯曲半径&gt;10倍跳线外径；</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15．工作温度：-40～+80℃；</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16．储存温度：-20～+85℃；</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17．储存温度：-20～+85℃。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2012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326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安防室外防水控制箱（带空开、拖线板）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铁质，烤漆500×600×400（mm）（以实际为准）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327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网络机柜42U（服务器机柜）</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铁质网格门600mm*1000mm*2055mm</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328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PDU插座</w:t>
            </w:r>
            <w:r>
              <w:rPr>
                <w:rFonts w:hint="eastAsia" w:ascii="宋体" w:hAnsi="宋体" w:eastAsia="宋体" w:cs="宋体"/>
                <w:b/>
                <w:bCs/>
                <w:sz w:val="21"/>
                <w:szCs w:val="21"/>
                <w:lang w:bidi="ar"/>
              </w:rPr>
              <w:t xml:space="preserve">（3C认证）</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10A8位三插国标接口</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329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网络机柜9U</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铁质玻璃门壁挂</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330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网络机柜42U</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铁质玻璃门600*600*2000，2米带轮.</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331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LC/PC-LC/PC双芯单模光纤跳线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连接器插针类型：陶瓷氧化锆</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插头材质：高耐冲击性防火阻燃型PC，符合UL94V-0</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插针端面：UPC端面</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品牌化尾套设计，便于用户识别快速原装正品</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连接器插入损耗：≤0.2dB/每接口</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最大插入损耗：≤0.35dB/每接口</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重复性：≤0.1dB</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互换性：≤0.20dB</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回波损耗 PC≥45，UPC ≥ 50dB；</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拔插次数：≥1000次</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线缆外径：2*2.0mm（双芯）</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护套材质：PVC</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护套颜色可选：单模OS2黄色</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工厂预端接并100%测试合格，确保产品质量及传输性能</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使用弯曲半径：建议使用弯曲半径&gt;10倍跳线外径</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工作温度：-40～+80℃</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储存温度：-20～+85℃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488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332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ONU箱</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含4口熔接盘、空开、排插等</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97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333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ODF光纤配线架</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≥30*4芯</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334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HDMI高清线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10米</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335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网络跳线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1．水晶头塑料材质：聚碳酸酯（PC）；</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2．跳线接头类型：注塑RJ45端子-注塑RJ45端子；</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3．跳线线缆类型：24AWG对绞芯线 （多股）；</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4．跳线线缆护套材质：PVC；</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5．跳线线缆外径：6.1±0.3mm；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6．跳线线缆阻抗类型：100±15Ω；</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7．连接方式：RJ45端插接RJ45配线架；</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8．跳线弯曲半径：≥4D(D：跳线外径)；</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9．适用系统：千兆六类非屏蔽系统；</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10．跳线长度：2米；</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11．使用温度：-20～70℃。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934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336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RJ45转RJ11跳线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1．水晶头塑料材质：聚碳酸酯（PC）；</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2．水晶头刺片采用三叉刺片；</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3．跳线接头类型：1对110端子-RJ45端子；</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4．跳线线缆类型：24AWG对绞芯线（多股）；</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5．跳线线缆护套材质：PVC；</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6．跳线线缆外径：3.0mm；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7．跳线线缆阻抗类型：100±15Ω；</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8．连接方式：RJ45端插接RJ45配线架，110端插接110跳线架；</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9．跳线弯曲半径：≥4D(D：跳线外径)；</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10．适用信号：两芯模拟电话信号；</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11．使用温度：-20～70℃；</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12．湿度：85%（温度85℃±3℃）。</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76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337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25对大对数</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1．护套材质：PVC；</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2．护套颜色：灰色；</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3．电缆外径：12.2±0.2mm；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4．护套厚度：1±0.05mm；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5．导体直径：0.5±0.01mm；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6．导体绝缘外径：0.895±0.005mm；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7．绝缘材料 HDPE（实心聚烯烃）；</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8．芯数：25对；</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9．单根导体最大电阻≤9.5Ω/100m；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10．特性阻抗 100±15Ω；</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11．绝缘电阻 ≧5000MΩ/km；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12．线对直流电阻不平衡 ≤2.5%；</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13．工作电容 ≤5.6nF/100m；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14．敷设弯曲半径：建议敷设弯曲半径&gt;8倍线缆外径；</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15．敷设拉力：建议敷设时短期拉力&lt;110N；</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16．使用拉力：建议使用时长期拉力&lt;20N；</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17．使用温度 -20℃～+70℃。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1000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338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24芯室外单模光缆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GYTA-24B1.3</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2400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339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6芯室外单模光缆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6芯室外单模光缆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9579.64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340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四芯光缆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室外4芯单模光缆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10000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341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皮线光缆</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电信级皮线光纤蝶形室内单模双芯光纤入户线 2芯2钢丝光缆</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3000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342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六类4对非屏蔽网线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1．护套材质：PVC；</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2．护套颜色：灰色；</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3．电缆外径：6.2±0.3mm；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4．护套厚度：0.55±0.05mm；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5．导体材质：无氧圆铜；</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6．导体直径：23AWG；</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7．导体绝缘外径：1.04±0.05mm；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8．绝缘材料 HDPE（实心聚烯烃）；</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9．带撕裂绳；</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10．芯数：4对8芯；</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11．单根导体最大电阻≤7.6Ω/100m；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12．特性阻抗 100±15Ω；</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13．绝缘电阻 ≧5000MΩ/km；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14．线对直流电阻不平衡 ≤2.5%；</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15．工作电容 ≤5.6nF/100m；</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16．敷设弯曲半径：建议敷设弯曲半径&gt;8倍线缆外径；</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17．敷设拉力：建议敷设时短期拉力&lt;110N；</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18．使用拉力：建议使用时长期拉力&lt;20N；</w:t>
            </w:r>
            <w:r>
              <w:rPr>
                <w:rFonts w:hint="eastAsia" w:ascii="宋体" w:hAnsi="宋体" w:eastAsia="宋体" w:cs="宋体"/>
                <w:b w:val="0"/>
                <w:bCs w:val="0"/>
                <w:sz w:val="21"/>
                <w:szCs w:val="21"/>
                <w:lang w:bidi="ar"/>
              </w:rPr>
              <w:br/>
            </w:r>
            <w:r>
              <w:rPr>
                <w:rFonts w:hint="eastAsia" w:ascii="宋体" w:hAnsi="宋体" w:eastAsia="宋体" w:cs="宋体"/>
                <w:b w:val="0"/>
                <w:bCs w:val="0"/>
                <w:sz w:val="21"/>
                <w:szCs w:val="21"/>
                <w:lang w:bidi="ar"/>
              </w:rPr>
              <w:t xml:space="preserve">19．使用温度 -20℃～+70℃；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169472.72</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343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电源线</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WDZB1-RYY2*1.0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39168.18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344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信号线</w:t>
            </w:r>
            <w:r>
              <w:rPr>
                <w:rFonts w:hint="eastAsia" w:ascii="宋体" w:hAnsi="宋体" w:eastAsia="宋体" w:cs="宋体"/>
                <w:b/>
                <w:bCs/>
                <w:sz w:val="21"/>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WDZB1-RYY2*1.5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2570.7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345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信号线</w:t>
            </w:r>
            <w:r>
              <w:rPr>
                <w:rFonts w:hint="eastAsia" w:ascii="宋体" w:hAnsi="宋体" w:eastAsia="宋体" w:cs="宋体"/>
                <w:b/>
                <w:bCs/>
                <w:sz w:val="21"/>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WDZB1-RYY4*0.5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1266.6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346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信号线</w:t>
            </w:r>
            <w:r>
              <w:rPr>
                <w:rFonts w:hint="eastAsia" w:ascii="宋体" w:hAnsi="宋体" w:eastAsia="宋体" w:cs="宋体"/>
                <w:b/>
                <w:bCs/>
                <w:sz w:val="21"/>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WDZB1-RYY2*0.5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2138.7</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347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防撞柱控制线</w:t>
            </w:r>
            <w:r>
              <w:rPr>
                <w:rFonts w:hint="eastAsia" w:ascii="宋体" w:hAnsi="宋体" w:eastAsia="宋体" w:cs="宋体"/>
                <w:b/>
                <w:bCs/>
                <w:sz w:val="21"/>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WDZB1-RYY6*1.5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450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348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防撞柱电源线</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WDZB1-RYY3*2.5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450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349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防撞柱控制线</w:t>
            </w:r>
            <w:r>
              <w:rPr>
                <w:rFonts w:hint="eastAsia" w:ascii="宋体" w:hAnsi="宋体" w:eastAsia="宋体" w:cs="宋体"/>
                <w:b/>
                <w:bCs/>
                <w:sz w:val="21"/>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WDZB1-RYY2*1.5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450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350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读卡器信号线</w:t>
            </w:r>
            <w:r>
              <w:rPr>
                <w:rFonts w:hint="eastAsia" w:ascii="宋体" w:hAnsi="宋体" w:eastAsia="宋体" w:cs="宋体"/>
                <w:b/>
                <w:bCs/>
                <w:sz w:val="21"/>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WDZB1-RYY6*0.5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4218.1</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351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门锁信号线</w:t>
            </w:r>
            <w:r>
              <w:rPr>
                <w:rFonts w:hint="eastAsia" w:ascii="宋体" w:hAnsi="宋体" w:eastAsia="宋体" w:cs="宋体"/>
                <w:b/>
                <w:bCs/>
                <w:sz w:val="21"/>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WDZB1-RYY4*0.5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4236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352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出门按钮信号线</w:t>
            </w:r>
            <w:r>
              <w:rPr>
                <w:rFonts w:hint="eastAsia" w:ascii="宋体" w:hAnsi="宋体" w:eastAsia="宋体" w:cs="宋体"/>
                <w:b/>
                <w:bCs/>
                <w:sz w:val="21"/>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WDZB1-RYY2*0.5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4374.6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353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门禁电源线</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WDZB1-RYY2*1.5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2712.4</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354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通道闸机电源线</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WDZB1-RYY3*2.5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355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电缆</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WDZB1-YJY5*10</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356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电缆</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WDZB1-YJY3*4</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400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357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电缆</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WDZB1-YJY3*2.5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7225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358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电缆</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WDZB1-YJY5*16</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15</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359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电缆</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WDZB1-YJY3*6</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360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信号线</w:t>
            </w:r>
            <w:r>
              <w:rPr>
                <w:rFonts w:hint="eastAsia" w:ascii="宋体" w:hAnsi="宋体" w:eastAsia="宋体" w:cs="宋体"/>
                <w:b/>
                <w:bCs/>
                <w:sz w:val="21"/>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WDZB1-RYYP4*1.5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400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361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电源线</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RVV3*2.5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765.6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362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信号线</w:t>
            </w:r>
            <w:r>
              <w:rPr>
                <w:rFonts w:hint="eastAsia" w:ascii="宋体" w:hAnsi="宋体" w:eastAsia="宋体" w:cs="宋体"/>
                <w:b/>
                <w:bCs/>
                <w:sz w:val="21"/>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（2×0.25mm²）编织</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1270.36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363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音箱线</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RVV2*1.5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3500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364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音箱线</w:t>
            </w:r>
            <w:r>
              <w:rPr>
                <w:rFonts w:hint="eastAsia" w:ascii="宋体" w:hAnsi="宋体" w:eastAsia="宋体" w:cs="宋体"/>
                <w:b/>
                <w:bCs/>
                <w:sz w:val="21"/>
                <w:szCs w:val="21"/>
                <w:lang w:bidi="ar"/>
              </w:rPr>
              <w:t xml:space="preserve">（3C认证）</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RVV2*2.5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1780.18</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365</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音箱线</w:t>
            </w:r>
            <w:r>
              <w:rPr>
                <w:rFonts w:hint="eastAsia" w:ascii="宋体" w:hAnsi="宋体" w:eastAsia="宋体" w:cs="宋体"/>
                <w:b/>
                <w:bCs/>
                <w:sz w:val="21"/>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金银线2*300支</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165.6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366</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音箱线</w:t>
            </w:r>
            <w:r>
              <w:rPr>
                <w:rFonts w:hint="eastAsia" w:ascii="宋体" w:hAnsi="宋体" w:eastAsia="宋体" w:cs="宋体"/>
                <w:b/>
                <w:bCs/>
                <w:sz w:val="21"/>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金银线2*150支</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367</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音箱线</w:t>
            </w:r>
            <w:r>
              <w:rPr>
                <w:rFonts w:hint="eastAsia" w:ascii="宋体" w:hAnsi="宋体" w:eastAsia="宋体" w:cs="宋体"/>
                <w:b/>
                <w:bCs/>
                <w:sz w:val="21"/>
                <w:szCs w:val="21"/>
                <w:lang w:bidi="ar"/>
              </w:rPr>
              <w:t xml:space="preserve">（生产许可）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EVJV2*2.5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604.76</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368</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电源线</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RVV3*6</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369</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电源线</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RVV5*6</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20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370</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电源线</w:t>
            </w:r>
            <w:r>
              <w:rPr>
                <w:rFonts w:hint="eastAsia" w:ascii="宋体" w:hAnsi="宋体" w:eastAsia="宋体" w:cs="宋体"/>
                <w:b/>
                <w:bCs/>
                <w:sz w:val="21"/>
                <w:szCs w:val="21"/>
                <w:lang w:bidi="ar"/>
              </w:rPr>
              <w:t xml:space="preserve">（3C认证、生产许可）</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RVV3*1.5</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400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371</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视频线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HDMI视频线</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160</w:t>
            </w:r>
            <w:r/>
          </w:p>
        </w:tc>
      </w:tr>
      <w:tr>
        <w:trPr>
          <w:trHeight w:val="380"/>
        </w:trPr>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bidi="ar"/>
              </w:rPr>
              <w:t xml:space="preserve">372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视频线</w:t>
            </w:r>
            <w:r/>
          </w:p>
        </w:tc>
        <w:tc>
          <w:tcPr>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SDI视频线</w:t>
            </w:r>
            <w:r/>
          </w:p>
        </w:tc>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bidi="ar"/>
              </w:rPr>
              <w:t xml:space="preserve">600</w:t>
            </w:r>
            <w:r/>
          </w:p>
        </w:tc>
      </w:tr>
    </w:tbl>
    <w:p>
      <w:pPr>
        <w:spacing w:line="480" w:lineRule="exact"/>
        <w:rPr>
          <w:rFonts w:hint="eastAsia" w:ascii="宋体" w:hAnsi="宋体" w:eastAsia="宋体" w:cs="宋体"/>
          <w:b/>
          <w:bCs/>
          <w:sz w:val="24"/>
          <w:highlight w:val="yellow"/>
        </w:rPr>
      </w:pPr>
      <w:r>
        <w:rPr>
          <w:rFonts w:hint="eastAsia" w:ascii="宋体" w:hAnsi="宋体" w:eastAsia="宋体" w:cs="宋体"/>
          <w:b/>
          <w:bCs/>
          <w:sz w:val="24"/>
          <w:highlight w:val="yellow"/>
        </w:rPr>
      </w:r>
      <w:r/>
    </w:p>
    <w:p>
      <w:pPr>
        <w:numPr>
          <w:ilvl w:val="0"/>
          <w:numId w:val="8"/>
        </w:numPr>
        <w:spacing w:line="480" w:lineRule="exact"/>
        <w:rPr>
          <w:rFonts w:hint="eastAsia" w:ascii="宋体" w:hAnsi="宋体" w:eastAsia="宋体" w:cs="宋体"/>
          <w:b/>
          <w:bCs/>
          <w:sz w:val="24"/>
        </w:rPr>
      </w:pPr>
      <w:r>
        <w:rPr>
          <w:rFonts w:hint="eastAsia" w:ascii="宋体" w:hAnsi="宋体" w:eastAsia="宋体" w:cs="宋体"/>
          <w:b/>
          <w:bCs/>
          <w:sz w:val="24"/>
        </w:rPr>
        <w:t xml:space="preserve">核心产品要求：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室内高清筒形摄像机（序号1）为本项目核心产品。提供相同品牌核心产品且通过资格审查、符合性审查的不同投标人参加同一合同项下投标的，按一家投标人计算，评审后得分最高的同品牌投标人获得中标人推荐资格。</w:t>
      </w:r>
      <w:r/>
    </w:p>
    <w:p>
      <w:pPr>
        <w:spacing w:line="480" w:lineRule="exact"/>
        <w:rPr>
          <w:rFonts w:hint="eastAsia" w:ascii="宋体" w:hAnsi="宋体" w:eastAsia="宋体" w:cs="宋体"/>
          <w:b/>
          <w:bCs/>
          <w:sz w:val="24"/>
        </w:rPr>
      </w:pPr>
      <w:r>
        <w:rPr>
          <w:rFonts w:hint="eastAsia" w:ascii="宋体" w:hAnsi="宋体" w:eastAsia="宋体" w:cs="宋体"/>
          <w:b/>
          <w:bCs/>
          <w:sz w:val="24"/>
        </w:rPr>
        <w:t xml:space="preserve">（四）强制节能产品要求：</w:t>
      </w:r>
      <w:r/>
    </w:p>
    <w:p>
      <w:pPr>
        <w:ind w:firstLine="480"/>
        <w:spacing w:line="480" w:lineRule="exact"/>
        <w:rPr>
          <w:rFonts w:hint="eastAsia" w:ascii="宋体" w:hAnsi="宋体" w:eastAsia="宋体" w:cs="宋体"/>
          <w:b/>
          <w:bCs/>
          <w:sz w:val="24"/>
        </w:rPr>
      </w:pPr>
      <w:r>
        <w:rPr>
          <w:rFonts w:hint="eastAsia" w:ascii="宋体" w:hAnsi="宋体" w:eastAsia="宋体" w:cs="宋体"/>
          <w:sz w:val="24"/>
        </w:rPr>
        <w:t xml:space="preserve">43寸拼接显示屏（序号28）、机房精密空调（序号115、116）、观摩显示器（序号244）为强制节能产品，</w:t>
      </w:r>
      <w:r>
        <w:rPr>
          <w:rFonts w:hint="eastAsia" w:ascii="宋体" w:hAnsi="宋体" w:eastAsia="宋体" w:cs="宋体"/>
          <w:b/>
          <w:bCs/>
          <w:sz w:val="24"/>
        </w:rPr>
        <w:t xml:space="preserve">投标人应当选择强制采购产品，并提供由国家确定的认证机构出具的、处于有效期之内的至少二级能效指标的节能产品认证证书，否则视为未实质响应。</w:t>
      </w:r>
      <w:r/>
    </w:p>
    <w:p>
      <w:pPr>
        <w:spacing w:line="480" w:lineRule="exact"/>
        <w:rPr>
          <w:rFonts w:hint="eastAsia" w:ascii="宋体" w:hAnsi="宋体" w:eastAsia="宋体" w:cs="宋体"/>
          <w:b/>
          <w:bCs/>
          <w:sz w:val="24"/>
        </w:rPr>
      </w:pPr>
      <w:r>
        <w:rPr>
          <w:rFonts w:hint="eastAsia" w:ascii="宋体" w:hAnsi="宋体" w:eastAsia="宋体" w:cs="宋体"/>
          <w:b/>
          <w:bCs/>
          <w:sz w:val="24"/>
        </w:rPr>
        <w:t xml:space="preserve">（五）3C认证产品要求：</w:t>
      </w:r>
      <w:r/>
    </w:p>
    <w:p>
      <w:pPr>
        <w:ind w:firstLine="480"/>
        <w:spacing w:line="480" w:lineRule="exact"/>
        <w:rPr>
          <w:rFonts w:hint="eastAsia" w:ascii="宋体" w:hAnsi="宋体" w:eastAsia="宋体" w:cs="宋体"/>
          <w:b/>
          <w:bCs/>
          <w:sz w:val="24"/>
        </w:rPr>
      </w:pPr>
      <w:r/>
      <w:bookmarkStart w:id="3" w:name="OLE_LINK5"/>
      <w:r>
        <w:rPr>
          <w:rFonts w:hint="eastAsia" w:ascii="宋体" w:hAnsi="宋体" w:eastAsia="宋体" w:cs="宋体"/>
          <w:sz w:val="24"/>
        </w:rPr>
        <w:t xml:space="preserve">43寸拼接显示屏（序号28）、86寸教育平板（序号47）、电源（序号15）、电源（序号51）、声光报警器电源（序号66）、一体机电源（序号88）、地插（序号302）、观摩显示器（序号244）、智能配电柜（序号227）、智能配电柜（序号229）、电源线（序号343）、PDU插座（序号328）、防撞柱电源线（序号348）、门禁电源线（序号353）、通道闸机电源线（序号354）、电缆（序号355-359）、电源线（序号361）、音箱线（序号363、364）、电源线（序号368-370）为3C认证产品，</w:t>
      </w:r>
      <w:r>
        <w:rPr>
          <w:rFonts w:hint="eastAsia" w:ascii="宋体" w:hAnsi="宋体" w:eastAsia="宋体" w:cs="宋体"/>
          <w:b/>
          <w:bCs/>
          <w:sz w:val="24"/>
        </w:rPr>
        <w:t xml:space="preserve">投标人需提供上述产品的有效期内的3C认证证书，否则视为未实质响应。</w:t>
      </w:r>
      <w:bookmarkEnd w:id="3"/>
      <w:r/>
      <w:r/>
    </w:p>
    <w:p>
      <w:pPr>
        <w:spacing w:line="480" w:lineRule="exact"/>
        <w:rPr>
          <w:rFonts w:hint="eastAsia" w:ascii="宋体" w:hAnsi="宋体" w:eastAsia="宋体" w:cs="宋体"/>
          <w:b/>
          <w:bCs/>
          <w:sz w:val="24"/>
        </w:rPr>
      </w:pPr>
      <w:r>
        <w:rPr>
          <w:rFonts w:hint="eastAsia" w:ascii="宋体" w:hAnsi="宋体" w:eastAsia="宋体" w:cs="宋体"/>
          <w:b/>
          <w:bCs/>
          <w:sz w:val="24"/>
        </w:rPr>
        <w:t xml:space="preserve">（六）工业产品生产许可要求：</w:t>
      </w:r>
      <w:r/>
    </w:p>
    <w:p>
      <w:pPr>
        <w:ind w:firstLine="480"/>
        <w:spacing w:line="480" w:lineRule="exact"/>
        <w:rPr>
          <w:rFonts w:hint="eastAsia" w:ascii="宋体" w:hAnsi="宋体" w:eastAsia="宋体" w:cs="宋体"/>
          <w:sz w:val="24"/>
        </w:rPr>
      </w:pPr>
      <w:r/>
      <w:bookmarkStart w:id="4" w:name="OLE_LINK6"/>
      <w:r>
        <w:rPr>
          <w:rFonts w:hint="eastAsia" w:ascii="宋体" w:hAnsi="宋体" w:eastAsia="宋体" w:cs="宋体"/>
          <w:sz w:val="24"/>
        </w:rPr>
        <w:t xml:space="preserve">智能配电柜（序号227）、智能配电柜（序号229）、电源线（序号343）、信号线（序号344、345、346）、防撞柱控制线（序号347、349）、防撞柱电源线（序号348）、读卡器信号线（序号350）、门锁信号线（序号351）、出门按钮信号线（序号352）、门禁电源线（序号353）、通道闸机电源线缆（序号354）、电缆（序号355-359）、信号线（序号360、362）、电源线（序号361）、音箱线（序号363、365、366、367）、电源线（序号368-370）为工业产品生产许可产品，</w:t>
      </w:r>
      <w:r>
        <w:rPr>
          <w:rFonts w:hint="eastAsia" w:ascii="宋体" w:hAnsi="宋体" w:eastAsia="宋体" w:cs="宋体"/>
          <w:b/>
          <w:bCs/>
          <w:sz w:val="24"/>
        </w:rPr>
        <w:t xml:space="preserve">投标人需提供上述产品的有效期内的工业产品生产许可认证证书，否则视为未实质响应。</w:t>
      </w:r>
      <w:bookmarkEnd w:id="4"/>
      <w:r/>
      <w:r/>
    </w:p>
    <w:p>
      <w:pPr>
        <w:pStyle w:val="879"/>
        <w:spacing w:line="500" w:lineRule="exact"/>
        <w:rPr>
          <w:rFonts w:hint="eastAsia" w:ascii="宋体" w:hAnsi="宋体" w:cs="宋体"/>
          <w:b/>
          <w:sz w:val="24"/>
        </w:rPr>
      </w:pPr>
      <w:r>
        <w:rPr>
          <w:rFonts w:hint="eastAsia" w:ascii="宋体" w:hAnsi="宋体" w:cs="宋体"/>
          <w:b/>
          <w:bCs/>
          <w:sz w:val="24"/>
        </w:rPr>
        <w:t xml:space="preserve">三、</w:t>
      </w:r>
      <w:r>
        <w:rPr>
          <w:rFonts w:hint="eastAsia" w:ascii="宋体" w:hAnsi="宋体" w:cs="宋体"/>
          <w:b/>
          <w:sz w:val="24"/>
        </w:rPr>
        <w:t xml:space="preserve">一般技术服务要求</w:t>
      </w:r>
      <w:r/>
    </w:p>
    <w:p>
      <w:pPr>
        <w:ind w:firstLine="482"/>
        <w:spacing w:line="500" w:lineRule="exact"/>
        <w:rPr>
          <w:rFonts w:hint="eastAsia" w:ascii="宋体" w:hAnsi="宋体" w:cs="宋体"/>
          <w:sz w:val="24"/>
        </w:rPr>
      </w:pPr>
      <w:r>
        <w:rPr>
          <w:rFonts w:hint="eastAsia" w:ascii="宋体" w:hAnsi="宋体" w:cs="宋体"/>
          <w:sz w:val="24"/>
        </w:rPr>
        <w:t xml:space="preserve">1、为保证项目质量，提供服务设备的稳定运行，投标单位选用产品应至少能满足具备较高的设备成熟度和行业认可程度，且不得低于技术要求，否则直接影响其评标结果。评标小组针对投标单位提供的服务产品情况有权认定其是否实质性响应招标文件要求。</w:t>
      </w:r>
      <w:r/>
    </w:p>
    <w:p>
      <w:pPr>
        <w:ind w:firstLine="482"/>
        <w:spacing w:line="500" w:lineRule="exact"/>
        <w:rPr>
          <w:rFonts w:hint="eastAsia" w:ascii="宋体" w:hAnsi="宋体" w:cs="宋体"/>
          <w:sz w:val="24"/>
        </w:rPr>
      </w:pPr>
      <w:r>
        <w:rPr>
          <w:rFonts w:hint="eastAsia" w:ascii="宋体" w:hAnsi="宋体" w:cs="宋体"/>
          <w:sz w:val="24"/>
        </w:rPr>
        <w:t xml:space="preserve">2、所有设备、附（配）件应具备该类产品的功能要求，无瑕疵和缺陷，质量为合格产品，同时有明确的生产厂商或制造厂商；投标单位明确提供设备的品牌、型号、规格和外形、尺寸、安装、重量及一些必须说明的技术参数，以及使用的材料的清单，同时明确生产厂家、型号规格等，并提供详细的技术参数及性能说明书。</w:t>
      </w:r>
      <w:r/>
    </w:p>
    <w:p>
      <w:pPr>
        <w:spacing w:line="500" w:lineRule="exact"/>
        <w:rPr>
          <w:rFonts w:hint="eastAsia" w:ascii="宋体" w:hAnsi="宋体"/>
          <w:b/>
          <w:sz w:val="24"/>
        </w:rPr>
      </w:pPr>
      <w:r>
        <w:rPr>
          <w:rFonts w:hint="eastAsia" w:ascii="宋体" w:hAnsi="宋体"/>
          <w:b/>
          <w:sz w:val="24"/>
        </w:rPr>
        <w:t xml:space="preserve">四</w:t>
      </w:r>
      <w:r>
        <w:rPr>
          <w:rFonts w:ascii="宋体" w:hAnsi="宋体"/>
          <w:b/>
          <w:sz w:val="24"/>
        </w:rPr>
        <w:t xml:space="preserve">、商务要求：</w:t>
      </w:r>
      <w:r/>
    </w:p>
    <w:p>
      <w:pPr>
        <w:ind w:firstLine="482"/>
        <w:spacing w:line="500" w:lineRule="exact"/>
      </w:pPr>
      <w:r>
        <w:rPr>
          <w:rFonts w:ascii="宋体" w:hAnsi="宋体"/>
          <w:b/>
          <w:sz w:val="24"/>
        </w:rPr>
        <w:t xml:space="preserve">（一）项目工期：</w:t>
      </w:r>
      <w:r>
        <w:rPr>
          <w:rFonts w:hint="eastAsia" w:ascii="宋体" w:hAnsi="宋体" w:cs="宋体"/>
          <w:sz w:val="24"/>
        </w:rPr>
        <w:t xml:space="preserve">自签订合同后配合项目现场装修进度，120天内完成安装调试，具体时间以采购单位要求为准</w:t>
      </w:r>
      <w:r>
        <w:rPr>
          <w:rFonts w:hint="eastAsia" w:ascii="宋体" w:hAnsi="宋体"/>
          <w:sz w:val="24"/>
        </w:rPr>
        <w:t xml:space="preserve">。</w:t>
      </w:r>
      <w:r/>
    </w:p>
    <w:p>
      <w:pPr>
        <w:ind w:firstLine="482"/>
        <w:spacing w:line="500" w:lineRule="exact"/>
        <w:rPr>
          <w:rFonts w:hint="eastAsia" w:ascii="宋体" w:hAnsi="宋体"/>
          <w:b/>
          <w:sz w:val="24"/>
        </w:rPr>
      </w:pPr>
      <w:r/>
      <w:bookmarkStart w:id="5" w:name="_Hlk188115342"/>
      <w:r>
        <w:rPr>
          <w:rFonts w:hint="eastAsia" w:ascii="宋体" w:hAnsi="宋体"/>
          <w:b/>
          <w:sz w:val="24"/>
        </w:rPr>
        <w:t xml:space="preserve">（二）服务地点：</w:t>
      </w:r>
      <w:r>
        <w:rPr>
          <w:rFonts w:hint="eastAsia" w:ascii="宋体" w:hAnsi="宋体" w:cs="宋体"/>
          <w:sz w:val="24"/>
          <w:lang w:val="en-US" w:eastAsia="zh-CN"/>
        </w:rPr>
        <w:t xml:space="preserve">太仓市横沥路南，黄家湾路东，发达路西。</w:t>
      </w:r>
      <w:r/>
    </w:p>
    <w:p>
      <w:pPr>
        <w:ind w:firstLine="482"/>
        <w:spacing w:line="500" w:lineRule="exact"/>
        <w:rPr>
          <w:rFonts w:hint="eastAsia" w:ascii="宋体" w:hAnsi="宋体"/>
          <w:b/>
          <w:sz w:val="24"/>
        </w:rPr>
      </w:pPr>
      <w:r>
        <w:rPr>
          <w:rFonts w:ascii="宋体" w:hAnsi="宋体"/>
          <w:b/>
          <w:sz w:val="24"/>
        </w:rPr>
        <w:t xml:space="preserve">（三）项目具体实施要求：</w:t>
      </w:r>
      <w:bookmarkEnd w:id="5"/>
      <w:r/>
      <w:r/>
    </w:p>
    <w:p>
      <w:pPr>
        <w:ind w:firstLine="482"/>
        <w:jc w:val="left"/>
        <w:spacing w:line="500" w:lineRule="exact"/>
        <w:widowControl/>
        <w:rPr>
          <w:rFonts w:ascii="宋体" w:hAnsi="宋体" w:eastAsia="Arial" w:cs="MS Gothic"/>
          <w:b/>
          <w:sz w:val="24"/>
          <w:szCs w:val="22"/>
        </w:rPr>
      </w:pPr>
      <w:r>
        <w:rPr>
          <w:rFonts w:hint="eastAsia" w:ascii="宋体" w:hAnsi="宋体" w:eastAsia="Arial" w:cs="MS Gothic"/>
          <w:b/>
          <w:sz w:val="24"/>
          <w:szCs w:val="22"/>
          <w:lang w:bidi="ar"/>
        </w:rPr>
        <w:t xml:space="preserve">1</w:t>
      </w:r>
      <w:r>
        <w:rPr>
          <w:rFonts w:ascii="宋体" w:hAnsi="宋体" w:eastAsia="Arial" w:cs="MS Gothic"/>
          <w:b/>
          <w:sz w:val="24"/>
          <w:szCs w:val="22"/>
          <w:lang w:bidi="ar"/>
        </w:rPr>
        <w:t xml:space="preserve">、总体技术方案</w:t>
      </w:r>
      <w:r/>
    </w:p>
    <w:p>
      <w:pPr>
        <w:ind w:firstLine="480"/>
        <w:jc w:val="left"/>
        <w:spacing w:line="500" w:lineRule="exact"/>
        <w:widowControl/>
        <w:rPr>
          <w:rFonts w:ascii="宋体" w:hAnsi="宋体" w:eastAsia="Arial" w:cs="MS Gothic"/>
          <w:sz w:val="24"/>
          <w:szCs w:val="22"/>
        </w:rPr>
      </w:pPr>
      <w:r>
        <w:rPr>
          <w:rFonts w:ascii="宋体" w:hAnsi="宋体" w:eastAsia="Arial" w:cs="微软雅黑"/>
          <w:sz w:val="24"/>
          <w:szCs w:val="22"/>
          <w:lang w:bidi="ar"/>
        </w:rPr>
        <w:t xml:space="preserve">①项目需求理解：针对项目与招标内容提供明确的需求理解。</w:t>
      </w:r>
      <w:r>
        <w:rPr>
          <w:rFonts w:hint="eastAsia" w:ascii="宋体" w:hAnsi="宋体" w:eastAsia="Arial" w:cs="Arial"/>
          <w:sz w:val="24"/>
          <w:szCs w:val="22"/>
          <w:lang w:bidi="ar"/>
        </w:rPr>
        <w:t xml:space="preserve"> </w:t>
      </w:r>
      <w:r>
        <w:rPr>
          <w:rFonts w:ascii="宋体" w:hAnsi="宋体" w:eastAsia="Arial" w:cs="微软雅黑"/>
          <w:sz w:val="24"/>
          <w:szCs w:val="22"/>
          <w:lang w:bidi="ar"/>
        </w:rPr>
        <w:t xml:space="preserve">②设计方案：提供系统整体设计方案，包括设计思路、架构等。③方案重点等内容：对项目方案理解充分，明确整个方案的重点难点。</w:t>
      </w:r>
      <w:r/>
    </w:p>
    <w:p>
      <w:pPr>
        <w:ind w:firstLine="482"/>
        <w:jc w:val="left"/>
        <w:spacing w:line="500" w:lineRule="exact"/>
        <w:widowControl/>
        <w:rPr>
          <w:rFonts w:ascii="宋体" w:hAnsi="宋体" w:eastAsia="Arial" w:cs="MS Gothic"/>
          <w:b/>
          <w:sz w:val="24"/>
          <w:szCs w:val="22"/>
        </w:rPr>
      </w:pPr>
      <w:r>
        <w:rPr>
          <w:rFonts w:hint="eastAsia" w:ascii="宋体" w:hAnsi="宋体" w:eastAsia="Arial" w:cs="MS Gothic"/>
          <w:b/>
          <w:sz w:val="24"/>
          <w:szCs w:val="22"/>
          <w:lang w:bidi="ar"/>
        </w:rPr>
        <w:t xml:space="preserve">2</w:t>
      </w:r>
      <w:r>
        <w:rPr>
          <w:rFonts w:ascii="宋体" w:hAnsi="宋体" w:eastAsia="Arial" w:cs="MS Gothic"/>
          <w:b/>
          <w:sz w:val="24"/>
          <w:szCs w:val="22"/>
          <w:lang w:bidi="ar"/>
        </w:rPr>
        <w:t xml:space="preserve">、</w:t>
      </w:r>
      <w:r>
        <w:rPr>
          <w:rFonts w:ascii="宋体" w:hAnsi="宋体" w:eastAsia="Arial" w:cs="微软雅黑"/>
          <w:b/>
          <w:sz w:val="24"/>
          <w:szCs w:val="22"/>
          <w:lang w:bidi="ar"/>
        </w:rPr>
        <w:t xml:space="preserve">项目实施方案及进度保障措施</w:t>
      </w:r>
      <w:r/>
    </w:p>
    <w:p>
      <w:pPr>
        <w:ind w:firstLine="480"/>
        <w:jc w:val="left"/>
        <w:spacing w:line="500" w:lineRule="exact"/>
        <w:widowControl/>
        <w:rPr>
          <w:rFonts w:ascii="宋体" w:hAnsi="宋体" w:eastAsia="Arial" w:cs="MS Gothic"/>
          <w:sz w:val="24"/>
          <w:szCs w:val="22"/>
        </w:rPr>
      </w:pPr>
      <w:r>
        <w:rPr>
          <w:rFonts w:ascii="宋体" w:hAnsi="宋体" w:eastAsia="Arial" w:cs="微软雅黑"/>
          <w:sz w:val="24"/>
          <w:szCs w:val="22"/>
          <w:lang w:bidi="ar"/>
        </w:rPr>
        <w:t xml:space="preserve">①实施步骤及进度安排：需要提供详细的实施步骤包括进度安排、施工准备、施工工序等。②安全文明措施：为保证项目实施安全，提供安全管理目标、制度、措施和文明施工组织方案。</w:t>
      </w:r>
      <w:r>
        <w:rPr>
          <w:rFonts w:hint="eastAsia" w:ascii="宋体" w:hAnsi="宋体" w:eastAsia="Arial" w:cs="Arial"/>
          <w:sz w:val="24"/>
          <w:szCs w:val="22"/>
          <w:lang w:bidi="ar"/>
        </w:rPr>
        <w:t xml:space="preserve"> </w:t>
      </w:r>
      <w:r>
        <w:rPr>
          <w:rFonts w:ascii="宋体" w:hAnsi="宋体" w:eastAsia="Arial" w:cs="微软雅黑"/>
          <w:sz w:val="24"/>
          <w:szCs w:val="22"/>
          <w:lang w:bidi="ar"/>
        </w:rPr>
        <w:t xml:space="preserve">③维护安装调试内容：提供到货进场、施工安装、系统调试等方案。</w:t>
      </w:r>
      <w:r/>
    </w:p>
    <w:p>
      <w:pPr>
        <w:ind w:firstLine="482"/>
        <w:jc w:val="left"/>
        <w:spacing w:line="500" w:lineRule="exact"/>
        <w:widowControl/>
        <w:rPr>
          <w:rFonts w:ascii="宋体" w:hAnsi="宋体" w:eastAsia="Arial" w:cs="Arial"/>
          <w:b/>
          <w:sz w:val="24"/>
          <w:szCs w:val="22"/>
        </w:rPr>
      </w:pPr>
      <w:r>
        <w:rPr>
          <w:rFonts w:hint="eastAsia" w:ascii="宋体" w:hAnsi="宋体" w:eastAsia="Arial" w:cs="Arial"/>
          <w:b/>
          <w:sz w:val="24"/>
          <w:szCs w:val="22"/>
          <w:lang w:bidi="ar"/>
        </w:rPr>
        <w:t xml:space="preserve">3</w:t>
      </w:r>
      <w:r>
        <w:rPr>
          <w:rFonts w:ascii="宋体" w:hAnsi="宋体" w:eastAsia="Arial" w:cs="微软雅黑"/>
          <w:b/>
          <w:sz w:val="24"/>
          <w:szCs w:val="22"/>
          <w:lang w:bidi="ar"/>
        </w:rPr>
        <w:t xml:space="preserve">、质量保证措施及承诺</w:t>
      </w:r>
      <w:r/>
    </w:p>
    <w:p>
      <w:pPr>
        <w:ind w:firstLine="480"/>
        <w:jc w:val="left"/>
        <w:spacing w:line="500" w:lineRule="exact"/>
        <w:widowControl/>
        <w:rPr>
          <w:rFonts w:ascii="宋体" w:hAnsi="宋体" w:eastAsia="Arial" w:cs="Arial"/>
          <w:sz w:val="24"/>
          <w:szCs w:val="22"/>
        </w:rPr>
      </w:pPr>
      <w:r>
        <w:rPr>
          <w:rFonts w:ascii="宋体" w:hAnsi="宋体" w:eastAsia="Arial" w:cs="微软雅黑"/>
          <w:sz w:val="24"/>
          <w:szCs w:val="22"/>
          <w:lang w:bidi="ar"/>
        </w:rPr>
        <w:t xml:space="preserve">①对质量的控制及评定：针对项目实施质量提供施工质量评定目标、施工质量保证体系。②质量保证措施：提供施工管理、人力管理、组织管理等质量保证措施。③质量保证的承诺内容：针对项目实施提供质量保证承诺，包括所提供服务货物、服务期、售后服务等承诺。</w:t>
      </w:r>
      <w:r/>
    </w:p>
    <w:p>
      <w:pPr>
        <w:ind w:firstLine="482"/>
        <w:jc w:val="left"/>
        <w:spacing w:line="500" w:lineRule="exact"/>
        <w:widowControl/>
        <w:rPr>
          <w:rFonts w:ascii="宋体" w:hAnsi="宋体" w:eastAsia="Arial" w:cs="Arial"/>
          <w:b/>
          <w:sz w:val="24"/>
          <w:szCs w:val="22"/>
        </w:rPr>
      </w:pPr>
      <w:r>
        <w:rPr>
          <w:rFonts w:hint="eastAsia" w:ascii="宋体" w:hAnsi="宋体" w:eastAsia="Arial" w:cs="Arial"/>
          <w:b/>
          <w:sz w:val="24"/>
          <w:szCs w:val="22"/>
          <w:lang w:bidi="ar"/>
        </w:rPr>
        <w:t xml:space="preserve">4</w:t>
      </w:r>
      <w:r>
        <w:rPr>
          <w:rFonts w:ascii="宋体" w:hAnsi="宋体" w:eastAsia="Arial" w:cs="微软雅黑"/>
          <w:b/>
          <w:sz w:val="24"/>
          <w:szCs w:val="22"/>
          <w:lang w:bidi="ar"/>
        </w:rPr>
        <w:t xml:space="preserve">、售后服务方案</w:t>
      </w:r>
      <w:r/>
    </w:p>
    <w:p>
      <w:pPr>
        <w:ind w:firstLine="480"/>
        <w:jc w:val="left"/>
        <w:spacing w:line="500" w:lineRule="exact"/>
        <w:widowControl/>
        <w:rPr>
          <w:rFonts w:ascii="宋体" w:hAnsi="宋体" w:eastAsia="Arial" w:cs="Arial"/>
          <w:sz w:val="24"/>
          <w:szCs w:val="22"/>
        </w:rPr>
      </w:pPr>
      <w:r>
        <w:rPr>
          <w:rFonts w:ascii="宋体" w:hAnsi="宋体" w:eastAsia="Arial" w:cs="微软雅黑"/>
          <w:sz w:val="24"/>
          <w:szCs w:val="22"/>
          <w:lang w:bidi="ar"/>
        </w:rPr>
        <w:t xml:space="preserve">①快速响应机制：项目实施完成后进入售后服务阶段，为保证售后服务及时响应，提供投标人快速响应机制。②系统保障方案：为保证系统持续运行正常，提供系统保障方案包括熟悉现场、隐患排查、实施保障等方案。</w:t>
      </w:r>
      <w:r>
        <w:rPr>
          <w:rFonts w:hint="eastAsia" w:ascii="宋体" w:hAnsi="宋体" w:eastAsia="Arial" w:cs="Arial"/>
          <w:sz w:val="24"/>
          <w:szCs w:val="22"/>
          <w:lang w:bidi="ar"/>
        </w:rPr>
        <w:t xml:space="preserve"> </w:t>
      </w:r>
      <w:r>
        <w:rPr>
          <w:rFonts w:ascii="宋体" w:hAnsi="宋体" w:eastAsia="Arial" w:cs="微软雅黑"/>
          <w:sz w:val="24"/>
          <w:szCs w:val="22"/>
          <w:lang w:bidi="ar"/>
        </w:rPr>
        <w:t xml:space="preserve">③质保期内的服务方案：提供详细的技术服务、售后服务、售后服务机构等方案。④服务应急措施等内容：需明确服务应急措施，包括应急人员、网络应急保障、应急保障等。</w:t>
      </w:r>
      <w:r/>
    </w:p>
    <w:p>
      <w:pPr>
        <w:ind w:firstLine="492"/>
        <w:spacing w:line="500" w:lineRule="exact"/>
        <w:rPr>
          <w:rFonts w:hint="eastAsia" w:ascii="宋体" w:hAnsi="宋体"/>
          <w:b/>
          <w:sz w:val="24"/>
        </w:rPr>
      </w:pPr>
      <w:r>
        <w:rPr>
          <w:rFonts w:ascii="宋体" w:hAnsi="宋体"/>
          <w:b/>
          <w:sz w:val="24"/>
        </w:rPr>
        <w:t xml:space="preserve">（四）项目质量保证及措施：</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 w:val="0"/>
          <w:bCs/>
          <w:sz w:val="24"/>
          <w:szCs w:val="22"/>
          <w:lang w:val="en-US" w:eastAsia="zh-CN" w:bidi="ar"/>
        </w:rPr>
        <w:t xml:space="preserve">1</w:t>
      </w:r>
      <w:r>
        <w:rPr>
          <w:rFonts w:ascii="宋体" w:hAnsi="宋体" w:eastAsia="Arial" w:cs="微软雅黑"/>
          <w:b w:val="0"/>
          <w:bCs/>
          <w:sz w:val="24"/>
          <w:szCs w:val="22"/>
          <w:lang w:bidi="ar"/>
        </w:rPr>
        <w:t xml:space="preserve">、</w:t>
      </w:r>
      <w:r>
        <w:rPr>
          <w:rFonts w:hint="eastAsia" w:ascii="宋体" w:hAnsi="宋体" w:eastAsia="Arial" w:cs="微软雅黑"/>
          <w:sz w:val="24"/>
          <w:szCs w:val="22"/>
          <w:lang w:bidi="ar"/>
        </w:rPr>
        <w:t xml:space="preserve">安全施工措施及管理：中标单位须严格遵守施工现场安全规范，制定详细的安全施工方案，确保在施工过程中有效控制噪声、粉尘及其他施工干扰。所有施工人员须持证上岗，并在现场配备安全防护用品；施工区域须设置安全隔离和警示标志，防止无关人员进入施工区域；施工期间应保持现场整洁，及时清理废弃物，避免影响项目进度和安全。</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 w:val="0"/>
          <w:bCs/>
          <w:sz w:val="24"/>
          <w:szCs w:val="22"/>
          <w:lang w:val="en-US" w:eastAsia="zh-CN" w:bidi="ar"/>
        </w:rPr>
        <w:t xml:space="preserve">2</w:t>
      </w:r>
      <w:r>
        <w:rPr>
          <w:rFonts w:ascii="宋体" w:hAnsi="宋体" w:eastAsia="Arial" w:cs="微软雅黑"/>
          <w:b w:val="0"/>
          <w:bCs/>
          <w:sz w:val="24"/>
          <w:szCs w:val="22"/>
          <w:lang w:bidi="ar"/>
        </w:rPr>
        <w:t xml:space="preserve">、</w:t>
      </w:r>
      <w:r>
        <w:rPr>
          <w:rFonts w:hint="eastAsia" w:ascii="宋体" w:hAnsi="宋体" w:eastAsia="Arial" w:cs="微软雅黑"/>
          <w:b w:val="0"/>
          <w:bCs/>
          <w:sz w:val="24"/>
          <w:szCs w:val="22"/>
          <w:lang w:bidi="ar"/>
        </w:rPr>
        <w:t xml:space="preserve">质</w:t>
      </w:r>
      <w:r>
        <w:rPr>
          <w:rFonts w:hint="eastAsia" w:ascii="宋体" w:hAnsi="宋体" w:eastAsia="Arial" w:cs="微软雅黑"/>
          <w:sz w:val="24"/>
          <w:szCs w:val="22"/>
          <w:lang w:bidi="ar"/>
        </w:rPr>
        <w:t xml:space="preserve">量控制计划：中标单位须制定针对本项目的全过程质量控制计划，从设备采购、运输、进场、安装到调试验收各环节实施严格管控。进场设备须进行逐批验收，确保符合国家标准和招标技术要求。安装施工过程中设置质量检查点，发现问题立即整改并复检，确保每个环节的施工质量均符合规范。</w:t>
      </w:r>
      <w:r/>
    </w:p>
    <w:p>
      <w:pPr>
        <w:ind w:firstLine="482"/>
        <w:spacing w:line="500" w:lineRule="exact"/>
        <w:rPr>
          <w:b/>
        </w:rPr>
      </w:pPr>
      <w:r>
        <w:rPr>
          <w:rFonts w:hint="eastAsia" w:ascii="宋体" w:hAnsi="宋体"/>
          <w:b/>
          <w:sz w:val="24"/>
        </w:rPr>
        <w:t xml:space="preserve">（五）</w:t>
      </w:r>
      <w:bookmarkStart w:id="6" w:name="OLE_LINK1"/>
      <w:r>
        <w:rPr>
          <w:rFonts w:hint="eastAsia" w:ascii="宋体" w:hAnsi="宋体"/>
          <w:b/>
          <w:sz w:val="24"/>
        </w:rPr>
        <w:t xml:space="preserve">售后服务要求</w:t>
      </w:r>
      <w:bookmarkEnd w:id="6"/>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 w:val="0"/>
          <w:bCs/>
          <w:sz w:val="24"/>
          <w:szCs w:val="22"/>
          <w:lang w:val="en-US" w:eastAsia="zh-CN" w:bidi="ar"/>
        </w:rPr>
        <w:t xml:space="preserve">1</w:t>
      </w:r>
      <w:r>
        <w:rPr>
          <w:rFonts w:ascii="宋体" w:hAnsi="宋体" w:eastAsia="Arial" w:cs="微软雅黑"/>
          <w:b w:val="0"/>
          <w:bCs/>
          <w:sz w:val="24"/>
          <w:szCs w:val="22"/>
          <w:lang w:bidi="ar"/>
        </w:rPr>
        <w:t xml:space="preserve">、</w:t>
      </w:r>
      <w:r>
        <w:rPr>
          <w:rFonts w:hint="eastAsia" w:ascii="宋体" w:hAnsi="宋体" w:eastAsia="Arial" w:cs="微软雅黑"/>
          <w:sz w:val="24"/>
          <w:szCs w:val="22"/>
          <w:lang w:bidi="ar"/>
        </w:rPr>
        <w:t xml:space="preserve">快速响应机制：本项目质保贰年。</w:t>
      </w:r>
      <w:r>
        <w:rPr>
          <w:rFonts w:hint="eastAsia" w:ascii="宋体" w:hAnsi="宋体" w:eastAsia="Arial" w:cs="微软雅黑"/>
          <w:sz w:val="24"/>
          <w:szCs w:val="22"/>
          <w:lang w:val="zh-TW" w:eastAsia="zh-TW" w:bidi="ar"/>
        </w:rPr>
        <w:t xml:space="preserve">在质量保证期内，</w:t>
      </w:r>
      <w:r>
        <w:rPr>
          <w:rFonts w:hint="eastAsia" w:ascii="宋体" w:hAnsi="宋体" w:eastAsia="Arial" w:cs="微软雅黑"/>
          <w:sz w:val="24"/>
          <w:szCs w:val="22"/>
          <w:lang w:bidi="ar"/>
        </w:rPr>
        <w:t xml:space="preserve">投标</w:t>
      </w:r>
      <w:r>
        <w:rPr>
          <w:rFonts w:hint="eastAsia" w:ascii="宋体" w:hAnsi="宋体" w:eastAsia="Arial" w:cs="微软雅黑"/>
          <w:sz w:val="24"/>
          <w:szCs w:val="22"/>
          <w:lang w:val="zh-TW" w:eastAsia="zh-TW" w:bidi="ar"/>
        </w:rPr>
        <w:t xml:space="preserve">单位应无偿提供系统</w:t>
      </w:r>
      <w:r>
        <w:rPr>
          <w:rFonts w:hint="eastAsia" w:ascii="宋体" w:hAnsi="宋体" w:eastAsia="Arial" w:cs="微软雅黑"/>
          <w:sz w:val="24"/>
          <w:szCs w:val="22"/>
          <w:lang w:bidi="ar"/>
        </w:rPr>
        <w:t xml:space="preserve">质保服务</w:t>
      </w:r>
      <w:r>
        <w:rPr>
          <w:rFonts w:hint="eastAsia" w:ascii="宋体" w:hAnsi="宋体" w:eastAsia="Arial" w:cs="微软雅黑"/>
          <w:sz w:val="24"/>
          <w:szCs w:val="22"/>
          <w:lang w:val="zh-TW" w:eastAsia="zh-TW" w:bidi="ar"/>
        </w:rPr>
        <w:t xml:space="preserve">。在</w:t>
      </w:r>
      <w:r>
        <w:rPr>
          <w:rFonts w:hint="eastAsia" w:ascii="宋体" w:hAnsi="宋体" w:eastAsia="Arial" w:cs="微软雅黑"/>
          <w:sz w:val="24"/>
          <w:szCs w:val="22"/>
          <w:lang w:bidi="ar"/>
        </w:rPr>
        <w:t xml:space="preserve">质保</w:t>
      </w:r>
      <w:r>
        <w:rPr>
          <w:rFonts w:hint="eastAsia" w:ascii="宋体" w:hAnsi="宋体" w:eastAsia="Arial" w:cs="微软雅黑"/>
          <w:sz w:val="24"/>
          <w:szCs w:val="22"/>
          <w:lang w:val="zh-TW" w:eastAsia="zh-TW" w:bidi="ar"/>
        </w:rPr>
        <w:t xml:space="preserve">期内要求</w:t>
      </w:r>
      <w:r>
        <w:rPr>
          <w:rFonts w:hint="eastAsia" w:ascii="宋体" w:hAnsi="宋体" w:eastAsia="Arial" w:cs="微软雅黑"/>
          <w:sz w:val="24"/>
          <w:szCs w:val="22"/>
          <w:lang w:bidi="ar"/>
        </w:rPr>
        <w:t xml:space="preserve">投标</w:t>
      </w:r>
      <w:r>
        <w:rPr>
          <w:rFonts w:hint="eastAsia" w:ascii="宋体" w:hAnsi="宋体" w:eastAsia="Arial" w:cs="微软雅黑"/>
          <w:sz w:val="24"/>
          <w:szCs w:val="22"/>
          <w:lang w:val="zh-TW" w:eastAsia="zh-TW" w:bidi="ar"/>
        </w:rPr>
        <w:t xml:space="preserve">单位提供7×24 小时不间断的技术支持响应，在采购方提出服务要求后，</w:t>
      </w:r>
      <w:r>
        <w:rPr>
          <w:rFonts w:hint="eastAsia" w:ascii="宋体" w:hAnsi="宋体" w:eastAsia="Arial" w:cs="微软雅黑"/>
          <w:sz w:val="24"/>
          <w:szCs w:val="22"/>
          <w:lang w:bidi="ar"/>
        </w:rPr>
        <w:t xml:space="preserve">投标</w:t>
      </w:r>
      <w:r>
        <w:rPr>
          <w:rFonts w:hint="eastAsia" w:ascii="宋体" w:hAnsi="宋体" w:eastAsia="Arial" w:cs="微软雅黑"/>
          <w:sz w:val="24"/>
          <w:szCs w:val="22"/>
          <w:lang w:val="zh-TW" w:eastAsia="zh-TW" w:bidi="ar"/>
        </w:rPr>
        <w:t xml:space="preserve">方应</w:t>
      </w:r>
      <w:r>
        <w:rPr>
          <w:rFonts w:hint="eastAsia" w:ascii="宋体" w:hAnsi="宋体" w:eastAsia="Arial" w:cs="微软雅黑"/>
          <w:sz w:val="24"/>
          <w:szCs w:val="22"/>
          <w:lang w:bidi="ar"/>
        </w:rPr>
        <w:t xml:space="preserve">提供30分钟以内响应，2小时到达现场，8小时以内完成招标人提出的免费维修要求；</w:t>
      </w:r>
      <w:r>
        <w:rPr>
          <w:rFonts w:hint="eastAsia" w:ascii="宋体" w:hAnsi="宋体" w:eastAsia="Arial" w:cs="微软雅黑"/>
          <w:sz w:val="24"/>
          <w:szCs w:val="22"/>
          <w:lang w:val="zh-TW" w:eastAsia="zh-TW" w:bidi="ar"/>
        </w:rPr>
        <w:t xml:space="preserve">若</w:t>
      </w:r>
      <w:r>
        <w:rPr>
          <w:rFonts w:hint="eastAsia" w:ascii="宋体" w:hAnsi="宋体" w:eastAsia="Arial" w:cs="微软雅黑"/>
          <w:sz w:val="24"/>
          <w:szCs w:val="22"/>
          <w:lang w:bidi="ar"/>
        </w:rPr>
        <w:t xml:space="preserve">8</w:t>
      </w:r>
      <w:r>
        <w:rPr>
          <w:rFonts w:hint="eastAsia" w:ascii="宋体" w:hAnsi="宋体" w:eastAsia="Arial" w:cs="微软雅黑"/>
          <w:sz w:val="24"/>
          <w:szCs w:val="22"/>
          <w:lang w:val="zh-TW" w:eastAsia="zh-TW" w:bidi="ar"/>
        </w:rPr>
        <w:t xml:space="preserve">小时不能解决的，提供临时应急方案。</w:t>
      </w:r>
      <w:r>
        <w:rPr>
          <w:rFonts w:hint="eastAsia" w:ascii="宋体" w:hAnsi="宋体" w:eastAsia="Arial" w:cs="微软雅黑"/>
          <w:sz w:val="24"/>
          <w:szCs w:val="22"/>
          <w:lang w:bidi="ar"/>
        </w:rPr>
        <w:t xml:space="preserve">修理、更换或退货，费用由投标人负责。质保期间设备的一切质量问题，更换部件及设备本身质量原因造成的直接经济损失应全部由投标单位负责。</w:t>
      </w:r>
      <w:r/>
    </w:p>
    <w:p>
      <w:pPr>
        <w:ind w:firstLine="480"/>
        <w:jc w:val="left"/>
        <w:spacing w:line="500" w:lineRule="exact"/>
        <w:widowControl/>
        <w:rPr>
          <w:rFonts w:ascii="宋体" w:hAnsi="宋体" w:eastAsia="Arial" w:cs="微软雅黑"/>
          <w:sz w:val="24"/>
          <w:szCs w:val="22"/>
          <w:lang w:bidi="ar"/>
        </w:rPr>
      </w:pPr>
      <w:r/>
      <w:bookmarkStart w:id="7" w:name="OLE_LINK3"/>
      <w:r>
        <w:rPr>
          <w:rFonts w:hint="eastAsia" w:ascii="宋体" w:hAnsi="宋体" w:eastAsia="宋体" w:cs="Arial"/>
          <w:b w:val="0"/>
          <w:bCs/>
          <w:sz w:val="24"/>
          <w:szCs w:val="22"/>
          <w:lang w:val="en-US" w:eastAsia="zh-CN" w:bidi="ar"/>
        </w:rPr>
        <w:t xml:space="preserve">2</w:t>
      </w:r>
      <w:r>
        <w:rPr>
          <w:rFonts w:ascii="宋体" w:hAnsi="宋体" w:eastAsia="Arial" w:cs="微软雅黑"/>
          <w:b w:val="0"/>
          <w:bCs/>
          <w:sz w:val="24"/>
          <w:szCs w:val="22"/>
          <w:lang w:bidi="ar"/>
        </w:rPr>
        <w:t xml:space="preserve">、</w:t>
      </w:r>
      <w:bookmarkEnd w:id="7"/>
      <w:r>
        <w:rPr>
          <w:rFonts w:hint="eastAsia" w:ascii="宋体" w:hAnsi="宋体" w:eastAsia="Arial" w:cs="微软雅黑"/>
          <w:sz w:val="24"/>
          <w:szCs w:val="22"/>
          <w:lang w:bidi="ar"/>
        </w:rPr>
        <w:t xml:space="preserve">系统保障方案：在质保期内，中标单位须定期对系统进行巡检和维护，包含设备运行状态检测、软件更新、性能优化、系统日志分析等，并向采购人提供巡检报告和优化建议；对发现的潜在隐患须提前进行预防性处理，避免影响系统正常使用。</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 w:val="0"/>
          <w:bCs/>
          <w:sz w:val="24"/>
          <w:szCs w:val="22"/>
          <w:lang w:val="en-US" w:eastAsia="zh-CN" w:bidi="ar"/>
        </w:rPr>
        <w:t xml:space="preserve">3</w:t>
      </w:r>
      <w:r>
        <w:rPr>
          <w:rFonts w:ascii="宋体" w:hAnsi="宋体" w:eastAsia="Arial" w:cs="微软雅黑"/>
          <w:b w:val="0"/>
          <w:bCs/>
          <w:sz w:val="24"/>
          <w:szCs w:val="22"/>
          <w:lang w:bidi="ar"/>
        </w:rPr>
        <w:t xml:space="preserve">、</w:t>
      </w:r>
      <w:r>
        <w:rPr>
          <w:rFonts w:hint="eastAsia" w:ascii="宋体" w:hAnsi="宋体" w:eastAsia="Arial" w:cs="微软雅黑"/>
          <w:sz w:val="24"/>
          <w:szCs w:val="22"/>
          <w:lang w:bidi="ar"/>
        </w:rPr>
        <w:t xml:space="preserve">质保期内服务方案：中标单位须为本项目提供不少于2年的质保服务，质保范围包括所有硬件设备及配套软件系统，质保期内免费提供维修、更换配件（非人为损坏或不可抗力因素导致的损坏除外），并确保维修用配件与原设备性能一致或优于原配置。</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 w:val="0"/>
          <w:bCs/>
          <w:sz w:val="24"/>
          <w:szCs w:val="22"/>
          <w:lang w:val="en-US" w:eastAsia="zh-CN" w:bidi="ar"/>
        </w:rPr>
        <w:t xml:space="preserve">4</w:t>
      </w:r>
      <w:r>
        <w:rPr>
          <w:rFonts w:ascii="宋体" w:hAnsi="宋体" w:eastAsia="Arial" w:cs="微软雅黑"/>
          <w:b w:val="0"/>
          <w:bCs/>
          <w:sz w:val="24"/>
          <w:szCs w:val="22"/>
          <w:lang w:bidi="ar"/>
        </w:rPr>
        <w:t xml:space="preserve">、</w:t>
      </w:r>
      <w:r>
        <w:rPr>
          <w:rFonts w:hint="eastAsia" w:ascii="宋体" w:hAnsi="宋体" w:eastAsia="Arial" w:cs="微软雅黑"/>
          <w:sz w:val="24"/>
          <w:szCs w:val="22"/>
          <w:lang w:bidi="ar"/>
        </w:rPr>
        <w:t xml:space="preserve">服务应急措施：在重大应急事件或其他特殊时期，中标单位须优先派遣技术人员到场，提供现场技术支持。</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 w:val="0"/>
          <w:bCs/>
          <w:sz w:val="24"/>
          <w:szCs w:val="22"/>
          <w:lang w:val="en-US" w:eastAsia="zh-CN" w:bidi="ar"/>
        </w:rPr>
        <w:t xml:space="preserve">5</w:t>
      </w:r>
      <w:r>
        <w:rPr>
          <w:rFonts w:ascii="宋体" w:hAnsi="宋体" w:eastAsia="Arial" w:cs="微软雅黑"/>
          <w:b w:val="0"/>
          <w:bCs/>
          <w:sz w:val="24"/>
          <w:szCs w:val="22"/>
          <w:lang w:bidi="ar"/>
        </w:rPr>
        <w:t xml:space="preserve">、</w:t>
      </w:r>
      <w:r>
        <w:rPr>
          <w:rFonts w:hint="eastAsia" w:ascii="宋体" w:hAnsi="宋体" w:eastAsia="Arial" w:cs="微软雅黑"/>
          <w:sz w:val="24"/>
          <w:szCs w:val="22"/>
          <w:lang w:bidi="ar"/>
        </w:rPr>
        <w:t xml:space="preserve">客户培训方案：中标单位须在项目验收前为采购人提供系统培训，培训内容包括系统操作、日常维护、常见故障排查及应急处理方法。培训方式应结合现场实操、培训手册及视频资料，确保采购人相关人员能独立完成日常管理和操作。</w:t>
      </w:r>
      <w:r/>
    </w:p>
    <w:p>
      <w:pPr>
        <w:ind w:firstLine="480"/>
        <w:jc w:val="left"/>
        <w:spacing w:line="500" w:lineRule="exact"/>
        <w:widowControl/>
        <w:rPr>
          <w:rFonts w:ascii="宋体" w:hAnsi="宋体" w:eastAsia="Arial" w:cs="微软雅黑"/>
          <w:sz w:val="24"/>
          <w:szCs w:val="22"/>
          <w:lang w:val="zh-TW" w:eastAsia="zh-TW" w:bidi="ar"/>
        </w:rPr>
      </w:pPr>
      <w:r>
        <w:rPr>
          <w:rFonts w:hint="eastAsia" w:ascii="宋体" w:hAnsi="宋体" w:eastAsia="宋体" w:cs="Arial"/>
          <w:b w:val="0"/>
          <w:bCs/>
          <w:sz w:val="24"/>
          <w:szCs w:val="22"/>
          <w:lang w:val="en-US" w:eastAsia="zh-CN" w:bidi="ar"/>
        </w:rPr>
        <w:t xml:space="preserve">6</w:t>
      </w:r>
      <w:r>
        <w:rPr>
          <w:rFonts w:ascii="宋体" w:hAnsi="宋体" w:eastAsia="Arial" w:cs="微软雅黑"/>
          <w:b w:val="0"/>
          <w:bCs/>
          <w:sz w:val="24"/>
          <w:szCs w:val="22"/>
          <w:lang w:bidi="ar"/>
        </w:rPr>
        <w:t xml:space="preserve">、</w:t>
      </w:r>
      <w:r>
        <w:rPr>
          <w:rFonts w:hint="eastAsia" w:ascii="宋体" w:hAnsi="宋体" w:eastAsia="Arial" w:cs="微软雅黑"/>
          <w:sz w:val="24"/>
          <w:szCs w:val="22"/>
          <w:lang w:bidi="ar"/>
        </w:rPr>
        <w:t xml:space="preserve">本项目质保贰年。</w:t>
      </w:r>
      <w:r>
        <w:rPr>
          <w:rFonts w:hint="eastAsia" w:ascii="宋体" w:hAnsi="宋体" w:eastAsia="Arial" w:cs="微软雅黑"/>
          <w:sz w:val="24"/>
          <w:szCs w:val="22"/>
          <w:lang w:val="zh-TW" w:eastAsia="zh-TW" w:bidi="ar"/>
        </w:rPr>
        <w:t xml:space="preserve">在质量保证期内，中标单位应无偿提供系统</w:t>
      </w:r>
      <w:r>
        <w:rPr>
          <w:rFonts w:hint="eastAsia" w:ascii="宋体" w:hAnsi="宋体" w:eastAsia="Arial" w:cs="微软雅黑"/>
          <w:sz w:val="24"/>
          <w:szCs w:val="22"/>
          <w:lang w:bidi="ar"/>
        </w:rPr>
        <w:t xml:space="preserve">质保服务</w:t>
      </w:r>
      <w:r>
        <w:rPr>
          <w:rFonts w:hint="eastAsia" w:ascii="宋体" w:hAnsi="宋体" w:eastAsia="Arial" w:cs="微软雅黑"/>
          <w:sz w:val="24"/>
          <w:szCs w:val="22"/>
          <w:lang w:val="zh-TW" w:eastAsia="zh-TW" w:bidi="ar"/>
        </w:rPr>
        <w:t xml:space="preserve">。在</w:t>
      </w:r>
      <w:r>
        <w:rPr>
          <w:rFonts w:hint="eastAsia" w:ascii="宋体" w:hAnsi="宋体" w:eastAsia="Arial" w:cs="微软雅黑"/>
          <w:sz w:val="24"/>
          <w:szCs w:val="22"/>
          <w:lang w:bidi="ar"/>
        </w:rPr>
        <w:t xml:space="preserve">质保</w:t>
      </w:r>
      <w:r>
        <w:rPr>
          <w:rFonts w:hint="eastAsia" w:ascii="宋体" w:hAnsi="宋体" w:eastAsia="Arial" w:cs="微软雅黑"/>
          <w:sz w:val="24"/>
          <w:szCs w:val="22"/>
          <w:lang w:val="zh-TW" w:eastAsia="zh-TW" w:bidi="ar"/>
        </w:rPr>
        <w:t xml:space="preserve">期内要求中标单位提供7×24 小时不间断的技术支持响应，在采购方提出服务要求后，中标方应</w:t>
      </w:r>
      <w:r>
        <w:rPr>
          <w:rFonts w:hint="eastAsia" w:ascii="宋体" w:hAnsi="宋体" w:eastAsia="Arial" w:cs="微软雅黑"/>
          <w:sz w:val="24"/>
          <w:szCs w:val="22"/>
          <w:lang w:bidi="ar"/>
        </w:rPr>
        <w:t xml:space="preserve">提供30分钟以内响应，2小时到达现场，8小时以内完成招标人提出的免费维修要求；</w:t>
      </w:r>
      <w:r>
        <w:rPr>
          <w:rFonts w:hint="eastAsia" w:ascii="宋体" w:hAnsi="宋体" w:eastAsia="Arial" w:cs="微软雅黑"/>
          <w:sz w:val="24"/>
          <w:szCs w:val="22"/>
          <w:lang w:val="zh-TW" w:eastAsia="zh-TW" w:bidi="ar"/>
        </w:rPr>
        <w:t xml:space="preserve">若</w:t>
      </w:r>
      <w:r>
        <w:rPr>
          <w:rFonts w:hint="eastAsia" w:ascii="宋体" w:hAnsi="宋体" w:eastAsia="Arial" w:cs="微软雅黑"/>
          <w:sz w:val="24"/>
          <w:szCs w:val="22"/>
          <w:lang w:bidi="ar"/>
        </w:rPr>
        <w:t xml:space="preserve">8</w:t>
      </w:r>
      <w:r>
        <w:rPr>
          <w:rFonts w:hint="eastAsia" w:ascii="宋体" w:hAnsi="宋体" w:eastAsia="Arial" w:cs="微软雅黑"/>
          <w:sz w:val="24"/>
          <w:szCs w:val="22"/>
          <w:lang w:val="zh-TW" w:eastAsia="zh-TW" w:bidi="ar"/>
        </w:rPr>
        <w:t xml:space="preserve">小时不能解决的，提供临时应急方案。</w:t>
      </w:r>
      <w:r>
        <w:rPr>
          <w:rFonts w:hint="eastAsia" w:ascii="宋体" w:hAnsi="宋体" w:eastAsia="Arial" w:cs="微软雅黑"/>
          <w:sz w:val="24"/>
          <w:szCs w:val="22"/>
          <w:lang w:bidi="ar"/>
        </w:rPr>
        <w:t xml:space="preserve">修理、更换或退货，费用由中标人负责。质保期间设备的一切质量问题，更换部件及设备本身质量原因造成的直接经济损失应全部由投标单位负责</w:t>
      </w:r>
      <w:r/>
    </w:p>
    <w:p>
      <w:pPr>
        <w:ind w:firstLine="480"/>
        <w:jc w:val="left"/>
        <w:spacing w:line="500" w:lineRule="exact"/>
        <w:widowControl/>
        <w:rPr>
          <w:rFonts w:ascii="宋体" w:hAnsi="宋体" w:eastAsia="Arial" w:cs="微软雅黑"/>
          <w:sz w:val="24"/>
          <w:szCs w:val="22"/>
          <w:lang w:val="zh-TW" w:eastAsia="zh-TW" w:bidi="ar"/>
        </w:rPr>
      </w:pPr>
      <w:r>
        <w:rPr>
          <w:rFonts w:hint="eastAsia" w:ascii="宋体" w:hAnsi="宋体" w:eastAsia="宋体" w:cs="Arial"/>
          <w:b w:val="0"/>
          <w:bCs/>
          <w:sz w:val="24"/>
          <w:szCs w:val="22"/>
          <w:lang w:val="en-US" w:eastAsia="zh-CN" w:bidi="ar"/>
        </w:rPr>
        <w:t xml:space="preserve">7</w:t>
      </w:r>
      <w:r>
        <w:rPr>
          <w:rFonts w:ascii="宋体" w:hAnsi="宋体" w:eastAsia="Arial" w:cs="微软雅黑"/>
          <w:b w:val="0"/>
          <w:bCs/>
          <w:sz w:val="24"/>
          <w:szCs w:val="22"/>
          <w:lang w:bidi="ar"/>
        </w:rPr>
        <w:t xml:space="preserve">、</w:t>
      </w:r>
      <w:r>
        <w:rPr>
          <w:rFonts w:hint="eastAsia" w:ascii="宋体" w:hAnsi="宋体" w:eastAsia="Arial" w:cs="微软雅黑"/>
          <w:sz w:val="24"/>
          <w:szCs w:val="22"/>
          <w:lang w:val="zh-TW" w:eastAsia="zh-TW" w:bidi="ar"/>
        </w:rPr>
        <w:t xml:space="preserve">保期内每季度提供一次巡检服务。</w:t>
      </w:r>
      <w:r/>
    </w:p>
    <w:p>
      <w:pPr>
        <w:ind w:firstLine="480"/>
        <w:jc w:val="left"/>
        <w:spacing w:line="500" w:lineRule="exact"/>
        <w:widowControl/>
        <w:rPr>
          <w:rFonts w:ascii="宋体" w:hAnsi="宋体" w:eastAsia="Arial" w:cs="微软雅黑"/>
          <w:sz w:val="24"/>
          <w:szCs w:val="22"/>
          <w:lang w:bidi="ar"/>
        </w:rPr>
      </w:pPr>
      <w:r>
        <w:rPr>
          <w:rFonts w:hint="eastAsia" w:ascii="宋体" w:hAnsi="宋体" w:eastAsia="宋体" w:cs="Arial"/>
          <w:b w:val="0"/>
          <w:bCs/>
          <w:sz w:val="24"/>
          <w:szCs w:val="22"/>
          <w:lang w:val="en-US" w:eastAsia="zh-CN" w:bidi="ar"/>
        </w:rPr>
        <w:t xml:space="preserve">8</w:t>
      </w:r>
      <w:r>
        <w:rPr>
          <w:rFonts w:ascii="宋体" w:hAnsi="宋体" w:eastAsia="Arial" w:cs="微软雅黑"/>
          <w:b w:val="0"/>
          <w:bCs/>
          <w:sz w:val="24"/>
          <w:szCs w:val="22"/>
          <w:lang w:bidi="ar"/>
        </w:rPr>
        <w:t xml:space="preserve">、</w:t>
      </w:r>
      <w:r>
        <w:rPr>
          <w:rFonts w:hint="eastAsia" w:ascii="宋体" w:hAnsi="宋体" w:eastAsia="Arial" w:cs="微软雅黑"/>
          <w:sz w:val="24"/>
          <w:szCs w:val="22"/>
          <w:lang w:val="zh-TW" w:eastAsia="zh-TW" w:bidi="ar"/>
        </w:rPr>
        <w:t xml:space="preserve">中标单位应按其投标文件中的承诺，进行其他售后服务工作。</w:t>
      </w:r>
      <w:r/>
    </w:p>
    <w:p>
      <w:pPr>
        <w:ind w:firstLine="482"/>
        <w:spacing w:line="500" w:lineRule="exact"/>
        <w:rPr>
          <w:rFonts w:hint="eastAsia" w:ascii="宋体" w:hAnsi="宋体"/>
          <w:b/>
          <w:sz w:val="24"/>
        </w:rPr>
      </w:pPr>
      <w:r>
        <w:rPr>
          <w:rFonts w:hint="eastAsia" w:ascii="宋体" w:hAnsi="宋体"/>
          <w:b/>
          <w:sz w:val="24"/>
        </w:rPr>
        <w:t xml:space="preserve">(六）项目人员配备及岗位职责：</w:t>
      </w:r>
      <w:r/>
    </w:p>
    <w:p>
      <w:pPr>
        <w:pStyle w:val="881"/>
        <w:ind w:firstLine="480"/>
        <w:spacing w:line="500" w:lineRule="exact"/>
        <w:rPr>
          <w:rFonts w:hint="eastAsia" w:ascii="宋体" w:hAnsi="宋体" w:cs="宋体"/>
          <w:color w:val="000000"/>
          <w:sz w:val="24"/>
          <w:szCs w:val="32"/>
        </w:rPr>
      </w:pPr>
      <w:r>
        <w:rPr>
          <w:rFonts w:hint="eastAsia" w:ascii="宋体" w:hAnsi="宋体" w:cs="宋体"/>
          <w:bCs/>
          <w:color w:val="000000"/>
          <w:sz w:val="24"/>
          <w:szCs w:val="32"/>
        </w:rPr>
        <w:t xml:space="preserve">项目团队成员应配置合理且具备一定技术能力，</w:t>
      </w:r>
      <w:r>
        <w:rPr>
          <w:rFonts w:hint="eastAsia" w:ascii="宋体" w:hAnsi="宋体" w:cs="宋体"/>
          <w:color w:val="000000"/>
          <w:sz w:val="24"/>
          <w:szCs w:val="32"/>
        </w:rPr>
        <w:t xml:space="preserve">根据项目需求，熟悉了解项目内容并具备智能化集成项目管理实施等方面能力。 </w:t>
      </w:r>
      <w:r/>
    </w:p>
    <w:p>
      <w:pPr>
        <w:pStyle w:val="881"/>
        <w:ind w:firstLine="480"/>
        <w:spacing w:line="500" w:lineRule="exact"/>
        <w:rPr>
          <w:rFonts w:hint="eastAsia" w:ascii="宋体" w:hAnsi="宋体" w:cs="宋体"/>
          <w:color w:val="000000"/>
          <w:sz w:val="24"/>
          <w:szCs w:val="32"/>
        </w:rPr>
      </w:pPr>
      <w:r>
        <w:rPr>
          <w:rFonts w:hint="eastAsia" w:ascii="宋体" w:hAnsi="宋体" w:cs="宋体"/>
          <w:color w:val="000000"/>
          <w:sz w:val="24"/>
          <w:szCs w:val="32"/>
        </w:rPr>
        <w:t xml:space="preserve">1、人员岗位要求</w:t>
      </w:r>
      <w:r/>
    </w:p>
    <w:tbl>
      <w:tblPr>
        <w:tblStyle w:val="887"/>
        <w:tblW w:w="48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040"/>
        <w:gridCol w:w="1046"/>
        <w:gridCol w:w="6308"/>
      </w:tblGrid>
      <w:tr>
        <w:trPr>
          <w:jc w:val="center"/>
          <w:trHeight w:val="9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jc w:val="center"/>
              <w:keepLines w:val="0"/>
              <w:keepNext w:val="0"/>
              <w:spacing w:before="0" w:beforeAutospacing="0" w:after="200" w:afterAutospacing="0"/>
              <w:widowControl/>
              <w:tabs>
                <w:tab w:val="decimal" w:pos="0" w:leader="none"/>
              </w:tabs>
              <w:rPr>
                <w:rFonts w:hint="default" w:ascii="黑体" w:hAnsi="宋体" w:eastAsia="Arial" w:cs="宋体"/>
                <w:bCs/>
                <w:sz w:val="24"/>
                <w:szCs w:val="22"/>
              </w:rPr>
              <w:suppressLineNumbers w:val="0"/>
            </w:pPr>
            <w:r>
              <w:rPr>
                <w:rFonts w:hint="default" w:ascii="黑体" w:hAnsi="宋体" w:eastAsia="Arial" w:cs="宋体"/>
                <w:bCs/>
                <w:spacing w:val="6"/>
                <w:sz w:val="24"/>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left="0" w:right="0"/>
              <w:jc w:val="center"/>
              <w:keepLines w:val="0"/>
              <w:keepNext w:val="0"/>
              <w:spacing w:before="0" w:beforeAutospacing="0" w:after="200" w:afterAutospacing="0"/>
              <w:widowControl/>
              <w:tabs>
                <w:tab w:val="decimal" w:pos="0" w:leader="none"/>
              </w:tabs>
              <w:rPr>
                <w:rFonts w:hint="default" w:ascii="黑体" w:hAnsi="宋体" w:eastAsia="Arial" w:cs="宋体"/>
                <w:bCs/>
                <w:sz w:val="24"/>
                <w:szCs w:val="22"/>
              </w:rPr>
              <w:suppressLineNumbers w:val="0"/>
            </w:pPr>
            <w:r>
              <w:rPr>
                <w:rFonts w:hint="default" w:ascii="黑体" w:hAnsi="宋体" w:eastAsia="Arial" w:cs="宋体"/>
                <w:bCs/>
                <w:spacing w:val="4"/>
                <w:sz w:val="24"/>
                <w:szCs w:val="22"/>
                <w:lang w:bidi="ar"/>
              </w:rPr>
              <w:t xml:space="preserve">岗位</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ind w:left="0" w:right="0"/>
              <w:jc w:val="center"/>
              <w:keepLines w:val="0"/>
              <w:keepNext w:val="0"/>
              <w:spacing w:before="0" w:beforeAutospacing="0" w:after="200" w:afterAutospacing="0"/>
              <w:widowControl/>
              <w:tabs>
                <w:tab w:val="decimal" w:pos="0" w:leader="none"/>
              </w:tabs>
              <w:rPr>
                <w:rFonts w:hint="default" w:ascii="黑体" w:hAnsi="宋体" w:eastAsia="Arial" w:cs="宋体"/>
                <w:bCs/>
                <w:sz w:val="24"/>
                <w:szCs w:val="22"/>
              </w:rPr>
              <w:suppressLineNumbers w:val="0"/>
            </w:pPr>
            <w:r>
              <w:rPr>
                <w:rFonts w:hint="default" w:ascii="黑体" w:hAnsi="宋体" w:eastAsia="Arial" w:cs="宋体"/>
                <w:bCs/>
                <w:spacing w:val="2"/>
                <w:sz w:val="24"/>
                <w:szCs w:val="22"/>
                <w:lang w:bidi="ar"/>
              </w:rPr>
              <w:t xml:space="preserve">人数下限</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ind w:left="0" w:right="0"/>
              <w:jc w:val="center"/>
              <w:keepLines w:val="0"/>
              <w:keepNext w:val="0"/>
              <w:spacing w:before="0" w:beforeAutospacing="0" w:after="200" w:afterAutospacing="0"/>
              <w:widowControl/>
              <w:tabs>
                <w:tab w:val="decimal" w:pos="0" w:leader="none"/>
              </w:tabs>
              <w:rPr>
                <w:rFonts w:hint="default" w:ascii="黑体" w:hAnsi="宋体" w:eastAsia="Arial" w:cs="宋体"/>
                <w:bCs/>
                <w:sz w:val="24"/>
                <w:szCs w:val="22"/>
              </w:rPr>
              <w:suppressLineNumbers w:val="0"/>
            </w:pPr>
            <w:r>
              <w:rPr>
                <w:rFonts w:hint="default" w:ascii="黑体" w:hAnsi="宋体" w:eastAsia="Arial" w:cs="宋体"/>
                <w:bCs/>
                <w:spacing w:val="-2"/>
                <w:sz w:val="24"/>
                <w:szCs w:val="22"/>
                <w:lang w:bidi="ar"/>
              </w:rPr>
              <w:t xml:space="preserve">基本要求</w:t>
            </w:r>
            <w:r/>
          </w:p>
        </w:tc>
      </w:tr>
      <w:tr>
        <w:trPr>
          <w:jc w:val="center"/>
          <w:trHeight w:val="202"/>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jc w:val="center"/>
              <w:keepLines w:val="0"/>
              <w:keepNext w:val="0"/>
              <w:spacing w:before="0" w:beforeAutospacing="0" w:after="200" w:afterAutospacing="0"/>
              <w:widowControl/>
              <w:tabs>
                <w:tab w:val="decimal" w:pos="0" w:leader="none"/>
              </w:tabs>
              <w:rPr>
                <w:rFonts w:hint="default" w:ascii="黑体" w:hAnsi="宋体" w:eastAsia="Arial" w:cs="宋体"/>
                <w:bCs/>
                <w:sz w:val="24"/>
                <w:szCs w:val="22"/>
              </w:rPr>
              <w:suppressLineNumbers w:val="0"/>
            </w:pPr>
            <w:r>
              <w:rPr>
                <w:rFonts w:hint="eastAsia" w:ascii="黑体" w:hAnsi="宋体" w:eastAsia="Arial" w:cs="宋体"/>
                <w:bCs/>
                <w:sz w:val="24"/>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left="0" w:right="0"/>
              <w:jc w:val="center"/>
              <w:keepLines w:val="0"/>
              <w:keepNext w:val="0"/>
              <w:spacing w:before="0" w:beforeAutospacing="0" w:after="200" w:afterAutospacing="0"/>
              <w:widowControl/>
              <w:tabs>
                <w:tab w:val="decimal" w:pos="0" w:leader="none"/>
              </w:tabs>
              <w:rPr>
                <w:rFonts w:hint="default" w:ascii="黑体" w:hAnsi="宋体" w:eastAsia="Arial" w:cs="宋体"/>
                <w:bCs/>
                <w:sz w:val="24"/>
                <w:szCs w:val="22"/>
              </w:rPr>
              <w:suppressLineNumbers w:val="0"/>
            </w:pPr>
            <w:r>
              <w:rPr>
                <w:rFonts w:hint="default" w:ascii="黑体" w:hAnsi="宋体" w:eastAsia="Arial" w:cs="宋体"/>
                <w:bCs/>
                <w:sz w:val="24"/>
                <w:szCs w:val="22"/>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ind w:left="0" w:right="0"/>
              <w:jc w:val="center"/>
              <w:keepLines w:val="0"/>
              <w:keepNext w:val="0"/>
              <w:spacing w:before="0" w:beforeAutospacing="0" w:after="200" w:afterAutospacing="0"/>
              <w:widowControl/>
              <w:tabs>
                <w:tab w:val="decimal" w:pos="0" w:leader="none"/>
              </w:tabs>
              <w:rPr>
                <w:rFonts w:hint="default" w:ascii="黑体" w:hAnsi="宋体" w:eastAsia="Arial" w:cs="宋体"/>
                <w:bCs/>
                <w:sz w:val="24"/>
                <w:szCs w:val="22"/>
              </w:rPr>
              <w:suppressLineNumbers w:val="0"/>
            </w:pPr>
            <w:r>
              <w:rPr>
                <w:rFonts w:hint="eastAsia" w:ascii="黑体" w:hAnsi="宋体" w:eastAsia="Arial" w:cs="宋体"/>
                <w:bCs/>
                <w:sz w:val="24"/>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ind w:left="0" w:right="0"/>
              <w:jc w:val="left"/>
              <w:keepLines w:val="0"/>
              <w:keepNext w:val="0"/>
              <w:spacing w:before="0" w:beforeAutospacing="0" w:after="200" w:afterAutospacing="0"/>
              <w:widowControl/>
              <w:rPr>
                <w:rFonts w:hint="default" w:ascii="宋体" w:hAnsi="宋体" w:eastAsia="Arial" w:cs="宋体"/>
                <w:bCs/>
                <w:sz w:val="24"/>
                <w:szCs w:val="22"/>
              </w:rPr>
              <w:suppressLineNumbers w:val="0"/>
            </w:pPr>
            <w:r>
              <w:rPr>
                <w:rFonts w:hint="default" w:ascii="宋体" w:hAnsi="宋体" w:eastAsia="Arial" w:cs="宋体"/>
                <w:bCs/>
                <w:sz w:val="24"/>
                <w:szCs w:val="22"/>
                <w:lang w:bidi="ar"/>
              </w:rPr>
              <w:t xml:space="preserve">负责跟踪推进项目工作和问题的协调落实；要求具备项目管理、信息安全、电子信息、机电工程等方面的技术专业，具有相关机电、智能化系统工程项目管理经验，有丰富的技术管理工作实践经验，确保项目顺利进行和如期完成，保证施工质量。</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jc w:val="center"/>
              <w:keepLines w:val="0"/>
              <w:keepNext w:val="0"/>
              <w:spacing w:before="0" w:beforeAutospacing="0" w:after="200" w:afterAutospacing="0"/>
              <w:widowControl/>
              <w:tabs>
                <w:tab w:val="decimal" w:pos="0" w:leader="none"/>
              </w:tabs>
              <w:rPr>
                <w:rFonts w:hint="default" w:ascii="黑体" w:hAnsi="宋体" w:eastAsia="Arial" w:cs="宋体"/>
                <w:bCs/>
                <w:sz w:val="24"/>
                <w:szCs w:val="22"/>
              </w:rPr>
              <w:suppressLineNumbers w:val="0"/>
            </w:pPr>
            <w:r>
              <w:rPr>
                <w:rFonts w:hint="eastAsia" w:ascii="黑体" w:hAnsi="宋体" w:eastAsia="Arial" w:cs="宋体"/>
                <w:bCs/>
                <w:sz w:val="24"/>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left="0" w:right="0"/>
              <w:jc w:val="center"/>
              <w:keepLines w:val="0"/>
              <w:keepNext w:val="0"/>
              <w:spacing w:before="0" w:beforeAutospacing="0" w:after="200" w:afterAutospacing="0"/>
              <w:widowControl/>
              <w:tabs>
                <w:tab w:val="decimal" w:pos="0" w:leader="none"/>
              </w:tabs>
              <w:rPr>
                <w:rFonts w:hint="default" w:ascii="黑体" w:hAnsi="宋体" w:eastAsia="Arial" w:cs="宋体"/>
                <w:bCs/>
                <w:sz w:val="24"/>
                <w:szCs w:val="22"/>
              </w:rPr>
              <w:suppressLineNumbers w:val="0"/>
            </w:pPr>
            <w:r>
              <w:rPr>
                <w:rFonts w:hint="default" w:ascii="黑体" w:hAnsi="宋体" w:eastAsia="Arial" w:cs="宋体"/>
                <w:bCs/>
                <w:sz w:val="24"/>
                <w:szCs w:val="22"/>
                <w:lang w:bidi="ar"/>
              </w:rPr>
              <w:t xml:space="preserve">项目技术负责人</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ind w:left="0" w:right="0"/>
              <w:jc w:val="center"/>
              <w:keepLines w:val="0"/>
              <w:keepNext w:val="0"/>
              <w:spacing w:before="0" w:beforeAutospacing="0" w:after="200" w:afterAutospacing="0"/>
              <w:widowControl/>
              <w:tabs>
                <w:tab w:val="decimal" w:pos="0" w:leader="none"/>
              </w:tabs>
              <w:rPr>
                <w:rFonts w:hint="default" w:ascii="黑体" w:hAnsi="宋体" w:eastAsia="Arial" w:cs="宋体"/>
                <w:bCs/>
                <w:sz w:val="24"/>
                <w:szCs w:val="22"/>
              </w:rPr>
              <w:suppressLineNumbers w:val="0"/>
            </w:pPr>
            <w:r>
              <w:rPr>
                <w:rFonts w:hint="eastAsia" w:ascii="黑体" w:hAnsi="宋体" w:eastAsia="Arial" w:cs="宋体"/>
                <w:bCs/>
                <w:sz w:val="24"/>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ind w:left="0" w:right="0"/>
              <w:jc w:val="left"/>
              <w:keepLines w:val="0"/>
              <w:keepNext w:val="0"/>
              <w:spacing w:before="0" w:beforeAutospacing="0" w:after="200" w:afterAutospacing="0"/>
              <w:widowControl/>
              <w:rPr>
                <w:rFonts w:hint="default" w:ascii="宋体" w:hAnsi="宋体" w:eastAsia="Arial" w:cs="宋体"/>
                <w:bCs/>
                <w:sz w:val="24"/>
                <w:szCs w:val="22"/>
              </w:rPr>
              <w:suppressLineNumbers w:val="0"/>
            </w:pPr>
            <w:r>
              <w:rPr>
                <w:rFonts w:hint="default" w:ascii="宋体" w:hAnsi="宋体" w:eastAsia="Arial" w:cs="宋体"/>
                <w:bCs/>
                <w:sz w:val="24"/>
                <w:szCs w:val="22"/>
                <w:lang w:bidi="ar"/>
              </w:rPr>
              <w:t xml:space="preserve">具有与本项目服务内容相关的专业基础理论知识和专业技术知识，精通信息集成系统和网络、信息安全系统方面的专业知识，掌握项目现状和现代管理的发展趋势，同时具有解决项目实施过程或综合管理中本专业领域重要技术问题的能力，具有广泛的实践经验及解决各类项目问题的能力。</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jc w:val="center"/>
              <w:keepLines w:val="0"/>
              <w:keepNext w:val="0"/>
              <w:spacing w:before="0" w:beforeAutospacing="0" w:after="200" w:afterAutospacing="0"/>
              <w:widowControl/>
              <w:tabs>
                <w:tab w:val="decimal" w:pos="0" w:leader="none"/>
              </w:tabs>
              <w:rPr>
                <w:rFonts w:hint="default" w:ascii="黑体" w:hAnsi="宋体" w:eastAsia="Arial" w:cs="宋体"/>
                <w:bCs/>
                <w:sz w:val="24"/>
                <w:szCs w:val="22"/>
              </w:rPr>
              <w:suppressLineNumbers w:val="0"/>
            </w:pPr>
            <w:r>
              <w:rPr>
                <w:rFonts w:hint="eastAsia" w:ascii="黑体" w:hAnsi="宋体" w:eastAsia="Arial" w:cs="宋体"/>
                <w:bCs/>
                <w:sz w:val="24"/>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left="0" w:right="0"/>
              <w:jc w:val="center"/>
              <w:keepLines w:val="0"/>
              <w:keepNext w:val="0"/>
              <w:spacing w:before="0" w:beforeAutospacing="0" w:after="200" w:afterAutospacing="0"/>
              <w:widowControl/>
              <w:tabs>
                <w:tab w:val="decimal" w:pos="0" w:leader="none"/>
              </w:tabs>
              <w:rPr>
                <w:rFonts w:hint="default" w:ascii="黑体" w:hAnsi="宋体" w:eastAsia="Arial" w:cs="宋体"/>
                <w:bCs/>
                <w:sz w:val="24"/>
                <w:szCs w:val="22"/>
              </w:rPr>
              <w:suppressLineNumbers w:val="0"/>
            </w:pPr>
            <w:r>
              <w:rPr>
                <w:rFonts w:hint="default" w:ascii="黑体" w:hAnsi="宋体" w:eastAsia="Arial" w:cs="宋体"/>
                <w:bCs/>
                <w:sz w:val="24"/>
                <w:szCs w:val="22"/>
                <w:lang w:bidi="ar"/>
              </w:rPr>
              <w:t xml:space="preserve">项目团队人员</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ind w:left="0" w:right="0"/>
              <w:jc w:val="center"/>
              <w:keepLines w:val="0"/>
              <w:keepNext w:val="0"/>
              <w:spacing w:before="0" w:beforeAutospacing="0" w:after="200" w:afterAutospacing="0"/>
              <w:widowControl/>
              <w:tabs>
                <w:tab w:val="decimal" w:pos="0" w:leader="none"/>
              </w:tabs>
              <w:rPr>
                <w:rFonts w:hint="default" w:ascii="黑体" w:hAnsi="宋体" w:eastAsia="Arial" w:cs="宋体"/>
                <w:bCs/>
                <w:sz w:val="24"/>
                <w:szCs w:val="22"/>
              </w:rPr>
              <w:suppressLineNumbers w:val="0"/>
            </w:pPr>
            <w:r>
              <w:rPr>
                <w:rFonts w:hint="eastAsia" w:ascii="黑体" w:hAnsi="宋体" w:eastAsia="Arial" w:cs="宋体"/>
                <w:bCs/>
                <w:sz w:val="24"/>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6075" w:type="dxa"/>
            <w:vAlign w:val="center"/>
            <w:textDirection w:val="lrTb"/>
            <w:noWrap w:val="false"/>
          </w:tcPr>
          <w:p>
            <w:pPr>
              <w:ind w:left="0" w:right="0"/>
              <w:jc w:val="left"/>
              <w:keepLines w:val="0"/>
              <w:keepNext w:val="0"/>
              <w:spacing w:before="0" w:beforeAutospacing="0" w:after="200" w:afterAutospacing="0"/>
              <w:widowControl/>
              <w:rPr>
                <w:rFonts w:hint="default" w:ascii="宋体" w:hAnsi="宋体" w:eastAsia="Arial" w:cs="宋体"/>
                <w:bCs/>
                <w:sz w:val="24"/>
                <w:szCs w:val="22"/>
                <w:lang w:bidi="ar"/>
              </w:rPr>
              <w:suppressLineNumbers w:val="0"/>
            </w:pPr>
            <w:r>
              <w:rPr>
                <w:rFonts w:hint="default" w:ascii="宋体" w:hAnsi="宋体" w:eastAsia="Arial" w:cs="宋体"/>
                <w:bCs/>
                <w:sz w:val="24"/>
                <w:szCs w:val="22"/>
                <w:lang w:bidi="ar"/>
              </w:rPr>
              <w:t xml:space="preserve">项目团队人员应具备智能化、</w:t>
            </w:r>
            <w:r>
              <w:rPr>
                <w:rFonts w:hint="eastAsia" w:ascii="宋体" w:hAnsi="宋体" w:eastAsia="Arial" w:cs="宋体"/>
                <w:bCs/>
                <w:sz w:val="24"/>
                <w:szCs w:val="22"/>
                <w:lang w:bidi="ar"/>
              </w:rPr>
              <w:t xml:space="preserve">系统架构</w:t>
            </w:r>
            <w:r>
              <w:rPr>
                <w:rFonts w:hint="default" w:ascii="宋体" w:hAnsi="宋体" w:eastAsia="Arial" w:cs="宋体"/>
                <w:bCs/>
                <w:sz w:val="24"/>
                <w:szCs w:val="22"/>
                <w:lang w:bidi="ar"/>
              </w:rPr>
              <w:t xml:space="preserve">、通信、互联网</w:t>
            </w:r>
            <w:r>
              <w:rPr>
                <w:rFonts w:hint="eastAsia" w:ascii="宋体" w:hAnsi="宋体" w:eastAsia="Arial" w:cs="宋体"/>
                <w:bCs/>
                <w:sz w:val="24"/>
                <w:szCs w:val="22"/>
                <w:lang w:bidi="ar"/>
              </w:rPr>
              <w:t xml:space="preserve">、信息安全</w:t>
            </w:r>
            <w:r>
              <w:rPr>
                <w:rFonts w:hint="default" w:ascii="宋体" w:hAnsi="宋体" w:eastAsia="Arial" w:cs="宋体"/>
                <w:bCs/>
                <w:sz w:val="24"/>
                <w:szCs w:val="22"/>
                <w:lang w:bidi="ar"/>
              </w:rPr>
              <w:t xml:space="preserve">等集成项目的综合能力和专业知识。满足智能化集成项目中涉及的系统管理、施工管理、用户服务的需求。确保项目团队具有配套的实施资质与相关操作技能，具备符合项目的安全施工要求及运维服务要求。</w:t>
            </w:r>
            <w:r/>
          </w:p>
        </w:tc>
      </w:tr>
    </w:tbl>
    <w:p>
      <w:pPr>
        <w:ind w:firstLine="492"/>
        <w:spacing w:line="500" w:lineRule="exact"/>
        <w:rPr>
          <w:rFonts w:hint="eastAsia" w:ascii="宋体" w:hAnsi="宋体"/>
          <w:b/>
          <w:sz w:val="24"/>
        </w:rPr>
      </w:pPr>
      <w:r>
        <w:rPr>
          <w:rFonts w:hint="eastAsia" w:ascii="宋体" w:hAnsi="宋体"/>
          <w:b/>
          <w:sz w:val="24"/>
        </w:rPr>
        <w:t xml:space="preserve">（七）应急保障</w:t>
      </w:r>
      <w:r/>
    </w:p>
    <w:p>
      <w:pPr>
        <w:ind w:firstLine="492"/>
        <w:spacing w:line="500" w:lineRule="exact"/>
        <w:rPr>
          <w:rFonts w:hint="eastAsia" w:ascii="宋体" w:hAnsi="宋体"/>
          <w:b/>
          <w:sz w:val="24"/>
        </w:rPr>
      </w:pPr>
      <w:r>
        <w:rPr>
          <w:rFonts w:hint="eastAsia" w:ascii="宋体" w:hAnsi="宋体" w:cs="宋体"/>
          <w:color w:val="000000"/>
          <w:sz w:val="24"/>
          <w:szCs w:val="32"/>
        </w:rPr>
        <w:t xml:space="preserve">应急保障方案：中标单位须制定质量应急预案，当施工中出现重大质量问题或设备故障时，应在1小时内到达现场，立即采取临时处置措施，并在4小时内制定并执行完整的整改方案。针对不可预见的质量风险（如自然灾害、供应链中断等），应提前制定备用方案和应急资源调配计划，确保项目质量不受影响。</w:t>
      </w:r>
      <w:r/>
    </w:p>
    <w:p>
      <w:pPr>
        <w:ind w:firstLine="492"/>
        <w:spacing w:line="500" w:lineRule="exact"/>
        <w:rPr>
          <w:rFonts w:hint="eastAsia" w:ascii="宋体" w:hAnsi="宋体"/>
          <w:b/>
          <w:sz w:val="24"/>
        </w:rPr>
      </w:pPr>
      <w:r>
        <w:rPr>
          <w:rFonts w:ascii="宋体" w:hAnsi="宋体"/>
          <w:b/>
          <w:sz w:val="24"/>
        </w:rPr>
        <w:t xml:space="preserve">（</w:t>
      </w:r>
      <w:r>
        <w:rPr>
          <w:rFonts w:hint="eastAsia" w:ascii="宋体" w:hAnsi="宋体"/>
          <w:b/>
          <w:sz w:val="24"/>
        </w:rPr>
        <w:t xml:space="preserve">八</w:t>
      </w:r>
      <w:r>
        <w:rPr>
          <w:rFonts w:ascii="宋体" w:hAnsi="宋体"/>
          <w:b/>
          <w:sz w:val="24"/>
        </w:rPr>
        <w:t xml:space="preserve">）验收标准</w:t>
      </w:r>
      <w:r>
        <w:rPr>
          <w:rFonts w:hint="eastAsia" w:ascii="宋体" w:hAnsi="宋体"/>
          <w:b/>
          <w:sz w:val="24"/>
        </w:rPr>
        <w:t xml:space="preserve">及要求：</w:t>
      </w:r>
      <w:r/>
    </w:p>
    <w:p>
      <w:pPr>
        <w:ind w:firstLine="492"/>
        <w:spacing w:line="500" w:lineRule="exact"/>
        <w:rPr>
          <w:rFonts w:hint="eastAsia" w:ascii="宋体" w:hAnsi="宋体"/>
          <w:bCs/>
          <w:sz w:val="24"/>
          <w:lang w:val="zh-CN"/>
        </w:rPr>
      </w:pPr>
      <w:r>
        <w:rPr>
          <w:rFonts w:hint="eastAsia" w:ascii="宋体" w:hAnsi="宋体"/>
          <w:bCs/>
          <w:sz w:val="24"/>
          <w:lang w:val="zh-CN"/>
        </w:rPr>
        <w:t xml:space="preserve">1、验收时间：交货并完成安装调试后</w:t>
      </w:r>
      <w:r>
        <w:rPr>
          <w:rFonts w:hint="eastAsia" w:ascii="宋体" w:hAnsi="宋体"/>
          <w:bCs/>
          <w:sz w:val="24"/>
        </w:rPr>
        <w:t xml:space="preserve">3</w:t>
      </w:r>
      <w:r>
        <w:rPr>
          <w:rFonts w:hint="eastAsia" w:ascii="宋体" w:hAnsi="宋体"/>
          <w:bCs/>
          <w:sz w:val="24"/>
          <w:lang w:val="zh-CN"/>
        </w:rPr>
        <w:t xml:space="preserve">0个工作日内。</w:t>
      </w:r>
      <w:r/>
    </w:p>
    <w:p>
      <w:pPr>
        <w:ind w:firstLine="492"/>
        <w:spacing w:line="500" w:lineRule="exact"/>
        <w:rPr>
          <w:rFonts w:hint="eastAsia" w:ascii="宋体" w:hAnsi="宋体"/>
          <w:bCs/>
          <w:sz w:val="24"/>
          <w:lang w:val="zh-TW" w:eastAsia="zh-TW"/>
        </w:rPr>
      </w:pPr>
      <w:r>
        <w:rPr>
          <w:rFonts w:hint="eastAsia" w:ascii="宋体" w:hAnsi="宋体"/>
          <w:bCs/>
          <w:sz w:val="24"/>
          <w:lang w:val="zh-CN"/>
        </w:rPr>
        <w:t xml:space="preserve">2、验收内容：项目全部完成后，采购人组织验收人员或邀请第三方专业机构对项目进行验收，根据采购文件内容对所提供货物数量、质量及项目实施要求进行验收。每个设备必须出具生产厂商的出厂产品检验合格证。如果验收不符合招标文件要求，采购人有权要求成</w:t>
      </w:r>
      <w:r>
        <w:rPr>
          <w:rFonts w:hint="eastAsia" w:ascii="宋体" w:hAnsi="宋体"/>
          <w:bCs/>
          <w:sz w:val="24"/>
          <w:lang w:val="zh-TW" w:eastAsia="zh-TW"/>
        </w:rPr>
        <w:t xml:space="preserve">交单位无条件退货，由此造成的一切损失由中标单位自行承担。</w:t>
      </w:r>
      <w:r/>
    </w:p>
    <w:p>
      <w:pPr>
        <w:ind w:firstLine="492"/>
        <w:spacing w:line="500" w:lineRule="exact"/>
        <w:rPr>
          <w:rFonts w:hint="eastAsia" w:ascii="宋体" w:hAnsi="宋体"/>
          <w:bCs/>
          <w:sz w:val="24"/>
          <w:lang w:val="zh-TW" w:eastAsia="zh-TW"/>
        </w:rPr>
      </w:pPr>
      <w:r>
        <w:rPr>
          <w:rFonts w:hint="eastAsia" w:ascii="宋体" w:hAnsi="宋体"/>
          <w:bCs/>
          <w:sz w:val="24"/>
          <w:lang w:val="zh-TW" w:eastAsia="zh-TW"/>
        </w:rPr>
        <w:t xml:space="preserve">3、验收标准：验收标准符合国家最新的技术规范和标准，同时满足招标文件产品规格、具体配置、技术要求及乙方承诺的其他指标。</w:t>
      </w:r>
      <w:r/>
    </w:p>
    <w:p>
      <w:pPr>
        <w:ind w:firstLine="492"/>
        <w:spacing w:line="500" w:lineRule="exact"/>
        <w:rPr>
          <w:rFonts w:hint="eastAsia" w:ascii="宋体" w:hAnsi="宋体"/>
          <w:bCs/>
          <w:strike w:val="0"/>
          <w:sz w:val="24"/>
        </w:rPr>
      </w:pPr>
      <w:r>
        <w:rPr>
          <w:rFonts w:hint="eastAsia" w:ascii="宋体" w:hAnsi="宋体"/>
          <w:bCs/>
          <w:sz w:val="24"/>
          <w:lang w:val="en-US" w:eastAsia="zh-CN"/>
        </w:rPr>
        <w:t xml:space="preserve">4</w:t>
      </w:r>
      <w:r>
        <w:rPr>
          <w:rFonts w:hint="eastAsia" w:ascii="宋体" w:hAnsi="宋体"/>
          <w:bCs/>
          <w:sz w:val="24"/>
          <w:lang w:val="zh-CN"/>
        </w:rPr>
        <w:t xml:space="preserve">、中标后至合同履行结束期间，采购人有权要求中标人提供本次采购所涉及的货物关于技术</w:t>
      </w:r>
      <w:r>
        <w:rPr>
          <w:rFonts w:hint="eastAsia" w:ascii="宋体" w:hAnsi="宋体"/>
          <w:bCs/>
          <w:sz w:val="24"/>
          <w:lang w:val="zh-TW" w:eastAsia="zh-TW"/>
        </w:rPr>
        <w:t xml:space="preserve">参数的证明材料（包括但不限于厂家白皮书、具有CMA认证的检测（检验）资质机构出具的检测报告）。中标人无法提供证明材料或证明材料中技术参数不满足招标文件要求和投标承诺的，采购人有权拒收该产品，并要求中标人提供满足招标文件要求和投标承诺的产品；若中标人仍不能提供，则采购人有权无责解除合同，并且保留追求中标人违约责任的权利。</w:t>
      </w:r>
      <w:r/>
    </w:p>
    <w:p>
      <w:pPr>
        <w:ind w:firstLine="492"/>
        <w:spacing w:line="500" w:lineRule="exact"/>
        <w:rPr>
          <w:rFonts w:hint="eastAsia" w:ascii="宋体" w:hAnsi="宋体"/>
          <w:bCs/>
          <w:sz w:val="24"/>
        </w:rPr>
      </w:pPr>
      <w:r>
        <w:rPr>
          <w:rFonts w:hint="eastAsia" w:ascii="宋体" w:hAnsi="宋体"/>
          <w:bCs/>
          <w:sz w:val="24"/>
          <w:lang w:val="en-US" w:eastAsia="zh-CN"/>
        </w:rPr>
        <w:t xml:space="preserve">5</w:t>
      </w:r>
      <w:r>
        <w:rPr>
          <w:rFonts w:hint="eastAsia" w:ascii="宋体" w:hAnsi="宋体"/>
          <w:bCs/>
          <w:sz w:val="24"/>
        </w:rPr>
        <w:t xml:space="preserve">、</w:t>
      </w:r>
      <w:bookmarkStart w:id="8" w:name="_Hlk186633884"/>
      <w:r>
        <w:rPr>
          <w:rFonts w:hint="eastAsia" w:ascii="宋体" w:hAnsi="宋体"/>
          <w:bCs/>
          <w:sz w:val="24"/>
        </w:rPr>
        <w:t xml:space="preserve">具体履约验收按照附件1：货物类项目履约验收方案验收</w:t>
      </w:r>
      <w:bookmarkEnd w:id="8"/>
      <w:r/>
      <w:r/>
    </w:p>
    <w:p>
      <w:pPr>
        <w:ind w:firstLine="482"/>
        <w:spacing w:line="500" w:lineRule="exact"/>
        <w:rPr>
          <w:rFonts w:hint="eastAsia" w:ascii="宋体" w:hAnsi="宋体"/>
          <w:b/>
          <w:sz w:val="24"/>
        </w:rPr>
      </w:pPr>
      <w:r>
        <w:rPr>
          <w:rFonts w:hint="eastAsia" w:ascii="宋体" w:hAnsi="宋体"/>
          <w:b/>
          <w:sz w:val="24"/>
        </w:rPr>
        <w:t xml:space="preserve">（九）包装方式及运输：</w:t>
      </w:r>
      <w:r/>
    </w:p>
    <w:p>
      <w:pPr>
        <w:ind w:firstLine="480"/>
        <w:spacing w:line="500" w:lineRule="exact"/>
        <w:rPr>
          <w:rFonts w:hint="eastAsia" w:ascii="宋体" w:hAnsi="宋体"/>
          <w:b/>
          <w:sz w:val="24"/>
        </w:rPr>
      </w:pPr>
      <w:r>
        <w:rPr>
          <w:rFonts w:hint="eastAsia" w:ascii="宋体" w:hAnsi="宋体" w:cs="宋体"/>
          <w:color w:val="000000"/>
          <w:sz w:val="24"/>
        </w:rPr>
        <w:t xml:space="preserve">投标人应严格执行绿色采购需求标准，需求标准包括：国家出台的《商品包装政府采购需求标准（试行）》《快递包装政府采购需求标准（试行）》（财办库〔2020〕123号）等。投标人应严格按照包装环保要求，根据投标货物实际情况进行绿色包装</w:t>
      </w:r>
      <w:r>
        <w:rPr>
          <w:rFonts w:ascii="宋体" w:hAnsi="宋体" w:cs="宋体"/>
          <w:color w:val="000000"/>
          <w:sz w:val="24"/>
        </w:rPr>
        <w:t xml:space="preserve">及运输</w:t>
      </w:r>
      <w:r>
        <w:rPr>
          <w:rFonts w:hint="eastAsia" w:ascii="宋体" w:hAnsi="宋体" w:cs="宋体"/>
          <w:color w:val="000000"/>
          <w:sz w:val="24"/>
        </w:rPr>
        <w:t xml:space="preserve">。</w:t>
      </w:r>
      <w:r/>
    </w:p>
    <w:p>
      <w:pPr>
        <w:ind w:firstLine="482"/>
        <w:spacing w:line="500" w:lineRule="exact"/>
        <w:rPr>
          <w:rFonts w:hint="eastAsia" w:ascii="宋体" w:hAnsi="宋体"/>
          <w:b/>
          <w:sz w:val="24"/>
        </w:rPr>
      </w:pPr>
      <w:r>
        <w:rPr>
          <w:rFonts w:hint="eastAsia" w:ascii="宋体" w:hAnsi="宋体"/>
          <w:b/>
          <w:sz w:val="24"/>
        </w:rPr>
        <w:t xml:space="preserve">（十）付款方式：</w:t>
      </w:r>
      <w:r/>
    </w:p>
    <w:p>
      <w:pPr>
        <w:ind w:firstLine="480"/>
        <w:spacing w:line="500" w:lineRule="exact"/>
        <w:rPr>
          <w:rFonts w:hint="eastAsia" w:ascii="宋体" w:hAnsi="宋体" w:cs="宋体"/>
          <w:sz w:val="24"/>
        </w:rPr>
      </w:pPr>
      <w:r>
        <w:rPr>
          <w:rFonts w:hint="eastAsia" w:ascii="宋体" w:hAnsi="宋体" w:cs="宋体"/>
          <w:sz w:val="24"/>
        </w:rPr>
        <w:t xml:space="preserve">本项目预付款为合同金额30%，项目结束且验收合格后支付合同金额80%，审计完成支付至审定价的90%，两年质保期满后付清尾款。</w:t>
      </w:r>
      <w:r/>
    </w:p>
    <w:p>
      <w:pPr>
        <w:spacing w:line="500" w:lineRule="exact"/>
        <w:rPr>
          <w:rFonts w:hint="eastAsia" w:ascii="宋体" w:hAnsi="宋体"/>
          <w:b/>
          <w:sz w:val="24"/>
        </w:rPr>
      </w:pPr>
      <w:r>
        <w:rPr>
          <w:rFonts w:hint="eastAsia" w:ascii="宋体" w:hAnsi="宋体"/>
          <w:b/>
          <w:sz w:val="24"/>
          <w:lang w:val="en-US" w:eastAsia="zh-CN"/>
        </w:rPr>
        <w:t xml:space="preserve">五</w:t>
      </w:r>
      <w:r>
        <w:rPr>
          <w:rFonts w:ascii="宋体" w:hAnsi="宋体"/>
          <w:b/>
          <w:sz w:val="24"/>
        </w:rPr>
        <w:t xml:space="preserve">、报价要求：</w:t>
      </w:r>
      <w:r/>
    </w:p>
    <w:p>
      <w:pPr>
        <w:ind w:firstLine="480"/>
        <w:spacing w:line="500" w:lineRule="exac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1、投标总价以人民币报价</w:t>
      </w:r>
      <w:r>
        <w:rPr>
          <w:rFonts w:hint="eastAsia" w:ascii="宋体" w:hAnsi="宋体"/>
          <w:sz w:val="24"/>
          <w:lang w:eastAsia="zh-CN"/>
        </w:rPr>
        <w:t xml:space="preserve">，</w:t>
      </w:r>
      <w:r>
        <w:rPr>
          <w:rFonts w:hint="eastAsia" w:ascii="宋体" w:hAnsi="宋体"/>
          <w:sz w:val="24"/>
        </w:rPr>
        <w:t xml:space="preserve">投标总报价一次报定</w:t>
      </w:r>
      <w:r>
        <w:rPr>
          <w:rFonts w:hint="eastAsia" w:ascii="宋体" w:hAnsi="宋体"/>
          <w:sz w:val="24"/>
          <w:lang w:eastAsia="zh-CN"/>
        </w:rPr>
        <w:t xml:space="preserve">。</w:t>
      </w:r>
      <w:r>
        <w:rPr>
          <w:rFonts w:hint="eastAsia" w:ascii="宋体" w:hAnsi="宋体"/>
          <w:sz w:val="24"/>
        </w:rPr>
        <w:t xml:space="preserve">投标总报价包括全部货物和服务、备品备件和专用工具费用、税费及包装、运至最终目的地的运输、装卸、保险、培训、售后服务与维保及相关劳务支出等所发生的全部费用以及企业管理费、利润、税金和政策性文件规定及合同包含的所有风险、责任等各项应有费用。</w:t>
      </w:r>
      <w:r/>
    </w:p>
    <w:p>
      <w:pPr>
        <w:ind w:firstLine="480"/>
        <w:spacing w:line="500" w:lineRule="exac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2、投标人应负责投保安装工程一切险、第三者责任险及投标人施工人员保险，费用包含在投标总价中。</w:t>
      </w:r>
      <w:r/>
    </w:p>
    <w:p>
      <w:pPr>
        <w:ind w:firstLine="480"/>
        <w:spacing w:line="50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本项目为总价包干，包括投标人完成本项目直至验收合格的所有事项，投标人应根据现场实际情况在投标文件中列出本项目拟提供的布线、安装材料、附件、配管等的各类费用，一旦中标总价不予调整，请投标人根据自身经验，充分考虑本项目的潜在风险，并自行承担由此而产生的一切费用，采购人不因项目不可预见的情况而支付任何费用。</w:t>
      </w:r>
      <w:r/>
    </w:p>
    <w:p>
      <w:pPr>
        <w:spacing w:line="500" w:lineRule="exact"/>
        <w:rPr>
          <w:rFonts w:hint="eastAsia" w:ascii="宋体" w:hAnsi="宋体"/>
          <w:b/>
          <w:sz w:val="24"/>
          <w:lang w:val="zh-TW" w:eastAsia="zh-TW"/>
        </w:rPr>
      </w:pPr>
      <w:r>
        <w:rPr>
          <w:rFonts w:hint="eastAsia" w:ascii="宋体" w:hAnsi="宋体"/>
          <w:b/>
          <w:sz w:val="24"/>
          <w:lang w:val="en-US" w:eastAsia="zh-CN"/>
        </w:rPr>
        <w:t xml:space="preserve">六</w:t>
      </w:r>
      <w:r>
        <w:rPr>
          <w:rFonts w:hint="eastAsia" w:ascii="宋体" w:hAnsi="宋体"/>
          <w:b/>
          <w:sz w:val="24"/>
        </w:rPr>
        <w:t xml:space="preserve">、凡涉及招标文件的补充说明和修改，均以苏州政府采购网、江苏省政府采购网发布的内容为准。</w:t>
      </w:r>
      <w:r/>
    </w:p>
    <w:p>
      <w:pPr>
        <w:pStyle w:val="880"/>
        <w:spacing w:line="460" w:lineRule="exact"/>
        <w:rPr>
          <w:rFonts w:hint="eastAsia" w:hAnsi="宋体" w:eastAsia="宋体" w:cs="宋体"/>
          <w:sz w:val="24"/>
          <w:szCs w:val="24"/>
        </w:rPr>
      </w:pPr>
      <w:r>
        <w:rPr>
          <w:rFonts w:hint="eastAsia" w:hAnsi="宋体" w:eastAsia="宋体" w:cs="宋体"/>
          <w:sz w:val="24"/>
          <w:szCs w:val="24"/>
        </w:rPr>
      </w:r>
      <w:r/>
    </w:p>
    <w:p>
      <w:pPr>
        <w:pStyle w:val="880"/>
        <w:spacing w:line="460" w:lineRule="exact"/>
        <w:rPr>
          <w:rFonts w:hint="eastAsia" w:hAnsi="宋体" w:eastAsia="宋体" w:cs="宋体"/>
          <w:sz w:val="24"/>
          <w:szCs w:val="24"/>
        </w:rPr>
      </w:pPr>
      <w:r>
        <w:rPr>
          <w:rFonts w:hint="eastAsia" w:hAnsi="宋体" w:eastAsia="宋体" w:cs="宋体"/>
          <w:sz w:val="24"/>
          <w:szCs w:val="24"/>
        </w:rPr>
      </w:r>
      <w:r/>
    </w:p>
    <w:p>
      <w:pPr>
        <w:pStyle w:val="880"/>
        <w:spacing w:line="460" w:lineRule="exact"/>
        <w:rPr>
          <w:rFonts w:hint="eastAsia" w:hAnsi="宋体" w:eastAsia="宋体" w:cs="宋体"/>
          <w:sz w:val="24"/>
          <w:szCs w:val="24"/>
        </w:rPr>
      </w:pPr>
      <w:r>
        <w:rPr>
          <w:rFonts w:hint="eastAsia" w:hAnsi="宋体" w:eastAsia="宋体" w:cs="宋体"/>
          <w:sz w:val="24"/>
          <w:szCs w:val="24"/>
        </w:rPr>
      </w:r>
      <w:r/>
    </w:p>
    <w:p>
      <w:pPr>
        <w:pStyle w:val="880"/>
        <w:spacing w:line="460" w:lineRule="exact"/>
        <w:rPr>
          <w:rFonts w:hint="eastAsia" w:hAnsi="宋体" w:eastAsia="宋体" w:cs="宋体"/>
          <w:sz w:val="24"/>
          <w:szCs w:val="24"/>
        </w:rPr>
      </w:pPr>
      <w:r>
        <w:rPr>
          <w:rFonts w:hint="eastAsia" w:hAnsi="宋体" w:eastAsia="宋体" w:cs="宋体"/>
          <w:sz w:val="24"/>
          <w:szCs w:val="24"/>
        </w:rPr>
      </w:r>
      <w:r/>
    </w:p>
    <w:p>
      <w:pPr>
        <w:pStyle w:val="880"/>
        <w:spacing w:line="460" w:lineRule="exact"/>
        <w:rPr>
          <w:rFonts w:hint="eastAsia" w:hAnsi="宋体" w:eastAsia="宋体" w:cs="宋体"/>
          <w:b/>
          <w:bCs/>
          <w:sz w:val="24"/>
          <w:szCs w:val="24"/>
        </w:rPr>
      </w:pPr>
      <w:r>
        <w:rPr>
          <w:rFonts w:hint="eastAsia" w:hAnsi="宋体" w:eastAsia="宋体" w:cs="宋体"/>
          <w:b/>
          <w:bCs/>
          <w:sz w:val="24"/>
          <w:szCs w:val="24"/>
        </w:rPr>
      </w:r>
      <w:r/>
    </w:p>
    <w:p>
      <w:pPr>
        <w:pStyle w:val="882"/>
        <w:ind w:firstLine="0"/>
        <w:rPr>
          <w:rFonts w:hint="eastAsia" w:ascii="宋体" w:hAnsi="宋体" w:cs="宋体"/>
        </w:rPr>
      </w:pPr>
      <w:r>
        <w:rPr>
          <w:rFonts w:hint="eastAsia" w:ascii="宋体" w:hAnsi="宋体" w:cs="宋体"/>
        </w:rPr>
      </w:r>
      <w:r/>
    </w:p>
    <w:p>
      <w:pPr>
        <w:spacing w:line="500" w:lineRule="exact"/>
        <w:rPr>
          <w:rFonts w:hint="eastAsia" w:ascii="宋体" w:hAnsi="宋体" w:cs="宋体"/>
          <w:b/>
          <w:bCs/>
          <w:sz w:val="24"/>
        </w:rPr>
      </w:pPr>
      <w:r>
        <w:rPr>
          <w:rFonts w:hint="eastAsia" w:ascii="宋体" w:hAnsi="宋体" w:cs="宋体"/>
          <w:b/>
          <w:bCs/>
          <w:sz w:val="24"/>
        </w:rPr>
        <w:t xml:space="preserve">附件1：货物类项目履约验收方案</w:t>
      </w:r>
      <w:r/>
    </w:p>
    <w:p>
      <w:pPr>
        <w:pStyle w:val="880"/>
        <w:spacing w:line="480" w:lineRule="exact"/>
        <w:rPr>
          <w:rFonts w:hint="eastAsia" w:hAnsi="宋体" w:eastAsia="宋体" w:cs="宋体"/>
          <w:b/>
          <w:bCs/>
          <w:sz w:val="24"/>
          <w:szCs w:val="24"/>
        </w:rPr>
      </w:pPr>
      <w:r>
        <w:rPr>
          <w:rFonts w:hint="eastAsia" w:hAnsi="宋体" w:eastAsia="宋体" w:cs="宋体"/>
          <w:b/>
          <w:bCs/>
          <w:sz w:val="24"/>
          <w:szCs w:val="24"/>
        </w:rPr>
        <w:t xml:space="preserve">一、项目概况</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项目编号：</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项目名称：</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供应商名称：</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合同金额：</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验收主体：</w:t>
      </w:r>
      <w:r/>
    </w:p>
    <w:p>
      <w:pPr>
        <w:pStyle w:val="880"/>
        <w:spacing w:line="480" w:lineRule="exact"/>
        <w:rPr>
          <w:rFonts w:hint="eastAsia" w:hAnsi="宋体" w:eastAsia="宋体" w:cs="宋体"/>
          <w:b/>
          <w:bCs/>
          <w:sz w:val="24"/>
          <w:szCs w:val="24"/>
        </w:rPr>
      </w:pPr>
      <w:r>
        <w:rPr>
          <w:rFonts w:hint="eastAsia" w:hAnsi="宋体" w:eastAsia="宋体" w:cs="宋体"/>
          <w:b/>
          <w:bCs/>
          <w:sz w:val="24"/>
          <w:szCs w:val="24"/>
        </w:rPr>
        <w:t xml:space="preserve">二、验收目的</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880"/>
        <w:spacing w:line="480" w:lineRule="exact"/>
        <w:rPr>
          <w:rFonts w:hint="eastAsia" w:hAnsi="宋体" w:eastAsia="宋体" w:cs="宋体"/>
          <w:b/>
          <w:bCs/>
          <w:sz w:val="24"/>
          <w:szCs w:val="24"/>
        </w:rPr>
      </w:pPr>
      <w:r>
        <w:rPr>
          <w:rFonts w:hint="eastAsia" w:hAnsi="宋体" w:eastAsia="宋体" w:cs="宋体"/>
          <w:b/>
          <w:bCs/>
          <w:sz w:val="24"/>
          <w:szCs w:val="24"/>
        </w:rPr>
        <w:t xml:space="preserve">三、验收依据</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80"/>
        <w:spacing w:line="480" w:lineRule="exact"/>
        <w:rPr>
          <w:rFonts w:hint="eastAsia" w:hAnsi="宋体" w:eastAsia="宋体" w:cs="宋体"/>
          <w:b/>
          <w:bCs/>
          <w:sz w:val="24"/>
          <w:szCs w:val="24"/>
        </w:rPr>
      </w:pPr>
      <w:r>
        <w:rPr>
          <w:rFonts w:hint="eastAsia" w:hAnsi="宋体" w:eastAsia="宋体" w:cs="宋体"/>
          <w:b/>
          <w:bCs/>
          <w:sz w:val="24"/>
          <w:szCs w:val="24"/>
        </w:rPr>
        <w:t xml:space="preserve">四、验收责任主</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80"/>
        <w:spacing w:line="480" w:lineRule="exact"/>
        <w:rPr>
          <w:rFonts w:hint="eastAsia" w:hAnsi="宋体" w:eastAsia="宋体" w:cs="宋体"/>
          <w:b/>
          <w:bCs/>
          <w:sz w:val="24"/>
          <w:szCs w:val="24"/>
        </w:rPr>
      </w:pPr>
      <w:r>
        <w:rPr>
          <w:rFonts w:hint="eastAsia" w:hAnsi="宋体" w:eastAsia="宋体" w:cs="宋体"/>
          <w:b/>
          <w:bCs/>
          <w:sz w:val="24"/>
          <w:szCs w:val="24"/>
        </w:rPr>
        <w:t xml:space="preserve">五、验收方式及验收内容</w:t>
      </w:r>
      <w:r/>
    </w:p>
    <w:p>
      <w:pPr>
        <w:pStyle w:val="880"/>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5.1日常考核</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pStyle w:val="880"/>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5.2检测(检验)验收</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5.2.1 采购文件中设置检测报告相关要求的，应由采购人聘请有资质的检测机构实施检验、出具检测报告，且检测机构、检测标准、检测内容等应与采购文件中的要求一致或相关，相关费用由供应商承担。</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5.2.4对检验结果存在异议时，启用备样检验，相关费用由异议提出方承担。</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5.2.5实施检验检测所造成的产品损坏、损耗，其替换补充或维修费用由供应商承担。</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pStyle w:val="880"/>
        <w:spacing w:line="480" w:lineRule="exact"/>
        <w:rPr>
          <w:rFonts w:hint="eastAsia" w:hAnsi="宋体" w:eastAsia="宋体" w:cs="宋体"/>
          <w:b/>
          <w:bCs/>
          <w:sz w:val="24"/>
          <w:szCs w:val="24"/>
        </w:rPr>
      </w:pPr>
      <w:r>
        <w:rPr>
          <w:rFonts w:hint="eastAsia" w:hAnsi="宋体" w:eastAsia="宋体" w:cs="宋体"/>
          <w:b/>
          <w:bCs/>
          <w:sz w:val="24"/>
          <w:szCs w:val="24"/>
        </w:rPr>
        <w:t xml:space="preserve">5.3最终验收</w:t>
      </w:r>
      <w:r/>
    </w:p>
    <w:p>
      <w:pPr>
        <w:pStyle w:val="880"/>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5.3.1验收准备</w:t>
      </w:r>
      <w:r/>
    </w:p>
    <w:p>
      <w:pPr>
        <w:pStyle w:val="880"/>
        <w:ind w:firstLine="480"/>
        <w:spacing w:line="480" w:lineRule="exact"/>
        <w:rPr>
          <w:rFonts w:hint="eastAsia" w:hAnsi="宋体" w:eastAsia="宋体" w:cs="宋体"/>
          <w:b/>
          <w:bCs/>
          <w:sz w:val="24"/>
          <w:szCs w:val="24"/>
        </w:rPr>
      </w:pPr>
      <w:r>
        <w:rPr>
          <w:rFonts w:hint="eastAsia" w:hAnsi="宋体" w:eastAsia="宋体" w:cs="宋体"/>
          <w:sz w:val="24"/>
          <w:szCs w:val="24"/>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hAnsi="宋体" w:eastAsia="宋体" w:cs="宋体"/>
          <w:b/>
          <w:bCs/>
          <w:sz w:val="24"/>
          <w:szCs w:val="24"/>
        </w:rPr>
        <w:t xml:space="preserve">供应商在收到催告后五个工作日内拒不配合的，采购人应依照合同约定追究其责任。</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5.3.1.2供应商应当配合采购人、采购代理机构做好项目验收工作，及时提供与项目验收相关的生产、技术、服务、数量、质量、安全、合格证明及验收所必须具备的其他材料。</w:t>
      </w:r>
      <w:r/>
    </w:p>
    <w:p>
      <w:pPr>
        <w:pStyle w:val="880"/>
        <w:ind w:firstLine="480"/>
        <w:spacing w:line="480" w:lineRule="exact"/>
        <w:rPr>
          <w:rFonts w:hint="eastAsia" w:hAnsi="宋体" w:eastAsia="宋体" w:cs="宋体"/>
          <w:b/>
          <w:bCs/>
          <w:sz w:val="24"/>
          <w:szCs w:val="24"/>
        </w:rPr>
      </w:pPr>
      <w:r>
        <w:rPr>
          <w:rFonts w:hint="eastAsia" w:hAnsi="宋体" w:eastAsia="宋体" w:cs="宋体"/>
          <w:sz w:val="24"/>
          <w:szCs w:val="24"/>
        </w:rPr>
        <w:t xml:space="preserve">5.3.1.3采购人应及时全面准备验收，</w:t>
      </w:r>
      <w:r>
        <w:rPr>
          <w:rFonts w:hint="eastAsia" w:hAnsi="宋体" w:eastAsia="宋体" w:cs="宋体"/>
          <w:b/>
          <w:bCs/>
          <w:sz w:val="24"/>
          <w:szCs w:val="24"/>
        </w:rPr>
        <w:t xml:space="preserve">自收到验收申请之日起五个工作日内做好通水、通电、准备验收工具等必要的验收准备工作、启动项目验收、通知供应商。</w:t>
      </w:r>
      <w:r/>
    </w:p>
    <w:p>
      <w:pPr>
        <w:pStyle w:val="880"/>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5.3.2验收小组</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80"/>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5.3.3参与验收人员</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5.3.3.1技术复杂或专业性强的政府采购项目，可以邀请有资质的第三方专业机构参加验收并出具专业意见。</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5.3.3.2对于采购人和使用人分离的采购项目，采购人或其委托的采购代理机构应当邀请实际使用人参与验收</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5.3.3.1政府向社会公众提供的公共服务项目，验收时应当邀请服务对象进行公共服务项目满意度评价，评价结果作为履约验收的参考依据。</w:t>
      </w:r>
      <w:r/>
    </w:p>
    <w:p>
      <w:pPr>
        <w:pStyle w:val="880"/>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5.3.4验收内容</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5.3.4.2交付验收标准适用标准为：</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①按照现行国家标准执行，无国家标准的，按行业标准执行，无国家和行业标准的，按企业标准执行，并且应符合相关法律、法规规定的要求；</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②采购文件所列的各项要求、采购合同、供应商在投标（响应）文件中承诺的质量技术指标。</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pStyle w:val="880"/>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5.3.5验收记录</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5.3.5.1验收小组应当要求参与验收的供应商、专业机构、专家和服务对象等出具书面意见，作为验收书的重要组成部分。</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80"/>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六、验收结果</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880"/>
        <w:ind w:firstLine="482"/>
        <w:spacing w:line="480" w:lineRule="exact"/>
        <w:rPr>
          <w:rFonts w:hint="eastAsia" w:hAnsi="宋体" w:eastAsia="宋体" w:cs="宋体"/>
          <w:b/>
          <w:bCs/>
          <w:sz w:val="24"/>
          <w:szCs w:val="24"/>
        </w:rPr>
      </w:pPr>
      <w:r>
        <w:rPr>
          <w:rFonts w:hint="eastAsia" w:hAnsi="宋体" w:eastAsia="宋体" w:cs="宋体"/>
          <w:b/>
          <w:bCs/>
          <w:sz w:val="24"/>
          <w:szCs w:val="24"/>
        </w:rPr>
        <w:t xml:space="preserve">七、验收资料归档</w:t>
      </w:r>
      <w:r/>
    </w:p>
    <w:p>
      <w:pPr>
        <w:pStyle w:val="880"/>
        <w:ind w:firstLine="480"/>
        <w:spacing w:line="480" w:lineRule="exact"/>
        <w:rPr>
          <w:rFonts w:hint="eastAsia" w:hAnsi="宋体" w:eastAsia="宋体" w:cs="宋体"/>
          <w:sz w:val="24"/>
          <w:szCs w:val="24"/>
        </w:rPr>
      </w:pPr>
      <w:r>
        <w:rPr>
          <w:rFonts w:hint="eastAsia" w:hAnsi="宋体" w:eastAsia="宋体" w:cs="宋体"/>
          <w:sz w:val="24"/>
          <w:szCs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spacing w:val="9"/>
          <w:sz w:val="36"/>
          <w:szCs w:val="36"/>
        </w:rPr>
        <w:t xml:space="preserve">政府采购履约验收书(货物类）</w:t>
      </w:r>
      <w:r/>
    </w:p>
    <w:tbl>
      <w:tblPr>
        <w:tblStyle w:val="856"/>
        <w:tblpPr w:horzAnchor="page" w:tblpX="848" w:vertAnchor="text" w:tblpY="904" w:leftFromText="180" w:topFromText="0" w:rightFromText="180" w:bottomFromText="0"/>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1134"/>
        <w:gridCol w:w="992"/>
        <w:gridCol w:w="544"/>
        <w:gridCol w:w="590"/>
        <w:gridCol w:w="992"/>
        <w:gridCol w:w="1276"/>
      </w:tblGrid>
      <w:tr>
        <w:trPr>
          <w:trHeight w:val="514"/>
        </w:trPr>
        <w:tc>
          <w:tcPr>
            <w:tcW w:w="11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采购人</w:t>
            </w:r>
            <w:r/>
          </w:p>
        </w:tc>
        <w:tc>
          <w:tcPr>
            <w:gridSpan w:val="2"/>
            <w:tcW w:w="22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r>
            <w:r/>
          </w:p>
        </w:tc>
        <w:tc>
          <w:tcPr>
            <w:tcW w:w="99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项目名称</w:t>
            </w:r>
            <w:r/>
          </w:p>
        </w:tc>
        <w:tc>
          <w:tcPr>
            <w:gridSpan w:val="2"/>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r>
            <w:r/>
          </w:p>
        </w:tc>
        <w:tc>
          <w:tcPr>
            <w:gridSpan w:val="2"/>
            <w:tcW w:w="11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合同名称</w:t>
            </w:r>
            <w:r/>
          </w:p>
        </w:tc>
        <w:tc>
          <w:tcPr>
            <w:gridSpan w:val="2"/>
            <w:tcW w:w="226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r>
            <w:r/>
          </w:p>
        </w:tc>
      </w:tr>
      <w:tr>
        <w:trPr>
          <w:trHeight w:val="565"/>
        </w:trPr>
        <w:tc>
          <w:tcPr>
            <w:tcW w:w="1131"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供应商</w:t>
            </w:r>
            <w:r/>
          </w:p>
        </w:tc>
        <w:tc>
          <w:tcPr>
            <w:gridSpan w:val="2"/>
            <w:tcW w:w="2268"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s="宋体"/>
                <w:sz w:val="18"/>
                <w:szCs w:val="18"/>
                <w:lang w:bidi="ar"/>
              </w:rPr>
              <w:suppressLineNumbers w:val="0"/>
            </w:pPr>
            <w:r>
              <w:rPr>
                <w:rFonts w:hint="eastAsia" w:ascii="宋体" w:hAnsi="宋体" w:cs="宋体"/>
                <w:sz w:val="18"/>
                <w:szCs w:val="18"/>
                <w:lang w:bidi="ar"/>
              </w:rPr>
            </w:r>
            <w:r/>
          </w:p>
        </w:tc>
        <w:tc>
          <w:tcPr>
            <w:tcW w:w="993"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项目及合同编号</w:t>
            </w:r>
            <w:r/>
          </w:p>
        </w:tc>
        <w:tc>
          <w:tcPr>
            <w:gridSpan w:val="2"/>
            <w:tcW w:w="2126"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s="宋体"/>
                <w:sz w:val="18"/>
                <w:szCs w:val="18"/>
                <w:lang w:bidi="ar"/>
              </w:rPr>
              <w:suppressLineNumbers w:val="0"/>
            </w:pPr>
            <w:r>
              <w:rPr>
                <w:rFonts w:hint="eastAsia" w:ascii="宋体" w:hAnsi="宋体" w:cs="宋体"/>
                <w:sz w:val="18"/>
                <w:szCs w:val="18"/>
                <w:lang w:bidi="ar"/>
              </w:rPr>
            </w:r>
            <w:r/>
          </w:p>
        </w:tc>
        <w:tc>
          <w:tcPr>
            <w:gridSpan w:val="2"/>
            <w:tcW w:w="1134"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合同金额</w:t>
            </w:r>
            <w:r/>
          </w:p>
        </w:tc>
        <w:tc>
          <w:tcPr>
            <w:gridSpan w:val="2"/>
            <w:tcW w:w="2268"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s="宋体"/>
                <w:sz w:val="18"/>
                <w:szCs w:val="18"/>
                <w:lang w:bidi="ar"/>
              </w:rPr>
              <w:suppressLineNumbers w:val="0"/>
            </w:pPr>
            <w:r>
              <w:rPr>
                <w:rFonts w:hint="eastAsia" w:ascii="宋体" w:hAnsi="宋体" w:cs="宋体"/>
                <w:sz w:val="18"/>
                <w:szCs w:val="18"/>
                <w:lang w:bidi="ar"/>
              </w:rPr>
            </w:r>
            <w:r/>
          </w:p>
        </w:tc>
      </w:tr>
      <w:tr>
        <w:trPr>
          <w:trHeight w:val="565"/>
        </w:trPr>
        <w:tc>
          <w:tcPr>
            <w:tcW w:w="113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分期（段）验收</w:t>
            </w:r>
            <w:r/>
          </w:p>
        </w:tc>
        <w:tc>
          <w:tcPr>
            <w:gridSpan w:val="2"/>
            <w:tcW w:w="2268"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是□   否□</w:t>
            </w:r>
            <w:r/>
          </w:p>
        </w:tc>
        <w:tc>
          <w:tcPr>
            <w:tcW w:w="993"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分期（段）情况</w:t>
            </w:r>
            <w:r/>
          </w:p>
        </w:tc>
        <w:tc>
          <w:tcPr>
            <w:gridSpan w:val="6"/>
            <w:tcW w:w="5528"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共分   期（段），此为第   期（段）验收</w:t>
            </w:r>
            <w:r/>
          </w:p>
        </w:tc>
      </w:tr>
      <w:tr>
        <w:trPr>
          <w:trHeight w:val="596"/>
        </w:trPr>
        <w:tc>
          <w:tcPr>
            <w:tcW w:w="113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验收时间</w:t>
            </w:r>
            <w:r/>
          </w:p>
        </w:tc>
        <w:tc>
          <w:tcPr>
            <w:gridSpan w:val="2"/>
            <w:tcW w:w="2268"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s="宋体"/>
                <w:sz w:val="18"/>
                <w:szCs w:val="18"/>
                <w:lang w:bidi="ar"/>
              </w:rPr>
              <w:suppressLineNumbers w:val="0"/>
            </w:pPr>
            <w:r>
              <w:rPr>
                <w:rFonts w:hint="eastAsia" w:ascii="宋体" w:hAnsi="宋体" w:cs="宋体"/>
                <w:sz w:val="18"/>
                <w:szCs w:val="18"/>
                <w:lang w:bidi="ar"/>
              </w:rPr>
            </w:r>
            <w:r/>
          </w:p>
        </w:tc>
        <w:tc>
          <w:tcPr>
            <w:tcW w:w="993"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验收地点</w:t>
            </w:r>
            <w:r/>
          </w:p>
        </w:tc>
        <w:tc>
          <w:tcPr>
            <w:gridSpan w:val="2"/>
            <w:tcW w:w="212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s="宋体"/>
                <w:sz w:val="18"/>
                <w:szCs w:val="18"/>
                <w:lang w:bidi="ar"/>
              </w:rPr>
              <w:suppressLineNumbers w:val="0"/>
            </w:pPr>
            <w:r>
              <w:rPr>
                <w:rFonts w:hint="eastAsia" w:ascii="宋体" w:hAnsi="宋体" w:cs="宋体"/>
                <w:sz w:val="18"/>
                <w:szCs w:val="18"/>
                <w:lang w:bidi="ar"/>
              </w:rPr>
            </w:r>
            <w:r/>
          </w:p>
        </w:tc>
        <w:tc>
          <w:tcPr>
            <w:gridSpan w:val="2"/>
            <w:tcW w:w="113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验收组织形式</w:t>
            </w:r>
            <w:r/>
          </w:p>
        </w:tc>
        <w:tc>
          <w:tcPr>
            <w:gridSpan w:val="2"/>
            <w:tcW w:w="2268"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□自行简易验收</w:t>
            </w:r>
            <w:r/>
          </w:p>
          <w:p>
            <w:pPr>
              <w:ind w:left="0" w:right="0"/>
              <w:keepLines w:val="0"/>
              <w:keepNext w:val="0"/>
              <w:spacing w:before="0" w:beforeAutospacing="0" w:after="0" w:afterAutospacing="0" w:line="3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□验收小组验收</w:t>
            </w:r>
            <w:r/>
          </w:p>
          <w:p>
            <w:pPr>
              <w:ind w:left="0" w:right="0"/>
              <w:keepLines w:val="0"/>
              <w:keepNext w:val="0"/>
              <w:spacing w:before="0" w:beforeAutospacing="0" w:after="0" w:afterAutospacing="0" w:line="3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□采购代理机构验收</w:t>
            </w:r>
            <w:r/>
          </w:p>
        </w:tc>
      </w:tr>
      <w:tr>
        <w:trPr>
          <w:trHeight w:val="681"/>
        </w:trPr>
        <w:tc>
          <w:tcPr>
            <w:tcW w:w="1131" w:type="dxa"/>
            <w:vAlign w:val="center"/>
            <w:vMerge w:val="restart"/>
            <w:textDirection w:val="lrTb"/>
            <w:noWrap w:val="false"/>
          </w:tcPr>
          <w:p>
            <w:pPr>
              <w:ind w:left="0" w:right="0"/>
              <w:jc w:val="center"/>
              <w:keepLines w:val="0"/>
              <w:keepNext w:val="0"/>
              <w:spacing w:before="0" w:beforeAutospacing="0" w:after="0" w:afterAutospacing="0" w:line="5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验收内容</w:t>
            </w:r>
            <w:r/>
          </w:p>
        </w:tc>
        <w:tc>
          <w:tcPr>
            <w:tcW w:w="99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货物清单</w:t>
            </w:r>
            <w:r/>
          </w:p>
        </w:tc>
        <w:tc>
          <w:tcPr>
            <w:tcW w:w="12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品牌、型号、规格、数量及外观质量</w:t>
            </w:r>
            <w:r/>
          </w:p>
        </w:tc>
        <w:tc>
          <w:tcPr>
            <w:tcW w:w="99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技术、性能 指标</w:t>
            </w:r>
            <w:r/>
          </w:p>
        </w:tc>
        <w:tc>
          <w:tcPr>
            <w:tcW w:w="11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运行状况及 安装调试</w:t>
            </w:r>
            <w:r/>
          </w:p>
        </w:tc>
        <w:tc>
          <w:tcPr>
            <w:tcW w:w="9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质量证明文件</w:t>
            </w:r>
            <w:r/>
          </w:p>
        </w:tc>
        <w:tc>
          <w:tcPr>
            <w:gridSpan w:val="2"/>
            <w:tcW w:w="11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售后服务</w:t>
            </w:r>
            <w:r/>
          </w:p>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承诺</w:t>
            </w:r>
            <w:r/>
          </w:p>
        </w:tc>
        <w:tc>
          <w:tcPr>
            <w:tcW w:w="9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安全标准</w:t>
            </w:r>
            <w:r/>
          </w:p>
        </w:tc>
        <w:tc>
          <w:tcPr>
            <w:tcW w:w="1276"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合同履约</w:t>
            </w:r>
            <w:r/>
          </w:p>
          <w:p>
            <w:pPr>
              <w:ind w:left="0" w:right="0"/>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时间、地点、方式</w:t>
            </w:r>
            <w:r/>
          </w:p>
        </w:tc>
      </w:tr>
      <w:tr>
        <w:trPr>
          <w:trHeight w:val="774"/>
        </w:trPr>
        <w:tc>
          <w:tcPr>
            <w:tcW w:w="1131" w:type="dxa"/>
            <w:vAlign w:val="center"/>
            <w:vMerge w:val="continue"/>
            <w:textDirection w:val="lrTb"/>
            <w:noWrap w:val="false"/>
          </w:tcPr>
          <w:p>
            <w:pPr>
              <w:ind w:left="0" w:right="0"/>
              <w:jc w:val="center"/>
              <w:keepLines w:val="0"/>
              <w:keepNext w:val="0"/>
              <w:spacing w:before="0" w:beforeAutospacing="0" w:after="0" w:afterAutospacing="0" w:line="560" w:lineRule="exact"/>
              <w:rPr>
                <w:rFonts w:hint="eastAsia" w:ascii="宋体" w:hAnsi="宋体" w:cs="宋体"/>
                <w:sz w:val="18"/>
                <w:szCs w:val="18"/>
                <w:lang w:bidi="ar"/>
              </w:rPr>
              <w:suppressLineNumbers w:val="0"/>
            </w:pPr>
            <w:r>
              <w:rPr>
                <w:rFonts w:hint="eastAsia" w:ascii="宋体" w:hAnsi="宋体" w:cs="宋体"/>
                <w:sz w:val="18"/>
                <w:szCs w:val="18"/>
                <w:lang w:bidi="ar"/>
              </w:rPr>
            </w:r>
            <w:r/>
          </w:p>
        </w:tc>
        <w:tc>
          <w:tcPr>
            <w:tcW w:w="99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合  格□ </w:t>
            </w:r>
            <w:r/>
          </w:p>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不合格□</w:t>
            </w:r>
            <w:r/>
          </w:p>
        </w:tc>
        <w:tc>
          <w:tcPr>
            <w:tcW w:w="12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合  格□</w:t>
            </w:r>
            <w:r/>
          </w:p>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不合格□</w:t>
            </w:r>
            <w:r/>
          </w:p>
        </w:tc>
        <w:tc>
          <w:tcPr>
            <w:tcW w:w="99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合  格□</w:t>
            </w:r>
            <w:r/>
          </w:p>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不合格□</w:t>
            </w:r>
            <w:r/>
          </w:p>
        </w:tc>
        <w:tc>
          <w:tcPr>
            <w:tcW w:w="11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合  格□ </w:t>
            </w:r>
            <w:r/>
          </w:p>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不合格□</w:t>
            </w:r>
            <w:r/>
          </w:p>
        </w:tc>
        <w:tc>
          <w:tcPr>
            <w:tcW w:w="9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合  格□</w:t>
            </w:r>
            <w:r/>
          </w:p>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 不合格□</w:t>
            </w:r>
            <w:r/>
          </w:p>
        </w:tc>
        <w:tc>
          <w:tcPr>
            <w:gridSpan w:val="2"/>
            <w:tcW w:w="11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合  格□</w:t>
            </w:r>
            <w:r/>
          </w:p>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不合格□</w:t>
            </w:r>
            <w:r/>
          </w:p>
        </w:tc>
        <w:tc>
          <w:tcPr>
            <w:tcW w:w="99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合  格□ </w:t>
            </w:r>
            <w:r/>
          </w:p>
          <w:p>
            <w:pPr>
              <w:ind w:left="0" w:right="0"/>
              <w:jc w:val="center"/>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不合格□</w:t>
            </w:r>
            <w:r/>
          </w:p>
        </w:tc>
        <w:tc>
          <w:tcPr>
            <w:tcW w:w="1276"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合  格□</w:t>
            </w:r>
            <w:r/>
          </w:p>
          <w:p>
            <w:pPr>
              <w:ind w:left="0" w:right="0"/>
              <w:keepLines w:val="0"/>
              <w:keepNext w:val="0"/>
              <w:spacing w:before="0" w:beforeAutospacing="0" w:after="0" w:afterAutospacing="0" w:line="40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不合格□</w:t>
            </w:r>
            <w:r/>
          </w:p>
        </w:tc>
      </w:tr>
      <w:tr>
        <w:trPr>
          <w:trHeight w:val="666"/>
        </w:trPr>
        <w:tc>
          <w:tcPr>
            <w:tcW w:w="1131"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专业检测机构情况说明</w:t>
            </w:r>
            <w:r/>
          </w:p>
        </w:tc>
        <w:tc>
          <w:tcPr>
            <w:gridSpan w:val="9"/>
            <w:tcW w:w="8789"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s="宋体"/>
                <w:sz w:val="18"/>
                <w:szCs w:val="18"/>
                <w:lang w:bidi="ar"/>
              </w:rPr>
              <w:suppressLineNumbers w:val="0"/>
            </w:pPr>
            <w:r>
              <w:rPr>
                <w:rFonts w:hint="eastAsia" w:ascii="宋体" w:hAnsi="宋体" w:cs="宋体"/>
                <w:sz w:val="18"/>
                <w:szCs w:val="18"/>
                <w:lang w:bidi="ar"/>
              </w:rPr>
            </w:r>
            <w:r/>
          </w:p>
        </w:tc>
      </w:tr>
      <w:tr>
        <w:trPr>
          <w:trHeight w:val="683"/>
        </w:trPr>
        <w:tc>
          <w:tcPr>
            <w:tcW w:w="1131"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存在问题和</w:t>
            </w:r>
            <w:r/>
          </w:p>
          <w:p>
            <w:pPr>
              <w:ind w:left="0" w:right="0"/>
              <w:jc w:val="center"/>
              <w:keepLines w:val="0"/>
              <w:keepNext w:val="0"/>
              <w:spacing w:before="0" w:beforeAutospacing="0" w:after="0" w:afterAutospacing="0" w:line="38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改进意见</w:t>
            </w:r>
            <w:r/>
          </w:p>
        </w:tc>
        <w:tc>
          <w:tcPr>
            <w:gridSpan w:val="9"/>
            <w:tcW w:w="8789"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s="宋体"/>
                <w:sz w:val="18"/>
                <w:szCs w:val="18"/>
                <w:lang w:bidi="ar"/>
              </w:rPr>
              <w:suppressLineNumbers w:val="0"/>
            </w:pPr>
            <w:r>
              <w:rPr>
                <w:rFonts w:hint="eastAsia" w:ascii="宋体" w:hAnsi="宋体" w:cs="宋体"/>
                <w:sz w:val="18"/>
                <w:szCs w:val="18"/>
                <w:lang w:bidi="ar"/>
              </w:rPr>
            </w:r>
            <w:r/>
          </w:p>
        </w:tc>
      </w:tr>
      <w:tr>
        <w:trPr>
          <w:trHeight w:val="577"/>
        </w:trPr>
        <w:tc>
          <w:tcPr>
            <w:tcW w:w="113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最终结论</w:t>
            </w:r>
            <w:r/>
          </w:p>
        </w:tc>
        <w:tc>
          <w:tcPr>
            <w:gridSpan w:val="9"/>
            <w:tcW w:w="8789"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合  格□                              不合格□</w:t>
            </w:r>
            <w:r/>
          </w:p>
        </w:tc>
      </w:tr>
      <w:tr>
        <w:trPr>
          <w:trHeight w:val="565"/>
        </w:trPr>
        <w:tc>
          <w:tcPr>
            <w:tcW w:w="1131"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验收小组成员签字</w:t>
            </w:r>
            <w:r/>
          </w:p>
        </w:tc>
        <w:tc>
          <w:tcPr>
            <w:gridSpan w:val="9"/>
            <w:tcW w:w="8789"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cs="宋体"/>
                <w:sz w:val="18"/>
                <w:szCs w:val="18"/>
                <w:lang w:bidi="ar"/>
              </w:rPr>
              <w:suppressLineNumbers w:val="0"/>
            </w:pPr>
            <w:r>
              <w:rPr>
                <w:rFonts w:hint="eastAsia" w:ascii="宋体" w:hAnsi="宋体" w:cs="宋体"/>
                <w:sz w:val="18"/>
                <w:szCs w:val="18"/>
                <w:lang w:bidi="ar"/>
              </w:rPr>
            </w:r>
            <w:r/>
          </w:p>
        </w:tc>
      </w:tr>
      <w:tr>
        <w:trPr>
          <w:trHeight w:val="433"/>
        </w:trPr>
        <w:tc>
          <w:tcPr>
            <w:gridSpan w:val="7"/>
            <w:tcW w:w="7062"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采购代理机构意见</w:t>
            </w:r>
            <w:r/>
          </w:p>
        </w:tc>
        <w:tc>
          <w:tcPr>
            <w:gridSpan w:val="3"/>
            <w:tcW w:w="2858"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采购人意见</w:t>
            </w:r>
            <w:r/>
          </w:p>
        </w:tc>
      </w:tr>
      <w:tr>
        <w:trPr>
          <w:trHeight w:val="956"/>
        </w:trPr>
        <w:tc>
          <w:tcPr>
            <w:gridSpan w:val="7"/>
            <w:tcW w:w="7062" w:type="dxa"/>
            <w:textDirection w:val="lrTb"/>
            <w:noWrap w:val="false"/>
          </w:tcPr>
          <w:p>
            <w:pPr>
              <w:ind w:left="0" w:right="0"/>
              <w:jc w:val="left"/>
              <w:keepLines w:val="0"/>
              <w:keepNext w:val="0"/>
              <w:spacing w:before="0" w:beforeAutospacing="0" w:after="0" w:afterAutospacing="0" w:line="560" w:lineRule="exact"/>
              <w:rPr>
                <w:rFonts w:hint="eastAsia" w:ascii="宋体" w:hAnsi="宋体" w:cs="宋体"/>
                <w:sz w:val="18"/>
                <w:szCs w:val="18"/>
                <w:lang w:bidi="ar"/>
              </w:rPr>
              <w:suppressLineNumbers w:val="0"/>
            </w:pPr>
            <w:r>
              <w:rPr>
                <w:rFonts w:hint="eastAsia" w:ascii="宋体" w:hAnsi="宋体" w:cs="宋体"/>
                <w:sz w:val="18"/>
                <w:szCs w:val="18"/>
                <w:lang w:bidi="ar"/>
              </w:rPr>
            </w:r>
            <w:r/>
          </w:p>
          <w:p>
            <w:pPr>
              <w:ind w:left="0" w:right="0"/>
              <w:jc w:val="left"/>
              <w:keepLines w:val="0"/>
              <w:keepNext w:val="0"/>
              <w:spacing w:before="0" w:beforeAutospacing="0" w:after="0" w:afterAutospacing="0" w:line="5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经办人：         负责人：           （采购代理机构公章）</w:t>
            </w:r>
            <w:r/>
          </w:p>
        </w:tc>
        <w:tc>
          <w:tcPr>
            <w:gridSpan w:val="3"/>
            <w:tcW w:w="2858" w:type="dxa"/>
            <w:textDirection w:val="lrTb"/>
            <w:noWrap w:val="false"/>
          </w:tcPr>
          <w:p>
            <w:pPr>
              <w:ind w:left="0" w:right="0"/>
              <w:jc w:val="left"/>
              <w:keepLines w:val="0"/>
              <w:keepNext w:val="0"/>
              <w:spacing w:before="0" w:beforeAutospacing="0" w:after="0" w:afterAutospacing="0" w:line="5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经办人：       负责人：            （采购人公章）</w:t>
            </w:r>
            <w:r/>
          </w:p>
        </w:tc>
      </w:tr>
      <w:tr>
        <w:trPr>
          <w:trHeight w:val="840"/>
        </w:trPr>
        <w:tc>
          <w:tcPr>
            <w:gridSpan w:val="10"/>
            <w:tcW w:w="9920" w:type="dxa"/>
            <w:textDirection w:val="lrTb"/>
            <w:noWrap w:val="false"/>
          </w:tcPr>
          <w:p>
            <w:pPr>
              <w:ind w:left="0" w:right="0"/>
              <w:jc w:val="left"/>
              <w:keepLines w:val="0"/>
              <w:keepNext w:val="0"/>
              <w:spacing w:before="0" w:beforeAutospacing="0" w:after="0" w:afterAutospacing="0" w:line="5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供应商确认：</w:t>
            </w:r>
            <w:r/>
          </w:p>
          <w:p>
            <w:pPr>
              <w:ind w:left="0" w:right="0"/>
              <w:jc w:val="left"/>
              <w:keepLines w:val="0"/>
              <w:keepNext w:val="0"/>
              <w:spacing w:before="0" w:beforeAutospacing="0" w:after="0" w:afterAutospacing="0" w:line="560" w:lineRule="exact"/>
              <w:rPr>
                <w:rFonts w:hint="eastAsia" w:ascii="宋体" w:hAnsi="宋体" w:cs="宋体"/>
                <w:sz w:val="18"/>
                <w:szCs w:val="18"/>
                <w:lang w:bidi="ar"/>
              </w:rPr>
              <w:suppressLineNumbers w:val="0"/>
            </w:pPr>
            <w:r>
              <w:rPr>
                <w:rFonts w:hint="eastAsia" w:ascii="宋体" w:hAnsi="宋体" w:cs="宋体"/>
                <w:sz w:val="18"/>
                <w:szCs w:val="18"/>
                <w:lang w:bidi="ar"/>
              </w:rPr>
              <w:t xml:space="preserve">（单位公章或授权代表签字）</w:t>
            </w:r>
            <w:r/>
          </w:p>
        </w:tc>
      </w:tr>
    </w:tbl>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tbl>
      <w:tblPr>
        <w:tblStyle w:val="85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059"/>
        <w:gridCol w:w="762"/>
        <w:gridCol w:w="4059"/>
        <w:gridCol w:w="770"/>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方正小标宋_GBK" w:hAnsi="方正小标宋_GBK" w:eastAsia="方正小标宋_GBK" w:cs="方正小标宋_GBK"/>
                <w:sz w:val="40"/>
                <w:szCs w:val="40"/>
              </w:rPr>
              <w:suppressLineNumbers w:val="0"/>
            </w:pPr>
            <w:r>
              <w:rPr>
                <w:rFonts w:hint="default" w:ascii="方正小标宋_GBK" w:hAnsi="方正小标宋_GBK" w:eastAsia="方正小标宋_GBK" w:cs="方正小标宋_GBK"/>
                <w:sz w:val="40"/>
                <w:szCs w:val="40"/>
                <w:lang w:bidi="ar"/>
              </w:rPr>
              <w:t xml:space="preserve">政府采购履约验收通知单（参考样本）</w:t>
            </w:r>
            <w:r/>
          </w:p>
        </w:tc>
      </w:tr>
      <w:tr>
        <w:trPr>
          <w:trHeight w:val="600"/>
        </w:trPr>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ind w:left="0" w:right="0"/>
              <w:jc w:val="left"/>
              <w:keepLines w:val="0"/>
              <w:keepNext w:val="0"/>
              <w:spacing w:before="0" w:beforeAutospacing="0" w:after="0" w:afterAutospacing="0"/>
              <w:widowControl/>
              <w:rPr>
                <w:rFonts w:hint="eastAsia" w:ascii="宋体" w:hAnsi="宋体" w:cs="宋体"/>
                <w:b/>
                <w:bCs/>
                <w:sz w:val="24"/>
              </w:rPr>
              <w:suppressLineNumbers w:val="0"/>
            </w:pPr>
            <w:r>
              <w:rPr>
                <w:rFonts w:hint="eastAsia" w:ascii="宋体" w:hAnsi="宋体" w:cs="宋体"/>
                <w:b/>
                <w:bCs/>
                <w:sz w:val="24"/>
                <w:lang w:bidi="ar"/>
              </w:rPr>
              <w:t xml:space="preserve">供应商：</w:t>
            </w:r>
            <w:r/>
          </w:p>
        </w:tc>
        <w:tc>
          <w:tcPr>
            <w:tcBorders>
              <w:top w:val="none" w:color="000000" w:sz="4" w:space="0"/>
              <w:left w:val="none" w:color="000000" w:sz="4" w:space="0"/>
              <w:bottom w:val="none" w:color="000000" w:sz="4" w:space="0"/>
              <w:right w:val="none" w:color="000000" w:sz="4" w:space="0"/>
            </w:tcBorders>
            <w:tcW w:w="395" w:type="pct"/>
            <w:vAlign w:val="center"/>
            <w:textDirection w:val="lrTb"/>
            <w:noWrap/>
          </w:tcPr>
          <w:p>
            <w:pPr>
              <w:ind w:left="0" w:right="0"/>
              <w:jc w:val="center"/>
              <w:keepLines w:val="0"/>
              <w:keepNext w:val="0"/>
              <w:spacing w:before="0" w:beforeAutospacing="0" w:after="0" w:afterAutospacing="0"/>
              <w:rPr>
                <w:rFonts w:hint="eastAsia" w:ascii="宋体" w:hAnsi="宋体" w:cs="宋体"/>
                <w:b/>
                <w:bCs/>
                <w:sz w:val="24"/>
              </w:rPr>
              <w:suppressLineNumbers w:val="0"/>
            </w:pPr>
            <w:r>
              <w:rPr>
                <w:rFonts w:hint="eastAsia" w:ascii="宋体" w:hAnsi="宋体" w:cs="宋体"/>
                <w:b/>
                <w:bCs/>
                <w:sz w:val="24"/>
              </w:rPr>
            </w:r>
            <w:r/>
          </w:p>
        </w:tc>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ind w:left="0" w:right="0"/>
              <w:jc w:val="center"/>
              <w:keepLines w:val="0"/>
              <w:keepNext w:val="0"/>
              <w:spacing w:before="0" w:beforeAutospacing="0" w:after="0" w:afterAutospacing="0"/>
              <w:rPr>
                <w:rFonts w:hint="eastAsia" w:ascii="宋体" w:hAnsi="宋体" w:cs="宋体"/>
                <w:b/>
                <w:bCs/>
                <w:sz w:val="24"/>
              </w:rPr>
              <w:suppressLineNumbers w:val="0"/>
            </w:pPr>
            <w:r>
              <w:rPr>
                <w:rFonts w:hint="eastAsia" w:ascii="宋体" w:hAnsi="宋体" w:cs="宋体"/>
                <w:b/>
                <w:bCs/>
                <w:sz w:val="24"/>
              </w:rPr>
            </w:r>
            <w:r/>
          </w:p>
        </w:tc>
        <w:tc>
          <w:tcPr>
            <w:tcBorders>
              <w:top w:val="none" w:color="000000" w:sz="4" w:space="0"/>
              <w:left w:val="none" w:color="000000" w:sz="4" w:space="0"/>
              <w:bottom w:val="none" w:color="000000" w:sz="4" w:space="0"/>
              <w:right w:val="none" w:color="000000" w:sz="4" w:space="0"/>
            </w:tcBorders>
            <w:tcW w:w="396" w:type="pct"/>
            <w:vAlign w:val="center"/>
            <w:textDirection w:val="lrTb"/>
            <w:noWrap/>
          </w:tcPr>
          <w:p>
            <w:pPr>
              <w:ind w:left="0" w:right="0"/>
              <w:jc w:val="center"/>
              <w:keepLines w:val="0"/>
              <w:keepNext w:val="0"/>
              <w:spacing w:before="0" w:beforeAutospacing="0" w:after="0" w:afterAutospacing="0"/>
              <w:rPr>
                <w:rFonts w:hint="eastAsia" w:ascii="宋体" w:hAnsi="宋体" w:cs="宋体"/>
                <w:b/>
                <w:bCs/>
                <w:sz w:val="24"/>
              </w:rPr>
              <w:suppressLineNumbers w:val="0"/>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sz w:val="24"/>
              </w:rPr>
              <w:suppressLineNumbers w:val="0"/>
            </w:pPr>
            <w:r>
              <w:rPr>
                <w:rFonts w:hint="eastAsia" w:ascii="宋体" w:hAnsi="宋体" w:cs="宋体"/>
                <w:b/>
                <w:bCs/>
                <w:sz w:val="24"/>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ind w:left="0" w:right="0"/>
              <w:jc w:val="center"/>
              <w:keepLines w:val="0"/>
              <w:keepNext w:val="0"/>
              <w:spacing w:before="0" w:beforeAutospacing="0" w:after="0" w:afterAutospacing="0"/>
              <w:rPr>
                <w:rFonts w:hint="eastAsia" w:ascii="宋体" w:hAnsi="宋体" w:cs="宋体"/>
                <w:b/>
                <w:bCs/>
                <w:sz w:val="24"/>
              </w:rPr>
              <w:suppressLineNumbers w:val="0"/>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sz w:val="24"/>
              </w:rPr>
              <w:suppressLineNumbers w:val="0"/>
            </w:pPr>
            <w:r>
              <w:rPr>
                <w:rFonts w:hint="eastAsia" w:ascii="宋体" w:hAnsi="宋体" w:cs="宋体"/>
                <w:b/>
                <w:bCs/>
                <w:sz w:val="24"/>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ind w:left="0" w:right="0"/>
              <w:jc w:val="center"/>
              <w:keepLines w:val="0"/>
              <w:keepNext w:val="0"/>
              <w:spacing w:before="0" w:beforeAutospacing="0" w:after="0" w:afterAutospacing="0"/>
              <w:rPr>
                <w:rFonts w:hint="eastAsia" w:ascii="宋体" w:hAnsi="宋体" w:cs="宋体"/>
                <w:b/>
                <w:bCs/>
                <w:sz w:val="24"/>
              </w:rPr>
              <w:suppressLineNumbers w:val="0"/>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sz w:val="24"/>
              </w:rPr>
              <w:suppressLineNumbers w:val="0"/>
            </w:pPr>
            <w:r>
              <w:rPr>
                <w:rFonts w:hint="eastAsia" w:ascii="宋体" w:hAnsi="宋体" w:cs="宋体"/>
                <w:b/>
                <w:bCs/>
                <w:sz w:val="24"/>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ind w:left="0" w:right="0"/>
              <w:jc w:val="center"/>
              <w:keepLines w:val="0"/>
              <w:keepNext w:val="0"/>
              <w:spacing w:before="0" w:beforeAutospacing="0" w:after="0" w:afterAutospacing="0"/>
              <w:rPr>
                <w:rFonts w:hint="eastAsia" w:ascii="宋体" w:hAnsi="宋体" w:cs="宋体"/>
                <w:b/>
                <w:bCs/>
                <w:sz w:val="24"/>
              </w:rPr>
              <w:suppressLineNumbers w:val="0"/>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sz w:val="24"/>
              </w:rPr>
              <w:suppressLineNumbers w:val="0"/>
            </w:pPr>
            <w:r>
              <w:rPr>
                <w:rFonts w:hint="eastAsia" w:ascii="宋体" w:hAnsi="宋体" w:cs="宋体"/>
                <w:b/>
                <w:bCs/>
                <w:sz w:val="24"/>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ind w:left="0" w:right="0"/>
              <w:jc w:val="center"/>
              <w:keepLines w:val="0"/>
              <w:keepNext w:val="0"/>
              <w:spacing w:before="0" w:beforeAutospacing="0" w:after="0" w:afterAutospacing="0"/>
              <w:rPr>
                <w:rFonts w:hint="eastAsia" w:ascii="宋体" w:hAnsi="宋体" w:cs="宋体"/>
                <w:b/>
                <w:bCs/>
                <w:sz w:val="24"/>
              </w:rPr>
              <w:suppressLineNumbers w:val="0"/>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sz w:val="24"/>
              </w:rPr>
              <w:suppressLineNumbers w:val="0"/>
            </w:pPr>
            <w:r>
              <w:rPr>
                <w:rFonts w:hint="eastAsia" w:ascii="宋体" w:hAnsi="宋体" w:cs="宋体"/>
                <w:b/>
                <w:bCs/>
                <w:sz w:val="24"/>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ind w:left="0" w:right="0"/>
              <w:jc w:val="center"/>
              <w:keepLines w:val="0"/>
              <w:keepNext w:val="0"/>
              <w:spacing w:before="0" w:beforeAutospacing="0" w:after="0" w:afterAutospacing="0"/>
              <w:rPr>
                <w:rFonts w:hint="eastAsia" w:ascii="宋体" w:hAnsi="宋体" w:cs="宋体"/>
                <w:b/>
                <w:bCs/>
                <w:sz w:val="24"/>
              </w:rPr>
              <w:suppressLineNumbers w:val="0"/>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sz w:val="24"/>
              </w:rPr>
              <w:suppressLineNumbers w:val="0"/>
            </w:pPr>
            <w:r>
              <w:rPr>
                <w:rFonts w:hint="eastAsia" w:ascii="宋体" w:hAnsi="宋体" w:cs="宋体"/>
                <w:b/>
                <w:bCs/>
                <w:sz w:val="24"/>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ind w:left="0" w:right="0"/>
              <w:jc w:val="center"/>
              <w:keepLines w:val="0"/>
              <w:keepNext w:val="0"/>
              <w:spacing w:before="0" w:beforeAutospacing="0" w:after="0" w:afterAutospacing="0"/>
              <w:rPr>
                <w:rFonts w:hint="eastAsia" w:ascii="宋体" w:hAnsi="宋体" w:cs="宋体"/>
                <w:b/>
                <w:bCs/>
                <w:sz w:val="24"/>
              </w:rPr>
              <w:suppressLineNumbers w:val="0"/>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sz w:val="24"/>
              </w:rPr>
              <w:suppressLineNumbers w:val="0"/>
            </w:pPr>
            <w:r>
              <w:rPr>
                <w:rFonts w:hint="eastAsia" w:ascii="宋体" w:hAnsi="宋体" w:cs="宋体"/>
                <w:b/>
                <w:bCs/>
                <w:sz w:val="24"/>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ind w:left="0" w:right="0"/>
              <w:jc w:val="center"/>
              <w:keepLines w:val="0"/>
              <w:keepNext w:val="0"/>
              <w:spacing w:before="0" w:beforeAutospacing="0" w:after="0" w:afterAutospacing="0"/>
              <w:rPr>
                <w:rFonts w:hint="eastAsia" w:ascii="宋体" w:hAnsi="宋体" w:cs="宋体"/>
                <w:b/>
                <w:bCs/>
                <w:sz w:val="24"/>
              </w:rPr>
              <w:suppressLineNumbers w:val="0"/>
            </w:pPr>
            <w:r>
              <w:rPr>
                <w:rFonts w:hint="eastAsia" w:ascii="宋体" w:hAnsi="宋体" w:cs="宋体"/>
                <w:b/>
                <w:bCs/>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sz w:val="24"/>
              </w:rPr>
              <w:suppressLineNumbers w:val="0"/>
            </w:pPr>
            <w:r>
              <w:rPr>
                <w:rFonts w:hint="eastAsia" w:ascii="宋体" w:hAnsi="宋体" w:cs="宋体"/>
                <w:b/>
                <w:bCs/>
                <w:sz w:val="24"/>
                <w:lang w:bidi="ar"/>
              </w:rPr>
              <w:t xml:space="preserve">联系人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ind w:left="0" w:right="0"/>
              <w:jc w:val="center"/>
              <w:keepLines w:val="0"/>
              <w:keepNext w:val="0"/>
              <w:spacing w:before="0" w:beforeAutospacing="0" w:after="0" w:afterAutospacing="0"/>
              <w:rPr>
                <w:rFonts w:hint="eastAsia" w:ascii="宋体" w:hAnsi="宋体" w:cs="宋体"/>
                <w:b/>
                <w:bCs/>
                <w:sz w:val="24"/>
              </w:rPr>
              <w:suppressLineNumbers w:val="0"/>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sz w:val="24"/>
              </w:rPr>
              <w:suppressLineNumbers w:val="0"/>
            </w:pPr>
            <w:r>
              <w:rPr>
                <w:rFonts w:hint="eastAsia" w:ascii="宋体" w:hAnsi="宋体" w:cs="宋体"/>
                <w:b/>
                <w:bCs/>
                <w:sz w:val="24"/>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ind w:left="0" w:right="0"/>
              <w:jc w:val="center"/>
              <w:keepLines w:val="0"/>
              <w:keepNext w:val="0"/>
              <w:spacing w:before="0" w:beforeAutospacing="0" w:after="0" w:afterAutospacing="0"/>
              <w:rPr>
                <w:rFonts w:hint="eastAsia" w:ascii="宋体" w:hAnsi="宋体" w:cs="宋体"/>
                <w:b/>
                <w:bCs/>
                <w:sz w:val="24"/>
              </w:rPr>
              <w:suppressLineNumbers w:val="0"/>
            </w:pPr>
            <w:r>
              <w:rPr>
                <w:rFonts w:hint="eastAsia" w:ascii="宋体" w:hAnsi="宋体" w:cs="宋体"/>
                <w:b/>
                <w:bCs/>
                <w:sz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cs="宋体"/>
                <w:b/>
                <w:bCs/>
                <w:sz w:val="24"/>
              </w:rPr>
              <w:suppressLineNumbers w:val="0"/>
            </w:pPr>
            <w:r>
              <w:rPr>
                <w:rFonts w:hint="eastAsia" w:ascii="宋体" w:hAnsi="宋体" w:cs="宋体"/>
                <w:b/>
                <w:bCs/>
                <w:sz w:val="24"/>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sz w:val="24"/>
              </w:rPr>
              <w:suppressLineNumbers w:val="0"/>
            </w:pPr>
            <w:r>
              <w:rPr>
                <w:rFonts w:hint="eastAsia" w:ascii="宋体" w:hAnsi="宋体" w:cs="宋体"/>
                <w:sz w:val="24"/>
                <w:lang w:bidi="ar"/>
              </w:rPr>
              <w:t xml:space="preserve">        单位公章</w:t>
            </w:r>
            <w:r>
              <w:rPr>
                <w:rFonts w:hint="eastAsia" w:ascii="宋体" w:hAnsi="宋体" w:cs="宋体"/>
                <w:sz w:val="24"/>
                <w:lang w:bidi="ar"/>
              </w:rPr>
              <w:br/>
            </w:r>
            <w:r>
              <w:rPr>
                <w:rFonts w:hint="eastAsia" w:ascii="宋体" w:hAnsi="宋体" w:cs="宋体"/>
                <w:sz w:val="24"/>
                <w:lang w:bidi="ar"/>
              </w:rPr>
              <w:t xml:space="preserve">         年 月 日</w:t>
            </w:r>
            <w:r/>
          </w:p>
        </w:tc>
      </w:tr>
    </w:tbl>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rPr>
          <w:rFonts w:hint="eastAsia" w:ascii="宋体" w:hAnsi="宋体" w:cs="宋体"/>
          <w:b/>
          <w:sz w:val="44"/>
          <w:highlight w:val="none"/>
        </w:rPr>
      </w:r>
      <w:r/>
    </w:p>
    <w:p>
      <w:pPr>
        <w:ind w:firstLine="1767"/>
        <w:spacing w:before="240" w:after="240" w:line="439" w:lineRule="atLeast"/>
        <w:rPr>
          <w:rFonts w:hint="eastAsia" w:ascii="宋体" w:hAnsi="宋体" w:cs="宋体"/>
          <w:b/>
          <w:bCs/>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rPr>
          <w:rFonts w:hint="eastAsia" w:ascii="宋体" w:hAnsi="宋体" w:cs="宋体"/>
          <w:b/>
          <w:sz w:val="44"/>
          <w:highlight w:val="none"/>
        </w:rPr>
      </w:r>
      <w:r/>
    </w:p>
    <w:p>
      <w:pPr>
        <w:ind w:firstLine="1767"/>
        <w:spacing w:before="240" w:after="240" w:line="439" w:lineRule="atLeast"/>
        <w:rPr>
          <w:rFonts w:hint="eastAsia" w:ascii="宋体" w:hAnsi="宋体" w:cs="宋体"/>
          <w:b/>
          <w:bCs/>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rPr>
          <w:rFonts w:hint="eastAsia" w:ascii="宋体" w:hAnsi="宋体" w:cs="宋体"/>
          <w:b/>
          <w:sz w:val="44"/>
          <w:highlight w:val="none"/>
        </w:rPr>
      </w:r>
      <w:r/>
    </w:p>
    <w:p>
      <w:pPr>
        <w:ind w:firstLine="1767"/>
        <w:spacing w:before="240" w:after="240" w:line="439" w:lineRule="atLeast"/>
        <w:rPr>
          <w:rFonts w:hint="eastAsia" w:ascii="宋体" w:hAnsi="宋体" w:cs="宋体"/>
          <w:b/>
          <w:bCs/>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第四部分 投标文件格式</w:t>
      </w:r>
      <w:r/>
    </w:p>
    <w:p>
      <w:pPr>
        <w:jc w:val="center"/>
        <w:spacing w:line="38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8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对本章所有的投标书格式，投标方可根据自身情况进行补充和修改，但补充和修改不得造成与本格式内容有实质性的违背。</w:t>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w:t>
      </w:r>
      <w:r>
        <w:rPr>
          <w:rFonts w:ascii="宋体" w:hAnsi="宋体" w:cs="宋体"/>
          <w:b/>
          <w:sz w:val="28"/>
        </w:rPr>
        <w:t xml:space="preserve">关于资格文件的声明函</w:t>
      </w:r>
      <w:r/>
    </w:p>
    <w:p>
      <w:pPr>
        <w:ind w:left="1260" w:firstLine="420"/>
        <w:pBdr>
          <w:top w:val="none" w:color="000000" w:sz="0" w:space="0"/>
          <w:left w:val="none" w:color="000000" w:sz="0" w:space="0"/>
          <w:bottom w:val="none" w:color="000000" w:sz="0" w:space="0"/>
          <w:right w:val="none" w:color="000000" w:sz="0" w:space="0"/>
        </w:pBdr>
      </w:pPr>
      <w:r>
        <w:rPr>
          <w:rFonts w:ascii="宋体" w:hAnsi="宋体" w:cs="宋体"/>
          <w:sz w:val="30"/>
        </w:rPr>
        <w:t xml:space="preserve"> </w:t>
      </w:r>
      <w:r/>
    </w:p>
    <w:p>
      <w:pPr>
        <w:ind w:left="1260" w:firstLine="420"/>
        <w:pBdr>
          <w:top w:val="none" w:color="000000" w:sz="0" w:space="0"/>
          <w:left w:val="none" w:color="000000" w:sz="0" w:space="0"/>
          <w:bottom w:val="none" w:color="000000" w:sz="0" w:space="0"/>
          <w:right w:val="none" w:color="000000" w:sz="0" w:space="0"/>
        </w:pBdr>
      </w:pPr>
      <w:r>
        <w:rPr>
          <w:rFonts w:ascii="宋体" w:hAnsi="宋体" w:cs="宋体"/>
          <w:sz w:val="30"/>
        </w:rPr>
        <w:t xml:space="preserve"> </w:t>
      </w:r>
      <w:r/>
    </w:p>
    <w:p>
      <w:pPr>
        <w:ind w:left="1260" w:firstLine="1770"/>
        <w:pBdr>
          <w:top w:val="none" w:color="000000" w:sz="0" w:space="0"/>
          <w:left w:val="none" w:color="000000" w:sz="0" w:space="0"/>
          <w:bottom w:val="none" w:color="000000" w:sz="0" w:space="0"/>
          <w:right w:val="none" w:color="000000" w:sz="0" w:space="0"/>
        </w:pBdr>
      </w:pPr>
      <w:r>
        <w:rPr>
          <w:rFonts w:ascii="宋体" w:hAnsi="宋体" w:cs="宋体"/>
          <w:sz w:val="30"/>
        </w:rPr>
        <w:t xml:space="preserve">关于资格文件的声明函</w:t>
      </w:r>
      <w:r/>
    </w:p>
    <w:p>
      <w:pPr>
        <w:ind w:left="1260" w:firstLine="420"/>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苏州市公共资源交易中心太仓分中心</w:t>
      </w:r>
      <w:r>
        <w:rPr>
          <w:rFonts w:ascii="宋体" w:hAnsi="宋体" w:cs="宋体"/>
          <w:sz w:val="24"/>
        </w:rPr>
        <w:t xml:space="preserve">：</w:t>
      </w:r>
      <w:r/>
    </w:p>
    <w:p>
      <w:pPr>
        <w:ind w:right="445"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本公司愿就由贵单位组织实施的编号为</w:t>
      </w:r>
      <w:r>
        <w:rPr>
          <w:rFonts w:hint="eastAsia" w:ascii="宋体" w:hAnsi="宋体" w:cs="宋体"/>
          <w:b/>
          <w:sz w:val="24"/>
          <w:u w:val="single"/>
        </w:rPr>
        <w:t xml:space="preserve">JSZC-320585-JZCG-G2026-0034</w:t>
      </w:r>
      <w:r>
        <w:rPr>
          <w:rFonts w:ascii="宋体" w:hAnsi="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1259" w:firstLine="426"/>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法定代表人或授权代理人（签字或盖章）：</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rPr>
        <w:t xml:space="preserve">2、投标承诺函</w:t>
      </w:r>
      <w:r/>
    </w:p>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投标承诺函</w:t>
      </w:r>
      <w:r/>
    </w:p>
    <w:p>
      <w:pPr>
        <w:ind w:firstLine="24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苏州市公共资源交易中心太仓分中心 </w:t>
      </w:r>
      <w:r>
        <w:rPr>
          <w:rFonts w:ascii="宋体" w:hAnsi="宋体" w:cs="宋体"/>
          <w:sz w:val="24"/>
        </w:rPr>
        <w:t xml:space="preserve">：</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我们收到贵单位</w:t>
      </w:r>
      <w:r>
        <w:rPr>
          <w:rFonts w:hint="eastAsia" w:ascii="宋体" w:hAnsi="宋体" w:cs="宋体"/>
          <w:b/>
          <w:sz w:val="24"/>
          <w:u w:val="single"/>
        </w:rPr>
        <w:t xml:space="preserve">新建欧亚马地块幼儿园、九年一贯制学校（横沥佳苑南侧）智能化项目 </w:t>
      </w:r>
      <w:r>
        <w:rPr>
          <w:rFonts w:ascii="宋体" w:hAnsi="宋体" w:cs="宋体"/>
          <w:sz w:val="24"/>
        </w:rPr>
        <w:t xml:space="preserve">招标文件（项目编号：</w:t>
      </w:r>
      <w:r>
        <w:rPr>
          <w:rFonts w:hint="eastAsia" w:ascii="宋体" w:hAnsi="宋体" w:cs="宋体"/>
          <w:b/>
          <w:sz w:val="24"/>
          <w:u w:val="single"/>
        </w:rPr>
        <w:t xml:space="preserve">JSZC-320585-JZCG-G2026-0034</w:t>
      </w:r>
      <w:r>
        <w:rPr>
          <w:rFonts w:ascii="宋体" w:hAnsi="宋体" w:cs="宋体"/>
          <w:sz w:val="24"/>
        </w:rPr>
        <w:t xml:space="preserve"> ），经仔细阅读和研究，我们决定参加投标。</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1、我们愿意按照招标文件的一切要求，提供包括完成该项目全部内容的设备、材料及人工、机械、保险、劳保、各种税费以及质保期间的一切费用。</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2、如果我们的投标书被接受，我们将严格履行招标文件中规定的每一项要求，按期、按质、按量履行合同的义务。</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3、我们同意按招标文件中的规定，本投标书的有效期限为开标后</w:t>
      </w:r>
      <w:r>
        <w:rPr>
          <w:rFonts w:ascii="宋体" w:hAnsi="宋体" w:cs="宋体"/>
          <w:b/>
          <w:sz w:val="24"/>
          <w:u w:val="single"/>
        </w:rPr>
        <w:t xml:space="preserve">90</w:t>
      </w:r>
      <w:r>
        <w:rPr>
          <w:rFonts w:ascii="宋体" w:hAnsi="宋体" w:cs="宋体"/>
          <w:sz w:val="24"/>
        </w:rPr>
        <w:t xml:space="preserve">天。</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4、我们愿意提供招标方在招标文件中要求的所有资料。</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5、我们认为你们有权决定中标者，还认为你们有权接受或拒绝所有的投标者。</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6、我们完全理解贵方不一定要接受最低报价的投标或收到的任何投标。</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7、我们承诺该项投标在开标后的全过程中保持有效，不作任何更改和变动。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8、</w:t>
      </w:r>
      <w:r>
        <w:rPr>
          <w:rFonts w:ascii="宋体" w:hAnsi="宋体" w:cs="宋体"/>
          <w:b/>
          <w:sz w:val="24"/>
        </w:rPr>
        <w:t xml:space="preserve">如果中标，我们同意并知晓中标通知书发出方式及发出时间，遵守招标文件和中标通知书规定，在指定时间和地点和采购人签订合同。</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9、综合说明：</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（1）伴随服务及配合措施；</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（2）要求甲方提供的配合；</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（3）对招标文件有不同意见的偏离说明；</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（4）其它说明。</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所有有关标书的函电，请按下列地址联系：</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单位：联系人：</w:t>
      </w:r>
      <w:r>
        <w:rPr>
          <w:rFonts w:hint="eastAsia" w:ascii="宋体" w:hAnsi="宋体" w:cs="宋体"/>
          <w:sz w:val="24"/>
        </w:rPr>
        <w:t xml:space="preserve"> </w:t>
      </w:r>
      <w:r>
        <w:rPr>
          <w:rFonts w:ascii="宋体" w:hAnsi="宋体" w:cs="宋体"/>
          <w:sz w:val="24"/>
        </w:rPr>
        <w:t xml:space="preserve">                    地址：邮政编码：</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联系电话：传真：</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法定代表人或授权代理人（签字或盖章）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312" w:lineRule="atLeast"/>
        <w:pBdr>
          <w:top w:val="none" w:color="000000" w:sz="0" w:space="0"/>
          <w:left w:val="none" w:color="000000" w:sz="0" w:space="0"/>
          <w:bottom w:val="none" w:color="000000" w:sz="0" w:space="0"/>
          <w:right w:val="none" w:color="000000" w:sz="0" w:space="0"/>
        </w:pBdr>
      </w:pPr>
      <w:r>
        <w:br w:type="page" w:clear="all"/>
      </w:r>
      <w:r/>
    </w:p>
    <w:p>
      <w:pPr>
        <w:spacing w:line="312"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3、参加政府采购活动前三年内，在经营活动中没有重大违法记录声明</w:t>
      </w:r>
      <w:r/>
    </w:p>
    <w:p>
      <w:pPr>
        <w:ind w:left="-210" w:right="-21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jc w:val="center"/>
        <w:spacing w:line="85"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jc w:val="center"/>
        <w:spacing w:line="85"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参加政府采购活动前三年内，在经营活动中没有重大违法记录声明</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致：苏州市公共资源交易中心太仓分中心：</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我单位</w:t>
      </w:r>
      <w:r>
        <w:rPr>
          <w:rFonts w:ascii="宋体" w:hAnsi="宋体" w:cs="宋体"/>
          <w:sz w:val="24"/>
          <w:u w:val="single"/>
        </w:rPr>
        <w:t xml:space="preserve">         （供应商名称）</w:t>
      </w:r>
      <w:r>
        <w:rPr>
          <w:rFonts w:ascii="宋体" w:hAnsi="宋体" w:cs="宋体"/>
          <w:sz w:val="24"/>
        </w:rPr>
        <w:t xml:space="preserve"> 在参加政府采购活动前三年内，没有重大违法记录，特此声明。</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若采购代理机构在本项目采购过程中发现我单位近三年内在经营活动中有重大违法记录，我单位将无条件退出本项目的招标，并承担因此引起的一起后果。</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法定代表人（负责人）或代理人（签字或盖章）：</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500" w:lineRule="exact"/>
        <w:pBdr>
          <w:top w:val="none" w:color="000000" w:sz="0" w:space="0"/>
          <w:left w:val="none" w:color="000000" w:sz="0" w:space="0"/>
          <w:bottom w:val="none" w:color="000000" w:sz="0" w:space="0"/>
          <w:right w:val="none" w:color="000000" w:sz="0" w:space="0"/>
        </w:pBdr>
      </w:pPr>
      <w:r>
        <w:br w:type="page" w:clear="all"/>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8"/>
        </w:rPr>
        <w:t xml:space="preserve">4、投标单位情况表</w:t>
      </w:r>
      <w:r/>
    </w:p>
    <w:p>
      <w:pPr>
        <w:ind w:left="1260" w:firstLine="2175"/>
        <w:pBdr>
          <w:top w:val="none" w:color="000000" w:sz="0" w:space="0"/>
          <w:left w:val="none" w:color="000000" w:sz="0" w:space="0"/>
          <w:bottom w:val="none" w:color="000000" w:sz="0" w:space="0"/>
          <w:right w:val="none" w:color="000000" w:sz="0" w:space="0"/>
        </w:pBdr>
      </w:pPr>
      <w:r>
        <w:rPr>
          <w:rFonts w:ascii="宋体" w:hAnsi="宋体" w:cs="宋体"/>
          <w:sz w:val="30"/>
        </w:rPr>
        <w:t xml:space="preserve">投标单位情况表</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单位名称（盖章）：</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pBdr>
                <w:top w:val="none" w:color="000000" w:sz="0" w:space="0"/>
                <w:left w:val="none" w:color="000000" w:sz="0" w:space="0"/>
                <w:bottom w:val="none" w:color="000000" w:sz="0" w:space="0"/>
                <w:right w:val="none" w:color="000000" w:sz="0" w:space="0"/>
              </w:pBdr>
            </w:pPr>
            <w:r>
              <w:rPr>
                <w:rFonts w:ascii="宋体" w:hAnsi="宋体" w:cs="宋体"/>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sz w:val="24"/>
              </w:rPr>
              <w:t xml:space="preserve">202</w:t>
            </w:r>
            <w:r>
              <w:rPr>
                <w:rFonts w:hint="eastAsia" w:ascii="宋体" w:hAnsi="宋体" w:cs="宋体"/>
                <w:b/>
                <w:sz w:val="24"/>
              </w:rPr>
              <w:t xml:space="preserve">5</w:t>
            </w:r>
            <w:r>
              <w:rPr>
                <w:rFonts w:ascii="宋体" w:hAnsi="宋体" w:cs="宋体"/>
                <w:b/>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sz w:val="24"/>
              </w:rPr>
              <w:t xml:space="preserve">202</w:t>
            </w:r>
            <w:r>
              <w:rPr>
                <w:rFonts w:hint="eastAsia" w:ascii="宋体" w:hAnsi="宋体" w:cs="宋体"/>
                <w:b/>
                <w:sz w:val="24"/>
              </w:rPr>
              <w:t xml:space="preserve">5</w:t>
            </w:r>
            <w:r>
              <w:rPr>
                <w:rFonts w:ascii="宋体" w:hAnsi="宋体" w:cs="宋体"/>
                <w:b/>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自有面积平方米</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5、法定代表人授权委托书 （如有）</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宋体" w:hAnsi="宋体" w:cs="宋体"/>
          <w:sz w:val="32"/>
        </w:rPr>
        <w:t xml:space="preserve">授权委托书</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本授权委托书声明：我</w:t>
      </w:r>
      <w:r>
        <w:rPr>
          <w:rFonts w:ascii="宋体" w:hAnsi="宋体" w:cs="宋体"/>
          <w:sz w:val="24"/>
          <w:u w:val="single"/>
        </w:rPr>
        <w:t xml:space="preserve">（姓名）</w:t>
      </w:r>
      <w:r>
        <w:rPr>
          <w:rFonts w:ascii="宋体" w:hAnsi="宋体" w:cs="宋体"/>
          <w:sz w:val="24"/>
        </w:rPr>
        <w:t xml:space="preserve">系</w:t>
      </w:r>
      <w:r>
        <w:rPr>
          <w:rFonts w:ascii="宋体" w:hAnsi="宋体" w:cs="宋体"/>
          <w:sz w:val="24"/>
          <w:u w:val="single"/>
        </w:rPr>
        <w:t xml:space="preserve">（投标单位名称）</w:t>
      </w:r>
      <w:r>
        <w:rPr>
          <w:rFonts w:ascii="宋体" w:hAnsi="宋体" w:cs="宋体"/>
          <w:sz w:val="24"/>
        </w:rPr>
        <w:t xml:space="preserve">的法定代表人，现授权委托</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（姓名）</w:t>
      </w:r>
      <w:r>
        <w:rPr>
          <w:rFonts w:ascii="宋体" w:hAnsi="宋体" w:cs="宋体"/>
          <w:sz w:val="24"/>
        </w:rPr>
        <w:t xml:space="preserve">为我公司代理人，以本公司的名义参加</w:t>
      </w:r>
      <w:r>
        <w:rPr>
          <w:rFonts w:ascii="宋体" w:hAnsi="宋体" w:cs="宋体"/>
          <w:b/>
          <w:sz w:val="24"/>
          <w:u w:val="single"/>
        </w:rPr>
        <w:t xml:space="preserve">苏州市公共资源交易中心太仓分中心</w:t>
      </w:r>
      <w:r>
        <w:rPr>
          <w:rFonts w:ascii="宋体" w:hAnsi="宋体" w:cs="宋体"/>
          <w:sz w:val="24"/>
        </w:rPr>
        <w:t xml:space="preserve">组织实施的编号为</w:t>
      </w:r>
      <w:r>
        <w:rPr>
          <w:rFonts w:hint="eastAsia" w:ascii="宋体" w:hAnsi="宋体" w:cs="宋体"/>
          <w:b/>
          <w:sz w:val="24"/>
          <w:u w:val="single"/>
        </w:rPr>
        <w:t xml:space="preserve">JSZC-320585-JZCG-G2026-0034</w:t>
      </w:r>
      <w:r>
        <w:rPr>
          <w:rFonts w:ascii="宋体" w:hAnsi="宋体" w:cs="宋体"/>
          <w:sz w:val="24"/>
        </w:rPr>
        <w:t xml:space="preserve">号的招标活动。代理人在开标、评标、合同谈判过程中所签署的一切文件和处理与这有关的一切事务，我均予以承认。</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代理人无转委托权。特此委托！</w:t>
      </w:r>
      <w:r/>
    </w:p>
    <w:p>
      <w:pPr>
        <w:ind w:firstLine="42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2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20"/>
        <w:spacing w:line="480" w:lineRule="exact"/>
        <w:pBdr>
          <w:top w:val="none" w:color="000000" w:sz="0" w:space="0"/>
          <w:left w:val="none" w:color="000000" w:sz="0" w:space="0"/>
          <w:bottom w:val="none" w:color="000000" w:sz="0" w:space="0"/>
          <w:right w:val="none" w:color="000000" w:sz="0" w:space="0"/>
        </w:pBdr>
      </w:pPr>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法定代表人：（签字或盖章）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授权代理人：（签字或盖章）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480" w:lineRule="exact"/>
        <w:pBdr>
          <w:top w:val="none" w:color="000000" w:sz="0" w:space="0"/>
          <w:left w:val="none" w:color="000000" w:sz="0" w:space="0"/>
          <w:bottom w:val="none" w:color="000000" w:sz="0" w:space="0"/>
          <w:right w:val="none" w:color="000000" w:sz="0" w:space="0"/>
        </w:pBdr>
      </w:pPr>
      <w:r>
        <w:br w:type="page" w:clear="all"/>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6、开标一览表</w:t>
      </w:r>
      <w:r/>
    </w:p>
    <w:p>
      <w:pPr>
        <w:pBdr>
          <w:top w:val="none" w:color="000000" w:sz="0" w:space="0"/>
          <w:left w:val="none" w:color="000000" w:sz="0" w:space="0"/>
          <w:bottom w:val="none" w:color="000000" w:sz="0" w:space="0"/>
          <w:right w:val="none" w:color="000000" w:sz="0" w:space="0"/>
        </w:pBdr>
      </w:pPr>
      <w:r>
        <w:rPr>
          <w:rFonts w:ascii="宋体" w:hAnsi="宋体" w:cs="宋体"/>
          <w:b/>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2"/>
        </w:rPr>
        <w:t xml:space="preserve">开标一览表</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720"/>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投标人全称（加盖公章）：供应商名称</w:t>
      </w:r>
      <w:r/>
    </w:p>
    <w:p>
      <w:pPr>
        <w:ind w:firstLine="72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rPr>
          <w:rFonts w:hint="eastAsia" w:ascii="宋体" w:hAnsi="宋体" w:cs="宋体"/>
          <w:sz w:val="24"/>
        </w:rPr>
        <w:t xml:space="preserve">JSZC-320585-JZCG-G2026-0034</w:t>
      </w:r>
      <w:r/>
    </w:p>
    <w:p>
      <w:pPr>
        <w:pStyle w:val="858"/>
        <w:rPr>
          <w:lang w:eastAsia="zh-CN"/>
        </w:rPr>
      </w:pPr>
      <w:r>
        <w:rPr>
          <w:lang w:eastAsia="zh-CN"/>
        </w:rPr>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66"/>
        <w:gridCol w:w="524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新建欧亚马地块幼儿园、九年一贯制学校（横沥佳苑南侧）智能化项目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金额大写：</w:t>
            </w:r>
            <w:r/>
          </w:p>
        </w:tc>
      </w:tr>
    </w:tbl>
    <w:p>
      <w:pPr>
        <w:ind w:firstLine="723"/>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firstLine="3360"/>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hint="eastAsia" w:ascii="宋体" w:hAnsi="宋体" w:cs="宋体"/>
          <w:sz w:val="24"/>
        </w:rPr>
        <w:t xml:space="preserve"> </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月</w:t>
      </w:r>
      <w:r>
        <w:rPr>
          <w:rFonts w:hint="eastAsia" w:ascii="宋体" w:hAnsi="宋体" w:cs="宋体"/>
          <w:sz w:val="24"/>
        </w:rPr>
        <w:t xml:space="preserve"> </w:t>
      </w:r>
      <w:r>
        <w:rPr>
          <w:rFonts w:ascii="宋体" w:hAnsi="宋体" w:cs="宋体"/>
          <w:sz w:val="24"/>
        </w:rPr>
        <w:t xml:space="preserve">日</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sz w:val="28"/>
        </w:rPr>
        <w:t xml:space="preserve">7、投标报价明细表</w:t>
      </w:r>
      <w:r/>
    </w:p>
    <w:p>
      <w:pPr>
        <w:ind w:firstLine="3012"/>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p>
      <w:pPr>
        <w:ind w:firstLine="2811"/>
        <w:pBdr>
          <w:top w:val="none" w:color="000000" w:sz="0" w:space="0"/>
          <w:left w:val="none" w:color="000000" w:sz="0" w:space="0"/>
          <w:bottom w:val="none" w:color="000000" w:sz="0" w:space="0"/>
          <w:right w:val="none" w:color="000000" w:sz="0" w:space="0"/>
        </w:pBdr>
      </w:pPr>
      <w:r>
        <w:rPr>
          <w:rFonts w:ascii="宋体" w:hAnsi="宋体" w:cs="宋体"/>
          <w:b/>
          <w:sz w:val="28"/>
        </w:rPr>
        <w:t xml:space="preserve">（一）投标报价明细表</w:t>
      </w:r>
      <w:r/>
    </w:p>
    <w:p>
      <w:pPr>
        <w:ind w:firstLine="3012"/>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tbl>
      <w:tblPr>
        <w:tblStyle w:val="856"/>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hAnsi="宋体"/>
                <w:bCs/>
                <w:sz w:val="24"/>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hAnsi="宋体"/>
                <w:bCs/>
                <w:sz w:val="24"/>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hAnsi="宋体"/>
                <w:bCs/>
                <w:sz w:val="24"/>
              </w:rPr>
              <w:t xml:space="preserve">品牌、规格、型号</w:t>
            </w:r>
            <w:r>
              <w:rPr>
                <w:rFonts w:hint="eastAsia" w:hAnsi="宋体"/>
                <w:bCs/>
                <w:sz w:val="24"/>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hAnsi="宋体"/>
                <w:bCs/>
                <w:sz w:val="24"/>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hAnsi="宋体"/>
                <w:bCs/>
                <w:sz w:val="24"/>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hAnsi="宋体"/>
                <w:bCs/>
                <w:sz w:val="24"/>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hAnsi="宋体"/>
                <w:bCs/>
                <w:sz w:val="24"/>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hAnsi="宋体"/>
                <w:bCs/>
                <w:sz w:val="24"/>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hAnsi="宋体"/>
                <w:bCs/>
                <w:sz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left="0" w:right="-209"/>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rPr>
                <w:rFonts w:hint="default"/>
                <w:bCs/>
                <w:sz w:val="24"/>
              </w:rPr>
              <w:suppressLineNumbers w:val="0"/>
            </w:pPr>
            <w:r>
              <w:rPr>
                <w:rFonts w:hint="default"/>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rPr>
                <w:rFonts w:hint="default"/>
                <w:bCs/>
                <w:sz w:val="24"/>
                <w:highlight w:val="none"/>
              </w:rPr>
              <w:suppressLineNumbers w:val="0"/>
            </w:pPr>
            <w:r>
              <w:rPr>
                <w:rFonts w:hint="default"/>
                <w:bCs/>
                <w:sz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ind w:left="0" w:right="0"/>
              <w:keepLines w:val="0"/>
              <w:keepNext w:val="0"/>
              <w:spacing w:before="0" w:beforeAutospacing="0" w:after="0" w:afterAutospacing="0"/>
              <w:rPr>
                <w:rFonts w:hint="default"/>
                <w:bCs/>
                <w:sz w:val="24"/>
                <w:highlight w:val="none"/>
              </w:rPr>
              <w:suppressLineNumbers w:val="0"/>
            </w:pPr>
            <w:r>
              <w:rPr>
                <w:rFonts w:hint="default" w:hAnsi="宋体"/>
                <w:bCs/>
                <w:sz w:val="24"/>
                <w:highlight w:val="none"/>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ind w:left="0" w:right="0"/>
              <w:keepLines w:val="0"/>
              <w:keepNext w:val="0"/>
              <w:spacing w:before="0" w:beforeAutospacing="0" w:after="0" w:afterAutospacing="0"/>
              <w:rPr>
                <w:rFonts w:hint="default"/>
                <w:bCs/>
                <w:sz w:val="24"/>
                <w:highlight w:val="none"/>
              </w:rPr>
              <w:suppressLineNumbers w:val="0"/>
            </w:pPr>
            <w:r>
              <w:rPr>
                <w:rFonts w:hint="default" w:hAnsi="宋体"/>
                <w:bCs/>
                <w:sz w:val="24"/>
                <w:highlight w:val="none"/>
              </w:rPr>
              <w:t xml:space="preserve">大写：元</w:t>
            </w:r>
            <w:r>
              <w:rPr>
                <w:rFonts w:hint="eastAsia" w:hAnsi="宋体"/>
                <w:bCs/>
                <w:sz w:val="24"/>
                <w:highlight w:val="none"/>
              </w:rPr>
              <w:t xml:space="preserve">； 小写：               元</w:t>
            </w:r>
            <w:r/>
          </w:p>
        </w:tc>
      </w:tr>
      <w:tr>
        <w:trPr>
          <w:jc w:val="center"/>
          <w:trHeight w:val="1306"/>
        </w:trPr>
        <w:tc>
          <w:tcPr>
            <w:gridSpan w:val="10"/>
            <w:tcBorders>
              <w:top w:val="single" w:color="auto" w:sz="6" w:space="0"/>
              <w:left w:val="single" w:color="auto" w:sz="6" w:space="0"/>
              <w:bottom w:val="single" w:color="auto" w:sz="6" w:space="0"/>
              <w:right w:val="single" w:color="auto" w:sz="6" w:space="0"/>
            </w:tcBorders>
            <w:tcW w:w="9175" w:type="dxa"/>
            <w:vAlign w:val="center"/>
            <w:textDirection w:val="lrTb"/>
            <w:noWrap w:val="false"/>
          </w:tcPr>
          <w:p>
            <w:pPr>
              <w:ind w:left="0" w:right="0"/>
              <w:keepLines w:val="0"/>
              <w:keepNext w:val="0"/>
              <w:spacing w:before="0" w:beforeAutospacing="0" w:after="0" w:afterAutospacing="0"/>
              <w:rPr>
                <w:rFonts w:hint="eastAsia" w:hAnsi="宋体"/>
                <w:b/>
                <w:bCs/>
                <w:sz w:val="24"/>
                <w:highlight w:val="none"/>
              </w:rPr>
              <w:suppressLineNumbers w:val="0"/>
            </w:pPr>
            <w:r>
              <w:rPr>
                <w:rFonts w:hint="eastAsia" w:ascii="宋体" w:hAnsi="宋体" w:cs="宋体"/>
                <w:b/>
                <w:color w:val="000000"/>
                <w:sz w:val="24"/>
                <w:highlight w:val="none"/>
              </w:rPr>
              <w:t xml:space="preserve">本采购包中提供的符合本国产品标准的产品成本之和占该采购包提供的全部产品成本之和的比例为</w:t>
            </w:r>
            <w:r>
              <w:rPr>
                <w:rFonts w:hint="default" w:ascii="宋体" w:hAnsi="宋体" w:cs="宋体"/>
                <w:b/>
                <w:color w:val="000000"/>
                <w:sz w:val="24"/>
                <w:highlight w:val="none"/>
                <w:u w:val="single"/>
              </w:rPr>
              <w:t xml:space="preserve">      </w:t>
            </w:r>
            <w:r>
              <w:rPr>
                <w:rFonts w:hint="eastAsia" w:ascii="宋体" w:hAnsi="宋体" w:cs="宋体"/>
                <w:b/>
                <w:color w:val="000000"/>
                <w:sz w:val="24"/>
                <w:highlight w:val="none"/>
              </w:rPr>
              <w:t xml:space="preserve">%。</w:t>
            </w:r>
            <w:r/>
          </w:p>
        </w:tc>
      </w:tr>
    </w:tbl>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9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w:t>
      </w:r>
      <w:r/>
    </w:p>
    <w:p>
      <w:pPr>
        <w:ind w:firstLine="480"/>
        <w:spacing w:line="49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本表报价的合计金额应与开标一览表报价一致</w:t>
      </w:r>
      <w:r/>
    </w:p>
    <w:p>
      <w:pPr>
        <w:ind w:firstLine="480"/>
        <w:spacing w:line="49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2、本表中货物内容根据标的物填写品牌、型号、规格等信息，若涉及服务内容的，根据服务分</w:t>
      </w:r>
      <w:r/>
    </w:p>
    <w:p>
      <w:pPr>
        <w:ind w:firstLine="480"/>
        <w:spacing w:line="499" w:lineRule="atLeast"/>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3</w:t>
      </w:r>
      <w:r>
        <w:rPr>
          <w:rFonts w:hint="eastAsia" w:ascii="宋体" w:hAnsi="宋体" w:cs="宋体"/>
          <w:b/>
          <w:sz w:val="24"/>
          <w:highlight w:val="none"/>
        </w:rPr>
        <w:t xml:space="preserve">、</w:t>
      </w:r>
      <w:r>
        <w:rPr>
          <w:rFonts w:hint="eastAsia" w:ascii="宋体" w:hAnsi="宋体"/>
          <w:b/>
          <w:sz w:val="24"/>
          <w:szCs w:val="21"/>
          <w:highlight w:val="none"/>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s="宋体"/>
          <w:b/>
          <w:sz w:val="24"/>
          <w:highlight w:val="none"/>
        </w:rPr>
        <w:t xml:space="preserve">。</w:t>
      </w:r>
      <w:r/>
    </w:p>
    <w:p>
      <w:pPr>
        <w:spacing w:line="49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spacing w:line="49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spacing w:line="49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投标单位：（公章）</w:t>
      </w:r>
      <w:r/>
    </w:p>
    <w:p>
      <w:pPr>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法定代表人或委托代理人（签字或盖章）： </w:t>
      </w:r>
      <w:r/>
    </w:p>
    <w:p>
      <w:pPr>
        <w:spacing w:line="499" w:lineRule="atLeast"/>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 月 日</w:t>
      </w:r>
      <w:r/>
    </w:p>
    <w:p>
      <w:pPr>
        <w:ind w:firstLine="1506"/>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p>
      <w:pPr>
        <w:ind w:firstLine="1506"/>
        <w:pBdr>
          <w:top w:val="none" w:color="000000" w:sz="0" w:space="0"/>
          <w:left w:val="none" w:color="000000" w:sz="0" w:space="0"/>
          <w:bottom w:val="none" w:color="000000" w:sz="0" w:space="0"/>
          <w:right w:val="none" w:color="000000" w:sz="0" w:space="0"/>
        </w:pBdr>
      </w:pPr>
      <w:r/>
      <w:r/>
    </w:p>
    <w:p>
      <w:pPr>
        <w:spacing w:line="312"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1506"/>
        <w:rPr>
          <w:rFonts w:hint="eastAsia" w:ascii="宋体" w:hAnsi="宋体"/>
          <w:b/>
          <w:bCs/>
        </w:rPr>
      </w:pPr>
      <w:r>
        <w:rPr>
          <w:rFonts w:hint="eastAsia" w:ascii="宋体" w:hAnsi="宋体"/>
          <w:b/>
          <w:sz w:val="30"/>
          <w:szCs w:val="30"/>
        </w:rPr>
        <w:t xml:space="preserve">（二）投标报价合理性说明（如有）</w:t>
      </w:r>
      <w:r/>
    </w:p>
    <w:p>
      <w:pPr>
        <w:spacing w:line="420" w:lineRule="exact"/>
        <w:rPr>
          <w:rFonts w:hint="eastAsia" w:ascii="宋体" w:hAnsi="宋体"/>
          <w:b/>
        </w:rPr>
      </w:pPr>
      <w:r>
        <w:rPr>
          <w:rFonts w:hint="eastAsia" w:ascii="宋体" w:hAnsi="宋体"/>
          <w:b/>
        </w:rPr>
      </w:r>
      <w:r/>
    </w:p>
    <w:p>
      <w:pPr>
        <w:ind w:firstLine="482"/>
        <w:jc w:val="left"/>
        <w:spacing w:line="420" w:lineRule="exact"/>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注：根据</w:t>
      </w:r>
      <w:r>
        <w:rPr>
          <w:rFonts w:hint="eastAsia" w:cs="微软雅黑" w:asciiTheme="minorEastAsia" w:hAnsiTheme="minorEastAsia" w:eastAsiaTheme="minorEastAsia"/>
          <w:b/>
          <w:sz w:val="24"/>
          <w:szCs w:val="24"/>
          <w:lang w:eastAsia="zh-CN"/>
        </w:rPr>
        <w:t xml:space="preserve">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w:t>
      </w:r>
      <w:r>
        <w:rPr>
          <w:rFonts w:hint="eastAsia" w:cs="宋体" w:asciiTheme="minorEastAsia" w:hAnsiTheme="minorEastAsia" w:eastAsiaTheme="minorEastAsia"/>
          <w:b/>
          <w:sz w:val="24"/>
          <w:lang w:eastAsia="zh-CN"/>
        </w:rPr>
        <w:t xml:space="preserve"> ，若投标人的投标（响应）报价满足以下任一条件：</w:t>
      </w:r>
      <w:r/>
    </w:p>
    <w:p>
      <w:pPr>
        <w:ind w:firstLine="482"/>
        <w:jc w:val="left"/>
        <w:spacing w:line="420" w:lineRule="exact"/>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1）</w:t>
      </w:r>
      <w:r>
        <w:rPr>
          <w:rFonts w:cs="宋体" w:asciiTheme="minorEastAsia" w:hAnsiTheme="minorEastAsia" w:eastAsiaTheme="minorEastAsia"/>
          <w:b/>
          <w:bCs/>
          <w:sz w:val="24"/>
          <w:lang w:eastAsia="zh-CN"/>
        </w:rPr>
        <w:t xml:space="preserve">投标（响应）报价低于全部通过符合性审查供应商投标（响应）报价平均值50%的，即投标（响应）报价&lt;全部通过符合性审查供应商投标（响应）报价平均值×50%；</w:t>
      </w:r>
      <w:r/>
    </w:p>
    <w:p>
      <w:pPr>
        <w:ind w:firstLine="482"/>
        <w:jc w:val="left"/>
        <w:spacing w:line="420" w:lineRule="exact"/>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2）</w:t>
      </w:r>
      <w:r>
        <w:rPr>
          <w:rFonts w:cs="宋体" w:asciiTheme="minorEastAsia" w:hAnsiTheme="minorEastAsia" w:eastAsiaTheme="minorEastAsia"/>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cs="宋体" w:asciiTheme="minorEastAsia" w:hAnsiTheme="minorEastAsia" w:eastAsiaTheme="minorEastAsia"/>
          <w:b/>
          <w:sz w:val="24"/>
          <w:lang w:eastAsia="zh-CN"/>
        </w:rPr>
        <w:t xml:space="preserve">；</w:t>
      </w:r>
      <w:r/>
    </w:p>
    <w:p>
      <w:pPr>
        <w:ind w:firstLine="482"/>
        <w:jc w:val="left"/>
        <w:spacing w:line="420" w:lineRule="exact"/>
        <w:rPr>
          <w:rFonts w:hint="eastAsia" w:ascii="宋体" w:hAnsi="宋体" w:cs="宋体"/>
          <w:b/>
          <w:sz w:val="24"/>
        </w:rPr>
      </w:pPr>
      <w:r>
        <w:rPr>
          <w:rFonts w:hint="eastAsia" w:cs="宋体" w:asciiTheme="minorEastAsia" w:hAnsiTheme="minorEastAsia" w:eastAsiaTheme="minorEastAsia"/>
          <w:b/>
          <w:bCs/>
          <w:sz w:val="24"/>
          <w:lang w:eastAsia="zh-CN"/>
        </w:rPr>
        <w:t xml:space="preserve">3）</w:t>
      </w:r>
      <w:r>
        <w:rPr>
          <w:rFonts w:cs="宋体" w:asciiTheme="minorEastAsia" w:hAnsiTheme="minorEastAsia" w:eastAsiaTheme="minorEastAsia"/>
          <w:b/>
          <w:bCs/>
          <w:sz w:val="24"/>
          <w:lang w:eastAsia="zh-CN"/>
        </w:rPr>
        <w:t xml:space="preserve">投标（响应）报价低于采购项目最高限价45%的，即投标（响应）报价&lt;采购项目最高限价×45%；</w:t>
      </w:r>
      <w:r>
        <w:rPr>
          <w:rFonts w:cs="宋体" w:asciiTheme="minorEastAsia" w:hAnsiTheme="minorEastAsia" w:eastAsiaTheme="minorEastAsia"/>
          <w:b/>
          <w:bCs/>
          <w:sz w:val="24"/>
          <w:lang w:eastAsia="zh-CN"/>
        </w:rPr>
        <w:br/>
      </w:r>
      <w:r>
        <w:rPr>
          <w:rFonts w:hint="eastAsia" w:cs="宋体" w:asciiTheme="minorEastAsia" w:hAnsiTheme="minorEastAsia" w:eastAsiaTheme="minorEastAsia"/>
          <w:b/>
          <w:bCs/>
          <w:sz w:val="24"/>
          <w:lang w:eastAsia="zh-CN"/>
        </w:rPr>
        <w:t xml:space="preserve">    4）</w:t>
      </w:r>
      <w:r>
        <w:rPr>
          <w:rFonts w:cs="宋体" w:asciiTheme="minorEastAsia" w:hAnsiTheme="minorEastAsia" w:eastAsiaTheme="minorEastAsia"/>
          <w:b/>
          <w:bCs/>
          <w:sz w:val="24"/>
          <w:lang w:eastAsia="zh-CN"/>
        </w:rPr>
        <w:t xml:space="preserve">评审委员会基于专业判断，认为供应商报价过低，有可能影响产品质量或者不能诚信履约的其他情形。</w:t>
      </w:r>
      <w:r>
        <w:rPr>
          <w:rFonts w:cs="宋体" w:asciiTheme="minorEastAsia" w:hAnsiTheme="minorEastAsia" w:eastAsiaTheme="minorEastAsia"/>
          <w:b/>
          <w:bCs/>
          <w:sz w:val="24"/>
          <w:lang w:eastAsia="zh-CN"/>
        </w:rPr>
        <w:br/>
      </w:r>
      <w:r>
        <w:rPr>
          <w:rFonts w:hint="eastAsia" w:cs="宋体" w:asciiTheme="minorEastAsia" w:hAnsiTheme="minorEastAsia" w:eastAsiaTheme="minorEastAsia"/>
          <w:b/>
          <w:bCs/>
          <w:sz w:val="24"/>
          <w:lang w:eastAsia="zh-CN"/>
        </w:rPr>
        <w:t xml:space="preserve">    </w:t>
      </w:r>
      <w:r>
        <w:rPr>
          <w:rFonts w:cs="宋体" w:asciiTheme="minorEastAsia" w:hAnsiTheme="minorEastAsia" w:eastAsiaTheme="minorEastAsia"/>
          <w:b/>
          <w:bCs/>
          <w:sz w:val="24"/>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jc w:val="left"/>
        <w:spacing w:line="420" w:lineRule="exact"/>
        <w:rPr>
          <w:rFonts w:hint="eastAsia" w:ascii="宋体" w:hAnsi="宋体"/>
          <w:b/>
        </w:rPr>
      </w:pPr>
      <w:r>
        <w:rPr>
          <w:rFonts w:hint="eastAsia" w:ascii="宋体" w:hAnsi="宋体"/>
          <w:b/>
        </w:rPr>
      </w:r>
      <w:r/>
    </w:p>
    <w:p>
      <w:pPr>
        <w:spacing w:line="420" w:lineRule="exact"/>
        <w:rPr>
          <w:rFonts w:hint="eastAsia" w:ascii="宋体" w:hAnsi="宋体"/>
          <w:b/>
        </w:rPr>
      </w:pPr>
      <w:r>
        <w:rPr>
          <w:rFonts w:hint="eastAsia" w:ascii="宋体" w:hAnsi="宋体"/>
          <w:b/>
        </w:rPr>
      </w:r>
      <w:r/>
    </w:p>
    <w:p>
      <w:pPr>
        <w:spacing w:line="420" w:lineRule="exact"/>
        <w:rPr>
          <w:rFonts w:hint="eastAsia" w:ascii="宋体" w:hAnsi="宋体"/>
          <w:b/>
        </w:rPr>
      </w:pPr>
      <w:r>
        <w:rPr>
          <w:rFonts w:hint="eastAsia" w:ascii="宋体" w:hAnsi="宋体"/>
          <w:b/>
        </w:rPr>
      </w:r>
      <w:r/>
    </w:p>
    <w:p>
      <w:pPr>
        <w:spacing w:line="420" w:lineRule="exact"/>
        <w:rPr>
          <w:rFonts w:hint="eastAsia" w:ascii="宋体" w:hAnsi="宋体"/>
          <w:b/>
          <w:sz w:val="24"/>
        </w:rPr>
      </w:pPr>
      <w:r>
        <w:rPr>
          <w:rFonts w:hint="eastAsia" w:ascii="宋体" w:hAnsi="宋体"/>
          <w:b/>
          <w:sz w:val="24"/>
        </w:rPr>
      </w:r>
      <w:r/>
    </w:p>
    <w:p>
      <w:pPr>
        <w:spacing w:line="420" w:lineRule="exact"/>
        <w:rPr>
          <w:rFonts w:hint="eastAsia" w:ascii="宋体" w:hAnsi="宋体"/>
          <w:b/>
          <w:sz w:val="24"/>
        </w:rPr>
      </w:pPr>
      <w:r>
        <w:rPr>
          <w:rFonts w:hint="eastAsia" w:ascii="宋体" w:hAnsi="宋体"/>
          <w:b/>
          <w:sz w:val="24"/>
        </w:rPr>
      </w:r>
      <w:r/>
    </w:p>
    <w:p>
      <w:pPr>
        <w:spacing w:line="480" w:lineRule="exact"/>
        <w:rPr>
          <w:rFonts w:hint="eastAsia" w:asciiTheme="minorEastAsia" w:hAnsiTheme="minorEastAsia"/>
          <w:sz w:val="24"/>
        </w:rPr>
      </w:pPr>
      <w:r>
        <w:rPr>
          <w:rFonts w:hint="eastAsia" w:asciiTheme="minorEastAsia" w:hAnsiTheme="minorEastAsia"/>
          <w:sz w:val="24"/>
        </w:rPr>
      </w:r>
      <w:r/>
    </w:p>
    <w:p>
      <w:pPr>
        <w:spacing w:line="480" w:lineRule="exact"/>
        <w:rPr>
          <w:rFonts w:hint="eastAsia" w:asciiTheme="minorEastAsia" w:hAnsiTheme="minorEastAsia"/>
          <w:sz w:val="24"/>
        </w:rPr>
      </w:pPr>
      <w:r>
        <w:rPr>
          <w:rFonts w:hint="eastAsia" w:asciiTheme="minorEastAsia" w:hAnsiTheme="minorEastAsia"/>
          <w:sz w:val="24"/>
        </w:rPr>
      </w:r>
      <w:r/>
    </w:p>
    <w:p>
      <w:pPr>
        <w:spacing w:line="480" w:lineRule="exact"/>
        <w:rPr>
          <w:rFonts w:hint="eastAsia" w:asciiTheme="minorEastAsia" w:hAnsiTheme="minorEastAsia"/>
          <w:sz w:val="24"/>
        </w:rPr>
      </w:pPr>
      <w:r>
        <w:rPr>
          <w:rFonts w:hint="eastAsia" w:asciiTheme="minorEastAsia" w:hAnsiTheme="minorEastAsia"/>
          <w:sz w:val="24"/>
        </w:rPr>
        <w:t xml:space="preserve">投标单位：（公章）</w:t>
      </w:r>
      <w:r/>
    </w:p>
    <w:p>
      <w:pPr>
        <w:spacing w:line="480" w:lineRule="exact"/>
        <w:rPr>
          <w:rFonts w:hint="eastAsia" w:asciiTheme="minorEastAsia" w:hAnsiTheme="minorEastAsia"/>
          <w:sz w:val="24"/>
        </w:rPr>
      </w:pPr>
      <w:r>
        <w:rPr>
          <w:rFonts w:hint="eastAsia" w:asciiTheme="minorEastAsia" w:hAnsiTheme="minorEastAsia"/>
          <w:sz w:val="24"/>
        </w:rPr>
        <w:t xml:space="preserve">法定代表人或委托代理人（签字或盖章）： </w:t>
      </w:r>
      <w:r/>
    </w:p>
    <w:p>
      <w:pPr>
        <w:pStyle w:val="860"/>
        <w:spacing w:line="480" w:lineRule="exact"/>
        <w:rPr>
          <w:rFonts w:hint="eastAsia" w:asciiTheme="minorEastAsia" w:hAnsiTheme="minorEastAsia"/>
          <w:sz w:val="24"/>
        </w:rPr>
      </w:pPr>
      <w:r>
        <w:rPr>
          <w:rFonts w:hint="eastAsia" w:asciiTheme="minorEastAsia" w:hAnsiTheme="minorEastAsia"/>
          <w:sz w:val="24"/>
        </w:rPr>
        <w:t xml:space="preserve">投标日期：    年   月   日</w:t>
      </w:r>
      <w:r/>
    </w:p>
    <w:p>
      <w:pPr>
        <w:spacing w:line="480" w:lineRule="exact"/>
        <w:pBdr>
          <w:top w:val="none" w:color="000000" w:sz="0" w:space="0"/>
          <w:left w:val="none" w:color="000000" w:sz="0" w:space="0"/>
          <w:bottom w:val="none" w:color="000000" w:sz="0" w:space="0"/>
          <w:right w:val="none" w:color="000000" w:sz="0" w:space="0"/>
        </w:pBdr>
      </w:pPr>
      <w:r>
        <w:br w:type="page" w:clear="all"/>
      </w:r>
      <w:r/>
    </w:p>
    <w:p>
      <w:pPr>
        <w:pStyle w:val="860"/>
        <w:rPr>
          <w:rFonts w:hint="eastAsia" w:hAnsi="宋体"/>
          <w:b/>
          <w:sz w:val="32"/>
          <w:szCs w:val="32"/>
        </w:rPr>
      </w:pPr>
      <w:r>
        <w:rPr>
          <w:rFonts w:hint="eastAsia" w:hAnsi="宋体"/>
          <w:b/>
          <w:sz w:val="32"/>
          <w:szCs w:val="32"/>
        </w:rPr>
        <w:t xml:space="preserve">8、投标货物数量、品牌规格、材质、性能、交货期说明表</w:t>
      </w:r>
      <w:r/>
    </w:p>
    <w:p>
      <w:pPr>
        <w:pStyle w:val="860"/>
        <w:ind w:firstLine="1417"/>
        <w:rPr>
          <w:rFonts w:hint="eastAsia" w:hAnsi="宋体"/>
          <w:b/>
          <w:sz w:val="24"/>
        </w:rPr>
      </w:pPr>
      <w:r>
        <w:rPr>
          <w:rFonts w:hint="eastAsia" w:hAnsi="宋体"/>
          <w:b/>
          <w:sz w:val="24"/>
        </w:rPr>
      </w:r>
      <w:r/>
    </w:p>
    <w:p>
      <w:pPr>
        <w:pStyle w:val="860"/>
        <w:ind w:firstLine="1417"/>
      </w:pPr>
      <w:r>
        <w:rPr>
          <w:rFonts w:hint="eastAsia" w:hAnsi="宋体"/>
          <w:b/>
          <w:sz w:val="24"/>
        </w:rPr>
        <w:t xml:space="preserve">投标货物数量、品牌规格、材质、性能、交货期说明表</w:t>
      </w:r>
      <w:r/>
    </w:p>
    <w:tbl>
      <w:tblPr>
        <w:tblStyle w:val="856"/>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80"/>
              <w:ind w:left="0" w:right="0"/>
              <w:jc w:val="center"/>
              <w:keepLines w:val="0"/>
              <w:keepNext w:val="0"/>
              <w:spacing w:before="0" w:beforeAutospacing="0" w:after="0" w:afterAutospacing="0" w:line="360" w:lineRule="auto"/>
              <w:rPr>
                <w:rFonts w:hint="eastAsia" w:hAnsi="宋体" w:eastAsia="宋体"/>
                <w:sz w:val="24"/>
                <w:szCs w:val="24"/>
              </w:rPr>
              <w:suppressLineNumbers w:val="0"/>
            </w:pPr>
            <w:r>
              <w:rPr>
                <w:rFonts w:hint="eastAsia" w:hAnsi="宋体" w:eastAsia="宋体"/>
                <w:sz w:val="24"/>
                <w:szCs w:val="24"/>
              </w:rPr>
            </w:r>
            <w:r/>
          </w:p>
        </w:tc>
      </w:tr>
    </w:tbl>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rPr>
          <w:rFonts w:hint="eastAsia" w:ascii="宋体" w:hAnsi="宋体" w:cs="宋体"/>
          <w:b/>
          <w:bCs/>
          <w:sz w:val="32"/>
          <w:szCs w:val="32"/>
        </w:rPr>
      </w:pPr>
      <w:r>
        <w:rPr>
          <w:rFonts w:hint="eastAsia" w:ascii="宋体" w:hAnsi="宋体" w:cs="宋体"/>
          <w:b/>
          <w:bCs/>
          <w:sz w:val="32"/>
          <w:szCs w:val="32"/>
        </w:rPr>
        <w:t xml:space="preserve">9、技术（服务）要求偏离表</w:t>
      </w:r>
      <w:r/>
    </w:p>
    <w:p>
      <w:pPr>
        <w:jc w:val="both"/>
        <w:rPr>
          <w:rFonts w:hint="eastAsia" w:ascii="宋体" w:hAnsi="宋体" w:eastAsia="宋体" w:cs="宋体"/>
          <w:b/>
          <w:sz w:val="30"/>
          <w:szCs w:val="30"/>
          <w:lang w:val="en-US" w:eastAsia="zh-CN"/>
        </w:rPr>
      </w:pPr>
      <w:r/>
      <w:bookmarkStart w:id="9" w:name="OLE_LINK54"/>
      <w:r/>
      <w:r/>
    </w:p>
    <w:p>
      <w:pPr>
        <w:jc w:val="both"/>
        <w:rPr>
          <w:rFonts w:hint="eastAsia" w:ascii="宋体" w:hAnsi="宋体" w:eastAsia="宋体" w:cs="宋体"/>
          <w:b/>
          <w:sz w:val="30"/>
          <w:szCs w:val="30"/>
          <w:lang w:val="en-US" w:eastAsia="zh-CN"/>
        </w:rPr>
      </w:pPr>
      <w:r>
        <w:rPr>
          <w:rFonts w:hint="eastAsia" w:ascii="宋体" w:hAnsi="宋体" w:eastAsia="宋体" w:cs="宋体"/>
          <w:b/>
          <w:sz w:val="30"/>
          <w:szCs w:val="30"/>
          <w:lang w:val="en-US" w:eastAsia="zh-CN"/>
        </w:rPr>
      </w:r>
      <w:r/>
    </w:p>
    <w:p>
      <w:pPr>
        <w:jc w:val="both"/>
        <w:rPr>
          <w:rFonts w:ascii="宋体" w:hAnsi="宋体" w:eastAsia="宋体" w:cs="宋体"/>
          <w:b/>
          <w:sz w:val="30"/>
          <w:szCs w:val="30"/>
          <w:lang w:eastAsia="zh-CN"/>
        </w:rPr>
      </w:pPr>
      <w:r>
        <w:rPr>
          <w:rFonts w:hint="eastAsia" w:ascii="宋体" w:hAnsi="宋体" w:eastAsia="宋体" w:cs="宋体"/>
          <w:b/>
          <w:sz w:val="30"/>
          <w:szCs w:val="30"/>
          <w:lang w:val="en-US" w:eastAsia="zh-CN"/>
        </w:rPr>
        <w:t xml:space="preserve">9</w:t>
      </w:r>
      <w:r>
        <w:rPr>
          <w:rFonts w:hint="eastAsia" w:ascii="宋体" w:hAnsi="宋体" w:eastAsia="宋体" w:cs="宋体"/>
          <w:b/>
          <w:sz w:val="30"/>
          <w:szCs w:val="30"/>
          <w:lang w:eastAsia="zh-CN"/>
        </w:rPr>
        <w:t xml:space="preserve">.1、重要要求参数响应偏离表</w:t>
      </w:r>
      <w:r/>
    </w:p>
    <w:p>
      <w:pPr>
        <w:jc w:val="center"/>
        <w:rPr>
          <w:rFonts w:ascii="宋体" w:hAnsi="宋体" w:eastAsia="宋体" w:cs="宋体"/>
          <w:b/>
          <w:sz w:val="30"/>
          <w:szCs w:val="30"/>
          <w:lang w:eastAsia="zh-CN"/>
        </w:rPr>
      </w:pPr>
      <w:r>
        <w:rPr>
          <w:rFonts w:hint="eastAsia" w:ascii="宋体" w:hAnsi="宋体" w:eastAsia="宋体" w:cs="宋体"/>
          <w:b/>
          <w:sz w:val="30"/>
          <w:szCs w:val="30"/>
          <w:lang w:eastAsia="zh-CN"/>
        </w:rPr>
        <w:t xml:space="preserve">重要要求参数响应偏离表（标记</w:t>
      </w:r>
      <w:r>
        <w:rPr>
          <w:rFonts w:hint="eastAsia" w:ascii="宋体" w:hAnsi="宋体" w:eastAsia="宋体" w:cs="宋体"/>
          <w:color w:val="auto"/>
          <w:sz w:val="24"/>
          <w:szCs w:val="24"/>
          <w:lang w:eastAsia="zh-CN"/>
        </w:rPr>
        <w:t xml:space="preserve">▲</w:t>
      </w:r>
      <w:r>
        <w:rPr>
          <w:rFonts w:hint="eastAsia" w:ascii="宋体" w:hAnsi="宋体" w:eastAsia="宋体" w:cs="宋体"/>
          <w:b/>
          <w:color w:val="auto"/>
          <w:sz w:val="30"/>
          <w:szCs w:val="30"/>
          <w:lang w:eastAsia="zh-CN"/>
        </w:rPr>
        <w:t xml:space="preserve">响</w:t>
      </w:r>
      <w:r>
        <w:rPr>
          <w:rFonts w:hint="eastAsia" w:ascii="宋体" w:hAnsi="宋体" w:eastAsia="宋体" w:cs="宋体"/>
          <w:b/>
          <w:sz w:val="30"/>
          <w:szCs w:val="30"/>
          <w:lang w:eastAsia="zh-CN"/>
        </w:rPr>
        <w:t xml:space="preserve">应）</w:t>
      </w:r>
      <w:r/>
    </w:p>
    <w:p>
      <w:pPr>
        <w:pStyle w:val="857"/>
        <w:ind w:left="22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r/>
      <w:r/>
    </w:p>
    <w:tbl>
      <w:tblPr>
        <w:tblStyle w:val="856"/>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序号 </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招标文件</w:t>
            </w:r>
            <w:r/>
          </w:p>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投标文件</w:t>
            </w:r>
            <w:r/>
          </w:p>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偏离情况(正偏离/无偏离/负偏离)</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备注(证明材料位置)</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s="宋体"/>
                <w:color w:val="000000"/>
                <w:sz w:val="24"/>
                <w:szCs w:val="24"/>
              </w:rPr>
            </w:r>
            <w:r/>
          </w:p>
        </w:tc>
      </w:tr>
    </w:tbl>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3.上表所指证明材料为项目需求中要求提供的检测报告、截图、各类证书或其他形式的材料，证明材料附后。</w:t>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hint="eastAsia" w:ascii="宋体" w:hAnsi="宋体" w:eastAsia="宋体" w:cs="宋体"/>
          <w:sz w:val="24"/>
          <w:szCs w:val="24"/>
          <w:lang w:eastAsia="zh-CN"/>
        </w:rPr>
        <w:t xml:space="preserve">投标单位：（单位盖章）</w:t>
      </w:r>
      <w:r/>
    </w:p>
    <w:p>
      <w:pPr>
        <w:rPr>
          <w:rFonts w:ascii="宋体" w:hAnsi="宋体" w:eastAsia="宋体" w:cs="宋体"/>
          <w:bCs/>
          <w:sz w:val="24"/>
          <w:szCs w:val="24"/>
          <w:lang w:eastAsia="zh-CN"/>
        </w:rPr>
      </w:pPr>
      <w:r>
        <w:rPr>
          <w:rFonts w:hint="eastAsia" w:ascii="宋体" w:hAnsi="宋体" w:eastAsia="宋体" w:cs="宋体"/>
          <w:sz w:val="24"/>
          <w:szCs w:val="24"/>
          <w:lang w:eastAsia="zh-CN"/>
        </w:rPr>
        <w:t xml:space="preserve">法定代表人或代理人（签字或盖章）</w:t>
      </w:r>
      <w:r>
        <w:rPr>
          <w:rFonts w:hint="eastAsia" w:ascii="宋体" w:hAnsi="宋体" w:eastAsia="宋体" w:cs="宋体"/>
          <w:bCs/>
          <w:sz w:val="24"/>
          <w:szCs w:val="24"/>
          <w:lang w:eastAsia="zh-CN"/>
        </w:rPr>
        <w:t xml:space="preserve">：</w:t>
      </w:r>
      <w:r/>
    </w:p>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投标日期：   年   月   日</w:t>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hAnsi="宋体"/>
          <w:szCs w:val="24"/>
          <w:lang w:eastAsia="zh-CN"/>
        </w:rPr>
      </w:pPr>
      <w:r>
        <w:rPr>
          <w:rFonts w:hAnsi="宋体"/>
          <w:szCs w:val="24"/>
          <w:lang w:eastAsia="zh-CN"/>
        </w:rPr>
      </w:r>
      <w:r/>
    </w:p>
    <w:p>
      <w:pPr>
        <w:rPr>
          <w:rFonts w:hAnsi="宋体"/>
          <w:szCs w:val="24"/>
          <w:lang w:eastAsia="zh-CN"/>
        </w:rPr>
        <w:sectPr>
          <w:footnotePr/>
          <w:endnotePr/>
          <w:type w:val="nextPage"/>
          <w:pgSz w:w="11906" w:h="16838" w:orient="portrait"/>
          <w:pgMar w:top="1157" w:right="1236" w:bottom="1157" w:left="1236" w:header="851" w:footer="992" w:gutter="0"/>
          <w:cols w:num="1" w:sep="0" w:space="1701" w:equalWidth="1"/>
          <w:docGrid w:linePitch="360"/>
        </w:sectPr>
      </w:pPr>
      <w:r>
        <w:rPr>
          <w:rFonts w:hAnsi="宋体"/>
          <w:szCs w:val="24"/>
          <w:lang w:eastAsia="zh-CN"/>
        </w:rPr>
      </w:r>
      <w:r/>
    </w:p>
    <w:p>
      <w:pPr>
        <w:rPr>
          <w:rFonts w:ascii="宋体" w:hAnsi="宋体" w:eastAsia="宋体" w:cs="宋体"/>
          <w:b/>
          <w:sz w:val="30"/>
          <w:szCs w:val="30"/>
          <w:lang w:eastAsia="zh-CN"/>
        </w:rPr>
      </w:pPr>
      <w:r>
        <w:rPr>
          <w:rFonts w:hint="eastAsia" w:ascii="宋体" w:hAnsi="宋体" w:eastAsia="宋体" w:cs="宋体"/>
          <w:b/>
          <w:sz w:val="30"/>
          <w:szCs w:val="30"/>
          <w:lang w:val="en-US" w:eastAsia="zh-CN"/>
        </w:rPr>
        <w:t xml:space="preserve">9</w:t>
      </w:r>
      <w:r>
        <w:rPr>
          <w:rFonts w:hint="eastAsia" w:ascii="宋体" w:hAnsi="宋体" w:eastAsia="宋体" w:cs="宋体"/>
          <w:b/>
          <w:sz w:val="30"/>
          <w:szCs w:val="30"/>
          <w:lang w:eastAsia="zh-CN"/>
        </w:rPr>
        <w:t xml:space="preserve">.2、一般性要求参数响应偏离表</w:t>
      </w:r>
      <w:r/>
    </w:p>
    <w:p>
      <w:pPr>
        <w:jc w:val="center"/>
        <w:rPr>
          <w:rFonts w:hAnsi="宋体" w:cs="宋体"/>
          <w:b/>
          <w:sz w:val="30"/>
          <w:szCs w:val="30"/>
          <w:lang w:eastAsia="zh-CN"/>
        </w:rPr>
      </w:pPr>
      <w:r>
        <w:rPr>
          <w:rFonts w:hint="eastAsia" w:hAnsi="宋体" w:cs="宋体"/>
          <w:b/>
          <w:sz w:val="30"/>
          <w:szCs w:val="30"/>
          <w:lang w:eastAsia="zh-CN"/>
        </w:rPr>
        <w:t xml:space="preserve">一般性要求参数响应偏离表（非标</w:t>
      </w:r>
      <w:r>
        <w:rPr>
          <w:rFonts w:hint="eastAsia" w:hAnsi="宋体" w:cs="宋体"/>
          <w:b/>
          <w:color w:val="auto"/>
          <w:sz w:val="30"/>
          <w:szCs w:val="30"/>
          <w:highlight w:val="none"/>
          <w:lang w:eastAsia="zh-CN"/>
        </w:rPr>
        <w:t xml:space="preserve">记</w:t>
      </w:r>
      <w:r>
        <w:rPr>
          <w:rFonts w:hint="eastAsia" w:ascii="宋体" w:hAnsi="宋体" w:eastAsia="宋体" w:cs="宋体"/>
          <w:color w:val="auto"/>
          <w:sz w:val="24"/>
          <w:szCs w:val="24"/>
          <w:highlight w:val="none"/>
          <w:lang w:eastAsia="zh-CN"/>
        </w:rPr>
        <w:t xml:space="preserve">▲</w:t>
      </w:r>
      <w:r>
        <w:rPr>
          <w:rFonts w:hint="eastAsia" w:hAnsi="宋体" w:cs="宋体"/>
          <w:b/>
          <w:color w:val="auto"/>
          <w:sz w:val="30"/>
          <w:szCs w:val="30"/>
          <w:highlight w:val="none"/>
          <w:lang w:eastAsia="zh-CN"/>
        </w:rPr>
        <w:t xml:space="preserve">响</w:t>
      </w:r>
      <w:r>
        <w:rPr>
          <w:rFonts w:hint="eastAsia" w:hAnsi="宋体" w:cs="宋体"/>
          <w:b/>
          <w:sz w:val="30"/>
          <w:szCs w:val="30"/>
          <w:lang w:eastAsia="zh-CN"/>
        </w:rPr>
        <w:t xml:space="preserve">应）</w:t>
      </w:r>
      <w:r/>
    </w:p>
    <w:p>
      <w:pPr>
        <w:pStyle w:val="857"/>
        <w:ind w:left="22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r/>
      <w:r/>
    </w:p>
    <w:tbl>
      <w:tblPr>
        <w:tblStyle w:val="856"/>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序号 </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招标文件</w:t>
            </w:r>
            <w:r/>
          </w:p>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投标文件</w:t>
            </w:r>
            <w:r/>
          </w:p>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t xml:space="preserve">偏离情况(正偏离/无偏离/负偏离)</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备注</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rPr>
              <w:suppressLineNumbers w:val="0"/>
            </w:pPr>
            <w:r>
              <w:rPr>
                <w:rFonts w:hint="default" w:ascii="宋体" w:hAnsi="宋体" w:eastAsia="宋体" w:cs="宋体"/>
                <w:color w:val="000000"/>
                <w:sz w:val="24"/>
                <w:szCs w:val="24"/>
              </w:rPr>
            </w:r>
            <w:r/>
          </w:p>
        </w:tc>
      </w:tr>
    </w:tbl>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bookmarkEnd w:id="9"/>
      <w:r/>
      <w:r/>
    </w:p>
    <w:p>
      <w:pPr>
        <w:pStyle w:val="883"/>
        <w:rPr>
          <w:rFonts w:hint="eastAsia" w:ascii="宋体" w:hAnsi="宋体" w:eastAsia="宋体" w:cs="宋体"/>
          <w:sz w:val="24"/>
        </w:rPr>
      </w:pPr>
      <w:r>
        <w:rPr>
          <w:rFonts w:hint="eastAsia" w:ascii="宋体" w:hAnsi="宋体" w:eastAsia="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spacing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85"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eastAsia="宋体" w:cs="宋体"/>
          <w:sz w:val="24"/>
          <w:szCs w:val="24"/>
          <w:lang w:eastAsia="zh-CN"/>
        </w:rPr>
      </w:pPr>
      <w:r>
        <w:rPr>
          <w:rFonts w:hint="eastAsia" w:ascii="宋体" w:hAnsi="宋体" w:eastAsia="宋体" w:cs="宋体"/>
          <w:sz w:val="24"/>
          <w:szCs w:val="24"/>
          <w:lang w:eastAsia="zh-CN"/>
        </w:rPr>
        <w:t xml:space="preserve">投标单位：（单位盖章）</w:t>
      </w:r>
      <w:r/>
    </w:p>
    <w:p>
      <w:pPr>
        <w:rPr>
          <w:rFonts w:ascii="宋体" w:hAnsi="宋体" w:eastAsia="宋体" w:cs="宋体"/>
          <w:bCs/>
          <w:sz w:val="24"/>
          <w:szCs w:val="24"/>
          <w:lang w:eastAsia="zh-CN"/>
        </w:rPr>
      </w:pPr>
      <w:r>
        <w:rPr>
          <w:rFonts w:hint="eastAsia" w:ascii="宋体" w:hAnsi="宋体" w:eastAsia="宋体" w:cs="宋体"/>
          <w:sz w:val="24"/>
          <w:szCs w:val="24"/>
          <w:lang w:eastAsia="zh-CN"/>
        </w:rPr>
        <w:t xml:space="preserve">法定代表人或代理人（签字或盖章）</w:t>
      </w:r>
      <w:r>
        <w:rPr>
          <w:rFonts w:hint="eastAsia" w:ascii="宋体" w:hAnsi="宋体" w:eastAsia="宋体" w:cs="宋体"/>
          <w:bCs/>
          <w:sz w:val="24"/>
          <w:szCs w:val="24"/>
          <w:lang w:eastAsia="zh-CN"/>
        </w:rPr>
        <w:t xml:space="preserve">：</w:t>
      </w:r>
      <w:r/>
    </w:p>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投标日期：   年   月   日</w:t>
      </w:r>
      <w:r/>
    </w:p>
    <w:p>
      <w:pPr>
        <w:spacing w:line="85"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spacing w:line="85"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spacing w:line="85"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spacing w:line="85"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spacing w:line="85"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spacing w:line="85"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spacing w:line="85" w:lineRule="atLeast"/>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10、商务偏离表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pacing w:val="20"/>
          <w:sz w:val="32"/>
        </w:rPr>
        <w:t xml:space="preserve">商务条款偏离表</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注：</w:t>
      </w:r>
      <w:r/>
    </w:p>
    <w:p>
      <w:pPr>
        <w:ind w:firstLine="480"/>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2、若事项较多，投标人可根据响应内容的实际情况另纸说明。</w:t>
      </w:r>
      <w:r/>
    </w:p>
    <w:p>
      <w:pPr>
        <w:ind w:firstLine="480"/>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 月 日</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hint="eastAsia" w:ascii="宋体" w:hAnsi="宋体"/>
          <w:b/>
          <w:bCs/>
          <w:sz w:val="32"/>
          <w:szCs w:val="32"/>
        </w:rPr>
      </w:pPr>
      <w:r>
        <w:rPr>
          <w:rFonts w:ascii="宋体" w:hAnsi="宋体" w:cs="宋体"/>
          <w:b/>
          <w:sz w:val="32"/>
        </w:rPr>
        <w:t xml:space="preserve">11、</w:t>
      </w:r>
      <w:r>
        <w:rPr>
          <w:rFonts w:hint="eastAsia" w:ascii="宋体" w:hAnsi="宋体"/>
          <w:b/>
          <w:bCs/>
          <w:sz w:val="32"/>
          <w:szCs w:val="32"/>
        </w:rPr>
        <w:t xml:space="preserve">项目技术方案及服务方案</w:t>
      </w:r>
      <w:r/>
    </w:p>
    <w:p>
      <w:pPr>
        <w:rPr>
          <w:rFonts w:hint="eastAsia" w:ascii="宋体" w:hAnsi="宋体" w:cs="Arial"/>
          <w:sz w:val="24"/>
          <w:szCs w:val="21"/>
        </w:rPr>
      </w:pPr>
      <w:r>
        <w:rPr>
          <w:rFonts w:hint="eastAsia" w:ascii="宋体" w:hAnsi="宋体" w:cs="Arial"/>
          <w:sz w:val="24"/>
          <w:szCs w:val="21"/>
        </w:rPr>
      </w:r>
      <w:r/>
    </w:p>
    <w:p>
      <w:pPr>
        <w:ind w:firstLine="480"/>
        <w:rPr>
          <w:rFonts w:hint="eastAsia" w:ascii="宋体" w:hAnsi="宋体"/>
          <w:b/>
          <w:bCs/>
          <w:sz w:val="32"/>
          <w:szCs w:val="32"/>
        </w:rPr>
      </w:pPr>
      <w:r>
        <w:rPr>
          <w:rFonts w:hint="eastAsia" w:ascii="宋体" w:hAnsi="宋体" w:cs="Arial"/>
          <w:sz w:val="24"/>
          <w:szCs w:val="21"/>
        </w:rPr>
        <w:t xml:space="preserve">投标人根据项目需求编写针对本项目的技术方案及服务方案</w:t>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t xml:space="preserve">12、项目实施方案及进度方案</w:t>
      </w:r>
      <w:r/>
    </w:p>
    <w:p>
      <w:pPr>
        <w:rPr>
          <w:rFonts w:hint="eastAsia" w:ascii="宋体" w:hAnsi="宋体"/>
          <w:sz w:val="24"/>
        </w:rPr>
      </w:pPr>
      <w:r>
        <w:rPr>
          <w:rFonts w:hint="eastAsia" w:ascii="宋体" w:hAnsi="宋体"/>
          <w:sz w:val="24"/>
        </w:rPr>
      </w:r>
      <w:r/>
    </w:p>
    <w:p>
      <w:pPr>
        <w:ind w:firstLine="480"/>
        <w:spacing w:line="360" w:lineRule="auto"/>
        <w:rPr>
          <w:rFonts w:hint="eastAsia" w:ascii="宋体" w:hAnsi="宋体" w:cs="Arial"/>
          <w:sz w:val="24"/>
          <w:szCs w:val="21"/>
        </w:rPr>
      </w:pPr>
      <w:r>
        <w:rPr>
          <w:rFonts w:hint="eastAsia" w:ascii="宋体" w:hAnsi="宋体" w:cs="Arial"/>
          <w:sz w:val="24"/>
          <w:szCs w:val="21"/>
        </w:rPr>
        <w:t xml:space="preserve">投标人根据项目需求编写针对本项目的实施方案及进度方案</w:t>
      </w:r>
      <w:r/>
    </w:p>
    <w:p>
      <w:pPr>
        <w:rPr>
          <w:rFonts w:hint="eastAsia" w:ascii="宋体" w:hAnsi="宋体" w:cs="Arial"/>
          <w:sz w:val="24"/>
          <w:szCs w:val="21"/>
        </w:rPr>
      </w:pPr>
      <w:r>
        <w:rPr>
          <w:rFonts w:hint="eastAsia" w:ascii="宋体" w:hAnsi="宋体" w:cs="Arial"/>
          <w:sz w:val="24"/>
          <w:szCs w:val="21"/>
        </w:rPr>
      </w:r>
      <w:r/>
    </w:p>
    <w:p>
      <w:pPr>
        <w:rPr>
          <w:rFonts w:hint="eastAsia" w:ascii="宋体" w:hAnsi="宋体" w:cs="Arial"/>
          <w:sz w:val="24"/>
          <w:szCs w:val="21"/>
        </w:rPr>
      </w:pPr>
      <w:r>
        <w:rPr>
          <w:rFonts w:hint="eastAsia" w:ascii="宋体" w:hAnsi="宋体" w:cs="Arial"/>
          <w:sz w:val="24"/>
          <w:szCs w:val="21"/>
        </w:rPr>
      </w:r>
      <w:r/>
    </w:p>
    <w:p>
      <w:pPr>
        <w:rPr>
          <w:rFonts w:hint="eastAsia" w:ascii="宋体" w:hAnsi="宋体" w:cs="Arial"/>
          <w:sz w:val="24"/>
          <w:szCs w:val="21"/>
        </w:rPr>
      </w:pPr>
      <w:r>
        <w:rPr>
          <w:rFonts w:hint="eastAsia" w:ascii="宋体" w:hAnsi="宋体" w:cs="Arial"/>
          <w:sz w:val="24"/>
          <w:szCs w:val="21"/>
        </w:rPr>
      </w:r>
      <w:r/>
    </w:p>
    <w:p>
      <w:pPr>
        <w:rPr>
          <w:rFonts w:hint="eastAsia" w:ascii="宋体" w:hAnsi="宋体" w:cs="Arial"/>
          <w:sz w:val="24"/>
          <w:szCs w:val="21"/>
        </w:rPr>
      </w:pPr>
      <w:r>
        <w:rPr>
          <w:rFonts w:hint="eastAsia" w:ascii="宋体" w:hAnsi="宋体" w:cs="Arial"/>
          <w:sz w:val="24"/>
          <w:szCs w:val="21"/>
        </w:rPr>
      </w:r>
      <w:r/>
    </w:p>
    <w:p>
      <w:pPr>
        <w:rPr>
          <w:rFonts w:hint="eastAsia" w:ascii="宋体" w:hAnsi="宋体" w:cs="Arial"/>
          <w:sz w:val="24"/>
          <w:szCs w:val="21"/>
        </w:rPr>
      </w:pPr>
      <w:r>
        <w:rPr>
          <w:rFonts w:hint="eastAsia" w:ascii="宋体" w:hAnsi="宋体" w:cs="Arial"/>
          <w:sz w:val="24"/>
          <w:szCs w:val="21"/>
        </w:rPr>
      </w:r>
      <w:r/>
    </w:p>
    <w:p>
      <w:pPr>
        <w:rPr>
          <w:rFonts w:hint="eastAsia" w:ascii="宋体" w:hAnsi="宋体"/>
          <w:b/>
          <w:bCs/>
          <w:sz w:val="32"/>
          <w:szCs w:val="32"/>
        </w:rPr>
      </w:pPr>
      <w:r>
        <w:rPr>
          <w:rFonts w:hint="eastAsia" w:ascii="宋体" w:hAnsi="宋体"/>
          <w:b/>
          <w:bCs/>
          <w:sz w:val="32"/>
          <w:szCs w:val="32"/>
        </w:rPr>
      </w:r>
      <w:r/>
    </w:p>
    <w:p>
      <w:pPr>
        <w:pBdr>
          <w:top w:val="none" w:color="000000" w:sz="0" w:space="0"/>
          <w:left w:val="none" w:color="000000" w:sz="0" w:space="0"/>
          <w:bottom w:val="none" w:color="000000" w:sz="0" w:space="0"/>
          <w:right w:val="none" w:color="000000" w:sz="0" w:space="0"/>
        </w:pBdr>
      </w:pPr>
      <w:r>
        <w:rPr>
          <w:rFonts w:hint="eastAsia" w:ascii="宋体" w:hAnsi="宋体"/>
          <w:b/>
          <w:bCs/>
          <w:sz w:val="32"/>
          <w:szCs w:val="32"/>
        </w:rPr>
        <w:t xml:space="preserve">13、项目质量保证措施及承诺</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投标人根据项目需求编写针对本项目的质量保证措施及承诺</w:t>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before="240" w:after="240"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before="240" w:after="240"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before="240" w:after="240" w:line="85"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before="240" w:after="240" w:line="85"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14、项目售后服务方案</w:t>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投标人根据项目需求编写针对本项目的售后服务方案</w:t>
      </w:r>
      <w:r/>
    </w:p>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
    </w:p>
    <w:p>
      <w:pPr>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r>
      <w:r/>
    </w:p>
    <w:p>
      <w:pPr>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r>
      <w:r/>
    </w:p>
    <w:p>
      <w:pPr>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rPr>
          <w:rFonts w:ascii="宋体" w:hAnsi="宋体" w:cs="宋体"/>
          <w:b/>
          <w:sz w:val="32"/>
          <w:highlight w:val="none"/>
        </w:rPr>
      </w:r>
      <w:r/>
    </w:p>
    <w:p>
      <w:pPr>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15、企业类似业绩一览表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8"/>
        </w:rPr>
        <w:t xml:space="preserve">企业类似业绩一览表</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合同金额</w:t>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24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附：按照招标文件要求及评分标准提供相应证明材料</w:t>
      </w:r>
      <w:r/>
    </w:p>
    <w:p>
      <w:pPr>
        <w:ind w:firstLine="480"/>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80"/>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16、拟投入本项目的专业技术（服务）人员情况一览表</w:t>
      </w:r>
      <w:r/>
    </w:p>
    <w:p>
      <w:pPr>
        <w:ind w:firstLine="1043"/>
        <w:spacing w:before="240" w:after="240"/>
        <w:pBdr>
          <w:top w:val="none" w:color="000000" w:sz="0" w:space="0"/>
          <w:left w:val="none" w:color="000000" w:sz="0" w:space="0"/>
          <w:bottom w:val="none" w:color="000000" w:sz="0" w:space="0"/>
          <w:right w:val="none" w:color="000000" w:sz="0" w:space="0"/>
        </w:pBdr>
      </w:pPr>
      <w:r>
        <w:rPr>
          <w:rFonts w:ascii="宋体" w:hAnsi="宋体" w:cs="宋体"/>
          <w:b/>
          <w:sz w:val="28"/>
        </w:rPr>
        <w:t xml:space="preserve">拟投入本项目的专业技术（服务）人员情况一览表</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pBdr>
                <w:top w:val="none" w:color="000000" w:sz="0" w:space="0"/>
                <w:left w:val="none" w:color="000000" w:sz="0" w:space="0"/>
                <w:bottom w:val="none" w:color="000000" w:sz="0" w:space="0"/>
                <w:right w:val="none" w:color="000000" w:sz="0" w:space="0"/>
              </w:pBdr>
            </w:pPr>
            <w:r>
              <w:rPr>
                <w:rFonts w:ascii="宋体" w:hAnsi="宋体" w:cs="宋体"/>
                <w:b/>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bl>
    <w:p>
      <w:pPr>
        <w:spacing w:line="4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附：1、按照招标文件要求提供相应资质证明材料。</w:t>
      </w:r>
      <w:r/>
    </w:p>
    <w:p>
      <w:pPr>
        <w:spacing w:line="4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574"/>
        <w:spacing w:line="312" w:lineRule="atLeast"/>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hint="eastAsia" w:ascii="宋体" w:hAnsi="宋体" w:cs="宋体"/>
          <w:sz w:val="28"/>
        </w:rPr>
      </w:r>
      <w:r/>
    </w:p>
    <w:p>
      <w:pPr>
        <w:ind w:firstLine="574"/>
        <w:spacing w:line="312" w:lineRule="atLeast"/>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hint="eastAsia" w:ascii="宋体" w:hAnsi="宋体" w:cs="宋体"/>
          <w:sz w:val="28"/>
        </w:rPr>
      </w:r>
      <w:r/>
    </w:p>
    <w:p>
      <w:pPr>
        <w:ind w:firstLine="574"/>
        <w:spacing w:line="312" w:lineRule="atLeast"/>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hint="eastAsia" w:ascii="宋体" w:hAnsi="宋体" w:cs="宋体"/>
          <w:sz w:val="28"/>
        </w:rPr>
      </w:r>
      <w:r/>
    </w:p>
    <w:p>
      <w:pPr>
        <w:ind w:firstLine="574"/>
        <w:spacing w:line="312"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9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 月 日</w:t>
      </w:r>
      <w:r/>
    </w:p>
    <w:p>
      <w:pPr>
        <w:spacing w:line="360" w:lineRule="auto"/>
        <w:rPr>
          <w:rFonts w:hint="eastAsia" w:ascii="宋体" w:hAnsi="宋体" w:cs="宋体"/>
          <w:b/>
        </w:rPr>
      </w:pPr>
      <w:r>
        <w:rPr>
          <w:rFonts w:hint="eastAsia" w:ascii="宋体" w:hAnsi="宋体" w:cs="宋体"/>
          <w:b/>
          <w:sz w:val="32"/>
          <w:szCs w:val="32"/>
        </w:rPr>
        <w:t xml:space="preserve">17、中小企业声明函（如有）       </w:t>
      </w:r>
      <w:r>
        <w:rPr>
          <w:rFonts w:hint="eastAsia" w:ascii="宋体" w:hAnsi="宋体" w:cs="宋体"/>
          <w:b/>
        </w:rPr>
        <w:t xml:space="preserve">           </w:t>
      </w:r>
      <w:r/>
    </w:p>
    <w:p>
      <w:pPr>
        <w:spacing w:line="460" w:lineRule="exact"/>
        <w:rPr>
          <w:rFonts w:hint="eastAsia" w:ascii="宋体" w:hAnsi="宋体" w:cs="宋体"/>
          <w:b/>
        </w:rPr>
      </w:pPr>
      <w:r>
        <w:rPr>
          <w:rFonts w:hint="eastAsia" w:ascii="宋体" w:hAnsi="宋体" w:cs="宋体"/>
          <w:b/>
        </w:rPr>
        <w:t xml:space="preserve">                        </w:t>
      </w:r>
      <w:r/>
    </w:p>
    <w:p>
      <w:pPr>
        <w:jc w:val="center"/>
        <w:spacing w:line="460" w:lineRule="exact"/>
        <w:rPr>
          <w:rFonts w:hint="eastAsia" w:ascii="宋体" w:hAnsi="宋体" w:cs="宋体"/>
          <w:b/>
          <w:sz w:val="28"/>
          <w:szCs w:val="28"/>
        </w:rPr>
      </w:pPr>
      <w:r>
        <w:rPr>
          <w:rFonts w:hint="eastAsia" w:ascii="宋体" w:hAnsi="宋体" w:cs="宋体"/>
          <w:b/>
          <w:sz w:val="28"/>
          <w:szCs w:val="28"/>
        </w:rPr>
        <w:t xml:space="preserve">中小企业声明函（货物）</w:t>
      </w:r>
      <w:r/>
    </w:p>
    <w:p>
      <w:pPr>
        <w:ind w:firstLine="480"/>
        <w:spacing w:line="460" w:lineRule="exact"/>
        <w:rPr>
          <w:rFonts w:hint="eastAsia"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b/>
          <w:i/>
          <w:sz w:val="24"/>
          <w:u w:val="single"/>
        </w:rPr>
        <w:t xml:space="preserve">（单位名称）</w:t>
      </w:r>
      <w:r>
        <w:rPr>
          <w:rFonts w:hint="eastAsia" w:ascii="宋体" w:hAnsi="宋体" w:cs="宋体"/>
          <w:sz w:val="24"/>
        </w:rPr>
        <w:t xml:space="preserve">的</w:t>
      </w:r>
      <w:r>
        <w:rPr>
          <w:rFonts w:hint="eastAsia" w:ascii="宋体" w:hAnsi="宋体" w:cs="宋体"/>
          <w:b/>
          <w:i/>
          <w:sz w:val="24"/>
          <w:u w:val="single"/>
        </w:rPr>
        <w:t xml:space="preserve">（项目名称），编号  </w:t>
      </w:r>
      <w:r>
        <w:rPr>
          <w:rFonts w:hint="eastAsia" w:ascii="宋体" w:hAnsi="宋体" w:cs="宋体"/>
          <w:sz w:val="24"/>
        </w:rPr>
        <w:t xml:space="preserve">采购活动，提供的货物全部由符合政策要求的中小企业制造。相关企业的具体情况如下：</w:t>
      </w:r>
      <w:r/>
    </w:p>
    <w:p>
      <w:pPr>
        <w:numPr>
          <w:ilvl w:val="0"/>
          <w:numId w:val="9"/>
        </w:numPr>
        <w:ind w:firstLine="482"/>
        <w:jc w:val="left"/>
        <w:spacing w:after="200" w:line="460" w:lineRule="exact"/>
        <w:widowControl/>
        <w:rPr>
          <w:rFonts w:hint="eastAsia" w:ascii="宋体" w:hAnsi="宋体" w:cs="宋体"/>
          <w:sz w:val="24"/>
        </w:rPr>
      </w:pPr>
      <w:r>
        <w:rPr>
          <w:rFonts w:hint="eastAsia" w:ascii="宋体" w:hAnsi="宋体" w:cs="宋体"/>
          <w:b/>
          <w:i/>
          <w:sz w:val="24"/>
          <w:u w:val="single"/>
        </w:rPr>
        <w:t xml:space="preserve">（标的名称）</w:t>
      </w:r>
      <w:r>
        <w:rPr>
          <w:rFonts w:hint="eastAsia" w:ascii="宋体" w:hAnsi="宋体" w:cs="宋体"/>
          <w:sz w:val="24"/>
        </w:rPr>
        <w:t xml:space="preserve">，属于</w:t>
      </w:r>
      <w:r>
        <w:rPr>
          <w:rFonts w:hint="eastAsia" w:ascii="宋体" w:hAnsi="宋体" w:cs="宋体"/>
          <w:i/>
          <w:sz w:val="24"/>
          <w:u w:val="single"/>
        </w:rPr>
        <w:t xml:space="preserve">   工业    </w:t>
      </w:r>
      <w:r>
        <w:rPr>
          <w:rFonts w:hint="eastAsia" w:ascii="宋体" w:hAnsi="宋体" w:cs="宋体"/>
          <w:sz w:val="24"/>
        </w:rPr>
        <w:t xml:space="preserve">行业；制造商为</w:t>
      </w:r>
      <w:r>
        <w:rPr>
          <w:rFonts w:hint="eastAsia" w:ascii="宋体" w:hAnsi="宋体" w:cs="宋体"/>
          <w:b/>
          <w:i/>
          <w:sz w:val="24"/>
          <w:u w:val="single"/>
        </w:rPr>
        <w:t xml:space="preserve">（企业名称）</w:t>
      </w:r>
      <w:r>
        <w:rPr>
          <w:rFonts w:hint="eastAsia" w:ascii="宋体" w:hAnsi="宋体" w:cs="宋体"/>
          <w:sz w:val="24"/>
        </w:rPr>
        <w:t xml:space="preserve">，从业人员</w:t>
      </w:r>
      <w:r>
        <w:rPr>
          <w:rFonts w:hint="eastAsia" w:ascii="宋体" w:hAnsi="宋体" w:cs="宋体"/>
          <w:i/>
          <w:sz w:val="24"/>
          <w:u w:val="single"/>
        </w:rPr>
        <w:tab/>
      </w:r>
      <w:r>
        <w:rPr>
          <w:rFonts w:hint="eastAsia" w:ascii="宋体" w:hAnsi="宋体" w:cs="宋体"/>
          <w:sz w:val="24"/>
        </w:rPr>
        <w:t xml:space="preserve">人，营业收入为</w:t>
      </w:r>
      <w:r>
        <w:rPr>
          <w:rFonts w:hint="eastAsia" w:ascii="宋体" w:hAnsi="宋体" w:cs="宋体"/>
          <w:i/>
          <w:sz w:val="24"/>
          <w:u w:val="single"/>
        </w:rPr>
        <w:tab/>
      </w:r>
      <w:r>
        <w:rPr>
          <w:rFonts w:hint="eastAsia" w:ascii="宋体" w:hAnsi="宋体" w:cs="宋体"/>
          <w:sz w:val="24"/>
        </w:rPr>
        <w:t xml:space="preserve">万元，资产总额为</w:t>
      </w:r>
      <w:r>
        <w:rPr>
          <w:rFonts w:hint="eastAsia" w:ascii="宋体" w:hAnsi="宋体" w:cs="宋体"/>
          <w:i/>
          <w:sz w:val="24"/>
          <w:u w:val="single"/>
        </w:rPr>
        <w:tab/>
      </w:r>
      <w:r>
        <w:rPr>
          <w:rFonts w:hint="eastAsia" w:ascii="宋体" w:hAnsi="宋体" w:cs="宋体"/>
          <w:sz w:val="24"/>
        </w:rPr>
        <w:t xml:space="preserve">万元</w:t>
      </w:r>
      <w:r>
        <w:fldChar w:fldCharType="begin"/>
      </w:r>
      <w:r>
        <w:instrText xml:space="preserve"> HYPERLINK \l "_bookmark1" </w:instrText>
      </w:r>
      <w:r>
        <w:fldChar w:fldCharType="separate"/>
      </w:r>
      <w:r>
        <w:rPr>
          <w:rFonts w:hint="eastAsia" w:ascii="宋体" w:hAnsi="宋体" w:cs="宋体"/>
          <w:position w:val="16"/>
          <w:sz w:val="24"/>
        </w:rPr>
        <w:t xml:space="preserve">1</w:t>
      </w:r>
      <w:r>
        <w:rPr>
          <w:rFonts w:hint="eastAsia" w:ascii="宋体" w:hAnsi="宋体" w:cs="宋体"/>
          <w:position w:val="16"/>
          <w:sz w:val="24"/>
        </w:rPr>
        <w:fldChar w:fldCharType="end"/>
      </w:r>
      <w:r>
        <w:rPr>
          <w:rFonts w:hint="eastAsia" w:ascii="宋体" w:hAnsi="宋体" w:cs="宋体"/>
          <w:sz w:val="24"/>
        </w:rPr>
        <w:t xml:space="preserve">，属于</w:t>
      </w:r>
      <w:r>
        <w:rPr>
          <w:rFonts w:hint="eastAsia" w:ascii="宋体" w:hAnsi="宋体" w:cs="宋体"/>
          <w:i/>
          <w:sz w:val="24"/>
          <w:u w:val="single"/>
        </w:rPr>
        <w:tab/>
      </w:r>
      <w:r>
        <w:rPr>
          <w:rFonts w:hint="eastAsia" w:ascii="宋体" w:hAnsi="宋体" w:cs="宋体"/>
          <w:b/>
          <w:i/>
          <w:sz w:val="24"/>
        </w:rPr>
        <w:t xml:space="preserve">（中型企业、小型企业、微型企业，</w:t>
      </w:r>
      <w:r>
        <w:rPr>
          <w:rFonts w:hint="eastAsia" w:ascii="宋体" w:hAnsi="宋体" w:cs="宋体"/>
          <w:b/>
          <w:bCs/>
          <w:i/>
          <w:sz w:val="24"/>
        </w:rPr>
        <w:t xml:space="preserve">三者选一填写</w:t>
      </w:r>
      <w:r>
        <w:rPr>
          <w:rFonts w:hint="eastAsia" w:ascii="宋体" w:hAnsi="宋体" w:cs="宋体"/>
          <w:b/>
          <w:i/>
          <w:sz w:val="24"/>
        </w:rPr>
        <w:t xml:space="preserve">）</w:t>
      </w:r>
      <w:r>
        <w:rPr>
          <w:rFonts w:hint="eastAsia" w:ascii="宋体" w:hAnsi="宋体" w:cs="宋体"/>
          <w:sz w:val="24"/>
        </w:rPr>
        <w:t xml:space="preserve">；</w:t>
      </w:r>
      <w:r/>
    </w:p>
    <w:p>
      <w:pPr>
        <w:ind w:firstLine="480"/>
        <w:spacing w:line="460" w:lineRule="exact"/>
        <w:rPr>
          <w:rFonts w:hint="eastAsia" w:ascii="宋体" w:hAnsi="宋体" w:cs="宋体"/>
        </w:rPr>
      </w:pPr>
      <w:r>
        <w:rPr>
          <w:rFonts w:hint="eastAsia" w:ascii="宋体" w:hAnsi="宋体" w:cs="宋体"/>
          <w:sz w:val="24"/>
        </w:rPr>
        <w:t xml:space="preserve">2、</w:t>
      </w:r>
      <w:r>
        <w:rPr>
          <w:rFonts w:hint="eastAsia" w:ascii="宋体" w:hAnsi="宋体" w:cs="宋体"/>
          <w:b/>
          <w:i/>
          <w:sz w:val="24"/>
          <w:u w:val="single"/>
        </w:rPr>
        <w:t xml:space="preserve">（标的名称）</w:t>
      </w:r>
      <w:r>
        <w:rPr>
          <w:rFonts w:hint="eastAsia" w:ascii="宋体" w:hAnsi="宋体" w:cs="宋体"/>
          <w:sz w:val="24"/>
        </w:rPr>
        <w:t xml:space="preserve">，属于</w:t>
      </w:r>
      <w:r>
        <w:rPr>
          <w:rFonts w:hint="eastAsia" w:ascii="宋体" w:hAnsi="宋体" w:cs="宋体"/>
          <w:i/>
          <w:sz w:val="24"/>
          <w:u w:val="single"/>
        </w:rPr>
        <w:t xml:space="preserve">   工业    </w:t>
      </w:r>
      <w:r>
        <w:rPr>
          <w:rFonts w:hint="eastAsia" w:ascii="宋体" w:hAnsi="宋体" w:cs="宋体"/>
          <w:sz w:val="24"/>
        </w:rPr>
        <w:t xml:space="preserve">行业；制造商为</w:t>
      </w:r>
      <w:r>
        <w:rPr>
          <w:rFonts w:hint="eastAsia" w:ascii="宋体" w:hAnsi="宋体" w:cs="宋体"/>
          <w:b/>
          <w:i/>
          <w:sz w:val="24"/>
          <w:u w:val="single"/>
        </w:rPr>
        <w:t xml:space="preserve">（企业名称）</w:t>
      </w:r>
      <w:r>
        <w:rPr>
          <w:rFonts w:hint="eastAsia" w:ascii="宋体" w:hAnsi="宋体" w:cs="宋体"/>
          <w:sz w:val="24"/>
        </w:rPr>
        <w:t xml:space="preserve">，从业人员</w:t>
      </w:r>
      <w:r>
        <w:rPr>
          <w:rFonts w:hint="eastAsia" w:ascii="宋体" w:hAnsi="宋体" w:cs="宋体"/>
          <w:i/>
          <w:sz w:val="24"/>
          <w:u w:val="single"/>
        </w:rPr>
        <w:tab/>
      </w:r>
      <w:r>
        <w:rPr>
          <w:rFonts w:hint="eastAsia" w:ascii="宋体" w:hAnsi="宋体" w:cs="宋体"/>
          <w:sz w:val="24"/>
        </w:rPr>
        <w:t xml:space="preserve">人，营业收入为</w:t>
      </w:r>
      <w:r>
        <w:rPr>
          <w:rFonts w:hint="eastAsia" w:ascii="宋体" w:hAnsi="宋体" w:cs="宋体"/>
          <w:i/>
          <w:sz w:val="24"/>
          <w:u w:val="single"/>
        </w:rPr>
        <w:tab/>
      </w:r>
      <w:r>
        <w:rPr>
          <w:rFonts w:hint="eastAsia" w:ascii="宋体" w:hAnsi="宋体" w:cs="宋体"/>
          <w:sz w:val="24"/>
        </w:rPr>
        <w:t xml:space="preserve">万元，资产总额为</w:t>
      </w:r>
      <w:r>
        <w:rPr>
          <w:rFonts w:hint="eastAsia" w:ascii="宋体" w:hAnsi="宋体" w:cs="宋体"/>
          <w:i/>
          <w:sz w:val="24"/>
          <w:u w:val="single"/>
        </w:rPr>
        <w:tab/>
      </w:r>
      <w:r>
        <w:rPr>
          <w:rFonts w:hint="eastAsia" w:ascii="宋体" w:hAnsi="宋体" w:cs="宋体"/>
          <w:sz w:val="24"/>
        </w:rPr>
        <w:t xml:space="preserve">万元</w:t>
      </w:r>
      <w:r>
        <w:fldChar w:fldCharType="begin"/>
      </w:r>
      <w:r>
        <w:instrText xml:space="preserve"> HYPERLINK \l "_bookmark1" </w:instrText>
      </w:r>
      <w:r>
        <w:fldChar w:fldCharType="separate"/>
      </w:r>
      <w:r>
        <w:rPr>
          <w:rFonts w:hint="eastAsia" w:ascii="宋体" w:hAnsi="宋体" w:cs="宋体"/>
          <w:position w:val="16"/>
          <w:sz w:val="24"/>
        </w:rPr>
        <w:t xml:space="preserve">1</w:t>
      </w:r>
      <w:r>
        <w:rPr>
          <w:rFonts w:hint="eastAsia" w:ascii="宋体" w:hAnsi="宋体" w:cs="宋体"/>
          <w:position w:val="16"/>
          <w:sz w:val="24"/>
        </w:rPr>
        <w:fldChar w:fldCharType="end"/>
      </w:r>
      <w:r>
        <w:rPr>
          <w:rFonts w:hint="eastAsia" w:ascii="宋体" w:hAnsi="宋体" w:cs="宋体"/>
          <w:sz w:val="24"/>
        </w:rPr>
        <w:t xml:space="preserve">，属于</w:t>
      </w:r>
      <w:r>
        <w:rPr>
          <w:rFonts w:hint="eastAsia" w:ascii="宋体" w:hAnsi="宋体" w:cs="宋体"/>
          <w:i/>
          <w:sz w:val="24"/>
          <w:u w:val="single"/>
        </w:rPr>
        <w:tab/>
      </w:r>
      <w:r>
        <w:rPr>
          <w:rFonts w:hint="eastAsia" w:ascii="宋体" w:hAnsi="宋体" w:cs="宋体"/>
          <w:b/>
          <w:i/>
          <w:sz w:val="24"/>
        </w:rPr>
        <w:t xml:space="preserve">（中型企业、小型企业、微型企业，</w:t>
      </w:r>
      <w:r>
        <w:rPr>
          <w:rFonts w:hint="eastAsia" w:ascii="宋体" w:hAnsi="宋体" w:cs="宋体"/>
          <w:b/>
          <w:bCs/>
          <w:i/>
          <w:sz w:val="24"/>
        </w:rPr>
        <w:t xml:space="preserve">三者选一填写</w:t>
      </w:r>
      <w:r>
        <w:rPr>
          <w:rFonts w:hint="eastAsia" w:ascii="宋体" w:hAnsi="宋体" w:cs="宋体"/>
          <w:b/>
          <w:i/>
          <w:sz w:val="24"/>
        </w:rPr>
        <w:t xml:space="preserve">）</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460" w:lineRule="exact"/>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2880"/>
        <w:spacing w:line="460" w:lineRule="exact"/>
        <w:rPr>
          <w:rFonts w:hint="eastAsia" w:ascii="宋体" w:hAnsi="宋体" w:cs="宋体"/>
          <w:sz w:val="24"/>
        </w:rPr>
      </w:pPr>
      <w:r>
        <w:rPr>
          <w:rFonts w:hint="eastAsia" w:ascii="宋体" w:hAnsi="宋体" w:cs="宋体"/>
          <w:sz w:val="24"/>
        </w:rPr>
        <w:t xml:space="preserve">企业名称（盖章）：</w:t>
      </w:r>
      <w:r/>
    </w:p>
    <w:p>
      <w:pPr>
        <w:ind w:firstLine="2880"/>
        <w:spacing w:line="460" w:lineRule="exact"/>
        <w:rPr>
          <w:rFonts w:hint="eastAsia" w:ascii="宋体" w:hAnsi="宋体" w:cs="宋体"/>
          <w:sz w:val="24"/>
        </w:rPr>
      </w:pPr>
      <w:r>
        <w:rPr>
          <w:rFonts w:hint="eastAsia" w:ascii="宋体" w:hAnsi="宋体" w:cs="宋体"/>
          <w:sz w:val="24"/>
        </w:rPr>
        <w:t xml:space="preserve">日期：</w:t>
      </w:r>
      <w:r/>
    </w:p>
    <w:p>
      <w:pPr>
        <w:ind w:firstLine="440"/>
        <w:spacing w:line="360" w:lineRule="exact"/>
        <w:rPr>
          <w:rFonts w:hint="eastAsia" w:ascii="宋体" w:hAnsi="宋体" w:cs="宋体"/>
          <w:sz w:val="24"/>
        </w:rPr>
      </w:pPr>
      <w:r>
        <w:fldChar w:fldCharType="begin"/>
      </w:r>
      <w:r>
        <w:instrText xml:space="preserve"> HYPERLINK \l "_bookmark1" </w:instrText>
      </w:r>
      <w:r>
        <w:fldChar w:fldCharType="separate"/>
      </w:r>
      <w:r>
        <w:rPr>
          <w:rFonts w:hint="eastAsia" w:ascii="宋体" w:hAnsi="宋体" w:cs="宋体"/>
          <w:position w:val="16"/>
          <w:sz w:val="24"/>
        </w:rPr>
        <w:t xml:space="preserve">1</w:t>
      </w:r>
      <w:r>
        <w:rPr>
          <w:rFonts w:hint="eastAsia" w:ascii="宋体" w:hAnsi="宋体" w:cs="宋体"/>
          <w:position w:val="16"/>
          <w:sz w:val="24"/>
        </w:rPr>
        <w:fldChar w:fldCharType="end"/>
      </w:r>
      <w:r>
        <w:rPr>
          <w:rFonts w:hint="eastAsia" w:ascii="宋体" w:hAnsi="宋体" w:cs="宋体"/>
          <w:sz w:val="24"/>
        </w:rPr>
        <w:t xml:space="preserve">从业人员、营业收入、资产总额填报上一年度数据，无上一年度数据的新成立企业可不填报。</w:t>
      </w:r>
      <w:r/>
    </w:p>
    <w:p>
      <w:pPr>
        <w:ind w:firstLine="480"/>
        <w:spacing w:line="440" w:lineRule="exact"/>
        <w:rPr>
          <w:rFonts w:hint="eastAsia" w:ascii="宋体" w:hAnsi="宋体" w:cs="宋体"/>
          <w:sz w:val="24"/>
        </w:rPr>
      </w:pPr>
      <w:r>
        <w:rPr>
          <w:rFonts w:hint="eastAsia" w:ascii="宋体" w:hAnsi="宋体" w:cs="宋体"/>
          <w:sz w:val="24"/>
        </w:rPr>
        <w:t xml:space="preserve">备注：</w:t>
      </w:r>
      <w:r/>
    </w:p>
    <w:p>
      <w:pPr>
        <w:ind w:firstLine="480"/>
        <w:spacing w:line="360" w:lineRule="exact"/>
        <w:rPr>
          <w:rFonts w:hint="eastAsia" w:ascii="宋体" w:hAnsi="宋体" w:eastAsia="宋体" w:cs="Calibri"/>
          <w:sz w:val="24"/>
        </w:rPr>
      </w:pPr>
      <w:r>
        <w:rPr>
          <w:rFonts w:ascii="宋体" w:hAnsi="宋体" w:eastAsia="宋体" w:cs="Calibri"/>
          <w:sz w:val="24"/>
        </w:rPr>
        <w:t xml:space="preserve">1</w:t>
      </w:r>
      <w:r>
        <w:rPr>
          <w:rFonts w:hint="eastAsia" w:ascii="宋体" w:hAnsi="宋体" w:eastAsia="宋体" w:cs="Calibri"/>
          <w:sz w:val="24"/>
        </w:rPr>
        <w:t xml:space="preserve">、投标人提供的中小企业声明函必须包含本项目</w:t>
      </w:r>
      <w:r>
        <w:rPr>
          <w:rFonts w:hint="eastAsia" w:ascii="宋体" w:hAnsi="宋体" w:eastAsia="宋体" w:cs="Calibri"/>
          <w:b/>
          <w:bCs/>
          <w:sz w:val="24"/>
        </w:rPr>
        <w:t xml:space="preserve">已标注为工业属性的所有货物及其货物制造商</w:t>
      </w:r>
      <w:r>
        <w:rPr>
          <w:rFonts w:hint="eastAsia" w:ascii="宋体" w:hAnsi="宋体" w:eastAsia="宋体" w:cs="Calibri"/>
          <w:sz w:val="24"/>
        </w:rPr>
        <w:t xml:space="preserve">，并按照声明函格式填写完整、明确，</w:t>
      </w:r>
      <w:r>
        <w:rPr>
          <w:rFonts w:hint="eastAsia" w:ascii="宋体" w:hAnsi="宋体" w:eastAsia="宋体"/>
          <w:sz w:val="24"/>
        </w:rPr>
        <w:t xml:space="preserve">否则不得享受相关中小企业价格扶持政策。</w:t>
      </w:r>
      <w:r/>
    </w:p>
    <w:p>
      <w:pPr>
        <w:ind w:firstLine="480"/>
        <w:spacing w:line="360" w:lineRule="exact"/>
        <w:rPr>
          <w:rFonts w:hint="eastAsia" w:ascii="宋体" w:hAnsi="宋体" w:eastAsia="宋体" w:cs="Calibri"/>
          <w:sz w:val="24"/>
        </w:rPr>
      </w:pPr>
      <w:r>
        <w:rPr>
          <w:rFonts w:hint="eastAsia" w:ascii="宋体" w:hAnsi="宋体" w:eastAsia="宋体"/>
          <w:sz w:val="24"/>
        </w:rPr>
        <w:t xml:space="preserve">2、投标人提供的货物既有小、微企业制造货物，也有中、大型企业制造货物的，不享受小、微企业的价格扶持政策</w:t>
      </w:r>
      <w:r/>
    </w:p>
    <w:p>
      <w:pPr>
        <w:ind w:firstLine="480"/>
        <w:spacing w:line="360" w:lineRule="exact"/>
        <w:rPr>
          <w:rFonts w:hint="eastAsia" w:ascii="宋体" w:hAnsi="宋体" w:eastAsia="宋体"/>
        </w:rPr>
      </w:pPr>
      <w:r>
        <w:rPr>
          <w:rFonts w:hint="eastAsia" w:ascii="宋体" w:hAnsi="宋体" w:eastAsia="宋体" w:cs="Calibri"/>
          <w:sz w:val="24"/>
        </w:rPr>
        <w:t xml:space="preserve">3、中标、成交供应商享受规定的中小企业价格扶持政策的，《中小企业声明函》应当随中标、成交结果同时公告，接受社会监督。</w:t>
      </w:r>
      <w:r/>
    </w:p>
    <w:p>
      <w:pPr>
        <w:spacing w:line="439"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spacing w:line="439"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439"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spacing w:line="439" w:lineRule="atLeast"/>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18、残疾人福利性单位声明函（如有）</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ind w:firstLine="256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2"/>
        </w:rPr>
        <w:t xml:space="preserve">残疾人福利性单位声明函</w:t>
      </w:r>
      <w:r/>
    </w:p>
    <w:p>
      <w:pPr>
        <w:ind w:firstLine="1928"/>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ind w:firstLine="48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本单位对上述声明的真实性负责。如有虚假，将依法承担相应责任。</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单位名称（盖章）：</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日 期：</w:t>
      </w:r>
      <w:r/>
    </w:p>
    <w:p>
      <w:pP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spacing w:line="360" w:lineRule="auto"/>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spacing w:line="360" w:lineRule="auto"/>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spacing w:line="360" w:lineRule="auto"/>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spacing w:line="360" w:lineRule="auto"/>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spacing w:line="360" w:lineRule="auto"/>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spacing w:line="360" w:lineRule="auto"/>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spacing w:line="360" w:lineRule="auto"/>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spacing w:line="360" w:lineRule="auto"/>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spacing w:line="360" w:lineRule="auto"/>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spacing w:line="360" w:lineRule="auto"/>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spacing w:line="360" w:lineRule="auto"/>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19、监狱企业证明文件（如有）</w:t>
      </w:r>
      <w:r>
        <w:rPr>
          <w:rFonts w:hint="eastAsia" w:ascii="宋体" w:hAnsi="宋体" w:cs="宋体"/>
          <w:b/>
          <w:color w:val="000000"/>
          <w:sz w:val="32"/>
        </w:rPr>
        <w:br/>
      </w:r>
      <w:r>
        <w:rPr>
          <w:rFonts w:hint="eastAsia" w:ascii="宋体" w:hAnsi="宋体" w:cs="宋体"/>
          <w:sz w:val="24"/>
        </w:rPr>
        <w:br/>
      </w:r>
      <w:r>
        <w:rPr>
          <w:rFonts w:hint="eastAsia" w:ascii="宋体" w:hAnsi="宋体" w:cs="宋体"/>
          <w:sz w:val="24"/>
        </w:rPr>
        <w:br/>
      </w:r>
      <w:r>
        <w:rPr>
          <w:rFonts w:hint="eastAsia" w:ascii="宋体" w:hAnsi="宋体" w:cs="宋体"/>
          <w:sz w:val="24"/>
        </w:rPr>
        <w:t xml:space="preserve">                    </w:t>
      </w:r>
      <w:r>
        <w:rPr>
          <w:rFonts w:hint="eastAsia" w:ascii="宋体" w:hAnsi="宋体" w:cs="宋体"/>
          <w:color w:val="000000"/>
          <w:sz w:val="32"/>
        </w:rPr>
        <w:t xml:space="preserve">监狱企业证明文件</w:t>
      </w:r>
      <w:r>
        <w:rPr>
          <w:rFonts w:hint="eastAsia" w:ascii="宋体" w:hAnsi="宋体" w:cs="宋体"/>
          <w:color w:val="000000"/>
          <w:sz w:val="32"/>
        </w:rPr>
        <w:br/>
      </w:r>
      <w:r>
        <w:rPr>
          <w:rFonts w:hint="eastAsia" w:ascii="宋体" w:hAnsi="宋体" w:cs="宋体"/>
          <w:color w:val="000000"/>
          <w:sz w:val="32"/>
        </w:rPr>
        <w:br/>
      </w:r>
      <w:r>
        <w:rPr>
          <w:rFonts w:hint="eastAsia" w:ascii="宋体" w:hAnsi="宋体" w:cs="宋体"/>
          <w:color w:val="000000"/>
          <w:sz w:val="32"/>
        </w:rPr>
        <w:t xml:space="preserve"> </w:t>
      </w:r>
      <w:r>
        <w:rPr>
          <w:rFonts w:hint="eastAsia" w:ascii="宋体" w:hAnsi="宋体" w:cs="宋体"/>
          <w:color w:val="000000"/>
          <w:sz w:val="24"/>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ind w:firstLine="482"/>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pBdr>
          <w:top w:val="none" w:color="000000" w:sz="0" w:space="0"/>
          <w:left w:val="none" w:color="000000" w:sz="0" w:space="0"/>
          <w:bottom w:val="none" w:color="000000" w:sz="0" w:space="0"/>
          <w:right w:val="none" w:color="000000" w:sz="0" w:space="0"/>
        </w:pBdr>
      </w:pPr>
      <w:r/>
      <w:r/>
    </w:p>
    <w:p>
      <w:pPr>
        <w:ind w:firstLine="482"/>
        <w:pBdr>
          <w:top w:val="none" w:color="000000" w:sz="0" w:space="0"/>
          <w:left w:val="none" w:color="000000" w:sz="0" w:space="0"/>
          <w:bottom w:val="none" w:color="000000" w:sz="0" w:space="0"/>
          <w:right w:val="none" w:color="000000" w:sz="0" w:space="0"/>
        </w:pBdr>
      </w:pPr>
      <w:r/>
      <w:r/>
    </w:p>
    <w:p>
      <w:pPr>
        <w:ind w:firstLine="482"/>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pStyle w:val="881"/>
        <w:spacing w:line="520" w:lineRule="exact"/>
        <w:rPr>
          <w:b/>
          <w:sz w:val="32"/>
          <w:highlight w:val="yellow"/>
        </w:rPr>
      </w:pPr>
      <w:r>
        <w:rPr>
          <w:b/>
          <w:sz w:val="32"/>
          <w:highlight w:val="yellow"/>
        </w:rPr>
      </w:r>
      <w:r/>
    </w:p>
    <w:p>
      <w:pPr>
        <w:pStyle w:val="881"/>
        <w:spacing w:line="520" w:lineRule="exact"/>
        <w:rPr>
          <w:b/>
          <w:sz w:val="32"/>
          <w:highlight w:val="yellow"/>
        </w:rPr>
      </w:pPr>
      <w:r>
        <w:rPr>
          <w:b/>
          <w:sz w:val="32"/>
          <w:highlight w:val="yellow"/>
        </w:rPr>
      </w:r>
      <w:r/>
    </w:p>
    <w:p>
      <w:pPr>
        <w:pStyle w:val="881"/>
        <w:spacing w:line="520" w:lineRule="exact"/>
        <w:rPr>
          <w:b/>
          <w:sz w:val="32"/>
          <w:highlight w:val="none"/>
        </w:rPr>
      </w:pPr>
      <w:r>
        <w:rPr>
          <w:b/>
          <w:sz w:val="32"/>
          <w:highlight w:val="none"/>
        </w:rPr>
      </w:r>
      <w:r/>
    </w:p>
    <w:p>
      <w:pPr>
        <w:pStyle w:val="881"/>
        <w:spacing w:line="520" w:lineRule="exact"/>
        <w:rPr>
          <w:b/>
          <w:sz w:val="32"/>
          <w:highlight w:val="none"/>
        </w:rPr>
      </w:pPr>
      <w:r>
        <w:rPr>
          <w:b/>
          <w:sz w:val="32"/>
          <w:highlight w:val="none"/>
        </w:rPr>
      </w:r>
      <w:r/>
    </w:p>
    <w:p>
      <w:pPr>
        <w:pStyle w:val="881"/>
        <w:spacing w:line="520" w:lineRule="exact"/>
        <w:rPr>
          <w:b/>
          <w:sz w:val="32"/>
          <w:highlight w:val="none"/>
        </w:rPr>
      </w:pPr>
      <w:r>
        <w:rPr>
          <w:b/>
          <w:sz w:val="32"/>
          <w:highlight w:val="none"/>
        </w:rPr>
      </w:r>
      <w:r/>
    </w:p>
    <w:p>
      <w:pPr>
        <w:pStyle w:val="881"/>
        <w:spacing w:line="520" w:lineRule="exact"/>
        <w:rPr>
          <w:b/>
          <w:sz w:val="32"/>
          <w:highlight w:val="none"/>
        </w:rPr>
      </w:pPr>
      <w:r>
        <w:rPr>
          <w:b/>
          <w:sz w:val="32"/>
          <w:highlight w:val="none"/>
        </w:rPr>
      </w:r>
      <w:r/>
    </w:p>
    <w:p>
      <w:pPr>
        <w:pStyle w:val="881"/>
        <w:spacing w:line="520" w:lineRule="exact"/>
        <w:rPr>
          <w:b/>
          <w:sz w:val="32"/>
          <w:highlight w:val="none"/>
        </w:rPr>
      </w:pPr>
      <w:r>
        <w:rPr>
          <w:b/>
          <w:sz w:val="32"/>
          <w:highlight w:val="none"/>
        </w:rPr>
      </w:r>
      <w:r/>
    </w:p>
    <w:p>
      <w:pPr>
        <w:pStyle w:val="881"/>
        <w:spacing w:line="520" w:lineRule="exact"/>
        <w:rPr>
          <w:b/>
          <w:sz w:val="32"/>
          <w:highlight w:val="none"/>
        </w:rPr>
      </w:pPr>
      <w:r>
        <w:rPr>
          <w:b/>
          <w:sz w:val="32"/>
          <w:highlight w:val="none"/>
        </w:rPr>
      </w:r>
      <w:r/>
    </w:p>
    <w:p>
      <w:pPr>
        <w:pStyle w:val="881"/>
        <w:spacing w:line="520" w:lineRule="exact"/>
        <w:rPr>
          <w:b/>
          <w:sz w:val="32"/>
          <w:highlight w:val="none"/>
        </w:rPr>
      </w:pPr>
      <w:r>
        <w:rPr>
          <w:b/>
          <w:sz w:val="32"/>
          <w:highlight w:val="none"/>
        </w:rPr>
      </w:r>
      <w:r/>
    </w:p>
    <w:p>
      <w:pPr>
        <w:pStyle w:val="881"/>
        <w:spacing w:line="520" w:lineRule="exact"/>
        <w:rPr>
          <w:b/>
          <w:sz w:val="32"/>
          <w:highlight w:val="none"/>
        </w:rPr>
      </w:pPr>
      <w:r>
        <w:rPr>
          <w:b/>
          <w:sz w:val="32"/>
          <w:highlight w:val="none"/>
        </w:rPr>
      </w:r>
      <w:r/>
    </w:p>
    <w:p>
      <w:pPr>
        <w:pStyle w:val="881"/>
        <w:spacing w:line="520" w:lineRule="exact"/>
        <w:rPr>
          <w:b/>
          <w:sz w:val="32"/>
          <w:highlight w:val="none"/>
        </w:rPr>
      </w:pPr>
      <w:r>
        <w:rPr>
          <w:b/>
          <w:sz w:val="32"/>
          <w:highlight w:val="none"/>
        </w:rPr>
      </w:r>
      <w:r/>
    </w:p>
    <w:p>
      <w:pPr>
        <w:pStyle w:val="881"/>
        <w:spacing w:line="520" w:lineRule="exact"/>
        <w:rPr>
          <w:b/>
          <w:sz w:val="32"/>
          <w:highlight w:val="none"/>
        </w:rPr>
      </w:pPr>
      <w:r>
        <w:rPr>
          <w:b/>
          <w:sz w:val="32"/>
          <w:highlight w:val="none"/>
        </w:rPr>
      </w:r>
      <w:r/>
    </w:p>
    <w:p>
      <w:pPr>
        <w:pStyle w:val="881"/>
        <w:spacing w:line="520" w:lineRule="exact"/>
        <w:rPr>
          <w:b/>
          <w:sz w:val="32"/>
          <w:highlight w:val="none"/>
        </w:rPr>
      </w:pPr>
      <w:r>
        <w:rPr>
          <w:b/>
          <w:sz w:val="32"/>
          <w:highlight w:val="none"/>
        </w:rPr>
      </w:r>
      <w:r/>
    </w:p>
    <w:p>
      <w:pPr>
        <w:pStyle w:val="881"/>
        <w:spacing w:line="520" w:lineRule="exact"/>
        <w:rPr>
          <w:b/>
          <w:sz w:val="32"/>
          <w:highlight w:val="none"/>
        </w:rPr>
      </w:pPr>
      <w:r>
        <w:rPr>
          <w:b/>
          <w:sz w:val="32"/>
          <w:highlight w:val="none"/>
        </w:rPr>
      </w:r>
      <w:r/>
    </w:p>
    <w:p>
      <w:pPr>
        <w:pStyle w:val="881"/>
        <w:spacing w:line="520" w:lineRule="exact"/>
        <w:rPr>
          <w:b/>
          <w:sz w:val="32"/>
          <w:highlight w:val="none"/>
        </w:rPr>
      </w:pPr>
      <w:r>
        <w:rPr>
          <w:b/>
          <w:sz w:val="32"/>
          <w:highlight w:val="none"/>
        </w:rPr>
      </w:r>
      <w:r/>
    </w:p>
    <w:p>
      <w:pPr>
        <w:pStyle w:val="881"/>
        <w:jc w:val="left"/>
        <w:spacing w:line="520" w:lineRule="exact"/>
        <w:rPr>
          <w:highlight w:val="none"/>
        </w:rPr>
      </w:pPr>
      <w:r>
        <w:rPr>
          <w:b/>
          <w:sz w:val="32"/>
          <w:highlight w:val="none"/>
        </w:rPr>
        <w:t xml:space="preserve">20</w:t>
      </w:r>
      <w:r>
        <w:rPr>
          <w:rFonts w:hint="eastAsia"/>
          <w:b/>
          <w:sz w:val="32"/>
          <w:highlight w:val="none"/>
        </w:rPr>
        <w:t xml:space="preserve">、关于符合本国产品标准的声明函</w:t>
      </w:r>
      <w:r>
        <w:rPr>
          <w:rFonts w:hint="eastAsia"/>
          <w:b/>
          <w:sz w:val="32"/>
          <w:highlight w:val="none"/>
        </w:rPr>
        <w:br/>
      </w:r>
      <w:r/>
    </w:p>
    <w:p>
      <w:pPr>
        <w:pStyle w:val="881"/>
        <w:jc w:val="center"/>
        <w:spacing w:line="520" w:lineRule="exact"/>
        <w:rPr>
          <w:rFonts w:hint="eastAsia" w:ascii="宋体" w:hAnsi="宋体" w:cs="宋体"/>
          <w:color w:val="000000"/>
          <w:sz w:val="32"/>
          <w:highlight w:val="none"/>
        </w:rPr>
      </w:pPr>
      <w:r>
        <w:rPr>
          <w:rFonts w:hint="eastAsia" w:ascii="宋体" w:hAnsi="宋体" w:cs="宋体"/>
          <w:color w:val="000000"/>
          <w:sz w:val="32"/>
          <w:highlight w:val="none"/>
        </w:rPr>
        <w:t xml:space="preserve">关于符合本国产品标准的声明函</w:t>
      </w:r>
      <w:r/>
    </w:p>
    <w:p>
      <w:pPr>
        <w:pStyle w:val="881"/>
        <w:jc w:val="left"/>
        <w:spacing w:line="520" w:lineRule="exact"/>
        <w:rPr>
          <w:sz w:val="24"/>
          <w:highlight w:val="none"/>
        </w:rPr>
      </w:pPr>
      <w:r>
        <w:rPr>
          <w:sz w:val="24"/>
          <w:highlight w:val="none"/>
        </w:rPr>
      </w:r>
      <w:r/>
    </w:p>
    <w:p>
      <w:pPr>
        <w:pStyle w:val="881"/>
        <w:ind w:firstLine="480"/>
        <w:keepLines w:val="0"/>
        <w:keepNext w:val="0"/>
        <w:pageBreakBefore w:val="0"/>
        <w:spacing w:line="480" w:lineRule="exact"/>
        <w:widowControl w:val="off"/>
        <w:rPr>
          <w:color w:val="000000" w:themeColor="text1"/>
          <w:sz w:val="24"/>
          <w:highlight w:val="none"/>
          <w14:textFill>
            <w14:solidFill>
              <w14:schemeClr w14:val="tx1"/>
            </w14:solidFill>
          </w14:textFill>
        </w:rPr>
      </w:pPr>
      <w:r>
        <w:rPr>
          <w:rFonts w:hint="eastAsia"/>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1"/>
        <w:ind w:firstLine="480"/>
        <w:keepLines w:val="0"/>
        <w:keepNext w:val="0"/>
        <w:pageBreakBefore w:val="0"/>
        <w:spacing w:line="480" w:lineRule="exact"/>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ascii="宋体" w:hAnsi="宋体" w:cs="宋体"/>
          <w:i/>
          <w:color w:val="000000"/>
          <w:sz w:val="24"/>
          <w:highlight w:val="none"/>
          <w:u w:val="single"/>
          <w:shd w:val="clear" w:color="auto" w:fill="ffffff"/>
        </w:rPr>
        <w:t xml:space="preserve"> </w:t>
      </w:r>
      <w:r>
        <w:rPr>
          <w:rStyle w:val="868"/>
          <w:rFonts w:hint="eastAsia" w:ascii="宋体" w:hAnsi="宋体" w:cs="宋体"/>
          <w:i w:val="0"/>
          <w:color w:val="000000"/>
          <w:sz w:val="24"/>
          <w:highlight w:val="none"/>
          <w:u w:val="single"/>
          <w:shd w:val="clear" w:color="auto" w:fill="ffffff"/>
        </w:rPr>
        <w:t xml:space="preserve">（产品名称1）</w:t>
      </w:r>
      <w:r>
        <w:rPr>
          <w:rFonts w:hint="eastAsia"/>
          <w:color w:val="000000" w:themeColor="text1"/>
          <w:sz w:val="24"/>
          <w:highlight w:val="none"/>
          <w:vertAlign w:val="superscript"/>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，生产厂为 </w:t>
      </w:r>
      <w:r>
        <w:rPr>
          <w:rStyle w:val="868"/>
          <w:rFonts w:hint="eastAsia" w:ascii="宋体" w:hAnsi="宋体" w:cs="宋体"/>
          <w:i w:val="0"/>
          <w:color w:val="000000"/>
          <w:sz w:val="24"/>
          <w:highlight w:val="none"/>
          <w:u w:val="single"/>
          <w:shd w:val="clear" w:color="auto" w:fill="ffffff"/>
        </w:rPr>
        <w:t xml:space="preserve">（厂 名） </w:t>
      </w:r>
      <w:r>
        <w:rPr>
          <w:rFonts w:hint="eastAsia"/>
          <w:color w:val="000000" w:themeColor="text1"/>
          <w:sz w:val="24"/>
          <w:highlight w:val="none"/>
          <w:vertAlign w:val="superscript"/>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，厂址为</w:t>
      </w:r>
      <w:r>
        <w:rPr>
          <w:rStyle w:val="868"/>
          <w:rFonts w:hint="eastAsia" w:ascii="宋体" w:hAnsi="宋体" w:cs="宋体"/>
          <w:i w:val="0"/>
          <w:color w:val="000000"/>
          <w:sz w:val="24"/>
          <w:highlight w:val="none"/>
          <w:u w:val="single"/>
          <w:shd w:val="clear" w:color="auto" w:fill="ffffff"/>
        </w:rPr>
        <w:t xml:space="preserve">（生产厂址） </w:t>
      </w:r>
      <w:r>
        <w:rPr>
          <w:rFonts w:hint="eastAsia"/>
          <w:color w:val="000000" w:themeColor="text1"/>
          <w:sz w:val="24"/>
          <w:highlight w:val="none"/>
          <w14:textFill>
            <w14:solidFill>
              <w14:schemeClr w14:val="tx1"/>
            </w14:solidFill>
          </w14:textFill>
        </w:rPr>
        <w:t xml:space="preserve">。 </w:t>
      </w:r>
      <w:r>
        <w:rPr>
          <w:rStyle w:val="868"/>
          <w:rFonts w:hint="eastAsia" w:ascii="宋体" w:hAnsi="宋体" w:cs="宋体"/>
          <w:i w:val="0"/>
          <w:color w:val="000000"/>
          <w:sz w:val="24"/>
          <w:highlight w:val="none"/>
          <w:u w:val="single"/>
          <w:shd w:val="clear" w:color="auto" w:fill="ffffff"/>
        </w:rPr>
        <w:t xml:space="preserve"> </w:t>
      </w:r>
      <w:r>
        <w:rPr>
          <w:rStyle w:val="868"/>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 xml:space="preserve">的中国境内生产的组件成本占比≥</w:t>
      </w:r>
      <w:r>
        <w:rPr>
          <w:rStyle w:val="868"/>
          <w:rFonts w:hint="eastAsia" w:ascii="宋体" w:hAnsi="宋体" w:cs="宋体"/>
          <w:i w:val="0"/>
          <w:color w:val="000000"/>
          <w:sz w:val="24"/>
          <w:highlight w:val="none"/>
          <w:u w:val="single"/>
          <w:shd w:val="clear" w:color="auto" w:fill="ffffff"/>
        </w:rPr>
        <w:t xml:space="preserve"> </w:t>
      </w:r>
      <w:r>
        <w:rPr>
          <w:rStyle w:val="868"/>
          <w:rFonts w:ascii="宋体" w:hAnsi="宋体" w:cs="宋体"/>
          <w:i w:val="0"/>
          <w:color w:val="000000"/>
          <w:sz w:val="24"/>
          <w:highlight w:val="none"/>
          <w:u w:val="single"/>
          <w:shd w:val="clear" w:color="auto" w:fill="ffffff"/>
        </w:rPr>
        <w:t xml:space="preserve"> </w:t>
      </w:r>
      <w:r>
        <w:rPr>
          <w:rStyle w:val="868"/>
          <w:rFonts w:hint="eastAsia" w:ascii="宋体" w:hAnsi="宋体" w:cs="宋体"/>
          <w:i w:val="0"/>
          <w:color w:val="000000"/>
          <w:sz w:val="24"/>
          <w:highlight w:val="none"/>
          <w:u w:val="single"/>
          <w:shd w:val="clear" w:color="auto" w:fill="ffffff"/>
        </w:rPr>
        <w:t xml:space="preserve">/</w:t>
      </w:r>
      <w:r>
        <w:rPr>
          <w:rStyle w:val="868"/>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rStyle w:val="868"/>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 xml:space="preserve">的</w:t>
      </w:r>
      <w:r>
        <w:rPr>
          <w:rStyle w:val="868"/>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vertAlign w:val="superscript"/>
          <w14:textFill>
            <w14:solidFill>
              <w14:schemeClr w14:val="tx1"/>
            </w14:solidFill>
          </w14:textFill>
        </w:rPr>
        <w:t xml:space="preserve">4</w:t>
      </w:r>
      <w:r>
        <w:rPr>
          <w:rFonts w:hint="eastAsia"/>
          <w:color w:val="000000" w:themeColor="text1"/>
          <w:sz w:val="24"/>
          <w:highlight w:val="none"/>
          <w14:textFill>
            <w14:solidFill>
              <w14:schemeClr w14:val="tx1"/>
            </w14:solidFill>
          </w14:textFill>
        </w:rPr>
        <w:t xml:space="preserve">在中国境内生产。</w:t>
      </w:r>
      <w:r>
        <w:rPr>
          <w:rStyle w:val="868"/>
          <w:rFonts w:hint="eastAsia" w:ascii="宋体" w:hAnsi="宋体" w:cs="宋体"/>
          <w:i w:val="0"/>
          <w:color w:val="000000"/>
          <w:sz w:val="24"/>
          <w:highlight w:val="none"/>
          <w:u w:val="single"/>
          <w:shd w:val="clear" w:color="auto" w:fill="ffffff"/>
        </w:rPr>
        <w:t xml:space="preserve"> </w:t>
      </w:r>
      <w:r>
        <w:rPr>
          <w:rStyle w:val="868"/>
          <w:rFonts w:ascii="宋体" w:hAnsi="宋体" w:cs="宋体"/>
          <w:i w:val="0"/>
          <w:color w:val="000000"/>
          <w:sz w:val="24"/>
          <w:highlight w:val="none"/>
          <w:u w:val="single"/>
          <w:shd w:val="clear" w:color="auto" w:fill="ffffff"/>
        </w:rPr>
        <w:t xml:space="preserve"> </w:t>
      </w:r>
      <w:r>
        <w:rPr>
          <w:rStyle w:val="868"/>
          <w:rFonts w:hint="eastAsia" w:ascii="宋体" w:hAnsi="宋体" w:cs="宋体"/>
          <w:i w:val="0"/>
          <w:color w:val="000000"/>
          <w:sz w:val="24"/>
          <w:highlight w:val="none"/>
          <w:u w:val="single"/>
          <w:shd w:val="clear" w:color="auto" w:fill="ffffff"/>
        </w:rPr>
        <w:t xml:space="preserve">/</w:t>
      </w:r>
      <w:r>
        <w:rPr>
          <w:rStyle w:val="868"/>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14:textFill>
            <w14:solidFill>
              <w14:schemeClr w14:val="tx1"/>
            </w14:solidFill>
          </w14:textFill>
        </w:rPr>
        <w:t xml:space="preserve">的</w:t>
      </w:r>
      <w:r>
        <w:rPr>
          <w:rStyle w:val="868"/>
          <w:rFonts w:hint="eastAsia" w:ascii="宋体" w:hAnsi="宋体" w:cs="宋体"/>
          <w:i w:val="0"/>
          <w:color w:val="000000"/>
          <w:sz w:val="24"/>
          <w:highlight w:val="none"/>
          <w:u w:val="single"/>
          <w:shd w:val="clear" w:color="auto" w:fill="ffffff"/>
        </w:rPr>
        <w:t xml:space="preserve"> </w:t>
      </w:r>
      <w:r>
        <w:rPr>
          <w:rStyle w:val="868"/>
          <w:rFonts w:ascii="宋体" w:hAnsi="宋体" w:cs="宋体"/>
          <w:i w:val="0"/>
          <w:color w:val="000000"/>
          <w:sz w:val="24"/>
          <w:highlight w:val="none"/>
          <w:u w:val="single"/>
          <w:shd w:val="clear" w:color="auto" w:fill="ffffff"/>
        </w:rPr>
        <w:t xml:space="preserve"> </w:t>
      </w:r>
      <w:r>
        <w:rPr>
          <w:rStyle w:val="868"/>
          <w:rFonts w:hint="eastAsia" w:ascii="宋体" w:hAnsi="宋体" w:cs="宋体"/>
          <w:i w:val="0"/>
          <w:color w:val="000000"/>
          <w:sz w:val="24"/>
          <w:highlight w:val="none"/>
          <w:u w:val="single"/>
          <w:shd w:val="clear" w:color="auto" w:fill="ffffff"/>
        </w:rPr>
        <w:t xml:space="preserve">/</w:t>
      </w:r>
      <w:r>
        <w:rPr>
          <w:rStyle w:val="868"/>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在中国境内完成。</w:t>
      </w:r>
      <w:r/>
    </w:p>
    <w:p>
      <w:pPr>
        <w:pStyle w:val="881"/>
        <w:ind w:firstLine="480"/>
        <w:keepLines w:val="0"/>
        <w:keepNext w:val="0"/>
        <w:pageBreakBefore w:val="0"/>
        <w:spacing w:line="480" w:lineRule="exact"/>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w:t>
      </w:r>
      <w:r>
        <w:rPr>
          <w:rFonts w:hint="eastAsia" w:ascii="宋体" w:hAnsi="宋体" w:cs="宋体"/>
          <w:i/>
          <w:color w:val="000000"/>
          <w:sz w:val="24"/>
          <w:highlight w:val="none"/>
          <w:u w:val="single"/>
          <w:shd w:val="clear" w:color="auto" w:fill="ffffff"/>
        </w:rPr>
        <w:t xml:space="preserve"> </w:t>
      </w:r>
      <w:r>
        <w:rPr>
          <w:rStyle w:val="868"/>
          <w:rFonts w:hint="eastAsia" w:ascii="宋体" w:hAnsi="宋体" w:cs="宋体"/>
          <w:i w:val="0"/>
          <w:color w:val="000000"/>
          <w:sz w:val="24"/>
          <w:highlight w:val="none"/>
          <w:u w:val="single"/>
          <w:shd w:val="clear" w:color="auto" w:fill="ffffff"/>
        </w:rPr>
        <w:t xml:space="preserve">（产品名称2）</w:t>
      </w:r>
      <w:r>
        <w:rPr>
          <w:rFonts w:hint="eastAsia"/>
          <w:color w:val="000000" w:themeColor="text1"/>
          <w:sz w:val="24"/>
          <w:highlight w:val="none"/>
          <w:vertAlign w:val="superscript"/>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，生产厂为 </w:t>
      </w:r>
      <w:r>
        <w:rPr>
          <w:rStyle w:val="868"/>
          <w:rFonts w:hint="eastAsia" w:ascii="宋体" w:hAnsi="宋体" w:cs="宋体"/>
          <w:i w:val="0"/>
          <w:color w:val="000000"/>
          <w:sz w:val="24"/>
          <w:highlight w:val="none"/>
          <w:u w:val="single"/>
          <w:shd w:val="clear" w:color="auto" w:fill="ffffff"/>
        </w:rPr>
        <w:t xml:space="preserve">（厂 名） </w:t>
      </w:r>
      <w:r>
        <w:rPr>
          <w:rFonts w:hint="eastAsia"/>
          <w:color w:val="000000" w:themeColor="text1"/>
          <w:sz w:val="24"/>
          <w:highlight w:val="none"/>
          <w:vertAlign w:val="superscript"/>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，厂址为</w:t>
      </w:r>
      <w:r>
        <w:rPr>
          <w:rStyle w:val="868"/>
          <w:rFonts w:hint="eastAsia" w:ascii="宋体" w:hAnsi="宋体" w:cs="宋体"/>
          <w:i w:val="0"/>
          <w:color w:val="000000"/>
          <w:sz w:val="24"/>
          <w:highlight w:val="none"/>
          <w:u w:val="single"/>
          <w:shd w:val="clear" w:color="auto" w:fill="ffffff"/>
        </w:rPr>
        <w:t xml:space="preserve">（生产厂址） </w:t>
      </w:r>
      <w:r>
        <w:rPr>
          <w:rFonts w:hint="eastAsia"/>
          <w:color w:val="000000" w:themeColor="text1"/>
          <w:sz w:val="24"/>
          <w:highlight w:val="none"/>
          <w14:textFill>
            <w14:solidFill>
              <w14:schemeClr w14:val="tx1"/>
            </w14:solidFill>
          </w14:textFill>
        </w:rPr>
        <w:t xml:space="preserve">。 </w:t>
      </w:r>
      <w:r>
        <w:rPr>
          <w:rStyle w:val="868"/>
          <w:rFonts w:hint="eastAsia" w:ascii="宋体" w:hAnsi="宋体" w:cs="宋体"/>
          <w:i w:val="0"/>
          <w:color w:val="000000"/>
          <w:sz w:val="24"/>
          <w:highlight w:val="none"/>
          <w:u w:val="single"/>
          <w:shd w:val="clear" w:color="auto" w:fill="ffffff"/>
        </w:rPr>
        <w:t xml:space="preserve"> </w:t>
      </w:r>
      <w:r>
        <w:rPr>
          <w:rStyle w:val="868"/>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 xml:space="preserve">的中国境内生产的组件成本占比≥</w:t>
      </w:r>
      <w:r>
        <w:rPr>
          <w:rStyle w:val="868"/>
          <w:rFonts w:hint="eastAsia" w:ascii="宋体" w:hAnsi="宋体" w:cs="宋体"/>
          <w:i w:val="0"/>
          <w:color w:val="000000"/>
          <w:sz w:val="24"/>
          <w:highlight w:val="none"/>
          <w:u w:val="single"/>
          <w:shd w:val="clear" w:color="auto" w:fill="ffffff"/>
        </w:rPr>
        <w:t xml:space="preserve"> </w:t>
      </w:r>
      <w:r>
        <w:rPr>
          <w:rStyle w:val="868"/>
          <w:rFonts w:ascii="宋体" w:hAnsi="宋体" w:cs="宋体"/>
          <w:i w:val="0"/>
          <w:color w:val="000000"/>
          <w:sz w:val="24"/>
          <w:highlight w:val="none"/>
          <w:u w:val="single"/>
          <w:shd w:val="clear" w:color="auto" w:fill="ffffff"/>
        </w:rPr>
        <w:t xml:space="preserve"> </w:t>
      </w:r>
      <w:r>
        <w:rPr>
          <w:rStyle w:val="868"/>
          <w:rFonts w:hint="eastAsia" w:ascii="宋体" w:hAnsi="宋体" w:cs="宋体"/>
          <w:i w:val="0"/>
          <w:color w:val="000000"/>
          <w:sz w:val="24"/>
          <w:highlight w:val="none"/>
          <w:u w:val="single"/>
          <w:shd w:val="clear" w:color="auto" w:fill="ffffff"/>
        </w:rPr>
        <w:t xml:space="preserve">/</w:t>
      </w:r>
      <w:r>
        <w:rPr>
          <w:rStyle w:val="868"/>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rStyle w:val="868"/>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 xml:space="preserve">的</w:t>
      </w:r>
      <w:r>
        <w:rPr>
          <w:rStyle w:val="868"/>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vertAlign w:val="superscript"/>
          <w14:textFill>
            <w14:solidFill>
              <w14:schemeClr w14:val="tx1"/>
            </w14:solidFill>
          </w14:textFill>
        </w:rPr>
        <w:t xml:space="preserve">4</w:t>
      </w:r>
      <w:r>
        <w:rPr>
          <w:rFonts w:hint="eastAsia"/>
          <w:color w:val="000000" w:themeColor="text1"/>
          <w:sz w:val="24"/>
          <w:highlight w:val="none"/>
          <w14:textFill>
            <w14:solidFill>
              <w14:schemeClr w14:val="tx1"/>
            </w14:solidFill>
          </w14:textFill>
        </w:rPr>
        <w:t xml:space="preserve">在中国境内生产。</w:t>
      </w:r>
      <w:r>
        <w:rPr>
          <w:rStyle w:val="868"/>
          <w:rFonts w:hint="eastAsia" w:ascii="宋体" w:hAnsi="宋体" w:cs="宋体"/>
          <w:i w:val="0"/>
          <w:color w:val="000000"/>
          <w:sz w:val="24"/>
          <w:highlight w:val="none"/>
          <w:u w:val="single"/>
          <w:shd w:val="clear" w:color="auto" w:fill="ffffff"/>
        </w:rPr>
        <w:t xml:space="preserve"> </w:t>
      </w:r>
      <w:r>
        <w:rPr>
          <w:rStyle w:val="868"/>
          <w:rFonts w:ascii="宋体" w:hAnsi="宋体" w:cs="宋体"/>
          <w:i w:val="0"/>
          <w:color w:val="000000"/>
          <w:sz w:val="24"/>
          <w:highlight w:val="none"/>
          <w:u w:val="single"/>
          <w:shd w:val="clear" w:color="auto" w:fill="ffffff"/>
        </w:rPr>
        <w:t xml:space="preserve"> </w:t>
      </w:r>
      <w:r>
        <w:rPr>
          <w:rStyle w:val="868"/>
          <w:rFonts w:hint="eastAsia" w:ascii="宋体" w:hAnsi="宋体" w:cs="宋体"/>
          <w:i w:val="0"/>
          <w:color w:val="000000"/>
          <w:sz w:val="24"/>
          <w:highlight w:val="none"/>
          <w:u w:val="single"/>
          <w:shd w:val="clear" w:color="auto" w:fill="ffffff"/>
        </w:rPr>
        <w:t xml:space="preserve">/</w:t>
      </w:r>
      <w:r>
        <w:rPr>
          <w:rStyle w:val="868"/>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14:textFill>
            <w14:solidFill>
              <w14:schemeClr w14:val="tx1"/>
            </w14:solidFill>
          </w14:textFill>
        </w:rPr>
        <w:t xml:space="preserve">的</w:t>
      </w:r>
      <w:r>
        <w:rPr>
          <w:rStyle w:val="868"/>
          <w:rFonts w:hint="eastAsia" w:ascii="宋体" w:hAnsi="宋体" w:cs="宋体"/>
          <w:i w:val="0"/>
          <w:color w:val="000000"/>
          <w:sz w:val="24"/>
          <w:highlight w:val="none"/>
          <w:u w:val="single"/>
          <w:shd w:val="clear" w:color="auto" w:fill="ffffff"/>
        </w:rPr>
        <w:t xml:space="preserve"> </w:t>
      </w:r>
      <w:r>
        <w:rPr>
          <w:rStyle w:val="868"/>
          <w:rFonts w:ascii="宋体" w:hAnsi="宋体" w:cs="宋体"/>
          <w:i w:val="0"/>
          <w:color w:val="000000"/>
          <w:sz w:val="24"/>
          <w:highlight w:val="none"/>
          <w:u w:val="single"/>
          <w:shd w:val="clear" w:color="auto" w:fill="ffffff"/>
        </w:rPr>
        <w:t xml:space="preserve"> </w:t>
      </w:r>
      <w:r>
        <w:rPr>
          <w:rStyle w:val="868"/>
          <w:rFonts w:hint="eastAsia" w:ascii="宋体" w:hAnsi="宋体" w:cs="宋体"/>
          <w:i w:val="0"/>
          <w:color w:val="000000"/>
          <w:sz w:val="24"/>
          <w:highlight w:val="none"/>
          <w:u w:val="single"/>
          <w:shd w:val="clear" w:color="auto" w:fill="ffffff"/>
        </w:rPr>
        <w:t xml:space="preserve">/</w:t>
      </w:r>
      <w:r>
        <w:rPr>
          <w:rStyle w:val="868"/>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在中国境内完成。</w:t>
      </w:r>
      <w:r/>
    </w:p>
    <w:p>
      <w:pPr>
        <w:pStyle w:val="881"/>
        <w:ind w:firstLine="480"/>
        <w:keepLines w:val="0"/>
        <w:keepNext w:val="0"/>
        <w:pageBreakBefore w:val="0"/>
        <w:spacing w:line="480" w:lineRule="exact"/>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p>
    <w:p>
      <w:pPr>
        <w:pStyle w:val="881"/>
        <w:ind w:firstLine="480"/>
        <w:keepLines w:val="0"/>
        <w:keepNext w:val="0"/>
        <w:pageBreakBefore w:val="0"/>
        <w:spacing w:line="480" w:lineRule="exact"/>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本公司（单位）对上述声明内容的真实性负责。如有虚假，愿承担相应法律责任。</w:t>
      </w:r>
      <w:r/>
    </w:p>
    <w:p>
      <w:pPr>
        <w:pStyle w:val="881"/>
        <w:keepLines w:val="0"/>
        <w:keepNext w:val="0"/>
        <w:pageBreakBefore w:val="0"/>
        <w:spacing w:line="480" w:lineRule="exact"/>
        <w:widowControl w:val="off"/>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881"/>
        <w:ind w:firstLine="3840"/>
        <w:keepLines w:val="0"/>
        <w:keepNext w:val="0"/>
        <w:pageBreakBefore w:val="0"/>
        <w:spacing w:line="480" w:lineRule="exact"/>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公司（单位）名称（盖章）： </w:t>
      </w:r>
      <w:r/>
    </w:p>
    <w:p>
      <w:pPr>
        <w:pStyle w:val="881"/>
        <w:keepLines w:val="0"/>
        <w:keepNext w:val="0"/>
        <w:pageBreakBefore w:val="0"/>
        <w:spacing w:line="480" w:lineRule="exact"/>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日期：　 </w:t>
      </w:r>
      <w:r>
        <w:rPr>
          <w:rFonts w:hint="eastAsia" w:ascii="宋体" w:hAnsi="宋体" w:cs="宋体"/>
          <w:color w:val="000000" w:themeColor="text1"/>
          <w:sz w:val="24"/>
          <w:highlight w:val="none"/>
          <w14:textFill>
            <w14:solidFill>
              <w14:schemeClr w14:val="tx1"/>
            </w14:solidFill>
          </w14:textFill>
        </w:rPr>
        <w:t xml:space="preserve">年 </w:t>
      </w:r>
      <w:r>
        <w:rPr>
          <w:rFonts w:hint="eastAsia"/>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 　日</w:t>
      </w:r>
      <w:r>
        <w:rPr>
          <w:rFonts w:hint="eastAsia"/>
          <w:color w:val="000000" w:themeColor="text1"/>
          <w:sz w:val="24"/>
          <w:highlight w:val="none"/>
          <w14:textFill>
            <w14:solidFill>
              <w14:schemeClr w14:val="tx1"/>
            </w14:solidFill>
          </w14:textFill>
        </w:rPr>
        <w:t xml:space="preserve">      </w:t>
      </w:r>
      <w:r/>
    </w:p>
    <w:p>
      <w:pPr>
        <w:pStyle w:val="881"/>
        <w:keepLines w:val="0"/>
        <w:keepNext w:val="0"/>
        <w:pageBreakBefore w:val="0"/>
        <w:spacing w:line="400" w:lineRule="exact"/>
        <w:widowControl w:val="off"/>
        <w:rPr>
          <w:rFonts w:hint="eastAsia"/>
          <w:b/>
          <w:bCs/>
          <w:color w:val="000000" w:themeColor="text1"/>
          <w:sz w:val="24"/>
          <w:highlight w:val="none"/>
          <w:lang w:val="en-US" w:eastAsia="zh-CN"/>
          <w14:textFill>
            <w14:solidFill>
              <w14:schemeClr w14:val="tx1"/>
            </w14:solidFill>
          </w14:textFill>
        </w:rPr>
      </w:pPr>
      <w:r>
        <w:rPr>
          <w:rFonts w:hint="eastAsia"/>
          <w:b/>
          <w:bCs/>
          <w:color w:val="000000" w:themeColor="text1"/>
          <w:sz w:val="24"/>
          <w:highlight w:val="none"/>
          <w:lang w:val="en-US" w:eastAsia="zh-CN"/>
          <w14:textFill>
            <w14:solidFill>
              <w14:schemeClr w14:val="tx1"/>
            </w14:solidFill>
          </w14:textFill>
        </w:rPr>
      </w:r>
      <w:r/>
    </w:p>
    <w:p>
      <w:pPr>
        <w:pStyle w:val="881"/>
        <w:keepLines w:val="0"/>
        <w:keepNext w:val="0"/>
        <w:pageBreakBefore w:val="0"/>
        <w:spacing w:line="400" w:lineRule="exact"/>
        <w:widowControl w:val="off"/>
        <w:rPr>
          <w:rFonts w:hint="default"/>
          <w:b/>
          <w:bCs/>
          <w:color w:val="000000" w:themeColor="text1"/>
          <w:sz w:val="24"/>
          <w:highlight w:val="none"/>
          <w:lang w:val="en-US"/>
          <w14:textFill>
            <w14:solidFill>
              <w14:schemeClr w14:val="tx1"/>
            </w14:solidFill>
          </w14:textFill>
        </w:rPr>
      </w:pPr>
      <w:r>
        <w:rPr>
          <w:rFonts w:hint="eastAsia"/>
          <w:b/>
          <w:bCs/>
          <w:color w:val="000000" w:themeColor="text1"/>
          <w:sz w:val="24"/>
          <w:highlight w:val="none"/>
          <w:lang w:val="en-US" w:eastAsia="zh-CN"/>
          <w14:textFill>
            <w14:solidFill>
              <w14:schemeClr w14:val="tx1"/>
            </w14:solidFill>
          </w14:textFill>
        </w:rPr>
        <w:t xml:space="preserve">本项目符合本国产品标准需声明的产品为采购项目标的物及辅材清单中序号1-246，258-372项，</w:t>
      </w:r>
      <w:r>
        <w:rPr>
          <w:rFonts w:hint="eastAsia" w:ascii="宋体" w:hAnsi="宋体" w:cs="宋体"/>
          <w:sz w:val="24"/>
        </w:rPr>
        <w:t xml:space="preserve">供应商需按照招标文件的要求提供《关于符合本国产品标准的声明函》，</w:t>
      </w:r>
      <w:r>
        <w:rPr>
          <w:rFonts w:hint="eastAsia" w:ascii="宋体" w:hAnsi="宋体" w:cs="宋体"/>
          <w:b/>
          <w:sz w:val="24"/>
        </w:rPr>
        <w:t xml:space="preserve">如不提供将不享受本国产品价格评审优惠。</w:t>
      </w:r>
      <w:r/>
    </w:p>
    <w:p>
      <w:pPr>
        <w:pStyle w:val="863"/>
        <w:keepLines w:val="0"/>
        <w:keepNext w:val="0"/>
        <w:pageBreakBefore w:val="0"/>
        <w:spacing w:before="30" w:after="30" w:line="400" w:lineRule="exact"/>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注：</w:t>
      </w:r>
      <w:r/>
    </w:p>
    <w:p>
      <w:pPr>
        <w:pStyle w:val="863"/>
        <w:keepLines w:val="0"/>
        <w:keepNext w:val="0"/>
        <w:pageBreakBefore w:val="0"/>
        <w:spacing w:before="30" w:after="30" w:line="400" w:lineRule="exact"/>
        <w:widowControl w:val="off"/>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1、产品如有型号，请在“产品名称”栏一并填写。</w:t>
      </w:r>
      <w:r/>
    </w:p>
    <w:p>
      <w:pPr>
        <w:pStyle w:val="863"/>
        <w:keepLines w:val="0"/>
        <w:keepNext w:val="0"/>
        <w:pageBreakBefore w:val="0"/>
        <w:spacing w:before="30" w:after="30" w:line="400" w:lineRule="exact"/>
        <w:widowControl w:val="off"/>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2、生产厂名与厂址应与生产厂营业执照载明的相关信息保持一致。</w:t>
      </w:r>
      <w:r/>
    </w:p>
    <w:p>
      <w:pPr>
        <w:pStyle w:val="863"/>
        <w:keepLines w:val="0"/>
        <w:keepNext w:val="0"/>
        <w:pageBreakBefore w:val="0"/>
        <w:spacing w:before="30" w:after="30" w:line="400" w:lineRule="exact"/>
        <w:widowControl w:val="off"/>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3、该产品的中国境内生产的组件成本占比相关要求实施前，“规定比例”栏可不填，下同。</w:t>
      </w:r>
      <w:r/>
    </w:p>
    <w:p>
      <w:pPr>
        <w:pStyle w:val="863"/>
        <w:keepLines w:val="0"/>
        <w:keepNext w:val="0"/>
        <w:pageBreakBefore w:val="0"/>
        <w:spacing w:before="30" w:after="30" w:line="400" w:lineRule="exact"/>
        <w:widowControl w:val="off"/>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4、该产品的关键组件要求实施前，“关键组件”栏可不填，下同。</w:t>
      </w:r>
      <w:r/>
    </w:p>
    <w:p>
      <w:pPr>
        <w:pStyle w:val="863"/>
        <w:keepLines w:val="0"/>
        <w:keepNext w:val="0"/>
        <w:pageBreakBefore w:val="0"/>
        <w:spacing w:before="30" w:after="30" w:line="400" w:lineRule="exact"/>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5、该产品的关键工序要求实施前，“关键工序”栏可不填，下同。</w:t>
      </w:r>
      <w:r/>
    </w:p>
    <w:p>
      <w:pPr>
        <w:pStyle w:val="882"/>
        <w:ind w:firstLine="0"/>
        <w:rPr>
          <w:rFonts w:hint="eastAsia" w:ascii="宋体" w:hAnsi="宋体" w:cs="宋体"/>
        </w:rPr>
      </w:pPr>
      <w:r>
        <w:rPr>
          <w:rFonts w:hint="eastAsia" w:ascii="宋体" w:hAnsi="宋体" w:cs="宋体"/>
        </w:rPr>
        <w:t xml:space="preserve">第五部分  评标方法与评标标准</w:t>
      </w:r>
      <w:r/>
    </w:p>
    <w:p>
      <w:pPr>
        <w:ind w:firstLine="422"/>
        <w:jc w:val="left"/>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评标方法</w:t>
      </w:r>
      <w:r/>
    </w:p>
    <w:p>
      <w:pPr>
        <w:pStyle w:val="879"/>
        <w:ind w:firstLine="480"/>
        <w:spacing w:line="480" w:lineRule="exact"/>
        <w:rPr>
          <w:rFonts w:hint="eastAsia" w:asciiTheme="minorEastAsia" w:hAnsiTheme="minorEastAsia"/>
          <w:sz w:val="24"/>
        </w:rPr>
      </w:pPr>
      <w:r>
        <w:rPr>
          <w:rFonts w:hint="eastAsia" w:asciiTheme="minorEastAsia" w:hAnsiTheme="minorEastAsia"/>
          <w:sz w:val="24"/>
        </w:rPr>
        <w:t xml:space="preserve">一、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pStyle w:val="879"/>
        <w:spacing w:line="480" w:lineRule="exact"/>
        <w:rPr>
          <w:rFonts w:hint="eastAsia" w:asciiTheme="minorEastAsia" w:hAnsiTheme="minorEastAsia"/>
          <w:sz w:val="24"/>
        </w:rPr>
      </w:pPr>
      <w:r>
        <w:rPr>
          <w:rFonts w:asciiTheme="minorEastAsia" w:hAnsiTheme="minorEastAsia"/>
          <w:sz w:val="24"/>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pStyle w:val="879"/>
        <w:spacing w:line="480" w:lineRule="exact"/>
        <w:rPr>
          <w:rFonts w:hint="eastAsia" w:asciiTheme="minorEastAsia" w:hAnsiTheme="minorEastAsia"/>
          <w:sz w:val="24"/>
        </w:rPr>
      </w:pPr>
      <w:r>
        <w:rPr>
          <w:rFonts w:asciiTheme="minorEastAsia" w:hAnsiTheme="minorEastAsia"/>
          <w:sz w:val="24"/>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79"/>
        <w:spacing w:line="480" w:lineRule="exact"/>
        <w:rPr>
          <w:rFonts w:hint="eastAsia" w:asciiTheme="minorEastAsia" w:hAnsiTheme="minorEastAsia"/>
          <w:sz w:val="24"/>
        </w:rPr>
      </w:pPr>
      <w:r>
        <w:rPr>
          <w:rFonts w:asciiTheme="minorEastAsia" w:hAnsiTheme="minorEastAsia"/>
          <w:sz w:val="24"/>
        </w:rPr>
        <w:t xml:space="preserve">    四、如出现评审得分最高的投标人有两个或两个以上的，以投标报价较低者优先作为该标段中标候选人，如果投标报价也相同的，则由公证机构组织以抽签方式确定中标候选人。</w:t>
      </w:r>
      <w:r/>
    </w:p>
    <w:p>
      <w:pPr>
        <w:pStyle w:val="879"/>
        <w:ind w:firstLine="480"/>
        <w:spacing w:line="480" w:lineRule="exact"/>
        <w:rPr>
          <w:rFonts w:hint="eastAsia" w:asciiTheme="minorEastAsia" w:hAnsiTheme="minorEastAsia"/>
          <w:sz w:val="24"/>
        </w:rPr>
      </w:pPr>
      <w:r>
        <w:rPr>
          <w:rFonts w:hint="eastAsia" w:asciiTheme="minorEastAsia" w:hAnsiTheme="minorEastAsia"/>
          <w:sz w:val="24"/>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79"/>
        <w:spacing w:line="480" w:lineRule="exact"/>
        <w:rPr>
          <w:rFonts w:hint="eastAsia" w:asciiTheme="minorEastAsia" w:hAnsiTheme="minorEastAsia"/>
          <w:sz w:val="24"/>
        </w:rPr>
      </w:pPr>
      <w:r>
        <w:rPr>
          <w:rFonts w:asciiTheme="minorEastAsia" w:hAnsiTheme="minorEastAsia"/>
          <w:sz w:val="24"/>
        </w:rPr>
        <w:t xml:space="preserve">    </w:t>
      </w:r>
      <w:r>
        <w:rPr>
          <w:rFonts w:hint="eastAsia" w:asciiTheme="minorEastAsia" w:hAnsiTheme="minorEastAsia"/>
          <w:sz w:val="24"/>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七、中小企业相关政策：</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cs="宋体"/>
          <w:b/>
          <w:sz w:val="24"/>
        </w:rPr>
        <w:t xml:space="preserve">但与大企业的负责人为同一人，或者与大企业存在直接控股、管理关系的除外。</w:t>
      </w:r>
      <w:r>
        <w:rPr>
          <w:rFonts w:hint="eastAsia" w:ascii="宋体" w:hAnsi="宋体" w:cs="宋体"/>
          <w:sz w:val="24"/>
        </w:rPr>
        <w:t xml:space="preserve">符合中小企业划分标准的个体工商户，在政府采购活动中视同中小企业：</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1、在货物采购项目中，货物由小、微企业制造，即货物由小、微企业生产且使用该小、微企业商号或者注册商标。对其报价给予20%的扣除，扣除后的价格参与价格评审。</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3、在货物采购项目中，供应商提供的货物既有小、微企业制造货物，也有中、大型企业制造货物的，不享受本办法规定的小、微企业价格扶持政策。</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4、以联合体形式参加政府采购活动，联合体各方均为中小企业的，联合体视同中小企业。其中，联合体各方均为小微企业的，联合体视同小微企业。</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5、符合中小企业划分标准的个体工商户，在政府采购活动中视同中小企业。</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6、残疾人福利性单位及监狱企业视同小型企业，享受评审中价格扣除等促进中小企业发展的政府采购政策。</w:t>
      </w:r>
      <w:r/>
    </w:p>
    <w:p>
      <w:pPr>
        <w:ind w:firstLine="482"/>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7、供应商按照本办法规定提供声明函内容不实的，属于提供虚假材料谋取中标、 成交， 依照《中华人民共和国政府采购法》 等国家有关规定追究相应责任。 </w:t>
      </w:r>
      <w:r/>
    </w:p>
    <w:p>
      <w:pPr>
        <w:ind w:firstLine="482"/>
        <w:spacing w:line="440" w:lineRule="exact"/>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八、</w:t>
      </w:r>
      <w:r>
        <w:rPr>
          <w:rFonts w:hint="eastAsia" w:ascii="Times New Roman" w:hAnsi="Times New Roman"/>
          <w:b/>
          <w:color w:val="000000" w:themeColor="text1"/>
          <w:szCs w:val="21"/>
          <w:highlight w:val="none"/>
          <w14:textFill>
            <w14:solidFill>
              <w14:schemeClr w14:val="tx1"/>
            </w14:solidFill>
          </w14:textFill>
        </w:rPr>
        <w:t xml:space="preserve">采购本国产品的支持政策</w:t>
      </w:r>
      <w:r/>
    </w:p>
    <w:p>
      <w:pPr>
        <w:ind w:firstLine="480"/>
        <w:jc w:val="left"/>
        <w:spacing w:line="500" w:lineRule="exact"/>
        <w:rPr>
          <w:rFonts w:hint="eastAsia" w:ascii="宋体" w:hAnsi="宋体" w:cs="宋体"/>
          <w:b/>
          <w:sz w:val="24"/>
          <w:highlight w:val="none"/>
        </w:rPr>
      </w:pPr>
      <w:r>
        <w:rPr>
          <w:rFonts w:hint="eastAsia" w:ascii="宋体" w:hAnsi="宋体" w:cs="宋体"/>
          <w:sz w:val="24"/>
          <w:highlight w:val="none"/>
        </w:rPr>
        <w:t xml:space="preserve">1、本项目政府采购活动中既有本国产品又有非本国产品参与竞争的，依法对本国产品给予价格评审优惠，</w:t>
      </w:r>
      <w:r>
        <w:rPr>
          <w:rFonts w:hint="eastAsia" w:ascii="宋体" w:hAnsi="宋体" w:cs="宋体"/>
          <w:b/>
          <w:sz w:val="24"/>
          <w:highlight w:val="none"/>
        </w:rPr>
        <w:t xml:space="preserve">对本国产品的报价给予20%的价格扣除，用扣除后的价格参与评审。</w:t>
      </w:r>
      <w:r/>
    </w:p>
    <w:p>
      <w:pPr>
        <w:ind w:firstLine="480"/>
        <w:jc w:val="left"/>
        <w:spacing w:line="500" w:lineRule="exact"/>
        <w:rPr>
          <w:rFonts w:hint="eastAsia" w:ascii="宋体" w:hAnsi="宋体" w:cs="宋体"/>
          <w:b/>
          <w:bCs/>
          <w:sz w:val="24"/>
        </w:rPr>
      </w:pPr>
      <w:r>
        <w:rPr>
          <w:rFonts w:ascii="宋体" w:hAnsi="宋体" w:cs="宋体"/>
          <w:sz w:val="24"/>
          <w:highlight w:val="none"/>
        </w:rPr>
        <w:t xml:space="preserve">2、</w:t>
      </w:r>
      <w:r>
        <w:rPr>
          <w:rFonts w:hint="eastAsia" w:ascii="宋体" w:hAnsi="宋体" w:cs="宋体"/>
          <w:sz w:val="24"/>
          <w:highlight w:val="none"/>
        </w:rPr>
        <w:t xml:space="preserve">当采购项目或者采购包中含有多种产品，供应商为该采购项目或者采购包提供的符合本国</w:t>
      </w:r>
      <w:r>
        <w:rPr>
          <w:rFonts w:hint="eastAsia" w:ascii="宋体" w:hAnsi="宋体" w:cs="宋体"/>
          <w:sz w:val="24"/>
        </w:rPr>
        <w:t xml:space="preserve">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w:t>
      </w:r>
      <w:r>
        <w:rPr>
          <w:rFonts w:hint="eastAsia" w:ascii="宋体" w:hAnsi="宋体" w:cs="宋体"/>
          <w:b/>
          <w:bCs/>
          <w:sz w:val="24"/>
        </w:rPr>
        <w:t xml:space="preserve">供应商未填写比例数值，或比例数值不足80%的，将不享受本国产品价格评审优惠。</w:t>
      </w:r>
      <w:r/>
    </w:p>
    <w:p>
      <w:pPr>
        <w:ind w:firstLine="480"/>
        <w:jc w:val="left"/>
        <w:spacing w:line="50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供应商需按照招标文件的要求提供《关于符合本国产品标准的声明函》（以下简称《声明函》），</w:t>
      </w:r>
      <w:r>
        <w:rPr>
          <w:rFonts w:hint="eastAsia" w:ascii="宋体" w:hAnsi="宋体" w:cs="宋体"/>
          <w:b/>
          <w:sz w:val="24"/>
        </w:rPr>
        <w:t xml:space="preserve">如不提供将不享受本国产品价格评审优惠。</w:t>
      </w:r>
      <w:r/>
    </w:p>
    <w:p>
      <w:pPr>
        <w:ind w:firstLine="480"/>
        <w:jc w:val="left"/>
        <w:spacing w:line="500" w:lineRule="exact"/>
        <w:rPr>
          <w:rFonts w:hint="eastAsia" w:ascii="宋体" w:hAnsi="宋体" w:cs="宋体"/>
          <w:b/>
          <w:sz w:val="24"/>
        </w:rPr>
      </w:pPr>
      <w:r>
        <w:rPr>
          <w:rFonts w:ascii="宋体" w:hAnsi="宋体" w:cs="宋体"/>
          <w:sz w:val="24"/>
        </w:rPr>
        <w:t xml:space="preserve">4、</w:t>
      </w:r>
      <w:r>
        <w:rPr>
          <w:rFonts w:hint="eastAsia" w:ascii="宋体" w:hAnsi="宋体" w:cs="宋体"/>
          <w:b/>
          <w:sz w:val="24"/>
        </w:rPr>
        <w:t xml:space="preserve">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hint="eastAsia" w:hAnsi="宋体" w:cs="宋体"/>
          <w:sz w:val="24"/>
        </w:rPr>
      </w:pPr>
      <w:r>
        <w:rPr>
          <w:rFonts w:hint="eastAsia" w:ascii="宋体" w:hAnsi="宋体" w:cs="宋体"/>
          <w:b/>
          <w:sz w:val="24"/>
        </w:rPr>
        <w:t xml:space="preserve">评分标准</w:t>
      </w:r>
      <w:r/>
    </w:p>
    <w:p>
      <w:pPr>
        <w:pStyle w:val="879"/>
        <w:ind w:firstLine="482"/>
        <w:spacing w:line="500" w:lineRule="exact"/>
        <w:rPr>
          <w:rFonts w:hint="eastAsia" w:ascii="宋体" w:hAnsi="宋体" w:cs="宋体"/>
          <w:b/>
          <w:bCs/>
          <w:sz w:val="24"/>
        </w:rPr>
      </w:pPr>
      <w:r>
        <w:rPr>
          <w:rFonts w:hint="eastAsia" w:ascii="宋体" w:hAnsi="宋体" w:cs="宋体"/>
          <w:b/>
          <w:bCs/>
          <w:sz w:val="24"/>
        </w:rPr>
        <w:t xml:space="preserve">一、价格分（35分）</w:t>
      </w:r>
      <w:r/>
    </w:p>
    <w:p>
      <w:pPr>
        <w:pStyle w:val="879"/>
        <w:ind w:firstLine="480"/>
        <w:spacing w:line="500" w:lineRule="exact"/>
        <w:rPr>
          <w:rFonts w:hint="eastAsia" w:ascii="宋体" w:hAnsi="宋体" w:cs="宋体"/>
          <w:sz w:val="24"/>
        </w:rPr>
      </w:pPr>
      <w:r/>
      <w:bookmarkStart w:id="10" w:name="OLE_LINK7"/>
      <w:r>
        <w:rPr>
          <w:rFonts w:hint="eastAsia" w:ascii="宋体" w:hAnsi="宋体" w:cs="宋体"/>
          <w:sz w:val="24"/>
        </w:rPr>
        <w:t xml:space="preserve">第一步：投标报价低于或等于财政预算价格的，为有效投标报价。超财政预算的投标报价为无效投标报价。</w:t>
      </w:r>
      <w:r/>
    </w:p>
    <w:p>
      <w:pPr>
        <w:pStyle w:val="879"/>
        <w:ind w:firstLine="480"/>
        <w:spacing w:line="500" w:lineRule="exact"/>
        <w:rPr>
          <w:rFonts w:hint="eastAsia" w:ascii="宋体" w:hAnsi="宋体" w:cs="宋体"/>
          <w:sz w:val="24"/>
        </w:rPr>
      </w:pPr>
      <w:r>
        <w:rPr>
          <w:rFonts w:hint="eastAsia" w:ascii="宋体" w:hAnsi="宋体" w:cs="宋体"/>
          <w:sz w:val="24"/>
        </w:rPr>
        <w:t xml:space="preserve">第二步：在所有有效投标报价中满足采购文件要求，且投标价格最低的投标报价为评标基准价，其他投标人的价格分按照下列公式计算（计算结果四舍五入保留两位小数）。</w:t>
      </w:r>
      <w:r/>
    </w:p>
    <w:p>
      <w:pPr>
        <w:pStyle w:val="879"/>
        <w:ind w:firstLine="480"/>
        <w:spacing w:line="500" w:lineRule="exact"/>
        <w:rPr>
          <w:rFonts w:hint="eastAsia" w:ascii="宋体" w:hAnsi="宋体" w:cs="宋体"/>
          <w:sz w:val="24"/>
        </w:rPr>
      </w:pPr>
      <w:r>
        <w:rPr>
          <w:rFonts w:hint="eastAsia" w:ascii="宋体" w:hAnsi="宋体" w:cs="宋体"/>
          <w:sz w:val="24"/>
        </w:rPr>
        <w:t xml:space="preserve">报价得分=(评标基准价/投标报价)×35%×100</w:t>
      </w:r>
      <w:bookmarkEnd w:id="10"/>
      <w:r/>
      <w:r/>
    </w:p>
    <w:p>
      <w:pPr>
        <w:numPr>
          <w:ilvl w:val="0"/>
          <w:numId w:val="10"/>
        </w:numPr>
        <w:ind w:firstLine="482"/>
        <w:spacing w:line="500" w:lineRule="exact"/>
        <w:rPr>
          <w:rFonts w:hint="eastAsia" w:ascii="宋体" w:hAnsi="宋体" w:cs="宋体"/>
          <w:b/>
          <w:bCs/>
          <w:sz w:val="24"/>
        </w:rPr>
      </w:pPr>
      <w:r>
        <w:rPr>
          <w:rFonts w:ascii="宋体" w:hAnsi="宋体" w:cs="宋体"/>
          <w:b/>
          <w:bCs/>
          <w:sz w:val="24"/>
        </w:rPr>
        <w:t xml:space="preserve">硬件设备技术参数（40分）</w:t>
      </w:r>
      <w:r/>
    </w:p>
    <w:p>
      <w:pPr>
        <w:ind w:firstLine="480"/>
        <w:spacing w:line="480" w:lineRule="exact"/>
        <w:widowControl/>
        <w:rPr>
          <w:rFonts w:hint="eastAsia" w:asciiTheme="minorEastAsia" w:hAnsiTheme="minorEastAsia" w:cstheme="minorEastAsia"/>
          <w:sz w:val="24"/>
          <w:lang w:val="zh-TW"/>
        </w:rPr>
      </w:pPr>
      <w:r>
        <w:rPr>
          <w:rFonts w:hint="eastAsia" w:asciiTheme="minorEastAsia" w:hAnsiTheme="minorEastAsia" w:cstheme="minorEastAsia"/>
          <w:sz w:val="24"/>
        </w:rPr>
        <w:t xml:space="preserve">评委根据招标文件第三部分-项目需求-（一）采购项目标的物清单，对投标产品的基本功能、技术指标与需求的吻合程度和偏差情况（包括所投标产品的品牌、规格型号、配置、主要技术参数等），是否能够满足招标文件要求，是否体现一定先</w:t>
      </w:r>
      <w:r>
        <w:rPr>
          <w:rFonts w:hint="eastAsia" w:asciiTheme="minorEastAsia" w:hAnsiTheme="minorEastAsia" w:cstheme="minorEastAsia"/>
          <w:sz w:val="24"/>
          <w:lang w:val="zh-TW"/>
        </w:rPr>
        <w:t xml:space="preserve">进性、可靠性、成熟性、易维护性、可扩展性等进行综合评比：</w:t>
      </w:r>
      <w:r/>
    </w:p>
    <w:p>
      <w:pPr>
        <w:ind w:firstLine="480"/>
        <w:spacing w:line="480" w:lineRule="exact"/>
        <w:widowControl/>
        <w:rPr>
          <w:rFonts w:hint="eastAsia" w:asciiTheme="minorEastAsia" w:hAnsiTheme="minorEastAsia" w:cstheme="minorEastAsia"/>
          <w:sz w:val="24"/>
          <w:lang w:val="zh-TW"/>
        </w:rPr>
      </w:pPr>
      <w:r>
        <w:rPr>
          <w:rFonts w:hint="eastAsia" w:asciiTheme="minorEastAsia" w:hAnsiTheme="minorEastAsia" w:cstheme="minorEastAsia"/>
          <w:sz w:val="24"/>
          <w:lang w:val="zh-TW"/>
        </w:rPr>
        <w:t xml:space="preserve">标“▲”号项为重要技术指标，共</w:t>
      </w:r>
      <w:r>
        <w:rPr>
          <w:rFonts w:hint="eastAsia" w:asciiTheme="minorEastAsia" w:hAnsiTheme="minorEastAsia" w:cstheme="minorEastAsia"/>
          <w:sz w:val="24"/>
        </w:rPr>
        <w:t xml:space="preserve">40</w:t>
      </w:r>
      <w:r>
        <w:rPr>
          <w:rFonts w:hint="eastAsia" w:asciiTheme="minorEastAsia" w:hAnsiTheme="minorEastAsia" w:cstheme="minorEastAsia"/>
          <w:sz w:val="24"/>
          <w:lang w:val="zh-TW"/>
        </w:rPr>
        <w:t xml:space="preserve">项。标号项技术参数</w:t>
      </w:r>
      <w:r>
        <w:rPr>
          <w:rFonts w:hint="eastAsia" w:asciiTheme="minorEastAsia" w:hAnsiTheme="minorEastAsia" w:cstheme="minorEastAsia"/>
          <w:sz w:val="24"/>
        </w:rPr>
        <w:t xml:space="preserve">完全</w:t>
      </w:r>
      <w:r>
        <w:rPr>
          <w:rFonts w:hint="eastAsia" w:asciiTheme="minorEastAsia" w:hAnsiTheme="minorEastAsia" w:cstheme="minorEastAsia"/>
          <w:sz w:val="24"/>
          <w:lang w:val="zh-TW"/>
        </w:rPr>
        <w:t xml:space="preserve">满足或高于招标文件要求的，每</w:t>
      </w:r>
      <w:r>
        <w:rPr>
          <w:rFonts w:hint="eastAsia" w:asciiTheme="minorEastAsia" w:hAnsiTheme="minorEastAsia" w:cstheme="minorEastAsia"/>
          <w:sz w:val="24"/>
        </w:rPr>
        <w:t xml:space="preserve">有一项得1</w:t>
      </w:r>
      <w:r>
        <w:rPr>
          <w:rFonts w:hint="eastAsia" w:asciiTheme="minorEastAsia" w:hAnsiTheme="minorEastAsia" w:cstheme="minorEastAsia"/>
          <w:sz w:val="24"/>
          <w:lang w:val="zh-TW"/>
        </w:rPr>
        <w:t xml:space="preserve">分，</w:t>
      </w:r>
      <w:r>
        <w:rPr>
          <w:rFonts w:hint="eastAsia" w:asciiTheme="minorEastAsia" w:hAnsiTheme="minorEastAsia" w:cstheme="minorEastAsia"/>
          <w:sz w:val="24"/>
        </w:rPr>
        <w:t xml:space="preserve">最高40分</w:t>
      </w:r>
      <w:r>
        <w:rPr>
          <w:rFonts w:hint="eastAsia" w:asciiTheme="minorEastAsia" w:hAnsiTheme="minorEastAsia" w:cstheme="minorEastAsia"/>
          <w:sz w:val="24"/>
          <w:lang w:val="zh-TW"/>
        </w:rPr>
        <w:t xml:space="preserve">。“▲”号项参数需</w:t>
      </w:r>
      <w:r>
        <w:rPr>
          <w:rFonts w:hint="eastAsia" w:asciiTheme="minorEastAsia" w:hAnsiTheme="minorEastAsia" w:cstheme="minorEastAsia"/>
          <w:sz w:val="24"/>
        </w:rPr>
        <w:t xml:space="preserve">根据需求</w:t>
      </w:r>
      <w:r>
        <w:rPr>
          <w:rFonts w:hint="eastAsia" w:asciiTheme="minorEastAsia" w:hAnsiTheme="minorEastAsia" w:cstheme="minorEastAsia"/>
          <w:sz w:val="24"/>
          <w:lang w:val="zh-TW"/>
        </w:rPr>
        <w:t xml:space="preserve">提供具有CMA标识的第三方检测机构出具的检测报告</w:t>
      </w:r>
      <w:r>
        <w:rPr>
          <w:rFonts w:hint="eastAsia" w:asciiTheme="minorEastAsia" w:hAnsiTheme="minorEastAsia" w:cstheme="minorEastAsia"/>
          <w:sz w:val="24"/>
        </w:rPr>
        <w:t xml:space="preserve">或其他证明材料</w:t>
      </w:r>
      <w:r>
        <w:rPr>
          <w:rFonts w:hint="eastAsia" w:asciiTheme="minorEastAsia" w:hAnsiTheme="minorEastAsia" w:cstheme="minorEastAsia"/>
          <w:sz w:val="24"/>
          <w:lang w:val="zh-TW"/>
        </w:rPr>
        <w:t xml:space="preserve">并加盖投标单位公章，否则视为负偏离，</w:t>
      </w:r>
      <w:r>
        <w:rPr>
          <w:rFonts w:hint="eastAsia" w:asciiTheme="minorEastAsia" w:hAnsiTheme="minorEastAsia" w:cstheme="minorEastAsia"/>
          <w:sz w:val="24"/>
        </w:rPr>
        <w:t xml:space="preserve">不得分</w:t>
      </w:r>
      <w:r>
        <w:rPr>
          <w:rFonts w:hint="eastAsia" w:asciiTheme="minorEastAsia" w:hAnsiTheme="minorEastAsia" w:cstheme="minorEastAsia"/>
          <w:sz w:val="24"/>
          <w:lang w:val="zh-TW"/>
        </w:rPr>
        <w:t xml:space="preserve">。</w:t>
      </w:r>
      <w:r/>
    </w:p>
    <w:p>
      <w:pPr>
        <w:ind w:firstLine="480"/>
        <w:spacing w:line="480" w:lineRule="exact"/>
        <w:widowControl/>
        <w:rPr>
          <w:rFonts w:hint="eastAsia" w:asciiTheme="minorEastAsia" w:hAnsiTheme="minorEastAsia" w:cstheme="minorEastAsia"/>
          <w:sz w:val="24"/>
          <w:lang w:val="zh-TW"/>
        </w:rPr>
      </w:pPr>
      <w:r>
        <w:rPr>
          <w:rFonts w:hint="eastAsia" w:asciiTheme="minorEastAsia" w:hAnsiTheme="minorEastAsia" w:cstheme="minorEastAsia"/>
          <w:sz w:val="24"/>
          <w:lang w:val="zh-TW"/>
        </w:rPr>
        <w:t xml:space="preserve">注：①带号的技术指标参数，应在《重要要求参数响应偏离表》“证明材料位置”一栏填写带“▲”号技术参数证明材料在投标文件中的位置，并以明显方式标明，以便于评标委员会正确评判。带号的技术参数投标人虽然在《重要要求参数响应偏离表》里列明无偏离，但未能按招标文件要求提供相应证明材料的仍视为负偏离。</w:t>
      </w:r>
      <w:r/>
    </w:p>
    <w:p>
      <w:pPr>
        <w:ind w:firstLine="480"/>
        <w:spacing w:line="480" w:lineRule="exact"/>
        <w:widowControl/>
        <w:rPr>
          <w:rFonts w:hint="eastAsia" w:asciiTheme="minorEastAsia" w:hAnsiTheme="minorEastAsia" w:cstheme="minorEastAsia"/>
          <w:sz w:val="24"/>
          <w:lang w:val="zh-TW"/>
        </w:rPr>
      </w:pPr>
      <w:r>
        <w:rPr>
          <w:rFonts w:hint="eastAsia" w:asciiTheme="minorEastAsia" w:hAnsiTheme="minorEastAsia" w:cstheme="minorEastAsia"/>
          <w:sz w:val="24"/>
          <w:lang w:val="zh-TW"/>
        </w:rPr>
        <w:t xml:space="preserve">②非带“▲”号的一般性指标技术参数由投标供应商自行在《一般性要求参数响应偏离表》中予以响应是否偏离，无需提供佐证材料。</w:t>
      </w:r>
      <w:r/>
    </w:p>
    <w:p>
      <w:pPr>
        <w:ind w:firstLine="480"/>
        <w:spacing w:line="480" w:lineRule="exact"/>
        <w:widowControl/>
        <w:rPr>
          <w:rFonts w:hint="eastAsia" w:asciiTheme="minorEastAsia" w:hAnsiTheme="minorEastAsia" w:cstheme="minorEastAsia"/>
          <w:sz w:val="24"/>
          <w:lang w:val="zh-TW"/>
        </w:rPr>
      </w:pPr>
      <w:r>
        <w:rPr>
          <w:rFonts w:hint="eastAsia" w:asciiTheme="minorEastAsia" w:hAnsiTheme="minorEastAsia" w:cstheme="minorEastAsia"/>
          <w:sz w:val="24"/>
          <w:lang w:val="zh-TW"/>
        </w:rPr>
        <w:t xml:space="preserve">③检测报告必须是国家认</w:t>
      </w:r>
      <w:r>
        <w:rPr>
          <w:rFonts w:hint="eastAsia" w:asciiTheme="minorEastAsia" w:hAnsiTheme="minorEastAsia" w:cstheme="minorEastAsia"/>
          <w:sz w:val="24"/>
          <w:lang w:val="zh-TW"/>
        </w:rPr>
        <w:t xml:space="preserve">可的法定质监检测机构出具；按照需求中检测方式及要求提供检测报告；投标文件中提供检测报告的复印件，检测报告复印件必须提供对应参数完整的检测报告内容及封面，必须复印完整，局部复印视为无效。计算机软件著作权证书必须是中华人民共和国国家版权局正式登记颁发的，真实有效可查，著作权证书复印件需完整清晰局部复印视为无效，文件中要求的截图证明必须清晰可辨截图内容无法辨识的视为无效，所需证明材料必须加盖投标单位公章，未加盖投标单位公章的视为无效，所提供的证明资料必须真实有效，若提供虚假资料，一经查实采购方有权取消其中标资格。</w:t>
      </w:r>
      <w:r/>
    </w:p>
    <w:p>
      <w:pPr>
        <w:spacing w:line="500" w:lineRule="exact"/>
        <w:rPr>
          <w:rFonts w:hint="eastAsia" w:ascii="宋体" w:hAnsi="宋体" w:cs="宋体"/>
          <w:sz w:val="24"/>
        </w:rPr>
      </w:pPr>
      <w:r>
        <w:rPr>
          <w:rFonts w:hint="eastAsia" w:ascii="宋体" w:hAnsi="宋体" w:eastAsia="宋体" w:cs="宋体"/>
          <w:b/>
          <w:sz w:val="24"/>
        </w:rPr>
        <w:t xml:space="preserve">三、</w:t>
      </w:r>
      <w:r>
        <w:rPr>
          <w:rFonts w:hint="eastAsia" w:ascii="宋体" w:hAnsi="宋体" w:eastAsia="宋体" w:cs="宋体"/>
          <w:b/>
          <w:bCs/>
          <w:sz w:val="24"/>
        </w:rPr>
        <w:t xml:space="preserve">服务方案（</w:t>
      </w:r>
      <w:r>
        <w:rPr>
          <w:rFonts w:hint="eastAsia" w:ascii="宋体" w:hAnsi="宋体" w:cs="宋体"/>
          <w:b/>
          <w:bCs/>
          <w:sz w:val="24"/>
        </w:rPr>
        <w:t xml:space="preserve">11分）</w:t>
      </w:r>
      <w:r/>
    </w:p>
    <w:p>
      <w:pPr>
        <w:pStyle w:val="864"/>
        <w:ind w:firstLine="482"/>
        <w:spacing w:after="0" w:line="500" w:lineRule="exact"/>
        <w:rPr>
          <w:rFonts w:hint="eastAsia" w:ascii="宋体" w:hAnsi="宋体" w:eastAsia="宋体" w:cs="宋体"/>
          <w:b/>
          <w:sz w:val="24"/>
        </w:rPr>
      </w:pPr>
      <w:r>
        <w:rPr>
          <w:rFonts w:hint="eastAsia" w:ascii="宋体" w:hAnsi="宋体" w:eastAsia="宋体" w:cs="宋体"/>
          <w:b/>
          <w:sz w:val="24"/>
        </w:rPr>
        <w:t xml:space="preserve">1、总体技术方案（3分）</w:t>
      </w:r>
      <w:r/>
    </w:p>
    <w:p>
      <w:pPr>
        <w:pStyle w:val="864"/>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根据投标人针对本项目需求提供的项目整体技术设计方案进行评分，方案内容包括①项目需求理解； ②设计方案； ③方案重点等。</w:t>
      </w:r>
      <w:r/>
    </w:p>
    <w:p>
      <w:pPr>
        <w:pStyle w:val="864"/>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方案内容每有一项内容针对本项目且符合本项目实际需求的，得1分，满分3分。每缺少一项内容，或内容非专门针对本项目，或内容不能满足本项目实际需求的，不得分。</w:t>
      </w:r>
      <w:r/>
    </w:p>
    <w:p>
      <w:pPr>
        <w:pStyle w:val="864"/>
        <w:ind w:firstLine="482"/>
        <w:spacing w:after="0" w:line="500" w:lineRule="exact"/>
        <w:rPr>
          <w:rFonts w:hint="eastAsia" w:ascii="宋体" w:hAnsi="宋体" w:eastAsia="宋体" w:cs="宋体"/>
          <w:b/>
          <w:sz w:val="24"/>
        </w:rPr>
      </w:pPr>
      <w:r>
        <w:rPr>
          <w:rFonts w:hint="eastAsia" w:ascii="宋体" w:hAnsi="宋体" w:eastAsia="宋体" w:cs="宋体"/>
          <w:b/>
          <w:sz w:val="24"/>
        </w:rPr>
        <w:t xml:space="preserve">2、项目实施方案及进度保障措施（3分）</w:t>
      </w:r>
      <w:r/>
    </w:p>
    <w:p>
      <w:pPr>
        <w:pStyle w:val="864"/>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根据投标人针对本项目需求提供的实施方案及进度保障措施内容进行评分，方案内容包括①实施步骤及进度安排； ②安全文明措施； ③维护安装调试内容等。</w:t>
      </w:r>
      <w:r/>
    </w:p>
    <w:p>
      <w:pPr>
        <w:pStyle w:val="864"/>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方案内容每有一项内容针对本项目且符合本项目实际需求的，得1分，满分3分。每缺少一项内容，或内容非专门针对本项目，或内容不能满足本项目实际需求的，不得分。</w:t>
      </w:r>
      <w:r/>
    </w:p>
    <w:p>
      <w:pPr>
        <w:pStyle w:val="864"/>
        <w:ind w:firstLine="482"/>
        <w:spacing w:after="0" w:line="500" w:lineRule="exact"/>
        <w:rPr>
          <w:rFonts w:hint="eastAsia" w:ascii="宋体" w:hAnsi="宋体" w:eastAsia="宋体" w:cs="宋体"/>
          <w:b/>
          <w:sz w:val="24"/>
        </w:rPr>
      </w:pPr>
      <w:r>
        <w:rPr>
          <w:rFonts w:hint="eastAsia" w:ascii="宋体" w:hAnsi="宋体" w:eastAsia="宋体" w:cs="宋体"/>
          <w:b/>
          <w:sz w:val="24"/>
        </w:rPr>
        <w:t xml:space="preserve">3、质量保证措施及承诺（3分）</w:t>
      </w:r>
      <w:r/>
    </w:p>
    <w:p>
      <w:pPr>
        <w:pStyle w:val="864"/>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根据投标人针对本项目的质量保证内容进行评分，内容包括①对质量的控制及评定； ②质量保证措施；③质量保证的承诺等。</w:t>
      </w:r>
      <w:r/>
    </w:p>
    <w:p>
      <w:pPr>
        <w:pStyle w:val="864"/>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方案内容每有一项内容针对本项目且符合本项目实际需求的，得1分，满分3分。每缺少一项内容，或内容非专门针对本项目，或内容不能满足本项目实际需求的，不得分。</w:t>
      </w:r>
      <w:r/>
    </w:p>
    <w:p>
      <w:pPr>
        <w:pStyle w:val="864"/>
        <w:ind w:firstLine="482"/>
        <w:spacing w:after="0" w:line="500" w:lineRule="exact"/>
        <w:rPr>
          <w:rFonts w:hint="eastAsia" w:ascii="宋体" w:hAnsi="宋体" w:eastAsia="宋体" w:cs="宋体"/>
          <w:bCs/>
          <w:sz w:val="24"/>
        </w:rPr>
      </w:pPr>
      <w:r>
        <w:rPr>
          <w:rFonts w:hint="eastAsia" w:ascii="宋体" w:hAnsi="宋体" w:eastAsia="宋体" w:cs="宋体"/>
          <w:b/>
          <w:sz w:val="24"/>
        </w:rPr>
        <w:t xml:space="preserve">4、售后服务方案（2分）</w:t>
      </w:r>
      <w:r/>
    </w:p>
    <w:p>
      <w:pPr>
        <w:pStyle w:val="864"/>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根据投标人针对本项目的售后服务进行评分，内容包括①快速响应机制； ②系统保障方案； ③质保期内的服务方案；④服务应急措施等。</w:t>
      </w:r>
      <w:r/>
    </w:p>
    <w:p>
      <w:pPr>
        <w:pStyle w:val="864"/>
        <w:ind w:firstLine="480"/>
        <w:spacing w:after="0" w:line="500" w:lineRule="exact"/>
        <w:rPr>
          <w:rFonts w:hint="eastAsia" w:ascii="宋体" w:hAnsi="宋体" w:eastAsia="宋体" w:cs="宋体"/>
          <w:bCs/>
          <w:sz w:val="24"/>
        </w:rPr>
      </w:pPr>
      <w:r>
        <w:rPr>
          <w:rFonts w:hint="eastAsia" w:ascii="宋体" w:hAnsi="宋体" w:eastAsia="宋体" w:cs="宋体"/>
          <w:bCs/>
          <w:sz w:val="24"/>
        </w:rPr>
        <w:t xml:space="preserve">方案内容每有一项内容针对本项目且符合本项目实际需求的，得0.5分，满分2分。每缺少一项内容，或内容非专门针对本项目，或内容不能满足本项目实际需求的，不得分。</w:t>
      </w:r>
      <w:r/>
    </w:p>
    <w:p>
      <w:pPr>
        <w:pStyle w:val="864"/>
        <w:ind w:firstLine="0"/>
        <w:spacing w:after="0" w:line="500" w:lineRule="exact"/>
        <w:rPr>
          <w:rFonts w:hint="eastAsia" w:cs="宋体" w:asciiTheme="minorEastAsia" w:hAnsiTheme="minorEastAsia" w:eastAsiaTheme="minorEastAsia"/>
          <w:color w:val="000000" w:themeColor="text1"/>
          <w:sz w:val="24"/>
          <w14:textFill>
            <w14:solidFill>
              <w14:schemeClr w14:val="tx1"/>
            </w14:solidFill>
          </w14:textFill>
        </w:rPr>
      </w:pPr>
      <w:r>
        <w:rPr>
          <w:rFonts w:hint="eastAsia" w:ascii="宋体" w:hAnsi="宋体" w:eastAsia="宋体" w:cs="宋体"/>
          <w:b/>
          <w:sz w:val="24"/>
        </w:rPr>
        <w:t xml:space="preserve">四、</w:t>
      </w:r>
      <w:r>
        <w:rPr>
          <w:rFonts w:hint="eastAsia" w:ascii="宋体" w:hAnsi="宋体" w:eastAsia="宋体" w:cs="宋体"/>
          <w:b/>
          <w:bCs/>
          <w:sz w:val="24"/>
        </w:rPr>
        <w:t xml:space="preserve">项目团队</w:t>
      </w:r>
      <w:bookmarkStart w:id="11" w:name="OLE_LINK15"/>
      <w:r>
        <w:rPr>
          <w:rFonts w:hint="eastAsia" w:ascii="宋体" w:hAnsi="宋体" w:eastAsia="宋体" w:cs="宋体"/>
          <w:b/>
          <w:bCs/>
          <w:sz w:val="24"/>
        </w:rPr>
        <w:t xml:space="preserve">（12分）</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（一）、项目经理资质（1人）（4分）：</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1、具有电子信息工程专业高级工程师证书（人力资源和社会保障厅颁发），得1分；</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2、具有信息安全工程师证书（工业和信息化部教育与考试中心颁发），得1分；</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3、具有系统集成项目管理工程师证书（人力资源和社会保障厅颁发），得1分；</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4、具有信息系统项目管理师证书（人力资源和社会保障部颁发），得1分。</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须提供人员证书复印件加盖公章并提供供应商为其缴纳的近三个月任意一个月社保缴费证明。</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（二）、技术负责人（1人）（4分）</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ascii="宋体" w:hAnsi="宋体" w:eastAsia="宋体" w:cs="宋体"/>
          <w:sz w:val="24"/>
        </w:rPr>
        <w:t xml:space="preserve">1、</w:t>
      </w:r>
      <w:r>
        <w:rPr>
          <w:rFonts w:hint="eastAsia" w:cs="宋体" w:asciiTheme="minorEastAsia" w:hAnsiTheme="minorEastAsia"/>
          <w:color w:val="000000" w:themeColor="text1"/>
          <w:sz w:val="24"/>
          <w14:textFill>
            <w14:solidFill>
              <w14:schemeClr w14:val="tx1"/>
            </w14:solidFill>
          </w14:textFill>
        </w:rPr>
        <w:t xml:space="preserve">具有互联网技术工程师证书（人力资源和社会保障部颁发），得1分；</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ascii="宋体" w:hAnsi="宋体" w:eastAsia="宋体" w:cs="宋体"/>
          <w:sz w:val="24"/>
        </w:rPr>
        <w:t xml:space="preserve">2、</w:t>
      </w:r>
      <w:r>
        <w:rPr>
          <w:rFonts w:hint="eastAsia" w:cs="宋体" w:asciiTheme="minorEastAsia" w:hAnsiTheme="minorEastAsia"/>
          <w:color w:val="000000" w:themeColor="text1"/>
          <w:sz w:val="24"/>
          <w14:textFill>
            <w14:solidFill>
              <w14:schemeClr w14:val="tx1"/>
            </w14:solidFill>
          </w14:textFill>
        </w:rPr>
        <w:t xml:space="preserve">具有网络工程师证书（人力资源和社会保障厅颁发），得1分；</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ascii="宋体" w:hAnsi="宋体" w:eastAsia="宋体" w:cs="宋体"/>
          <w:sz w:val="24"/>
        </w:rPr>
        <w:t xml:space="preserve">3、</w:t>
      </w:r>
      <w:r>
        <w:rPr>
          <w:rFonts w:hint="eastAsia" w:cs="宋体" w:asciiTheme="minorEastAsia" w:hAnsiTheme="minorEastAsia"/>
          <w:color w:val="000000" w:themeColor="text1"/>
          <w:sz w:val="24"/>
          <w14:textFill>
            <w14:solidFill>
              <w14:schemeClr w14:val="tx1"/>
            </w14:solidFill>
          </w14:textFill>
        </w:rPr>
        <w:t xml:space="preserve">具有系统集成项目管理工程师证书（人力资源和社会保障厅颁发），得1分；</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ascii="宋体" w:hAnsi="宋体" w:eastAsia="宋体" w:cs="宋体"/>
          <w:sz w:val="24"/>
        </w:rPr>
        <w:t xml:space="preserve">4、</w:t>
      </w:r>
      <w:r>
        <w:rPr>
          <w:rFonts w:hint="eastAsia" w:cs="宋体" w:asciiTheme="minorEastAsia" w:hAnsiTheme="minorEastAsia"/>
          <w:color w:val="000000" w:themeColor="text1"/>
          <w:sz w:val="24"/>
          <w14:textFill>
            <w14:solidFill>
              <w14:schemeClr w14:val="tx1"/>
            </w14:solidFill>
          </w14:textFill>
        </w:rPr>
        <w:t xml:space="preserve">具有网络规划设计师证书（人力资源和社会保障部颁发），得1分；</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须提供人员证书复印件加盖公章并提供供应商为其缴纳的近三个月任意一个月社保缴费证明。</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（三）、拟投入项目组成员（除项目经理、技术负责人外）（4分）</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ascii="宋体" w:hAnsi="宋体" w:eastAsia="宋体" w:cs="宋体"/>
          <w:sz w:val="24"/>
        </w:rPr>
        <w:t xml:space="preserve">1、</w:t>
      </w:r>
      <w:r>
        <w:rPr>
          <w:rFonts w:hint="eastAsia" w:cs="宋体" w:asciiTheme="minorEastAsia" w:hAnsiTheme="minorEastAsia"/>
          <w:color w:val="000000" w:themeColor="text1"/>
          <w:sz w:val="24"/>
          <w14:textFill>
            <w14:solidFill>
              <w14:schemeClr w14:val="tx1"/>
            </w14:solidFill>
          </w14:textFill>
        </w:rPr>
        <w:t xml:space="preserve">具有系统架构设计师证书（人力资源和社会保障部颁发），得1分；</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ascii="宋体" w:hAnsi="宋体" w:eastAsia="宋体" w:cs="宋体"/>
          <w:sz w:val="24"/>
        </w:rPr>
        <w:t xml:space="preserve">2、</w:t>
      </w:r>
      <w:r>
        <w:rPr>
          <w:rFonts w:hint="eastAsia" w:cs="宋体" w:asciiTheme="minorEastAsia" w:hAnsiTheme="minorEastAsia"/>
          <w:color w:val="000000" w:themeColor="text1"/>
          <w:sz w:val="24"/>
          <w14:textFill>
            <w14:solidFill>
              <w14:schemeClr w14:val="tx1"/>
            </w14:solidFill>
          </w14:textFill>
        </w:rPr>
        <w:t xml:space="preserve">具有用户研究工程师证书（工业和信息化部教育与考试中心颁发），得1分；</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ascii="宋体" w:hAnsi="宋体" w:eastAsia="宋体" w:cs="宋体"/>
          <w:sz w:val="24"/>
        </w:rPr>
        <w:t xml:space="preserve">3、</w:t>
      </w:r>
      <w:r>
        <w:rPr>
          <w:rFonts w:hint="eastAsia" w:cs="宋体" w:asciiTheme="minorEastAsia" w:hAnsiTheme="minorEastAsia"/>
          <w:color w:val="000000" w:themeColor="text1"/>
          <w:sz w:val="24"/>
          <w14:textFill>
            <w14:solidFill>
              <w14:schemeClr w14:val="tx1"/>
            </w14:solidFill>
          </w14:textFill>
        </w:rPr>
        <w:t xml:space="preserve">具有智能化系统工程师（高级）证书（工业和信息化部教育与考试中心颁发），得1分；</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ascii="宋体" w:hAnsi="宋体" w:eastAsia="宋体" w:cs="宋体"/>
          <w:sz w:val="24"/>
        </w:rPr>
        <w:t xml:space="preserve">4、</w:t>
      </w:r>
      <w:r>
        <w:rPr>
          <w:rFonts w:hint="eastAsia" w:cs="宋体" w:asciiTheme="minorEastAsia" w:hAnsiTheme="minorEastAsia"/>
          <w:color w:val="000000" w:themeColor="text1"/>
          <w:sz w:val="24"/>
          <w14:textFill>
            <w14:solidFill>
              <w14:schemeClr w14:val="tx1"/>
            </w14:solidFill>
          </w14:textFill>
        </w:rPr>
        <w:t xml:space="preserve">具有低压电工证证书（应急管理部门颁发），得1分；</w:t>
      </w:r>
      <w:r/>
    </w:p>
    <w:p>
      <w:pPr>
        <w:ind w:firstLine="480"/>
        <w:spacing w:line="500" w:lineRule="exact"/>
        <w:rPr>
          <w:rFonts w:hint="eastAsia" w:ascii="宋体" w:hAnsi="宋体" w:eastAsia="宋体" w:cs="宋体"/>
          <w:b/>
          <w:bCs/>
          <w:sz w:val="24"/>
        </w:rPr>
      </w:pPr>
      <w:r>
        <w:rPr>
          <w:rFonts w:hint="eastAsia" w:cs="宋体" w:asciiTheme="minorEastAsia" w:hAnsiTheme="minorEastAsia"/>
          <w:color w:val="000000" w:themeColor="text1"/>
          <w:sz w:val="24"/>
          <w14:textFill>
            <w14:solidFill>
              <w14:schemeClr w14:val="tx1"/>
            </w14:solidFill>
          </w14:textFill>
        </w:rPr>
        <w:t xml:space="preserve">注：投标文件中须提供项目团队人员的相关证书扫描件并加盖公章及人员在投标单位近三个月中任意一个月的社保证明，不提供不得分（项目团队人员不得与项目经理、技术负责人为同一人，且同一人不重复计算得分)。</w:t>
      </w:r>
      <w:bookmarkEnd w:id="11"/>
      <w:r/>
      <w:r/>
    </w:p>
    <w:p>
      <w:pPr>
        <w:pStyle w:val="864"/>
        <w:spacing w:after="0" w:line="500" w:lineRule="exact"/>
        <w:rPr>
          <w:rFonts w:hint="eastAsia" w:ascii="宋体" w:hAnsi="宋体" w:eastAsia="宋体" w:cs="宋体"/>
          <w:sz w:val="24"/>
        </w:rPr>
      </w:pPr>
      <w:r>
        <w:rPr>
          <w:rFonts w:hint="eastAsia" w:ascii="宋体" w:hAnsi="宋体" w:eastAsia="宋体" w:cs="宋体"/>
          <w:b/>
          <w:sz w:val="24"/>
        </w:rPr>
        <w:t xml:space="preserve">五、</w:t>
      </w:r>
      <w:r>
        <w:rPr>
          <w:rFonts w:hint="eastAsia" w:ascii="宋体" w:hAnsi="宋体" w:eastAsia="宋体" w:cs="宋体"/>
          <w:b/>
          <w:bCs/>
          <w:sz w:val="24"/>
        </w:rPr>
        <w:t xml:space="preserve">类似业绩（2分）</w:t>
      </w:r>
      <w:r/>
    </w:p>
    <w:p>
      <w:pPr>
        <w:ind w:firstLine="480"/>
        <w:spacing w:line="500" w:lineRule="exact"/>
        <w:rPr>
          <w:rFonts w:hint="eastAsia" w:ascii="宋体" w:hAnsi="宋体" w:cs="宋体"/>
          <w:sz w:val="24"/>
        </w:rPr>
      </w:pPr>
      <w:r/>
      <w:bookmarkStart w:id="17" w:name="_GoBack"/>
      <w:r>
        <w:rPr>
          <w:rFonts w:hint="eastAsia" w:ascii="宋体" w:hAnsi="宋体" w:cs="宋体"/>
          <w:sz w:val="24"/>
          <w:lang w:val="zh-CN"/>
        </w:rPr>
        <w:t xml:space="preserve">投标人提供2023年1月1日起至今（以合同签订日期为准）类似项目业绩，每提供一个得</w:t>
      </w:r>
      <w:r>
        <w:rPr>
          <w:rFonts w:hint="eastAsia" w:ascii="宋体" w:hAnsi="宋体" w:cs="宋体"/>
          <w:sz w:val="24"/>
        </w:rPr>
        <w:t xml:space="preserve">1</w:t>
      </w:r>
      <w:r>
        <w:rPr>
          <w:rFonts w:hint="eastAsia" w:ascii="宋体" w:hAnsi="宋体" w:cs="宋体"/>
          <w:sz w:val="24"/>
          <w:lang w:val="zh-CN"/>
        </w:rPr>
        <w:t xml:space="preserve">分，最高得</w:t>
      </w:r>
      <w:r>
        <w:rPr>
          <w:rFonts w:hint="eastAsia" w:ascii="宋体" w:hAnsi="宋体" w:cs="宋体"/>
          <w:sz w:val="24"/>
        </w:rPr>
        <w:t xml:space="preserve">2</w:t>
      </w:r>
      <w:r>
        <w:rPr>
          <w:rFonts w:hint="eastAsia" w:ascii="宋体" w:hAnsi="宋体" w:cs="宋体"/>
          <w:sz w:val="24"/>
          <w:lang w:val="zh-CN"/>
        </w:rPr>
        <w:t xml:space="preserve">分。（投标文件中须提供完整的合同复印件并加盖投标人公章，提供不全或未提供不得分）</w:t>
      </w:r>
      <w:bookmarkEnd w:id="17"/>
      <w:r/>
      <w:r/>
    </w:p>
    <w:p>
      <w:pPr>
        <w:pStyle w:val="885"/>
        <w:spacing w:line="500" w:lineRule="exact"/>
        <w:rPr>
          <w:rFonts w:hint="eastAsia" w:ascii="宋体" w:hAnsi="宋体" w:cs="宋体"/>
          <w:sz w:val="24"/>
        </w:rPr>
      </w:pPr>
      <w:r>
        <w:rPr>
          <w:rFonts w:hint="eastAsia" w:ascii="宋体" w:hAnsi="宋体" w:cs="宋体"/>
          <w:sz w:val="24"/>
        </w:rPr>
      </w:r>
      <w:r/>
    </w:p>
    <w:p>
      <w:pPr>
        <w:pStyle w:val="885"/>
        <w:spacing w:line="500" w:lineRule="exact"/>
        <w:rPr>
          <w:rFonts w:hint="eastAsia" w:ascii="宋体" w:hAnsi="宋体" w:cs="宋体"/>
          <w:sz w:val="24"/>
        </w:rPr>
      </w:pPr>
      <w:r>
        <w:rPr>
          <w:rFonts w:hint="eastAsia" w:ascii="宋体" w:hAnsi="宋体" w:cs="宋体"/>
          <w:sz w:val="24"/>
        </w:rPr>
        <w:t xml:space="preserve">注：1、报价超过采购预算的为无效投标。</w:t>
      </w:r>
      <w:r/>
    </w:p>
    <w:p>
      <w:pPr>
        <w:pStyle w:val="885"/>
        <w:ind w:firstLine="480"/>
        <w:spacing w:line="500" w:lineRule="exact"/>
        <w:rPr>
          <w:rFonts w:hint="eastAsia" w:ascii="宋体" w:hAnsi="宋体" w:cs="宋体"/>
          <w:sz w:val="24"/>
        </w:rPr>
      </w:pPr>
      <w:r>
        <w:rPr>
          <w:rFonts w:hint="eastAsia" w:ascii="宋体" w:hAnsi="宋体" w:cs="宋体"/>
          <w:sz w:val="24"/>
        </w:rPr>
        <w:t xml:space="preserve">2、针对评分标准中评分的每一条，投标人均应提供相关电子证明资料并作出相应说明供评委评判，不提供相关电子证明资料的视为不具备该项得分的条件。</w:t>
      </w:r>
      <w:r/>
    </w:p>
    <w:p>
      <w:pPr>
        <w:pStyle w:val="885"/>
        <w:ind w:firstLine="480"/>
        <w:spacing w:line="500" w:lineRule="exact"/>
        <w:rPr>
          <w:rFonts w:hint="eastAsia" w:ascii="宋体" w:hAnsi="宋体" w:cs="宋体"/>
          <w:sz w:val="24"/>
        </w:rPr>
      </w:pPr>
      <w:r>
        <w:rPr>
          <w:rFonts w:hint="eastAsia" w:ascii="宋体" w:hAnsi="宋体" w:cs="宋体"/>
          <w:sz w:val="24"/>
        </w:rPr>
        <w:t xml:space="preserve">3、所有复印件字迹须复印清晰可见,复印不全或字迹不清晰的，视为未提供。</w:t>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before="240" w:after="240"/>
        <w:rPr>
          <w:rFonts w:hint="eastAsia" w:ascii="宋体" w:hAnsi="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第六部分 合同格式</w:t>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ind w:firstLine="881"/>
        <w:jc w:val="center"/>
        <w:spacing w:after="160" w:line="400" w:lineRule="exact"/>
        <w:rPr>
          <w:rFonts w:hint="eastAsia" w:ascii="华文楷体" w:hAnsi="华文楷体" w:eastAsia="华文楷体" w:cs="华文楷体"/>
          <w:szCs w:val="21"/>
        </w:rPr>
      </w:pPr>
      <w:r>
        <w:rPr>
          <w:rFonts w:hint="eastAsia" w:ascii="宋体" w:hAnsi="宋体" w:eastAsia="华文楷体" w:cs="宋体"/>
          <w:b/>
          <w:bCs/>
          <w:spacing w:val="-20"/>
          <w:sz w:val="48"/>
          <w:szCs w:val="48"/>
        </w:rPr>
        <w:t xml:space="preserve">（试行）</w:t>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firstLine="440"/>
        <w:spacing w:after="160" w:line="400" w:lineRule="exact"/>
        <w:rPr>
          <w:rFonts w:hint="eastAsia" w:ascii="华文楷体" w:hAnsi="华文楷体" w:eastAsia="华文楷体" w:cs="华文楷体"/>
          <w:szCs w:val="21"/>
        </w:rPr>
      </w:pPr>
      <w:r>
        <w:rPr>
          <w:rFonts w:hint="eastAsia" w:ascii="华文楷体" w:hAnsi="华文楷体" w:eastAsia="华文楷体" w:cs="华文楷体"/>
          <w:szCs w:val="21"/>
        </w:rPr>
      </w:r>
      <w:r/>
    </w:p>
    <w:p>
      <w:pPr>
        <w:ind w:left="420"/>
        <w:spacing w:after="160" w:line="360" w:lineRule="auto"/>
        <w:rPr>
          <w:rFonts w:ascii="Times New Roman" w:hAnsi="Times New Roman"/>
          <w:sz w:val="32"/>
          <w:szCs w:val="32"/>
        </w:rPr>
      </w:pPr>
      <w:r>
        <w:rPr>
          <w:rFonts w:hint="eastAsia" w:ascii="宋体" w:hAnsi="宋体" w:cs="宋体"/>
          <w:sz w:val="32"/>
          <w:szCs w:val="32"/>
        </w:rPr>
        <w:t xml:space="preserve">项目名称：</w:t>
      </w:r>
      <w:r/>
    </w:p>
    <w:p>
      <w:pPr>
        <w:ind w:left="420"/>
        <w:spacing w:after="160" w:line="360" w:lineRule="auto"/>
        <w:rPr>
          <w:rFonts w:ascii="Times New Roman" w:hAnsi="Times New Roman"/>
          <w:sz w:val="32"/>
          <w:szCs w:val="32"/>
          <w:u w:val="single"/>
        </w:rPr>
      </w:pPr>
      <w:r>
        <w:rPr>
          <w:rFonts w:hint="eastAsia" w:ascii="Times New Roman" w:hAnsi="Times New Roman"/>
          <w:sz w:val="32"/>
          <w:szCs w:val="32"/>
        </w:rPr>
        <w:t xml:space="preserve">合同编号：</w:t>
      </w:r>
      <w:r/>
    </w:p>
    <w:p>
      <w:pPr>
        <w:ind w:left="420"/>
        <w:spacing w:after="160" w:line="360" w:lineRule="auto"/>
        <w:rPr>
          <w:rFonts w:ascii="Times New Roman" w:hAnsi="Times New Roman"/>
          <w:sz w:val="32"/>
          <w:szCs w:val="32"/>
        </w:rPr>
      </w:pPr>
      <w:r>
        <w:rPr>
          <w:rFonts w:hint="eastAsia" w:ascii="Times New Roman" w:hAnsi="Times New Roman"/>
          <w:sz w:val="32"/>
          <w:szCs w:val="32"/>
        </w:rPr>
        <w:t xml:space="preserve">甲    方：</w:t>
      </w:r>
      <w:r/>
    </w:p>
    <w:p>
      <w:pPr>
        <w:ind w:left="420"/>
        <w:spacing w:after="160" w:line="360" w:lineRule="auto"/>
        <w:rPr>
          <w:rFonts w:ascii="Times New Roman" w:hAnsi="Times New Roman"/>
          <w:sz w:val="32"/>
          <w:szCs w:val="32"/>
          <w:u w:val="single"/>
        </w:rPr>
      </w:pPr>
      <w:r>
        <w:rPr>
          <w:rFonts w:hint="eastAsia" w:ascii="Times New Roman" w:hAnsi="Times New Roman"/>
          <w:sz w:val="32"/>
          <w:szCs w:val="32"/>
        </w:rPr>
        <w:t xml:space="preserve">乙    方：</w:t>
      </w:r>
      <w:r/>
    </w:p>
    <w:p>
      <w:pPr>
        <w:ind w:left="420"/>
        <w:spacing w:after="160" w:line="360" w:lineRule="auto"/>
        <w:rPr>
          <w:rFonts w:ascii="Times New Roman" w:hAnsi="Times New Roman"/>
          <w:sz w:val="32"/>
          <w:szCs w:val="32"/>
          <w:u w:val="single"/>
        </w:rPr>
      </w:pPr>
      <w:r>
        <w:rPr>
          <w:rFonts w:hint="eastAsia" w:ascii="Times New Roman" w:hAnsi="Times New Roman"/>
          <w:sz w:val="32"/>
          <w:szCs w:val="32"/>
        </w:rPr>
        <w:t xml:space="preserve">签订时间：</w:t>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ind w:firstLine="640"/>
        <w:spacing w:after="160" w:line="400" w:lineRule="exact"/>
        <w:rPr>
          <w:rFonts w:hint="eastAsia" w:ascii="华文楷体" w:hAnsi="华文楷体" w:eastAsia="华文楷体" w:cs="华文楷体"/>
          <w:sz w:val="32"/>
          <w:szCs w:val="32"/>
          <w:u w:val="single"/>
        </w:rPr>
      </w:pPr>
      <w:r>
        <w:rPr>
          <w:rFonts w:hint="eastAsia" w:ascii="华文楷体" w:hAnsi="华文楷体" w:eastAsia="华文楷体" w:cs="华文楷体"/>
          <w:sz w:val="32"/>
          <w:szCs w:val="32"/>
          <w:u w:val="single"/>
        </w:rPr>
      </w:r>
      <w:r/>
    </w:p>
    <w:p>
      <w:pPr>
        <w:jc w:val="center"/>
        <w:spacing w:after="160" w:line="278" w:lineRule="auto"/>
        <w:rPr>
          <w:rFonts w:ascii="Times New Roman" w:hAnsi="Times New Roman" w:eastAsia="黑体"/>
          <w:sz w:val="44"/>
          <w:szCs w:val="44"/>
        </w:rPr>
      </w:pPr>
      <w:r>
        <w:rPr>
          <w:rFonts w:hint="eastAsia" w:ascii="Times New Roman" w:hAnsi="Times New Roman" w:eastAsia="黑体"/>
          <w:sz w:val="44"/>
          <w:szCs w:val="44"/>
        </w:rPr>
        <w:t xml:space="preserve">使 用 说 明</w:t>
      </w:r>
      <w:r/>
    </w:p>
    <w:p>
      <w:pPr>
        <w:ind w:firstLine="640"/>
        <w:spacing w:after="160" w:line="278"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spacing w:after="160" w:line="278"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spacing w:after="160" w:line="278" w:lineRule="auto"/>
        <w:rPr>
          <w:rFonts w:ascii="Times New Roman" w:hAnsi="Times New Roman"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spacing w:after="160" w:line="278"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406" w:bottom="1440" w:left="1406" w:header="851" w:footer="992" w:gutter="0"/>
          <w:cols w:num="1" w:sep="0" w:space="425" w:equalWidth="1"/>
          <w:docGrid w:linePitch="360"/>
        </w:sectPr>
      </w:pPr>
      <w:r>
        <w:rPr>
          <w:rFonts w:eastAsia="黑体"/>
          <w:sz w:val="44"/>
          <w:szCs w:val="44"/>
        </w:rPr>
      </w:r>
      <w:r/>
    </w:p>
    <w:p>
      <w:pPr>
        <w:numPr>
          <w:ilvl w:val="1"/>
          <w:numId w:val="11"/>
        </w:numPr>
        <w:jc w:val="center"/>
        <w:spacing w:before="156" w:after="156" w:line="400" w:lineRule="exact"/>
        <w:rPr>
          <w:rFonts w:hint="eastAsia" w:ascii="黑体" w:hAnsi="华文中宋" w:eastAsia="黑体"/>
          <w:sz w:val="28"/>
          <w:szCs w:val="28"/>
        </w:rPr>
        <w:outlineLvl w:val="1"/>
      </w:pPr>
      <w:r/>
      <w:bookmarkStart w:id="12"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2"/>
      <w:r/>
      <w:r/>
    </w:p>
    <w:p>
      <w:pPr>
        <w:numPr>
          <w:ilvl w:val="1"/>
          <w:numId w:val="11"/>
        </w:numPr>
        <w:jc w:val="center"/>
        <w:spacing w:before="156" w:after="156" w:line="400" w:lineRule="exact"/>
        <w:rPr>
          <w:rFonts w:hint="eastAsia" w:ascii="黑体" w:hAnsi="华文中宋" w:eastAsia="黑体"/>
          <w:sz w:val="28"/>
          <w:szCs w:val="28"/>
        </w:rPr>
        <w:outlineLvl w:val="1"/>
      </w:pPr>
      <w:r>
        <w:rPr>
          <w:rFonts w:hint="eastAsia" w:ascii="黑体" w:hAnsi="华文中宋" w:eastAsia="黑体"/>
          <w:sz w:val="28"/>
          <w:szCs w:val="28"/>
        </w:rPr>
      </w:r>
      <w:r/>
    </w:p>
    <w:p>
      <w:pPr>
        <w:spacing w:after="160" w:line="400" w:lineRule="exact"/>
        <w:rPr>
          <w:rFonts w:hint="eastAsia" w:ascii="宋体" w:hAnsi="宋体"/>
          <w:szCs w:val="21"/>
        </w:rPr>
      </w:pPr>
      <w:r>
        <w:rPr>
          <w:rFonts w:hint="eastAsia" w:ascii="宋体" w:hAnsi="宋体"/>
          <w:szCs w:val="21"/>
        </w:rPr>
        <w:t xml:space="preserve">甲方（全称）：（采购人、受采购人委托签订合同的单位或采购</w:t>
      </w:r>
      <w:r>
        <w:rPr>
          <w:rFonts w:hint="eastAsia" w:ascii="宋体" w:hAnsi="宋体"/>
          <w:szCs w:val="21"/>
        </w:rPr>
        <w:tab/>
      </w:r>
      <w:r>
        <w:rPr>
          <w:rFonts w:hint="eastAsia" w:ascii="宋体" w:hAnsi="宋体"/>
          <w:szCs w:val="21"/>
        </w:rPr>
        <w:t xml:space="preserve">                                   文件约定的合同甲方）</w:t>
      </w:r>
      <w:r/>
    </w:p>
    <w:p>
      <w:pPr>
        <w:spacing w:after="160" w:line="400" w:lineRule="exact"/>
        <w:rPr>
          <w:rFonts w:hint="eastAsia" w:ascii="宋体" w:hAnsi="宋体"/>
          <w:szCs w:val="21"/>
        </w:rPr>
      </w:pPr>
      <w:r>
        <w:rPr>
          <w:rFonts w:hint="eastAsia" w:ascii="宋体" w:hAnsi="宋体"/>
          <w:szCs w:val="21"/>
        </w:rPr>
        <w:t xml:space="preserve">乙方1（全称）：（供应商）</w:t>
      </w:r>
      <w:r/>
    </w:p>
    <w:p>
      <w:pPr>
        <w:spacing w:after="160" w:line="400" w:lineRule="exact"/>
        <w:rPr>
          <w:rFonts w:hint="eastAsia" w:ascii="宋体" w:hAnsi="宋体"/>
          <w:szCs w:val="21"/>
        </w:rPr>
      </w:pPr>
      <w:r>
        <w:rPr>
          <w:rFonts w:hint="eastAsia" w:ascii="宋体" w:hAnsi="宋体"/>
          <w:szCs w:val="21"/>
        </w:rPr>
        <w:t xml:space="preserve">乙方2（全称）：（联合体成员供应商或其他合同主体）（如有）</w:t>
      </w:r>
      <w:r/>
    </w:p>
    <w:p>
      <w:pPr>
        <w:spacing w:after="160" w:line="400" w:lineRule="exact"/>
        <w:rPr>
          <w:rFonts w:hint="eastAsia" w:ascii="宋体" w:hAnsi="宋体"/>
          <w:szCs w:val="21"/>
        </w:rPr>
      </w:pPr>
      <w:r>
        <w:rPr>
          <w:rFonts w:hint="eastAsia" w:ascii="Times New Roman" w:hAnsi="Times New Roman"/>
        </w:rPr>
        <w:t xml:space="preserve">乙方</w:t>
      </w:r>
      <w:r>
        <w:rPr>
          <w:rFonts w:hint="eastAsia" w:ascii="宋体" w:hAnsi="宋体"/>
          <w:szCs w:val="21"/>
        </w:rPr>
        <w:t xml:space="preserve">3</w:t>
      </w:r>
      <w:r>
        <w:rPr>
          <w:rFonts w:hint="eastAsia" w:ascii="Times New Roman" w:hAnsi="Times New Roman"/>
        </w:rPr>
        <w:t xml:space="preserve">（全称）</w:t>
      </w:r>
      <w:r>
        <w:rPr>
          <w:rFonts w:hint="eastAsia" w:ascii="宋体" w:hAnsi="宋体"/>
          <w:szCs w:val="21"/>
        </w:rPr>
        <w:t xml:space="preserve">（联合体成员供应商或其他合同主体）（如有）</w:t>
      </w:r>
      <w:r/>
    </w:p>
    <w:p>
      <w:pPr>
        <w:spacing w:after="160" w:line="400" w:lineRule="exact"/>
        <w:rPr>
          <w:rFonts w:ascii="Times New Roman" w:hAnsi="Times New Roman"/>
        </w:rPr>
      </w:pPr>
      <w:r>
        <w:rPr>
          <w:rFonts w:ascii="Times New Roman" w:hAnsi="Times New Roman"/>
        </w:rPr>
      </w:r>
      <w:r/>
    </w:p>
    <w:p>
      <w:pPr>
        <w:ind w:firstLine="420"/>
        <w:spacing w:after="160" w:line="400" w:lineRule="exact"/>
        <w:rPr>
          <w:rFonts w:hint="eastAsia" w:ascii="宋体" w:hAnsi="宋体"/>
          <w:sz w:val="24"/>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12"/>
        </w:numPr>
        <w:ind w:firstLine="422"/>
        <w:spacing w:after="160" w:line="400" w:lineRule="exact"/>
        <w:rPr>
          <w:rFonts w:hint="eastAsia" w:ascii="宋体" w:hAnsi="宋体"/>
          <w:b/>
          <w:szCs w:val="21"/>
        </w:rPr>
      </w:pPr>
      <w:r>
        <w:rPr>
          <w:rFonts w:hint="eastAsia" w:ascii="宋体" w:hAnsi="宋体"/>
          <w:b/>
          <w:szCs w:val="21"/>
        </w:rPr>
        <w:t xml:space="preserve">项目信息</w:t>
      </w:r>
      <w:r/>
    </w:p>
    <w:p>
      <w:pPr>
        <w:numPr>
          <w:ilvl w:val="0"/>
          <w:numId w:val="13"/>
        </w:numPr>
        <w:ind w:firstLine="420"/>
        <w:spacing w:after="160" w:line="400" w:lineRule="exact"/>
        <w:rPr>
          <w:rFonts w:hint="eastAsia" w:ascii="宋体" w:hAnsi="宋体"/>
          <w:szCs w:val="21"/>
          <w:u w:val="single"/>
        </w:rPr>
      </w:pPr>
      <w:r>
        <w:rPr>
          <w:rFonts w:hint="eastAsia" w:ascii="宋体" w:hAnsi="宋体"/>
          <w:szCs w:val="21"/>
        </w:rPr>
        <w:t xml:space="preserve">采购项目名称：</w:t>
      </w:r>
      <w:r/>
    </w:p>
    <w:p>
      <w:pPr>
        <w:numPr>
          <w:ilvl w:val="255"/>
          <w:numId w:val="0"/>
        </w:numPr>
        <w:ind w:firstLine="425"/>
        <w:spacing w:after="160" w:line="400" w:lineRule="exact"/>
        <w:tabs>
          <w:tab w:val="left" w:pos="999" w:leader="none"/>
        </w:tabs>
        <w:rPr>
          <w:rFonts w:hint="eastAsia" w:ascii="宋体" w:hAnsi="宋体"/>
          <w:szCs w:val="21"/>
        </w:rPr>
      </w:pPr>
      <w:r>
        <w:rPr>
          <w:rFonts w:hint="eastAsia" w:ascii="宋体" w:hAnsi="宋体"/>
          <w:szCs w:val="21"/>
        </w:rPr>
        <w:t xml:space="preserve">         采购项目编号：</w:t>
      </w:r>
      <w:r/>
    </w:p>
    <w:p>
      <w:pPr>
        <w:ind w:firstLine="420"/>
        <w:spacing w:after="160" w:line="400" w:lineRule="exact"/>
        <w:rPr>
          <w:rFonts w:hint="eastAsia" w:ascii="宋体" w:hAnsi="宋体"/>
          <w:szCs w:val="21"/>
        </w:rPr>
      </w:pPr>
      <w:r>
        <w:rPr>
          <w:rFonts w:hint="eastAsia" w:ascii="宋体" w:hAnsi="宋体"/>
          <w:szCs w:val="21"/>
        </w:rPr>
        <w:t xml:space="preserve">（2）采购计划编号：</w:t>
      </w:r>
      <w:r/>
    </w:p>
    <w:p>
      <w:pPr>
        <w:ind w:firstLine="420"/>
        <w:spacing w:after="160" w:line="400" w:lineRule="exact"/>
        <w:rPr>
          <w:rFonts w:hint="eastAsia" w:ascii="宋体" w:hAnsi="宋体"/>
          <w:szCs w:val="21"/>
        </w:rPr>
      </w:pPr>
      <w:r>
        <w:rPr>
          <w:rFonts w:hint="eastAsia" w:ascii="宋体" w:hAnsi="宋体"/>
          <w:szCs w:val="21"/>
        </w:rPr>
        <w:t xml:space="preserve">（3）项目内容：</w:t>
      </w:r>
      <w:r/>
    </w:p>
    <w:p>
      <w:pPr>
        <w:ind w:firstLine="420"/>
        <w:spacing w:after="160"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品牌：规格型号：</w:t>
      </w:r>
      <w:r/>
    </w:p>
    <w:p>
      <w:pPr>
        <w:ind w:firstLine="945"/>
        <w:spacing w:after="160"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after="160"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after="160" w:line="400" w:lineRule="exact"/>
        <w:rPr>
          <w:rFonts w:hint="eastAsia" w:ascii="宋体" w:hAnsi="宋体" w:cs="宋体"/>
          <w:szCs w:val="21"/>
          <w:u w:val="single"/>
        </w:rPr>
      </w:pPr>
      <w:r>
        <w:rPr>
          <w:rFonts w:hint="eastAsia" w:ascii="宋体" w:hAnsi="宋体" w:cs="宋体"/>
          <w:szCs w:val="21"/>
        </w:rPr>
        <w:t xml:space="preserve">     标的名称：</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     关键部件：品牌： 型号：</w:t>
      </w:r>
      <w:r/>
    </w:p>
    <w:p>
      <w:pPr>
        <w:ind w:firstLine="420"/>
        <w:spacing w:after="160" w:line="400" w:lineRule="exact"/>
        <w:rPr>
          <w:rFonts w:hint="eastAsia" w:ascii="宋体" w:hAnsi="宋体" w:cs="宋体"/>
          <w:szCs w:val="21"/>
        </w:rPr>
      </w:pPr>
      <w:r>
        <w:rPr>
          <w:rFonts w:hint="eastAsia" w:ascii="宋体" w:hAnsi="宋体" w:cs="宋体"/>
          <w:szCs w:val="21"/>
        </w:rPr>
        <w:t xml:space="preserve">关键部件： 品牌： 型号：</w:t>
      </w:r>
      <w:r/>
    </w:p>
    <w:p>
      <w:pPr>
        <w:ind w:firstLine="420"/>
        <w:spacing w:after="160" w:line="400" w:lineRule="exact"/>
        <w:rPr>
          <w:rFonts w:hint="eastAsia" w:ascii="宋体" w:hAnsi="宋体" w:cs="宋体"/>
          <w:szCs w:val="21"/>
        </w:rPr>
      </w:pPr>
      <w:r>
        <w:rPr>
          <w:rFonts w:hint="eastAsia" w:ascii="宋体" w:hAnsi="宋体" w:cs="宋体"/>
          <w:szCs w:val="21"/>
        </w:rPr>
        <w:t xml:space="preserve">     关键部件： 品牌： 型号：</w:t>
      </w:r>
      <w:r/>
    </w:p>
    <w:p>
      <w:pPr>
        <w:numPr>
          <w:ilvl w:val="255"/>
          <w:numId w:val="0"/>
        </w:numPr>
        <w:ind w:firstLine="440"/>
        <w:spacing w:after="160" w:line="400" w:lineRule="exact"/>
        <w:rPr>
          <w:rFonts w:hint="eastAsia"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40"/>
        <w:spacing w:after="160" w:line="400" w:lineRule="exact"/>
        <w:rPr>
          <w:rFonts w:hint="eastAsia" w:ascii="宋体" w:hAnsi="宋体" w:cs="宋体"/>
          <w:szCs w:val="21"/>
        </w:rPr>
      </w:pPr>
      <w:r>
        <w:rPr>
          <w:rFonts w:hint="eastAsia" w:ascii="宋体" w:hAnsi="宋体" w:cs="宋体"/>
          <w:szCs w:val="21"/>
        </w:rPr>
        <w:t xml:space="preserve">②涉及车辆采购，请填写是否属于新能源汽车：</w:t>
      </w:r>
      <w:r/>
    </w:p>
    <w:p>
      <w:pPr>
        <w:numPr>
          <w:ilvl w:val="255"/>
          <w:numId w:val="0"/>
        </w:numPr>
        <w:ind w:firstLine="440"/>
        <w:spacing w:after="160" w:line="40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数量： 金额：</w:t>
      </w:r>
      <w:r/>
    </w:p>
    <w:p>
      <w:pPr>
        <w:numPr>
          <w:ilvl w:val="255"/>
          <w:numId w:val="0"/>
        </w:numPr>
        <w:ind w:firstLine="440"/>
        <w:spacing w:after="160" w:line="40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ind w:firstLine="440"/>
        <w:spacing w:after="160" w:line="400" w:lineRule="exact"/>
        <w:rPr>
          <w:rFonts w:hint="eastAsia" w:ascii="宋体" w:hAnsi="宋体" w:cs="宋体"/>
          <w:szCs w:val="21"/>
        </w:rPr>
      </w:pPr>
      <w:r>
        <w:rPr>
          <w:rFonts w:hint="eastAsia" w:ascii="宋体" w:hAnsi="宋体" w:cs="宋体"/>
          <w:szCs w:val="21"/>
        </w:rPr>
        <w:t xml:space="preserve">    （4）政府采购组织形式：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（5）政府采购方式：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numPr>
          <w:ilvl w:val="255"/>
          <w:numId w:val="0"/>
        </w:numPr>
        <w:ind w:firstLine="420"/>
        <w:spacing w:after="160"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（注：在框架协议采购的第二阶段，可选择使用该合同文本）</w:t>
      </w:r>
      <w:r/>
    </w:p>
    <w:p>
      <w:pPr>
        <w:numPr>
          <w:ilvl w:val="255"/>
          <w:numId w:val="0"/>
        </w:numPr>
        <w:ind w:firstLine="220"/>
        <w:spacing w:after="160" w:line="400" w:lineRule="exact"/>
        <w:rPr>
          <w:rFonts w:hint="eastAsia" w:ascii="宋体" w:hAnsi="宋体"/>
          <w:szCs w:val="21"/>
        </w:rPr>
      </w:pPr>
      <w:r>
        <w:rPr>
          <w:rFonts w:hint="eastAsia" w:ascii="宋体" w:hAnsi="宋体" w:eastAsia="华文楷体" w:cs="华文楷体"/>
          <w:szCs w:val="21"/>
        </w:rPr>
        <w:t xml:space="preserve"> （</w:t>
      </w:r>
      <w:r>
        <w:rPr>
          <w:rFonts w:ascii="宋体" w:hAnsi="宋体" w:eastAsia="华文楷体" w:cs="华文楷体"/>
          <w:szCs w:val="21"/>
        </w:rPr>
        <w:t xml:space="preserve">6</w:t>
      </w:r>
      <w:r>
        <w:rPr>
          <w:rFonts w:hint="eastAsia" w:ascii="宋体" w:hAnsi="宋体" w:eastAsia="华文楷体" w:cs="华文楷体"/>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after="160" w:line="400" w:lineRule="exact"/>
        <w:rPr>
          <w:rFonts w:hint="eastAsia" w:ascii="宋体" w:hAnsi="宋体"/>
          <w:iCs/>
          <w:szCs w:val="21"/>
        </w:rPr>
      </w:pPr>
      <w:r>
        <w:rPr>
          <w:rFonts w:hint="eastAsia" w:ascii="Times New Roman" w:hAnsi="Times New Roma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after="160" w:line="400" w:lineRule="exact"/>
        <w:rPr>
          <w:rFonts w:hint="eastAsia" w:ascii="宋体" w:hAnsi="宋体"/>
          <w:iCs/>
          <w:szCs w:val="21"/>
        </w:rPr>
      </w:pPr>
      <w:r>
        <w:rPr>
          <w:rFonts w:hint="eastAsia" w:ascii="Times New Roman" w:hAnsi="Times New Roma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after="160" w:line="400" w:lineRule="exact"/>
        <w:rPr>
          <w:rFonts w:ascii="Times New Roman" w:hAnsi="Times New Roman"/>
        </w:rPr>
      </w:pPr>
      <w:r>
        <w:rPr>
          <w:rFonts w:hint="eastAsia" w:ascii="Times New Roman" w:hAnsi="Times New Roma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after="160" w:line="400" w:lineRule="exact"/>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after="160" w:line="400" w:lineRule="exact"/>
        <w:rPr>
          <w:rFonts w:hint="eastAsia" w:ascii="宋体" w:hAnsi="宋体"/>
          <w:szCs w:val="21"/>
          <w:u w:val="single"/>
        </w:rPr>
      </w:pPr>
      <w:r>
        <w:rPr>
          <w:rFonts w:hint="eastAsia" w:ascii="宋体" w:hAnsi="宋体"/>
          <w:szCs w:val="21"/>
        </w:rPr>
        <w:t xml:space="preserve"> 分包主要内容：</w:t>
      </w:r>
      <w:r/>
    </w:p>
    <w:p>
      <w:pPr>
        <w:ind w:firstLine="840"/>
        <w:spacing w:after="160"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after="160" w:line="400" w:lineRule="exact"/>
        <w:rPr>
          <w:rFonts w:hint="eastAsia" w:ascii="宋体" w:hAnsi="宋体"/>
          <w:szCs w:val="21"/>
          <w:u w:val="single"/>
        </w:rPr>
      </w:pPr>
      <w:r>
        <w:rPr>
          <w:rFonts w:hint="eastAsia" w:ascii="宋体" w:hAnsi="宋体"/>
          <w:szCs w:val="21"/>
          <w:u w:val="single"/>
        </w:rPr>
      </w:r>
      <w:r/>
    </w:p>
    <w:p>
      <w:pPr>
        <w:ind w:firstLine="840"/>
        <w:spacing w:after="160"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after="160" w:line="400" w:lineRule="exact"/>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after="160" w:line="400" w:lineRule="exact"/>
        <w:rPr>
          <w:rFonts w:ascii="Times New Roman" w:hAnsi="Times New Roman" w:eastAsia="华文楷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after="160" w:line="400" w:lineRule="exact"/>
        <w:rPr>
          <w:rFonts w:hint="eastAsia"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after="160" w:line="400" w:lineRule="exact"/>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numPr>
          <w:ilvl w:val="255"/>
          <w:numId w:val="0"/>
        </w:numPr>
        <w:ind w:firstLine="420"/>
        <w:spacing w:after="160"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numPr>
          <w:ilvl w:val="255"/>
          <w:numId w:val="0"/>
        </w:numPr>
        <w:ind w:firstLine="840"/>
        <w:spacing w:after="160"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金额：</w:t>
      </w:r>
      <w:r/>
    </w:p>
    <w:p>
      <w:pPr>
        <w:numPr>
          <w:ilvl w:val="255"/>
          <w:numId w:val="0"/>
        </w:numPr>
        <w:ind w:firstLine="840"/>
        <w:spacing w:after="160" w:line="400" w:lineRule="exact"/>
        <w:rPr>
          <w:rFonts w:hint="eastAsia" w:ascii="宋体" w:hAnsi="宋体"/>
          <w:szCs w:val="21"/>
        </w:rPr>
      </w:pPr>
      <w:r>
        <w:rPr>
          <w:rFonts w:hint="eastAsia" w:ascii="宋体" w:hAnsi="宋体" w:cs="宋体"/>
          <w:szCs w:val="21"/>
        </w:rPr>
        <w:t xml:space="preserve">        国别： 品牌： 规格型号：</w:t>
      </w:r>
      <w:r/>
    </w:p>
    <w:p>
      <w:pPr>
        <w:ind w:firstLine="840"/>
        <w:spacing w:after="160"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after="16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after="16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after="16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ind w:firstLine="440"/>
        <w:spacing w:after="160" w:line="400" w:lineRule="exact"/>
        <w:rPr>
          <w:rFonts w:hint="eastAsia" w:ascii="宋体" w:hAnsi="宋体"/>
          <w:szCs w:val="21"/>
        </w:rPr>
      </w:pPr>
      <w:r>
        <w:rPr>
          <w:rFonts w:hint="eastAsia" w:ascii="宋体" w:hAnsi="宋体"/>
          <w:szCs w:val="21"/>
        </w:rPr>
        <w:t xml:space="preserve">是否涉及绿色产品： </w:t>
      </w:r>
      <w:r/>
    </w:p>
    <w:p>
      <w:pPr>
        <w:ind w:firstLine="420"/>
        <w:spacing w:after="160" w:line="400" w:lineRule="exact"/>
        <w:rPr>
          <w:rFonts w:hint="eastAsia" w:ascii="宋体" w:hAnsi="宋体" w:cs="华文楷体"/>
          <w:szCs w:val="21"/>
          <w:u w:val="single"/>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numPr>
          <w:ilvl w:val="255"/>
          <w:numId w:val="0"/>
        </w:numPr>
        <w:spacing w:after="16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spacing w:after="160" w:line="400" w:lineRule="exact"/>
        <w:rPr>
          <w:rFonts w:hint="eastAsia" w:ascii="宋体" w:hAnsi="宋体" w:eastAsia="华文楷体" w:cs="华文楷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rPr>
          <w:rFonts w:hint="eastAsia"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after="160"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2"/>
        </w:numPr>
        <w:ind w:firstLine="422"/>
        <w:spacing w:after="160" w:line="400" w:lineRule="exact"/>
        <w:rPr>
          <w:rFonts w:hint="eastAsia" w:ascii="宋体" w:hAnsi="宋体"/>
          <w:b/>
          <w:szCs w:val="21"/>
        </w:rPr>
      </w:pPr>
      <w:r>
        <w:rPr>
          <w:rFonts w:hint="eastAsia" w:ascii="宋体" w:hAnsi="宋体"/>
          <w:b/>
          <w:szCs w:val="21"/>
        </w:rPr>
        <w:t xml:space="preserve">合同金额</w:t>
      </w:r>
      <w:r/>
    </w:p>
    <w:p>
      <w:pPr>
        <w:ind w:firstLine="420"/>
        <w:spacing w:after="160" w:line="400" w:lineRule="exact"/>
        <w:rPr>
          <w:rFonts w:hint="eastAsia" w:ascii="宋体" w:hAnsi="宋体"/>
          <w:szCs w:val="21"/>
        </w:rPr>
      </w:pPr>
      <w:r>
        <w:rPr>
          <w:rFonts w:hint="eastAsia" w:ascii="宋体" w:hAnsi="宋体"/>
          <w:szCs w:val="21"/>
        </w:rPr>
        <w:t xml:space="preserve">（1）合同金额小写：</w:t>
      </w:r>
      <w:r/>
    </w:p>
    <w:p>
      <w:pPr>
        <w:spacing w:after="160" w:line="400" w:lineRule="exact"/>
        <w:rPr>
          <w:rFonts w:hint="eastAsia" w:ascii="宋体" w:hAnsi="宋体"/>
          <w:szCs w:val="21"/>
          <w:u w:val="single"/>
        </w:rPr>
      </w:pPr>
      <w:r>
        <w:rPr>
          <w:rFonts w:hint="eastAsia" w:ascii="宋体" w:hAnsi="宋体"/>
          <w:szCs w:val="21"/>
        </w:rPr>
        <w:t xml:space="preserve">                 大写：</w:t>
      </w:r>
      <w:r/>
    </w:p>
    <w:p>
      <w:pPr>
        <w:spacing w:after="160" w:line="400" w:lineRule="exact"/>
        <w:rPr>
          <w:rFonts w:hint="eastAsia" w:ascii="宋体" w:hAnsi="宋体"/>
          <w:szCs w:val="21"/>
        </w:rPr>
      </w:pPr>
      <w:r>
        <w:rPr>
          <w:rFonts w:hint="eastAsia" w:ascii="宋体" w:hAnsi="宋体"/>
          <w:szCs w:val="21"/>
        </w:rPr>
        <w:t xml:space="preserve">         分包金额（如有）小写：</w:t>
      </w:r>
      <w:r/>
    </w:p>
    <w:p>
      <w:pPr>
        <w:spacing w:after="160" w:line="400" w:lineRule="exact"/>
        <w:rPr>
          <w:rFonts w:hint="eastAsia" w:ascii="宋体" w:hAnsi="宋体"/>
          <w:szCs w:val="21"/>
          <w:u w:val="single"/>
        </w:rPr>
      </w:pPr>
      <w:r>
        <w:rPr>
          <w:rFonts w:hint="eastAsia" w:ascii="宋体" w:hAnsi="宋体"/>
          <w:szCs w:val="21"/>
        </w:rPr>
        <w:t xml:space="preserve">                     大写：</w:t>
      </w:r>
      <w:r/>
    </w:p>
    <w:p>
      <w:pPr>
        <w:spacing w:after="160"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after="160"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after="160" w:line="400" w:lineRule="exact"/>
        <w:rPr>
          <w:rFonts w:hint="eastAsia"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ind w:firstLine="420"/>
        <w:spacing w:after="160" w:line="400" w:lineRule="exact"/>
        <w:rPr>
          <w:rFonts w:ascii="Times New Roman" w:hAnsi="Times New Roman"/>
          <w:szCs w:val="21"/>
        </w:rPr>
      </w:pPr>
      <w:r>
        <w:rPr>
          <w:rFonts w:hint="eastAsia" w:ascii="宋体" w:hAnsi="宋体"/>
          <w:szCs w:val="21"/>
        </w:rPr>
        <w:t xml:space="preserve">（3）付款方式（按项目实际勾选填写）：</w:t>
      </w:r>
      <w:r/>
    </w:p>
    <w:p>
      <w:pPr>
        <w:ind w:firstLine="630"/>
        <w:spacing w:after="160"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after="160" w:line="400" w:lineRule="exact"/>
        <w:rPr>
          <w:rFonts w:hint="eastAsia" w:ascii="宋体" w:hAnsi="宋体"/>
          <w:b/>
          <w:bCs/>
          <w:szCs w:val="21"/>
        </w:rPr>
      </w:pPr>
      <w:r>
        <w:rPr>
          <w:rFonts w:ascii="Wingdings" w:hAnsi="Wingdings" w:eastAsia="Wingdings" w:cs="Wingdings"/>
          <w:b/>
          <w:bCs/>
          <w:szCs w:val="21"/>
        </w:rPr>
        <w:t xml:space="preserve"></w:t>
      </w:r>
      <w:r>
        <w:rPr>
          <w:rFonts w:hint="eastAsia" w:ascii="宋体" w:hAnsi="宋体"/>
          <w:b/>
          <w:bCs/>
          <w:szCs w:val="21"/>
        </w:rPr>
        <w:t xml:space="preserve">分期付款：</w:t>
      </w:r>
      <w:r>
        <w:rPr>
          <w:rFonts w:hint="eastAsia" w:ascii="宋体" w:hAnsi="宋体"/>
          <w:b/>
          <w:bCs/>
          <w:szCs w:val="21"/>
          <w:u w:val="single"/>
        </w:rPr>
        <w:t xml:space="preserve">合同签订后支付合同金额30%，项目结束且验收合格后支付至合同金额80%，审计完成支付至审定价的90%，两年质保期满后付清尾款。</w:t>
      </w:r>
      <w:r/>
    </w:p>
    <w:p>
      <w:pPr>
        <w:ind w:firstLine="630"/>
        <w:spacing w:after="160"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after="160"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2"/>
        </w:numPr>
        <w:ind w:firstLine="422"/>
        <w:spacing w:after="160" w:line="400" w:lineRule="exact"/>
        <w:rPr>
          <w:rFonts w:hint="eastAsia" w:ascii="宋体" w:hAnsi="宋体"/>
          <w:b/>
          <w:szCs w:val="21"/>
          <w:u w:val="single"/>
        </w:rPr>
      </w:pPr>
      <w:r>
        <w:rPr>
          <w:rFonts w:hint="eastAsia" w:ascii="宋体" w:hAnsi="宋体"/>
          <w:b/>
          <w:szCs w:val="21"/>
        </w:rPr>
        <w:t xml:space="preserve">合同履行</w:t>
      </w:r>
      <w:r/>
    </w:p>
    <w:p>
      <w:pPr>
        <w:ind w:firstLine="420"/>
        <w:spacing w:after="160" w:line="400" w:lineRule="exact"/>
        <w:rPr>
          <w:rFonts w:hint="eastAsia" w:ascii="宋体" w:hAnsi="宋体" w:cs="宋体"/>
          <w:szCs w:val="21"/>
        </w:rPr>
      </w:pPr>
      <w:r>
        <w:rPr>
          <w:rFonts w:hint="eastAsia" w:ascii="宋体" w:hAnsi="宋体" w:cs="宋体"/>
          <w:szCs w:val="21"/>
        </w:rPr>
        <w:t xml:space="preserve">（1）起始日期：年月日，完成日期：年月日。</w:t>
      </w:r>
      <w:r/>
    </w:p>
    <w:p>
      <w:pPr>
        <w:ind w:firstLine="420"/>
        <w:spacing w:after="160"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spacing w:after="160" w:line="400" w:lineRule="exact"/>
        <w:rPr>
          <w:rFonts w:hint="eastAsia" w:ascii="宋体" w:hAnsi="宋体" w:cs="宋体"/>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20"/>
        <w:spacing w:after="160" w:line="400" w:lineRule="exact"/>
        <w:rPr>
          <w:rFonts w:hint="eastAsia" w:ascii="宋体" w:hAnsi="宋体" w:cs="宋体"/>
          <w:bCs/>
          <w:szCs w:val="21"/>
        </w:rPr>
      </w:pPr>
      <w:r>
        <w:rPr>
          <w:rFonts w:hint="eastAsia" w:ascii="宋体" w:hAnsi="宋体" w:cs="宋体"/>
          <w:bCs/>
          <w:szCs w:val="21"/>
        </w:rPr>
        <w:t xml:space="preserve">（4）分期履行要求：</w:t>
      </w:r>
      <w:r/>
    </w:p>
    <w:p>
      <w:pPr>
        <w:ind w:firstLine="420"/>
        <w:spacing w:after="160" w:line="400" w:lineRule="exact"/>
        <w:rPr>
          <w:rFonts w:hint="eastAsia" w:ascii="宋体" w:hAnsi="宋体" w:cs="宋体"/>
          <w:szCs w:val="21"/>
          <w:u w:val="single"/>
        </w:rPr>
      </w:pPr>
      <w:r>
        <w:rPr>
          <w:rFonts w:hint="eastAsia" w:ascii="宋体" w:hAnsi="宋体" w:cs="宋体"/>
          <w:bCs/>
          <w:szCs w:val="21"/>
        </w:rPr>
        <w:t xml:space="preserve">（5）风险处置措施和替代方案：</w:t>
      </w:r>
      <w:r/>
    </w:p>
    <w:p>
      <w:pPr>
        <w:numPr>
          <w:ilvl w:val="0"/>
          <w:numId w:val="12"/>
        </w:numPr>
        <w:ind w:firstLine="422"/>
        <w:spacing w:after="160" w:line="400" w:lineRule="exact"/>
        <w:rPr>
          <w:rFonts w:hint="eastAsia" w:ascii="宋体" w:hAnsi="宋体"/>
          <w:b/>
          <w:szCs w:val="21"/>
        </w:rPr>
      </w:pPr>
      <w:r>
        <w:rPr>
          <w:rFonts w:hint="eastAsia" w:ascii="宋体" w:hAnsi="宋体"/>
          <w:b/>
          <w:szCs w:val="21"/>
        </w:rPr>
        <w:t xml:space="preserve">合同验收</w:t>
      </w:r>
      <w:r/>
    </w:p>
    <w:p>
      <w:pPr>
        <w:numPr>
          <w:ilvl w:val="0"/>
          <w:numId w:val="14"/>
        </w:numPr>
        <w:ind w:firstLine="420"/>
        <w:spacing w:after="16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after="160" w:line="400" w:lineRule="exact"/>
        <w:rPr>
          <w:rFonts w:hint="eastAsia" w:ascii="宋体" w:hAnsi="宋体"/>
          <w:bCs/>
          <w:szCs w:val="21"/>
        </w:rPr>
      </w:pPr>
      <w:r>
        <w:rPr>
          <w:rFonts w:hint="eastAsia" w:ascii="宋体" w:hAnsi="宋体"/>
          <w:bCs/>
          <w:szCs w:val="21"/>
        </w:rPr>
        <w:t xml:space="preserve">         验收主体：</w:t>
      </w:r>
      <w:r/>
    </w:p>
    <w:p>
      <w:pPr>
        <w:spacing w:after="160"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after="160"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u w:val="single"/>
        </w:rPr>
      </w:pPr>
      <w:r>
        <w:rPr>
          <w:rFonts w:hint="eastAsia" w:ascii="宋体" w:hAnsi="宋体"/>
          <w:bCs/>
          <w:szCs w:val="21"/>
        </w:rPr>
        <w:t xml:space="preserve">验收组织的其他事项：</w:t>
      </w:r>
      <w:r/>
    </w:p>
    <w:p>
      <w:pPr>
        <w:ind w:firstLine="420"/>
        <w:spacing w:after="16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after="16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after="160"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after="160"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甲方根据合同规定的内容和验收标准进行验收，同时比较乙方出具的检验证明，经检验无误后出具验收合格证明</w:t>
      </w:r>
      <w:r/>
    </w:p>
    <w:p>
      <w:pPr>
        <w:ind w:firstLine="420"/>
        <w:spacing w:after="160"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after="16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ind w:firstLine="420"/>
        <w:spacing w:after="160" w:line="400" w:lineRule="exact"/>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numPr>
          <w:ilvl w:val="0"/>
          <w:numId w:val="12"/>
        </w:numPr>
        <w:ind w:firstLine="422"/>
        <w:spacing w:after="160" w:line="400" w:lineRule="exact"/>
        <w:rPr>
          <w:rFonts w:hint="eastAsia" w:ascii="宋体" w:hAnsi="宋体"/>
          <w:b/>
          <w:szCs w:val="21"/>
        </w:rPr>
      </w:pPr>
      <w:r>
        <w:rPr>
          <w:rFonts w:hint="eastAsia" w:ascii="宋体" w:hAnsi="宋体"/>
          <w:b/>
          <w:szCs w:val="21"/>
        </w:rPr>
        <w:t xml:space="preserve">组成合同的文件</w:t>
      </w:r>
      <w:r/>
    </w:p>
    <w:p>
      <w:pPr>
        <w:ind w:firstLine="420"/>
        <w:spacing w:after="160"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after="160"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after="160" w:line="400" w:lineRule="exact"/>
        <w:rPr>
          <w:rFonts w:hint="eastAsia" w:ascii="宋体" w:hAnsi="宋体"/>
          <w:szCs w:val="21"/>
        </w:rPr>
      </w:pPr>
      <w:r>
        <w:rPr>
          <w:rFonts w:hint="eastAsia" w:ascii="宋体" w:hAnsi="宋体"/>
          <w:szCs w:val="21"/>
        </w:rPr>
        <w:t xml:space="preserve">（2）政府采购合同专用条款</w:t>
      </w:r>
      <w:r/>
    </w:p>
    <w:p>
      <w:pPr>
        <w:ind w:firstLine="420"/>
        <w:spacing w:after="160" w:line="400" w:lineRule="exact"/>
        <w:rPr>
          <w:rFonts w:hint="eastAsia" w:ascii="宋体" w:hAnsi="宋体"/>
          <w:szCs w:val="21"/>
        </w:rPr>
      </w:pPr>
      <w:r>
        <w:rPr>
          <w:rFonts w:hint="eastAsia" w:ascii="宋体" w:hAnsi="宋体"/>
          <w:szCs w:val="21"/>
        </w:rPr>
        <w:t xml:space="preserve">（3）政府采购合同通用条款</w:t>
      </w:r>
      <w:r/>
    </w:p>
    <w:p>
      <w:pPr>
        <w:ind w:firstLine="420"/>
        <w:spacing w:after="160" w:line="400" w:lineRule="exact"/>
        <w:rPr>
          <w:rFonts w:hint="eastAsia" w:ascii="宋体" w:hAnsi="宋体"/>
          <w:szCs w:val="21"/>
        </w:rPr>
      </w:pPr>
      <w:r>
        <w:rPr>
          <w:rFonts w:hint="eastAsia" w:ascii="宋体" w:hAnsi="宋体"/>
          <w:szCs w:val="21"/>
        </w:rPr>
        <w:t xml:space="preserve">（4）中标（成交）通知书</w:t>
      </w:r>
      <w:r/>
    </w:p>
    <w:p>
      <w:pPr>
        <w:ind w:firstLine="420"/>
        <w:spacing w:after="160" w:line="400" w:lineRule="exact"/>
        <w:rPr>
          <w:rFonts w:hint="eastAsia" w:ascii="宋体" w:hAnsi="宋体"/>
          <w:szCs w:val="21"/>
        </w:rPr>
      </w:pPr>
      <w:r>
        <w:rPr>
          <w:rFonts w:hint="eastAsia" w:ascii="宋体" w:hAnsi="宋体"/>
          <w:szCs w:val="21"/>
        </w:rPr>
        <w:t xml:space="preserve">（5）投标（响应）文件</w:t>
      </w:r>
      <w:r/>
    </w:p>
    <w:p>
      <w:pPr>
        <w:ind w:firstLine="420"/>
        <w:spacing w:after="160" w:line="400" w:lineRule="exact"/>
        <w:rPr>
          <w:rFonts w:hint="eastAsia" w:ascii="宋体" w:hAnsi="宋体"/>
          <w:szCs w:val="21"/>
        </w:rPr>
      </w:pPr>
      <w:r>
        <w:rPr>
          <w:rFonts w:hint="eastAsia" w:ascii="宋体" w:hAnsi="宋体"/>
          <w:szCs w:val="21"/>
        </w:rPr>
        <w:t xml:space="preserve">（6）采购文件</w:t>
      </w:r>
      <w:r/>
    </w:p>
    <w:p>
      <w:pPr>
        <w:ind w:firstLine="420"/>
        <w:spacing w:after="160" w:line="400" w:lineRule="exact"/>
        <w:rPr>
          <w:rFonts w:hint="eastAsia" w:ascii="宋体" w:hAnsi="宋体"/>
          <w:szCs w:val="21"/>
        </w:rPr>
      </w:pPr>
      <w:r>
        <w:rPr>
          <w:rFonts w:hint="eastAsia" w:ascii="宋体" w:hAnsi="宋体"/>
          <w:szCs w:val="21"/>
        </w:rPr>
        <w:t xml:space="preserve">（7）有关技术文件，图纸</w:t>
      </w:r>
      <w:r/>
    </w:p>
    <w:p>
      <w:pPr>
        <w:ind w:firstLine="420"/>
        <w:spacing w:after="160" w:line="400" w:lineRule="exact"/>
        <w:rPr>
          <w:rFonts w:hint="eastAsia" w:ascii="宋体" w:hAnsi="宋体" w:cs="宋体"/>
          <w:szCs w:val="21"/>
        </w:rPr>
      </w:pPr>
      <w:r>
        <w:rPr>
          <w:rFonts w:hint="eastAsia" w:ascii="宋体" w:hAnsi="宋体" w:cs="宋体"/>
          <w:szCs w:val="21"/>
        </w:rPr>
        <w:t xml:space="preserve">（8）国家法律、行政法规和规章制度规定或合同约定的作为合同组成部分的其他文件</w:t>
      </w:r>
      <w:r/>
    </w:p>
    <w:p>
      <w:pPr>
        <w:numPr>
          <w:ilvl w:val="0"/>
          <w:numId w:val="12"/>
        </w:numPr>
        <w:ind w:firstLine="422"/>
        <w:spacing w:after="160" w:line="400" w:lineRule="exact"/>
        <w:rPr>
          <w:rFonts w:hint="eastAsia" w:ascii="宋体" w:hAnsi="宋体"/>
          <w:b/>
          <w:szCs w:val="21"/>
        </w:rPr>
      </w:pPr>
      <w:r>
        <w:rPr>
          <w:rFonts w:hint="eastAsia" w:ascii="宋体" w:hAnsi="宋体"/>
          <w:b/>
          <w:szCs w:val="21"/>
        </w:rPr>
        <w:t xml:space="preserve">合同生效</w:t>
      </w:r>
      <w:r/>
    </w:p>
    <w:p>
      <w:pPr>
        <w:ind w:firstLine="420"/>
        <w:spacing w:after="160" w:line="400" w:lineRule="exact"/>
        <w:rPr>
          <w:rFonts w:hint="eastAsia" w:ascii="宋体" w:hAnsi="宋体"/>
          <w:szCs w:val="21"/>
        </w:rPr>
      </w:pPr>
      <w:r>
        <w:rPr>
          <w:rFonts w:hint="eastAsia" w:ascii="宋体" w:hAnsi="宋体"/>
          <w:szCs w:val="21"/>
        </w:rPr>
        <w:t xml:space="preserve">本合同自生效。</w:t>
      </w:r>
      <w:r/>
    </w:p>
    <w:p>
      <w:pPr>
        <w:numPr>
          <w:ilvl w:val="0"/>
          <w:numId w:val="12"/>
        </w:numPr>
        <w:ind w:firstLine="422"/>
        <w:spacing w:after="160" w:line="400" w:lineRule="exact"/>
        <w:rPr>
          <w:rFonts w:hint="eastAsia" w:ascii="宋体" w:hAnsi="宋体"/>
          <w:b/>
          <w:szCs w:val="21"/>
        </w:rPr>
      </w:pPr>
      <w:r>
        <w:rPr>
          <w:rFonts w:hint="eastAsia" w:ascii="宋体" w:hAnsi="宋体"/>
          <w:b/>
          <w:szCs w:val="21"/>
        </w:rPr>
        <w:t xml:space="preserve">合同份数</w:t>
      </w:r>
      <w:r/>
    </w:p>
    <w:p>
      <w:pPr>
        <w:ind w:firstLine="420"/>
        <w:spacing w:after="160" w:line="400" w:lineRule="exact"/>
        <w:rPr>
          <w:rFonts w:hint="eastAsia" w:ascii="宋体" w:hAnsi="宋体"/>
          <w:szCs w:val="21"/>
        </w:rPr>
      </w:pPr>
      <w:r>
        <w:rPr>
          <w:rFonts w:hint="eastAsia" w:ascii="宋体" w:hAnsi="宋体"/>
          <w:szCs w:val="21"/>
        </w:rPr>
        <w:t xml:space="preserve">本合同一式份，甲方执份，乙方执份，均具有同等法律效力。</w:t>
      </w:r>
      <w:r/>
    </w:p>
    <w:p>
      <w:pPr>
        <w:ind w:firstLine="420"/>
        <w:spacing w:after="160" w:line="400" w:lineRule="exact"/>
        <w:rPr>
          <w:rFonts w:hint="eastAsia" w:ascii="宋体" w:hAnsi="宋体"/>
          <w:szCs w:val="21"/>
        </w:rPr>
      </w:pPr>
      <w:r>
        <w:rPr>
          <w:rFonts w:hint="eastAsia" w:ascii="宋体" w:hAnsi="宋体"/>
          <w:szCs w:val="21"/>
        </w:rPr>
        <w:t xml:space="preserve">合同订立时间：年月日</w:t>
      </w:r>
      <w:r/>
    </w:p>
    <w:p>
      <w:pPr>
        <w:ind w:firstLine="420"/>
        <w:spacing w:after="160" w:line="400" w:lineRule="exact"/>
        <w:rPr>
          <w:rFonts w:hint="eastAsia" w:ascii="宋体" w:hAnsi="宋体"/>
          <w:szCs w:val="21"/>
        </w:rPr>
      </w:pPr>
      <w:r>
        <w:rPr>
          <w:rFonts w:hint="eastAsia" w:ascii="宋体" w:hAnsi="宋体"/>
          <w:szCs w:val="21"/>
        </w:rPr>
        <w:t xml:space="preserve">合同订立地点：</w:t>
      </w:r>
      <w:r/>
    </w:p>
    <w:p>
      <w:pPr>
        <w:ind w:firstLine="420"/>
        <w:spacing w:after="160" w:line="400" w:lineRule="exact"/>
        <w:rPr>
          <w:rFonts w:ascii="Times New Roman" w:hAnsi="Times New Roman"/>
        </w:rPr>
      </w:pPr>
      <w:r>
        <w:rPr>
          <w:rFonts w:hint="eastAsia" w:ascii="宋体" w:hAnsi="宋体"/>
          <w:szCs w:val="21"/>
        </w:rPr>
        <w:t xml:space="preserve">附件：具体标的及其技术要求和商务要求、联合协议、分包意向协议等。</w:t>
      </w:r>
      <w:r/>
    </w:p>
    <w:p>
      <w:pPr>
        <w:spacing w:after="160" w:line="278" w:lineRule="auto"/>
        <w:rPr>
          <w:rFonts w:ascii="Times New Roman" w:hAnsi="Times New Roman"/>
        </w:rPr>
      </w:pPr>
      <w:r>
        <w:rPr>
          <w:rFonts w:hint="eastAsia" w:ascii="Times New Roman" w:hAnsi="Times New Roman"/>
        </w:rPr>
        <w:br w:type="page" w:clear="all"/>
      </w:r>
      <w:r/>
    </w:p>
    <w:p>
      <w:pPr>
        <w:ind w:firstLine="420"/>
        <w:spacing w:after="160" w:line="278" w:lineRule="auto"/>
        <w:rPr>
          <w:rFonts w:ascii="Times New Roman" w:hAnsi="Times New Roman"/>
          <w:szCs w:val="21"/>
        </w:rPr>
      </w:pPr>
      <w:r>
        <w:rPr>
          <w:rFonts w:ascii="Times New Roman" w:hAnsi="Times New Roman"/>
          <w:szCs w:val="21"/>
        </w:rPr>
      </w:r>
      <w:r/>
    </w:p>
    <w:tbl>
      <w:tblPr>
        <w:tblStyle w:val="85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rPr>
              <w:suppressLineNumbers w:val="0"/>
            </w:pPr>
            <w:r>
              <w:rPr>
                <w:rFonts w:hint="default" w:ascii="Times New Roman" w:hAnsi="Times New Roman"/>
                <w:szCs w:val="21"/>
              </w:rPr>
              <w:t xml:space="preserve">甲方</w:t>
            </w:r>
            <w:r>
              <w:rPr>
                <w:rFonts w:hint="eastAsia" w:ascii="Times New Roman" w:hAnsi="Times New Roman"/>
                <w:szCs w:val="21"/>
              </w:rPr>
              <w:t xml:space="preserve">（采购人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rPr>
              <w:suppressLineNumbers w:val="0"/>
            </w:pPr>
            <w:r>
              <w:rPr>
                <w:rFonts w:hint="default" w:ascii="Times New Roman" w:hAnsi="Times New Roman"/>
                <w:szCs w:val="21"/>
              </w:rPr>
              <w:t xml:space="preserve">乙方</w:t>
            </w:r>
            <w:r>
              <w:rPr>
                <w:rFonts w:hint="eastAsia" w:ascii="Times New Roman" w:hAnsi="Times New Roman"/>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t xml:space="preserve">单位名称</w:t>
            </w:r>
            <w:r>
              <w:rPr>
                <w:rFonts w:hint="eastAsia" w:ascii="Times New Roman" w:hAnsi="Times New Roman"/>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t xml:space="preserve">单位名称</w:t>
            </w:r>
            <w:r>
              <w:rPr>
                <w:rFonts w:hint="eastAsia" w:ascii="Times New Roman" w:hAnsi="Times New Roman"/>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pacing w:val="20"/>
                <w:szCs w:val="21"/>
              </w:rPr>
              <w:suppressLineNumbers w:val="0"/>
            </w:pPr>
            <w:r>
              <w:rPr>
                <w:rFonts w:hint="default" w:ascii="Times New Roman" w:hAnsi="Times New Roman"/>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t xml:space="preserve">法定代表人</w:t>
            </w:r>
            <w:r/>
          </w:p>
          <w:p>
            <w:pPr>
              <w:ind w:left="0" w:right="0" w:firstLine="101"/>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eastAsia" w:ascii="Times New Roman" w:hAnsi="Times New Roman"/>
                <w:szCs w:val="21"/>
              </w:rPr>
              <w:t xml:space="preserve">或其</w:t>
            </w:r>
            <w:r>
              <w:rPr>
                <w:rFonts w:hint="default" w:ascii="Times New Roman" w:hAnsi="Times New Roman"/>
                <w:szCs w:val="21"/>
              </w:rPr>
              <w:t xml:space="preserve">委托代理人</w:t>
            </w:r>
            <w:r>
              <w:rPr>
                <w:rFonts w:hint="eastAsia" w:ascii="Times New Roman" w:hAnsi="Times New Roman"/>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t xml:space="preserve">法定代表人</w:t>
            </w:r>
            <w:r/>
          </w:p>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eastAsia" w:ascii="Times New Roman" w:hAnsi="Times New Roman"/>
                <w:szCs w:val="21"/>
              </w:rPr>
              <w:t xml:space="preserve">或其</w:t>
            </w:r>
            <w:r>
              <w:rPr>
                <w:rFonts w:hint="default" w:ascii="Times New Roman" w:hAnsi="Times New Roman"/>
                <w:szCs w:val="21"/>
              </w:rPr>
              <w:t xml:space="preserve">委托代理人</w:t>
            </w:r>
            <w:r>
              <w:rPr>
                <w:rFonts w:hint="eastAsia" w:ascii="Times New Roman" w:hAnsi="Times New Roman"/>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eastAsia" w:ascii="Times New Roman" w:hAnsi="Times New Roman"/>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pacing w:val="20"/>
                <w:szCs w:val="21"/>
              </w:rPr>
              <w:suppressLineNumbers w:val="0"/>
            </w:pPr>
            <w:r>
              <w:rPr>
                <w:rFonts w:hint="default"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eastAsia" w:ascii="Times New Roman" w:hAnsi="Times New Roman"/>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eastAsia" w:ascii="Times New Roman" w:hAnsi="Times New Roman"/>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pacing w:val="20"/>
                <w:szCs w:val="21"/>
              </w:rPr>
              <w:suppressLineNumbers w:val="0"/>
            </w:pPr>
            <w:r>
              <w:rPr>
                <w:rFonts w:hint="default"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pacing w:val="20"/>
                <w:szCs w:val="21"/>
              </w:rPr>
              <w:suppressLineNumbers w:val="0"/>
            </w:pPr>
            <w:r>
              <w:rPr>
                <w:rFonts w:hint="default"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pacing w:val="20"/>
                <w:szCs w:val="21"/>
              </w:rPr>
              <w:suppressLineNumbers w:val="0"/>
            </w:pPr>
            <w:r>
              <w:rPr>
                <w:rFonts w:hint="default"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eastAsia" w:ascii="Times New Roman" w:hAnsi="Times New Roman"/>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eastAsia" w:ascii="Times New Roman" w:hAnsi="Times New Roman"/>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pacing w:val="20"/>
                <w:szCs w:val="21"/>
              </w:rPr>
              <w:suppressLineNumbers w:val="0"/>
            </w:pPr>
            <w:r>
              <w:rPr>
                <w:rFonts w:hint="default"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pacing w:val="20"/>
                <w:szCs w:val="21"/>
              </w:rPr>
              <w:suppressLineNumbers w:val="0"/>
            </w:pPr>
            <w:r>
              <w:rPr>
                <w:rFonts w:hint="default"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eastAsia" w:ascii="Times New Roman" w:hAnsi="Times New Roman"/>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eastAsia" w:ascii="Times New Roman" w:hAnsi="Times New Roman"/>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pacing w:val="20"/>
                <w:szCs w:val="21"/>
              </w:rPr>
              <w:suppressLineNumbers w:val="0"/>
            </w:pPr>
            <w:r>
              <w:rPr>
                <w:rFonts w:hint="default"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eastAsia" w:ascii="Times New Roman" w:hAnsi="Times New Roman"/>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eastAsia" w:ascii="Times New Roman" w:hAnsi="Times New Roman"/>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pacing w:val="20"/>
                <w:szCs w:val="21"/>
              </w:rPr>
              <w:suppressLineNumbers w:val="0"/>
            </w:pPr>
            <w:r>
              <w:rPr>
                <w:rFonts w:hint="default"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pacing w:val="20"/>
                <w:szCs w:val="21"/>
              </w:rPr>
              <w:suppressLineNumbers w:val="0"/>
            </w:pPr>
            <w:r>
              <w:rPr>
                <w:rFonts w:hint="default"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pacing w:val="20"/>
                <w:szCs w:val="21"/>
              </w:rPr>
              <w:suppressLineNumbers w:val="0"/>
            </w:pPr>
            <w:r>
              <w:rPr>
                <w:rFonts w:hint="default"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zCs w:val="21"/>
              </w:rPr>
              <w:suppressLineNumbers w:val="0"/>
            </w:pPr>
            <w:r>
              <w:rPr>
                <w:rFonts w:hint="default" w:ascii="Times New Roman" w:hAnsi="Times New Roman"/>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160" w:afterAutospacing="0" w:line="300" w:lineRule="exact"/>
              <w:rPr>
                <w:rFonts w:hint="default" w:ascii="Times New Roman" w:hAnsi="Times New Roman"/>
                <w:spacing w:val="20"/>
                <w:szCs w:val="21"/>
              </w:rPr>
              <w:suppressLineNumbers w:val="0"/>
            </w:pPr>
            <w:r>
              <w:rPr>
                <w:rFonts w:hint="default" w:ascii="Times New Roman" w:hAnsi="Times New Roman"/>
                <w:spacing w:val="20"/>
                <w:szCs w:val="21"/>
              </w:rPr>
            </w:r>
            <w:r/>
          </w:p>
        </w:tc>
      </w:tr>
      <w:tr>
        <w:trPr>
          <w:trHeight w:val="586"/>
        </w:trPr>
        <w:tc>
          <w:tcPr>
            <w:gridSpan w:val="4"/>
            <w:tcBorders>
              <w:top w:val="single" w:color="auto" w:sz="2" w:space="0"/>
            </w:tcBorders>
            <w:tcW w:w="5000" w:type="pct"/>
            <w:vAlign w:val="center"/>
            <w:textDirection w:val="lrTb"/>
            <w:noWrap w:val="false"/>
          </w:tcPr>
          <w:p>
            <w:pPr>
              <w:ind w:left="0" w:right="0" w:firstLine="425"/>
              <w:keepLines w:val="0"/>
              <w:keepNext w:val="0"/>
              <w:spacing w:before="0" w:beforeAutospacing="0" w:after="160" w:afterAutospacing="0" w:line="360" w:lineRule="auto"/>
              <w:rPr>
                <w:rFonts w:hint="default" w:ascii="Times New Roman" w:hAnsi="Times New Roman"/>
                <w:spacing w:val="20"/>
                <w:sz w:val="24"/>
                <w:szCs w:val="21"/>
              </w:rPr>
              <w:suppressLineNumbers w:val="0"/>
            </w:pPr>
            <w:r>
              <w:rPr>
                <w:rFonts w:hint="eastAsia" w:ascii="宋体" w:hAnsi="宋体"/>
                <w:sz w:val="24"/>
                <w:szCs w:val="21"/>
              </w:rPr>
              <w:t xml:space="preserve">注：涉及联合体或其他合同主体的信息应按上表格式加列。</w:t>
            </w:r>
            <w:r/>
          </w:p>
        </w:tc>
      </w:tr>
    </w:tbl>
    <w:p>
      <w:pPr>
        <w:numPr>
          <w:ilvl w:val="1"/>
          <w:numId w:val="11"/>
        </w:numPr>
        <w:jc w:val="center"/>
        <w:spacing w:before="156" w:after="156" w:line="360" w:lineRule="auto"/>
        <w:rPr>
          <w:rFonts w:hint="eastAsia" w:ascii="黑体" w:hAnsi="黑体" w:eastAsia="黑体"/>
          <w:b/>
          <w:bCs/>
          <w:sz w:val="28"/>
          <w:szCs w:val="28"/>
        </w:rPr>
        <w:outlineLvl w:val="1"/>
      </w:pPr>
      <w:r>
        <w:rPr>
          <w:rFonts w:ascii="宋体" w:hAnsi="宋体"/>
          <w:b/>
          <w:bCs/>
          <w:szCs w:val="21"/>
          <w:u w:val="single"/>
        </w:rPr>
        <w:br w:type="page" w:clear="all"/>
      </w:r>
      <w:bookmarkStart w:id="13" w:name="_Toc27624"/>
      <w:r>
        <w:rPr>
          <w:rFonts w:hint="eastAsia" w:ascii="黑体" w:hAnsi="黑体" w:eastAsia="黑体"/>
          <w:sz w:val="28"/>
          <w:szCs w:val="28"/>
        </w:rPr>
        <w:t xml:space="preserve">第二节 政府采购合同通用条款</w:t>
      </w:r>
      <w:bookmarkEnd w:id="13"/>
      <w:r/>
      <w:r/>
    </w:p>
    <w:p>
      <w:pPr>
        <w:spacing w:after="160"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spacing w:after="160" w:line="400" w:lineRule="exact"/>
        <w:rPr>
          <w:rFonts w:hint="eastAsia" w:ascii="宋体" w:hAnsi="宋体"/>
          <w:szCs w:val="21"/>
        </w:rPr>
      </w:pPr>
      <w:r>
        <w:rPr>
          <w:rFonts w:hint="eastAsia" w:ascii="宋体" w:hAnsi="宋体"/>
          <w:szCs w:val="21"/>
        </w:rPr>
        <w:t xml:space="preserve">1.1合同当事人</w:t>
      </w:r>
      <w:r/>
    </w:p>
    <w:p>
      <w:pPr>
        <w:ind w:firstLine="420"/>
        <w:spacing w:after="160"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spacing w:after="160"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spacing w:after="160"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spacing w:after="160"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spacing w:after="160"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spacing w:after="160"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15"/>
        </w:numPr>
        <w:spacing w:after="160" w:line="400" w:lineRule="exact"/>
        <w:rPr>
          <w:rFonts w:hint="eastAsia" w:ascii="宋体" w:hAnsi="宋体"/>
          <w:b/>
          <w:bCs/>
          <w:sz w:val="24"/>
        </w:rPr>
      </w:pPr>
      <w:r>
        <w:rPr>
          <w:rFonts w:hint="eastAsia" w:ascii="宋体" w:hAnsi="宋体"/>
          <w:b/>
          <w:sz w:val="24"/>
        </w:rPr>
        <w:t xml:space="preserve">合同标的及金额</w:t>
      </w:r>
      <w:r/>
    </w:p>
    <w:p>
      <w:pPr>
        <w:ind w:firstLine="420"/>
        <w:spacing w:after="160"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spacing w:after="160" w:line="400" w:lineRule="exact"/>
        <w:rPr>
          <w:rFonts w:hint="eastAsia" w:ascii="宋体" w:hAnsi="宋体"/>
          <w:b/>
          <w:sz w:val="24"/>
        </w:rPr>
      </w:pPr>
      <w:r>
        <w:rPr>
          <w:rFonts w:hint="eastAsia" w:ascii="宋体" w:hAnsi="宋体"/>
          <w:b/>
          <w:sz w:val="24"/>
        </w:rPr>
        <w:t xml:space="preserve">3. 履行合同的时间、地点和方式</w:t>
      </w:r>
      <w:r/>
    </w:p>
    <w:p>
      <w:pPr>
        <w:ind w:firstLine="420"/>
        <w:spacing w:after="160"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spacing w:after="160" w:line="400" w:lineRule="exact"/>
        <w:rPr>
          <w:rFonts w:hint="eastAsia" w:ascii="宋体" w:hAnsi="宋体"/>
          <w:b/>
          <w:bCs/>
          <w:sz w:val="24"/>
        </w:rPr>
      </w:pPr>
      <w:r>
        <w:rPr>
          <w:rFonts w:hint="eastAsia" w:ascii="宋体" w:hAnsi="宋体"/>
          <w:b/>
          <w:bCs/>
          <w:sz w:val="24"/>
        </w:rPr>
        <w:t xml:space="preserve">4. 甲方的权利和义务</w:t>
      </w:r>
      <w:r/>
    </w:p>
    <w:p>
      <w:pPr>
        <w:ind w:firstLine="420"/>
        <w:spacing w:after="160" w:line="400" w:lineRule="exact"/>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spacing w:after="160" w:line="400" w:lineRule="exact"/>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spacing w:after="160" w:line="400" w:lineRule="exact"/>
        <w:rPr>
          <w:rFonts w:hint="eastAsia" w:ascii="宋体" w:hAnsi="宋体"/>
          <w:szCs w:val="21"/>
        </w:rPr>
      </w:pPr>
      <w:r>
        <w:rPr>
          <w:rFonts w:hint="eastAsia" w:ascii="宋体" w:hAnsi="宋体"/>
          <w:szCs w:val="21"/>
        </w:rPr>
        <w:t xml:space="preserve">4.</w:t>
      </w:r>
      <w:r>
        <w:rPr>
          <w:rFonts w:ascii="宋体" w:hAnsi="宋体"/>
          <w:szCs w:val="21"/>
        </w:rPr>
        <w:t xml:space="preserve">3甲方</w:t>
      </w:r>
      <w:r>
        <w:rPr>
          <w:rFonts w:hint="eastAsia" w:ascii="宋体" w:hAnsi="宋体"/>
          <w:szCs w:val="21"/>
        </w:rPr>
        <w:t xml:space="preserve">有权要求乙方对缺陷部分予以修复，并按合同约定享有货物保修及其他合同约定的权利。</w:t>
      </w:r>
      <w:r/>
    </w:p>
    <w:p>
      <w:pPr>
        <w:ind w:firstLine="420"/>
        <w:spacing w:after="160" w:line="400" w:lineRule="exact"/>
        <w:rPr>
          <w:rFonts w:ascii="Times New Roman" w:hAnsi="Times New Roman"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spacing w:after="160" w:line="400" w:lineRule="exact"/>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spacing w:after="160" w:line="400" w:lineRule="exact"/>
        <w:rPr>
          <w:rFonts w:hint="eastAsia" w:ascii="宋体" w:hAnsi="宋体"/>
          <w:szCs w:val="21"/>
        </w:rPr>
      </w:pPr>
      <w:r>
        <w:rPr>
          <w:rFonts w:hint="eastAsia" w:ascii="宋体" w:hAnsi="宋体"/>
          <w:szCs w:val="21"/>
        </w:rPr>
        <w:t xml:space="preserve">4.6国家法律法规规定及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spacing w:after="160" w:line="400" w:lineRule="exact"/>
        <w:rPr>
          <w:rFonts w:hint="eastAsia" w:ascii="宋体" w:hAnsi="宋体"/>
          <w:b/>
          <w:bCs/>
          <w:sz w:val="24"/>
        </w:rPr>
      </w:pPr>
      <w:r>
        <w:rPr>
          <w:rFonts w:hint="eastAsia" w:ascii="宋体" w:hAnsi="宋体"/>
          <w:b/>
          <w:bCs/>
          <w:sz w:val="24"/>
        </w:rPr>
        <w:t xml:space="preserve">5. 乙方的权利和义务</w:t>
      </w:r>
      <w:r/>
    </w:p>
    <w:p>
      <w:pPr>
        <w:ind w:firstLine="420"/>
        <w:spacing w:after="160" w:line="400" w:lineRule="exact"/>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spacing w:after="160"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352"/>
        <w:spacing w:line="400" w:lineRule="exact"/>
        <w:rPr>
          <w:rFonts w:hint="eastAsia" w:ascii="宋体" w:hAnsi="宋体" w:cs="宋体"/>
          <w:sz w:val="20"/>
          <w:szCs w:val="21"/>
        </w:rPr>
      </w:pPr>
      <w:r>
        <w:rPr>
          <w:rFonts w:hint="eastAsia" w:ascii="宋体" w:hAnsi="宋体"/>
          <w:sz w:val="20"/>
          <w:szCs w:val="21"/>
        </w:rPr>
        <w:t xml:space="preserve">5.</w:t>
      </w:r>
      <w:r>
        <w:rPr>
          <w:rFonts w:ascii="宋体" w:hAnsi="宋体"/>
          <w:sz w:val="20"/>
          <w:szCs w:val="21"/>
        </w:rPr>
        <w:t xml:space="preserve">3</w:t>
      </w:r>
      <w:r>
        <w:rPr>
          <w:rFonts w:hint="eastAsia" w:ascii="宋体" w:hAnsi="宋体"/>
          <w:sz w:val="20"/>
          <w:szCs w:val="21"/>
        </w:rPr>
        <w:t xml:space="preserve">乙方有权</w:t>
      </w:r>
      <w:r>
        <w:rPr>
          <w:rFonts w:hint="eastAsia" w:ascii="宋体" w:hAnsi="宋体" w:cs="宋体"/>
          <w:sz w:val="20"/>
          <w:szCs w:val="21"/>
        </w:rPr>
        <w:t xml:space="preserve">根据合同约定向甲方收取合同价款。</w:t>
      </w:r>
      <w:r/>
    </w:p>
    <w:p>
      <w:pPr>
        <w:ind w:firstLine="352"/>
        <w:spacing w:line="400" w:lineRule="exact"/>
        <w:rPr>
          <w:rFonts w:hint="eastAsia" w:ascii="宋体" w:hAnsi="宋体" w:cs="宋体"/>
          <w:sz w:val="20"/>
          <w:szCs w:val="21"/>
        </w:rPr>
      </w:pPr>
      <w:r>
        <w:rPr>
          <w:rFonts w:hint="eastAsia" w:ascii="宋体" w:hAnsi="宋体"/>
          <w:sz w:val="20"/>
          <w:szCs w:val="21"/>
        </w:rPr>
        <w:t xml:space="preserve">5.</w:t>
      </w:r>
      <w:r>
        <w:rPr>
          <w:rFonts w:ascii="宋体" w:hAnsi="宋体"/>
          <w:sz w:val="20"/>
          <w:szCs w:val="21"/>
        </w:rPr>
        <w:t xml:space="preserve">4</w:t>
      </w:r>
      <w:r>
        <w:rPr>
          <w:rFonts w:hint="eastAsia" w:ascii="宋体" w:hAnsi="宋体" w:cs="宋体"/>
          <w:sz w:val="20"/>
          <w:szCs w:val="21"/>
        </w:rPr>
        <w:t xml:space="preserve">国家法律法规规定</w:t>
      </w:r>
      <w:r>
        <w:rPr>
          <w:rFonts w:hint="eastAsia" w:ascii="宋体" w:hAnsi="宋体"/>
          <w:sz w:val="20"/>
          <w:szCs w:val="21"/>
        </w:rPr>
        <w:t xml:space="preserve">及</w:t>
      </w:r>
      <w:r>
        <w:rPr>
          <w:rFonts w:hint="eastAsia" w:ascii="宋体" w:hAnsi="宋体" w:cs="宋体"/>
          <w:b/>
          <w:bCs/>
          <w:sz w:val="20"/>
          <w:szCs w:val="21"/>
        </w:rPr>
        <w:t xml:space="preserve">【政府采购合同专用条款】</w:t>
      </w:r>
      <w:r>
        <w:rPr>
          <w:rFonts w:hint="eastAsia" w:ascii="宋体" w:hAnsi="宋体" w:cs="宋体"/>
          <w:sz w:val="20"/>
          <w:szCs w:val="21"/>
        </w:rPr>
        <w:t xml:space="preserve">约定应由乙方承担的其他义务和责任。</w:t>
      </w:r>
      <w:r/>
    </w:p>
    <w:p>
      <w:pPr>
        <w:numPr>
          <w:ilvl w:val="0"/>
          <w:numId w:val="16"/>
        </w:numPr>
        <w:spacing w:after="160" w:line="400" w:lineRule="exact"/>
        <w:rPr>
          <w:rFonts w:hint="eastAsia" w:ascii="宋体" w:hAnsi="宋体"/>
          <w:b/>
          <w:bCs/>
          <w:sz w:val="24"/>
        </w:rPr>
      </w:pPr>
      <w:r>
        <w:rPr>
          <w:rFonts w:hint="eastAsia" w:ascii="宋体" w:hAnsi="宋体"/>
          <w:b/>
          <w:bCs/>
          <w:sz w:val="24"/>
        </w:rPr>
        <w:t xml:space="preserve">合同履行</w:t>
      </w:r>
      <w:r/>
    </w:p>
    <w:p>
      <w:pPr>
        <w:ind w:firstLine="420"/>
        <w:spacing w:after="160"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spacing w:after="160" w:line="400" w:lineRule="exact"/>
        <w:rPr>
          <w:rFonts w:ascii="Times New Roman" w:hAnsi="Times New Roman"/>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160"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spacing w:after="160"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spacing w:after="160"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spacing w:after="160"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spacing w:after="160"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160"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ind w:firstLine="420"/>
        <w:spacing w:after="160" w:line="400" w:lineRule="exact"/>
        <w:rPr>
          <w:rFonts w:hint="eastAsia" w:ascii="华文楷体" w:hAnsi="华文楷体" w:eastAsia="华文楷体" w:cs="华文楷体"/>
          <w:szCs w:val="21"/>
        </w:rPr>
      </w:pPr>
      <w:r>
        <w:rPr>
          <w:rFonts w:hint="eastAsia" w:ascii="宋体" w:hAnsi="宋体"/>
          <w:szCs w:val="21"/>
        </w:rPr>
        <w:t xml:space="preserve">7.6 如因包装、运输问题导致货物损毁、丢失或者品质下降，甲方有权要求降价、换货、拒收部分或整批货物，由此产生的费用和损失，均由乙方承担。</w:t>
      </w:r>
      <w:r/>
    </w:p>
    <w:p>
      <w:pPr>
        <w:spacing w:after="160" w:line="400" w:lineRule="exact"/>
        <w:rPr>
          <w:rFonts w:hint="eastAsia" w:ascii="宋体" w:hAnsi="宋体"/>
          <w:b/>
          <w:sz w:val="24"/>
        </w:rPr>
      </w:pPr>
      <w:r>
        <w:rPr>
          <w:rFonts w:hint="eastAsia" w:ascii="宋体" w:hAnsi="宋体"/>
          <w:b/>
          <w:sz w:val="24"/>
        </w:rPr>
        <w:t xml:space="preserve">8. 质量标准和保证</w:t>
      </w:r>
      <w:r/>
    </w:p>
    <w:p>
      <w:pPr>
        <w:ind w:firstLine="420"/>
        <w:spacing w:after="160" w:line="400" w:lineRule="exact"/>
        <w:rPr>
          <w:rFonts w:hint="eastAsia" w:ascii="宋体" w:hAnsi="宋体"/>
          <w:szCs w:val="21"/>
        </w:rPr>
      </w:pPr>
      <w:r>
        <w:rPr>
          <w:rFonts w:hint="eastAsia" w:ascii="宋体" w:hAnsi="宋体"/>
          <w:szCs w:val="21"/>
        </w:rPr>
        <w:t xml:space="preserve">8.1 质量标准</w:t>
      </w:r>
      <w:r/>
    </w:p>
    <w:p>
      <w:pPr>
        <w:ind w:firstLine="420"/>
        <w:spacing w:after="160" w:line="400" w:lineRule="exact"/>
        <w:rPr>
          <w:rFonts w:hint="eastAsia"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after="160" w:line="400" w:lineRule="exact"/>
        <w:rPr>
          <w:rFonts w:hint="eastAsia" w:ascii="宋体" w:hAnsi="宋体"/>
          <w:szCs w:val="21"/>
        </w:rPr>
      </w:pPr>
      <w:r>
        <w:rPr>
          <w:rFonts w:hint="eastAsia" w:ascii="宋体" w:hAnsi="宋体"/>
          <w:szCs w:val="21"/>
        </w:rPr>
        <w:t xml:space="preserve">（2）采用中华人民共和国法定计量单位。</w:t>
      </w:r>
      <w:r/>
    </w:p>
    <w:p>
      <w:pPr>
        <w:ind w:firstLine="420"/>
        <w:spacing w:after="160"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spacing w:after="160"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160" w:line="400" w:lineRule="exact"/>
        <w:rPr>
          <w:rFonts w:hint="eastAsia" w:ascii="宋体" w:hAnsi="宋体"/>
          <w:szCs w:val="21"/>
        </w:rPr>
      </w:pPr>
      <w:r>
        <w:rPr>
          <w:rFonts w:hint="eastAsia" w:ascii="宋体" w:hAnsi="宋体"/>
          <w:szCs w:val="21"/>
        </w:rPr>
        <w:t xml:space="preserve">8.2 保证</w:t>
      </w:r>
      <w:r/>
    </w:p>
    <w:p>
      <w:pPr>
        <w:ind w:firstLine="420"/>
        <w:spacing w:after="160"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spacing w:after="160"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spacing w:after="160"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spacing w:after="160"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after="160" w:line="400" w:lineRule="exact"/>
        <w:rPr>
          <w:rFonts w:ascii="Times New Roman" w:hAnsi="Times New Roman"/>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spacing w:after="160" w:line="400" w:lineRule="exact"/>
        <w:rPr>
          <w:rFonts w:hint="eastAsia" w:ascii="宋体" w:hAnsi="宋体"/>
          <w:b/>
          <w:bCs/>
          <w:sz w:val="24"/>
        </w:rPr>
      </w:pPr>
      <w:r>
        <w:rPr>
          <w:rFonts w:hint="eastAsia" w:ascii="宋体" w:hAnsi="宋体"/>
          <w:b/>
          <w:bCs/>
          <w:sz w:val="24"/>
        </w:rPr>
        <w:t xml:space="preserve">9.权利瑕疵担保</w:t>
      </w:r>
      <w:r/>
    </w:p>
    <w:p>
      <w:pPr>
        <w:ind w:firstLine="420"/>
        <w:spacing w:after="160"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spacing w:after="160"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spacing w:after="160"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spacing w:after="160" w:line="400" w:lineRule="exact"/>
        <w:rPr>
          <w:rFonts w:hint="eastAsia" w:ascii="宋体" w:hAnsi="宋体"/>
          <w:b/>
          <w:bCs/>
          <w:sz w:val="24"/>
        </w:rPr>
      </w:pPr>
      <w:r>
        <w:rPr>
          <w:rFonts w:hint="eastAsia" w:ascii="宋体" w:hAnsi="宋体"/>
          <w:b/>
          <w:bCs/>
          <w:sz w:val="24"/>
        </w:rPr>
        <w:t xml:space="preserve">10. 知识产权保护</w:t>
      </w:r>
      <w:r/>
    </w:p>
    <w:p>
      <w:pPr>
        <w:ind w:firstLine="420"/>
        <w:spacing w:after="160"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szCs w:val="21"/>
        </w:rPr>
        <w:t xml:space="preserve">。</w:t>
      </w:r>
      <w:r/>
    </w:p>
    <w:p>
      <w:pPr>
        <w:spacing w:after="160" w:line="400" w:lineRule="exact"/>
        <w:rPr>
          <w:rFonts w:hint="eastAsia" w:ascii="宋体" w:hAnsi="宋体"/>
          <w:b/>
          <w:bCs/>
          <w:sz w:val="24"/>
        </w:rPr>
      </w:pPr>
      <w:r>
        <w:rPr>
          <w:rFonts w:hint="eastAsia" w:ascii="宋体" w:hAnsi="宋体"/>
          <w:b/>
          <w:bCs/>
          <w:sz w:val="24"/>
        </w:rPr>
        <w:t xml:space="preserve">11. 保密义务</w:t>
      </w:r>
      <w:r/>
    </w:p>
    <w:p>
      <w:pPr>
        <w:ind w:firstLine="420"/>
        <w:spacing w:after="160"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after="160" w:line="400" w:lineRule="exact"/>
        <w:rPr>
          <w:rFonts w:hint="eastAsia" w:ascii="宋体" w:hAnsi="宋体"/>
          <w:b/>
          <w:bCs/>
          <w:sz w:val="24"/>
        </w:rPr>
      </w:pPr>
      <w:r>
        <w:rPr>
          <w:rFonts w:hint="eastAsia" w:ascii="宋体" w:hAnsi="宋体"/>
          <w:b/>
          <w:bCs/>
          <w:sz w:val="24"/>
        </w:rPr>
        <w:t xml:space="preserve">12. 合同价款支付</w:t>
      </w:r>
      <w:r/>
    </w:p>
    <w:p>
      <w:pPr>
        <w:ind w:firstLine="420"/>
        <w:spacing w:after="160" w:line="400" w:lineRule="exact"/>
        <w:rPr>
          <w:rFonts w:hint="eastAsia" w:ascii="宋体" w:hAnsi="宋体" w:cs="宋体"/>
          <w:szCs w:val="15"/>
        </w:rPr>
      </w:pPr>
      <w:r>
        <w:rPr>
          <w:rFonts w:hint="eastAsia" w:ascii="宋体" w:hAnsi="宋体" w:cs="宋体"/>
          <w:szCs w:val="15"/>
        </w:rPr>
        <w:t xml:space="preserve">12.1 合同价款支付按照国库集中支付制度及财政管理相关规定执行。</w:t>
      </w:r>
      <w:r/>
    </w:p>
    <w:p>
      <w:pPr>
        <w:ind w:firstLine="420"/>
        <w:spacing w:after="160" w:line="400" w:lineRule="exact"/>
        <w:rPr>
          <w:rFonts w:hint="eastAsia"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line="400" w:lineRule="exact"/>
        <w:rPr>
          <w:rFonts w:hint="eastAsia" w:ascii="宋体" w:hAnsi="宋体"/>
          <w:b/>
          <w:bCs/>
          <w:sz w:val="24"/>
        </w:rPr>
      </w:pPr>
      <w:r>
        <w:rPr>
          <w:rFonts w:hint="eastAsia" w:ascii="宋体" w:hAnsi="宋体"/>
          <w:b/>
          <w:bCs/>
          <w:sz w:val="24"/>
        </w:rPr>
        <w:t xml:space="preserve">13. 履约保证金（本项目无需缴纳）</w:t>
      </w:r>
      <w:r/>
    </w:p>
    <w:p>
      <w:pPr>
        <w:ind w:firstLine="420"/>
        <w:spacing w:after="160"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spacing w:after="160"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160" w:line="400" w:lineRule="exact"/>
        <w:rPr>
          <w:rFonts w:ascii="Times New Roman" w:hAnsi="Times New Roman"/>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spacing w:after="160" w:line="400" w:lineRule="exact"/>
        <w:rPr>
          <w:rFonts w:hint="eastAsia" w:ascii="宋体" w:hAnsi="宋体"/>
          <w:b/>
          <w:sz w:val="24"/>
        </w:rPr>
      </w:pPr>
      <w:r>
        <w:rPr>
          <w:rFonts w:hint="eastAsia" w:ascii="宋体" w:hAnsi="宋体"/>
          <w:b/>
          <w:bCs/>
          <w:sz w:val="24"/>
        </w:rPr>
        <w:t xml:space="preserve">14. </w:t>
      </w:r>
      <w:r>
        <w:rPr>
          <w:rFonts w:hint="eastAsia" w:ascii="Times New Roman" w:hAnsi="Times New Roman"/>
          <w:b/>
          <w:sz w:val="24"/>
        </w:rPr>
        <w:t xml:space="preserve">售后</w:t>
      </w:r>
      <w:r>
        <w:rPr>
          <w:rFonts w:hint="eastAsia" w:ascii="宋体" w:hAnsi="宋体"/>
          <w:b/>
          <w:sz w:val="24"/>
        </w:rPr>
        <w:t xml:space="preserve">服务</w:t>
      </w:r>
      <w:r/>
    </w:p>
    <w:p>
      <w:pPr>
        <w:ind w:firstLine="420"/>
        <w:spacing w:after="160"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spacing w:after="160"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spacing w:after="160"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spacing w:after="160"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spacing w:after="160"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spacing w:after="160" w:line="400" w:lineRule="exact"/>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spacing w:after="160"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spacing w:after="160"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spacing w:after="160" w:line="400" w:lineRule="exact"/>
        <w:rPr>
          <w:rFonts w:hint="eastAsia" w:ascii="宋体" w:hAnsi="宋体"/>
          <w:b/>
          <w:bCs/>
          <w:sz w:val="24"/>
        </w:rPr>
      </w:pPr>
      <w:r>
        <w:rPr>
          <w:rFonts w:hint="eastAsia" w:ascii="宋体" w:hAnsi="宋体"/>
          <w:b/>
          <w:bCs/>
          <w:sz w:val="24"/>
        </w:rPr>
        <w:t xml:space="preserve">15. 违约责任</w:t>
      </w:r>
      <w:r/>
    </w:p>
    <w:p>
      <w:pPr>
        <w:ind w:firstLine="420"/>
        <w:spacing w:after="160" w:line="400" w:lineRule="exact"/>
        <w:rPr>
          <w:rFonts w:hint="eastAsia" w:ascii="宋体" w:hAnsi="宋体"/>
          <w:bCs/>
          <w:szCs w:val="21"/>
        </w:rPr>
      </w:pPr>
      <w:r>
        <w:rPr>
          <w:rFonts w:hint="eastAsia" w:ascii="宋体" w:hAnsi="宋体"/>
          <w:bCs/>
          <w:szCs w:val="21"/>
        </w:rPr>
        <w:t xml:space="preserve">15.1质量瑕疵的违约责任</w:t>
      </w:r>
      <w:r/>
    </w:p>
    <w:p>
      <w:pPr>
        <w:ind w:firstLine="420"/>
        <w:spacing w:after="160"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spacing w:after="160" w:line="400" w:lineRule="exact"/>
        <w:rPr>
          <w:rFonts w:hint="eastAsia" w:ascii="宋体" w:hAnsi="宋体"/>
          <w:bCs/>
          <w:szCs w:val="21"/>
        </w:rPr>
      </w:pPr>
      <w:r>
        <w:rPr>
          <w:rFonts w:hint="eastAsia" w:ascii="宋体" w:hAnsi="宋体"/>
          <w:bCs/>
          <w:szCs w:val="21"/>
        </w:rPr>
        <w:t xml:space="preserve">15.2 迟延交货的违约责任</w:t>
      </w:r>
      <w:r/>
    </w:p>
    <w:p>
      <w:pPr>
        <w:ind w:firstLine="420"/>
        <w:spacing w:after="160"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160"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spacing w:after="160" w:line="400" w:lineRule="exact"/>
        <w:rPr>
          <w:rFonts w:hint="eastAsia" w:ascii="宋体" w:hAnsi="宋体"/>
          <w:szCs w:val="21"/>
        </w:rPr>
      </w:pPr>
      <w:r>
        <w:rPr>
          <w:rFonts w:hint="eastAsia" w:ascii="宋体" w:hAnsi="宋体"/>
          <w:szCs w:val="21"/>
        </w:rPr>
        <w:t xml:space="preserve">15.3 迟延支付的违约责任</w:t>
      </w:r>
      <w:r/>
    </w:p>
    <w:p>
      <w:pPr>
        <w:ind w:firstLine="420"/>
        <w:spacing w:after="160"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spacing w:after="160"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7"/>
        </w:numPr>
        <w:spacing w:after="160" w:line="400" w:lineRule="exact"/>
        <w:rPr>
          <w:rFonts w:hint="eastAsia" w:ascii="宋体" w:hAnsi="宋体"/>
          <w:b/>
          <w:sz w:val="24"/>
        </w:rPr>
      </w:pPr>
      <w:r>
        <w:rPr>
          <w:rFonts w:hint="eastAsia" w:ascii="宋体" w:hAnsi="宋体"/>
          <w:b/>
          <w:sz w:val="24"/>
        </w:rPr>
        <w:t xml:space="preserve">合同变更、中止与终止</w:t>
      </w:r>
      <w:r/>
    </w:p>
    <w:p>
      <w:pPr>
        <w:spacing w:after="160" w:line="400" w:lineRule="exact"/>
        <w:rPr>
          <w:rFonts w:hint="eastAsia" w:ascii="宋体" w:hAnsi="宋体"/>
          <w:szCs w:val="21"/>
        </w:rPr>
      </w:pPr>
      <w:r>
        <w:rPr>
          <w:rFonts w:hint="eastAsia" w:ascii="宋体" w:hAnsi="宋体"/>
          <w:szCs w:val="21"/>
        </w:rPr>
        <w:t xml:space="preserve">    16.1合同的变更</w:t>
      </w:r>
      <w:r/>
    </w:p>
    <w:p>
      <w:pPr>
        <w:ind w:firstLine="420"/>
        <w:spacing w:after="160"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after="160" w:line="400" w:lineRule="exact"/>
        <w:rPr>
          <w:rFonts w:hint="eastAsia" w:ascii="宋体" w:hAnsi="宋体"/>
          <w:szCs w:val="21"/>
        </w:rPr>
      </w:pPr>
      <w:r>
        <w:rPr>
          <w:rFonts w:hint="eastAsia" w:ascii="宋体" w:hAnsi="宋体"/>
          <w:szCs w:val="21"/>
        </w:rPr>
        <w:t xml:space="preserve">16.2合同的中止</w:t>
      </w:r>
      <w:r/>
    </w:p>
    <w:p>
      <w:pPr>
        <w:ind w:firstLine="420"/>
        <w:spacing w:after="160"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spacing w:after="160"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after="160" w:line="400" w:lineRule="exact"/>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160" w:line="400" w:lineRule="exact"/>
        <w:rPr>
          <w:rFonts w:ascii="Times New Roman" w:hAnsi="Times New Roman"/>
        </w:rPr>
      </w:pPr>
      <w:r>
        <w:rPr>
          <w:rFonts w:hint="eastAsia" w:ascii="宋体" w:hAnsi="宋体"/>
          <w:szCs w:val="21"/>
        </w:rPr>
        <w:t xml:space="preserve">（4）甲方不得以行政区划调整、政府换届、机构或者职能调整以及相关责任人更替为由中止合同。</w:t>
      </w:r>
      <w:r/>
    </w:p>
    <w:p>
      <w:pPr>
        <w:ind w:firstLine="420"/>
        <w:spacing w:after="160" w:line="400" w:lineRule="exact"/>
        <w:rPr>
          <w:rFonts w:hint="eastAsia" w:ascii="宋体" w:hAnsi="宋体"/>
          <w:szCs w:val="21"/>
        </w:rPr>
      </w:pPr>
      <w:r>
        <w:rPr>
          <w:rFonts w:hint="eastAsia" w:ascii="宋体" w:hAnsi="宋体"/>
          <w:szCs w:val="21"/>
        </w:rPr>
        <w:t xml:space="preserve">16.3合同的终止</w:t>
      </w:r>
      <w:r/>
    </w:p>
    <w:p>
      <w:pPr>
        <w:ind w:firstLine="420"/>
        <w:spacing w:after="160"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after="160"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spacing w:after="160" w:line="400" w:lineRule="exact"/>
        <w:rPr>
          <w:rFonts w:hint="eastAsia" w:ascii="宋体" w:hAnsi="宋体" w:eastAsia="华文楷体" w:cs="华文楷体"/>
          <w:szCs w:val="21"/>
        </w:rPr>
      </w:pPr>
      <w:r>
        <w:rPr>
          <w:rFonts w:hint="eastAsia" w:ascii="宋体" w:hAnsi="宋体" w:eastAsia="华文楷体" w:cs="华文楷体"/>
          <w:szCs w:val="21"/>
        </w:rPr>
        <w:t xml:space="preserve">16.4 </w:t>
      </w:r>
      <w:r>
        <w:rPr>
          <w:rFonts w:hint="eastAsia" w:ascii="宋体" w:hAnsi="宋体"/>
          <w:szCs w:val="21"/>
        </w:rPr>
        <w:t xml:space="preserve">涉及国家利益、社会公共利益的情形</w:t>
      </w:r>
      <w:r/>
    </w:p>
    <w:p>
      <w:pPr>
        <w:ind w:firstLine="420"/>
        <w:spacing w:after="160" w:line="400" w:lineRule="exact"/>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spacing w:after="160" w:line="400" w:lineRule="exact"/>
        <w:rPr>
          <w:rFonts w:hint="eastAsia" w:ascii="宋体" w:hAnsi="宋体"/>
          <w:b/>
          <w:bCs/>
          <w:sz w:val="24"/>
        </w:rPr>
      </w:pPr>
      <w:r>
        <w:rPr>
          <w:rFonts w:hint="eastAsia" w:ascii="宋体" w:hAnsi="宋体"/>
          <w:b/>
          <w:bCs/>
          <w:sz w:val="24"/>
        </w:rPr>
        <w:t xml:space="preserve">17. 合同分包</w:t>
      </w:r>
      <w:r/>
    </w:p>
    <w:p>
      <w:pPr>
        <w:ind w:firstLine="420"/>
        <w:spacing w:after="160"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spacing w:after="160"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spacing w:after="160" w:line="400" w:lineRule="exact"/>
        <w:rPr>
          <w:rFonts w:hint="eastAsia" w:ascii="宋体" w:hAnsi="宋体"/>
          <w:b/>
          <w:bCs/>
          <w:sz w:val="24"/>
        </w:rPr>
      </w:pPr>
      <w:r>
        <w:rPr>
          <w:rFonts w:hint="eastAsia" w:ascii="宋体" w:hAnsi="宋体"/>
          <w:b/>
          <w:bCs/>
          <w:sz w:val="24"/>
        </w:rPr>
        <w:t xml:space="preserve">18. 不可抗力</w:t>
      </w:r>
      <w:r/>
    </w:p>
    <w:p>
      <w:pPr>
        <w:ind w:firstLine="420"/>
        <w:spacing w:after="160"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spacing w:after="160"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spacing w:after="160"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160" w:line="400" w:lineRule="exact"/>
        <w:rPr>
          <w:rFonts w:hint="eastAsia" w:ascii="宋体" w:hAnsi="宋体"/>
          <w:b/>
          <w:bCs/>
          <w:sz w:val="24"/>
        </w:rPr>
      </w:pPr>
      <w:r>
        <w:rPr>
          <w:rFonts w:hint="eastAsia" w:ascii="宋体" w:hAnsi="宋体"/>
          <w:b/>
          <w:bCs/>
          <w:sz w:val="24"/>
        </w:rPr>
        <w:t xml:space="preserve">19. 解决争议的方法</w:t>
      </w:r>
      <w:r/>
    </w:p>
    <w:p>
      <w:pPr>
        <w:ind w:firstLine="420"/>
        <w:spacing w:after="160" w:line="400" w:lineRule="exact"/>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after="160" w:line="400" w:lineRule="exact"/>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after="160" w:line="400" w:lineRule="exact"/>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spacing w:after="160" w:line="400" w:lineRule="exact"/>
        <w:rPr>
          <w:rFonts w:hint="eastAsia" w:ascii="宋体" w:hAnsi="宋体"/>
          <w:sz w:val="24"/>
        </w:rPr>
      </w:pPr>
      <w:r>
        <w:rPr>
          <w:rFonts w:hint="eastAsia" w:ascii="宋体" w:hAnsi="宋体"/>
          <w:b/>
          <w:sz w:val="24"/>
        </w:rPr>
        <w:t xml:space="preserve">20. 政府采购政策</w:t>
      </w:r>
      <w:r/>
    </w:p>
    <w:p>
      <w:pPr>
        <w:ind w:firstLine="420"/>
        <w:spacing w:after="160"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spacing w:after="160"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00"/>
        <w:spacing w:line="400" w:lineRule="exact"/>
        <w:rPr>
          <w:rFonts w:ascii="Times New Roman" w:hAnsi="Times New Roman"/>
          <w:sz w:val="20"/>
        </w:rPr>
      </w:pPr>
      <w:r>
        <w:rPr>
          <w:rFonts w:ascii="宋体" w:hAnsi="宋体"/>
          <w:sz w:val="20"/>
          <w:szCs w:val="21"/>
        </w:rPr>
        <w:t xml:space="preserve">2</w:t>
      </w:r>
      <w:r>
        <w:rPr>
          <w:rFonts w:hint="eastAsia" w:ascii="宋体" w:hAnsi="宋体"/>
          <w:sz w:val="2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160" w:line="400" w:lineRule="exact"/>
        <w:rPr>
          <w:rFonts w:hint="eastAsia" w:ascii="宋体" w:hAnsi="宋体"/>
          <w:b/>
          <w:sz w:val="24"/>
        </w:rPr>
      </w:pPr>
      <w:r>
        <w:rPr>
          <w:rFonts w:hint="eastAsia" w:ascii="宋体" w:hAnsi="宋体"/>
          <w:b/>
          <w:sz w:val="24"/>
        </w:rPr>
        <w:t xml:space="preserve">21. 法律适用</w:t>
      </w:r>
      <w:r/>
    </w:p>
    <w:p>
      <w:pPr>
        <w:ind w:firstLine="420"/>
        <w:spacing w:after="160" w:line="400" w:lineRule="exact"/>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after="160" w:line="400" w:lineRule="exact"/>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numPr>
          <w:ilvl w:val="255"/>
          <w:numId w:val="0"/>
        </w:numPr>
        <w:spacing w:after="160" w:line="400" w:lineRule="exact"/>
        <w:rPr>
          <w:rFonts w:hint="eastAsia" w:ascii="宋体" w:hAnsi="宋体"/>
          <w:b/>
          <w:sz w:val="24"/>
        </w:rPr>
      </w:pPr>
      <w:r>
        <w:rPr>
          <w:rFonts w:hint="eastAsia" w:ascii="宋体" w:hAnsi="宋体"/>
          <w:b/>
          <w:sz w:val="24"/>
        </w:rPr>
        <w:t xml:space="preserve">22. 通知</w:t>
      </w:r>
      <w:r/>
    </w:p>
    <w:p>
      <w:pPr>
        <w:ind w:firstLine="420"/>
        <w:spacing w:after="160" w:line="400" w:lineRule="exact"/>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after="160" w:line="400" w:lineRule="exact"/>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spacing w:after="160"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spacing w:after="160"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8"/>
        </w:numPr>
        <w:spacing w:after="160" w:line="400" w:lineRule="exact"/>
        <w:rPr>
          <w:rFonts w:hint="eastAsia" w:ascii="宋体" w:hAnsi="宋体"/>
          <w:b/>
          <w:bCs/>
          <w:sz w:val="24"/>
        </w:rPr>
      </w:pPr>
      <w:r>
        <w:rPr>
          <w:rFonts w:hint="eastAsia" w:ascii="宋体" w:hAnsi="宋体"/>
          <w:b/>
          <w:bCs/>
          <w:sz w:val="24"/>
        </w:rPr>
        <w:t xml:space="preserve">合同未尽事项</w:t>
      </w:r>
      <w:r/>
    </w:p>
    <w:p>
      <w:pPr>
        <w:ind w:firstLine="420"/>
        <w:spacing w:after="160"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spacing w:after="160"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15" w:name="_Toc20313"/>
      <w:r/>
      <w:r/>
    </w:p>
    <w:p>
      <w:pPr>
        <w:jc w:val="center"/>
        <w:spacing w:after="160" w:line="278" w:lineRule="auto"/>
        <w:rPr>
          <w:rFonts w:hint="eastAsia" w:ascii="黑体" w:hAnsi="华文中宋" w:eastAsia="黑体"/>
          <w:sz w:val="28"/>
          <w:szCs w:val="28"/>
        </w:rPr>
      </w:pPr>
      <w:r>
        <w:rPr>
          <w:rFonts w:hint="eastAsia" w:ascii="黑体" w:hAnsi="华文中宋" w:eastAsia="黑体"/>
          <w:sz w:val="28"/>
          <w:szCs w:val="28"/>
        </w:rPr>
        <w:br w:type="page" w:clear="all"/>
      </w:r>
      <w:r/>
    </w:p>
    <w:p>
      <w:pPr>
        <w:numPr>
          <w:ilvl w:val="1"/>
          <w:numId w:val="11"/>
        </w:numPr>
        <w:jc w:val="center"/>
        <w:spacing w:before="156" w:after="156" w:line="360" w:lineRule="auto"/>
        <w:rPr>
          <w:rFonts w:hint="eastAsia"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15"/>
      <w:r/>
      <w:r/>
    </w:p>
    <w:tbl>
      <w:tblPr>
        <w:tblStyle w:val="85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第1.2（6）项</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联合体具体要求</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604"/>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第1.2（7）项</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其他术语解释</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736"/>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第4.4款</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履约验收中甲方提出异议或作出说明的期限</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736"/>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第4.6款</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约定甲方承担的其他义务和责任</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736"/>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default" w:ascii="Times New Roman" w:hAnsi="Times New Roman"/>
              </w:rPr>
              <w:suppressLineNumbers w:val="0"/>
            </w:pPr>
            <w:r>
              <w:rPr>
                <w:rFonts w:hint="eastAsia" w:ascii="宋体" w:hAnsi="宋体"/>
                <w:szCs w:val="21"/>
              </w:rPr>
              <w:t xml:space="preserve">第5.4款</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约定乙方承担的其他义务和责任</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736"/>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第6.1款</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履行合同义务的顺序</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667"/>
        </w:trPr>
        <w:tc>
          <w:tcPr>
            <w:tcW w:w="1607" w:type="dxa"/>
            <w:vAlign w:val="center"/>
            <w:vMerge w:val="restart"/>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第7.1款</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包装特殊要求</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default" w:ascii="Times New Roman" w:hAnsi="Times New Roman"/>
              </w:rPr>
              <w:suppressLineNumbers w:val="0"/>
            </w:pPr>
            <w:r>
              <w:rPr>
                <w:rFonts w:hint="default" w:ascii="Times New Roman" w:hAnsi="Times New Roman"/>
              </w:rPr>
            </w:r>
            <w:r/>
          </w:p>
        </w:tc>
      </w:tr>
      <w:tr>
        <w:trPr>
          <w:trHeight w:val="667"/>
        </w:trPr>
        <w:tc>
          <w:tcPr>
            <w:tcW w:w="1607" w:type="dxa"/>
            <w:vAlign w:val="center"/>
            <w:vMerge w:val="continue"/>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指定现场</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default" w:ascii="Times New Roman" w:hAnsi="Times New Roman"/>
              </w:rPr>
              <w:suppressLineNumbers w:val="0"/>
            </w:pPr>
            <w:r>
              <w:rPr>
                <w:rFonts w:hint="default" w:ascii="Times New Roman" w:hAnsi="Times New Roman"/>
              </w:rPr>
            </w:r>
            <w:r/>
          </w:p>
        </w:tc>
      </w:tr>
      <w:tr>
        <w:trPr>
          <w:trHeight w:val="772"/>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第7.2款</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运输特殊要求</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default" w:ascii="Times New Roman" w:hAnsi="Times New Roman"/>
              </w:rPr>
              <w:suppressLineNumbers w:val="0"/>
            </w:pPr>
            <w:r>
              <w:rPr>
                <w:rFonts w:hint="default" w:ascii="Times New Roman" w:hAnsi="Times New Roman"/>
              </w:rPr>
            </w:r>
            <w:r/>
          </w:p>
        </w:tc>
      </w:tr>
      <w:tr>
        <w:trPr>
          <w:trHeight w:val="667"/>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第7.3款</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保险要求</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default" w:ascii="Times New Roman" w:hAnsi="Times New Roman"/>
              </w:rPr>
              <w:suppressLineNumbers w:val="0"/>
            </w:pPr>
            <w:r>
              <w:rPr>
                <w:rFonts w:hint="default" w:ascii="Times New Roman" w:hAnsi="Times New Roman"/>
              </w:rPr>
            </w:r>
            <w:r/>
          </w:p>
        </w:tc>
      </w:tr>
      <w:tr>
        <w:trPr>
          <w:trHeight w:val="736"/>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第8.2（1）项</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质量保证期</w:t>
            </w:r>
            <w:r/>
          </w:p>
        </w:tc>
        <w:tc>
          <w:tcPr>
            <w:tcW w:w="5170" w:type="dxa"/>
            <w:vAlign w:val="center"/>
            <w:textDirection w:val="lrTb"/>
            <w:noWrap w:val="false"/>
          </w:tcPr>
          <w:p>
            <w:pPr>
              <w:ind w:left="0" w:right="0" w:firstLine="42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736"/>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第8.2（3）项</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货物质量缺陷</w:t>
            </w:r>
            <w:r/>
          </w:p>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响应时间</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736"/>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cs="宋体"/>
                <w:szCs w:val="21"/>
              </w:rPr>
              <w:suppressLineNumbers w:val="0"/>
            </w:pPr>
            <w:r>
              <w:rPr>
                <w:rFonts w:hint="eastAsia" w:ascii="宋体" w:hAnsi="宋体" w:cs="宋体"/>
                <w:szCs w:val="21"/>
              </w:rPr>
              <w:t xml:space="preserve">第二节</w:t>
            </w:r>
            <w:r/>
          </w:p>
          <w:p>
            <w:pPr>
              <w:ind w:left="0" w:right="0"/>
              <w:jc w:val="center"/>
              <w:keepLines w:val="0"/>
              <w:keepNext w:val="0"/>
              <w:spacing w:before="0" w:beforeAutospacing="0" w:after="160" w:afterAutospacing="0" w:line="400" w:lineRule="exact"/>
              <w:rPr>
                <w:rFonts w:hint="eastAsia" w:ascii="华文楷体" w:hAnsi="华文楷体" w:eastAsia="华文楷体" w:cs="华文楷体"/>
                <w:szCs w:val="21"/>
              </w:rPr>
              <w:suppressLineNumbers w:val="0"/>
            </w:pPr>
            <w:r>
              <w:rPr>
                <w:rFonts w:hint="eastAsia" w:ascii="宋体" w:hAnsi="宋体" w:cs="宋体"/>
                <w:szCs w:val="21"/>
              </w:rPr>
              <w:t xml:space="preserve">第11.1款</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其他应当保密的信息</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697"/>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第12.2款</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合同价款支付时间</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697"/>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第13.2款</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履约保证金不予退还的情形</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736"/>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第13.3款</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履约保证金退还时间及逾期退还的违约金</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784"/>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第14.1（3）项</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运行监督、维修期限</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784"/>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第14.1（5）项</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货物回收的约定</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736"/>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第14.1（6）项</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乙方提供的其他服务</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736"/>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第15.1款</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修理、重作、更换相关具体规定</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r>
        <w:trPr>
          <w:trHeight w:val="736"/>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第15.2（2）项</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迟延交货赔偿费</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u w:val="single"/>
              </w:rPr>
              <w:suppressLineNumbers w:val="0"/>
            </w:pPr>
            <w:r>
              <w:rPr>
                <w:rFonts w:hint="eastAsia" w:ascii="宋体" w:hAnsi="宋体"/>
                <w:szCs w:val="21"/>
                <w:u w:val="single"/>
              </w:rPr>
            </w:r>
            <w:r/>
          </w:p>
        </w:tc>
      </w:tr>
      <w:tr>
        <w:trPr>
          <w:trHeight w:val="736"/>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第15.3款</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逾期付款利息</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u w:val="single"/>
              </w:rPr>
              <w:suppressLineNumbers w:val="0"/>
            </w:pPr>
            <w:r>
              <w:rPr>
                <w:rFonts w:hint="eastAsia"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u w:val="single"/>
              </w:rPr>
              <w:suppressLineNumbers w:val="0"/>
            </w:pPr>
            <w:r>
              <w:rPr>
                <w:rFonts w:hint="eastAsia"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ind w:left="0" w:right="0"/>
              <w:keepLines w:val="0"/>
              <w:keepNext w:val="0"/>
              <w:spacing w:before="0" w:beforeAutospacing="0" w:after="160" w:afterAutospacing="0" w:line="400" w:lineRule="exact"/>
              <w:rPr>
                <w:rFonts w:hint="eastAsia" w:ascii="宋体" w:hAnsi="宋体" w:cs="宋体"/>
                <w:iCs/>
                <w:szCs w:val="21"/>
              </w:rPr>
              <w:suppressLineNumbers w:val="0"/>
            </w:pPr>
            <w:r>
              <w:rPr>
                <w:rFonts w:hint="eastAsia" w:ascii="宋体" w:hAnsi="宋体" w:cs="宋体"/>
                <w:iCs/>
                <w:szCs w:val="21"/>
              </w:rPr>
              <w:t xml:space="preserve">因本合同及合同有关事项发生的争议，按下列第种方式解决：</w:t>
            </w:r>
            <w:r/>
          </w:p>
          <w:p>
            <w:pPr>
              <w:ind w:left="0" w:right="0"/>
              <w:keepLines w:val="0"/>
              <w:keepNext w:val="0"/>
              <w:spacing w:before="0" w:beforeAutospacing="0" w:after="160" w:afterAutospacing="0" w:line="400" w:lineRule="exact"/>
              <w:rPr>
                <w:rFonts w:hint="eastAsia" w:ascii="宋体" w:hAnsi="宋体" w:cs="宋体"/>
                <w:iCs/>
                <w:szCs w:val="21"/>
              </w:rPr>
              <w:suppressLineNumbers w:val="0"/>
            </w:pPr>
            <w:r>
              <w:rPr>
                <w:rFonts w:hint="eastAsia" w:ascii="宋体" w:hAnsi="宋体" w:cs="宋体"/>
                <w:iCs/>
                <w:szCs w:val="21"/>
              </w:rPr>
              <w:t xml:space="preserve">（1）向仲裁委员会申请仲裁，仲裁地点为；</w:t>
            </w:r>
            <w:r/>
          </w:p>
          <w:p>
            <w:pPr>
              <w:ind w:left="0" w:right="0"/>
              <w:keepLines w:val="0"/>
              <w:keepNext w:val="0"/>
              <w:spacing w:before="0" w:beforeAutospacing="0" w:after="160" w:afterAutospacing="0" w:line="278" w:lineRule="auto"/>
              <w:rPr>
                <w:rFonts w:hint="eastAsia" w:ascii="宋体" w:hAnsi="宋体"/>
                <w:szCs w:val="21"/>
                <w:u w:val="single"/>
              </w:rPr>
              <w:suppressLineNumbers w:val="0"/>
            </w:pPr>
            <w:r>
              <w:rPr>
                <w:rFonts w:hint="eastAsia" w:ascii="宋体" w:hAnsi="宋体" w:cs="宋体"/>
                <w:iCs/>
                <w:szCs w:val="21"/>
              </w:rPr>
              <w:t xml:space="preserve">（2）向人民法院起诉。</w:t>
            </w:r>
            <w:r/>
          </w:p>
        </w:tc>
      </w:tr>
      <w:tr>
        <w:trPr>
          <w:trHeight w:val="770"/>
        </w:trPr>
        <w:tc>
          <w:tcPr>
            <w:tcW w:w="1607"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第二节</w:t>
            </w:r>
            <w:r/>
          </w:p>
          <w:p>
            <w:pPr>
              <w:ind w:left="0" w:right="0"/>
              <w:jc w:val="center"/>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t xml:space="preserve">第23.1款</w:t>
            </w:r>
            <w:r/>
          </w:p>
        </w:tc>
        <w:tc>
          <w:tcPr>
            <w:tcW w:w="1742"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bCs/>
                <w:szCs w:val="21"/>
              </w:rPr>
              <w:t xml:space="preserve">其他专用条款</w:t>
            </w:r>
            <w:r/>
          </w:p>
        </w:tc>
        <w:tc>
          <w:tcPr>
            <w:tcW w:w="517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szCs w:val="21"/>
              </w:rPr>
              <w:suppressLineNumbers w:val="0"/>
            </w:pPr>
            <w:r>
              <w:rPr>
                <w:rFonts w:hint="eastAsia" w:ascii="宋体" w:hAnsi="宋体"/>
                <w:szCs w:val="21"/>
              </w:rPr>
            </w:r>
            <w:r/>
          </w:p>
        </w:tc>
      </w:tr>
    </w:tbl>
    <w:p>
      <w:pPr>
        <w:spacing w:before="107" w:line="184" w:lineRule="auto"/>
        <w:rPr>
          <w:rFonts w:hint="eastAsia" w:ascii="微软雅黑" w:hAnsi="微软雅黑" w:eastAsia="微软雅黑" w:cs="微软雅黑"/>
          <w:spacing w:val="17"/>
          <w:sz w:val="24"/>
        </w:rPr>
      </w:pPr>
      <w:r>
        <w:rPr>
          <w:rFonts w:hint="eastAsia" w:ascii="微软雅黑" w:hAnsi="微软雅黑" w:eastAsia="微软雅黑" w:cs="微软雅黑"/>
          <w:spacing w:val="17"/>
          <w:sz w:val="24"/>
        </w:rPr>
      </w:r>
      <w:r/>
    </w:p>
    <w:p>
      <w:pPr>
        <w:spacing w:before="107" w:line="184" w:lineRule="auto"/>
        <w:rPr>
          <w:rFonts w:hint="eastAsia" w:ascii="微软雅黑" w:hAnsi="微软雅黑" w:eastAsia="微软雅黑" w:cs="微软雅黑"/>
          <w:spacing w:val="17"/>
          <w:sz w:val="24"/>
        </w:rPr>
      </w:pPr>
      <w:r>
        <w:rPr>
          <w:rFonts w:hint="eastAsia" w:ascii="微软雅黑" w:hAnsi="微软雅黑" w:eastAsia="微软雅黑" w:cs="微软雅黑"/>
          <w:spacing w:val="17"/>
          <w:sz w:val="24"/>
        </w:rPr>
      </w:r>
      <w:r/>
    </w:p>
    <w:p>
      <w:pPr>
        <w:spacing w:before="107" w:line="184" w:lineRule="auto"/>
        <w:rPr>
          <w:rFonts w:hint="eastAsia" w:ascii="微软雅黑" w:hAnsi="微软雅黑" w:eastAsia="微软雅黑" w:cs="微软雅黑"/>
          <w:spacing w:val="17"/>
          <w:sz w:val="24"/>
        </w:rPr>
      </w:pPr>
      <w:r>
        <w:rPr>
          <w:rFonts w:hint="eastAsia" w:ascii="微软雅黑" w:hAnsi="微软雅黑" w:eastAsia="微软雅黑" w:cs="微软雅黑"/>
          <w:spacing w:val="17"/>
          <w:sz w:val="24"/>
        </w:rPr>
        <w:t xml:space="preserve">附件：</w:t>
      </w:r>
      <w:r/>
    </w:p>
    <w:p>
      <w:pPr>
        <w:jc w:val="center"/>
        <w:spacing w:before="107" w:line="184" w:lineRule="auto"/>
        <w:rPr>
          <w:rFonts w:hint="eastAsia" w:ascii="微软雅黑" w:hAnsi="微软雅黑" w:eastAsia="微软雅黑" w:cs="微软雅黑"/>
          <w:spacing w:val="17"/>
          <w:sz w:val="24"/>
        </w:rPr>
      </w:pPr>
      <w:r>
        <w:rPr>
          <w:rFonts w:hint="eastAsia" w:ascii="微软雅黑" w:hAnsi="微软雅黑" w:eastAsia="微软雅黑" w:cs="微软雅黑"/>
          <w:spacing w:val="17"/>
          <w:sz w:val="24"/>
        </w:rPr>
      </w:r>
      <w:r/>
    </w:p>
    <w:p>
      <w:pPr>
        <w:jc w:val="center"/>
        <w:spacing w:before="107" w:line="184" w:lineRule="auto"/>
        <w:rPr>
          <w:rFonts w:hint="eastAsia" w:ascii="微软雅黑" w:hAnsi="微软雅黑" w:eastAsia="微软雅黑" w:cs="微软雅黑"/>
          <w:sz w:val="24"/>
        </w:rPr>
      </w:pPr>
      <w:r>
        <w:rPr>
          <w:rFonts w:ascii="微软雅黑" w:hAnsi="微软雅黑" w:eastAsia="微软雅黑" w:cs="微软雅黑"/>
          <w:spacing w:val="17"/>
          <w:sz w:val="24"/>
        </w:rPr>
        <w:t xml:space="preserve">政府采购履约验收书参考样本(货物类）</w:t>
      </w:r>
      <w:r/>
    </w:p>
    <w:tbl>
      <w:tblPr>
        <w:tblStyle w:val="856"/>
        <w:tblW w:w="9178"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63"/>
        <w:gridCol w:w="938"/>
        <w:gridCol w:w="1132"/>
        <w:gridCol w:w="1125"/>
        <w:gridCol w:w="885"/>
        <w:gridCol w:w="900"/>
        <w:gridCol w:w="960"/>
        <w:gridCol w:w="1005"/>
        <w:gridCol w:w="1170"/>
      </w:tblGrid>
      <w:tr>
        <w:trPr>
          <w:trHeight w:val="562"/>
        </w:trPr>
        <w:tc>
          <w:tcPr>
            <w:tcW w:w="1063"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采购人</w:t>
            </w:r>
            <w:r/>
          </w:p>
        </w:tc>
        <w:tc>
          <w:tcPr>
            <w:gridSpan w:val="2"/>
            <w:tcW w:w="2070"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r>
            <w:r/>
          </w:p>
        </w:tc>
        <w:tc>
          <w:tcPr>
            <w:tcW w:w="112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项目名称</w:t>
            </w:r>
            <w:r/>
          </w:p>
        </w:tc>
        <w:tc>
          <w:tcPr>
            <w:gridSpan w:val="2"/>
            <w:tcW w:w="178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r>
            <w:r/>
          </w:p>
        </w:tc>
        <w:tc>
          <w:tcPr>
            <w:tcW w:w="960"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合同名称</w:t>
            </w:r>
            <w:r/>
          </w:p>
        </w:tc>
        <w:tc>
          <w:tcPr>
            <w:gridSpan w:val="2"/>
            <w:tcW w:w="217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r>
            <w:r/>
          </w:p>
        </w:tc>
      </w:tr>
      <w:tr>
        <w:trPr>
          <w:trHeight w:val="565"/>
        </w:trPr>
        <w:tc>
          <w:tcPr>
            <w:tcW w:w="1063"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供应商</w:t>
            </w:r>
            <w:r/>
          </w:p>
        </w:tc>
        <w:tc>
          <w:tcPr>
            <w:gridSpan w:val="2"/>
            <w:tcW w:w="2070"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r>
            <w:r/>
          </w:p>
        </w:tc>
        <w:tc>
          <w:tcPr>
            <w:tcW w:w="112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项目及合同编号</w:t>
            </w:r>
            <w:r/>
          </w:p>
        </w:tc>
        <w:tc>
          <w:tcPr>
            <w:gridSpan w:val="2"/>
            <w:tcW w:w="178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r>
            <w:r/>
          </w:p>
        </w:tc>
        <w:tc>
          <w:tcPr>
            <w:tcW w:w="960"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合同金额</w:t>
            </w:r>
            <w:r/>
          </w:p>
        </w:tc>
        <w:tc>
          <w:tcPr>
            <w:gridSpan w:val="2"/>
            <w:tcW w:w="217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r>
            <w:r/>
          </w:p>
        </w:tc>
      </w:tr>
      <w:tr>
        <w:trPr>
          <w:trHeight w:val="440"/>
        </w:trPr>
        <w:tc>
          <w:tcPr>
            <w:tcW w:w="1063"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分期（段）验收</w:t>
            </w:r>
            <w:r/>
          </w:p>
        </w:tc>
        <w:tc>
          <w:tcPr>
            <w:gridSpan w:val="2"/>
            <w:tcW w:w="2070"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是□   否□</w:t>
            </w:r>
            <w:r/>
          </w:p>
        </w:tc>
        <w:tc>
          <w:tcPr>
            <w:tcW w:w="112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分期（段）情况</w:t>
            </w:r>
            <w:r/>
          </w:p>
        </w:tc>
        <w:tc>
          <w:tcPr>
            <w:gridSpan w:val="5"/>
            <w:tcW w:w="4920"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共分   期（段），此为第   期（段）验收</w:t>
            </w:r>
            <w:r/>
          </w:p>
        </w:tc>
      </w:tr>
      <w:tr>
        <w:trPr>
          <w:trHeight w:val="926"/>
        </w:trPr>
        <w:tc>
          <w:tcPr>
            <w:tcW w:w="1063" w:type="dxa"/>
            <w:textDirection w:val="lrTb"/>
            <w:noWrap w:val="false"/>
          </w:tcPr>
          <w:p>
            <w:pPr>
              <w:ind w:left="0" w:right="0"/>
              <w:keepLines w:val="0"/>
              <w:keepNext w:val="0"/>
              <w:spacing w:before="0" w:beforeAutospacing="0" w:after="160" w:afterAutospacing="0" w:line="264" w:lineRule="auto"/>
              <w:rPr>
                <w:rFonts w:hint="default" w:ascii="Arial" w:hAnsi="Arial" w:eastAsia="Arial" w:cs="Arial"/>
                <w:sz w:val="18"/>
                <w:szCs w:val="18"/>
              </w:rPr>
              <w:suppressLineNumbers w:val="0"/>
            </w:pPr>
            <w:r>
              <w:rPr>
                <w:rFonts w:hint="default" w:ascii="Arial" w:hAnsi="Arial" w:eastAsia="Arial" w:cs="Arial"/>
                <w:sz w:val="18"/>
                <w:szCs w:val="18"/>
              </w:rPr>
            </w:r>
            <w:r/>
          </w:p>
          <w:p>
            <w:pPr>
              <w:ind w:left="0" w:right="0"/>
              <w:keepLines w:val="0"/>
              <w:keepNext w:val="0"/>
              <w:spacing w:before="59" w:beforeAutospacing="0" w:after="0" w:afterAutospacing="0" w:line="208" w:lineRule="auto"/>
              <w:rPr>
                <w:rFonts w:hint="eastAsia" w:ascii="宋体" w:hAnsi="宋体" w:cs="宋体"/>
                <w:sz w:val="18"/>
                <w:szCs w:val="18"/>
              </w:rPr>
              <w:suppressLineNumbers w:val="0"/>
            </w:pPr>
            <w:r>
              <w:rPr>
                <w:rFonts w:hint="default" w:ascii="宋体" w:hAnsi="宋体" w:cs="宋体"/>
                <w:spacing w:val="-2"/>
                <w:sz w:val="18"/>
                <w:szCs w:val="18"/>
              </w:rPr>
              <w:t xml:space="preserve">验收时间</w:t>
            </w:r>
            <w:r/>
          </w:p>
        </w:tc>
        <w:tc>
          <w:tcPr>
            <w:gridSpan w:val="2"/>
            <w:tcW w:w="2070"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r>
            <w:r/>
          </w:p>
        </w:tc>
        <w:tc>
          <w:tcPr>
            <w:tcW w:w="112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验收地点</w:t>
            </w:r>
            <w:r/>
          </w:p>
        </w:tc>
        <w:tc>
          <w:tcPr>
            <w:gridSpan w:val="2"/>
            <w:tcW w:w="178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r>
            <w:r/>
          </w:p>
        </w:tc>
        <w:tc>
          <w:tcPr>
            <w:tcW w:w="960"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验收组织形式</w:t>
            </w:r>
            <w:r/>
          </w:p>
        </w:tc>
        <w:tc>
          <w:tcPr>
            <w:gridSpan w:val="2"/>
            <w:tcW w:w="217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□自行简易验收</w:t>
            </w:r>
            <w:r/>
          </w:p>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□验收小组验收</w:t>
            </w:r>
            <w:r/>
          </w:p>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□采购代理机构验收</w:t>
            </w:r>
            <w:r/>
          </w:p>
        </w:tc>
      </w:tr>
      <w:tr>
        <w:trPr>
          <w:trHeight w:val="806"/>
        </w:trPr>
        <w:tc>
          <w:tcPr>
            <w:tcBorders>
              <w:bottom w:val="none" w:color="000000" w:sz="4" w:space="0"/>
            </w:tcBorders>
            <w:tcW w:w="1063" w:type="dxa"/>
            <w:vMerge w:val="restart"/>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r>
            <w:r/>
          </w:p>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验收内容</w:t>
            </w:r>
            <w:r/>
          </w:p>
        </w:tc>
        <w:tc>
          <w:tcPr>
            <w:tcW w:w="938"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货物清单</w:t>
            </w:r>
            <w:r/>
          </w:p>
        </w:tc>
        <w:tc>
          <w:tcPr>
            <w:tcW w:w="1132"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品牌、型号、规格数量及外观质量</w:t>
            </w:r>
            <w:r/>
          </w:p>
        </w:tc>
        <w:tc>
          <w:tcPr>
            <w:tcW w:w="112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技术、性能 指标</w:t>
            </w:r>
            <w:r/>
          </w:p>
        </w:tc>
        <w:tc>
          <w:tcPr>
            <w:tcW w:w="88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运行状况及安装调试</w:t>
            </w:r>
            <w:r/>
          </w:p>
        </w:tc>
        <w:tc>
          <w:tcPr>
            <w:tcW w:w="900"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质量证明文件</w:t>
            </w:r>
            <w:r/>
          </w:p>
        </w:tc>
        <w:tc>
          <w:tcPr>
            <w:tcW w:w="960"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售后服务承诺</w:t>
            </w:r>
            <w:r/>
          </w:p>
        </w:tc>
        <w:tc>
          <w:tcPr>
            <w:tcW w:w="100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安全标准</w:t>
            </w:r>
            <w:r/>
          </w:p>
        </w:tc>
        <w:tc>
          <w:tcPr>
            <w:tcW w:w="1170"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合同履约时间、地点、方式</w:t>
            </w:r>
            <w:r/>
          </w:p>
        </w:tc>
      </w:tr>
      <w:tr>
        <w:trPr>
          <w:trHeight w:val="488"/>
        </w:trPr>
        <w:tc>
          <w:tcPr>
            <w:tcBorders>
              <w:top w:val="none" w:color="000000" w:sz="4" w:space="0"/>
            </w:tcBorders>
            <w:tcW w:w="1063" w:type="dxa"/>
            <w:vMerge w:val="continue"/>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r>
            <w:r/>
          </w:p>
        </w:tc>
        <w:tc>
          <w:tcPr>
            <w:tcW w:w="938"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合格□ </w:t>
            </w:r>
            <w:r/>
          </w:p>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不合格□</w:t>
            </w:r>
            <w:r/>
          </w:p>
        </w:tc>
        <w:tc>
          <w:tcPr>
            <w:tcW w:w="1132"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合  格□ </w:t>
            </w:r>
            <w:r/>
          </w:p>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不合格□</w:t>
            </w:r>
            <w:r/>
          </w:p>
        </w:tc>
        <w:tc>
          <w:tcPr>
            <w:tcW w:w="112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合  格□ </w:t>
            </w:r>
            <w:r/>
          </w:p>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不合格□</w:t>
            </w:r>
            <w:r/>
          </w:p>
        </w:tc>
        <w:tc>
          <w:tcPr>
            <w:tcW w:w="88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合  格□ </w:t>
            </w:r>
            <w:r/>
          </w:p>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不合格□</w:t>
            </w:r>
            <w:r/>
          </w:p>
        </w:tc>
        <w:tc>
          <w:tcPr>
            <w:tcW w:w="900"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合  格□ </w:t>
            </w:r>
            <w:r/>
          </w:p>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不合格□</w:t>
            </w:r>
            <w:r/>
          </w:p>
        </w:tc>
        <w:tc>
          <w:tcPr>
            <w:tcW w:w="960"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合  格□ 不合格□</w:t>
            </w:r>
            <w:r/>
          </w:p>
        </w:tc>
        <w:tc>
          <w:tcPr>
            <w:tcW w:w="1005"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合  格□ </w:t>
            </w:r>
            <w:r/>
          </w:p>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不合格□</w:t>
            </w:r>
            <w:r/>
          </w:p>
        </w:tc>
        <w:tc>
          <w:tcPr>
            <w:tcW w:w="1170" w:type="dxa"/>
            <w:textDirection w:val="lrTb"/>
            <w:noWrap w:val="false"/>
          </w:tcPr>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合  格□ </w:t>
            </w:r>
            <w:r/>
          </w:p>
          <w:p>
            <w:pPr>
              <w:ind w:left="0" w:right="0"/>
              <w:keepLines w:val="0"/>
              <w:keepNext w:val="0"/>
              <w:spacing w:before="0" w:beforeAutospacing="0" w:after="160" w:afterAutospacing="0" w:line="278" w:lineRule="auto"/>
              <w:rPr>
                <w:rFonts w:hint="eastAsia" w:ascii="宋体" w:hAnsi="宋体"/>
                <w:bCs/>
                <w:sz w:val="18"/>
                <w:szCs w:val="18"/>
              </w:rPr>
              <w:suppressLineNumbers w:val="0"/>
            </w:pPr>
            <w:r>
              <w:rPr>
                <w:rFonts w:hint="eastAsia" w:ascii="宋体" w:hAnsi="宋体"/>
                <w:bCs/>
                <w:sz w:val="18"/>
                <w:szCs w:val="18"/>
              </w:rPr>
              <w:t xml:space="preserve">不合格□</w:t>
            </w:r>
            <w:r/>
          </w:p>
        </w:tc>
      </w:tr>
      <w:tr>
        <w:trPr>
          <w:trHeight w:val="733"/>
        </w:trPr>
        <w:tc>
          <w:tcPr>
            <w:tcW w:w="1063" w:type="dxa"/>
            <w:textDirection w:val="lrTb"/>
            <w:noWrap w:val="false"/>
          </w:tcPr>
          <w:p>
            <w:pPr>
              <w:ind w:left="0" w:right="0"/>
              <w:keepLines w:val="0"/>
              <w:keepNext w:val="0"/>
              <w:spacing w:before="0" w:beforeAutospacing="0" w:after="160" w:afterAutospacing="0" w:line="264" w:lineRule="auto"/>
              <w:rPr>
                <w:rFonts w:hint="default" w:ascii="Arial" w:hAnsi="Arial" w:eastAsia="Arial" w:cs="Arial"/>
                <w:sz w:val="18"/>
                <w:szCs w:val="18"/>
              </w:rPr>
              <w:suppressLineNumbers w:val="0"/>
            </w:pPr>
            <w:r>
              <w:rPr>
                <w:rFonts w:hint="default" w:ascii="Arial" w:hAnsi="Arial" w:eastAsia="Arial" w:cs="Arial"/>
                <w:sz w:val="18"/>
                <w:szCs w:val="18"/>
              </w:rPr>
              <w:t xml:space="preserve">专业检测机构情况说明</w:t>
            </w:r>
            <w:r/>
          </w:p>
        </w:tc>
        <w:tc>
          <w:tcPr>
            <w:gridSpan w:val="8"/>
            <w:tcW w:w="8115" w:type="dxa"/>
            <w:textDirection w:val="lrTb"/>
            <w:noWrap w:val="false"/>
          </w:tcPr>
          <w:p>
            <w:pPr>
              <w:ind w:left="0" w:right="0"/>
              <w:keepLines w:val="0"/>
              <w:keepNext w:val="0"/>
              <w:spacing w:before="0" w:beforeAutospacing="0" w:after="160" w:afterAutospacing="0" w:line="264" w:lineRule="auto"/>
              <w:rPr>
                <w:rFonts w:hint="default" w:ascii="Arial" w:hAnsi="Arial" w:eastAsia="Arial" w:cs="Arial"/>
                <w:sz w:val="18"/>
                <w:szCs w:val="18"/>
              </w:rPr>
              <w:suppressLineNumbers w:val="0"/>
            </w:pPr>
            <w:r>
              <w:rPr>
                <w:rFonts w:hint="default" w:ascii="Arial" w:hAnsi="Arial" w:eastAsia="Arial" w:cs="Arial"/>
                <w:sz w:val="18"/>
                <w:szCs w:val="18"/>
              </w:rPr>
            </w:r>
            <w:r/>
          </w:p>
        </w:tc>
      </w:tr>
      <w:tr>
        <w:trPr>
          <w:trHeight w:val="688"/>
        </w:trPr>
        <w:tc>
          <w:tcPr>
            <w:tcW w:w="1063" w:type="dxa"/>
            <w:textDirection w:val="lrTb"/>
            <w:noWrap w:val="false"/>
          </w:tcPr>
          <w:p>
            <w:pPr>
              <w:ind w:left="0" w:right="0"/>
              <w:keepLines w:val="0"/>
              <w:keepNext w:val="0"/>
              <w:spacing w:before="0" w:beforeAutospacing="0" w:after="160" w:afterAutospacing="0" w:line="264" w:lineRule="auto"/>
              <w:rPr>
                <w:rFonts w:hint="default" w:ascii="Arial" w:hAnsi="Arial" w:eastAsia="Arial" w:cs="Arial"/>
                <w:sz w:val="18"/>
                <w:szCs w:val="18"/>
              </w:rPr>
              <w:suppressLineNumbers w:val="0"/>
            </w:pPr>
            <w:r>
              <w:rPr>
                <w:rFonts w:hint="default" w:ascii="Arial" w:hAnsi="Arial" w:eastAsia="Arial" w:cs="Arial"/>
                <w:sz w:val="18"/>
                <w:szCs w:val="18"/>
              </w:rPr>
              <w:t xml:space="preserve">存在问题和改进意见</w:t>
            </w:r>
            <w:r/>
          </w:p>
        </w:tc>
        <w:tc>
          <w:tcPr>
            <w:gridSpan w:val="8"/>
            <w:tcW w:w="8115" w:type="dxa"/>
            <w:textDirection w:val="lrTb"/>
            <w:noWrap w:val="false"/>
          </w:tcPr>
          <w:p>
            <w:pPr>
              <w:ind w:left="0" w:right="0"/>
              <w:keepLines w:val="0"/>
              <w:keepNext w:val="0"/>
              <w:spacing w:before="0" w:beforeAutospacing="0" w:after="160" w:afterAutospacing="0" w:line="264" w:lineRule="auto"/>
              <w:rPr>
                <w:rFonts w:hint="default" w:ascii="Arial" w:hAnsi="Arial" w:eastAsia="Arial" w:cs="Arial"/>
                <w:sz w:val="18"/>
                <w:szCs w:val="18"/>
              </w:rPr>
              <w:suppressLineNumbers w:val="0"/>
            </w:pPr>
            <w:r>
              <w:rPr>
                <w:rFonts w:hint="default" w:ascii="Arial" w:hAnsi="Arial" w:eastAsia="Arial" w:cs="Arial"/>
                <w:sz w:val="18"/>
                <w:szCs w:val="18"/>
              </w:rPr>
            </w:r>
            <w:r/>
          </w:p>
        </w:tc>
      </w:tr>
      <w:tr>
        <w:trPr>
          <w:trHeight w:val="599"/>
        </w:trPr>
        <w:tc>
          <w:tcPr>
            <w:tcW w:w="1063" w:type="dxa"/>
            <w:textDirection w:val="lrTb"/>
            <w:noWrap w:val="false"/>
          </w:tcPr>
          <w:p>
            <w:pPr>
              <w:ind w:left="0" w:right="0"/>
              <w:keepLines w:val="0"/>
              <w:keepNext w:val="0"/>
              <w:spacing w:before="0" w:beforeAutospacing="0" w:after="160" w:afterAutospacing="0" w:line="264" w:lineRule="auto"/>
              <w:rPr>
                <w:rFonts w:hint="default" w:ascii="Arial" w:hAnsi="Arial" w:eastAsia="Arial" w:cs="Arial"/>
                <w:sz w:val="18"/>
                <w:szCs w:val="18"/>
              </w:rPr>
              <w:suppressLineNumbers w:val="0"/>
            </w:pPr>
            <w:r>
              <w:rPr>
                <w:rFonts w:hint="default" w:ascii="Arial" w:hAnsi="Arial" w:eastAsia="Arial" w:cs="Arial"/>
                <w:sz w:val="18"/>
                <w:szCs w:val="18"/>
              </w:rPr>
            </w:r>
            <w:r/>
          </w:p>
          <w:p>
            <w:pPr>
              <w:ind w:left="0" w:right="0"/>
              <w:keepLines w:val="0"/>
              <w:keepNext w:val="0"/>
              <w:spacing w:before="0" w:beforeAutospacing="0" w:after="160" w:afterAutospacing="0" w:line="264" w:lineRule="auto"/>
              <w:rPr>
                <w:rFonts w:hint="default" w:ascii="Arial" w:hAnsi="Arial" w:eastAsia="Arial" w:cs="Arial"/>
                <w:sz w:val="18"/>
                <w:szCs w:val="18"/>
              </w:rPr>
              <w:suppressLineNumbers w:val="0"/>
            </w:pPr>
            <w:r>
              <w:rPr>
                <w:rFonts w:hint="default" w:ascii="Arial" w:hAnsi="Arial" w:eastAsia="Arial" w:cs="Arial"/>
                <w:sz w:val="18"/>
                <w:szCs w:val="18"/>
              </w:rPr>
              <w:t xml:space="preserve">最终结论</w:t>
            </w:r>
            <w:r/>
          </w:p>
        </w:tc>
        <w:tc>
          <w:tcPr>
            <w:gridSpan w:val="8"/>
            <w:tcW w:w="8115" w:type="dxa"/>
            <w:textDirection w:val="lrTb"/>
            <w:noWrap w:val="false"/>
          </w:tcPr>
          <w:p>
            <w:pPr>
              <w:ind w:left="0" w:right="0"/>
              <w:jc w:val="center"/>
              <w:keepLines w:val="0"/>
              <w:keepNext w:val="0"/>
              <w:spacing w:before="0" w:beforeAutospacing="0" w:after="160" w:afterAutospacing="0" w:line="264" w:lineRule="auto"/>
              <w:rPr>
                <w:rFonts w:hint="default" w:ascii="Arial" w:hAnsi="Arial" w:eastAsia="Arial" w:cs="Arial"/>
                <w:sz w:val="18"/>
                <w:szCs w:val="18"/>
              </w:rPr>
              <w:suppressLineNumbers w:val="0"/>
            </w:pPr>
            <w:r>
              <w:rPr>
                <w:rFonts w:hint="default" w:ascii="Arial" w:hAnsi="Arial" w:eastAsia="Arial" w:cs="Arial"/>
                <w:sz w:val="18"/>
                <w:szCs w:val="18"/>
              </w:rPr>
            </w:r>
            <w:r/>
          </w:p>
          <w:p>
            <w:pPr>
              <w:ind w:left="0" w:right="0"/>
              <w:jc w:val="center"/>
              <w:keepLines w:val="0"/>
              <w:keepNext w:val="0"/>
              <w:spacing w:before="0" w:beforeAutospacing="0" w:after="160" w:afterAutospacing="0" w:line="264" w:lineRule="auto"/>
              <w:rPr>
                <w:rFonts w:hint="default" w:ascii="Arial" w:hAnsi="Arial" w:eastAsia="Arial" w:cs="Arial"/>
                <w:sz w:val="18"/>
                <w:szCs w:val="18"/>
              </w:rPr>
              <w:suppressLineNumbers w:val="0"/>
            </w:pPr>
            <w:r>
              <w:rPr>
                <w:rFonts w:hint="default" w:ascii="Arial" w:hAnsi="Arial" w:eastAsia="Arial" w:cs="Arial"/>
                <w:sz w:val="18"/>
                <w:szCs w:val="18"/>
              </w:rPr>
              <w:t xml:space="preserve">合  格□                              不合格□</w:t>
            </w:r>
            <w:r/>
          </w:p>
        </w:tc>
      </w:tr>
      <w:tr>
        <w:trPr>
          <w:trHeight w:val="872"/>
        </w:trPr>
        <w:tc>
          <w:tcPr>
            <w:tcW w:w="1063" w:type="dxa"/>
            <w:textDirection w:val="lrTb"/>
            <w:noWrap w:val="false"/>
          </w:tcPr>
          <w:p>
            <w:pPr>
              <w:ind w:left="0" w:right="0"/>
              <w:keepLines w:val="0"/>
              <w:keepNext w:val="0"/>
              <w:spacing w:before="0" w:beforeAutospacing="0" w:after="160" w:afterAutospacing="0" w:line="264" w:lineRule="auto"/>
              <w:rPr>
                <w:rFonts w:hint="default" w:ascii="Arial" w:hAnsi="Arial" w:eastAsia="Arial" w:cs="Arial"/>
                <w:sz w:val="18"/>
                <w:szCs w:val="18"/>
              </w:rPr>
              <w:suppressLineNumbers w:val="0"/>
            </w:pPr>
            <w:r>
              <w:rPr>
                <w:rFonts w:hint="default" w:ascii="Arial" w:hAnsi="Arial" w:eastAsia="Arial" w:cs="Arial"/>
                <w:sz w:val="18"/>
                <w:szCs w:val="18"/>
              </w:rPr>
              <w:t xml:space="preserve">验收小组成员签字</w:t>
            </w:r>
            <w:r/>
          </w:p>
        </w:tc>
        <w:tc>
          <w:tcPr>
            <w:gridSpan w:val="8"/>
            <w:tcW w:w="8115" w:type="dxa"/>
            <w:textDirection w:val="lrTb"/>
            <w:noWrap w:val="false"/>
          </w:tcPr>
          <w:p>
            <w:pPr>
              <w:ind w:left="0" w:right="0"/>
              <w:keepLines w:val="0"/>
              <w:keepNext w:val="0"/>
              <w:spacing w:before="0" w:beforeAutospacing="0" w:after="160" w:afterAutospacing="0" w:line="264" w:lineRule="auto"/>
              <w:rPr>
                <w:rFonts w:hint="default" w:ascii="Arial" w:hAnsi="Arial" w:eastAsia="Arial" w:cs="Arial"/>
                <w:sz w:val="18"/>
                <w:szCs w:val="18"/>
              </w:rPr>
              <w:suppressLineNumbers w:val="0"/>
            </w:pPr>
            <w:r>
              <w:rPr>
                <w:rFonts w:hint="default" w:ascii="Arial" w:hAnsi="Arial" w:eastAsia="Arial" w:cs="Arial"/>
                <w:sz w:val="18"/>
                <w:szCs w:val="18"/>
              </w:rPr>
            </w:r>
            <w:r/>
          </w:p>
          <w:p>
            <w:pPr>
              <w:ind w:left="0" w:right="0"/>
              <w:keepLines w:val="0"/>
              <w:keepNext w:val="0"/>
              <w:spacing w:before="0" w:beforeAutospacing="0" w:after="160" w:afterAutospacing="0" w:line="264" w:lineRule="auto"/>
              <w:rPr>
                <w:rFonts w:hint="default" w:ascii="Arial" w:hAnsi="Arial" w:eastAsia="Arial" w:cs="Arial"/>
                <w:sz w:val="18"/>
                <w:szCs w:val="18"/>
              </w:rPr>
              <w:suppressLineNumbers w:val="0"/>
            </w:pPr>
            <w:r>
              <w:rPr>
                <w:rFonts w:hint="default" w:ascii="Arial" w:hAnsi="Arial" w:eastAsia="Arial" w:cs="Arial"/>
                <w:sz w:val="18"/>
                <w:szCs w:val="18"/>
              </w:rPr>
              <w:t xml:space="preserve">采购人意见</w:t>
            </w:r>
            <w:r/>
          </w:p>
        </w:tc>
      </w:tr>
      <w:tr>
        <w:trPr>
          <w:trHeight w:val="1186"/>
        </w:trPr>
        <w:tc>
          <w:tcPr>
            <w:tcW w:w="1063" w:type="dxa"/>
            <w:textDirection w:val="lrTb"/>
            <w:noWrap w:val="false"/>
          </w:tcPr>
          <w:p>
            <w:pPr>
              <w:ind w:left="0" w:right="0"/>
              <w:keepLines w:val="0"/>
              <w:keepNext w:val="0"/>
              <w:spacing w:before="59" w:beforeAutospacing="0" w:after="0" w:afterAutospacing="0" w:line="238" w:lineRule="exact"/>
              <w:rPr>
                <w:rFonts w:hint="eastAsia" w:ascii="宋体" w:hAnsi="宋体" w:cs="宋体"/>
                <w:sz w:val="18"/>
                <w:szCs w:val="18"/>
              </w:rPr>
              <w:suppressLineNumbers w:val="0"/>
            </w:pPr>
            <w:r>
              <w:rPr>
                <w:rFonts w:hint="default" w:ascii="宋体" w:hAnsi="宋体" w:cs="宋体"/>
                <w:spacing w:val="1"/>
                <w:position w:val="1"/>
                <w:sz w:val="18"/>
                <w:szCs w:val="18"/>
              </w:rPr>
              <w:t xml:space="preserve">经办人：         负责人</w:t>
            </w:r>
            <w:r>
              <w:rPr>
                <w:rFonts w:hint="default" w:ascii="宋体" w:hAnsi="宋体" w:cs="宋体"/>
                <w:spacing w:val="-18"/>
                <w:position w:val="1"/>
                <w:sz w:val="18"/>
                <w:szCs w:val="18"/>
              </w:rPr>
              <w:t xml:space="preserve">：</w:t>
            </w:r>
            <w:r>
              <w:rPr>
                <w:rFonts w:hint="default" w:ascii="宋体" w:hAnsi="宋体" w:cs="宋体"/>
                <w:position w:val="1"/>
                <w:sz w:val="18"/>
                <w:szCs w:val="18"/>
              </w:rPr>
              <w:t xml:space="preserve">           </w:t>
            </w:r>
            <w:r>
              <w:rPr>
                <w:rFonts w:hint="default" w:ascii="宋体" w:hAnsi="宋体" w:cs="宋体"/>
                <w:spacing w:val="-18"/>
                <w:position w:val="1"/>
                <w:sz w:val="18"/>
                <w:szCs w:val="18"/>
              </w:rPr>
              <w:t xml:space="preserve">（</w:t>
            </w:r>
            <w:r>
              <w:rPr>
                <w:rFonts w:hint="default" w:ascii="宋体" w:hAnsi="宋体" w:cs="宋体"/>
                <w:spacing w:val="1"/>
                <w:position w:val="1"/>
                <w:sz w:val="18"/>
                <w:szCs w:val="18"/>
              </w:rPr>
              <w:t xml:space="preserve">采购代理机构公章）</w:t>
            </w:r>
            <w:r/>
          </w:p>
        </w:tc>
        <w:tc>
          <w:tcPr>
            <w:gridSpan w:val="8"/>
            <w:tcW w:w="8115" w:type="dxa"/>
            <w:textDirection w:val="lrTb"/>
            <w:noWrap w:val="false"/>
          </w:tcPr>
          <w:p>
            <w:pPr>
              <w:ind w:left="0" w:right="0"/>
              <w:keepLines w:val="0"/>
              <w:keepNext w:val="0"/>
              <w:spacing w:before="0" w:beforeAutospacing="0" w:after="160" w:afterAutospacing="0" w:line="263" w:lineRule="auto"/>
              <w:rPr>
                <w:rFonts w:hint="default" w:ascii="Arial" w:hAnsi="Arial" w:eastAsia="Arial" w:cs="Arial"/>
                <w:szCs w:val="21"/>
              </w:rPr>
              <w:suppressLineNumbers w:val="0"/>
            </w:pPr>
            <w:r>
              <w:rPr>
                <w:rFonts w:hint="default" w:ascii="Arial" w:hAnsi="Arial" w:eastAsia="Arial" w:cs="Arial"/>
                <w:szCs w:val="21"/>
              </w:rPr>
            </w:r>
            <w:r/>
          </w:p>
          <w:p>
            <w:pPr>
              <w:ind w:left="0" w:right="0"/>
              <w:keepLines w:val="0"/>
              <w:keepNext w:val="0"/>
              <w:spacing w:before="0" w:beforeAutospacing="0" w:after="160" w:afterAutospacing="0" w:line="264" w:lineRule="auto"/>
              <w:rPr>
                <w:rFonts w:hint="default" w:ascii="Arial" w:hAnsi="Arial" w:eastAsia="Arial" w:cs="Arial"/>
                <w:szCs w:val="21"/>
              </w:rPr>
              <w:suppressLineNumbers w:val="0"/>
            </w:pPr>
            <w:r>
              <w:rPr>
                <w:rFonts w:hint="default" w:ascii="Arial" w:hAnsi="Arial" w:eastAsia="Arial" w:cs="Arial"/>
                <w:szCs w:val="21"/>
              </w:rPr>
            </w:r>
            <w:r/>
          </w:p>
          <w:p>
            <w:pPr>
              <w:ind w:left="0" w:right="0"/>
              <w:keepLines w:val="0"/>
              <w:keepNext w:val="0"/>
              <w:spacing w:before="59" w:beforeAutospacing="0" w:after="0" w:afterAutospacing="0" w:line="238" w:lineRule="exact"/>
              <w:rPr>
                <w:rFonts w:hint="eastAsia" w:ascii="宋体" w:hAnsi="宋体" w:cs="宋体"/>
                <w:sz w:val="18"/>
                <w:szCs w:val="18"/>
              </w:rPr>
              <w:suppressLineNumbers w:val="0"/>
            </w:pPr>
            <w:r>
              <w:rPr>
                <w:rFonts w:hint="default" w:ascii="宋体" w:hAnsi="宋体" w:cs="宋体"/>
                <w:spacing w:val="1"/>
                <w:position w:val="1"/>
                <w:sz w:val="18"/>
                <w:szCs w:val="18"/>
              </w:rPr>
              <w:t xml:space="preserve">经办人：           负责人</w:t>
            </w:r>
            <w:r>
              <w:rPr>
                <w:rFonts w:hint="default" w:ascii="宋体" w:hAnsi="宋体" w:cs="宋体"/>
                <w:spacing w:val="-17"/>
                <w:position w:val="1"/>
                <w:sz w:val="18"/>
                <w:szCs w:val="18"/>
              </w:rPr>
              <w:t xml:space="preserve">：</w:t>
            </w:r>
            <w:r>
              <w:rPr>
                <w:rFonts w:hint="default" w:ascii="宋体" w:hAnsi="宋体" w:cs="宋体"/>
                <w:spacing w:val="8"/>
                <w:position w:val="1"/>
                <w:sz w:val="18"/>
                <w:szCs w:val="18"/>
              </w:rPr>
              <w:t xml:space="preserve">           </w:t>
            </w:r>
            <w:r>
              <w:rPr>
                <w:rFonts w:hint="default" w:ascii="宋体" w:hAnsi="宋体" w:cs="宋体"/>
                <w:spacing w:val="-17"/>
                <w:position w:val="1"/>
                <w:sz w:val="18"/>
                <w:szCs w:val="18"/>
              </w:rPr>
              <w:t xml:space="preserve">（</w:t>
            </w:r>
            <w:r>
              <w:rPr>
                <w:rFonts w:hint="default" w:ascii="宋体" w:hAnsi="宋体" w:cs="宋体"/>
                <w:spacing w:val="1"/>
                <w:position w:val="1"/>
                <w:sz w:val="18"/>
                <w:szCs w:val="18"/>
              </w:rPr>
              <w:t xml:space="preserve">采购人公章）</w:t>
            </w:r>
            <w:r/>
          </w:p>
        </w:tc>
      </w:tr>
      <w:tr>
        <w:trPr>
          <w:trHeight w:val="1203"/>
        </w:trPr>
        <w:tc>
          <w:tcPr>
            <w:gridSpan w:val="9"/>
            <w:tcW w:w="9178" w:type="dxa"/>
            <w:textDirection w:val="lrTb"/>
            <w:noWrap w:val="false"/>
          </w:tcPr>
          <w:p>
            <w:pPr>
              <w:ind w:left="0" w:right="0"/>
              <w:keepLines w:val="0"/>
              <w:keepNext w:val="0"/>
              <w:spacing w:before="299" w:beforeAutospacing="0" w:after="0" w:afterAutospacing="0" w:line="207" w:lineRule="auto"/>
              <w:rPr>
                <w:rFonts w:hint="eastAsia" w:ascii="宋体" w:hAnsi="宋体" w:cs="宋体"/>
                <w:sz w:val="18"/>
                <w:szCs w:val="18"/>
              </w:rPr>
              <w:suppressLineNumbers w:val="0"/>
            </w:pPr>
            <w:r>
              <w:rPr>
                <w:rFonts w:hint="default" w:ascii="宋体" w:hAnsi="宋体" w:cs="宋体"/>
                <w:spacing w:val="-2"/>
                <w:sz w:val="18"/>
                <w:szCs w:val="18"/>
              </w:rPr>
              <w:t xml:space="preserve">供应商确认：</w:t>
            </w:r>
            <w:r/>
          </w:p>
          <w:p>
            <w:pPr>
              <w:ind w:left="0" w:right="0"/>
              <w:keepLines w:val="0"/>
              <w:keepNext w:val="0"/>
              <w:spacing w:before="59" w:beforeAutospacing="0" w:after="0" w:afterAutospacing="0" w:line="239" w:lineRule="exact"/>
              <w:rPr>
                <w:rFonts w:hint="eastAsia" w:ascii="宋体" w:hAnsi="宋体" w:cs="宋体"/>
                <w:sz w:val="18"/>
                <w:szCs w:val="18"/>
              </w:rPr>
              <w:suppressLineNumbers w:val="0"/>
            </w:pPr>
            <w:r>
              <w:rPr>
                <w:rFonts w:hint="default" w:ascii="宋体" w:hAnsi="宋体" w:cs="宋体"/>
                <w:spacing w:val="-1"/>
                <w:position w:val="1"/>
                <w:sz w:val="18"/>
                <w:szCs w:val="18"/>
              </w:rPr>
              <w:t xml:space="preserve">（单位公章或授权代表签字）</w:t>
            </w:r>
            <w:r/>
          </w:p>
        </w:tc>
      </w:tr>
    </w:tbl>
    <w:p>
      <w:pPr>
        <w:ind w:left="168"/>
        <w:spacing w:before="297" w:line="211" w:lineRule="auto"/>
        <w:rPr>
          <w:rFonts w:hint="eastAsia" w:ascii="宋体" w:hAnsi="宋体" w:cs="宋体"/>
          <w:sz w:val="18"/>
          <w:szCs w:val="18"/>
        </w:rPr>
      </w:pPr>
      <w:r>
        <w:rPr>
          <w:rFonts w:ascii="宋体" w:hAnsi="宋体" w:cs="宋体"/>
          <w:sz w:val="18"/>
          <w:szCs w:val="18"/>
        </w:rPr>
        <w:t xml:space="preserve">说明: 1.该表为货物类项目履约验收的参考样表，采购人或采购代理机构可以</w:t>
      </w:r>
      <w:r>
        <w:rPr>
          <w:rFonts w:ascii="宋体" w:hAnsi="宋体" w:cs="宋体"/>
          <w:spacing w:val="-1"/>
          <w:sz w:val="18"/>
          <w:szCs w:val="18"/>
        </w:rPr>
        <w:t xml:space="preserve">根据工作实际进行调整。</w:t>
      </w:r>
      <w:r/>
    </w:p>
    <w:p>
      <w:pPr>
        <w:ind w:left="708"/>
        <w:spacing w:before="58" w:line="211" w:lineRule="auto"/>
        <w:rPr>
          <w:rFonts w:hint="eastAsia" w:ascii="宋体" w:hAnsi="宋体" w:cs="宋体"/>
          <w:sz w:val="18"/>
          <w:szCs w:val="18"/>
        </w:rPr>
      </w:pPr>
      <w:r>
        <w:rPr>
          <w:rFonts w:ascii="宋体" w:hAnsi="宋体" w:cs="宋体"/>
          <w:sz w:val="18"/>
          <w:szCs w:val="18"/>
        </w:rPr>
        <w:t xml:space="preserve">2.未委托采购代理机构开展履约验收工作的，无需填写“</w:t>
      </w:r>
      <w:r>
        <w:rPr>
          <w:rFonts w:ascii="宋体" w:hAnsi="宋体" w:cs="宋体"/>
          <w:spacing w:val="-1"/>
          <w:sz w:val="18"/>
          <w:szCs w:val="18"/>
        </w:rPr>
        <w:t xml:space="preserve">采购代理机构意见</w:t>
      </w:r>
      <w:r>
        <w:rPr>
          <w:rFonts w:ascii="宋体" w:hAnsi="宋体" w:cs="宋体"/>
          <w:spacing w:val="-66"/>
          <w:sz w:val="18"/>
          <w:szCs w:val="18"/>
        </w:rPr>
        <w:t xml:space="preserve"> </w:t>
      </w:r>
      <w:r>
        <w:rPr>
          <w:rFonts w:ascii="宋体" w:hAnsi="宋体" w:cs="宋体"/>
          <w:spacing w:val="-1"/>
          <w:sz w:val="18"/>
          <w:szCs w:val="18"/>
        </w:rPr>
        <w:t xml:space="preserve">”。</w:t>
      </w:r>
      <w:r/>
    </w:p>
    <w:p>
      <w:pPr>
        <w:spacing w:after="160" w:line="400" w:lineRule="exact"/>
        <w:rPr>
          <w:rFonts w:hint="eastAsia" w:ascii="宋体" w:hAnsi="宋体" w:cs="宋体"/>
          <w:b/>
          <w:bCs/>
          <w:sz w:val="28"/>
          <w:szCs w:val="28"/>
        </w:rPr>
      </w:pPr>
      <w:r>
        <w:rPr>
          <w:rFonts w:hint="eastAsia" w:ascii="宋体" w:hAnsi="宋体" w:cs="宋体"/>
          <w:b/>
          <w:bCs/>
          <w:sz w:val="28"/>
          <w:szCs w:val="28"/>
        </w:rPr>
      </w:r>
      <w:r/>
    </w:p>
    <w:p>
      <w:pPr>
        <w:pStyle w:val="883"/>
        <w:jc w:val="center"/>
        <w:rPr>
          <w:rFonts w:hint="eastAsia" w:ascii="宋体" w:hAnsi="宋体" w:eastAsia="宋体" w:cs="宋体"/>
          <w:b/>
          <w:bCs/>
          <w:spacing w:val="-20"/>
          <w:sz w:val="48"/>
          <w:szCs w:val="48"/>
        </w:rPr>
      </w:pPr>
      <w:r>
        <w:rPr>
          <w:rFonts w:hint="eastAsia" w:ascii="宋体" w:hAnsi="宋体" w:eastAsia="宋体" w:cs="宋体"/>
          <w:sz w:val="24"/>
        </w:rPr>
        <w:t xml:space="preserve"> </w:t>
      </w:r>
      <w:bookmarkStart w:id="16" w:name="_Toc3995"/>
      <w:r/>
      <w:r/>
    </w:p>
    <w:p>
      <w:pPr>
        <w:pStyle w:val="883"/>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83"/>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83"/>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bookmarkEnd w:id="16"/>
      <w:r/>
      <w:r/>
    </w:p>
    <w:p>
      <w:pPr>
        <w:jc w:val="cente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spacing w:line="43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（全文完）</w:t>
      </w:r>
      <w:r/>
    </w:p>
    <w:p>
      <w:pPr>
        <w:spacing w:line="500" w:lineRule="exact"/>
        <w:rPr>
          <w:rFonts w:hint="eastAsia" w:ascii="宋体" w:hAnsi="宋体" w:cs="宋体"/>
          <w:sz w:val="24"/>
        </w:rPr>
      </w:pPr>
      <w:r>
        <w:rPr>
          <w:rFonts w:hint="eastAsia" w:ascii="宋体" w:hAnsi="宋体" w:cs="宋体"/>
          <w:sz w:val="24"/>
        </w:rPr>
      </w:r>
      <w:r/>
    </w:p>
    <w:p>
      <w:pP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华文中宋">
    <w:panose1 w:val="02010600040101010101"/>
  </w:font>
  <w:font w:name="仿宋_GB2312">
    <w:panose1 w:val="02010609060101010101"/>
  </w:font>
  <w:font w:name="黑体">
    <w:panose1 w:val="02010609060101010101"/>
  </w:font>
  <w:font w:name="MS Gothic">
    <w:panose1 w:val="020B060907020508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微软雅黑">
    <w:panose1 w:val="020B0503020204020204"/>
  </w:font>
  <w:font w:name="Tahoma">
    <w:panose1 w:val="020B060403050404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60" w:line="278" w:lineRule="auto"/>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9"/>
  </w:num>
  <w:num w:numId="3">
    <w:abstractNumId w:val="1"/>
  </w:num>
  <w:num w:numId="4">
    <w:abstractNumId w:val="7"/>
  </w:num>
  <w:num w:numId="5">
    <w:abstractNumId w:val="17"/>
  </w:num>
  <w:num w:numId="6">
    <w:abstractNumId w:val="0"/>
  </w:num>
  <w:num w:numId="7">
    <w:abstractNumId w:val="2"/>
  </w:num>
  <w:num w:numId="8">
    <w:abstractNumId w:val="13"/>
  </w:num>
  <w:num w:numId="9">
    <w:abstractNumId w:val="6"/>
  </w:num>
  <w:num w:numId="10">
    <w:abstractNumId w:val="4"/>
  </w:num>
  <w:num w:numId="11">
    <w:abstractNumId w:val="16"/>
  </w:num>
  <w:num w:numId="12">
    <w:abstractNumId w:val="11"/>
  </w:num>
  <w:num w:numId="13">
    <w:abstractNumId w:val="12"/>
  </w:num>
  <w:num w:numId="14">
    <w:abstractNumId w:val="14"/>
  </w:num>
  <w:num w:numId="15">
    <w:abstractNumId w:val="10"/>
  </w:num>
  <w:num w:numId="16">
    <w:abstractNumId w:val="8"/>
  </w:num>
  <w:num w:numId="17">
    <w:abstractNumId w:val="15"/>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55"/>
    <w:link w:val="853"/>
    <w:uiPriority w:val="9"/>
    <w:rPr>
      <w:rFonts w:ascii="Arial" w:hAnsi="Arial" w:eastAsia="Arial" w:cs="Arial"/>
      <w:sz w:val="40"/>
      <w:szCs w:val="40"/>
    </w:rPr>
  </w:style>
  <w:style w:type="character" w:styleId="681">
    <w:name w:val="Heading 2 Char"/>
    <w:basedOn w:val="855"/>
    <w:link w:val="854"/>
    <w:uiPriority w:val="9"/>
    <w:rPr>
      <w:rFonts w:ascii="Arial" w:hAnsi="Arial" w:eastAsia="Arial" w:cs="Arial"/>
      <w:sz w:val="34"/>
    </w:rPr>
  </w:style>
  <w:style w:type="paragraph" w:styleId="682">
    <w:name w:val="Heading 3"/>
    <w:basedOn w:val="852"/>
    <w:next w:val="852"/>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basedOn w:val="855"/>
    <w:link w:val="682"/>
    <w:uiPriority w:val="9"/>
    <w:rPr>
      <w:rFonts w:ascii="Arial" w:hAnsi="Arial" w:eastAsia="Arial" w:cs="Arial"/>
      <w:sz w:val="30"/>
      <w:szCs w:val="30"/>
    </w:rPr>
  </w:style>
  <w:style w:type="paragraph" w:styleId="684">
    <w:name w:val="Heading 4"/>
    <w:basedOn w:val="852"/>
    <w:next w:val="852"/>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855"/>
    <w:link w:val="684"/>
    <w:uiPriority w:val="9"/>
    <w:rPr>
      <w:rFonts w:ascii="Arial" w:hAnsi="Arial" w:eastAsia="Arial" w:cs="Arial"/>
      <w:b/>
      <w:bCs/>
      <w:sz w:val="26"/>
      <w:szCs w:val="26"/>
    </w:rPr>
  </w:style>
  <w:style w:type="paragraph" w:styleId="686">
    <w:name w:val="Heading 5"/>
    <w:basedOn w:val="852"/>
    <w:next w:val="852"/>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55"/>
    <w:link w:val="686"/>
    <w:uiPriority w:val="9"/>
    <w:rPr>
      <w:rFonts w:ascii="Arial" w:hAnsi="Arial" w:eastAsia="Arial" w:cs="Arial"/>
      <w:b/>
      <w:bCs/>
      <w:sz w:val="24"/>
      <w:szCs w:val="24"/>
    </w:rPr>
  </w:style>
  <w:style w:type="paragraph" w:styleId="688">
    <w:name w:val="Heading 6"/>
    <w:basedOn w:val="852"/>
    <w:next w:val="852"/>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5"/>
    <w:link w:val="688"/>
    <w:uiPriority w:val="9"/>
    <w:rPr>
      <w:rFonts w:ascii="Arial" w:hAnsi="Arial" w:eastAsia="Arial" w:cs="Arial"/>
      <w:b/>
      <w:bCs/>
      <w:sz w:val="22"/>
      <w:szCs w:val="22"/>
    </w:rPr>
  </w:style>
  <w:style w:type="paragraph" w:styleId="690">
    <w:name w:val="Heading 7"/>
    <w:basedOn w:val="852"/>
    <w:next w:val="852"/>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5"/>
    <w:link w:val="690"/>
    <w:uiPriority w:val="9"/>
    <w:rPr>
      <w:rFonts w:ascii="Arial" w:hAnsi="Arial" w:eastAsia="Arial" w:cs="Arial"/>
      <w:b/>
      <w:bCs/>
      <w:i/>
      <w:iCs/>
      <w:sz w:val="22"/>
      <w:szCs w:val="22"/>
    </w:rPr>
  </w:style>
  <w:style w:type="paragraph" w:styleId="692">
    <w:name w:val="Heading 8"/>
    <w:basedOn w:val="852"/>
    <w:next w:val="852"/>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5"/>
    <w:link w:val="692"/>
    <w:uiPriority w:val="9"/>
    <w:rPr>
      <w:rFonts w:ascii="Arial" w:hAnsi="Arial" w:eastAsia="Arial" w:cs="Arial"/>
      <w:i/>
      <w:iCs/>
      <w:sz w:val="22"/>
      <w:szCs w:val="22"/>
    </w:rPr>
  </w:style>
  <w:style w:type="paragraph" w:styleId="694">
    <w:name w:val="Heading 9"/>
    <w:basedOn w:val="852"/>
    <w:next w:val="852"/>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5"/>
    <w:link w:val="694"/>
    <w:uiPriority w:val="9"/>
    <w:rPr>
      <w:rFonts w:ascii="Arial" w:hAnsi="Arial" w:eastAsia="Arial" w:cs="Arial"/>
      <w:i/>
      <w:iCs/>
      <w:sz w:val="21"/>
      <w:szCs w:val="21"/>
    </w:rPr>
  </w:style>
  <w:style w:type="paragraph" w:styleId="696">
    <w:name w:val="List Paragraph"/>
    <w:basedOn w:val="852"/>
    <w:uiPriority w:val="34"/>
    <w:qFormat/>
    <w:pPr>
      <w:contextualSpacing/>
      <w:ind w:left="720"/>
    </w:pPr>
  </w:style>
  <w:style w:type="paragraph" w:styleId="697">
    <w:name w:val="Title"/>
    <w:basedOn w:val="852"/>
    <w:next w:val="852"/>
    <w:link w:val="698"/>
    <w:uiPriority w:val="10"/>
    <w:qFormat/>
    <w:pPr>
      <w:contextualSpacing/>
      <w:spacing w:before="300" w:after="200"/>
    </w:pPr>
    <w:rPr>
      <w:sz w:val="48"/>
      <w:szCs w:val="48"/>
    </w:rPr>
  </w:style>
  <w:style w:type="character" w:styleId="698">
    <w:name w:val="Title Char"/>
    <w:basedOn w:val="855"/>
    <w:link w:val="697"/>
    <w:uiPriority w:val="10"/>
    <w:rPr>
      <w:sz w:val="48"/>
      <w:szCs w:val="48"/>
    </w:rPr>
  </w:style>
  <w:style w:type="paragraph" w:styleId="699">
    <w:name w:val="Subtitle"/>
    <w:basedOn w:val="852"/>
    <w:next w:val="852"/>
    <w:link w:val="700"/>
    <w:uiPriority w:val="11"/>
    <w:qFormat/>
    <w:pPr>
      <w:spacing w:before="200" w:after="200"/>
    </w:pPr>
    <w:rPr>
      <w:sz w:val="24"/>
      <w:szCs w:val="24"/>
    </w:rPr>
  </w:style>
  <w:style w:type="character" w:styleId="700">
    <w:name w:val="Subtitle Char"/>
    <w:basedOn w:val="855"/>
    <w:link w:val="699"/>
    <w:uiPriority w:val="11"/>
    <w:rPr>
      <w:sz w:val="24"/>
      <w:szCs w:val="24"/>
    </w:rPr>
  </w:style>
  <w:style w:type="paragraph" w:styleId="701">
    <w:name w:val="Quote"/>
    <w:basedOn w:val="852"/>
    <w:next w:val="852"/>
    <w:link w:val="702"/>
    <w:uiPriority w:val="29"/>
    <w:qFormat/>
    <w:pPr>
      <w:ind w:left="720" w:right="720"/>
    </w:pPr>
    <w:rPr>
      <w:i/>
    </w:rPr>
  </w:style>
  <w:style w:type="character" w:styleId="702">
    <w:name w:val="Quote Char"/>
    <w:link w:val="701"/>
    <w:uiPriority w:val="29"/>
    <w:rPr>
      <w:i/>
    </w:rPr>
  </w:style>
  <w:style w:type="paragraph" w:styleId="703">
    <w:name w:val="Intense Quote"/>
    <w:basedOn w:val="852"/>
    <w:next w:val="852"/>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5"/>
    <w:link w:val="862"/>
    <w:uiPriority w:val="99"/>
  </w:style>
  <w:style w:type="character" w:styleId="706">
    <w:name w:val="Footer Char"/>
    <w:basedOn w:val="855"/>
    <w:link w:val="861"/>
    <w:uiPriority w:val="99"/>
  </w:style>
  <w:style w:type="paragraph" w:styleId="707">
    <w:name w:val="Caption"/>
    <w:basedOn w:val="852"/>
    <w:next w:val="852"/>
    <w:uiPriority w:val="35"/>
    <w:semiHidden/>
    <w:unhideWhenUsed/>
    <w:qFormat/>
    <w:pPr>
      <w:spacing w:line="276" w:lineRule="auto"/>
    </w:pPr>
    <w:rPr>
      <w:b/>
      <w:bCs/>
      <w:color w:val="4f81bd" w:themeColor="accent1"/>
      <w:sz w:val="18"/>
      <w:szCs w:val="18"/>
    </w:rPr>
  </w:style>
  <w:style w:type="character" w:styleId="708">
    <w:name w:val="Caption Char"/>
    <w:basedOn w:val="707"/>
    <w:link w:val="861"/>
    <w:uiPriority w:val="99"/>
  </w:style>
  <w:style w:type="table" w:styleId="709">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5">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6">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7">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8">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9">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0">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0">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1">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2">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3">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4">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5">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7">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8">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9">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0">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1">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2">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1">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2">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3">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4">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5">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6">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8">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9">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0">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1">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2">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3">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5">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6">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7">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8">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9">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0">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2">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3">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4">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5">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6">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7">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5"/>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5"/>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next w:val="85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3">
    <w:name w:val="Heading 1"/>
    <w:basedOn w:val="852"/>
    <w:next w:val="852"/>
    <w:uiPriority w:val="0"/>
    <w:qFormat/>
    <w:pPr>
      <w:jc w:val="left"/>
      <w:spacing w:beforeAutospacing="1" w:afterAutospacing="1"/>
      <w:outlineLvl w:val="0"/>
    </w:pPr>
    <w:rPr>
      <w:rFonts w:hint="eastAsia" w:ascii="宋体" w:hAnsi="宋体" w:eastAsia="宋体" w:cs="Times New Roman"/>
      <w:b/>
      <w:bCs/>
      <w:sz w:val="48"/>
      <w:szCs w:val="48"/>
    </w:rPr>
  </w:style>
  <w:style w:type="paragraph" w:styleId="854">
    <w:name w:val="Heading 2"/>
    <w:basedOn w:val="852"/>
    <w:next w:val="852"/>
    <w:uiPriority w:val="9"/>
    <w:unhideWhenUsed/>
    <w:qFormat/>
    <w:pPr>
      <w:keepLines/>
      <w:keepNext/>
      <w:spacing w:before="360" w:after="200"/>
      <w:outlineLvl w:val="1"/>
    </w:pPr>
    <w:rPr>
      <w:rFonts w:ascii="Arial" w:hAnsi="Arial" w:eastAsia="Arial" w:cs="Arial"/>
      <w:sz w:val="34"/>
    </w:rPr>
  </w:style>
  <w:style w:type="character" w:styleId="855" w:default="1">
    <w:name w:val="Default Paragraph Font"/>
    <w:uiPriority w:val="1"/>
    <w:semiHidden/>
    <w:unhideWhenUsed/>
    <w:qFormat/>
  </w:style>
  <w:style w:type="table" w:styleId="85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7">
    <w:name w:val="Body Text"/>
    <w:basedOn w:val="852"/>
    <w:next w:val="852"/>
    <w:link w:val="890"/>
    <w:uiPriority w:val="0"/>
    <w:qFormat/>
    <w:rPr>
      <w:rFonts w:ascii="楷体_GB2312" w:hAnsi="Arial" w:eastAsia="楷体_GB2312"/>
      <w:sz w:val="28"/>
    </w:rPr>
  </w:style>
  <w:style w:type="paragraph" w:styleId="858">
    <w:name w:val="Document Map"/>
    <w:basedOn w:val="852"/>
    <w:uiPriority w:val="0"/>
    <w:qFormat/>
    <w:pPr>
      <w:spacing w:after="200" w:line="276" w:lineRule="auto"/>
    </w:pPr>
    <w:rPr>
      <w:rFonts w:eastAsiaTheme="minorHAnsi"/>
      <w:szCs w:val="20"/>
      <w:lang w:eastAsia="en-US"/>
    </w:rPr>
  </w:style>
  <w:style w:type="paragraph" w:styleId="859">
    <w:name w:val="annotation text"/>
    <w:basedOn w:val="852"/>
    <w:uiPriority w:val="0"/>
    <w:qFormat/>
    <w:pPr>
      <w:jc w:val="left"/>
    </w:pPr>
  </w:style>
  <w:style w:type="paragraph" w:styleId="860">
    <w:name w:val="Body Text Indent"/>
    <w:basedOn w:val="852"/>
    <w:next w:val="852"/>
    <w:uiPriority w:val="0"/>
    <w:qFormat/>
    <w:pPr>
      <w:ind w:firstLine="574"/>
      <w:spacing w:line="312" w:lineRule="atLeast"/>
    </w:pPr>
    <w:rPr>
      <w:rFonts w:ascii="宋体"/>
      <w:sz w:val="28"/>
    </w:rPr>
  </w:style>
  <w:style w:type="paragraph" w:styleId="861">
    <w:name w:val="Footer"/>
    <w:basedOn w:val="852"/>
    <w:link w:val="875"/>
    <w:uiPriority w:val="0"/>
    <w:qFormat/>
    <w:pPr>
      <w:jc w:val="left"/>
      <w:tabs>
        <w:tab w:val="center" w:pos="4153" w:leader="none"/>
        <w:tab w:val="right" w:pos="8306" w:leader="none"/>
      </w:tabs>
    </w:pPr>
    <w:rPr>
      <w:sz w:val="18"/>
      <w:szCs w:val="18"/>
    </w:rPr>
  </w:style>
  <w:style w:type="paragraph" w:styleId="862">
    <w:name w:val="Header"/>
    <w:basedOn w:val="852"/>
    <w:link w:val="874"/>
    <w:uiPriority w:val="0"/>
    <w:qFormat/>
    <w:pPr>
      <w:jc w:val="center"/>
      <w:tabs>
        <w:tab w:val="center" w:pos="4153" w:leader="none"/>
        <w:tab w:val="right" w:pos="8306" w:leader="none"/>
      </w:tabs>
    </w:pPr>
    <w:rPr>
      <w:sz w:val="18"/>
      <w:szCs w:val="18"/>
    </w:rPr>
  </w:style>
  <w:style w:type="paragraph" w:styleId="863">
    <w:name w:val="Normal (Web)"/>
    <w:basedOn w:val="852"/>
    <w:uiPriority w:val="0"/>
    <w:qFormat/>
    <w:pPr>
      <w:spacing w:after="200" w:line="276" w:lineRule="auto"/>
    </w:pPr>
    <w:rPr>
      <w:rFonts w:eastAsiaTheme="minorHAnsi"/>
      <w:sz w:val="22"/>
      <w:szCs w:val="20"/>
      <w:lang w:eastAsia="en-US"/>
    </w:rPr>
  </w:style>
  <w:style w:type="paragraph" w:styleId="864">
    <w:name w:val="Body Text First Indent"/>
    <w:basedOn w:val="852"/>
    <w:next w:val="852"/>
    <w:uiPriority w:val="0"/>
    <w:qFormat/>
    <w:pPr>
      <w:ind w:firstLine="420"/>
      <w:spacing w:after="120"/>
    </w:pPr>
    <w:rPr>
      <w:rFonts w:ascii="Tahoma" w:hAnsi="Tahoma" w:eastAsia="Times New Roman"/>
    </w:rPr>
  </w:style>
  <w:style w:type="paragraph" w:styleId="865">
    <w:name w:val="Body Text First Indent 2"/>
    <w:basedOn w:val="860"/>
    <w:uiPriority w:val="99"/>
    <w:unhideWhenUsed/>
    <w:qFormat/>
    <w:pPr>
      <w:ind w:firstLine="420"/>
      <w:jc w:val="left"/>
      <w:widowControl/>
    </w:pPr>
    <w:rPr>
      <w:rFonts w:ascii="Times New Roman" w:eastAsiaTheme="minorHAnsi"/>
      <w:sz w:val="24"/>
      <w:lang w:eastAsia="en-US"/>
    </w:rPr>
  </w:style>
  <w:style w:type="table" w:styleId="8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Strong"/>
    <w:basedOn w:val="855"/>
    <w:uiPriority w:val="0"/>
    <w:qFormat/>
    <w:rPr>
      <w:b/>
    </w:rPr>
  </w:style>
  <w:style w:type="character" w:styleId="868">
    <w:name w:val="Emphasis"/>
    <w:basedOn w:val="855"/>
    <w:uiPriority w:val="0"/>
    <w:qFormat/>
    <w:rPr>
      <w:i/>
    </w:rPr>
  </w:style>
  <w:style w:type="character" w:styleId="869">
    <w:name w:val="annotation reference"/>
    <w:basedOn w:val="855"/>
    <w:uiPriority w:val="0"/>
    <w:qFormat/>
    <w:rPr>
      <w:sz w:val="21"/>
      <w:szCs w:val="21"/>
    </w:rPr>
  </w:style>
  <w:style w:type="character" w:styleId="870" w:customStyle="1">
    <w:name w:val="font11"/>
    <w:basedOn w:val="855"/>
    <w:uiPriority w:val="0"/>
    <w:qFormat/>
    <w:rPr>
      <w:rFonts w:hint="eastAsia" w:ascii="宋体" w:hAnsi="宋体" w:eastAsia="宋体" w:cs="宋体"/>
      <w:color w:val="000000"/>
      <w:sz w:val="18"/>
      <w:szCs w:val="18"/>
      <w:u w:val="none"/>
    </w:rPr>
  </w:style>
  <w:style w:type="character" w:styleId="871" w:customStyle="1">
    <w:name w:val="font101"/>
    <w:basedOn w:val="855"/>
    <w:uiPriority w:val="0"/>
    <w:qFormat/>
    <w:rPr>
      <w:rFonts w:hint="eastAsia" w:ascii="宋体" w:hAnsi="宋体" w:eastAsia="宋体" w:cs="宋体"/>
      <w:color w:val="000000"/>
      <w:sz w:val="18"/>
      <w:szCs w:val="18"/>
      <w:u w:val="none"/>
    </w:rPr>
  </w:style>
  <w:style w:type="character" w:styleId="872" w:customStyle="1">
    <w:name w:val="font51"/>
    <w:basedOn w:val="855"/>
    <w:uiPriority w:val="0"/>
    <w:qFormat/>
    <w:rPr>
      <w:rFonts w:ascii="Calibri" w:hAnsi="Calibri" w:cs="Calibri"/>
      <w:color w:val="000000"/>
      <w:sz w:val="20"/>
      <w:szCs w:val="20"/>
      <w:u w:val="none"/>
    </w:rPr>
  </w:style>
  <w:style w:type="character" w:styleId="873" w:customStyle="1">
    <w:name w:val="font31"/>
    <w:basedOn w:val="855"/>
    <w:uiPriority w:val="0"/>
    <w:qFormat/>
    <w:rPr>
      <w:rFonts w:ascii="Calibri" w:hAnsi="Calibri" w:cs="Calibri"/>
      <w:color w:val="000000"/>
      <w:sz w:val="18"/>
      <w:szCs w:val="18"/>
      <w:u w:val="none"/>
    </w:rPr>
  </w:style>
  <w:style w:type="character" w:styleId="874" w:customStyle="1">
    <w:name w:val="页眉 字符"/>
    <w:basedOn w:val="855"/>
    <w:link w:val="862"/>
    <w:uiPriority w:val="0"/>
    <w:qFormat/>
    <w:rPr>
      <w:rFonts w:asciiTheme="minorHAnsi" w:hAnsiTheme="minorHAnsi" w:eastAsiaTheme="minorEastAsia" w:cstheme="minorBidi"/>
      <w:sz w:val="18"/>
      <w:szCs w:val="18"/>
    </w:rPr>
  </w:style>
  <w:style w:type="character" w:styleId="875" w:customStyle="1">
    <w:name w:val="页脚 字符"/>
    <w:basedOn w:val="855"/>
    <w:link w:val="861"/>
    <w:uiPriority w:val="0"/>
    <w:qFormat/>
    <w:rPr>
      <w:rFonts w:asciiTheme="minorHAnsi" w:hAnsiTheme="minorHAnsi" w:eastAsiaTheme="minorEastAsia" w:cstheme="minorBidi"/>
      <w:sz w:val="18"/>
      <w:szCs w:val="18"/>
    </w:rPr>
  </w:style>
  <w:style w:type="paragraph" w:styleId="876" w:customStyle="1">
    <w:name w:val="段"/>
    <w:next w:val="852"/>
    <w:uiPriority w:val="0"/>
    <w:qFormat/>
    <w:pPr>
      <w:ind w:firstLine="200"/>
      <w:jc w:val="both"/>
    </w:pPr>
    <w:rPr>
      <w:rFonts w:ascii="宋体" w:hAnsi="Times New Roman" w:eastAsia="宋体" w:cs="Times New Roman"/>
      <w:lang w:val="en-US" w:eastAsia="zh-CN" w:bidi="ar-SA"/>
    </w:rPr>
  </w:style>
  <w:style w:type="paragraph" w:styleId="877" w:customStyle="1">
    <w:name w:val="正文首行缩进 21"/>
    <w:basedOn w:val="878"/>
    <w:uiPriority w:val="99"/>
    <w:unhideWhenUsed/>
    <w:qFormat/>
    <w:pPr>
      <w:ind w:left="420" w:firstLine="420"/>
      <w:spacing w:after="120" w:line="240" w:lineRule="auto"/>
    </w:pPr>
    <w:rPr>
      <w:rFonts w:ascii="Times New Roman"/>
      <w:sz w:val="24"/>
    </w:rPr>
  </w:style>
  <w:style w:type="paragraph" w:styleId="878" w:customStyle="1">
    <w:name w:val="正文文本缩进1"/>
    <w:basedOn w:val="852"/>
    <w:next w:val="852"/>
    <w:uiPriority w:val="0"/>
    <w:qFormat/>
    <w:pPr>
      <w:ind w:firstLine="574"/>
      <w:spacing w:line="312" w:lineRule="atLeast"/>
    </w:pPr>
    <w:rPr>
      <w:rFonts w:ascii="宋体"/>
      <w:sz w:val="28"/>
    </w:rPr>
  </w:style>
  <w:style w:type="paragraph" w:styleId="879">
    <w:name w:val="No Spacing"/>
    <w:basedOn w:val="852"/>
    <w:uiPriority w:val="1"/>
    <w:qFormat/>
    <w:rPr>
      <w:rFonts w:ascii="Times New Roman" w:hAnsi="Times New Roman"/>
    </w:rPr>
  </w:style>
  <w:style w:type="paragraph" w:styleId="880" w:customStyle="1">
    <w:name w:val="纯文本2"/>
    <w:basedOn w:val="852"/>
    <w:uiPriority w:val="0"/>
    <w:qFormat/>
    <w:rPr>
      <w:rFonts w:ascii="宋体" w:hAnsi="Courier New" w:eastAsia="楷体_GB2312"/>
      <w:sz w:val="26"/>
      <w:szCs w:val="20"/>
    </w:rPr>
  </w:style>
  <w:style w:type="paragraph" w:styleId="881" w:customStyle="1">
    <w:name w:val="无间隔2"/>
    <w:basedOn w:val="852"/>
    <w:uiPriority w:val="99"/>
    <w:qFormat/>
  </w:style>
  <w:style w:type="paragraph" w:styleId="882" w:customStyle="1">
    <w:name w:val="01 章标"/>
    <w:basedOn w:val="852"/>
    <w:uiPriority w:val="0"/>
    <w:qFormat/>
    <w:pPr>
      <w:ind w:firstLine="883"/>
      <w:jc w:val="center"/>
      <w:outlineLvl w:val="0"/>
    </w:pPr>
    <w:rPr>
      <w:b/>
      <w:sz w:val="44"/>
      <w:szCs w:val="44"/>
    </w:rPr>
  </w:style>
  <w:style w:type="paragraph" w:styleId="883" w:customStyle="1">
    <w:name w:val="正文文本1"/>
    <w:basedOn w:val="852"/>
    <w:next w:val="852"/>
    <w:uiPriority w:val="99"/>
    <w:qFormat/>
    <w:rPr>
      <w:rFonts w:ascii="楷体_GB2312" w:eastAsia="楷体_GB2312"/>
      <w:sz w:val="28"/>
    </w:rPr>
  </w:style>
  <w:style w:type="character" w:styleId="884" w:customStyle="1">
    <w:name w:val="NormalCharacter1"/>
    <w:uiPriority w:val="0"/>
    <w:qFormat/>
    <w:rPr>
      <w:rFonts w:ascii="Calibri" w:hAnsi="Calibri" w:eastAsia="宋体" w:cs="Times New Roman"/>
      <w:sz w:val="21"/>
      <w:lang w:val="en-US" w:eastAsia="zh-CN" w:bidi="ar-SA"/>
    </w:rPr>
  </w:style>
  <w:style w:type="paragraph" w:styleId="885" w:customStyle="1">
    <w:name w:val="无间隔1"/>
    <w:basedOn w:val="852"/>
    <w:uiPriority w:val="1"/>
    <w:qFormat/>
    <w:rPr>
      <w:rFonts w:ascii="Times New Roman" w:hAnsi="Times New Roman"/>
    </w:rPr>
  </w:style>
  <w:style w:type="paragraph" w:styleId="886" w:customStyle="1">
    <w:name w:val="页脚1"/>
    <w:basedOn w:val="852"/>
    <w:uiPriority w:val="99"/>
    <w:unhideWhenUsed/>
    <w:qFormat/>
    <w:pPr>
      <w:tabs>
        <w:tab w:val="center" w:pos="7143" w:leader="none"/>
        <w:tab w:val="right" w:pos="14287" w:leader="none"/>
      </w:tabs>
    </w:pPr>
  </w:style>
  <w:style w:type="table" w:styleId="887" w:customStyle="1">
    <w:name w:val="Table Normal"/>
    <w:basedOn w:val="856"/>
    <w:uiPriority w:val="0"/>
    <w:semiHidden/>
    <w:qFormat/>
    <w:tblPr>
      <w:tblCellMar>
        <w:left w:w="0" w:type="dxa"/>
        <w:right w:w="0" w:type="dxa"/>
      </w:tblCellMar>
    </w:tblPr>
  </w:style>
  <w:style w:type="character" w:styleId="888" w:customStyle="1">
    <w:name w:val="font81"/>
    <w:basedOn w:val="855"/>
    <w:uiPriority w:val="0"/>
    <w:qFormat/>
    <w:rPr>
      <w:rFonts w:hint="eastAsia" w:ascii="宋体" w:hAnsi="宋体" w:eastAsia="宋体" w:cs="宋体"/>
      <w:b/>
      <w:bCs/>
      <w:color w:val="000000"/>
      <w:sz w:val="21"/>
      <w:szCs w:val="21"/>
      <w:u w:val="none"/>
    </w:rPr>
  </w:style>
  <w:style w:type="character" w:styleId="889" w:customStyle="1">
    <w:name w:val="font91"/>
    <w:basedOn w:val="855"/>
    <w:uiPriority w:val="0"/>
    <w:qFormat/>
    <w:rPr>
      <w:rFonts w:hint="default" w:ascii="Times New Roman" w:hAnsi="Times New Roman" w:cs="Times New Roman"/>
      <w:color w:val="000000"/>
      <w:sz w:val="18"/>
      <w:szCs w:val="18"/>
      <w:u w:val="none"/>
    </w:rPr>
  </w:style>
  <w:style w:type="character" w:styleId="890" w:customStyle="1">
    <w:name w:val="正文文本 字符"/>
    <w:basedOn w:val="855"/>
    <w:link w:val="857"/>
    <w:uiPriority w:val="0"/>
    <w:qFormat/>
    <w:rPr>
      <w:rFonts w:hint="default" w:ascii="Calibri" w:hAnsi="Calibri" w:eastAsia="宋体" w:cs="Times New Roman"/>
      <w:sz w:val="21"/>
      <w:szCs w:val="24"/>
    </w:rPr>
  </w:style>
  <w:style w:type="numbering" w:styleId="8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周萌</cp:lastModifiedBy>
  <cp:revision>46</cp:revision>
  <dcterms:created xsi:type="dcterms:W3CDTF">2026-04-14T07:20:00Z</dcterms:created>
  <dcterms:modified xsi:type="dcterms:W3CDTF">2026-06-26T01:48:38Z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KSOTemplateDocerSaveRecord">
    <vt:lpwstr>eyJoZGlkIjoiODJjYmZiNWU0MDlkYmMzMzQ4ZTkzZTI1ZmNkOWMwYjYiLCJ1c2VySWQiOiI1MDM0MTY0MDMifQ==</vt:lpwstr>
  </property>
  <property fmtid="{D5CDD505-2E9C-101B-9397-08002B2CF9AE}" pid="4" name="ICV">
    <vt:lpwstr>CDBB564DB0D0431396A8C98EC8AA8D04_13</vt:lpwstr>
  </property>
</Properties>
</file>