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bookmarkStart w:id="18" w:name="_GoBack"/>
      <w:r/>
      <w:r/>
    </w:p>
    <w:p>
      <w:pPr>
        <w:pStyle w:val="985"/>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ind w:left="2991" w:hanging="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JSZC-320509-SZYJ-C2026-0012</w:t>
      </w:r>
      <w:r/>
    </w:p>
    <w:p>
      <w:pPr>
        <w:ind w:left="2991" w:hanging="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吴江区卫健委（食堂）食材定点配送服务项目</w:t>
      </w:r>
      <w:r/>
    </w:p>
    <w:p>
      <w:pPr>
        <w:ind w:firstLine="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left="2939" w:hanging="144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苏州市吴江区卫生健康委员会</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8"/>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bCs/>
          <w:color w:val="auto"/>
          <w:sz w:val="30"/>
          <w:szCs w:val="30"/>
          <w:highlight w:val="none"/>
          <w:lang w:val="zh-CN"/>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cs="宋体"/>
          <w:b/>
          <w:bCs/>
          <w:color w:val="auto"/>
          <w:sz w:val="30"/>
          <w:szCs w:val="30"/>
          <w:highlight w:val="none"/>
          <w:lang w:val="zh-CN"/>
        </w:rPr>
        <w:t xml:space="preserve">月</w:t>
      </w:r>
      <w:r/>
    </w:p>
    <w:p>
      <w:pPr>
        <w:jc w:val="center"/>
        <w:spacing w:line="48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p>
      <w:pPr>
        <w:pStyle w:val="1023"/>
        <w:ind w:firstLine="420"/>
        <w:rPr>
          <w:rFonts w:ascii="宋体" w:hAnsi="宋体" w:cs="宋体"/>
          <w:color w:val="auto"/>
          <w:highlight w:val="none"/>
        </w:rPr>
      </w:pPr>
      <w:r>
        <w:rPr>
          <w:rFonts w:ascii="宋体" w:hAnsi="宋体" w:cs="宋体"/>
          <w:color w:val="auto"/>
          <w:highlight w:val="none"/>
        </w:rPr>
      </w:r>
      <w:r/>
    </w:p>
    <w:tbl>
      <w:tblPr>
        <w:tblStyle w:val="9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吴江区卫健委（食堂）食材定点配送服务项目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贰佰捌拾万元整（¥2800000.00）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23"/>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6月8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668"/>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23"/>
              <w:ind w:firstLine="420"/>
              <w:jc w:val="center"/>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r>
            <w:r>
              <w:rPr>
                <w:rFonts w:hint="eastAsia" w:ascii="宋体" w:hAnsi="宋体" w:cs="宋体"/>
                <w:color w:val="auto"/>
                <w:szCs w:val="21"/>
                <w:highlight w:val="none"/>
                <w:lang w:val="en-US" w:eastAsia="zh-CN"/>
              </w:rPr>
              <w:t xml:space="preserve">6月8</w:t>
            </w:r>
            <w:r>
              <w:rPr>
                <w:rFonts w:hint="eastAsia" w:ascii="宋体" w:hAnsi="宋体" w:cs="宋体"/>
                <w:color w:val="auto"/>
                <w:szCs w:val="21"/>
                <w:highlight w:val="none"/>
              </w:rPr>
              <w:t xml:space="preserve">日13</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6月8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13:30</w:t>
            </w:r>
            <w:r>
              <w:rPr>
                <w:rFonts w:hint="eastAsia" w:ascii="宋体" w:hAnsi="宋体" w:cs="宋体"/>
                <w:color w:val="auto"/>
                <w:szCs w:val="21"/>
                <w:highlight w:val="none"/>
              </w:rPr>
              <w:t xml:space="preserve">（北京时间）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2026年6月8日13:30</w:t>
            </w:r>
            <w:r>
              <w:rPr>
                <w:rFonts w:hint="eastAsia" w:ascii="宋体" w:hAnsi="宋体" w:cs="宋体"/>
                <w:color w:val="auto"/>
                <w:szCs w:val="21"/>
                <w:highlight w:val="none"/>
              </w:rPr>
              <w:t xml:space="preserve">（北京时间）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986"/>
        <w:rPr>
          <w:rFonts w:ascii="宋体" w:hAnsi="宋体" w:cs="宋体"/>
          <w:b/>
          <w:color w:val="auto"/>
          <w:sz w:val="52"/>
          <w:szCs w:val="52"/>
          <w:highlight w:val="none"/>
        </w:rPr>
      </w:pPr>
      <w:r>
        <w:rPr>
          <w:rFonts w:ascii="宋体" w:hAnsi="宋体" w:cs="宋体"/>
          <w:b/>
          <w:color w:val="auto"/>
          <w:sz w:val="52"/>
          <w:szCs w:val="52"/>
          <w:highlight w:val="none"/>
        </w:rPr>
      </w:r>
      <w:r/>
    </w:p>
    <w:p>
      <w:pPr>
        <w:pStyle w:val="986"/>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评审方法及评分标准</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苏州市吴江区卫生健康委员会的吴江区卫健委（食堂）食材定点配送服务项目的潜在供应商应在“苏采云”系统获取采购文件，并于2026年</w:t>
            </w:r>
            <w:r>
              <w:rPr>
                <w:rFonts w:hint="eastAsia" w:ascii="宋体" w:hAnsi="宋体" w:cs="宋体"/>
                <w:color w:val="auto"/>
                <w:szCs w:val="21"/>
                <w:highlight w:val="none"/>
                <w:lang w:val="en-US" w:eastAsia="zh-CN"/>
              </w:rPr>
              <w:t xml:space="preserve">6月8日13</w:t>
            </w:r>
            <w:r>
              <w:rPr>
                <w:rFonts w:hint="eastAsia" w:ascii="宋体" w:hAnsi="宋体" w:cs="宋体"/>
                <w:color w:val="auto"/>
                <w:szCs w:val="21"/>
                <w:highlight w:val="none"/>
                <w:lang w:val="zh-CN"/>
              </w:rPr>
              <w:t xml:space="preserve">时30分（北京时间）前递交响应文件。</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ascii="宋体" w:hAnsi="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JSZC-320509-SZYJ-C2026-0012</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吴江区卫健委（食堂）食材定点配送服务项目</w:t>
      </w:r>
      <w:r/>
    </w:p>
    <w:p>
      <w:pPr>
        <w:ind w:firstLine="420"/>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人民币贰佰捌拾万元整（¥2800000.00）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color w:val="auto"/>
          <w:szCs w:val="21"/>
          <w:highlight w:val="none"/>
          <w:lang w:val="zh-CN"/>
        </w:rPr>
        <w:t xml:space="preserve">人民币贰佰捌拾万元整（¥2800000.00）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（六）采购需求：</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1、为充分保障苏州市吴江区卫生健康委员会工作人员就餐供应，保证食堂物资的食品安全和卫生，现向社会采购优秀的公司承担食堂物资配送服务。</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采购范围：采购食堂蔬菜类；鲜肉类；水产类；家禽类；蛋类；调味品类；豆制品类；水果类；奶制品；米、面或其他粮食或粮食加工品；食用油；干、杂货；冰冻品等。定点供应商供应食品不影响采购方根据需要另行采购的自主权。</w:t>
      </w:r>
      <w:r/>
    </w:p>
    <w:p>
      <w:pPr>
        <w:numPr>
          <w:ilvl w:val="0"/>
          <w:numId w:val="3"/>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eastAsia="zh-CN"/>
        </w:rPr>
        <w:t xml:space="preserve">服务期满二年或实际结算金额满280万元（二者中以先到者为准）</w:t>
      </w:r>
      <w:r>
        <w:rPr>
          <w:rFonts w:hint="eastAsia" w:ascii="宋体" w:hAnsi="宋体" w:cs="宋体"/>
          <w:bCs/>
          <w:color w:val="auto"/>
          <w:szCs w:val="21"/>
          <w:highlight w:val="none"/>
          <w:lang w:eastAsia="zh-CN"/>
        </w:rPr>
        <w:t xml:space="preserve">。</w:t>
      </w:r>
      <w:r/>
    </w:p>
    <w:p>
      <w:pPr>
        <w:numPr>
          <w:ilvl w:val="0"/>
          <w:numId w:val="3"/>
        </w:numPr>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服务地点：</w:t>
      </w:r>
      <w:r>
        <w:rPr>
          <w:rFonts w:hint="eastAsia" w:ascii="宋体" w:hAnsi="宋体" w:cs="宋体"/>
          <w:bCs/>
          <w:color w:val="auto"/>
          <w:szCs w:val="21"/>
          <w:highlight w:val="none"/>
          <w:lang w:val="en-US" w:eastAsia="zh-CN"/>
        </w:rPr>
        <w:t xml:space="preserve">采购单位</w:t>
      </w:r>
      <w:r>
        <w:rPr>
          <w:rFonts w:hint="eastAsia" w:ascii="宋体" w:hAnsi="宋体" w:cs="宋体"/>
          <w:bCs/>
          <w:color w:val="auto"/>
          <w:szCs w:val="21"/>
          <w:highlight w:val="none"/>
          <w:lang w:val="zh-CN"/>
        </w:rPr>
        <w:t xml:space="preserve">指定地点</w:t>
      </w:r>
      <w:r>
        <w:rPr>
          <w:rFonts w:hint="eastAsia" w:ascii="宋体" w:hAnsi="宋体" w:cs="宋体"/>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九</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验收标准：招标文件、投标文件、最终的合同及考核标准均作为验收依据。</w:t>
      </w:r>
      <w:r/>
    </w:p>
    <w:p>
      <w:pPr>
        <w:ind w:firstLine="420"/>
        <w:spacing w:line="360" w:lineRule="auto"/>
        <w:rPr>
          <w:rFonts w:ascii="宋体" w:hAnsi="宋体" w:cs="宋体"/>
          <w:bCs/>
          <w:color w:val="auto"/>
          <w:szCs w:val="21"/>
          <w:highlight w:val="none"/>
          <w:lang w:val="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十</w:t>
      </w:r>
      <w:r>
        <w:rPr>
          <w:rFonts w:hint="eastAsia" w:ascii="宋体" w:hAnsi="宋体" w:eastAsia="宋体" w:cs="宋体"/>
          <w:color w:val="auto"/>
          <w:szCs w:val="21"/>
          <w:highlight w:val="none"/>
          <w:lang w:eastAsia="zh-CN"/>
        </w:rPr>
        <w:t xml:space="preserve">）</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rPr>
        <w:t xml:space="preserve">本项目不接受联合体投标。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（一）满足《中华人民共和国政府采购法》之第二十二条“供应商参加政府采购活动应当具备下列条件”规定：</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本项目专门面向中小企业</w:t>
      </w:r>
      <w:r>
        <w:rPr>
          <w:rFonts w:hint="eastAsia" w:ascii="宋体" w:hAnsi="宋体" w:cs="宋体"/>
          <w:b/>
          <w:bCs/>
          <w:color w:val="auto"/>
          <w:szCs w:val="21"/>
          <w:highlight w:val="none"/>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其他未列明行业</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（三）本项目的特定资格要求：</w:t>
      </w:r>
      <w:r>
        <w:rPr>
          <w:rFonts w:hint="eastAsia" w:ascii="宋体" w:hAnsi="宋体" w:eastAsia="宋体" w:cs="宋体"/>
          <w:b/>
          <w:bCs/>
          <w:color w:val="auto"/>
          <w:szCs w:val="21"/>
          <w:highlight w:val="none"/>
          <w:lang w:val="zh-CN"/>
        </w:rPr>
        <w:t xml:space="preserve">若供应商为食品销售企业，须提供行业主管部门颁发的《食品经营许可证》复印件（仅供应食用农产品及预包装食品的，可提供仅销售预包装食品经营者备案复印件）； 若供应商为食品生产企业，须提供行业主管部门颁发的《食品生产许可证》复印件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（四）拒绝下列供应商参加本次采购活动：</w:t>
      </w:r>
      <w:r/>
    </w:p>
    <w:p>
      <w:pPr>
        <w:pStyle w:val="1023"/>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bookmarkStart w:id="0" w:name="_Toc28359008"/>
      <w:r/>
      <w:bookmarkStart w:id="1" w:name="_Toc35393627"/>
      <w:r/>
      <w:bookmarkStart w:id="2" w:name="_Toc35393796"/>
      <w:r/>
      <w:bookmarkStart w:id="3" w:name="_Toc28359085"/>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时间：</w:t>
      </w:r>
      <w:r>
        <w:rPr>
          <w:rFonts w:ascii="SimSun" w:hAnsi="SimSun" w:eastAsia="SimSun" w:cs="SimSun"/>
          <w:color w:val="000000"/>
          <w:sz w:val="21"/>
        </w:rPr>
        <w:t xml:space="preserve">自磋商文件公告发布之日起5个工作日</w:t>
      </w:r>
      <w:r>
        <w:rPr>
          <w:rFonts w:hint="eastAsia" w:ascii="宋体" w:hAnsi="宋体" w:cs="宋体"/>
          <w:color w:val="auto"/>
          <w:szCs w:val="21"/>
          <w:highlight w:val="none"/>
          <w:lang w:val="en-US" w:eastAsia="zh-CN"/>
        </w:rPr>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地点：“苏采云”系统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售价：0.00元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响应文件提交</w:t>
      </w:r>
      <w:r/>
    </w:p>
    <w:p>
      <w:pPr>
        <w:ind w:firstLine="420"/>
        <w:spacing w:line="360" w:lineRule="auto"/>
        <w:rPr>
          <w:rFonts w:hint="eastAsia" w:ascii="宋体" w:hAnsi="宋体" w:cs="宋体"/>
          <w:color w:val="auto"/>
          <w:szCs w:val="21"/>
          <w:highlight w:val="none"/>
          <w:lang w:val="en-US" w:eastAsia="zh-CN"/>
        </w:rPr>
      </w:pPr>
      <w:r/>
      <w:bookmarkStart w:id="4" w:name="_Toc35393802"/>
      <w:r/>
      <w:bookmarkStart w:id="5" w:name="_Toc35393633"/>
      <w:r/>
      <w:bookmarkStart w:id="6" w:name="_Toc28359093"/>
      <w:r/>
      <w:bookmarkStart w:id="7" w:name="_Toc28359016"/>
      <w:r>
        <w:rPr>
          <w:rFonts w:hint="eastAsia" w:ascii="宋体" w:hAnsi="宋体" w:cs="宋体"/>
          <w:color w:val="auto"/>
          <w:szCs w:val="21"/>
          <w:highlight w:val="none"/>
          <w:lang w:val="en-US" w:eastAsia="zh-CN"/>
        </w:rPr>
        <w:t xml:space="preserve">截止时间：2026年6月8日13:30（北京时间）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bidi="ar"/>
        </w:rPr>
        <w:t xml:space="preserve">地点：</w:t>
      </w:r>
      <w:r>
        <w:rPr>
          <w:rFonts w:hint="eastAsia" w:ascii="宋体" w:hAnsi="宋体" w:eastAsia="宋体" w:cs="宋体"/>
          <w:bCs/>
          <w:color w:val="auto"/>
          <w:szCs w:val="21"/>
          <w:highlight w:val="none"/>
        </w:rPr>
        <w:t xml:space="preserve">“苏采云”系统</w:t>
      </w:r>
      <w:bookmarkEnd w:id="4"/>
      <w:r/>
      <w:bookmarkEnd w:id="5"/>
      <w:r/>
      <w:bookmarkEnd w:id="6"/>
      <w:r/>
      <w:bookmarkEnd w:id="7"/>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时间：</w:t>
      </w:r>
      <w:r>
        <w:rPr>
          <w:rFonts w:hint="eastAsia" w:ascii="宋体" w:hAnsi="宋体" w:eastAsia="宋体" w:cs="宋体"/>
          <w:bCs/>
          <w:color w:val="auto"/>
          <w:szCs w:val="21"/>
          <w:highlight w:val="none"/>
          <w:lang w:eastAsia="zh-CN" w:bidi="ar"/>
        </w:rPr>
        <w:t xml:space="preserve">2026年</w:t>
      </w:r>
      <w:r>
        <w:rPr>
          <w:rFonts w:hint="eastAsia" w:ascii="宋体" w:hAnsi="宋体" w:cs="宋体"/>
          <w:bCs/>
          <w:color w:val="auto"/>
          <w:szCs w:val="21"/>
          <w:highlight w:val="none"/>
          <w:lang w:val="en-US" w:eastAsia="zh-CN" w:bidi="ar"/>
        </w:rPr>
        <w:t xml:space="preserve">6月8</w:t>
      </w:r>
      <w:r>
        <w:rPr>
          <w:rFonts w:hint="eastAsia" w:ascii="宋体" w:hAnsi="宋体" w:eastAsia="宋体" w:cs="宋体"/>
          <w:bCs/>
          <w:color w:val="auto"/>
          <w:szCs w:val="21"/>
          <w:highlight w:val="none"/>
          <w:lang w:val="en-US" w:eastAsia="zh-CN" w:bidi="ar"/>
        </w:rPr>
        <w:t xml:space="preserve">日13</w:t>
      </w:r>
      <w:r>
        <w:rPr>
          <w:rFonts w:hint="eastAsia" w:ascii="宋体" w:hAnsi="宋体" w:cs="宋体"/>
          <w:color w:val="auto"/>
          <w:szCs w:val="21"/>
          <w:highlight w:val="none"/>
          <w:lang w:val="en-US" w:eastAsia="zh-CN"/>
        </w:rPr>
        <w:t xml:space="preserve">:30</w:t>
      </w:r>
      <w:r>
        <w:rPr>
          <w:rFonts w:hint="eastAsia" w:ascii="宋体" w:hAnsi="宋体" w:eastAsia="宋体" w:cs="宋体"/>
          <w:bCs/>
          <w:color w:val="auto"/>
          <w:szCs w:val="21"/>
          <w:highlight w:val="none"/>
          <w:lang w:bidi="ar"/>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其他补充事宜</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、勘察现场：为更好地了解现场情况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各供应商可自行至现场进行踏勘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auto"/>
          <w:szCs w:val="21"/>
          <w:highlight w:val="none"/>
        </w:rPr>
        <w:t xml:space="preserve">勘察现场费用自理。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戴亚丽</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、采购代理服务费</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本项目采购代理服务费根据代理协议约定由采购单位支付</w:t>
      </w:r>
      <w:r>
        <w:rPr>
          <w:rFonts w:hint="eastAsia" w:ascii="宋体" w:hAnsi="宋体" w:eastAsia="宋体" w:cs="宋体"/>
          <w:color w:val="auto"/>
          <w:szCs w:val="21"/>
          <w:highlight w:val="none"/>
        </w:rPr>
        <w:t xml:space="preserve">。其收取标准按预算金额100万元以下费率为预算金额的1.5%；预算金额100万元-500万元费率为预算金额的1.1%；预算金额500万元-1000万元费率为预算金额的0.8%；1000万元～5000万元以内为0.5%的差额定率累进法计算收取。</w:t>
      </w:r>
      <w:r/>
    </w:p>
    <w:p>
      <w:pPr>
        <w:numPr>
          <w:ilvl w:val="0"/>
          <w:numId w:val="0"/>
        </w:numPr>
        <w:ind w:firstLine="420"/>
        <w:jc w:val="left"/>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确立标准的依据：</w:t>
      </w:r>
      <w:r>
        <w:rPr>
          <w:rFonts w:hint="eastAsia" w:ascii="宋体" w:hAnsi="宋体" w:eastAsia="宋体" w:cs="宋体"/>
          <w:color w:val="auto"/>
          <w:szCs w:val="21"/>
          <w:highlight w:val="none"/>
          <w:lang w:val="en-US" w:eastAsia="zh-CN"/>
        </w:rPr>
        <w:t xml:space="preserve">经吴江区中介超市竞价</w:t>
      </w:r>
      <w:r>
        <w:rPr>
          <w:rFonts w:hint="eastAsia" w:ascii="宋体" w:hAnsi="宋体" w:cs="宋体"/>
          <w:color w:val="auto"/>
          <w:szCs w:val="21"/>
          <w:highlight w:val="none"/>
          <w:lang w:val="en-US" w:eastAsia="zh-CN"/>
        </w:rPr>
        <w:t xml:space="preserve">。</w:t>
      </w:r>
      <w:r/>
    </w:p>
    <w:p>
      <w:pPr>
        <w:numPr>
          <w:ilvl w:val="0"/>
          <w:numId w:val="0"/>
        </w:num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9、履约保证金：</w:t>
      </w:r>
      <w:r>
        <w:rPr>
          <w:rFonts w:hint="eastAsia" w:ascii="宋体" w:hAnsi="宋体" w:eastAsia="宋体" w:cs="宋体"/>
          <w:color w:val="auto"/>
          <w:szCs w:val="21"/>
          <w:highlight w:val="none"/>
          <w:lang w:val="en-US" w:eastAsia="zh-CN"/>
        </w:rPr>
        <w:t xml:space="preserve">合同</w:t>
      </w:r>
      <w:r>
        <w:rPr>
          <w:rFonts w:hint="eastAsia" w:ascii="宋体" w:hAnsi="宋体" w:eastAsia="宋体" w:cs="宋体"/>
          <w:color w:val="auto"/>
          <w:szCs w:val="21"/>
          <w:highlight w:val="none"/>
        </w:rPr>
        <w:t xml:space="preserve">金额的5%。</w:t>
      </w:r>
      <w:r/>
    </w:p>
    <w:p>
      <w:pPr>
        <w:numPr>
          <w:ilvl w:val="0"/>
          <w:numId w:val="0"/>
        </w:numPr>
        <w:ind w:firstLine="422"/>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
          <w:bCs/>
          <w:color w:val="auto"/>
          <w:szCs w:val="21"/>
          <w:highlight w:val="none"/>
        </w:rPr>
        <w:t xml:space="preserve">10、</w:t>
      </w:r>
      <w:r>
        <w:rPr>
          <w:rFonts w:hint="eastAsia" w:ascii="宋体" w:hAnsi="宋体" w:eastAsia="宋体" w:cs="宋体"/>
          <w:b/>
          <w:bCs w:val="0"/>
          <w:color w:val="auto"/>
          <w:szCs w:val="21"/>
          <w:highlight w:val="none"/>
        </w:rPr>
        <w:t xml:space="preserve">本次采购的有关信息将在中国政府采购网、江苏省政府采购网、苏州市政府采购网等媒体上发布，敬请留意！</w:t>
      </w:r>
      <w:r>
        <w:rPr>
          <w:rFonts w:hint="eastAsia" w:ascii="宋体" w:hAnsi="宋体" w:eastAsia="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ind w:firstLine="420"/>
        <w:spacing w:line="360" w:lineRule="auto"/>
        <w:rPr>
          <w:rFonts w:hint="eastAsia" w:ascii="宋体" w:hAnsi="宋体" w:cs="宋体"/>
          <w:b w:val="0"/>
          <w:bCs w:val="0"/>
          <w:color w:val="auto"/>
          <w:szCs w:val="21"/>
          <w:highlight w:val="none"/>
          <w:lang w:val="en-US" w:eastAsia="zh-CN"/>
        </w:rPr>
        <w:outlineLvl w:val="0"/>
      </w:pPr>
      <w:r>
        <w:rPr>
          <w:rFonts w:hint="eastAsia" w:ascii="宋体" w:hAnsi="宋体" w:cs="宋体"/>
          <w:b w:val="0"/>
          <w:bCs w:val="0"/>
          <w:color w:val="auto"/>
          <w:szCs w:val="21"/>
          <w:highlight w:val="none"/>
          <w:lang w:val="en-US" w:eastAsia="zh-CN"/>
        </w:rPr>
        <w:t xml:space="preserve">11、</w:t>
      </w:r>
      <w:r>
        <w:rPr>
          <w:rFonts w:hint="eastAsia" w:ascii="宋体" w:hAnsi="宋体" w:eastAsia="宋体" w:cs="宋体"/>
          <w:b/>
          <w:bCs/>
          <w:color w:val="auto"/>
          <w:szCs w:val="21"/>
          <w:highlight w:val="none"/>
          <w:lang w:val="en-US" w:eastAsia="zh-CN"/>
        </w:rPr>
        <w:t xml:space="preserve">根据苏州市财政局《关于深入开展苏州市政府采购合同信用融资业务的通知》相关要求，本项目支持政府采购合同信用融资</w:t>
      </w:r>
      <w:r>
        <w:rPr>
          <w:rFonts w:hint="eastAsia" w:ascii="宋体" w:hAnsi="宋体" w:cs="宋体"/>
          <w:b w:val="0"/>
          <w:bCs w:val="0"/>
          <w:color w:val="auto"/>
          <w:szCs w:val="21"/>
          <w:highlight w:val="none"/>
          <w:lang w:val="en-US" w:eastAsia="zh-CN"/>
        </w:rPr>
        <w:t xml:space="preserve">。</w:t>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1、采购人信息</w:t>
      </w:r>
      <w:r/>
    </w:p>
    <w:p>
      <w:pPr>
        <w:ind w:firstLine="420"/>
        <w:spacing w:line="360" w:lineRule="auto"/>
        <w:rPr>
          <w:rFonts w:hint="eastAsia" w:ascii="宋体" w:hAnsi="宋体" w:eastAsia="宋体" w:cs="宋体"/>
          <w:color w:val="auto"/>
          <w:szCs w:val="21"/>
          <w:highlight w:val="none"/>
          <w:lang w:eastAsia="zh-CN"/>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w:t>
      </w:r>
      <w:r>
        <w:rPr>
          <w:rFonts w:hint="eastAsia" w:ascii="宋体" w:hAnsi="宋体" w:cs="宋体"/>
          <w:color w:val="auto"/>
          <w:szCs w:val="21"/>
          <w:highlight w:val="none"/>
          <w:lang w:eastAsia="zh-CN"/>
        </w:rPr>
        <w:t xml:space="preserve">苏州市吴江区卫生健康委员会</w:t>
      </w:r>
      <w:r/>
    </w:p>
    <w:p>
      <w:pPr>
        <w:ind w:firstLine="420"/>
        <w:jc w:val="left"/>
        <w:spacing w:line="360" w:lineRule="auto"/>
        <w:rPr>
          <w:rFonts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eastAsia="宋体" w:cs="宋体"/>
          <w:color w:val="auto"/>
          <w:szCs w:val="21"/>
          <w:highlight w:val="none"/>
          <w:lang w:val="zh-CN"/>
        </w:rPr>
        <w:t xml:space="preserve">苏州市吴江区高新路551号</w:t>
      </w:r>
      <w:r/>
    </w:p>
    <w:p>
      <w:pPr>
        <w:ind w:firstLine="420"/>
        <w:jc w:val="left"/>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联系人：</w:t>
      </w:r>
      <w:r>
        <w:rPr>
          <w:rFonts w:hint="eastAsia" w:ascii="宋体" w:hAnsi="宋体" w:eastAsia="宋体" w:cs="宋体"/>
          <w:color w:val="auto"/>
          <w:szCs w:val="21"/>
          <w:highlight w:val="none"/>
          <w:lang w:val="en-US" w:eastAsia="zh-CN"/>
        </w:rPr>
        <w:t xml:space="preserve">舒黎峰 </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eastAsia="宋体" w:cs="宋体"/>
          <w:color w:val="auto"/>
          <w:szCs w:val="21"/>
          <w:highlight w:val="none"/>
          <w:lang w:val="zh-CN"/>
        </w:rPr>
        <w:t xml:space="preserve">电  话：</w:t>
      </w:r>
      <w:r>
        <w:rPr>
          <w:rFonts w:hint="eastAsia" w:ascii="宋体" w:hAnsi="宋体" w:eastAsia="宋体" w:cs="宋体"/>
          <w:color w:val="auto"/>
          <w:szCs w:val="21"/>
          <w:highlight w:val="none"/>
          <w:lang w:val="en-US" w:eastAsia="zh-CN"/>
        </w:rPr>
        <w:t xml:space="preserve">0512-63160008</w:t>
      </w:r>
      <w:r>
        <w:rPr>
          <w:rFonts w:hint="eastAsia" w:ascii="宋体" w:hAnsi="宋体" w:cs="宋体"/>
          <w:color w:val="auto"/>
          <w:szCs w:val="21"/>
          <w:highlight w:val="none"/>
          <w:lang w:val="zh-CN" w:eastAsia="zh-CN"/>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称：苏州市宇杰工程技术服务咨询有限公司</w:t>
      </w:r>
      <w:r/>
    </w:p>
    <w:p>
      <w:pPr>
        <w:ind w:firstLine="420"/>
        <w:spacing w:line="360" w:lineRule="auto"/>
        <w:rPr>
          <w:rFonts w:hint="eastAsia"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联系方式：0512-63663868</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3、项目联系方式</w:t>
      </w:r>
      <w:r/>
    </w:p>
    <w:p>
      <w:pPr>
        <w:ind w:firstLine="420"/>
        <w:spacing w:line="360" w:lineRule="auto"/>
        <w:rPr>
          <w:rFonts w:hint="default"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戴亚丽、顾成飞、盛晓蓉</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话：0512-63663868、18913055868</w:t>
      </w:r>
      <w:r/>
    </w:p>
    <w:p>
      <w:pPr>
        <w:ind w:firstLine="420"/>
        <w:spacing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2026年5</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28</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苏州市吴江区卫生健康委员会</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吴江区卫健委（食堂）食材定点配送服务项目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0"/>
        <w:jc w:val="left"/>
        <w:keepLines w:val="0"/>
        <w:keepNext w:val="0"/>
        <w:pageBreakBefore w:val="0"/>
        <w:spacing w:line="360" w:lineRule="auto"/>
        <w:widowControl/>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一、采购编号：JSZC-320509-SZYJ-C2026-0012</w:t>
      </w:r>
      <w:r/>
    </w:p>
    <w:p>
      <w:pPr>
        <w:ind w:firstLine="420"/>
        <w:jc w:val="left"/>
        <w:keepLines w:val="0"/>
        <w:keepNext w:val="0"/>
        <w:pageBreakBefore w:val="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二、采购内容：</w:t>
      </w:r>
      <w:r/>
    </w:p>
    <w:p>
      <w:pPr>
        <w:ind w:firstLine="420"/>
        <w:jc w:val="left"/>
        <w:keepLines w:val="0"/>
        <w:keepNext w:val="0"/>
        <w:pageBreakBefore w:val="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项目名称：吴江区卫健委（食堂）食材定点配送服务项目</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采购预算：</w:t>
      </w:r>
      <w:r>
        <w:rPr>
          <w:rFonts w:hint="eastAsia" w:ascii="宋体" w:hAnsi="宋体" w:cs="宋体"/>
          <w:color w:val="auto"/>
          <w:szCs w:val="21"/>
          <w:highlight w:val="none"/>
          <w:lang w:val="zh-CN"/>
        </w:rPr>
        <w:t xml:space="preserve">人民币贰佰捌拾万元整（¥2800000.00）</w:t>
      </w:r>
      <w:r/>
    </w:p>
    <w:p>
      <w:pPr>
        <w:ind w:firstLine="420"/>
        <w:keepLines w:val="0"/>
        <w:keepNext w:val="0"/>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最高限价：</w:t>
      </w:r>
      <w:r>
        <w:rPr>
          <w:rFonts w:hint="eastAsia" w:ascii="宋体" w:hAnsi="宋体" w:cs="宋体"/>
          <w:color w:val="auto"/>
          <w:szCs w:val="21"/>
          <w:highlight w:val="none"/>
          <w:lang w:val="zh-CN"/>
        </w:rPr>
        <w:t xml:space="preserve">人民币贰佰捌拾万元整（¥2800000.00</w:t>
      </w:r>
      <w:r>
        <w:rPr>
          <w:rFonts w:hint="eastAsia" w:ascii="宋体" w:hAnsi="宋体" w:cs="宋体"/>
          <w:color w:val="auto"/>
          <w:szCs w:val="21"/>
          <w:highlight w:val="none"/>
          <w:lang w:val="zh-CN"/>
        </w:rPr>
        <w:t xml:space="preserve">）</w:t>
      </w:r>
      <w:r/>
    </w:p>
    <w:p>
      <w:pPr>
        <w:ind w:firstLine="420"/>
        <w:jc w:val="left"/>
        <w:keepLines w:val="0"/>
        <w:keepNext w:val="0"/>
        <w:pageBreakBefore w:val="0"/>
        <w:spacing w:line="360" w:lineRule="auto"/>
        <w:widowControl/>
        <w:rPr>
          <w:rFonts w:ascii="宋体" w:hAnsi="宋体" w:cs="宋体"/>
          <w:color w:val="auto"/>
          <w:szCs w:val="22"/>
          <w:highlight w:val="none"/>
        </w:rPr>
      </w:pPr>
      <w:r>
        <w:rPr>
          <w:rFonts w:hint="eastAsia" w:ascii="宋体" w:hAnsi="宋体" w:cs="宋体"/>
          <w:color w:val="auto"/>
          <w:szCs w:val="21"/>
          <w:highlight w:val="none"/>
        </w:rPr>
        <w:t xml:space="preserve">服务地点：采购单位指定地点</w:t>
      </w:r>
      <w:r/>
    </w:p>
    <w:p>
      <w:pPr>
        <w:ind w:firstLine="420"/>
        <w:jc w:val="left"/>
        <w:keepLines w:val="0"/>
        <w:keepNext w:val="0"/>
        <w:pageBreakBefore w:val="0"/>
        <w:spacing w:line="360" w:lineRule="auto"/>
        <w:widowControl/>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eastAsia="zh-CN"/>
        </w:rPr>
        <w:t xml:space="preserve">服务期满二年或实际结算金额满280万元（二者中以先到者为准）</w:t>
      </w:r>
      <w:r>
        <w:rPr>
          <w:rFonts w:hint="eastAsia" w:ascii="宋体" w:hAnsi="宋体" w:cs="宋体"/>
          <w:color w:val="auto"/>
          <w:szCs w:val="22"/>
          <w:highlight w:val="none"/>
          <w:lang w:eastAsia="zh-CN"/>
        </w:rPr>
        <w:t xml:space="preserve">。</w:t>
      </w:r>
      <w:r/>
    </w:p>
    <w:p>
      <w:pPr>
        <w:numPr>
          <w:ilvl w:val="0"/>
          <w:numId w:val="0"/>
        </w:numPr>
        <w:ind w:firstLine="472"/>
        <w:jc w:val="left"/>
        <w:keepLines w:val="0"/>
        <w:keepNext w:val="0"/>
        <w:pageBreakBefore w:val="0"/>
        <w:spacing w:line="360" w:lineRule="auto"/>
        <w:widowControl/>
        <w:rPr>
          <w:rFonts w:hint="eastAsia" w:ascii="宋体" w:hAnsi="宋体" w:cs="宋体"/>
          <w:color w:val="auto"/>
          <w:spacing w:val="13"/>
          <w:szCs w:val="21"/>
          <w:highlight w:val="none"/>
        </w:rPr>
      </w:pPr>
      <w:r>
        <w:rPr>
          <w:rFonts w:hint="eastAsia" w:ascii="宋体" w:hAnsi="宋体" w:cs="宋体"/>
          <w:color w:val="auto"/>
          <w:spacing w:val="13"/>
          <w:szCs w:val="21"/>
          <w:highlight w:val="none"/>
          <w:lang w:val="en-US" w:eastAsia="zh-CN"/>
        </w:rPr>
        <w:t xml:space="preserve">三、</w:t>
      </w:r>
      <w:r>
        <w:rPr>
          <w:rFonts w:hint="eastAsia" w:ascii="宋体" w:hAnsi="宋体" w:cs="宋体"/>
          <w:color w:val="auto"/>
          <w:spacing w:val="13"/>
          <w:szCs w:val="21"/>
          <w:highlight w:val="none"/>
        </w:rPr>
        <w:t xml:space="preserve">采购需求：</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（一）项目概况</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1、为充分保障</w:t>
      </w:r>
      <w:r>
        <w:rPr>
          <w:rFonts w:hint="eastAsia" w:ascii="宋体" w:hAnsi="宋体" w:eastAsia="宋体" w:cs="宋体"/>
          <w:color w:val="auto"/>
          <w:szCs w:val="21"/>
          <w:highlight w:val="none"/>
          <w:lang w:eastAsia="zh-CN"/>
        </w:rPr>
        <w:t xml:space="preserve">苏州市吴江区卫生健康委员会</w:t>
      </w:r>
      <w:r>
        <w:rPr>
          <w:rFonts w:hint="eastAsia" w:ascii="宋体" w:hAnsi="宋体" w:eastAsia="宋体" w:cs="宋体"/>
          <w:color w:val="auto"/>
          <w:szCs w:val="21"/>
          <w:highlight w:val="none"/>
        </w:rPr>
        <w:t xml:space="preserve">工作人员就餐供应，保证食堂物资的食品安全和卫生，现向社会采购优秀的公司承担食堂物资配送服务。</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2、采购范围：采购食堂</w:t>
      </w:r>
      <w:r>
        <w:rPr>
          <w:rFonts w:hint="eastAsia" w:ascii="宋体" w:hAnsi="宋体" w:eastAsia="宋体" w:cs="宋体"/>
          <w:color w:val="auto"/>
          <w:szCs w:val="21"/>
          <w:highlight w:val="none"/>
          <w:lang w:eastAsia="zh-CN"/>
        </w:rPr>
        <w:t xml:space="preserve">蔬菜类；鲜肉类；水产类；家禽类；蛋类；调味品类；豆制品类；水果类；奶制品；米、面或其他粮食或粮食加工品；食用油；干、杂货；冰冻品等</w:t>
      </w:r>
      <w:r>
        <w:rPr>
          <w:rFonts w:hint="eastAsia" w:ascii="宋体" w:hAnsi="宋体" w:eastAsia="宋体" w:cs="宋体"/>
          <w:color w:val="auto"/>
          <w:szCs w:val="21"/>
          <w:highlight w:val="none"/>
        </w:rPr>
        <w:t xml:space="preserve">。定点供应商供应食品不影响采购方根据需要另行采购的自主权。</w:t>
      </w:r>
      <w:r/>
    </w:p>
    <w:p>
      <w:pPr>
        <w:ind w:left="0"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3、送货地点：具体以采购人要求为准。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outlineLvl w:val="1"/>
      </w:pPr>
      <w:r>
        <w:rPr>
          <w:rFonts w:hint="eastAsia" w:ascii="宋体" w:hAnsi="宋体" w:eastAsia="宋体" w:cs="宋体"/>
          <w:b/>
          <w:bCs/>
          <w:color w:val="auto"/>
          <w:szCs w:val="21"/>
          <w:highlight w:val="none"/>
        </w:rPr>
        <w:t xml:space="preserve">（二）</w:t>
      </w:r>
      <w:r>
        <w:rPr>
          <w:rFonts w:hint="eastAsia" w:ascii="宋体" w:hAnsi="宋体" w:eastAsia="宋体" w:cs="宋体"/>
          <w:b/>
          <w:color w:val="auto"/>
          <w:szCs w:val="21"/>
          <w:highlight w:val="none"/>
        </w:rPr>
        <w:t xml:space="preserve">项目服务要求</w:t>
      </w:r>
      <w:r/>
    </w:p>
    <w:p>
      <w:pPr>
        <w:ind w:left="0" w:firstLine="420"/>
        <w:keepLines w:val="0"/>
        <w:keepNext w:val="0"/>
        <w:pageBreakBefore w:val="0"/>
        <w:spacing w:line="360" w:lineRule="auto"/>
        <w:widowControl w:val="off"/>
        <w:rPr>
          <w:rFonts w:ascii="宋体" w:hAnsi="宋体" w:eastAsia="宋体" w:cs="宋体"/>
          <w:bCs/>
          <w:color w:val="auto"/>
          <w:szCs w:val="21"/>
          <w:highlight w:val="none"/>
        </w:rPr>
        <w:outlineLvl w:val="2"/>
      </w:pPr>
      <w:r>
        <w:rPr>
          <w:rFonts w:hint="eastAsia" w:ascii="宋体" w:hAnsi="宋体" w:eastAsia="宋体" w:cs="宋体"/>
          <w:bCs/>
          <w:color w:val="auto"/>
          <w:szCs w:val="21"/>
          <w:highlight w:val="none"/>
        </w:rPr>
        <w:t xml:space="preserve">1、依据及标准：</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《中华人民共和国食品安全法》、《餐饮业和集体用餐配送单位卫生规范》、《国家食品卫生标准》、《食品卫生法》和《动物检疫法》等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如涉及更新按最新政策执行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配送货品按如下质量标准执行：</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注：供应商所提供的蔬菜、粮、油等均须为非转基因产品。</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（1）蔬菜类：新鲜嫩绿、无黄叶、无菜虫，必须通过农药残留成分测试，蔬菜不带根、不带泥，符合食品卫生要求。每次配送附农药残留成分测试单。</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鲜肉类：应提供冷鲜肉品牌产品，必须经检验检疫合格、有动物检疫及屠宰证明，肉质新鲜，不注水，无病毒，符合食品卫生要求。肉类制品必须是定点屠宰且经检疫合格的B级猪肉。所供食材在条件允许的范围内增加检测次数，每季度向采购方无条件提供第三方检测报告，每次配送附检验检疫合格。</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（3）水产类：肉质新鲜，无病毒，不含有害物质，鲜鱼类、虾类必须生猛鲜活。</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（4）家禽类：有动物检疫证明，新鲜肥美，无内脏，不注水，无病毒，符合食品卫生要求。</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（5）蛋类：禽蛋，新鲜，无变质，无臭蛋。</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（6）调味品类：正规厂家出品，有商标品牌，注明生产日期、产地、保质期、包装规范，符合相关国家标准（产品质保期须在保质期三分之一之前）。</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豆制品类：以非转基因大豆或杂豆为主要原料，经过加工制成的食品，包括发酵豆制品、非发酵豆制品和大豆蛋白类制品，对豆制品的有关安全健康指标符合国家规定，（产品质保期须在保质期三分之一之前）。</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（8）水果类：须为非转基因产品，</w:t>
      </w:r>
      <w:r>
        <w:rPr>
          <w:rFonts w:hint="eastAsia" w:ascii="Times New Roman" w:hAnsi="Times New Roman" w:eastAsia="宋体" w:cs="Times New Roman"/>
          <w:color w:val="auto"/>
          <w:szCs w:val="21"/>
          <w:highlight w:val="none"/>
        </w:rPr>
        <w:t xml:space="preserve">当季时令水果，</w:t>
      </w:r>
      <w:r>
        <w:rPr>
          <w:rFonts w:hint="eastAsia" w:ascii="宋体" w:hAnsi="宋体" w:eastAsia="宋体" w:cs="宋体"/>
          <w:color w:val="auto"/>
          <w:szCs w:val="21"/>
          <w:highlight w:val="none"/>
        </w:rPr>
        <w:t xml:space="preserve">个头均匀，无斑点，无破损，果实成熟新鲜，味道纯正。</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（9）奶制品：符合甲方需求，产品包装及外观干净、整洁，生产日期、保质期、贮藏条件标识清晰，（产品质保期须在保质期三分之一之前）。</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（10）米、面或其他粮食或粮食加工品：大米为最近一年产一级粳米，产品包装外观整洁，无破损，商品标签信息清晰，生产日期、保质期、贮藏条件清晰，（产品质保期须在保质期三分之一之前）。</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（11）食用油：非转基因食用油，必须符合食用植物油卫生标准，并具有“SC食品生产许可证”，外包装规范，无破损，无漏油情况，（产品质保期须在保质期三分之一之前）。</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（12）干、杂货：应符合相关的国家或行业食品安全标准，添加剂的使用必须符合相关国家标准，对食品的添加量严格控制在标准规定范围之内。（产品质保期须在保质期三分之一之前）。</w:t>
      </w:r>
      <w:r/>
    </w:p>
    <w:p>
      <w:pPr>
        <w:ind w:left="0"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Times New Roman" w:hAnsi="Times New Roman" w:eastAsia="宋体" w:cs="Times New Roman"/>
          <w:color w:val="auto"/>
          <w:szCs w:val="21"/>
          <w:highlight w:val="none"/>
        </w:rPr>
        <w:t xml:space="preserve">冰冻品：须提供产品合格证明文件，动物产品提供《动物或动物产品分销信息凭证》或《动物检疫合格证》，</w:t>
      </w:r>
      <w:r>
        <w:rPr>
          <w:rFonts w:hint="eastAsia" w:ascii="宋体" w:hAnsi="宋体" w:eastAsia="宋体" w:cs="宋体"/>
          <w:color w:val="auto"/>
          <w:szCs w:val="21"/>
          <w:highlight w:val="none"/>
        </w:rPr>
        <w:t xml:space="preserve">（产品质保期须在保质期三分之一之前）</w:t>
      </w:r>
      <w:r>
        <w:rPr>
          <w:rFonts w:hint="eastAsia" w:ascii="Times New Roman" w:hAnsi="Times New Roman" w:eastAsia="宋体" w:cs="Times New Roman"/>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（14）所有产品均不接受临期产品。</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2、服务要求：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（1）配送的原材料均须经过国家规定的职能部门检验并有检测报告，安全可靠。</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Times New Roman" w:hAnsi="Times New Roman" w:eastAsia="宋体" w:cs="Times New Roman"/>
          <w:color w:val="auto"/>
          <w:szCs w:val="21"/>
          <w:highlight w:val="none"/>
        </w:rPr>
        <w:t xml:space="preserve">所供</w:t>
      </w:r>
      <w:r>
        <w:rPr>
          <w:rFonts w:ascii="Times New Roman" w:hAnsi="Times New Roman" w:eastAsia="宋体" w:cs="Times New Roman"/>
          <w:color w:val="auto"/>
          <w:szCs w:val="21"/>
          <w:highlight w:val="none"/>
        </w:rPr>
        <w:t xml:space="preserve">原材料</w:t>
      </w:r>
      <w:r>
        <w:rPr>
          <w:rFonts w:hint="eastAsia" w:ascii="Times New Roman" w:hAnsi="Times New Roman" w:eastAsia="宋体" w:cs="Times New Roman"/>
          <w:color w:val="auto"/>
          <w:szCs w:val="21"/>
          <w:highlight w:val="none"/>
        </w:rPr>
        <w:t xml:space="preserve">的质量要求：所供</w:t>
      </w:r>
      <w:r>
        <w:rPr>
          <w:rFonts w:ascii="Times New Roman" w:hAnsi="Times New Roman" w:eastAsia="宋体" w:cs="Times New Roman"/>
          <w:color w:val="auto"/>
          <w:szCs w:val="21"/>
          <w:highlight w:val="none"/>
        </w:rPr>
        <w:t xml:space="preserve">原材料</w:t>
      </w:r>
      <w:r>
        <w:rPr>
          <w:rFonts w:hint="eastAsia" w:ascii="Times New Roman" w:hAnsi="Times New Roman" w:eastAsia="宋体" w:cs="Times New Roman"/>
          <w:color w:val="auto"/>
          <w:szCs w:val="21"/>
          <w:highlight w:val="none"/>
        </w:rPr>
        <w:t xml:space="preserve">均须符合《国家食品卫生标准</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rPr>
        <w:t xml:space="preserve">食品卫生法》和《动物检疫法》等相关规定，保证卫生安全，须无毒、无害、无腐烂，具有较好的色、香、味等感官性状。蔬菜水果类应为无公害蔬菜水果，保持较好的色泽和新鲜度，不得有黄叶、腐烂、泥沙等现象；冷冻类及干货应在保质期范</w:t>
      </w:r>
      <w:r>
        <w:rPr>
          <w:rFonts w:hint="eastAsia" w:ascii="Times New Roman" w:hAnsi="Times New Roman" w:eastAsia="宋体" w:cs="Times New Roman"/>
          <w:color w:val="auto"/>
          <w:szCs w:val="21"/>
          <w:highlight w:val="none"/>
        </w:rPr>
        <w:t xml:space="preserve">围内，并保持较好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w:t>
      </w:r>
      <w:r>
        <w:rPr>
          <w:rFonts w:hint="eastAsia" w:ascii="Times New Roman" w:hAnsi="Times New Roman" w:eastAsia="宋体" w:cs="Times New Roman"/>
          <w:color w:val="auto"/>
          <w:szCs w:val="21"/>
          <w:highlight w:val="none"/>
          <w:lang w:val="en-US" w:eastAsia="zh-CN"/>
        </w:rPr>
        <w:t xml:space="preserve">成交单位</w:t>
      </w:r>
      <w:r>
        <w:rPr>
          <w:rFonts w:hint="eastAsia" w:ascii="Times New Roman" w:hAnsi="Times New Roman" w:eastAsia="宋体" w:cs="Times New Roman"/>
          <w:color w:val="auto"/>
          <w:szCs w:val="21"/>
          <w:highlight w:val="none"/>
        </w:rPr>
        <w:t xml:space="preserve">承担</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（3）数量及验收要求：</w:t>
      </w:r>
      <w:r>
        <w:rPr>
          <w:rFonts w:hint="eastAsia" w:ascii="Times New Roman" w:hAnsi="Times New Roman" w:eastAsia="宋体" w:cs="Times New Roman"/>
          <w:color w:val="auto"/>
          <w:szCs w:val="21"/>
          <w:highlight w:val="none"/>
          <w:lang w:eastAsia="zh-CN"/>
        </w:rPr>
        <w:t xml:space="preserve">投标单位</w:t>
      </w:r>
      <w:r>
        <w:rPr>
          <w:rFonts w:hint="eastAsia" w:ascii="Times New Roman" w:hAnsi="Times New Roman" w:eastAsia="宋体" w:cs="Times New Roman"/>
          <w:color w:val="auto"/>
          <w:szCs w:val="21"/>
          <w:highlight w:val="none"/>
        </w:rPr>
        <w:t xml:space="preserve">应保证所供货物品种和数量、重量的准确性，采购方和</w:t>
      </w:r>
      <w:r>
        <w:rPr>
          <w:rFonts w:hint="eastAsia" w:ascii="Times New Roman" w:hAnsi="Times New Roman" w:eastAsia="宋体" w:cs="Times New Roman"/>
          <w:color w:val="auto"/>
          <w:szCs w:val="21"/>
          <w:highlight w:val="none"/>
          <w:lang w:eastAsia="zh-CN"/>
        </w:rPr>
        <w:t xml:space="preserve">投标单位</w:t>
      </w:r>
      <w:r>
        <w:rPr>
          <w:rFonts w:hint="eastAsia" w:ascii="Times New Roman" w:hAnsi="Times New Roman" w:eastAsia="宋体" w:cs="Times New Roman"/>
          <w:color w:val="auto"/>
          <w:szCs w:val="21"/>
          <w:highlight w:val="none"/>
        </w:rPr>
        <w:t xml:space="preserve">应分别建立采购和供应台账，确定专人负责验收和送货，以采购方的验货数量为准，</w:t>
      </w:r>
      <w:r>
        <w:rPr>
          <w:rFonts w:hint="eastAsia" w:ascii="Times New Roman" w:hAnsi="Times New Roman" w:eastAsia="宋体" w:cs="Times New Roman"/>
          <w:color w:val="auto"/>
          <w:szCs w:val="21"/>
          <w:highlight w:val="none"/>
          <w:lang w:eastAsia="zh-CN"/>
        </w:rPr>
        <w:t xml:space="preserve">投标单位</w:t>
      </w:r>
      <w:r>
        <w:rPr>
          <w:rFonts w:hint="eastAsia" w:ascii="Times New Roman" w:hAnsi="Times New Roman" w:eastAsia="宋体" w:cs="Times New Roman"/>
          <w:color w:val="auto"/>
          <w:szCs w:val="21"/>
          <w:highlight w:val="none"/>
        </w:rPr>
        <w:t xml:space="preserve">每次随货附一式三份的送货清单，由采购方验货后签字确认，作为送、收货的凭证。对于出现质量、数量不符合要求等现象，采购方有权要求</w:t>
      </w:r>
      <w:r>
        <w:rPr>
          <w:rFonts w:hint="eastAsia" w:ascii="Times New Roman" w:hAnsi="Times New Roman" w:eastAsia="宋体" w:cs="Times New Roman"/>
          <w:color w:val="auto"/>
          <w:szCs w:val="21"/>
          <w:highlight w:val="none"/>
          <w:lang w:eastAsia="zh-CN"/>
        </w:rPr>
        <w:t xml:space="preserve">投标单位</w:t>
      </w:r>
      <w:r>
        <w:rPr>
          <w:rFonts w:hint="eastAsia" w:ascii="Times New Roman" w:hAnsi="Times New Roman" w:eastAsia="宋体" w:cs="Times New Roman"/>
          <w:color w:val="auto"/>
          <w:szCs w:val="21"/>
          <w:highlight w:val="none"/>
        </w:rPr>
        <w:t xml:space="preserve">及时退换，并按合同约定作出相应罚款处罚，</w:t>
      </w:r>
      <w:r>
        <w:rPr>
          <w:rFonts w:hint="eastAsia" w:ascii="Times New Roman" w:hAnsi="Times New Roman" w:eastAsia="宋体" w:cs="Times New Roman"/>
          <w:color w:val="auto"/>
          <w:szCs w:val="21"/>
          <w:highlight w:val="none"/>
          <w:lang w:eastAsia="zh-CN"/>
        </w:rPr>
        <w:t xml:space="preserve">投标单位</w:t>
      </w:r>
      <w:r>
        <w:rPr>
          <w:rFonts w:hint="eastAsia" w:ascii="Times New Roman" w:hAnsi="Times New Roman" w:eastAsia="宋体" w:cs="Times New Roman"/>
          <w:color w:val="auto"/>
          <w:szCs w:val="21"/>
          <w:highlight w:val="none"/>
        </w:rPr>
        <w:t xml:space="preserve">必须无条件退换，并保证采购方正常餐饮供应不受影响</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Times New Roman" w:hAnsi="Times New Roman" w:eastAsia="宋体" w:cs="Times New Roman"/>
          <w:color w:val="auto"/>
          <w:szCs w:val="21"/>
          <w:highlight w:val="none"/>
        </w:rPr>
        <w:t xml:space="preserve">送货时间要求：</w:t>
      </w:r>
      <w:r>
        <w:rPr>
          <w:rFonts w:hint="eastAsia" w:ascii="Times New Roman" w:hAnsi="Times New Roman" w:eastAsia="宋体" w:cs="Times New Roman"/>
          <w:color w:val="auto"/>
          <w:szCs w:val="21"/>
          <w:highlight w:val="none"/>
          <w:u w:val="none"/>
        </w:rPr>
        <w:t xml:space="preserve">服务常规送菜时间6</w:t>
      </w:r>
      <w:r>
        <w:rPr>
          <w:rFonts w:ascii="Times New Roman" w:hAnsi="Times New Roman" w:eastAsia="宋体" w:cs="Times New Roman"/>
          <w:color w:val="auto"/>
          <w:szCs w:val="21"/>
          <w:highlight w:val="none"/>
          <w:u w:val="none"/>
        </w:rPr>
        <w:t xml:space="preserve">点</w:t>
      </w:r>
      <w:r>
        <w:rPr>
          <w:rFonts w:hint="eastAsia" w:ascii="Times New Roman" w:hAnsi="Times New Roman" w:eastAsia="宋体" w:cs="Times New Roman"/>
          <w:color w:val="auto"/>
          <w:szCs w:val="21"/>
          <w:highlight w:val="none"/>
          <w:u w:val="none"/>
        </w:rPr>
        <w:t xml:space="preserve">30</w:t>
      </w:r>
      <w:r>
        <w:rPr>
          <w:rFonts w:ascii="Times New Roman" w:hAnsi="Times New Roman" w:eastAsia="宋体" w:cs="Times New Roman"/>
          <w:color w:val="auto"/>
          <w:szCs w:val="21"/>
          <w:highlight w:val="none"/>
          <w:u w:val="none"/>
        </w:rPr>
        <w:t xml:space="preserve">分</w:t>
      </w:r>
      <w:r>
        <w:rPr>
          <w:rFonts w:hint="eastAsia" w:ascii="Times New Roman" w:hAnsi="Times New Roman" w:eastAsia="宋体" w:cs="Times New Roman"/>
          <w:color w:val="auto"/>
          <w:szCs w:val="21"/>
          <w:highlight w:val="none"/>
          <w:u w:val="none"/>
          <w:lang w:val="en-US" w:eastAsia="zh-CN"/>
        </w:rPr>
        <w:t xml:space="preserve">前</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具体以甲方要求为准</w:t>
      </w:r>
      <w:r>
        <w:rPr>
          <w:rFonts w:hint="eastAsia" w:ascii="Times New Roman" w:hAnsi="Times New Roman" w:eastAsia="宋体" w:cs="Times New Roman"/>
          <w:color w:val="auto"/>
          <w:szCs w:val="21"/>
          <w:highlight w:val="none"/>
        </w:rPr>
        <w:t xml:space="preserve">）。采购方应提前向</w:t>
      </w:r>
      <w:r>
        <w:rPr>
          <w:rFonts w:hint="eastAsia" w:ascii="Times New Roman" w:hAnsi="Times New Roman" w:eastAsia="宋体" w:cs="Times New Roman"/>
          <w:color w:val="auto"/>
          <w:szCs w:val="21"/>
          <w:highlight w:val="none"/>
          <w:lang w:val="en-US" w:eastAsia="zh-CN"/>
        </w:rPr>
        <w:t xml:space="preserve">成交单位</w:t>
      </w:r>
      <w:r>
        <w:rPr>
          <w:rFonts w:hint="eastAsia" w:ascii="Times New Roman" w:hAnsi="Times New Roman" w:eastAsia="宋体" w:cs="Times New Roman"/>
          <w:color w:val="auto"/>
          <w:szCs w:val="21"/>
          <w:highlight w:val="none"/>
        </w:rPr>
        <w:t xml:space="preserve">以传真或电子文件等方式提交购货计划，并说明购货品种、数量及其他需要说明的事项。</w:t>
      </w:r>
      <w:r>
        <w:rPr>
          <w:rFonts w:hint="eastAsia" w:ascii="Times New Roman" w:hAnsi="Times New Roman" w:eastAsia="宋体" w:cs="Times New Roman"/>
          <w:color w:val="auto"/>
          <w:szCs w:val="21"/>
          <w:highlight w:val="none"/>
          <w:lang w:eastAsia="zh-CN"/>
        </w:rPr>
        <w:t xml:space="preserve">成交单位</w:t>
      </w:r>
      <w:r>
        <w:rPr>
          <w:rFonts w:hint="eastAsia" w:ascii="Times New Roman" w:hAnsi="Times New Roman" w:eastAsia="宋体" w:cs="Times New Roman"/>
          <w:color w:val="auto"/>
          <w:szCs w:val="21"/>
          <w:highlight w:val="none"/>
        </w:rPr>
        <w:t xml:space="preserve">在接到购货订单通知后，应按采购方订购单的要求送货，准时送达</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（5）临时加货处理：</w:t>
      </w:r>
      <w:r>
        <w:rPr>
          <w:rFonts w:hint="eastAsia" w:ascii="Times New Roman" w:hAnsi="Times New Roman" w:eastAsia="宋体" w:cs="Times New Roman"/>
          <w:color w:val="auto"/>
          <w:szCs w:val="21"/>
          <w:highlight w:val="none"/>
        </w:rPr>
        <w:t xml:space="preserve">对于采购方临时加货，</w:t>
      </w:r>
      <w:r>
        <w:rPr>
          <w:rFonts w:hint="eastAsia" w:ascii="Times New Roman" w:hAnsi="Times New Roman" w:eastAsia="宋体" w:cs="Times New Roman"/>
          <w:color w:val="auto"/>
          <w:szCs w:val="21"/>
          <w:highlight w:val="none"/>
          <w:lang w:eastAsia="zh-CN"/>
        </w:rPr>
        <w:t xml:space="preserve">成交单位</w:t>
      </w:r>
      <w:r>
        <w:rPr>
          <w:rFonts w:hint="eastAsia" w:ascii="Times New Roman" w:hAnsi="Times New Roman" w:eastAsia="宋体" w:cs="Times New Roman"/>
          <w:color w:val="auto"/>
          <w:szCs w:val="21"/>
          <w:highlight w:val="none"/>
        </w:rPr>
        <w:t xml:space="preserve">需在接到采购方通知后及时按要求时间将货物送到采购方的指定地点，派专人负责跟踪服务，保证用餐正常</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（6）在供货过程中，采购方对所供货物有任何意见，可随时向</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反映，</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应及时改进；如</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未改进或改进后仍无法满足采购方要求，采购方有权中断与供货方的合作，并无需给予任何赔偿。</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（7）因配送过程中出现人身等安全事故，</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独立承担一切刑事、民事责任，与采购方无关。</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应随时按采购方要求提供各类货物清晰准确的原产地以及检测报告。</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应该按照采购方的要求，建立完整的各类物品追踪溯源体系，应当建立专门台账，按食品进货</w:t>
      </w:r>
      <w:r>
        <w:rPr>
          <w:rFonts w:hint="eastAsia" w:ascii="宋体" w:hAnsi="宋体" w:eastAsia="宋体" w:cs="宋体"/>
          <w:color w:val="auto"/>
          <w:szCs w:val="21"/>
          <w:highlight w:val="none"/>
          <w:lang w:eastAsia="zh-CN"/>
        </w:rPr>
        <w:t xml:space="preserve">凭证</w:t>
      </w:r>
      <w:r>
        <w:rPr>
          <w:rFonts w:hint="eastAsia" w:ascii="宋体" w:hAnsi="宋体" w:eastAsia="宋体" w:cs="宋体"/>
          <w:color w:val="auto"/>
          <w:szCs w:val="21"/>
          <w:highlight w:val="none"/>
        </w:rPr>
        <w:t xml:space="preserve">和台账登记本格式如实记录配送给采购方的各类物品，留存相关检验合格证明、资质证明、营业执照等有效资料，并可追踪溯源，采购方有权定期检查。</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采购方验收时须仔细核对送货清单，认真把好质量、数量、规格、退货核对签字等环节，严格执行验货、入出库和索证制度，向成交单位索取食材的检验合格证或者化验单，并做好索证登记工作；确认无误后，在成交单位的送货单上签收并留二份存档；如发现食材卫生质量问题或者以次充好，采购方可立即无条件退货或换货，并视具体情况对成交单位进行考核体现，直至终止成交单位配送工作</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（11）采购方有权对</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配送的各类物品自行或者委托第三方检测机构按国家有关标准进行检测，若检测不合格，采购方予以书面警告，并对该批货物予以没收销毁，不必退还供货方，防止二次流通至社会市场，产生的检测费、货款、销毁等一切费用均由</w:t>
      </w:r>
      <w:r>
        <w:rPr>
          <w:rFonts w:hint="eastAsia" w:ascii="宋体" w:hAnsi="宋体" w:eastAsia="宋体" w:cs="宋体"/>
          <w:color w:val="auto"/>
          <w:szCs w:val="21"/>
          <w:highlight w:val="none"/>
          <w:lang w:eastAsia="zh-CN"/>
        </w:rPr>
        <w:t xml:space="preserve">投标单位</w:t>
      </w:r>
      <w:r>
        <w:rPr>
          <w:rFonts w:hint="eastAsia" w:ascii="宋体" w:hAnsi="宋体" w:eastAsia="宋体" w:cs="宋体"/>
          <w:color w:val="auto"/>
          <w:szCs w:val="21"/>
          <w:highlight w:val="none"/>
        </w:rPr>
        <w:t xml:space="preserve">承担；如累计书面警告两次后再次出现同样情况，采购方有权扣除</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单位</w:t>
      </w:r>
      <w:r>
        <w:rPr>
          <w:rFonts w:hint="eastAsia" w:ascii="宋体" w:hAnsi="宋体" w:eastAsia="宋体" w:cs="宋体"/>
          <w:color w:val="auto"/>
          <w:szCs w:val="21"/>
          <w:highlight w:val="none"/>
        </w:rPr>
        <w:t xml:space="preserve">当天总货款的10％或直接单方解除服务合同，并不给予</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单位</w:t>
      </w:r>
      <w:r>
        <w:rPr>
          <w:rFonts w:hint="eastAsia" w:ascii="宋体" w:hAnsi="宋体" w:eastAsia="宋体" w:cs="宋体"/>
          <w:color w:val="auto"/>
          <w:szCs w:val="21"/>
          <w:highlight w:val="none"/>
        </w:rPr>
        <w:t xml:space="preserve">任何赔偿。</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单位</w:t>
      </w:r>
      <w:r>
        <w:rPr>
          <w:rFonts w:hint="eastAsia" w:ascii="宋体" w:hAnsi="宋体" w:eastAsia="宋体" w:cs="宋体"/>
          <w:color w:val="auto"/>
          <w:szCs w:val="21"/>
          <w:highlight w:val="none"/>
        </w:rPr>
        <w:t xml:space="preserve">应成立食堂配送项目专项服务小组，负责相关工作及提供各种服务，本项目所配备的人员须凭健康证上岗。</w:t>
      </w:r>
      <w:r/>
    </w:p>
    <w:p>
      <w:pPr>
        <w:ind w:left="0" w:firstLine="420"/>
        <w:keepLines w:val="0"/>
        <w:keepNext w:val="0"/>
        <w:pageBreakBefore w:val="0"/>
        <w:spacing w:line="360" w:lineRule="auto"/>
        <w:widowControl w:val="off"/>
        <w:rPr>
          <w:rFonts w:hint="default" w:ascii="Times New Roman" w:hAnsi="Times New Roman" w:eastAsia="黑体" w:cs="Times New Roman"/>
          <w:color w:val="auto"/>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服务期间，如发生食品卫生安全等问题，包括且不限于人员餐后出现呕吐、腹泻，或食物污染，或食物中毒等，采购方有权中断与供货方的合作，并由采购方承担因此而造成的全部责任</w:t>
      </w:r>
      <w:r>
        <w:rPr>
          <w:rFonts w:hint="eastAsia" w:ascii="宋体" w:hAnsi="宋体" w:eastAsia="宋体" w:cs="宋体"/>
          <w:color w:val="auto"/>
          <w:szCs w:val="21"/>
          <w:highlight w:val="none"/>
          <w:u w:val="none"/>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）价格确认</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 w:val="21"/>
          <w:szCs w:val="24"/>
          <w:highlight w:val="none"/>
          <w:lang w:val="en-US" w:eastAsia="zh-CN" w:bidi="ar-SA"/>
        </w:rPr>
        <w:t xml:space="preserve">供应商</w:t>
      </w:r>
      <w:r>
        <w:rPr>
          <w:rFonts w:hint="eastAsia" w:ascii="宋体" w:hAnsi="宋体" w:eastAsia="宋体" w:cs="宋体"/>
          <w:color w:val="auto"/>
          <w:sz w:val="21"/>
          <w:szCs w:val="21"/>
          <w:highlight w:val="none"/>
          <w:lang w:val="en-US" w:eastAsia="zh-CN" w:bidi="ar"/>
        </w:rPr>
        <w:t xml:space="preserve">的物资商品销售价格及送货质量标准以每周苏州市价格监测中心的苏州价格在线（http://fg.suzhou.gov.cn/szfgw/shxf/shxf_jgzx.shtml苏州市重要民生商品价格采集公布表--主副食品（农贸市场））一周一期（取各农贸市场平均价）为定价依据</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若遇无参考价格的情况下，参照</w:t>
      </w:r>
      <w:r>
        <w:rPr>
          <w:rFonts w:hint="eastAsia" w:ascii="Times New Roman" w:hAnsi="宋体" w:eastAsia="宋体" w:cs="宋体"/>
          <w:b w:val="0"/>
          <w:bCs/>
          <w:color w:val="auto"/>
          <w:sz w:val="21"/>
          <w:szCs w:val="21"/>
          <w:highlight w:val="none"/>
          <w:lang w:val="en-US" w:eastAsia="zh-CN" w:bidi="ar-SA"/>
        </w:rPr>
        <w:t xml:space="preserve">苏州市吴江大润发超市、</w:t>
      </w:r>
      <w:r>
        <w:rPr>
          <w:rFonts w:hint="eastAsia" w:ascii="宋体" w:hAnsi="宋体" w:eastAsia="宋体" w:cs="宋体"/>
          <w:b w:val="0"/>
          <w:bCs/>
          <w:color w:val="auto"/>
          <w:sz w:val="21"/>
          <w:szCs w:val="21"/>
          <w:highlight w:val="none"/>
          <w:lang w:val="en-US" w:eastAsia="zh-CN" w:bidi="ar-SA"/>
        </w:rPr>
        <w:t xml:space="preserve">吴江体育路农贸市场或山姆超市</w:t>
      </w:r>
      <w:r>
        <w:rPr>
          <w:rFonts w:hint="eastAsia" w:ascii="Times New Roman" w:hAnsi="宋体" w:eastAsia="宋体" w:cs="宋体"/>
          <w:b w:val="0"/>
          <w:bCs/>
          <w:color w:val="auto"/>
          <w:sz w:val="21"/>
          <w:szCs w:val="21"/>
          <w:highlight w:val="none"/>
          <w:lang w:val="en-US" w:eastAsia="zh-CN" w:bidi="ar-SA"/>
        </w:rPr>
        <w:t xml:space="preserve">等</w:t>
      </w:r>
      <w:r>
        <w:rPr>
          <w:rFonts w:hint="eastAsia" w:ascii="宋体" w:hAnsi="宋体" w:eastAsia="宋体" w:cs="宋体"/>
          <w:b w:val="0"/>
          <w:bCs/>
          <w:color w:val="auto"/>
          <w:sz w:val="21"/>
          <w:szCs w:val="21"/>
          <w:highlight w:val="none"/>
          <w:lang w:val="en-US" w:eastAsia="zh-CN" w:bidi="ar-SA"/>
        </w:rPr>
        <w:t xml:space="preserve">价格行情（超市参与零售价，不包括促销价及优惠价）为定价依据，经双方协商确定，价格表半月确认一次</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none"/>
          <w:lang w:eastAsia="zh-CN"/>
        </w:rPr>
        <w:t xml:space="preserve">采购方根据当月实际配送种类、数量及价格结算货款。</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u w:val="none"/>
          <w:lang w:val="en-US" w:eastAsia="zh-CN"/>
        </w:rPr>
        <w:t xml:space="preserve">单位</w:t>
      </w:r>
      <w:r>
        <w:rPr>
          <w:rFonts w:hint="eastAsia" w:ascii="宋体" w:hAnsi="宋体" w:eastAsia="宋体" w:cs="宋体"/>
          <w:color w:val="auto"/>
          <w:szCs w:val="21"/>
          <w:highlight w:val="none"/>
          <w:u w:val="none"/>
          <w:lang w:eastAsia="zh-CN"/>
        </w:rPr>
        <w:t xml:space="preserve">每</w:t>
      </w:r>
      <w:r>
        <w:rPr>
          <w:rFonts w:hint="eastAsia" w:ascii="宋体" w:hAnsi="宋体" w:eastAsia="宋体" w:cs="宋体"/>
          <w:color w:val="auto"/>
          <w:szCs w:val="21"/>
          <w:highlight w:val="none"/>
          <w:u w:val="none"/>
          <w:lang w:val="en-US" w:eastAsia="zh-CN"/>
        </w:rPr>
        <w:t xml:space="preserve">两周</w:t>
      </w:r>
      <w:r>
        <w:rPr>
          <w:rFonts w:hint="eastAsia" w:ascii="宋体" w:hAnsi="宋体" w:eastAsia="宋体" w:cs="宋体"/>
          <w:color w:val="auto"/>
          <w:szCs w:val="21"/>
          <w:highlight w:val="none"/>
          <w:u w:val="none"/>
          <w:lang w:eastAsia="zh-CN"/>
        </w:rPr>
        <w:t xml:space="preserve">周</w:t>
      </w:r>
      <w:r>
        <w:rPr>
          <w:rFonts w:hint="eastAsia" w:ascii="宋体" w:hAnsi="宋体" w:eastAsia="宋体" w:cs="宋体"/>
          <w:color w:val="auto"/>
          <w:szCs w:val="21"/>
          <w:highlight w:val="none"/>
          <w:u w:val="none"/>
          <w:lang w:val="en-US" w:eastAsia="zh-CN"/>
        </w:rPr>
        <w:t xml:space="preserve">三</w:t>
      </w:r>
      <w:r>
        <w:rPr>
          <w:rFonts w:hint="eastAsia" w:ascii="宋体" w:hAnsi="宋体" w:eastAsia="宋体" w:cs="宋体"/>
          <w:color w:val="auto"/>
          <w:szCs w:val="21"/>
          <w:highlight w:val="none"/>
          <w:u w:val="none"/>
          <w:lang w:eastAsia="zh-CN"/>
        </w:rPr>
        <w:t xml:space="preserve">上午10点</w:t>
      </w:r>
      <w:r>
        <w:rPr>
          <w:rFonts w:hint="eastAsia" w:ascii="宋体" w:hAnsi="宋体" w:eastAsia="宋体" w:cs="宋体"/>
          <w:color w:val="auto"/>
          <w:szCs w:val="21"/>
          <w:highlight w:val="none"/>
          <w:u w:val="none"/>
          <w:lang w:eastAsia="zh-CN"/>
        </w:rPr>
        <w:t xml:space="preserve">前向</w:t>
      </w:r>
      <w:r>
        <w:rPr>
          <w:rFonts w:hint="eastAsia" w:ascii="宋体" w:hAnsi="宋体" w:eastAsia="宋体" w:cs="宋体"/>
          <w:color w:val="auto"/>
          <w:szCs w:val="21"/>
          <w:highlight w:val="none"/>
          <w:u w:val="none"/>
          <w:lang w:val="en-US" w:eastAsia="zh-CN"/>
        </w:rPr>
        <w:t xml:space="preserve">采购方食堂主管</w:t>
      </w:r>
      <w:r>
        <w:rPr>
          <w:rFonts w:hint="eastAsia" w:ascii="宋体" w:hAnsi="宋体" w:eastAsia="宋体" w:cs="宋体"/>
          <w:color w:val="auto"/>
          <w:szCs w:val="21"/>
          <w:highlight w:val="none"/>
          <w:u w:val="none"/>
          <w:lang w:eastAsia="zh-CN"/>
        </w:rPr>
        <w:t xml:space="preserve">提供下</w:t>
      </w:r>
      <w:r>
        <w:rPr>
          <w:rFonts w:hint="eastAsia" w:ascii="宋体" w:hAnsi="宋体" w:eastAsia="宋体" w:cs="宋体"/>
          <w:color w:val="auto"/>
          <w:szCs w:val="21"/>
          <w:highlight w:val="none"/>
          <w:u w:val="none"/>
          <w:lang w:val="en-US" w:eastAsia="zh-CN"/>
        </w:rPr>
        <w:t xml:space="preserve">两</w:t>
      </w:r>
      <w:r>
        <w:rPr>
          <w:rFonts w:hint="eastAsia" w:ascii="宋体" w:hAnsi="宋体" w:eastAsia="宋体" w:cs="宋体"/>
          <w:color w:val="auto"/>
          <w:szCs w:val="21"/>
          <w:highlight w:val="none"/>
          <w:u w:val="none"/>
          <w:lang w:eastAsia="zh-CN"/>
        </w:rPr>
        <w:t xml:space="preserve">周食材报价表（盖</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u w:val="none"/>
          <w:lang w:val="en-US" w:eastAsia="zh-CN"/>
        </w:rPr>
        <w:t xml:space="preserve">单位</w:t>
      </w:r>
      <w:r>
        <w:rPr>
          <w:rFonts w:hint="eastAsia" w:ascii="宋体" w:hAnsi="宋体" w:eastAsia="宋体" w:cs="宋体"/>
          <w:color w:val="auto"/>
          <w:szCs w:val="21"/>
          <w:highlight w:val="none"/>
          <w:u w:val="none"/>
          <w:lang w:eastAsia="zh-CN"/>
        </w:rPr>
        <w:t xml:space="preserve">公章</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none"/>
          <w:lang w:eastAsia="zh-CN"/>
        </w:rPr>
        <w:t xml:space="preserve">，经双方协商确定，双方签字确认后开始生效执行</w:t>
      </w:r>
      <w:r>
        <w:rPr>
          <w:rFonts w:hint="eastAsia" w:ascii="宋体" w:hAnsi="宋体" w:eastAsia="宋体" w:cs="宋体"/>
          <w:color w:val="auto"/>
          <w:szCs w:val="21"/>
          <w:highlight w:val="none"/>
        </w:rPr>
        <w:t xml:space="preserve">。确认好的价格任何一方不得随意更改。在价格表上没出现而临时定价的特殊品种，如采购方有异议，需双方协商后予以最后确认。</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结算货款时，双方严格按确认后的价格予以结算。</w:t>
      </w:r>
      <w:r>
        <w:rPr>
          <w:rFonts w:hint="eastAsia" w:ascii="宋体" w:hAnsi="宋体" w:eastAsia="宋体" w:cs="宋体"/>
          <w:b/>
          <w:bCs/>
          <w:color w:val="auto"/>
          <w:szCs w:val="21"/>
          <w:highlight w:val="none"/>
          <w:lang w:val="en-US" w:eastAsia="zh-CN"/>
        </w:rPr>
        <w:t xml:space="preserve">最终结算价格，以基准价结合投标单位承诺的优惠率进行计算。</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none"/>
        </w:rPr>
        <w:t xml:space="preserve">如遇台风、暴雨、供求关系、宏观调控等原因造成的市场价格上涨（超过5%）或下降（超过5%）持续超过</w:t>
      </w:r>
      <w:r>
        <w:rPr>
          <w:rFonts w:hint="eastAsia" w:ascii="宋体" w:hAnsi="宋体" w:eastAsia="宋体" w:cs="宋体"/>
          <w:color w:val="auto"/>
          <w:szCs w:val="21"/>
          <w:highlight w:val="none"/>
          <w:u w:val="none"/>
          <w:lang w:val="en-US" w:eastAsia="zh-CN"/>
        </w:rPr>
        <w:t xml:space="preserve">3</w:t>
      </w:r>
      <w:r>
        <w:rPr>
          <w:rFonts w:hint="eastAsia" w:ascii="宋体" w:hAnsi="宋体" w:eastAsia="宋体" w:cs="宋体"/>
          <w:color w:val="auto"/>
          <w:szCs w:val="21"/>
          <w:highlight w:val="none"/>
          <w:u w:val="none"/>
        </w:rPr>
        <w:t xml:space="preserve">天，需临时调整时，经甲乙双方协商同意后方可调整</w:t>
      </w:r>
      <w:r>
        <w:rPr>
          <w:rFonts w:hint="eastAsia" w:ascii="宋体" w:hAnsi="宋体" w:eastAsia="宋体" w:cs="宋体"/>
          <w:color w:val="auto"/>
          <w:szCs w:val="21"/>
          <w:highlight w:val="none"/>
        </w:rPr>
        <w:t xml:space="preserve">。</w:t>
      </w:r>
      <w:r/>
    </w:p>
    <w:p>
      <w:pPr>
        <w:ind w:left="0"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3、采购方将不定期地对</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 w:val="21"/>
          <w:szCs w:val="21"/>
          <w:highlight w:val="none"/>
          <w:lang w:val="en-US" w:eastAsia="zh-CN" w:bidi="ar-SA"/>
        </w:rPr>
        <w:t xml:space="preserve">单位的结算价格进行抽查，一经发现</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 w:val="21"/>
          <w:szCs w:val="21"/>
          <w:highlight w:val="none"/>
          <w:lang w:val="en-US" w:eastAsia="zh-CN" w:bidi="ar-SA"/>
        </w:rPr>
        <w:t xml:space="preserve">单位所提供的结算价格与本项目约定的结算价格不一致时，第一次严重警告，扣除当季度供应食材总金额的5%，如发生第二次，采购方有权立即解除合同。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四</w:t>
      </w:r>
      <w:r>
        <w:rPr>
          <w:rFonts w:hint="eastAsia" w:ascii="宋体" w:hAnsi="宋体" w:eastAsia="宋体" w:cs="宋体"/>
          <w:b/>
          <w:color w:val="auto"/>
          <w:szCs w:val="21"/>
          <w:highlight w:val="none"/>
        </w:rPr>
        <w:t xml:space="preserve">）付款方式</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成交单位</w:t>
      </w:r>
      <w:r>
        <w:rPr>
          <w:rFonts w:hint="eastAsia" w:ascii="宋体" w:hAnsi="宋体" w:eastAsia="宋体" w:cs="宋体"/>
          <w:color w:val="auto"/>
          <w:szCs w:val="21"/>
          <w:highlight w:val="none"/>
        </w:rPr>
        <w:t xml:space="preserve">根据当月实际配送种类、数量及价格结算货款。货款每月结算一次，</w:t>
      </w:r>
      <w:r>
        <w:rPr>
          <w:rFonts w:hint="eastAsia" w:ascii="宋体" w:hAnsi="宋体" w:eastAsia="宋体" w:cs="宋体"/>
          <w:color w:val="auto"/>
          <w:szCs w:val="21"/>
          <w:highlight w:val="none"/>
          <w:lang w:val="en-US" w:eastAsia="zh-CN"/>
        </w:rPr>
        <w:t xml:space="preserve">结算周期为：自然月度（每月1日-31日）</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单位</w:t>
      </w:r>
      <w:r>
        <w:rPr>
          <w:rFonts w:hint="eastAsia" w:ascii="宋体" w:hAnsi="宋体" w:eastAsia="宋体" w:cs="宋体"/>
          <w:color w:val="auto"/>
          <w:szCs w:val="21"/>
          <w:highlight w:val="none"/>
        </w:rPr>
        <w:t xml:space="preserve">需在双方核对货款金额无误后提前向采购方提供由其出具的符合采购方要求的国家正式税务发票，</w:t>
      </w:r>
      <w:r>
        <w:rPr>
          <w:rFonts w:hint="eastAsia" w:ascii="宋体" w:hAnsi="宋体" w:eastAsia="宋体" w:cs="宋体"/>
          <w:color w:val="auto"/>
          <w:szCs w:val="21"/>
          <w:highlight w:val="none"/>
          <w:lang w:val="en-US" w:eastAsia="zh-CN"/>
        </w:rPr>
        <w:t xml:space="preserve">采购方收到发票后15日内（核实价格和数量无差异）再转账给成交单位</w:t>
      </w:r>
      <w:r>
        <w:rPr>
          <w:rFonts w:hint="eastAsia" w:ascii="宋体" w:hAnsi="宋体" w:eastAsia="宋体" w:cs="宋体"/>
          <w:color w:val="auto"/>
          <w:szCs w:val="21"/>
          <w:highlight w:val="none"/>
        </w:rPr>
        <w:t xml:space="preserve">，不得将货款交给其他人员。</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2、采购人将</w:t>
      </w:r>
      <w:r>
        <w:rPr>
          <w:rFonts w:hint="eastAsia" w:ascii="宋体" w:hAnsi="宋体" w:eastAsia="宋体" w:cs="宋体"/>
          <w:color w:val="auto"/>
          <w:szCs w:val="21"/>
          <w:highlight w:val="none"/>
          <w:lang w:eastAsia="zh-CN"/>
        </w:rPr>
        <w:t xml:space="preserve">不定期地对</w:t>
      </w:r>
      <w:r>
        <w:rPr>
          <w:rFonts w:hint="eastAsia" w:ascii="宋体" w:hAnsi="宋体" w:eastAsia="宋体" w:cs="宋体"/>
          <w:color w:val="auto"/>
          <w:szCs w:val="21"/>
          <w:highlight w:val="none"/>
        </w:rPr>
        <w:t xml:space="preserve">中标人的结算价格进行抽查，一经发现中标人所提供的结算价格与本项目约定的结算价格不一致时，第一次严重警告，扣除当季度供应食品总金额5％，如发生第二次，采购人有权立即解除合同。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监督</w:t>
      </w:r>
      <w:r>
        <w:rPr>
          <w:rFonts w:hint="eastAsia" w:ascii="宋体" w:hAnsi="宋体" w:eastAsia="宋体" w:cs="宋体"/>
          <w:b/>
          <w:color w:val="auto"/>
          <w:szCs w:val="21"/>
          <w:highlight w:val="none"/>
        </w:rPr>
        <w:t xml:space="preserve">考核管理</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1、采购方设立食堂食材评价工作小组，小组由吴江区卫生健康委员会督查部和食堂相关人员组成，小组将不定期对</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单位提供的食材质量进行督查，并参与对</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单位的月度考核。采购方每月考核得出总分，如总分低于90分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不含90分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单位要做出书面整改承诺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并按照每下降一分</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rPr>
        <w:t xml:space="preserve">90为基准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处以500元扣款，采购方有权直接从应付未付款项中扣除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考核表见附件一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2、成交单位在合同执行期间有下列行为之一的，采购方可直接解除服务合同并没收履约保证金</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不按采购需求、投标文件以及采购服务合同要求履约，或履约情况评价不合格的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未按规定出具检测报告或相关承诺书等资料累计达到二次的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经核实配送物资不符合采购单位要求累计达到三次的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因食品质量问题退货三次</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以上</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商品短斤缺两、以次充好、擅自提价等采购方提出一次后再犯</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因供应的货物质量达不到国家有关食品安全标准而造成食物中毒等食源性疾病或其他事故，经公安机关或卫生防疫部门鉴定属于供应商责任的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无品名、产地、厂名、生产日期、保质期及中文标识及原料说明的定型包装食品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超过保质期限或不符合食品标签规定的定型包装食品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腐败变质、油脂酸败、霉变、生虫、污秽不洁、混有异物或者其他感官性状异常，含有毒、有害物质或者被有毒、有害物质污染，可能对人体健康有害的食品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（10）</w:t>
      </w:r>
      <w:r>
        <w:rPr>
          <w:rFonts w:hint="eastAsia" w:ascii="宋体" w:hAnsi="宋体" w:eastAsia="宋体" w:cs="宋体"/>
          <w:color w:val="auto"/>
          <w:szCs w:val="21"/>
          <w:highlight w:val="none"/>
        </w:rPr>
        <w:t xml:space="preserve">病死、死因不明或从疫区采购的水产品、畜、禽及其制品，不合格调味品，工业用盐，非碘盐或非食品原料和滥用食品添加剂，农药残留超标的蔬菜等</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w:t>
      </w:r>
      <w:r>
        <w:rPr>
          <w:rFonts w:hint="eastAsia" w:ascii="宋体" w:hAnsi="宋体" w:eastAsia="宋体" w:cs="宋体"/>
          <w:color w:val="auto"/>
          <w:szCs w:val="21"/>
          <w:highlight w:val="none"/>
        </w:rPr>
        <w:t xml:space="preserve">其他不符合食品卫生标准和要求的食品。</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（12）</w:t>
      </w:r>
      <w:r>
        <w:rPr>
          <w:rFonts w:hint="eastAsia" w:ascii="宋体" w:hAnsi="宋体" w:eastAsia="宋体" w:cs="宋体"/>
          <w:color w:val="auto"/>
          <w:szCs w:val="21"/>
          <w:highlight w:val="none"/>
        </w:rPr>
        <w:t xml:space="preserve">月度考核半年二次或二次以上低于85分</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（12）</w:t>
      </w:r>
      <w:r>
        <w:rPr>
          <w:rFonts w:hint="eastAsia" w:ascii="宋体" w:hAnsi="宋体" w:eastAsia="宋体" w:cs="宋体"/>
          <w:color w:val="auto"/>
          <w:szCs w:val="21"/>
          <w:highlight w:val="none"/>
        </w:rPr>
        <w:t xml:space="preserve">采购单位不满意率达到60%以上</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（13）</w:t>
      </w:r>
      <w:r>
        <w:rPr>
          <w:rFonts w:hint="eastAsia" w:ascii="宋体" w:hAnsi="宋体" w:eastAsia="宋体" w:cs="宋体"/>
          <w:color w:val="auto"/>
          <w:szCs w:val="21"/>
          <w:highlight w:val="none"/>
        </w:rPr>
        <w:t xml:space="preserve">被政府监管部门查到故意向采购单位销售假冒伪劣商品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（14）</w:t>
      </w:r>
      <w:r>
        <w:rPr>
          <w:rFonts w:hint="eastAsia" w:ascii="宋体" w:hAnsi="宋体" w:eastAsia="宋体" w:cs="宋体"/>
          <w:color w:val="auto"/>
          <w:szCs w:val="21"/>
          <w:highlight w:val="none"/>
        </w:rPr>
        <w:t xml:space="preserve">经查实，将部分配送工作分包或转包给他人或其他单位</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（15）</w:t>
      </w:r>
      <w:r>
        <w:rPr>
          <w:rFonts w:hint="eastAsia" w:ascii="宋体" w:hAnsi="宋体" w:eastAsia="宋体" w:cs="宋体"/>
          <w:color w:val="auto"/>
          <w:szCs w:val="21"/>
          <w:highlight w:val="none"/>
        </w:rPr>
        <w:t xml:space="preserve">用餐人员对食材品质不满意反响较大。</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3、成交单位应遵守合同约定，做好廉洁自律。</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4、采购单位监管成交单位完成其主要工作职责</w:t>
      </w:r>
      <w:r>
        <w:rPr>
          <w:rFonts w:hint="eastAsia" w:ascii="宋体" w:hAnsi="宋体" w:eastAsia="宋体" w:cs="宋体"/>
          <w:color w:val="auto"/>
          <w:szCs w:val="21"/>
          <w:highlight w:val="none"/>
          <w:lang w:val="en-US" w:eastAsia="zh-CN"/>
        </w:rPr>
        <w:t xml:space="preserve">（成交单位主要职责见附件二）。</w:t>
      </w:r>
      <w:r/>
    </w:p>
    <w:p>
      <w:pPr>
        <w:numPr>
          <w:ilvl w:val="0"/>
          <w:numId w:val="0"/>
        </w:numPr>
        <w:ind w:left="0" w:firstLine="420"/>
        <w:jc w:val="both"/>
        <w:keepLines w:val="0"/>
        <w:keepNext w:val="0"/>
        <w:pageBreakBefore w:val="0"/>
        <w:spacing w:line="360" w:lineRule="auto"/>
        <w:widowControl w:val="off"/>
        <w:rPr>
          <w:rFonts w:ascii="宋体" w:hAnsi="宋体" w:cs="宋体"/>
          <w:b/>
          <w:bCs/>
          <w:color w:val="auto"/>
          <w:szCs w:val="21"/>
          <w:highlight w:val="none"/>
        </w:rPr>
      </w:pPr>
      <w:r>
        <w:rPr>
          <w:rFonts w:hint="eastAsia" w:ascii="宋体" w:hAnsi="Times New Roman" w:eastAsia="宋体" w:cs="Times New Roman"/>
          <w:color w:val="auto"/>
          <w:sz w:val="21"/>
          <w:highlight w:val="none"/>
          <w:lang w:val="en-US" w:eastAsia="zh-CN" w:bidi="ar-SA"/>
        </w:rPr>
        <w:t xml:space="preserve"> </w:t>
      </w: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四、综合说明及其它要求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供应商必须承诺招标文件中提出的全部服务要求，如果其中某些条款不响应时，应在文件中逐条列出，未列出的视同响应。</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t xml:space="preserve">2、报价说明：供应商应对所投项目的全部内容进行报价，只投其中部分内容或出现选择性报价的，其标书将被拒绝。响应报价</w:t>
      </w:r>
      <w:r>
        <w:rPr>
          <w:rFonts w:hint="eastAsia" w:ascii="宋体" w:hAnsi="宋体" w:cs="宋体"/>
          <w:color w:val="auto"/>
          <w:szCs w:val="21"/>
          <w:highlight w:val="none"/>
          <w:lang w:val="en-US" w:eastAsia="zh-CN"/>
        </w:rPr>
        <w:t xml:space="preserve">包括但不限于完成该项工作所需的运费、人工、利润、包装、制作、各种税费、劳保、仓储及管理费用等一切费用。除非因特殊原因并经买卖双方协商同意，供应商不得再要求追加任何费用</w:t>
      </w:r>
      <w:r>
        <w:rPr>
          <w:rFonts w:hint="eastAsia" w:ascii="宋体" w:hAnsi="宋体" w:eastAsia="宋体" w:cs="宋体"/>
          <w:color w:val="auto"/>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t xml:space="preserve">3、采购文件的澄清、修改等内容均将在财政部门指定的政府采购信息发布媒体上发布，作为采购文件的组成部分，对供应商起约束作用。</w:t>
      </w:r>
      <w:r/>
    </w:p>
    <w:p>
      <w:pPr>
        <w:ind w:left="0"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五、磋商文件的澄清和修改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六、电子响应文件的组成和顺序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w:t>
      </w:r>
      <w:r>
        <w:rPr>
          <w:rFonts w:hint="eastAsia" w:ascii="宋体" w:hAnsi="宋体" w:cs="宋体"/>
          <w:bCs/>
          <w:color w:val="auto"/>
          <w:sz w:val="21"/>
          <w:szCs w:val="21"/>
          <w:highlight w:val="none"/>
          <w:lang w:val="en-US" w:eastAsia="zh-CN"/>
        </w:rPr>
        <w:t xml:space="preserve">具有良好的商业信誉和健全的财务会计制度。包括法人应提供包括但不限于最近一期（2024年度或2025年度）经会计师事务所审计的财务报告或最近一期（2026年1月以来任意一期）财务报表（至少包括资产负债表、利润表），其他组织、自然人及成立未满一年的法人应提供银行出具的资信证明（加盖公章）</w:t>
      </w:r>
      <w:r>
        <w:rPr>
          <w:rFonts w:hint="eastAsia" w:ascii="宋体" w:hAnsi="宋体" w:cs="宋体"/>
          <w:bCs/>
          <w:color w:val="auto"/>
          <w:szCs w:val="21"/>
          <w:highlight w:val="none"/>
        </w:rPr>
        <w:t xml:space="preserve">；</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w:t>
      </w:r>
      <w:r>
        <w:rPr>
          <w:rFonts w:hint="eastAsia" w:ascii="宋体" w:hAnsi="宋体" w:cs="宋体"/>
          <w:bCs/>
          <w:color w:val="auto"/>
          <w:sz w:val="21"/>
          <w:szCs w:val="21"/>
          <w:highlight w:val="none"/>
          <w:lang w:val="en-US" w:eastAsia="zh-CN"/>
        </w:rPr>
        <w:t xml:space="preserve">有依法缴纳税收和社会保障资金的良好记录。提供参加本次采购活动前半年内至少一个月依法缴纳税收的凭据和依法缴纳社会保险的凭据（专用收据或社会保险缴纳清单），依法免税或不需要缴纳社会保险的供应商，应提供对应证明文件复印件（加盖公章）</w:t>
      </w:r>
      <w:r>
        <w:rPr>
          <w:rFonts w:hint="eastAsia" w:ascii="宋体" w:hAnsi="宋体" w:cs="宋体"/>
          <w:bCs/>
          <w:color w:val="auto"/>
          <w:szCs w:val="21"/>
          <w:highlight w:val="none"/>
        </w:rPr>
        <w:t xml:space="preserve">；</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p>
    <w:p>
      <w:pPr>
        <w:ind w:firstLine="422"/>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3.5参加政府采购活动前三年内在经营活动中没有重大违法记录的书面声明</w:t>
      </w:r>
      <w:r>
        <w:rPr>
          <w:rFonts w:hint="eastAsia" w:ascii="宋体" w:hAnsi="宋体" w:cs="宋体"/>
          <w:bCs/>
          <w:color w:val="auto"/>
          <w:szCs w:val="21"/>
          <w:highlight w:val="none"/>
          <w:lang w:eastAsia="zh-CN"/>
        </w:rPr>
        <w:t xml:space="preserve">；</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3.6法律、行政法规规定的其他条件；</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3.7特定资格要求的证明材料。若供应商为食品销售企业，须提供行业主管部门颁发的《食品经营许可证》复印件（仅供应食用农产品及预包装食品的，可提供仅销售预包装食品经营者备案复印件）； 若供应商为食品生产企业，须提供行业主管部门颁发的《食品生产许可证》复印件；</w:t>
      </w:r>
      <w:r/>
    </w:p>
    <w:p>
      <w:pPr>
        <w:ind w:firstLine="422"/>
        <w:spacing w:line="360" w:lineRule="auto"/>
        <w:rPr>
          <w:rFonts w:hint="eastAsia" w:ascii="宋体" w:hAnsi="宋体" w:cs="宋体"/>
          <w:b/>
          <w:color w:val="auto"/>
          <w:szCs w:val="21"/>
          <w:highlight w:val="none"/>
        </w:rPr>
      </w:pPr>
      <w:r>
        <w:rPr>
          <w:rFonts w:hint="eastAsia" w:ascii="宋体" w:hAnsi="宋体" w:cs="宋体"/>
          <w:b w:val="0"/>
          <w:bCs/>
          <w:color w:val="auto"/>
          <w:sz w:val="21"/>
          <w:szCs w:val="21"/>
          <w:highlight w:val="none"/>
          <w:lang w:val="en-US" w:eastAsia="zh-CN"/>
        </w:rPr>
        <w:t xml:space="preserve">3.8《中小企业声明函》或《残疾人福利性单位声明函》或由省级以上监狱管理局、戒毒管理局（含新疆生产建设兵团）出具的属于监狱企业的证明文件。</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rPr>
        <w:t xml:space="preserve">关于资格文件的声明函；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磋商响应函；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供应商法定代表人身份证复印件；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法定代表人授权委托书（如有授权）；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供应商代理人身份证复印件（如有授权）；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投标（响应）保证承诺书（必须提供，不提供为无效响应）；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偏离表（商务条款偏离表、服务条款偏离表）；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供应商情况表；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实质性条款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val="en-US" w:eastAsia="zh-CN"/>
        </w:rPr>
        <w:t xml:space="preserve">服务方案</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5.2人员配备比较；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综合实力</w:t>
      </w:r>
      <w:r>
        <w:rPr>
          <w:rFonts w:hint="eastAsia" w:ascii="宋体" w:hAnsi="宋体" w:cs="宋体"/>
          <w:color w:val="auto"/>
          <w:szCs w:val="21"/>
          <w:highlight w:val="none"/>
          <w:lang w:val="zh-CN"/>
        </w:rPr>
        <w:t xml:space="preserve">；</w:t>
      </w:r>
      <w:r/>
    </w:p>
    <w:p>
      <w:pPr>
        <w:numPr>
          <w:ilvl w:val="0"/>
          <w:numId w:val="4"/>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价格折扣响应文件</w:t>
      </w:r>
      <w:r/>
    </w:p>
    <w:p>
      <w:pPr>
        <w:numPr>
          <w:ilvl w:val="0"/>
          <w:numId w:val="0"/>
        </w:num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cs="宋体"/>
          <w:b/>
          <w:color w:val="auto"/>
          <w:szCs w:val="21"/>
          <w:highlight w:val="none"/>
          <w:lang w:val="zh-CN"/>
        </w:rPr>
        <w:t xml:space="preserve">中小企业声明函/残疾人福利性单位声明函/监狱企业的证明文件。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磋商响应文件由1、2、3、4、5和6款规定的内容共同组成。供应商必须提交上述3、4、6款规定的资料，否则，响应文件将因资格性条件不符或未实质性响应采购文件而被拒绝；并须按照“响应文件组成”将相关材料上传至相应模块，否则视为无效，对应项不得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ascii="宋体" w:hAnsi="宋体" w:cs="宋体"/>
          <w:b/>
          <w:bCs/>
          <w:color w:val="auto"/>
          <w:szCs w:val="21"/>
          <w:highlight w:val="none"/>
          <w:lang w:val="zh-CN"/>
        </w:rPr>
        <w:outlineLvl w:val="1"/>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10.报价（编制）要求的说明</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七</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1070"/>
        <w:ind w:firstLine="420"/>
        <w:spacing w:line="360" w:lineRule="auto"/>
        <w:rPr>
          <w:rFonts w:ascii="宋体" w:hAnsi="宋体" w:cs="宋体"/>
          <w:bCs/>
          <w:color w:val="auto"/>
          <w:sz w:val="21"/>
          <w:szCs w:val="21"/>
          <w:highlight w:val="none"/>
        </w:rPr>
        <w:outlineLvl w:val="1"/>
      </w:pPr>
      <w:r>
        <w:rPr>
          <w:rFonts w:hint="eastAsia" w:ascii="宋体" w:hAnsi="宋体" w:cs="宋体"/>
          <w:bCs/>
          <w:color w:val="auto"/>
          <w:sz w:val="21"/>
          <w:szCs w:val="21"/>
          <w:highlight w:val="none"/>
        </w:rPr>
        <w:t xml:space="preserve">（一）响应截止时间</w:t>
      </w:r>
      <w:r/>
    </w:p>
    <w:p>
      <w:pPr>
        <w:pStyle w:val="1070"/>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1、网上响应文件必须在响应截止时间前提交，逾期提交响应文件的，采购单位拒绝接收。</w:t>
      </w:r>
      <w:r/>
    </w:p>
    <w:p>
      <w:pPr>
        <w:pStyle w:val="1070"/>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（二）响应文件的补充、修改或者撤回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1、响应文件的修改应在磋商截止时间前进行。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3、磋商截止时间后供应商不得撤回投标。否则按投标（响应）保证承诺书中承诺履行违约赔偿。</w:t>
      </w:r>
      <w:r/>
    </w:p>
    <w:p>
      <w:pPr>
        <w:pStyle w:val="1070"/>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八</w:t>
      </w:r>
      <w:r>
        <w:rPr>
          <w:rFonts w:hint="eastAsia" w:ascii="宋体" w:hAnsi="宋体" w:cs="宋体"/>
          <w:b/>
          <w:bCs/>
          <w:color w:val="auto"/>
          <w:sz w:val="21"/>
          <w:szCs w:val="21"/>
          <w:highlight w:val="none"/>
        </w:rPr>
        <w:t xml:space="preserve">、响应无效和项目的终止</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（一）供应商存在下列情况之一的，响应无效：</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1、响应文件签署、盖章不符合竞争性磋商采购文件规定要求的；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2、供应商不具备竞争性磋商采购文件中规定资格条件的；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3、报价超过采购文件中规定的预算金额或者最高限价的；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4、未按要求提供投标（响应）保证承诺书；</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5、响应文件含有采购单位不能接受的附加条件；</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6、因磋商供应商自身原因导致网上磋商响应文件无法递交的其他情况；</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7、不符合</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和竞争性磋商采购文件中规定的其他实质性要求的；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及本竞争性磋商采购文件规定的其他无效的情形。</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w:t>
      </w:r>
      <w:r>
        <w:rPr>
          <w:rFonts w:hint="eastAsia" w:ascii="宋体" w:hAnsi="宋体" w:cs="宋体"/>
          <w:color w:val="auto"/>
          <w:sz w:val="21"/>
          <w:szCs w:val="21"/>
          <w:highlight w:val="none"/>
          <w:lang w:eastAsia="zh-CN"/>
        </w:rPr>
        <w:t xml:space="preserve">下列</w:t>
      </w:r>
      <w:r>
        <w:rPr>
          <w:rFonts w:hint="eastAsia" w:ascii="宋体" w:hAnsi="宋体" w:cs="宋体"/>
          <w:color w:val="auto"/>
          <w:sz w:val="21"/>
          <w:szCs w:val="21"/>
          <w:highlight w:val="none"/>
        </w:rPr>
        <w:t xml:space="preserve">情形之一的，视为磋商供应商恶意串通，磋商小组应当认定其响应无效，并书面报告本级财政部门。</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1、不同供应商的响应文件由同一单位或者个人编制；</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w:t>
      </w:r>
      <w:r>
        <w:rPr>
          <w:rFonts w:hint="eastAsia" w:ascii="宋体" w:hAnsi="宋体" w:cs="宋体"/>
          <w:color w:val="auto"/>
          <w:sz w:val="21"/>
          <w:szCs w:val="21"/>
          <w:highlight w:val="none"/>
          <w:lang w:val="en-US" w:eastAsia="zh-CN"/>
        </w:rPr>
        <w:t xml:space="preserve">方式</w:t>
      </w:r>
      <w:r>
        <w:rPr>
          <w:rFonts w:hint="eastAsia" w:ascii="宋体" w:hAnsi="宋体" w:cs="宋体"/>
          <w:color w:val="auto"/>
          <w:sz w:val="21"/>
          <w:szCs w:val="21"/>
          <w:highlight w:val="none"/>
        </w:rPr>
        <w:t xml:space="preserve">适用情形的；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1070"/>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3、磋商小组认定采购文件存在歧义、重大缺陷导致评审工作无法进行；</w:t>
      </w:r>
      <w:r/>
    </w:p>
    <w:p>
      <w:pPr>
        <w:pStyle w:val="1070"/>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4、因苏采云</w:t>
      </w:r>
      <w:r>
        <w:rPr>
          <w:rFonts w:hint="eastAsia" w:ascii="宋体" w:hAnsi="宋体" w:cs="宋体"/>
          <w:color w:val="auto"/>
          <w:sz w:val="21"/>
          <w:szCs w:val="21"/>
          <w:highlight w:val="none"/>
          <w:lang w:eastAsia="zh-CN"/>
        </w:rPr>
        <w:t xml:space="preserve">系统故障</w:t>
      </w:r>
      <w:r>
        <w:rPr>
          <w:rFonts w:hint="eastAsia" w:ascii="宋体" w:hAnsi="宋体" w:cs="宋体"/>
          <w:color w:val="auto"/>
          <w:sz w:val="21"/>
          <w:szCs w:val="21"/>
          <w:highlight w:val="none"/>
        </w:rPr>
        <w:t xml:space="preserve">原因造成开标不成功的。</w:t>
      </w:r>
      <w:r/>
    </w:p>
    <w:p>
      <w:pPr>
        <w:pStyle w:val="1070"/>
        <w:ind w:firstLine="422"/>
        <w:spacing w:line="360" w:lineRule="auto"/>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t xml:space="preserve">九、综合说明</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1、本次竞争性磋商不分采购单元，各供应商须对全部内容进行响应报价，但不得出现选择性报价。</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2、采购代理服务费</w:t>
      </w:r>
      <w:r/>
    </w:p>
    <w:p>
      <w:pPr>
        <w:ind w:firstLine="420"/>
        <w:spacing w:line="360" w:lineRule="auto"/>
        <w:rPr>
          <w:rFonts w:hint="eastAsia" w:ascii="宋体" w:hAnsi="宋体" w:eastAsia="宋体" w:cs="宋体"/>
          <w:color w:val="auto"/>
          <w:szCs w:val="21"/>
          <w:highlight w:val="none"/>
          <w:lang w:val="zh-TW" w:eastAsia="zh-CN"/>
        </w:rPr>
      </w:pPr>
      <w:r>
        <w:rPr>
          <w:rFonts w:hint="eastAsia" w:ascii="宋体" w:hAnsi="宋体" w:eastAsia="宋体" w:cs="宋体"/>
          <w:color w:val="auto"/>
          <w:szCs w:val="21"/>
          <w:highlight w:val="none"/>
        </w:rPr>
        <w:t xml:space="preserve">本项目采购代理服务费根据代理协议约定由采购单位支付，支付金额的计算方式为按照采购预算100万元以内1.5%，100-500万元1.1%，500-1000万元0.8%，1000-5000万元0.5%，按差额定率累进法计算并支付</w:t>
      </w:r>
      <w:r>
        <w:rPr>
          <w:rFonts w:hint="eastAsia" w:ascii="宋体" w:hAnsi="宋体" w:eastAsia="宋体" w:cs="宋体"/>
          <w:color w:val="auto"/>
          <w:szCs w:val="21"/>
          <w:highlight w:val="none"/>
          <w:lang w:val="en-US" w:eastAsia="zh-CN"/>
        </w:rPr>
        <w:t xml:space="preserve">采购代理</w:t>
      </w:r>
      <w:r>
        <w:rPr>
          <w:rFonts w:hint="eastAsia" w:ascii="宋体" w:hAnsi="宋体" w:eastAsia="宋体" w:cs="宋体"/>
          <w:color w:val="auto"/>
          <w:szCs w:val="21"/>
          <w:highlight w:val="none"/>
        </w:rPr>
        <w:t xml:space="preserve">服务费。</w:t>
      </w:r>
      <w:r>
        <w:rPr>
          <w:rFonts w:hint="eastAsia" w:ascii="宋体" w:hAnsi="宋体" w:eastAsia="宋体" w:cs="宋体"/>
          <w:color w:val="auto"/>
          <w:szCs w:val="21"/>
          <w:highlight w:val="none"/>
          <w:lang w:val="zh-TW"/>
        </w:rPr>
        <w:t xml:space="preserve">本项目采购代理服务费</w:t>
      </w:r>
      <w:r>
        <w:rPr>
          <w:rFonts w:hint="eastAsia" w:ascii="宋体" w:hAnsi="宋体" w:eastAsia="宋体" w:cs="宋体"/>
          <w:color w:val="auto"/>
          <w:szCs w:val="21"/>
          <w:highlight w:val="none"/>
          <w:lang w:val="zh-TW" w:eastAsia="zh-CN"/>
        </w:rPr>
        <w:t xml:space="preserve">经中介超市竞价</w:t>
      </w:r>
      <w:r>
        <w:rPr>
          <w:rFonts w:hint="eastAsia" w:ascii="宋体" w:hAnsi="宋体" w:eastAsia="宋体" w:cs="宋体"/>
          <w:color w:val="auto"/>
          <w:szCs w:val="21"/>
          <w:highlight w:val="none"/>
          <w:lang w:val="zh-TW"/>
        </w:rPr>
        <w:t xml:space="preserve">为：</w:t>
      </w:r>
      <w:r>
        <w:rPr>
          <w:rFonts w:hint="eastAsia" w:ascii="宋体" w:hAnsi="宋体" w:eastAsia="宋体" w:cs="宋体"/>
          <w:color w:val="auto"/>
          <w:szCs w:val="21"/>
          <w:highlight w:val="none"/>
          <w:lang w:val="zh-TW"/>
        </w:rPr>
        <w:t xml:space="preserve">人民币</w:t>
      </w:r>
      <w:r>
        <w:rPr>
          <w:rFonts w:hint="eastAsia" w:ascii="宋体" w:hAnsi="宋体" w:cs="宋体"/>
          <w:color w:val="auto"/>
          <w:szCs w:val="21"/>
          <w:highlight w:val="none"/>
          <w:lang w:val="en-US" w:eastAsia="zh-CN"/>
        </w:rPr>
        <w:t xml:space="preserve">贰万</w:t>
      </w:r>
      <w:r>
        <w:rPr>
          <w:rFonts w:hint="eastAsia" w:ascii="宋体" w:hAnsi="宋体" w:eastAsia="宋体" w:cs="宋体"/>
          <w:color w:val="auto"/>
          <w:szCs w:val="21"/>
          <w:highlight w:val="none"/>
          <w:lang w:val="en-US" w:eastAsia="zh-CN"/>
        </w:rPr>
        <w:t xml:space="preserve">捌仟</w:t>
      </w:r>
      <w:r>
        <w:rPr>
          <w:rFonts w:hint="eastAsia" w:ascii="宋体" w:hAnsi="宋体" w:eastAsia="宋体" w:cs="宋体"/>
          <w:color w:val="auto"/>
          <w:szCs w:val="21"/>
          <w:highlight w:val="none"/>
          <w:lang w:val="zh-TW" w:eastAsia="zh-CN"/>
        </w:rPr>
        <w:t xml:space="preserve">元整（￥</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80</w:t>
      </w:r>
      <w:r>
        <w:rPr>
          <w:rFonts w:hint="eastAsia" w:ascii="宋体" w:hAnsi="宋体" w:eastAsia="宋体" w:cs="宋体"/>
          <w:color w:val="auto"/>
          <w:szCs w:val="21"/>
          <w:highlight w:val="none"/>
          <w:lang w:val="zh-TW" w:eastAsia="zh-CN"/>
        </w:rPr>
        <w:t xml:space="preserve">00.00）</w:t>
      </w:r>
      <w:r>
        <w:rPr>
          <w:rFonts w:hint="eastAsia" w:ascii="宋体" w:hAnsi="宋体" w:eastAsia="宋体" w:cs="宋体"/>
          <w:color w:val="auto"/>
          <w:szCs w:val="21"/>
          <w:highlight w:val="none"/>
          <w:lang w:val="zh-TW" w:eastAsia="zh-CN"/>
        </w:rPr>
        <w:t xml:space="preserve">。</w:t>
      </w:r>
      <w:r/>
    </w:p>
    <w:p>
      <w:pPr>
        <w:ind w:firstLine="420"/>
        <w:jc w:val="left"/>
        <w:spacing w:line="360" w:lineRule="auto"/>
        <w:widowControl/>
        <w:rPr>
          <w:rFonts w:ascii="宋体" w:hAnsi="宋体" w:cs="宋体"/>
          <w:color w:val="auto"/>
          <w:szCs w:val="21"/>
          <w:highlight w:val="none"/>
          <w:lang w:val="zh-TW"/>
        </w:rPr>
      </w:pPr>
      <w:r>
        <w:rPr>
          <w:rFonts w:hint="eastAsia" w:ascii="宋体" w:hAnsi="宋体" w:eastAsia="宋体" w:cs="宋体"/>
          <w:color w:val="auto"/>
          <w:szCs w:val="21"/>
          <w:highlight w:val="none"/>
          <w:lang w:val="zh-TW" w:eastAsia="zh-CN"/>
        </w:rPr>
        <w:t xml:space="preserve">确立标准的依据：</w:t>
      </w:r>
      <w:r>
        <w:rPr>
          <w:rFonts w:hint="eastAsia" w:ascii="宋体" w:hAnsi="宋体" w:eastAsia="宋体" w:cs="宋体"/>
          <w:color w:val="auto"/>
          <w:szCs w:val="21"/>
          <w:highlight w:val="none"/>
          <w:lang w:val="en-US" w:eastAsia="zh-CN"/>
        </w:rPr>
        <w:t xml:space="preserve">经吴江区中介超市竞价</w:t>
      </w:r>
      <w:r>
        <w:rPr>
          <w:rFonts w:hint="eastAsia" w:ascii="宋体" w:hAnsi="宋体" w:cs="宋体"/>
          <w:color w:val="auto"/>
          <w:szCs w:val="21"/>
          <w:highlight w:val="none"/>
          <w:lang w:val="zh-TW"/>
        </w:rPr>
        <w:t xml:space="preserve">。</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号：8112001014900418757</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开户银行：中信银行吴江支行</w:t>
      </w:r>
      <w:r/>
    </w:p>
    <w:p>
      <w:pPr>
        <w:ind w:firstLine="420"/>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lang w:val="en-US" w:eastAsia="zh-CN"/>
        </w:rPr>
        <w:t xml:space="preserve">采购单位应当自代理服务履约完毕之日起30个工作日内支付采购代理服务费。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如</w:t>
      </w:r>
      <w:r>
        <w:rPr>
          <w:rFonts w:hint="default" w:ascii="宋体" w:hAnsi="宋体" w:eastAsia="宋体" w:cs="宋体"/>
          <w:color w:val="auto"/>
          <w:szCs w:val="21"/>
          <w:highlight w:val="none"/>
          <w:lang w:val="en-US" w:eastAsia="zh-CN"/>
        </w:rPr>
        <w:t xml:space="preserve">项目暂停、终止、废标等情况下</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采购代理服务费</w:t>
      </w:r>
      <w:r>
        <w:rPr>
          <w:rFonts w:hint="eastAsia" w:ascii="宋体" w:hAnsi="宋体" w:eastAsia="宋体" w:cs="宋体"/>
          <w:color w:val="auto"/>
          <w:szCs w:val="21"/>
          <w:highlight w:val="none"/>
          <w:lang w:val="en-US" w:eastAsia="zh-CN"/>
        </w:rPr>
        <w:t xml:space="preserve">按7折收取。</w:t>
      </w:r>
      <w:r/>
    </w:p>
    <w:p>
      <w:pPr>
        <w:numPr>
          <w:ilvl w:val="0"/>
          <w:numId w:val="5"/>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本项目专家评审费</w:t>
      </w:r>
      <w:r>
        <w:rPr>
          <w:rFonts w:hint="default" w:ascii="宋体" w:hAnsi="宋体" w:eastAsia="宋体" w:cs="宋体"/>
          <w:color w:val="auto"/>
          <w:szCs w:val="21"/>
          <w:highlight w:val="none"/>
          <w:lang w:val="en-US" w:eastAsia="zh-CN"/>
        </w:rPr>
        <w:t xml:space="preserve">由采购人支付评审费</w:t>
      </w:r>
      <w:r>
        <w:rPr>
          <w:rFonts w:hint="eastAsia" w:ascii="宋体" w:hAnsi="宋体" w:eastAsia="宋体" w:cs="宋体"/>
          <w:color w:val="auto"/>
          <w:szCs w:val="21"/>
          <w:highlight w:val="none"/>
          <w:lang w:val="en-US" w:eastAsia="zh-CN"/>
        </w:rPr>
        <w:t xml:space="preserve">。</w:t>
      </w:r>
      <w:r/>
    </w:p>
    <w:p>
      <w:pPr>
        <w:numPr>
          <w:ilvl w:val="0"/>
          <w:numId w:val="5"/>
        </w:numPr>
        <w:ind w:firstLine="420"/>
        <w:spacing w:line="360" w:lineRule="auto"/>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磋商说明：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（1）采购人委托评审小组，按照排序由高到低的原则确定成交供应商。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（2）采购代理机构在成交供应商确定后2个工作日内公告成交结果。</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成交公告发布后，成交单位可向代理机构领取成交通知书。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成交通知书将成为合同的组成部分。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（4）磋商采购单位对未成交单位不承担解释未成交原因的义务。</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eastAsia="zh-CN"/>
        </w:rPr>
        <w:t xml:space="preserve">苏州市</w:t>
      </w:r>
      <w:r>
        <w:rPr>
          <w:rFonts w:hint="eastAsia" w:ascii="宋体" w:hAnsi="宋体" w:cs="宋体"/>
          <w:color w:val="auto"/>
          <w:szCs w:val="21"/>
          <w:highlight w:val="none"/>
          <w:lang w:val="zh-TW"/>
        </w:rPr>
        <w:t xml:space="preserve">吴江区交通路3236号</w:t>
      </w:r>
      <w:r>
        <w:rPr>
          <w:rFonts w:hint="eastAsia" w:ascii="宋体" w:hAnsi="宋体" w:cs="宋体"/>
          <w:color w:val="auto"/>
          <w:szCs w:val="21"/>
          <w:highlight w:val="none"/>
          <w:lang w:val="en-US" w:eastAsia="zh-CN"/>
        </w:rPr>
        <w:t xml:space="preserve">二楼</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电话：0512-63663868、18913055868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lang w:val="en-US" w:eastAsia="zh-CN"/>
        </w:rPr>
        <w:t xml:space="preserve">戴亚丽</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履约保证金</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必须在发出成交通知书后（合同签订前）的三日内按规定将履约保证金交至采购人指定账户。履约保证金用以约束供应商在合同履行中的行为，弥补合同执行中由于自身行为可能给采购人带来的各种损失。如果成交单位不按照规定，采购单位有权取消本次采购成交决定，并按投标（响应）保证承诺书中承诺履行违约赔偿。</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cs="宋体"/>
          <w:color w:val="auto"/>
          <w:szCs w:val="21"/>
          <w:highlight w:val="none"/>
        </w:rPr>
        <w:t xml:space="preserve">十</w:t>
      </w:r>
      <w:r>
        <w:rPr>
          <w:rFonts w:hint="eastAsia" w:ascii="宋体" w:hAnsi="宋体" w:cs="宋体"/>
          <w:color w:val="auto"/>
          <w:szCs w:val="21"/>
          <w:highlight w:val="none"/>
          <w:lang w:val="zh-TW" w:eastAsia="zh-TW"/>
        </w:rPr>
        <w:t xml:space="preserve">、</w:t>
      </w:r>
      <w:r>
        <w:rPr>
          <w:rFonts w:hint="eastAsia" w:ascii="宋体" w:hAnsi="宋体" w:eastAsia="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eastAsia="宋体" w:cs="宋体"/>
          <w:color w:val="auto"/>
          <w:szCs w:val="21"/>
          <w:highlight w:val="none"/>
          <w:lang w:val="zh-TW" w:eastAsia="zh-TW"/>
        </w:rPr>
        <w:outlineLvl w:val="2"/>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zh-TW" w:eastAsia="zh-TW"/>
        </w:rPr>
        <w:t xml:space="preserve">查询时间：响应文件递交截止时间后。</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zh-TW" w:eastAsia="zh-TW"/>
        </w:rPr>
        <w:t xml:space="preserve">查询渠道：采购代理机构会在接收响应文件截止时间后</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登录“苏采云”系统可一键</w:t>
      </w:r>
      <w:r>
        <w:rPr>
          <w:rFonts w:hint="eastAsia" w:ascii="宋体" w:hAnsi="宋体" w:eastAsia="宋体" w:cs="宋体"/>
          <w:color w:val="auto"/>
          <w:szCs w:val="21"/>
          <w:highlight w:val="none"/>
        </w:rPr>
        <w:t xml:space="preserve">链接至</w:t>
      </w:r>
      <w:r>
        <w:rPr>
          <w:rFonts w:hint="eastAsia" w:ascii="宋体" w:hAnsi="宋体" w:eastAsia="宋体" w:cs="宋体"/>
          <w:color w:val="auto"/>
          <w:szCs w:val="21"/>
          <w:highlight w:val="none"/>
          <w:lang w:val="zh-TW" w:eastAsia="zh-TW"/>
        </w:rPr>
        <w:t xml:space="preserve">“信用中国”</w:t>
      </w:r>
      <w:r>
        <w:rPr>
          <w:rFonts w:hint="eastAsia" w:ascii="宋体" w:hAnsi="宋体" w:eastAsia="宋体" w:cs="宋体"/>
          <w:color w:val="auto"/>
          <w:szCs w:val="21"/>
          <w:highlight w:val="none"/>
        </w:rPr>
        <w:t xml:space="preserve">查询供应商</w:t>
      </w:r>
      <w:r>
        <w:rPr>
          <w:rFonts w:hint="eastAsia" w:ascii="宋体" w:hAnsi="宋体" w:eastAsia="宋体" w:cs="宋体"/>
          <w:color w:val="auto"/>
          <w:szCs w:val="21"/>
          <w:highlight w:val="none"/>
          <w:lang w:val="zh-TW" w:eastAsia="zh-TW"/>
        </w:rPr>
        <w:t xml:space="preserve">的信用信息。</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eastAsia="宋体" w:cs="宋体"/>
          <w:color w:val="auto"/>
          <w:szCs w:val="21"/>
          <w:highlight w:val="none"/>
          <w:lang w:val="zh-TW" w:eastAsia="zh-CN"/>
        </w:rPr>
        <w:t xml:space="preserve">供应商</w:t>
      </w:r>
      <w:r>
        <w:rPr>
          <w:rFonts w:hint="eastAsia" w:ascii="宋体" w:hAnsi="宋体" w:eastAsia="宋体" w:cs="宋体"/>
          <w:color w:val="auto"/>
          <w:szCs w:val="21"/>
          <w:highlight w:val="none"/>
          <w:lang w:val="zh-TW" w:eastAsia="zh-TW"/>
        </w:rPr>
        <w:t xml:space="preserve">签名确认。同时，采购代理机构工作人员应根据确认的失信信息，</w:t>
      </w:r>
      <w:r>
        <w:rPr>
          <w:rFonts w:hint="eastAsia" w:ascii="宋体" w:hAnsi="宋体" w:eastAsia="宋体" w:cs="宋体"/>
          <w:color w:val="auto"/>
          <w:szCs w:val="21"/>
          <w:highlight w:val="none"/>
          <w:lang w:val="zh-TW"/>
        </w:rPr>
        <w:t xml:space="preserve">登录</w:t>
      </w:r>
      <w:r>
        <w:rPr>
          <w:rFonts w:hint="eastAsia" w:ascii="宋体" w:hAnsi="宋体" w:eastAsia="宋体" w:cs="宋体"/>
          <w:color w:val="auto"/>
          <w:szCs w:val="21"/>
          <w:highlight w:val="none"/>
          <w:lang w:val="zh-TW" w:eastAsia="zh-TW"/>
        </w:rPr>
        <w:t xml:space="preserve">到来源网站页面进行复核并打印，作为证据留存。</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eastAsia="宋体" w:cs="宋体"/>
          <w:color w:val="auto"/>
          <w:szCs w:val="21"/>
          <w:highlight w:val="none"/>
          <w:lang w:val="zh-TW" w:eastAsia="zh-TW"/>
        </w:rPr>
        <w:outlineLvl w:val="3"/>
      </w:pPr>
      <w:r>
        <w:rPr>
          <w:rFonts w:hint="eastAsia" w:ascii="宋体" w:hAnsi="宋体" w:eastAsia="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被列入失信被执行人名单；</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eastAsia="zh-TW"/>
        </w:rPr>
        <w:t xml:space="preserve">被列入重大税收违法案件当事人名单；</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auto"/>
          <w:szCs w:val="21"/>
          <w:highlight w:val="none"/>
          <w:lang w:val="zh-TW" w:eastAsia="zh-TW"/>
        </w:rPr>
        <w:t xml:space="preserve">。</w:t>
      </w:r>
      <w:r/>
    </w:p>
    <w:p>
      <w:pPr>
        <w:ind w:firstLine="420"/>
        <w:jc w:val="left"/>
        <w:spacing w:line="360" w:lineRule="auto"/>
        <w:widowControl/>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、政策执行（如涉及）</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b/>
          <w:color w:val="auto"/>
          <w:szCs w:val="21"/>
          <w:highlight w:val="none"/>
        </w:rPr>
        <w:t xml:space="preserve"> </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20"/>
        <w:jc w:val="left"/>
        <w:spacing w:line="360" w:lineRule="auto"/>
        <w:rPr>
          <w:rFonts w:hint="eastAsia"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4、根</w:t>
      </w:r>
      <w:r>
        <w:rPr>
          <w:rFonts w:hint="eastAsia" w:ascii="宋体" w:hAnsi="宋体" w:eastAsia="宋体" w:cs="宋体"/>
          <w:color w:val="auto"/>
          <w:szCs w:val="21"/>
          <w:highlight w:val="none"/>
          <w:lang w:val="zh-TW" w:eastAsia="zh-TW"/>
        </w:rPr>
        <w:t xml:space="preserve">据《关于推动解决政府采购异常低价问题相关工作的通知》（苏财购〔2025〕62号）、《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TW" w:eastAsia="zh-TW"/>
        </w:rPr>
        <w:t xml:space="preserve">、进一步明确政府采购促进残疾人就业政策</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auto"/>
          <w:szCs w:val="21"/>
          <w:highlight w:val="none"/>
          <w:lang w:val="zh-TW" w:eastAsia="zh-CN"/>
        </w:rPr>
        <w:t xml:space="preserve">中华人民共和国政府采购法</w:t>
      </w:r>
      <w:r>
        <w:rPr>
          <w:rFonts w:hint="eastAsia" w:ascii="宋体" w:hAnsi="宋体" w:eastAsia="宋体" w:cs="宋体"/>
          <w:color w:val="auto"/>
          <w:szCs w:val="21"/>
          <w:highlight w:val="none"/>
          <w:lang w:val="zh-TW" w:eastAsia="zh-TW"/>
        </w:rPr>
        <w:t xml:space="preserve">》第七十七条第一款的规定追究法律责任。</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TW" w:eastAsia="zh-TW"/>
        </w:rPr>
        <w:t xml:space="preserve">、进一步明确政府采购支持监狱企业发展政策</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auto"/>
          <w:szCs w:val="21"/>
          <w:highlight w:val="none"/>
          <w:lang w:val="zh-TW" w:eastAsia="zh-TW"/>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十二、</w:t>
      </w:r>
      <w:r>
        <w:rPr>
          <w:rFonts w:hint="eastAsia" w:ascii="宋体" w:hAnsi="宋体" w:cs="宋体"/>
          <w:b/>
          <w:bCs/>
          <w:color w:val="auto"/>
          <w:szCs w:val="21"/>
          <w:highlight w:val="none"/>
        </w:rPr>
        <w:t xml:space="preserve">备注：本文件打“★”为实质性条款，不可偏离，如偏离响应文件无效。</w:t>
      </w:r>
      <w:r/>
    </w:p>
    <w:p>
      <w:pPr>
        <w:jc w:val="center"/>
        <w:spacing w:line="360" w:lineRule="auto"/>
        <w:rPr>
          <w:rFonts w:ascii="宋体" w:hAnsi="宋体" w:cs="宋体"/>
          <w:color w:val="auto"/>
          <w:sz w:val="36"/>
          <w:szCs w:val="36"/>
          <w:highlight w:val="none"/>
          <w:lang w:val="zh-CN"/>
        </w:rPr>
      </w:pPr>
      <w:r>
        <w:rPr>
          <w:rFonts w:hint="eastAsia" w:ascii="宋体" w:hAnsi="宋体" w:cs="宋体"/>
          <w:b/>
          <w:color w:val="auto"/>
          <w:sz w:val="32"/>
          <w:szCs w:val="32"/>
          <w:highlight w:val="none"/>
        </w:rPr>
        <w:br w:type="page" w:clear="all"/>
      </w:r>
      <w:r>
        <w:rPr>
          <w:rFonts w:hint="eastAsia" w:ascii="宋体" w:hAnsi="宋体" w:cs="宋体"/>
          <w:color w:val="auto"/>
          <w:sz w:val="36"/>
          <w:szCs w:val="36"/>
          <w:highlight w:val="none"/>
          <w:lang w:val="zh-CN"/>
        </w:rPr>
        <w:t xml:space="preserve">三、磋商采购程序</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5.1资格审查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5.2符合性审查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讨论决定。</w:t>
      </w:r>
      <w:r/>
    </w:p>
    <w:p>
      <w:pPr>
        <w:pStyle w:val="984"/>
        <w:spacing w:after="0" w:line="360" w:lineRule="auto"/>
        <w:rPr>
          <w:rFonts w:ascii="宋体" w:hAnsi="宋体" w:cs="宋体"/>
          <w:color w:val="auto"/>
          <w:highlight w:val="none"/>
        </w:rPr>
      </w:pPr>
      <w:r>
        <w:rPr>
          <w:rFonts w:ascii="宋体" w:hAnsi="宋体" w:cs="宋体"/>
          <w:color w:val="auto"/>
          <w:highlight w:val="none"/>
        </w:rPr>
      </w:r>
      <w:r/>
    </w:p>
    <w:p>
      <w:pPr>
        <w:pStyle w:val="984"/>
        <w:spacing w:after="0"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left="0" w:firstLine="422"/>
        <w:keepLines w:val="0"/>
        <w:keepNext w:val="0"/>
        <w:pageBreakBefore w:val="0"/>
        <w:spacing w:line="360" w:lineRule="auto"/>
        <w:widowControl w:val="off"/>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3、针对小型、微型企业的价格评审办法：</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②若供应商提供的 “中小企业声明函”（见第六章格式）为虚假声明则视同提供虚假材料，按“政府采购法”相关规定处理并报请政府监管部门给予行政处罚。</w:t>
      </w:r>
      <w:r/>
    </w:p>
    <w:p>
      <w:pPr>
        <w:ind w:left="0" w:firstLine="422"/>
        <w:keepLines w:val="0"/>
        <w:keepNext w:val="0"/>
        <w:pageBreakBefore w:val="0"/>
        <w:spacing w:line="360" w:lineRule="auto"/>
        <w:widowControl w:val="off"/>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4、针对残疾人福利性单位的评审：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》第七十七条第一款的规定追究法律责任。</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5、针对监狱企业的评审加分：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1023"/>
        <w:ind w:left="0" w:firstLine="422"/>
        <w:keepLines w:val="0"/>
        <w:keepNext w:val="0"/>
        <w:pageBreakBefore w:val="0"/>
        <w:spacing w:line="360" w:lineRule="auto"/>
        <w:widowControl w:val="off"/>
        <w:rPr>
          <w:rFonts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注：上述优惠政策不重复享受。</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为深化采购制度改革，促进采购领域公平竞争，持续优化采购营商环境，实现优质优价采购目标，评审过程中出现下列情形之一的，磋商小组应当启动异常低价投标（响应）审查程序：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（4）评审委员会（磋商小组）基于专业判断，认为供应商报价过低，有可能影响产品质量或者不能诚信履约的其他情形。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二、评分标准</w:t>
      </w:r>
      <w:r/>
    </w:p>
    <w:p>
      <w:pPr>
        <w:pStyle w:val="985"/>
        <w:ind w:left="0"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%（权重），技术与方案及其它占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pStyle w:val="985"/>
        <w:ind w:left="0" w:firstLine="422"/>
        <w:keepLines w:val="0"/>
        <w:keepNext w:val="0"/>
        <w:pageBreakBefore w:val="0"/>
        <w:spacing w:after="0"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（一）价格（</w:t>
      </w:r>
      <w:r>
        <w:rPr>
          <w:rFonts w:hint="eastAsia" w:ascii="宋体" w:hAnsi="宋体" w:eastAsia="宋体" w:cs="宋体"/>
          <w:b/>
          <w:bCs/>
          <w:color w:val="auto"/>
          <w:szCs w:val="21"/>
          <w:highlight w:val="none"/>
          <w:lang w:eastAsia="zh-CN"/>
        </w:rPr>
        <w:t xml:space="preserve">优惠率</w:t>
      </w:r>
      <w:r>
        <w:rPr>
          <w:rFonts w:hint="eastAsia" w:ascii="宋体" w:hAnsi="宋体" w:eastAsia="宋体" w:cs="宋体"/>
          <w:b/>
          <w:bCs/>
          <w:color w:val="auto"/>
          <w:szCs w:val="21"/>
          <w:highlight w:val="none"/>
        </w:rPr>
        <w:t xml:space="preserve">）（10分）</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本项目所报价格为</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优惠率=1-折扣率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在有效投标报价中选择报价</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最高者的</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为评标基准</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，得满分，其他</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的分值按照下列公式计算（计算结果四舍五入保留两位小数）：</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color w:val="auto"/>
          <w:szCs w:val="21"/>
          <w:highlight w:val="none"/>
        </w:rPr>
        <w:t xml:space="preserve">投标报价得分=【（1-评标基准</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）/（1-投标</w:t>
      </w:r>
      <w:r>
        <w:rPr>
          <w:rFonts w:hint="eastAsia" w:ascii="宋体" w:hAnsi="宋体" w:eastAsia="宋体" w:cs="宋体"/>
          <w:color w:val="auto"/>
          <w:szCs w:val="21"/>
          <w:highlight w:val="none"/>
          <w:lang w:eastAsia="zh-CN"/>
        </w:rPr>
        <w:t xml:space="preserve">优惠率</w:t>
      </w:r>
      <w:r>
        <w:rPr>
          <w:rFonts w:hint="eastAsia" w:ascii="宋体" w:hAnsi="宋体" w:eastAsia="宋体" w:cs="宋体"/>
          <w:color w:val="auto"/>
          <w:szCs w:val="21"/>
          <w:highlight w:val="none"/>
        </w:rPr>
        <w:t xml:space="preserve">）】*折扣权值*100（本次招标折扣权值为</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二</w:t>
      </w:r>
      <w:r>
        <w:rPr>
          <w:rFonts w:hint="eastAsia" w:ascii="宋体" w:hAnsi="宋体" w:eastAsia="宋体" w:cs="Times New Roman"/>
          <w:b/>
          <w:bCs/>
          <w:color w:val="auto"/>
          <w:highlight w:val="none"/>
          <w:lang w:eastAsia="zh-CN"/>
        </w:rPr>
        <w:t xml:space="preserve">）</w:t>
      </w:r>
      <w:r>
        <w:rPr>
          <w:rFonts w:hint="eastAsia" w:ascii="宋体" w:hAnsi="宋体" w:cs="Times New Roman"/>
          <w:b/>
          <w:bCs/>
          <w:color w:val="auto"/>
          <w:highlight w:val="none"/>
          <w:lang w:val="en-US" w:eastAsia="zh-CN"/>
        </w:rPr>
        <w:t xml:space="preserve">服务方案</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60</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提供的针对本项目的详细配送服务方案（</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1.1食材货源及时令蔬菜供应保障措施：有完善的保障措施、可行性强得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1.2食材配送及运输安全保障措施：有完善的保障措施、可行性强得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1.3食材安全、卫生、无毒无公害保障措施：有完善的保障措施、可行性强得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1.4鲜肉蔬菜新鲜度及质保期保障措施：有完善的保障措施、可行性强得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1.5鲜肉蔬菜可追根溯源的保障措施：有完善的保障措施、可行性强得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1.6微利经营方案及保障措施：有完善的经营方案和保障措施、可行性强得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分；有较完善的经营方案和保障措施、有一定可行性得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分；有经营方案和保障措施、可行性一般得1分；不提供不得分。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1.7发生紧急情况如员工食物中毒等应急预备方案：有完善的应急预备方案、可行性强得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分；有较完善的应急预备方案、有一定可行性得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分；有应急预备方案、可行性一般得1分；不提供不得分。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内部管理制度（</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2.1食材卫生安全</w:t>
      </w:r>
      <w:r>
        <w:rPr>
          <w:rFonts w:hint="eastAsia" w:ascii="宋体" w:hAnsi="宋体" w:eastAsia="宋体" w:cs="宋体"/>
          <w:color w:val="auto"/>
          <w:szCs w:val="21"/>
          <w:highlight w:val="none"/>
          <w:lang w:val="en-US" w:eastAsia="zh-CN"/>
        </w:rPr>
        <w:t xml:space="preserve">质量</w:t>
      </w:r>
      <w:r>
        <w:rPr>
          <w:rFonts w:hint="eastAsia" w:ascii="宋体" w:hAnsi="宋体" w:eastAsia="宋体" w:cs="宋体"/>
          <w:color w:val="auto"/>
          <w:szCs w:val="21"/>
          <w:highlight w:val="none"/>
        </w:rPr>
        <w:t xml:space="preserve">保障机制、内部考核</w:t>
      </w:r>
      <w:r>
        <w:rPr>
          <w:rFonts w:hint="eastAsia" w:ascii="宋体" w:hAnsi="宋体" w:eastAsia="宋体" w:cs="宋体"/>
          <w:color w:val="auto"/>
          <w:szCs w:val="21"/>
          <w:highlight w:val="none"/>
          <w:lang w:val="en-US" w:eastAsia="zh-CN"/>
        </w:rPr>
        <w:t xml:space="preserve">及</w:t>
      </w:r>
      <w:r>
        <w:rPr>
          <w:rFonts w:hint="eastAsia" w:ascii="宋体" w:hAnsi="宋体" w:eastAsia="宋体" w:cs="宋体"/>
          <w:color w:val="auto"/>
          <w:szCs w:val="21"/>
          <w:highlight w:val="none"/>
        </w:rPr>
        <w:t xml:space="preserve">服务质量监督</w:t>
      </w:r>
      <w:r>
        <w:rPr>
          <w:rFonts w:hint="eastAsia" w:ascii="宋体" w:hAnsi="宋体" w:eastAsia="宋体" w:cs="宋体"/>
          <w:color w:val="auto"/>
          <w:szCs w:val="21"/>
          <w:highlight w:val="none"/>
          <w:lang w:val="en-US" w:eastAsia="zh-CN"/>
        </w:rPr>
        <w:t xml:space="preserve">机制</w:t>
      </w:r>
      <w:r>
        <w:rPr>
          <w:rFonts w:hint="eastAsia" w:ascii="宋体" w:hAnsi="宋体" w:eastAsia="宋体" w:cs="宋体"/>
          <w:color w:val="auto"/>
          <w:szCs w:val="21"/>
          <w:highlight w:val="none"/>
        </w:rPr>
        <w:t xml:space="preserve">：保障</w:t>
      </w:r>
      <w:r>
        <w:rPr>
          <w:rFonts w:hint="eastAsia" w:ascii="宋体" w:hAnsi="宋体" w:eastAsia="宋体" w:cs="宋体"/>
          <w:color w:val="auto"/>
          <w:szCs w:val="21"/>
          <w:highlight w:val="none"/>
          <w:lang w:val="en-US" w:eastAsia="zh-CN"/>
        </w:rPr>
        <w:t xml:space="preserve">及监督</w:t>
      </w:r>
      <w:r>
        <w:rPr>
          <w:rFonts w:hint="eastAsia" w:ascii="宋体" w:hAnsi="宋体" w:eastAsia="宋体" w:cs="宋体"/>
          <w:color w:val="auto"/>
          <w:szCs w:val="21"/>
          <w:highlight w:val="none"/>
        </w:rPr>
        <w:t xml:space="preserve">制度全面详尽、可行性强得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分；保障</w:t>
      </w:r>
      <w:r>
        <w:rPr>
          <w:rFonts w:hint="eastAsia" w:ascii="宋体" w:hAnsi="宋体" w:eastAsia="宋体" w:cs="宋体"/>
          <w:color w:val="auto"/>
          <w:szCs w:val="21"/>
          <w:highlight w:val="none"/>
          <w:lang w:val="en-US" w:eastAsia="zh-CN"/>
        </w:rPr>
        <w:t xml:space="preserve">及监督</w:t>
      </w:r>
      <w:r>
        <w:rPr>
          <w:rFonts w:hint="eastAsia" w:ascii="宋体" w:hAnsi="宋体" w:eastAsia="宋体" w:cs="宋体"/>
          <w:color w:val="auto"/>
          <w:szCs w:val="21"/>
          <w:highlight w:val="none"/>
        </w:rPr>
        <w:t xml:space="preserve">制度详尽、有一定可行性得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分；有保障</w:t>
      </w:r>
      <w:r>
        <w:rPr>
          <w:rFonts w:hint="eastAsia" w:ascii="宋体" w:hAnsi="宋体" w:eastAsia="宋体" w:cs="宋体"/>
          <w:color w:val="auto"/>
          <w:szCs w:val="21"/>
          <w:highlight w:val="none"/>
          <w:lang w:val="en-US" w:eastAsia="zh-CN"/>
        </w:rPr>
        <w:t xml:space="preserve">及监督</w:t>
      </w:r>
      <w:r>
        <w:rPr>
          <w:rFonts w:hint="eastAsia" w:ascii="宋体" w:hAnsi="宋体" w:eastAsia="宋体" w:cs="宋体"/>
          <w:color w:val="auto"/>
          <w:szCs w:val="21"/>
          <w:highlight w:val="none"/>
        </w:rPr>
        <w:t xml:space="preserve">制度、可行性一般得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2.2内部食材配送业务操作流程规范制度：规范制度全面详尽、可行性强得4分；规范制度较详尽、有一定可行性得2分；有规范制度、可行性一般得1分；不提供不得分。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3、生产场地及设备（</w:t>
      </w: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各功能区如仓储区域、肉类分割加工区、蔬菜农药残留检测室、筐箱清洗消毒区、蔬菜分拣区、冷冻、冷藏区、物资分发区、食品分装区、车辆装卸场地布局等，提供各区域现场拍摄彩色图片并予以详细说明：功能区分布清晰合理、提供图片清晰完整、描述全面详尽得5分；功能区分布较为合理、提供图片清晰完整、描述较为详尽得3分；功能区分布合理性一般、提供图片不完整、描述一般得1分；功能区不全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3.2针对食材检测具有农药检测、残溶检测、添加剂检测、重金属检测、卫生指标检测等设备的，每项得1分，最高得5分。（响应文件中</w:t>
      </w:r>
      <w:r>
        <w:rPr>
          <w:rFonts w:hint="eastAsia" w:ascii="宋体" w:hAnsi="宋体" w:eastAsia="宋体" w:cs="宋体"/>
          <w:color w:val="auto"/>
          <w:szCs w:val="21"/>
          <w:highlight w:val="none"/>
        </w:rPr>
        <w:t xml:space="preserve">需提供上述检测设备现场照片及检测流程详细说明、上述检测设备购买合同及发票复印件或租赁协议复印件或中标后配备的承诺函原件；缺失、不符或不提供者，对应项不得分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运输装卸综合情况横向比较：运输车辆配置齐全及装卸设备及计划合理且科学得6分；运输车辆配置较好及装卸设备及计划较为合理且科学得4分；运输车辆配置一般及装卸设备及计划合理科学性一般得2分；无配置车辆或缺失供货计划的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文件中需提供车辆图片，车辆行驶证或运输装卸设备租赁协议或承诺函（承诺中标后配置运输装卸设备），未提供相关证明材料</w:t>
      </w:r>
      <w:r>
        <w:rPr>
          <w:rFonts w:hint="eastAsia" w:ascii="宋体" w:hAnsi="宋体" w:eastAsia="宋体" w:cs="宋体"/>
          <w:color w:val="auto"/>
          <w:szCs w:val="21"/>
          <w:highlight w:val="none"/>
          <w:lang w:val="en-US" w:eastAsia="zh-CN"/>
        </w:rPr>
        <w:t xml:space="preserve">不得分</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（三）人员配备比较（1</w:t>
      </w: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1.项目负责人具有2年以上食品行业经验且具有公共营养师职业资格证书的得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w:t>
      </w:r>
      <w:r>
        <w:rPr>
          <w:rFonts w:hint="eastAsia" w:ascii="宋体" w:hAnsi="宋体" w:eastAsia="宋体" w:cs="宋体"/>
          <w:color w:val="auto"/>
          <w:szCs w:val="21"/>
          <w:highlight w:val="none"/>
          <w:lang w:val="en-US" w:eastAsia="zh-CN"/>
        </w:rPr>
        <w:t xml:space="preserve">供应商为其缴纳的</w:t>
      </w:r>
      <w:r>
        <w:rPr>
          <w:rFonts w:hint="eastAsia" w:ascii="宋体" w:hAnsi="宋体" w:eastAsia="宋体" w:cs="宋体"/>
          <w:color w:val="auto"/>
          <w:szCs w:val="21"/>
          <w:highlight w:val="none"/>
        </w:rPr>
        <w:t xml:space="preserve">1年以上社保证明及资格证书或职称证书，需提供加盖公章的证明材料，缺失、不符或不提供者，对应项不得分。）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项目组人员中具有食品营养师、食品检测人员或食品安全管理员的</w:t>
      </w:r>
      <w:r>
        <w:rPr>
          <w:rFonts w:hint="eastAsia" w:ascii="宋体" w:hAnsi="宋体" w:eastAsia="宋体" w:cs="宋体"/>
          <w:color w:val="auto"/>
          <w:szCs w:val="21"/>
          <w:highlight w:val="none"/>
        </w:rPr>
        <w:t xml:space="preserve">，有1名得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w:t>
      </w:r>
      <w:r>
        <w:rPr>
          <w:rFonts w:hint="eastAsia" w:ascii="宋体" w:hAnsi="宋体" w:eastAsia="宋体" w:cs="宋体"/>
          <w:color w:val="auto"/>
          <w:szCs w:val="21"/>
          <w:highlight w:val="none"/>
          <w:lang w:val="en-US" w:eastAsia="zh-CN"/>
        </w:rPr>
        <w:t xml:space="preserve">人员证书及供应商为其缴纳的</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6个月</w:t>
      </w:r>
      <w:r>
        <w:rPr>
          <w:rFonts w:hint="eastAsia" w:ascii="宋体" w:hAnsi="宋体" w:eastAsia="宋体" w:cs="宋体"/>
          <w:color w:val="auto"/>
          <w:szCs w:val="21"/>
          <w:highlight w:val="none"/>
        </w:rPr>
        <w:t xml:space="preserve">社保证明，需提供加盖公章的证明材料，缺失、不符或不提供者，对应项不得分。）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rPr>
          <w:rFonts w:hint="eastAsia" w:ascii="宋体" w:hAnsi="宋体" w:eastAsia="宋体" w:cs="宋体"/>
          <w:b/>
          <w:color w:val="auto"/>
          <w:szCs w:val="21"/>
          <w:highlight w:val="none"/>
          <w:lang w:val="en-US" w:eastAsia="zh-CN"/>
        </w:rPr>
        <w:t xml:space="preserve">综合</w:t>
      </w:r>
      <w:r>
        <w:rPr>
          <w:rFonts w:hint="eastAsia" w:ascii="宋体" w:hAnsi="宋体" w:eastAsia="宋体" w:cs="宋体"/>
          <w:b/>
          <w:color w:val="auto"/>
          <w:szCs w:val="21"/>
          <w:highlight w:val="none"/>
        </w:rPr>
        <w:t xml:space="preserve">实力（1</w:t>
      </w:r>
      <w:r>
        <w:rPr>
          <w:rFonts w:hint="eastAsia" w:ascii="宋体" w:hAnsi="宋体" w:eastAsia="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w:t>
      </w:r>
      <w:r/>
    </w:p>
    <w:p>
      <w:pPr>
        <w:ind w:right="34" w:firstLine="420"/>
        <w:spacing w:line="360" w:lineRule="auto"/>
        <w:tabs>
          <w:tab w:val="left" w:pos="89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val="en-US" w:eastAsia="zh-CN"/>
        </w:rPr>
        <w:t xml:space="preserve">具有</w:t>
      </w:r>
      <w:r>
        <w:rPr>
          <w:rFonts w:hint="eastAsia" w:ascii="宋体" w:hAnsi="宋体" w:eastAsia="宋体" w:cs="宋体"/>
          <w:color w:val="auto"/>
          <w:szCs w:val="21"/>
          <w:highlight w:val="none"/>
        </w:rPr>
        <w:t xml:space="preserve">有效期内的质量管理体系认证、环境管理体系认证、食品安全管理体系认证、职业健康安全管理体系</w:t>
      </w:r>
      <w:r>
        <w:rPr>
          <w:rFonts w:hint="eastAsia" w:ascii="宋体" w:hAnsi="宋体" w:eastAsia="宋体" w:cs="宋体"/>
          <w:color w:val="auto"/>
          <w:szCs w:val="21"/>
          <w:highlight w:val="none"/>
          <w:lang w:val="en-US" w:eastAsia="zh-CN"/>
        </w:rPr>
        <w:t xml:space="preserve">认证</w:t>
      </w:r>
      <w:r>
        <w:rPr>
          <w:rFonts w:hint="eastAsia" w:ascii="宋体" w:hAnsi="宋体" w:eastAsia="宋体" w:cs="宋体"/>
          <w:b w:val="0"/>
          <w:bCs/>
          <w:color w:val="auto"/>
          <w:sz w:val="21"/>
          <w:szCs w:val="21"/>
          <w:highlight w:val="none"/>
          <w:lang w:val="en-US" w:eastAsia="zh-CN"/>
        </w:rPr>
        <w:t xml:space="preserve">证书的，每项得2分，最高得8分。（</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w:t>
      </w:r>
      <w:r>
        <w:rPr>
          <w:rFonts w:hint="eastAsia" w:ascii="宋体" w:hAnsi="宋体" w:eastAsia="宋体" w:cs="宋体"/>
          <w:b w:val="0"/>
          <w:bCs/>
          <w:color w:val="auto"/>
          <w:sz w:val="21"/>
          <w:szCs w:val="21"/>
          <w:highlight w:val="none"/>
          <w:lang w:val="en-US" w:eastAsia="zh-CN"/>
        </w:rPr>
        <w:t xml:space="preserve">需提供证书复印件及该证书在中国国家认证认可监督管理委员会网站http://www.cnca.gov.cn/上查询的页面截图，</w:t>
      </w:r>
      <w:r>
        <w:rPr>
          <w:rFonts w:hint="eastAsia" w:ascii="宋体" w:hAnsi="宋体" w:eastAsia="宋体" w:cs="宋体"/>
          <w:color w:val="auto"/>
          <w:szCs w:val="21"/>
          <w:highlight w:val="none"/>
        </w:rPr>
        <w:t xml:space="preserve">缺失、不符或不提供者，对应项不得分。）</w:t>
      </w:r>
      <w:r/>
    </w:p>
    <w:p>
      <w:pPr>
        <w:ind w:right="34" w:firstLine="420"/>
        <w:spacing w:line="360" w:lineRule="auto"/>
        <w:tabs>
          <w:tab w:val="left" w:pos="89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完成类似业绩情况（</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                                                                               </w:t>
      </w:r>
      <w:r/>
    </w:p>
    <w:p>
      <w:pPr>
        <w:ind w:right="34" w:firstLine="420"/>
        <w:spacing w:line="360" w:lineRule="auto"/>
        <w:tabs>
          <w:tab w:val="left" w:pos="89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rPr>
        <w:t xml:space="preserve">（以合同签订时间为准）</w:t>
      </w:r>
      <w:r>
        <w:rPr>
          <w:rFonts w:hint="eastAsia" w:ascii="宋体" w:hAnsi="宋体" w:eastAsia="宋体" w:cs="宋体"/>
          <w:color w:val="auto"/>
          <w:szCs w:val="21"/>
          <w:highlight w:val="none"/>
          <w:lang w:val="en-US" w:eastAsia="zh-CN"/>
        </w:rPr>
        <w:t xml:space="preserve">至今承担过</w:t>
      </w:r>
      <w:r>
        <w:rPr>
          <w:rFonts w:hint="eastAsia" w:ascii="宋体" w:hAnsi="宋体" w:eastAsia="宋体" w:cs="宋体"/>
          <w:color w:val="auto"/>
          <w:szCs w:val="21"/>
          <w:highlight w:val="none"/>
        </w:rPr>
        <w:t xml:space="preserve">类似项目的：每提供一份有效业绩得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w:t>
      </w:r>
      <w:r>
        <w:rPr>
          <w:rFonts w:hint="eastAsia" w:ascii="宋体" w:hAnsi="宋体" w:eastAsia="宋体" w:cs="宋体"/>
          <w:color w:val="auto"/>
          <w:szCs w:val="21"/>
          <w:highlight w:val="none"/>
          <w:lang w:val="en-US" w:eastAsia="zh-CN"/>
        </w:rPr>
        <w:t xml:space="preserve">完整</w:t>
      </w:r>
      <w:r>
        <w:rPr>
          <w:rFonts w:hint="eastAsia" w:ascii="宋体" w:hAnsi="宋体" w:eastAsia="宋体" w:cs="宋体"/>
          <w:color w:val="auto"/>
          <w:szCs w:val="21"/>
          <w:highlight w:val="none"/>
        </w:rPr>
        <w:t xml:space="preserve">合同、服务期内任意一个月往来发票，发票内容清晰完整，需提供加盖公章的证明材料，缺失、不符或不提供者，对应项不得分。）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投保食品安全责任险</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单次事故赔偿限额≥500万的得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分，300万≤单次事故赔偿限额＜500万的得2分，300万以下的得1分。（</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文件中提供有效期内的保险单据，需提供加盖公章的证明材料，缺失、不符或不提供者，对应项不得分。）</w:t>
      </w:r>
      <w:r/>
    </w:p>
    <w:p>
      <w:pPr>
        <w:ind w:left="0" w:firstLine="422"/>
        <w:keepLines w:val="0"/>
        <w:keepNext w:val="0"/>
        <w:pageBreakBefore w:val="0"/>
        <w:spacing w:line="360" w:lineRule="auto"/>
        <w:widowControl w:val="off"/>
        <w:rPr>
          <w:rFonts w:ascii="宋体" w:hAnsi="宋体" w:eastAsia="宋体" w:cs="Times New Roman"/>
          <w:b/>
          <w:bCs/>
          <w:color w:val="auto"/>
          <w:highlight w:val="none"/>
        </w:rPr>
      </w:pPr>
      <w:r>
        <w:rPr>
          <w:rFonts w:ascii="宋体" w:hAnsi="宋体" w:eastAsia="宋体" w:cs="Times New Roman"/>
          <w:b/>
          <w:bCs/>
          <w:color w:val="auto"/>
          <w:highlight w:val="none"/>
        </w:rPr>
      </w:r>
      <w:r/>
    </w:p>
    <w:p>
      <w:pPr>
        <w:rPr>
          <w:rFonts w:hint="eastAsia" w:eastAsia="宋体"/>
          <w:color w:val="auto"/>
          <w:highlight w:val="none"/>
          <w:lang w:val="en-US" w:eastAsia="zh-CN"/>
        </w:rPr>
      </w:pPr>
      <w:r>
        <w:rPr>
          <w:rFonts w:hint="eastAsia" w:eastAsia="宋体"/>
          <w:color w:val="auto"/>
          <w:highlight w:val="none"/>
          <w:lang w:val="en-US" w:eastAsia="zh-CN"/>
        </w:rPr>
      </w:r>
      <w:r/>
    </w:p>
    <w:p>
      <w:pPr>
        <w:ind w:firstLine="422"/>
        <w:keepLines w:val="0"/>
        <w:keepNext w:val="0"/>
        <w:pageBreakBefore w:val="0"/>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r>
      <w:r/>
    </w:p>
    <w:p>
      <w:pPr>
        <w:ind w:firstLine="422"/>
        <w:keepLines w:val="0"/>
        <w:keepNext w:val="0"/>
        <w:pageBreakBefore w:val="0"/>
        <w:spacing w:line="360" w:lineRule="auto"/>
        <w:widowControl/>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1024"/>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1024"/>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outlineLvl w:val="2"/>
      </w:pPr>
      <w:r>
        <w:rPr>
          <w:rFonts w:hint="eastAsia" w:hAnsi="宋体" w:cs="宋体"/>
          <w:color w:val="auto"/>
          <w:szCs w:val="21"/>
          <w:highlight w:val="none"/>
        </w:rPr>
        <w:t xml:space="preserve">2、合同履行期限、付款步骤如有负偏离的不得成交。</w:t>
      </w:r>
      <w:r/>
    </w:p>
    <w:p>
      <w:pPr>
        <w:pStyle w:val="1024"/>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3、对评分标准中评分的每一条，供应商均应提供相关资料并作出相应说明供评委评判。</w:t>
      </w:r>
      <w:r/>
    </w:p>
    <w:p>
      <w:pPr>
        <w:pStyle w:val="1008"/>
        <w:ind w:left="0" w:firstLine="422"/>
        <w:jc w:val="left"/>
        <w:keepLines w:val="0"/>
        <w:keepNext w:val="0"/>
        <w:pageBreakBefore w:val="0"/>
        <w:spacing w:after="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4.响应文件中复印件或扫描件须清晰可辨，如因复印件或扫描件模糊，造成无法辨认，该项不得分。</w:t>
      </w:r>
      <w:r/>
    </w:p>
    <w:p>
      <w:pPr>
        <w:pStyle w:val="1024"/>
        <w:ind w:firstLine="420"/>
        <w:jc w:val="left"/>
        <w:keepLines w:val="0"/>
        <w:keepNext w:val="0"/>
        <w:pageBreakBefore w:val="0"/>
        <w:spacing w:line="360" w:lineRule="auto"/>
        <w:widowControl/>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304" w:right="1417" w:bottom="1231" w:left="1418" w:header="851" w:footer="850" w:gutter="0"/>
          <w:pgNumType w:start="1"/>
          <w:cols w:num="1" w:sep="0" w:space="720" w:equalWidth="1"/>
          <w:docGrid w:linePitch="360"/>
        </w:sectPr>
      </w:pPr>
      <w:r>
        <w:rPr>
          <w:rFonts w:hint="eastAsia" w:hAnsi="宋体" w:cs="宋体"/>
          <w:color w:val="auto"/>
          <w:szCs w:val="21"/>
          <w:highlight w:val="none"/>
        </w:rPr>
        <w:t xml:space="preserve">5、响应文件中如出现前后不一致时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评委有权请供应商澄清说明</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澄清说明事项涉及评分时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评委有权酌情扣分</w:t>
      </w:r>
      <w:r>
        <w:rPr>
          <w:rFonts w:hint="eastAsia" w:hAnsi="宋体" w:cs="宋体"/>
          <w:color w:val="auto"/>
          <w:szCs w:val="21"/>
          <w:highlight w:val="none"/>
          <w:lang w:eastAsia="zh-CN"/>
        </w:rPr>
        <w:t xml:space="preserve">。</w:t>
      </w:r>
      <w:r/>
    </w:p>
    <w:p>
      <w:pPr>
        <w:ind w:firstLine="643"/>
        <w:jc w:val="center"/>
        <w:spacing w:line="360" w:lineRule="auto"/>
        <w:rPr>
          <w:rFonts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976"/>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甲方（采购人）：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吴江区卫健委（食堂）食材定点配送服务项目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JSZC-320509-SZYJ-C2026-0012</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政府采购的成交结果，确定乙方为本次成交供应商，现依照采购文件、乙方的响应文件及相关文件的内容，签订本合同书。</w:t>
      </w:r>
      <w:r/>
    </w:p>
    <w:p>
      <w:pPr>
        <w:ind w:left="0"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一、采购内容、合同金额：</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1、采购内容：甲方向乙方采购</w:t>
      </w:r>
      <w:r>
        <w:rPr>
          <w:rFonts w:hint="eastAsia" w:ascii="宋体" w:hAnsi="宋体" w:eastAsia="宋体" w:cs="宋体"/>
          <w:color w:val="auto"/>
          <w:sz w:val="21"/>
          <w:szCs w:val="21"/>
          <w:highlight w:val="none"/>
        </w:rPr>
        <w:t xml:space="preserve">蔬菜类；鲜肉类；水产类；家禽类；蛋类；调味品类；豆制品类；水果类；奶制品；米、面或其他粮食或粮食加工品；食用油；干、杂货；冰冻品等</w:t>
      </w:r>
      <w:r>
        <w:rPr>
          <w:rFonts w:hint="eastAsia" w:ascii="宋体" w:hAnsi="宋体" w:eastAsia="宋体" w:cs="宋体"/>
          <w:color w:val="auto"/>
          <w:szCs w:val="21"/>
          <w:highlight w:val="none"/>
        </w:rPr>
        <w:t xml:space="preserve">。具体内容以甲方确认的采购清单为准。</w:t>
      </w:r>
      <w:r>
        <w:rPr>
          <w:rFonts w:hint="eastAsia" w:ascii="宋体" w:hAnsi="宋体" w:eastAsia="宋体" w:cs="宋体"/>
          <w:b/>
          <w:color w:val="auto"/>
          <w:szCs w:val="21"/>
          <w:highlight w:val="none"/>
          <w:lang w:val="en-US" w:eastAsia="zh-CN"/>
        </w:rPr>
        <w:t xml:space="preserve">乙方</w:t>
      </w:r>
      <w:r>
        <w:rPr>
          <w:rFonts w:hint="eastAsia" w:ascii="宋体" w:hAnsi="宋体" w:eastAsia="宋体" w:cs="宋体"/>
          <w:b/>
          <w:color w:val="auto"/>
          <w:szCs w:val="21"/>
          <w:highlight w:val="none"/>
        </w:rPr>
        <w:t xml:space="preserve">供应食品不影响</w:t>
      </w:r>
      <w:r>
        <w:rPr>
          <w:rFonts w:hint="eastAsia" w:ascii="宋体" w:hAnsi="宋体" w:eastAsia="宋体" w:cs="宋体"/>
          <w:b/>
          <w:color w:val="auto"/>
          <w:szCs w:val="21"/>
          <w:highlight w:val="none"/>
          <w:lang w:val="en-US" w:eastAsia="zh-CN"/>
        </w:rPr>
        <w:t xml:space="preserve">甲方</w:t>
      </w:r>
      <w:r>
        <w:rPr>
          <w:rFonts w:hint="eastAsia" w:ascii="宋体" w:hAnsi="宋体" w:eastAsia="宋体" w:cs="宋体"/>
          <w:b/>
          <w:color w:val="auto"/>
          <w:szCs w:val="21"/>
          <w:highlight w:val="none"/>
        </w:rPr>
        <w:t xml:space="preserve">根据需要另行采购的自主权</w:t>
      </w:r>
      <w:r>
        <w:rPr>
          <w:rFonts w:hint="eastAsia" w:ascii="宋体" w:hAnsi="宋体" w:eastAsia="宋体" w:cs="宋体"/>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2、本项目按实结算，最终结算金额不超过人民币</w:t>
      </w:r>
      <w:r>
        <w:rPr>
          <w:rFonts w:hint="eastAsia" w:ascii="宋体" w:hAnsi="宋体" w:eastAsia="宋体" w:cs="宋体"/>
          <w:color w:val="auto"/>
          <w:sz w:val="21"/>
          <w:szCs w:val="21"/>
          <w:highlight w:val="none"/>
          <w:u w:val="single"/>
          <w:lang w:val="en-US" w:eastAsia="zh-CN" w:bidi="ar-SA"/>
        </w:rPr>
        <w:t xml:space="preserve">          （小写¥        ）</w:t>
      </w:r>
      <w:r>
        <w:rPr>
          <w:rFonts w:hint="eastAsia" w:ascii="宋体" w:hAnsi="宋体" w:eastAsia="宋体" w:cs="宋体"/>
          <w:color w:val="auto"/>
          <w:sz w:val="21"/>
          <w:szCs w:val="21"/>
          <w:highlight w:val="none"/>
          <w:u w:val="none"/>
          <w:lang w:val="en-US" w:eastAsia="zh-CN" w:bidi="ar-SA"/>
        </w:rPr>
        <w:t xml:space="preserve">，综合优惠率：</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 。</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二、服务要求：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Times New Roman" w:hAnsi="Times New Roman" w:eastAsia="宋体" w:cs="Times New Roman"/>
          <w:color w:val="auto"/>
          <w:szCs w:val="21"/>
          <w:highlight w:val="none"/>
        </w:rPr>
        <w:t xml:space="preserve">所供</w:t>
      </w:r>
      <w:r>
        <w:rPr>
          <w:rFonts w:ascii="Times New Roman" w:hAnsi="Times New Roman" w:eastAsia="宋体" w:cs="Times New Roman"/>
          <w:color w:val="auto"/>
          <w:szCs w:val="21"/>
          <w:highlight w:val="none"/>
        </w:rPr>
        <w:t xml:space="preserve">原材料</w:t>
      </w:r>
      <w:r>
        <w:rPr>
          <w:rFonts w:hint="eastAsia" w:ascii="Times New Roman" w:hAnsi="Times New Roman" w:eastAsia="宋体" w:cs="Times New Roman"/>
          <w:color w:val="auto"/>
          <w:szCs w:val="21"/>
          <w:highlight w:val="none"/>
        </w:rPr>
        <w:t xml:space="preserve">的质量要求：所供</w:t>
      </w:r>
      <w:r>
        <w:rPr>
          <w:rFonts w:ascii="Times New Roman" w:hAnsi="Times New Roman" w:eastAsia="宋体" w:cs="Times New Roman"/>
          <w:color w:val="auto"/>
          <w:szCs w:val="21"/>
          <w:highlight w:val="none"/>
        </w:rPr>
        <w:t xml:space="preserve">原材料</w:t>
      </w:r>
      <w:r>
        <w:rPr>
          <w:rFonts w:hint="eastAsia" w:ascii="Times New Roman" w:hAnsi="Times New Roman" w:eastAsia="宋体" w:cs="Times New Roman"/>
          <w:color w:val="auto"/>
          <w:szCs w:val="21"/>
          <w:highlight w:val="none"/>
        </w:rPr>
        <w:t xml:space="preserve">均须符合《国家食品卫生标准</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rPr>
        <w:t xml:space="preserve">食品卫生法》和《动物检疫法》等相</w:t>
      </w:r>
      <w:r>
        <w:rPr>
          <w:rFonts w:hint="eastAsia" w:ascii="Times New Roman" w:hAnsi="Times New Roman" w:eastAsia="宋体" w:cs="Times New Roman"/>
          <w:color w:val="auto"/>
          <w:szCs w:val="21"/>
          <w:highlight w:val="none"/>
        </w:rPr>
        <w:t xml:space="preserve">关规定，保证卫生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有权要求退货或换货。因供应的货物质量达不到国家有关食品安全标准而造成食物中毒或其它后果，经公安机关或卫生防疫部门鉴定属于</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（配送单位）责任的，其产生的一切法律和经济责任全部由</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承担</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数量及验收要求：</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应保证所供货物品种和数量、重量的准确性，</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和</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应分别建立采购和供应台账，确定专人负责验收和送货，以</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的验货数量为准，</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每次随货附一式三份的送货清单，由</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验货后签字确认，作为送、收货的凭证。对于出现质量、数量不符合要求等现象，</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有权要求</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及时退换，并按合同约定作出相应罚款处罚，</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必须无条件退换，并保证</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正常餐饮供应不受影响</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在供货过程中，</w:t>
      </w:r>
      <w:r>
        <w:rPr>
          <w:rFonts w:hint="eastAsia" w:ascii="Times New Roman" w:hAnsi="Times New Roman" w:eastAsia="宋体" w:cs="Times New Roman"/>
          <w:color w:val="auto"/>
          <w:szCs w:val="21"/>
          <w:highlight w:val="none"/>
          <w:lang w:val="en-US" w:eastAsia="zh-CN"/>
        </w:rPr>
        <w:t xml:space="preserve">甲方</w:t>
      </w:r>
      <w:r>
        <w:rPr>
          <w:rFonts w:hint="eastAsia" w:ascii="宋体" w:hAnsi="宋体" w:eastAsia="宋体" w:cs="宋体"/>
          <w:color w:val="auto"/>
          <w:szCs w:val="21"/>
          <w:highlight w:val="none"/>
        </w:rPr>
        <w:t xml:space="preserve">对所供货物有任何意见，可随时向</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反映，</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应及时改进；如</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未改进或改进后仍无法满足</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要求，</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有权</w:t>
      </w:r>
      <w:r>
        <w:rPr>
          <w:rFonts w:hint="eastAsia" w:ascii="宋体" w:hAnsi="宋体" w:eastAsia="宋体" w:cs="宋体"/>
          <w:color w:val="auto"/>
          <w:szCs w:val="21"/>
          <w:highlight w:val="none"/>
          <w:lang w:val="en-US" w:eastAsia="zh-CN"/>
        </w:rPr>
        <w:t xml:space="preserve">终止</w:t>
      </w:r>
      <w:r>
        <w:rPr>
          <w:rFonts w:hint="eastAsia" w:ascii="宋体" w:hAnsi="宋体" w:eastAsia="宋体" w:cs="宋体"/>
          <w:color w:val="auto"/>
          <w:szCs w:val="21"/>
          <w:highlight w:val="none"/>
        </w:rPr>
        <w:t xml:space="preserve">与</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的合作，并无需给予任何赔偿。</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4、乙方</w:t>
      </w:r>
      <w:r>
        <w:rPr>
          <w:rFonts w:hint="eastAsia" w:ascii="宋体" w:hAnsi="宋体" w:eastAsia="宋体" w:cs="宋体"/>
          <w:color w:val="auto"/>
          <w:szCs w:val="21"/>
          <w:highlight w:val="none"/>
        </w:rPr>
        <w:t xml:space="preserve">应成立食堂配送项目专项服务小组，负责相关工作及提供各种服务，本项目所配备的人员须凭健康证上岗。</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服务期间，如发生食品卫生安全等问题，包括且不限于人员餐后出现呕吐、腹泻，或食物污染，或食物中毒等，</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有权</w:t>
      </w:r>
      <w:r>
        <w:rPr>
          <w:rFonts w:hint="eastAsia" w:ascii="宋体" w:hAnsi="宋体" w:eastAsia="宋体" w:cs="宋体"/>
          <w:color w:val="auto"/>
          <w:szCs w:val="21"/>
          <w:highlight w:val="none"/>
          <w:lang w:val="en-US" w:eastAsia="zh-CN"/>
        </w:rPr>
        <w:t xml:space="preserve">终止</w:t>
      </w:r>
      <w:r>
        <w:rPr>
          <w:rFonts w:hint="eastAsia" w:ascii="宋体" w:hAnsi="宋体" w:eastAsia="宋体" w:cs="宋体"/>
          <w:color w:val="auto"/>
          <w:szCs w:val="21"/>
          <w:highlight w:val="none"/>
        </w:rPr>
        <w:t xml:space="preserve">与</w:t>
      </w:r>
      <w:r>
        <w:rPr>
          <w:rFonts w:hint="eastAsia" w:ascii="宋体" w:hAnsi="宋体" w:eastAsia="宋体" w:cs="宋体"/>
          <w:color w:val="auto"/>
          <w:szCs w:val="21"/>
          <w:highlight w:val="none"/>
          <w:lang w:val="en-US" w:eastAsia="zh-CN"/>
        </w:rPr>
        <w:t xml:space="preserve">乙</w:t>
      </w:r>
      <w:r>
        <w:rPr>
          <w:rFonts w:hint="eastAsia" w:ascii="宋体" w:hAnsi="宋体" w:eastAsia="宋体" w:cs="宋体"/>
          <w:color w:val="auto"/>
          <w:szCs w:val="21"/>
          <w:highlight w:val="none"/>
        </w:rPr>
        <w:t xml:space="preserve">方的合作，并由</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承担因此而造成的全部责任。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三、价格确认</w:t>
      </w:r>
      <w:r/>
    </w:p>
    <w:p>
      <w:pPr>
        <w:ind w:left="0" w:firstLine="420"/>
        <w:keepLines w:val="0"/>
        <w:keepNext w:val="0"/>
        <w:pageBreakBefore w:val="0"/>
        <w:spacing w:line="360" w:lineRule="auto"/>
        <w:widowControl w:val="off"/>
        <w:rPr>
          <w:rFonts w:hint="default"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 w:val="21"/>
          <w:szCs w:val="24"/>
          <w:highlight w:val="none"/>
          <w:lang w:val="en-US" w:eastAsia="zh-CN" w:bidi="ar-SA"/>
        </w:rPr>
        <w:t xml:space="preserve">乙方</w:t>
      </w:r>
      <w:r>
        <w:rPr>
          <w:rFonts w:hint="eastAsia" w:ascii="宋体" w:hAnsi="宋体" w:eastAsia="宋体" w:cs="宋体"/>
          <w:color w:val="auto"/>
          <w:sz w:val="21"/>
          <w:szCs w:val="21"/>
          <w:highlight w:val="none"/>
          <w:lang w:val="en-US" w:eastAsia="zh-CN" w:bidi="ar"/>
        </w:rPr>
        <w:t xml:space="preserve">的物资商品销售价格及送货质量标准以每周苏州市价格监测中心的苏州价格在线（http://fg.suzhou.gov.cn/szfgw/shxf/shxf_jgzx.shtml苏州市重要民生商品价格采集公布表--主副食品（农贸市场））一周一期（取各农贸市场平均价）为定价依据</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若遇无参考价格的情况下，参照</w:t>
      </w:r>
      <w:r>
        <w:rPr>
          <w:rFonts w:hint="eastAsia" w:ascii="Times New Roman" w:hAnsi="宋体" w:eastAsia="宋体" w:cs="宋体"/>
          <w:b w:val="0"/>
          <w:bCs/>
          <w:color w:val="auto"/>
          <w:sz w:val="21"/>
          <w:szCs w:val="21"/>
          <w:highlight w:val="none"/>
          <w:lang w:val="en-US" w:eastAsia="zh-CN" w:bidi="ar-SA"/>
        </w:rPr>
        <w:t xml:space="preserve">苏州市吴江大润发超市、</w:t>
      </w:r>
      <w:r>
        <w:rPr>
          <w:rFonts w:hint="eastAsia" w:ascii="宋体" w:hAnsi="宋体" w:eastAsia="宋体" w:cs="宋体"/>
          <w:b w:val="0"/>
          <w:bCs/>
          <w:color w:val="auto"/>
          <w:sz w:val="21"/>
          <w:szCs w:val="21"/>
          <w:highlight w:val="none"/>
          <w:lang w:val="en-US" w:eastAsia="zh-CN" w:bidi="ar-SA"/>
        </w:rPr>
        <w:t xml:space="preserve">吴江体育路农贸市场或山姆超市</w:t>
      </w:r>
      <w:r>
        <w:rPr>
          <w:rFonts w:hint="eastAsia" w:ascii="Times New Roman" w:hAnsi="宋体" w:eastAsia="宋体" w:cs="宋体"/>
          <w:b w:val="0"/>
          <w:bCs/>
          <w:color w:val="auto"/>
          <w:sz w:val="21"/>
          <w:szCs w:val="21"/>
          <w:highlight w:val="none"/>
          <w:lang w:val="en-US" w:eastAsia="zh-CN" w:bidi="ar-SA"/>
        </w:rPr>
        <w:t xml:space="preserve">等</w:t>
      </w:r>
      <w:r>
        <w:rPr>
          <w:rFonts w:hint="eastAsia" w:ascii="宋体" w:hAnsi="宋体" w:eastAsia="宋体" w:cs="宋体"/>
          <w:b w:val="0"/>
          <w:bCs/>
          <w:color w:val="auto"/>
          <w:sz w:val="21"/>
          <w:szCs w:val="21"/>
          <w:highlight w:val="none"/>
          <w:lang w:val="en-US" w:eastAsia="zh-CN" w:bidi="ar-SA"/>
        </w:rPr>
        <w:t xml:space="preserve">价格行情（超市参与零售价，不包括促销价及优惠价）为定价依据，经双方协商确定，价格表半月确认一次</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none"/>
          <w:lang w:val="en-US" w:eastAsia="zh-CN"/>
        </w:rPr>
        <w:t xml:space="preserve">甲方</w:t>
      </w:r>
      <w:r>
        <w:rPr>
          <w:rFonts w:hint="eastAsia" w:ascii="宋体" w:hAnsi="宋体" w:eastAsia="宋体" w:cs="宋体"/>
          <w:color w:val="auto"/>
          <w:szCs w:val="21"/>
          <w:highlight w:val="none"/>
          <w:u w:val="none"/>
          <w:lang w:eastAsia="zh-CN"/>
        </w:rPr>
        <w:t xml:space="preserve">根据当月实际配送种类、数量及价格结算货款。</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u w:val="none"/>
          <w:lang w:eastAsia="zh-CN"/>
        </w:rPr>
        <w:t xml:space="preserve">每</w:t>
      </w:r>
      <w:r>
        <w:rPr>
          <w:rFonts w:hint="eastAsia" w:ascii="宋体" w:hAnsi="宋体" w:eastAsia="宋体" w:cs="宋体"/>
          <w:color w:val="auto"/>
          <w:szCs w:val="21"/>
          <w:highlight w:val="none"/>
          <w:u w:val="none"/>
          <w:lang w:val="en-US" w:eastAsia="zh-CN"/>
        </w:rPr>
        <w:t xml:space="preserve">两周</w:t>
      </w:r>
      <w:r>
        <w:rPr>
          <w:rFonts w:hint="eastAsia" w:ascii="宋体" w:hAnsi="宋体" w:eastAsia="宋体" w:cs="宋体"/>
          <w:color w:val="auto"/>
          <w:szCs w:val="21"/>
          <w:highlight w:val="none"/>
          <w:u w:val="none"/>
          <w:lang w:eastAsia="zh-CN"/>
        </w:rPr>
        <w:t xml:space="preserve">周</w:t>
      </w:r>
      <w:r>
        <w:rPr>
          <w:rFonts w:hint="eastAsia" w:ascii="宋体" w:hAnsi="宋体" w:eastAsia="宋体" w:cs="宋体"/>
          <w:color w:val="auto"/>
          <w:szCs w:val="21"/>
          <w:highlight w:val="none"/>
          <w:u w:val="none"/>
          <w:lang w:val="en-US" w:eastAsia="zh-CN"/>
        </w:rPr>
        <w:t xml:space="preserve">三</w:t>
      </w:r>
      <w:r>
        <w:rPr>
          <w:rFonts w:hint="eastAsia" w:ascii="宋体" w:hAnsi="宋体" w:eastAsia="宋体" w:cs="宋体"/>
          <w:color w:val="auto"/>
          <w:szCs w:val="21"/>
          <w:highlight w:val="none"/>
          <w:u w:val="none"/>
          <w:lang w:eastAsia="zh-CN"/>
        </w:rPr>
        <w:t xml:space="preserve">上午10点</w:t>
      </w:r>
      <w:r>
        <w:rPr>
          <w:rFonts w:hint="eastAsia" w:ascii="宋体" w:hAnsi="宋体" w:eastAsia="宋体" w:cs="宋体"/>
          <w:color w:val="auto"/>
          <w:szCs w:val="21"/>
          <w:highlight w:val="none"/>
          <w:u w:val="none"/>
          <w:lang w:eastAsia="zh-CN"/>
        </w:rPr>
        <w:t xml:space="preserve">前向</w:t>
      </w:r>
      <w:r>
        <w:rPr>
          <w:rFonts w:hint="eastAsia" w:ascii="宋体" w:hAnsi="宋体" w:eastAsia="宋体" w:cs="宋体"/>
          <w:color w:val="auto"/>
          <w:szCs w:val="21"/>
          <w:highlight w:val="none"/>
          <w:u w:val="none"/>
          <w:lang w:val="en-US" w:eastAsia="zh-CN"/>
        </w:rPr>
        <w:t xml:space="preserve">采购方食堂主管</w:t>
      </w:r>
      <w:r>
        <w:rPr>
          <w:rFonts w:hint="eastAsia" w:ascii="宋体" w:hAnsi="宋体" w:eastAsia="宋体" w:cs="宋体"/>
          <w:color w:val="auto"/>
          <w:szCs w:val="21"/>
          <w:highlight w:val="none"/>
          <w:u w:val="none"/>
          <w:lang w:eastAsia="zh-CN"/>
        </w:rPr>
        <w:t xml:space="preserve">提供下</w:t>
      </w:r>
      <w:r>
        <w:rPr>
          <w:rFonts w:hint="eastAsia" w:ascii="宋体" w:hAnsi="宋体" w:eastAsia="宋体" w:cs="宋体"/>
          <w:color w:val="auto"/>
          <w:szCs w:val="21"/>
          <w:highlight w:val="none"/>
          <w:u w:val="none"/>
          <w:lang w:val="en-US" w:eastAsia="zh-CN"/>
        </w:rPr>
        <w:t xml:space="preserve">两</w:t>
      </w:r>
      <w:r>
        <w:rPr>
          <w:rFonts w:hint="eastAsia" w:ascii="宋体" w:hAnsi="宋体" w:eastAsia="宋体" w:cs="宋体"/>
          <w:color w:val="auto"/>
          <w:szCs w:val="21"/>
          <w:highlight w:val="none"/>
          <w:u w:val="none"/>
          <w:lang w:eastAsia="zh-CN"/>
        </w:rPr>
        <w:t xml:space="preserve">周食材报价表（盖</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u w:val="none"/>
          <w:lang w:eastAsia="zh-CN"/>
        </w:rPr>
        <w:t xml:space="preserve">公章</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none"/>
          <w:lang w:eastAsia="zh-CN"/>
        </w:rPr>
        <w:t xml:space="preserve">，经双方协商确定，双方签字确认后开始生效执行</w:t>
      </w:r>
      <w:r>
        <w:rPr>
          <w:rFonts w:hint="eastAsia" w:ascii="宋体" w:hAnsi="宋体" w:eastAsia="宋体" w:cs="宋体"/>
          <w:color w:val="auto"/>
          <w:szCs w:val="21"/>
          <w:highlight w:val="none"/>
        </w:rPr>
        <w:t xml:space="preserve">。确认好的价格任何一方不得随意更改。在价格表上没出现而临时定价的特殊品种，如采购方有异议，需双方协商后予以最后确认。</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结算货款时，双方严格按确认后的价格予以结算。</w:t>
      </w:r>
      <w:r>
        <w:rPr>
          <w:rFonts w:hint="eastAsia" w:ascii="宋体" w:hAnsi="宋体" w:eastAsia="宋体" w:cs="宋体"/>
          <w:b/>
          <w:bCs/>
          <w:color w:val="auto"/>
          <w:szCs w:val="21"/>
          <w:highlight w:val="none"/>
          <w:lang w:val="en-US" w:eastAsia="zh-CN"/>
        </w:rPr>
        <w:t xml:space="preserve">最终结算价格，以基准价结合乙方承诺的优惠率进行计算。</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none"/>
        </w:rPr>
        <w:t xml:space="preserve">如遇台风、暴雨、供求关系、宏观调控等原因造成的市场价格上涨（超过5%）或下降（超过5%）持续超过</w:t>
      </w:r>
      <w:r>
        <w:rPr>
          <w:rFonts w:hint="eastAsia" w:ascii="宋体" w:hAnsi="宋体" w:eastAsia="宋体" w:cs="宋体"/>
          <w:color w:val="auto"/>
          <w:szCs w:val="21"/>
          <w:highlight w:val="none"/>
          <w:u w:val="none"/>
          <w:lang w:val="en-US" w:eastAsia="zh-CN"/>
        </w:rPr>
        <w:t xml:space="preserve">3</w:t>
      </w:r>
      <w:r>
        <w:rPr>
          <w:rFonts w:hint="eastAsia" w:ascii="宋体" w:hAnsi="宋体" w:eastAsia="宋体" w:cs="宋体"/>
          <w:color w:val="auto"/>
          <w:szCs w:val="21"/>
          <w:highlight w:val="none"/>
          <w:u w:val="none"/>
        </w:rPr>
        <w:t xml:space="preserve">天，需临时调整时，经甲乙双方协商同意后方可调整</w:t>
      </w:r>
      <w:r>
        <w:rPr>
          <w:rFonts w:hint="eastAsia" w:ascii="宋体" w:hAnsi="宋体" w:eastAsia="宋体" w:cs="宋体"/>
          <w:color w:val="auto"/>
          <w:szCs w:val="21"/>
          <w:highlight w:val="none"/>
        </w:rPr>
        <w:t xml:space="preserve">。</w:t>
      </w:r>
      <w:r/>
    </w:p>
    <w:p>
      <w:pPr>
        <w:ind w:left="0"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3、甲方将不定期地对乙方的结算价格进行抽查，一经发现乙方所提供的结算价格与本项目约定的结算价格不一致时，第一次严重警告，扣除当季度供应食材总金额的5%，如发生第二次，甲方有权立即解除合同。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四、送货时间</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Times New Roman" w:hAnsi="Times New Roman" w:eastAsia="宋体" w:cs="Times New Roman"/>
          <w:color w:val="auto"/>
          <w:szCs w:val="21"/>
          <w:highlight w:val="none"/>
        </w:rPr>
        <w:t xml:space="preserve">送货时间要求：</w:t>
      </w:r>
      <w:r>
        <w:rPr>
          <w:rFonts w:hint="eastAsia" w:ascii="Times New Roman" w:hAnsi="Times New Roman" w:eastAsia="宋体" w:cs="Times New Roman"/>
          <w:color w:val="auto"/>
          <w:szCs w:val="21"/>
          <w:highlight w:val="none"/>
          <w:lang w:eastAsia="zh-CN"/>
        </w:rPr>
        <w:t xml:space="preserve">服务常规送菜</w:t>
      </w:r>
      <w:r>
        <w:rPr>
          <w:rFonts w:hint="eastAsia" w:ascii="宋体" w:hAnsi="宋体" w:eastAsia="宋体" w:cs="宋体"/>
          <w:color w:val="auto"/>
          <w:szCs w:val="21"/>
          <w:highlight w:val="none"/>
          <w:lang w:eastAsia="zh-CN"/>
        </w:rPr>
        <w:t xml:space="preserve">时间6点30分</w:t>
      </w:r>
      <w:r>
        <w:rPr>
          <w:rFonts w:hint="eastAsia" w:ascii="宋体" w:hAnsi="宋体" w:eastAsia="宋体" w:cs="宋体"/>
          <w:color w:val="auto"/>
          <w:szCs w:val="21"/>
          <w:highlight w:val="none"/>
          <w:lang w:val="en-US" w:eastAsia="zh-CN"/>
        </w:rPr>
        <w:t xml:space="preserve">前</w:t>
      </w:r>
      <w:r>
        <w:rPr>
          <w:rFonts w:hint="eastAsia" w:ascii="宋体" w:hAnsi="宋体" w:eastAsia="宋体" w:cs="宋体"/>
          <w:color w:val="auto"/>
          <w:szCs w:val="21"/>
          <w:highlight w:val="none"/>
          <w:lang w:eastAsia="zh-CN"/>
        </w:rPr>
        <w:t xml:space="preserve">（</w:t>
      </w:r>
      <w:r>
        <w:rPr>
          <w:rFonts w:hint="eastAsia" w:ascii="Times New Roman" w:hAnsi="Times New Roman" w:eastAsia="宋体" w:cs="Times New Roman"/>
          <w:color w:val="auto"/>
          <w:szCs w:val="21"/>
          <w:highlight w:val="none"/>
          <w:lang w:eastAsia="zh-CN"/>
        </w:rPr>
        <w:t xml:space="preserve">具体以甲方要求为准）</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在接到购货订单通知后，应按</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订购单的要求送货，准时送达</w:t>
      </w:r>
      <w:r>
        <w:rPr>
          <w:rFonts w:hint="eastAsia" w:ascii="宋体" w:hAnsi="宋体" w:eastAsia="宋体" w:cs="宋体"/>
          <w:color w:val="auto"/>
          <w:szCs w:val="21"/>
          <w:highlight w:val="none"/>
        </w:rPr>
        <w:t xml:space="preserve">。乙方如送货迟到半小时或以上，甲方可</w:t>
      </w:r>
      <w:r>
        <w:rPr>
          <w:rFonts w:hint="eastAsia" w:ascii="宋体" w:hAnsi="宋体" w:eastAsia="宋体" w:cs="宋体"/>
          <w:color w:val="auto"/>
          <w:szCs w:val="21"/>
          <w:highlight w:val="none"/>
          <w:lang w:eastAsia="zh-CN"/>
        </w:rPr>
        <w:t xml:space="preserve">扣除</w:t>
      </w:r>
      <w:r>
        <w:rPr>
          <w:rFonts w:hint="eastAsia" w:ascii="宋体" w:hAnsi="宋体" w:eastAsia="宋体" w:cs="宋体"/>
          <w:color w:val="auto"/>
          <w:szCs w:val="21"/>
          <w:highlight w:val="none"/>
        </w:rPr>
        <w:t xml:space="preserve">乙方当天总货款的10%违约金；因迟到时间长而造成甲方无法正常供餐的，甲方有权追究乙方相关经济、法律责任。 </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乙方须严格按照甲方确认的采购清单进行配送，如有缺货须在收到采购单2个小时内书面通知甲方。极个别产品因质量太差或没有货源时，乙方须及时反馈到甲方并协商调整，保证所需货物准时到达。</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临时加货处理：</w:t>
      </w:r>
      <w:r>
        <w:rPr>
          <w:rFonts w:hint="eastAsia" w:ascii="Times New Roman" w:hAnsi="Times New Roman" w:eastAsia="宋体" w:cs="Times New Roman"/>
          <w:color w:val="auto"/>
          <w:szCs w:val="21"/>
          <w:highlight w:val="none"/>
        </w:rPr>
        <w:t xml:space="preserve">对于</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临时加货，</w:t>
      </w:r>
      <w:r>
        <w:rPr>
          <w:rFonts w:hint="eastAsia" w:ascii="Times New Roman" w:hAnsi="Times New Roman" w:eastAsia="宋体" w:cs="Times New Roman"/>
          <w:color w:val="auto"/>
          <w:szCs w:val="21"/>
          <w:highlight w:val="none"/>
          <w:lang w:val="en-US" w:eastAsia="zh-CN"/>
        </w:rPr>
        <w:t xml:space="preserve">乙方</w:t>
      </w:r>
      <w:r>
        <w:rPr>
          <w:rFonts w:hint="eastAsia" w:ascii="Times New Roman" w:hAnsi="Times New Roman" w:eastAsia="宋体" w:cs="Times New Roman"/>
          <w:color w:val="auto"/>
          <w:szCs w:val="21"/>
          <w:highlight w:val="none"/>
        </w:rPr>
        <w:t xml:space="preserve">需在接到</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通知后及时按要求时间将货物送到</w:t>
      </w:r>
      <w:r>
        <w:rPr>
          <w:rFonts w:hint="eastAsia" w:ascii="Times New Roman" w:hAnsi="Times New Roman" w:eastAsia="宋体" w:cs="Times New Roman"/>
          <w:color w:val="auto"/>
          <w:szCs w:val="21"/>
          <w:highlight w:val="none"/>
          <w:lang w:val="en-US" w:eastAsia="zh-CN"/>
        </w:rPr>
        <w:t xml:space="preserve">甲方</w:t>
      </w:r>
      <w:r>
        <w:rPr>
          <w:rFonts w:hint="eastAsia" w:ascii="Times New Roman" w:hAnsi="Times New Roman" w:eastAsia="宋体" w:cs="Times New Roman"/>
          <w:color w:val="auto"/>
          <w:szCs w:val="21"/>
          <w:highlight w:val="none"/>
        </w:rPr>
        <w:t xml:space="preserve">的指定地点，派专人负责跟踪服务，保证用餐正常</w:t>
      </w:r>
      <w:r>
        <w:rPr>
          <w:rFonts w:hint="eastAsia" w:ascii="宋体" w:hAnsi="宋体" w:eastAsia="宋体" w:cs="宋体"/>
          <w:color w:val="auto"/>
          <w:szCs w:val="21"/>
          <w:highlight w:val="none"/>
        </w:rPr>
        <w:t xml:space="preserve">。</w:t>
      </w:r>
      <w:r/>
    </w:p>
    <w:p>
      <w:pPr>
        <w:numPr>
          <w:ilvl w:val="0"/>
          <w:numId w:val="6"/>
        </w:numPr>
        <w:ind w:left="0"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甲方主要职责</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1、合同有效期内，甲方所需食材由乙方配送。</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2、食材每日送货一次，如有特殊情况，乙方接到甲方通知后1小时内送达相关食材。每日需采购的清单必须仔细核对，确保所需食材项目、数量、质量准确无误。配送清单时间由甲方确定。</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甲方验收时须仔细核对送货清单，认真把好质量、数量、规格、退货核对签字等环节，严格执行验货、入出库和索证制度，向乙方索取食材的检验合格证或者化验单，并做好索证登记工作；确认无误后，在乙方的送货单上签收并留二份存档；如发现食材卫生质量问题或者以次充好，甲方可立即无条件退货或换货，并视具体情况对乙方进行考核体现，直至终止乙方配送工作。</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4、甲方主动联系区监、卫监、物价等政府职能部门，通过相关政府职能部门加强对食材质量和安全、食材流通、食材价格、食堂内部卫生和安全的监管力度，并定期对食材进行第三方检测。</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5、甲方设立食堂食材评价工作小组，小组由吴江区卫生健康委员会督查部和食堂相关人员组成，小组将不定期对乙方提供的食材质量进行督查，并参与对乙方的月度考核（考核表见附件一）。</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6、甲方如有需要，可约见乙方，当面商定进一步完善工作的措施。每个月做好对乙方的考核工作。</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7、甲方监管乙方完成其主要工作职责（乙方主要职责见附件二）。</w:t>
      </w:r>
      <w:r/>
    </w:p>
    <w:p>
      <w:pPr>
        <w:numPr>
          <w:ilvl w:val="0"/>
          <w:numId w:val="6"/>
        </w:numPr>
        <w:ind w:left="0"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乙方主要职责</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1、乙方承接甲方的食材配送工作，按时保质保量按要求从事配送工作</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2、乙方应严格按照甲方规定的品牌及其规格进行采购、配送，接受甲方的定价机制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在一个价格周期内，即使市场价格发生变化，供货价格仍应保持不变</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3、乙方应服从政府相关职能部门的业务指导和监管，服从甲方的管理</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4、乙方严格执行食品法的规定，建立并自觉履行食品卫生安全和食品质量的保障机制，确保安全。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5、乙方必须根据协议约定和甲方提出的品种、规格、品牌、数量、质量要求送货，并在规定的时间内及时送到。每日的配送清单须是打印稿</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6、乙方所供食材，必须符合食品法标准，如发现食材卫生质量问题或者以次充好，甲方可无条件退货或要求乙方换货，并视具体情况对乙方进行考核体现，直至终止乙方配送工作</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7、乙方在供货时应提供食品检验合格证或者化验单，如肉类制品必须是定点屠宰且经检疫合格的B级猪肉。所供食材在条件允许的范围内增加检测次数，每季度向甲方无条件提供第三方检测报告</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8、乙方供货时不得提供以下食品，若乙方在合同执行期间有下列行为之一的，甲方可直接解除服务合同没收履约保证金并向乙方进行索赔</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无品名、产地、厂名、生产日期、保质期及中文标识及原料说明的定型包装食品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超过保质期限或不符合食品标签规定的定型包装食品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腐败变质、油脂酸败、霉变、生虫、污秽不洁、混有异物或者其他感官性状异常，含有毒、有害物质或者被有毒、有害物质污染，可能对人体健康有害的食品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病死、死因不明或从疫区采购的水产品、畜、禽及其制品，不合格调味品，工业用盐，非碘盐或非食品原料和滥用食品添加剂，农药残留超标的蔬菜等</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其他不符合食品卫生标准和要求的食品。</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乙方向甲方提供食材的品牌、规格、价格必须与吴江区中小学食堂供配管理系统上公布的相同，如有特殊规格要求，必须根据乙方所提出的规格品牌进行提供，严禁擅自更换食材品牌、规格或者擅自提价。乙方需优先将基地的食材提供甲方。</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10、乙方凡有短斤缺两、擅自涨价、质量问题以及其它违规行为均记入诚信档案，作为影响以后招投标的重要因素。情节较为严重的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详见《协议书》相关条款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，甲方有权中止供货协议，并按相关法律处理。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乙方应按照招标文件的规定交纳履约保证金。如乙方无违反招标文件事项及本合同约定事项。因所供应食材的质量问题引起工作人员食物中毒等食源性疾病的发生或引起其他事故由乙方负全部责任，承担由此而引起的全部经济损失及相关法律责任，甲方有权从乙方的保证金中扣除相应违约金，并终止与乙方签署的协议。合同期内无服务质量问题，合同期满无息归还履约保证金。如有违反招标文件或违反本合同的，甲方有权没收履约保证金。</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w:t>
      </w:r>
      <w:r>
        <w:rPr>
          <w:rFonts w:hint="eastAsia" w:ascii="宋体" w:hAnsi="宋体" w:eastAsia="宋体" w:cs="宋体"/>
          <w:color w:val="auto"/>
          <w:szCs w:val="21"/>
          <w:highlight w:val="none"/>
          <w:lang w:eastAsia="zh-CN"/>
        </w:rPr>
        <w:t xml:space="preserve">建立台账</w:t>
      </w:r>
      <w:r>
        <w:rPr>
          <w:rFonts w:hint="eastAsia" w:ascii="宋体" w:hAnsi="宋体" w:eastAsia="宋体" w:cs="宋体"/>
          <w:color w:val="auto"/>
          <w:szCs w:val="21"/>
          <w:highlight w:val="none"/>
        </w:rPr>
        <w:t xml:space="preserve">制度，对配送的食材做到证货同行、证货相符。坚持配送的严格性、严肃性、严密性。</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13、合同解除。有下列情形之一者甲方有权立即终止乙方的配送工作，并解除与乙方签订的本合同，并且没收履约保证金</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不按采购需求、投标文件以及采购服务合同要求履约，或履约情况评价不合格的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未按规定出具检测报告或相关承诺书等资料累计达到二次的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经核实配送物资不符合采购单位要求累计达到三次的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因食品质量问题退货三次</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以上</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商品短斤缺两、以次充好、擅自提价等采购方提出一次后再犯</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因供应的货物质量达不到国家有关食品安全标准而造成食物中毒等食源性疾病或其他事故，经公安机关或卫生防疫部门鉴定属于供应商责任的</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月度考核半年二次或二次以上低于85分</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甲方不满意率达到60%以上</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被政府监管部门查到故意向甲方销售假冒伪劣商品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（10）</w:t>
      </w:r>
      <w:r>
        <w:rPr>
          <w:rFonts w:hint="eastAsia" w:ascii="宋体" w:hAnsi="宋体" w:eastAsia="宋体" w:cs="宋体"/>
          <w:color w:val="auto"/>
          <w:szCs w:val="21"/>
          <w:highlight w:val="none"/>
        </w:rPr>
        <w:t xml:space="preserve">经查实，将部分配送工作分包或转包给他人或其他单位</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（11）</w:t>
      </w:r>
      <w:r>
        <w:rPr>
          <w:rFonts w:hint="eastAsia" w:ascii="宋体" w:hAnsi="宋体" w:eastAsia="宋体" w:cs="宋体"/>
          <w:color w:val="auto"/>
          <w:szCs w:val="21"/>
          <w:highlight w:val="none"/>
        </w:rPr>
        <w:t xml:space="preserve">乙方委托第三方机构对食材进行检测，检测中发现不合格产品</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（12）</w:t>
      </w:r>
      <w:r>
        <w:rPr>
          <w:rFonts w:hint="eastAsia" w:ascii="宋体" w:hAnsi="宋体" w:eastAsia="宋体" w:cs="宋体"/>
          <w:color w:val="auto"/>
          <w:szCs w:val="21"/>
          <w:highlight w:val="none"/>
        </w:rPr>
        <w:t xml:space="preserve">甲方人员对食材品质不满意反响较大。</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、付款方式</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乙方根据当月实际配送种类、数量及价格结算货款。货款每月结算一次，结算周期为：自然月度（每月1日-31日）。乙方需在双方核对货款金额无误后提前向甲方提供由其出具的符合甲方要求的国家正式税务发票，甲方收到发票后15日内（核实价格和数量无差异）再转账给乙方，不得将货款交给其他人员。</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2、甲方将不定期地对乙方的结算价格进行抽查，一经发现乙方所提供的结算价格与本项目约定的结算价格不一致时，第一次严重警告，扣除当季度供应食品总金额5％，如发生第二次，甲方有权立即解除合同</w:t>
      </w:r>
      <w:r>
        <w:rPr>
          <w:rFonts w:hint="eastAsia" w:ascii="宋体" w:hAnsi="宋体" w:eastAsia="宋体" w:cs="宋体"/>
          <w:color w:val="auto"/>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八</w:t>
      </w:r>
      <w:r>
        <w:rPr>
          <w:rFonts w:hint="eastAsia" w:ascii="宋体" w:hAnsi="宋体" w:eastAsia="宋体" w:cs="宋体"/>
          <w:b/>
          <w:color w:val="auto"/>
          <w:szCs w:val="21"/>
          <w:highlight w:val="none"/>
        </w:rPr>
        <w:t xml:space="preserve">、履约保证金</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1、乙方应按照招标文件的规定交纳</w:t>
      </w:r>
      <w:r>
        <w:rPr>
          <w:rFonts w:hint="eastAsia" w:ascii="宋体" w:hAnsi="宋体" w:eastAsia="宋体" w:cs="宋体"/>
          <w:color w:val="auto"/>
          <w:szCs w:val="21"/>
          <w:highlight w:val="none"/>
          <w:lang w:eastAsia="zh-CN"/>
        </w:rPr>
        <w:t xml:space="preserve">合同金额的5%</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履约保证金</w:t>
      </w:r>
      <w:r>
        <w:rPr>
          <w:rFonts w:hint="eastAsia" w:ascii="宋体" w:hAnsi="宋体" w:eastAsia="宋体" w:cs="宋体"/>
          <w:color w:val="auto"/>
          <w:szCs w:val="21"/>
          <w:highlight w:val="none"/>
          <w:lang w:eastAsia="zh-CN"/>
        </w:rPr>
        <w:t xml:space="preserve">，以支票、汇票、本票或者金融机构、担保机构出具的保函等非现金形式提交</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2、如乙方无违反招标文件事项及本合同约定事项，履约保证金在本合同期满后无息退回；如有违反招标文件或违反本合同的，甲方有权没收履约保证金。</w:t>
      </w:r>
      <w:r/>
    </w:p>
    <w:p>
      <w:pPr>
        <w:ind w:left="0"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、合同期限</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十、其他要求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1、若乙方所提供的货品虽经甲方验收入库，但在使用过程中发现有质量问题的，乙方必须及时给予退换货品。</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2、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3、乙方按要求送达的食品（包括肉类、蔬菜类、粮食类、食用油等其他食用品），须配合甲方食品安全检测人员对所送物品按国家有关标准进行检测。若检测不合格，甲方予以书面警告，对该批货物予以退货或当场销毁，同时乙方需及时补货，甲方不需支付该批货物的货款；书面警告累计两次后若再次出现同类情况，甲方有权扣除乙方当天总货款的10%或直接单方解除服务合同，并不给予乙方任何赔偿。</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4、乙方配送器具（送菜筐、豆腐板、水箱、油桶等）因需要留在甲方作业场所，甲方须妥善保管并及时归还乙方；如有遗失，甲方须照价赔偿。</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5、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6、乙方因配送过程中和在甲方场所进行初加工作业等出现交通事故、人身安全事故等，乙方独立承担一切刑事、民事责任，与甲方无关。</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7、乙方须保证所有员工凭健康证上岗，同时应成立食堂配送项目专项服务小组，并报备案，负责相关工作及提供各种服务。</w:t>
      </w:r>
      <w:r/>
    </w:p>
    <w:p>
      <w:pPr>
        <w:ind w:left="0"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8、甲方建立食品索证制度，向乙方索取食品的检验合格证或者化验单，并进行验收。做好索证登记工作，加强食品库房管理。</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十一、违约责任</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1、甲方违约责任及违约金支付：</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（1）在合同生效后，甲方无理由要求终止服务的，应向乙方偿付合同总价款的5%，作为违约金，违约金不足以补偿损失的，乙方有权要求甲方补足。</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（2）甲方逾期付款的应按照逾期付款金额的每天万分之四支付逾期付款违约金。</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（3）甲方违反合同规定，拒绝接受乙方提供服务，应当承担乙方由此造成的损失：                                         </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2、乙方违约责任及违约金支付：</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（1）乙方不能提供服务的，或服务不合格从而影响甲方按期正常使用的，应向甲方偿付合同总价款5%的违约金，违约金不足以补偿损失的甲方有权要求乙方补足。</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（2）乙方逾期提供服务的，应与甲方和政府采购管理部门协商，甲方</w:t>
      </w:r>
      <w:r>
        <w:rPr>
          <w:rFonts w:hint="eastAsia" w:ascii="宋体" w:hAnsi="宋体" w:eastAsia="宋体" w:cs="宋体"/>
          <w:color w:val="auto"/>
          <w:szCs w:val="21"/>
          <w:highlight w:val="none"/>
          <w:lang w:eastAsia="zh-CN"/>
        </w:rPr>
        <w:t xml:space="preserve">仍有</w:t>
      </w:r>
      <w:r>
        <w:rPr>
          <w:rFonts w:hint="eastAsia" w:ascii="宋体" w:hAnsi="宋体" w:eastAsia="宋体" w:cs="宋体"/>
          <w:color w:val="auto"/>
          <w:szCs w:val="21"/>
          <w:highlight w:val="none"/>
        </w:rPr>
        <w:t xml:space="preserve">需求的，乙方应立即提供服务按照逾期服务的每天万分之四支付逾期违约金，同时承担甲方因此遭致的损失费用。</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十二、不可抗力</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1、因不可抗力不能履行合同的，根据不可抗力的影响，部分或者全部免除责任。但合同一方延迟履行后发生不可抗力的，不能免除责任。</w:t>
      </w:r>
      <w:r/>
    </w:p>
    <w:p>
      <w:pPr>
        <w:ind w:left="0"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auto"/>
          <w:szCs w:val="21"/>
          <w:highlight w:val="none"/>
          <w:lang w:val="en-US" w:eastAsia="zh-CN"/>
        </w:rPr>
        <w:t xml:space="preserve">因未及时通知造成对方损失的，由未及时通知的一方承担责任。</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十三、合同修改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1、甲方和乙方都不得擅自变更本合同，但合同继续履行将损害国家和社会公共利益的除外。</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十四、转让和分包</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1、政府采购合同的部分和全部都不得转让。</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十五、合同的解除</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1、有下列情形之一，合同一方可以解除合同：</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（1）因不可抗力致使不能实现合同目的，未受不可抗力影响的一方有权解除合同；</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（2）因合同一方违约导致合同不能履行，另一方有权解除合同。</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2、有权解除合同的一方，应当在违约事实或不可抗力发生之后三十天内书面通知对方以主张解除合同，合同在书面通知到达对方时解除。</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十六、争议解决办法</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因本合同或与本合同有关的一切事项发生争议，由双方友好协商解决。协商不成的，任何一方均可向甲方所在地人民法院起诉。</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十七、合同生效及其他</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1、本合同经甲乙双方法定代表人或其委托代理人签字并加盖公章（或合同章）后生效，多页合同需甲、乙、</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代理机构加盖骑缝章，生效合同需经政府采购监督管理部门网上备案。</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2、下列文件为本合同不可分割部分：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（1）中标通知书；</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（2）乙方投标文件；</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（3）招标文件；</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（4）乙方在招投标过程中所作的其他承诺、声明、书面澄清等；</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（5）合同附件。</w:t>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十八、未尽事宜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1、应按照《中华人民共和国民法典》《中华人民共和国政府采购法》等相关法律法规之规定解释。</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2、本合同</w:t>
      </w:r>
      <w:r>
        <w:rPr>
          <w:rFonts w:hint="eastAsia" w:ascii="宋体" w:hAnsi="宋体" w:eastAsia="宋体" w:cs="宋体"/>
          <w:color w:val="auto"/>
          <w:sz w:val="21"/>
          <w:szCs w:val="21"/>
          <w:highlight w:val="none"/>
          <w:u w:val="none"/>
          <w:lang w:val="en-US" w:eastAsia="zh-CN" w:bidi="ar-SA"/>
        </w:rPr>
        <w:t xml:space="preserve">一式伍份，甲方执贰份，乙</w:t>
      </w:r>
      <w:r>
        <w:rPr>
          <w:rFonts w:hint="eastAsia" w:ascii="宋体" w:hAnsi="宋体" w:eastAsia="宋体" w:cs="宋体"/>
          <w:color w:val="auto"/>
          <w:sz w:val="21"/>
          <w:szCs w:val="21"/>
          <w:highlight w:val="none"/>
          <w:lang w:val="en-US" w:eastAsia="zh-CN" w:bidi="ar-SA"/>
        </w:rPr>
        <w:t xml:space="preserve">方、招标代理机构和政府采购管理机构各壹份。</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合同附件：1、综合食材配送单位月度考核表；</w:t>
      </w:r>
      <w:r/>
    </w:p>
    <w:p>
      <w:pPr>
        <w:numPr>
          <w:ilvl w:val="0"/>
          <w:numId w:val="7"/>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乙方主要职责；</w:t>
      </w:r>
      <w:r/>
    </w:p>
    <w:p>
      <w:pPr>
        <w:numPr>
          <w:ilvl w:val="0"/>
          <w:numId w:val="7"/>
        </w:numPr>
        <w:ind w:left="0"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食材验收质量标准。</w:t>
      </w:r>
      <w:r/>
    </w:p>
    <w:p>
      <w:pPr>
        <w:numPr>
          <w:ilvl w:val="0"/>
          <w:numId w:val="0"/>
        </w:numPr>
        <w:jc w:val="both"/>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bl>
      <w:tblPr>
        <w:tblStyle w:val="976"/>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10"/>
        </w:trPr>
        <w:tc>
          <w:tcPr>
            <w:tcW w:w="436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39"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both"/>
        <w:keepLines/>
        <w:keepNext/>
        <w:pageBreakBefore/>
        <w:spacing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合同附件1：</w:t>
      </w:r>
      <w:r/>
    </w:p>
    <w:p>
      <w:pPr>
        <w:ind w:firstLine="1265"/>
        <w:jc w:val="center"/>
        <w:spacing w:line="420" w:lineRule="exact"/>
        <w:widowControl/>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综合食材配送单位月度考核表</w:t>
      </w:r>
      <w:r/>
    </w:p>
    <w:p>
      <w:pPr>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被考核单位：</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 xml:space="preserve">                                                      年   月   日</w:t>
      </w:r>
      <w:r/>
    </w:p>
    <w:tbl>
      <w:tblPr>
        <w:tblStyle w:val="9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967"/>
        <w:gridCol w:w="6180"/>
        <w:gridCol w:w="765"/>
        <w:gridCol w:w="714"/>
      </w:tblGrid>
      <w:tr>
        <w:trPr>
          <w:jc w:val="center"/>
          <w:trHeight w:val="722"/>
        </w:trPr>
        <w:tc>
          <w:tcPr>
            <w:tcW w:w="917" w:type="dxa"/>
            <w:vAlign w:val="center"/>
            <w:textDirection w:val="lrTb"/>
            <w:noWrap w:val="false"/>
          </w:tcPr>
          <w:p>
            <w:pPr>
              <w:jc w:val="center"/>
              <w:spacing w:line="24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一级</w:t>
            </w:r>
            <w:r/>
          </w:p>
          <w:p>
            <w:pPr>
              <w:jc w:val="center"/>
              <w:spacing w:line="24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指标</w:t>
            </w:r>
            <w:r/>
          </w:p>
        </w:tc>
        <w:tc>
          <w:tcPr>
            <w:tcW w:w="967" w:type="dxa"/>
            <w:vAlign w:val="center"/>
            <w:textDirection w:val="lrTb"/>
            <w:noWrap w:val="false"/>
          </w:tcPr>
          <w:p>
            <w:pPr>
              <w:jc w:val="center"/>
              <w:spacing w:line="24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二级</w:t>
            </w:r>
            <w:r/>
          </w:p>
          <w:p>
            <w:pPr>
              <w:jc w:val="center"/>
              <w:spacing w:line="24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指标</w:t>
            </w:r>
            <w:r/>
          </w:p>
        </w:tc>
        <w:tc>
          <w:tcPr>
            <w:tcW w:w="6180" w:type="dxa"/>
            <w:vAlign w:val="center"/>
            <w:textDirection w:val="lrTb"/>
            <w:noWrap w:val="false"/>
          </w:tcPr>
          <w:p>
            <w:pPr>
              <w:jc w:val="center"/>
              <w:spacing w:line="24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考核要素和评估内容及其标准</w:t>
            </w:r>
            <w:r/>
          </w:p>
        </w:tc>
        <w:tc>
          <w:tcPr>
            <w:tcW w:w="765" w:type="dxa"/>
            <w:vAlign w:val="center"/>
            <w:textDirection w:val="lrTb"/>
            <w:noWrap w:val="false"/>
          </w:tcPr>
          <w:p>
            <w:pPr>
              <w:jc w:val="center"/>
              <w:spacing w:line="240" w:lineRule="exac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评分</w:t>
            </w:r>
            <w:r/>
          </w:p>
        </w:tc>
        <w:tc>
          <w:tcPr>
            <w:tcW w:w="714" w:type="dxa"/>
            <w:vAlign w:val="center"/>
            <w:textDirection w:val="lrTb"/>
            <w:noWrap w:val="false"/>
          </w:tcPr>
          <w:p>
            <w:pPr>
              <w:jc w:val="center"/>
              <w:spacing w:line="240" w:lineRule="exac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备注</w:t>
            </w:r>
            <w:r/>
          </w:p>
        </w:tc>
      </w:tr>
      <w:tr>
        <w:trPr>
          <w:jc w:val="center"/>
          <w:trHeight w:val="584"/>
        </w:trPr>
        <w:tc>
          <w:tcPr>
            <w:tcW w:w="917" w:type="dxa"/>
            <w:vAlign w:val="center"/>
            <w:vMerge w:val="restart"/>
            <w:textDirection w:val="tbRlV"/>
            <w:noWrap w:val="false"/>
          </w:tcPr>
          <w:p>
            <w:pPr>
              <w:ind w:left="113" w:right="113"/>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设备设施</w:t>
            </w:r>
            <w:r/>
          </w:p>
        </w:tc>
        <w:tc>
          <w:tcPr>
            <w:tcW w:w="967" w:type="dxa"/>
            <w:vAlign w:val="center"/>
            <w:textDirection w:val="lrTb"/>
            <w:noWrap w:val="false"/>
          </w:tcPr>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场地与功能</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食材配送占地和建筑面积适中，布局合理，设备设施配套功能齐全且整洁。如有缩小面积、擅自改变其功能等与配送无关联的变更现象，发现一次扣0.5分，扣完为止。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Pr>
        <w:tc>
          <w:tcPr>
            <w:tcW w:w="917" w:type="dxa"/>
            <w:vAlign w:val="center"/>
            <w:vMerge w:val="continue"/>
            <w:textDirection w:val="lrTb"/>
            <w:noWrap w:val="false"/>
          </w:tcPr>
          <w:p>
            <w:pPr>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运输</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工具</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送货均使用专用冷藏车（5-10月须开启冷藏设备，其余时间视气温情况而定），未用冷藏车或该开启冷藏设备而未开启冷藏设备发现一次扣0.5分，扣完为止。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Pr>
        <w:tc>
          <w:tcPr>
            <w:tcW w:w="917" w:type="dxa"/>
            <w:vAlign w:val="center"/>
            <w:vMerge w:val="continue"/>
            <w:textDirection w:val="lrTb"/>
            <w:noWrap w:val="false"/>
          </w:tcPr>
          <w:p>
            <w:pPr>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冷 库</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科学、规范控制冷库温度，冷库堆放有序，并如实填写进出库资料。发现不符合要求的，一次扣0.5分，扣完为止。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641"/>
        </w:trPr>
        <w:tc>
          <w:tcPr>
            <w:tcW w:w="917" w:type="dxa"/>
            <w:vAlign w:val="center"/>
            <w:vMerge w:val="restart"/>
            <w:textDirection w:val="tbRlV"/>
            <w:noWrap w:val="false"/>
          </w:tcPr>
          <w:p>
            <w:pPr>
              <w:ind w:left="113" w:right="113"/>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流程管理</w:t>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准时</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送货</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送货准时，每天所需食材一并送达（水产除外），（非不可抗拒情况下延误一次扣0.5分，扣完为止。非经甲方同意，擅自委托其他人或其他车代送一次扣10分，扣完为止。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570"/>
        </w:trPr>
        <w:tc>
          <w:tcPr>
            <w:tcW w:w="917" w:type="dxa"/>
            <w:vAlign w:val="center"/>
            <w:vMerge w:val="continue"/>
            <w:textDirection w:val="tbRlV"/>
            <w:noWrap w:val="false"/>
          </w:tcPr>
          <w:p>
            <w:pPr>
              <w:ind w:left="113" w:right="113"/>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足斤</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足两</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送货无短斤缺两现象。（</w:t>
            </w:r>
            <w:r>
              <w:rPr>
                <w:rFonts w:hint="eastAsia" w:ascii="Times New Roman" w:hAnsi="Times New Roman" w:eastAsia="宋体" w:cs="Times New Roman"/>
                <w:color w:val="auto"/>
                <w:sz w:val="18"/>
                <w:szCs w:val="18"/>
                <w:highlight w:val="none"/>
                <w:lang w:eastAsia="zh-CN"/>
              </w:rPr>
              <w:t xml:space="preserve">分量短缺</w:t>
            </w:r>
            <w:r>
              <w:rPr>
                <w:rFonts w:hint="eastAsia" w:ascii="Times New Roman" w:hAnsi="Times New Roman" w:eastAsia="宋体" w:cs="Times New Roman"/>
                <w:color w:val="auto"/>
                <w:sz w:val="18"/>
                <w:szCs w:val="18"/>
                <w:highlight w:val="none"/>
              </w:rPr>
              <w:t xml:space="preserve">达到该类食材配送总量5%以上，有一次扣1分，以此类推，扣完为止）。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613"/>
        </w:trPr>
        <w:tc>
          <w:tcPr>
            <w:tcW w:w="917" w:type="dxa"/>
            <w:vAlign w:val="center"/>
            <w:vMerge w:val="continue"/>
            <w:textDirection w:val="lrTb"/>
            <w:noWrap w:val="false"/>
          </w:tcPr>
          <w:p>
            <w:pPr>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服务</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态度</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工作人员工作认真，服务热情周到，运送搬装文明。（运送人员野蛮运装或无正当理由与食堂人员争执，一次扣1分，扣完为止）。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419"/>
        </w:trPr>
        <w:tc>
          <w:tcPr>
            <w:tcW w:w="917" w:type="dxa"/>
            <w:vAlign w:val="center"/>
            <w:vMerge w:val="continue"/>
            <w:textDirection w:val="lrTb"/>
            <w:noWrap w:val="false"/>
          </w:tcPr>
          <w:p>
            <w:pPr>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工作</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细致</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配送物品清单与实际配送无差错。发现误差一次扣0.5分，以此类推，扣完为止。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417"/>
        </w:trPr>
        <w:tc>
          <w:tcPr>
            <w:tcW w:w="917" w:type="dxa"/>
            <w:vAlign w:val="center"/>
            <w:vMerge w:val="continue"/>
            <w:textDirection w:val="lrTb"/>
            <w:noWrap w:val="false"/>
          </w:tcPr>
          <w:p>
            <w:pPr>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单据</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清晰</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送货单（结算凭证）项目齐全，机器打印清晰。发现差异一次扣0.5分，以此类推，扣完为止。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1124"/>
        </w:trPr>
        <w:tc>
          <w:tcPr>
            <w:tcW w:w="917" w:type="dxa"/>
            <w:vAlign w:val="center"/>
            <w:textDirection w:val="lrTb"/>
            <w:noWrap w:val="false"/>
          </w:tcPr>
          <w:p>
            <w:pPr>
              <w:ind w:left="113"/>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质量管理</w:t>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食材</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每日</w:t>
            </w:r>
            <w:r/>
          </w:p>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评分</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汇总</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每天对配送单位提供的食材质量进行验收。（按各类食材验收标准打分，发现不符合质量标准的，视情形扣0.5-1分/次，配送单位及时更换或补货的酌情减少扣分，食材验收标准见附件四）。</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662"/>
        </w:trPr>
        <w:tc>
          <w:tcPr>
            <w:tcW w:w="917" w:type="dxa"/>
            <w:vAlign w:val="center"/>
            <w:vMerge w:val="restart"/>
            <w:textDirection w:val="tbRlV"/>
            <w:noWrap w:val="false"/>
          </w:tcPr>
          <w:p>
            <w:pPr>
              <w:ind w:left="113" w:right="113"/>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科学管理</w:t>
            </w:r>
            <w:r/>
          </w:p>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             </w:t>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诚信</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经营</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不得将部分商品的供应权限转让或分包给他人经营。（如有违反月度考核为零分，并考虑取消配送资格）。</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835"/>
        </w:trPr>
        <w:tc>
          <w:tcPr>
            <w:tcW w:w="917" w:type="dxa"/>
            <w:vAlign w:val="center"/>
            <w:vMerge w:val="continue"/>
            <w:textDirection w:val="tbRlV"/>
            <w:noWrap w:val="false"/>
          </w:tcPr>
          <w:p>
            <w:pP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结算</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精准</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送货单上单价、月底结算价格与网上发布价或双方约定的价格一致。价格有误差，每次扣0.5分，以此类推，扣完为止。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542"/>
        </w:trPr>
        <w:tc>
          <w:tcPr>
            <w:tcW w:w="917" w:type="dxa"/>
            <w:vAlign w:val="center"/>
            <w:vMerge w:val="continue"/>
            <w:textDirection w:val="tbRlV"/>
            <w:noWrap w:val="false"/>
          </w:tcPr>
          <w:p>
            <w:pP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留样</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制度</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每天做好蔬菜农药残留检测，并作记录。规范做好留样工作。记录缺失扣1分，留样不规范扣1分，以此类推，扣完为止。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Pr>
        <w:tc>
          <w:tcPr>
            <w:tcW w:w="917" w:type="dxa"/>
            <w:vAlign w:val="center"/>
            <w:vMerge w:val="continue"/>
            <w:textDirection w:val="lrTb"/>
            <w:noWrap w:val="false"/>
          </w:tcPr>
          <w:p>
            <w:pP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安全</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清洁</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操作场所、仓库、运输工具、贮物筐箱等保持清洁卫生，坚持每天清洁工作，按规定定期消毒并做好记载，仓库内无过期物品 。（抽查到不</w:t>
            </w:r>
            <w:r>
              <w:rPr>
                <w:rFonts w:hint="eastAsia" w:ascii="Times New Roman" w:hAnsi="Times New Roman" w:eastAsia="宋体" w:cs="Times New Roman"/>
                <w:color w:val="auto"/>
                <w:sz w:val="18"/>
                <w:szCs w:val="18"/>
                <w:highlight w:val="none"/>
                <w:lang w:eastAsia="zh-CN"/>
              </w:rPr>
              <w:t xml:space="preserve">符合</w:t>
            </w:r>
            <w:r>
              <w:rPr>
                <w:rFonts w:hint="eastAsia" w:ascii="Times New Roman" w:hAnsi="Times New Roman" w:eastAsia="宋体" w:cs="Times New Roman"/>
                <w:color w:val="auto"/>
                <w:sz w:val="18"/>
                <w:szCs w:val="18"/>
                <w:highlight w:val="none"/>
              </w:rPr>
              <w:t xml:space="preserve">要求的每次扣0.5分，以此类推，扣完为止）。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810"/>
        </w:trPr>
        <w:tc>
          <w:tcPr>
            <w:tcW w:w="917" w:type="dxa"/>
            <w:vAlign w:val="center"/>
            <w:vMerge w:val="continue"/>
            <w:textDirection w:val="lrTb"/>
            <w:noWrap w:val="false"/>
          </w:tcPr>
          <w:p>
            <w:pP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联系</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制度</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如没有甲方所需商品，乙方须事先与甲方联系并谈妥商品的品牌、品级、规格、价格等事项，然后发货。乙方单方定价后送货扣0.5分/次，以此类推，扣完为止。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570"/>
        </w:trPr>
        <w:tc>
          <w:tcPr>
            <w:tcW w:w="917" w:type="dxa"/>
            <w:vAlign w:val="center"/>
            <w:vMerge w:val="continue"/>
            <w:textDirection w:val="lrTb"/>
            <w:noWrap w:val="false"/>
          </w:tcPr>
          <w:p>
            <w:pP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及时</w:t>
            </w:r>
            <w:r/>
          </w:p>
          <w:p>
            <w:pPr>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整改</w:t>
            </w:r>
            <w:r/>
          </w:p>
        </w:tc>
        <w:tc>
          <w:tcPr>
            <w:tcW w:w="6180"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对甲方的意见、建议虚心接受，运作过程中出现的新情况新问题及时沟通、协调有效，及时整改。（整改效果不明显扣1分，未见整改效果扣10分，扣完为止。</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570"/>
        </w:trPr>
        <w:tc>
          <w:tcPr>
            <w:tcW w:w="917" w:type="dxa"/>
            <w:vAlign w:val="center"/>
            <w:vMerge w:val="continue"/>
            <w:textDirection w:val="lrTb"/>
            <w:noWrap w:val="false"/>
          </w:tcPr>
          <w:p>
            <w:pP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r>
            <w:r/>
          </w:p>
        </w:tc>
        <w:tc>
          <w:tcPr>
            <w:tcW w:w="967"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应急</w:t>
            </w:r>
            <w:r/>
          </w:p>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服务</w:t>
            </w:r>
            <w:r/>
          </w:p>
        </w:tc>
        <w:tc>
          <w:tcPr>
            <w:tcW w:w="6180"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如发生应急采购，在接到通知后超过约定时间1小时送达的，视情形扣0.5-1分/次，须临时采购的特殊产品除外。</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440"/>
        </w:trPr>
        <w:tc>
          <w:tcPr>
            <w:gridSpan w:val="3"/>
            <w:tcW w:w="8064" w:type="dxa"/>
            <w:vAlign w:val="center"/>
            <w:textDirection w:val="lrTb"/>
            <w:noWrap w:val="false"/>
          </w:tcPr>
          <w:p>
            <w:pPr>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总分（100分）</w:t>
            </w:r>
            <w:r/>
          </w:p>
        </w:tc>
        <w:tc>
          <w:tcPr>
            <w:tcW w:w="765"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c>
          <w:tcPr>
            <w:tcW w:w="714" w:type="dxa"/>
            <w:vAlign w:val="center"/>
            <w:textDirection w:val="lrTb"/>
            <w:noWrap w:val="false"/>
          </w:tcPr>
          <w:p>
            <w:pP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r>
            <w:r/>
          </w:p>
        </w:tc>
      </w:tr>
      <w:tr>
        <w:trPr>
          <w:jc w:val="center"/>
          <w:trHeight w:val="804"/>
        </w:trPr>
        <w:tc>
          <w:tcPr>
            <w:gridSpan w:val="5"/>
            <w:tcW w:w="9543" w:type="dxa"/>
            <w:vAlign w:val="center"/>
            <w:textDirection w:val="lrTb"/>
            <w:noWrap w:val="false"/>
          </w:tcPr>
          <w:p>
            <w:pP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说明：结合甲方每月考核得出总分，如总分低于90分（含90分），配送公司要做出书面整改承诺；并按照每下降一分（90为基准）处以500元扣款，甲方有权直接从应付未付款项中扣除。</w:t>
            </w:r>
            <w:r/>
          </w:p>
        </w:tc>
      </w:tr>
    </w:tbl>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ind w:firstLine="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合同附件2：</w:t>
      </w:r>
      <w:r/>
    </w:p>
    <w:p>
      <w:pPr>
        <w:ind w:firstLine="420"/>
        <w:jc w:val="center"/>
        <w:spacing w:line="440" w:lineRule="atLeas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乙方主要职责</w:t>
      </w:r>
      <w:r/>
    </w:p>
    <w:p>
      <w:pPr>
        <w:ind w:firstLine="417"/>
        <w:jc w:val="center"/>
        <w:spacing w:line="4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8"/>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乙方送货均使用专用冷藏车，5-10月须开启冷藏设备，其余时间视气温情况而定。</w:t>
      </w:r>
      <w:r/>
    </w:p>
    <w:p>
      <w:pPr>
        <w:numPr>
          <w:ilvl w:val="0"/>
          <w:numId w:val="8"/>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乙方应科学、规范控制冷库温度，冷库堆放有序，如实填写进出库资料。</w:t>
      </w:r>
      <w:r/>
    </w:p>
    <w:p>
      <w:pPr>
        <w:numPr>
          <w:ilvl w:val="0"/>
          <w:numId w:val="8"/>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乙方应送货准时，每天所需食材一并送达（水产除外），不得委托其他人或其他车代送。</w:t>
      </w:r>
      <w:r/>
    </w:p>
    <w:p>
      <w:pPr>
        <w:numPr>
          <w:ilvl w:val="0"/>
          <w:numId w:val="8"/>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乙方送货无短斤缺两现象，配送物品清单与实际配送无差错，送货单（结算凭证）项目齐全，机器打印清晰。</w:t>
      </w:r>
      <w:r/>
    </w:p>
    <w:p>
      <w:pPr>
        <w:numPr>
          <w:ilvl w:val="0"/>
          <w:numId w:val="8"/>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乙方工作人员应工作认真，服务热情周到，运送搬装文明。</w:t>
      </w:r>
      <w:r/>
    </w:p>
    <w:p>
      <w:pPr>
        <w:numPr>
          <w:ilvl w:val="0"/>
          <w:numId w:val="8"/>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乙方不得将部分商品的供应权限转让或分包给他人经营。</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7、乙方所供食材，必须符合食品法标准，如发现食材卫生质量问题或者以次充好，甲方可立即无条件退货或换货，并视具体情况对乙方进行考核体现，直至终止乙方配送工作。</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8、乙方在供货时应提供食品检验合格证或者化验单，如肉类制品必须是定点屠宰且经检疫合格的B级猪肉。所供食材在条件允许的范围内增加检测次数，每季度向甲方提供第三方检测报告。</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9、乙方每天做好蔬菜农药残留检测，并作记录。规范做好留样工作。</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10、乙方操作场所、仓库、运输工具、贮物筐箱等保持清洁卫生，坚持每天清洁工作，按规定定期消毒，仓库内无过期物品。</w:t>
      </w:r>
      <w:r/>
    </w:p>
    <w:p>
      <w:pPr>
        <w:ind w:firstLine="41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11、乙方严格执行食品法的规定，建立并自觉履行食品卫生安全和食品质量的保障机制，确保安全。</w:t>
      </w:r>
      <w:r/>
    </w:p>
    <w:p>
      <w:pPr>
        <w:ind w:firstLine="41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12、乙方应服从政府相关职能部门的业务指导和监管，对甲方意见、建议虚心接受，运作过程中出现的新情况新问题及时主动沟通、协调。</w:t>
      </w:r>
      <w:r/>
    </w:p>
    <w:p>
      <w:pPr>
        <w:ind w:firstLine="41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13、乙方每周三向甲方提供下两周教育平台外食材报价表（盖乙方公章并送至甲方指定人员处），报价经甲方确认无异议后再执行。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本协议一式三份，</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执两份，乙方执一份，具有同等法律效力。</w:t>
      </w:r>
      <w:r/>
    </w:p>
    <w:p>
      <w:pPr>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p>
      <w:pPr>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p>
      <w:pPr>
        <w:ind w:firstLine="210"/>
        <w:spacing w:line="400" w:lineRule="exac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甲方</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乙方</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p>
    <w:p>
      <w:pPr>
        <w:ind w:firstLine="210"/>
        <w:spacing w:line="400" w:lineRule="exac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签字盖章</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签字盖章</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p>
    <w:p>
      <w:pPr>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ind w:left="420"/>
        <w:jc w:val="both"/>
        <w:spacing w:after="120"/>
        <w:widowControl w:val="off"/>
        <w:rPr>
          <w:rFonts w:hint="eastAsia"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年     月     日                               年      月   日</w:t>
      </w:r>
      <w:r/>
    </w:p>
    <w:p>
      <w:pPr>
        <w:jc w:val="both"/>
        <w:keepLines w:val="0"/>
        <w:keepNext w:val="0"/>
        <w:pageBreakBefore w:val="0"/>
        <w:spacing w:before="191" w:after="191" w:line="240" w:lineRule="atLeast"/>
        <w:widowControl w:val="off"/>
        <w:rPr>
          <w:rFonts w:hint="eastAsia" w:ascii="Calibri" w:hAnsi="Calibri" w:eastAsia="宋体" w:cs="Times New Roman"/>
          <w:color w:val="auto"/>
          <w:highlight w:val="none"/>
          <w:lang w:val="zh-CN"/>
        </w:rPr>
        <w:outlineLvl w:val="1"/>
      </w:pPr>
      <w:r>
        <w:rPr>
          <w:rFonts w:hint="eastAsia" w:ascii="Times New Roman" w:hAnsi="Times New Roman" w:eastAsia="宋体" w:cs="Times New Roman"/>
          <w:b/>
          <w:bCs/>
          <w:color w:val="auto"/>
          <w:sz w:val="21"/>
          <w:szCs w:val="21"/>
          <w:highlight w:val="none"/>
        </w:rPr>
        <w:br w:type="page" w:clear="all"/>
      </w:r>
      <w:r/>
    </w:p>
    <w:p>
      <w:pPr>
        <w:ind w:firstLine="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合同附件3：</w:t>
      </w:r>
      <w:r/>
    </w:p>
    <w:p>
      <w:pPr>
        <w:jc w:val="center"/>
        <w:spacing w:line="360" w:lineRule="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食材验收质量标准</w:t>
      </w:r>
      <w:r/>
    </w:p>
    <w:p>
      <w:pPr>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一、质量标准</w:t>
      </w:r>
      <w:r/>
    </w:p>
    <w:p>
      <w:pPr>
        <w:ind w:firstLine="420"/>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w:t>
      </w:r>
      <w:r>
        <w:rPr>
          <w:rFonts w:hint="eastAsia" w:ascii="宋体" w:hAnsi="宋体" w:eastAsia="宋体" w:cs="宋体"/>
          <w:color w:val="auto"/>
          <w:sz w:val="21"/>
          <w:szCs w:val="21"/>
          <w:highlight w:val="none"/>
          <w:lang w:eastAsia="zh-CN"/>
        </w:rPr>
        <w:t xml:space="preserve">屠宰场</w:t>
      </w:r>
      <w:r>
        <w:rPr>
          <w:rFonts w:hint="eastAsia" w:ascii="宋体" w:hAnsi="宋体" w:eastAsia="宋体" w:cs="宋体"/>
          <w:color w:val="auto"/>
          <w:sz w:val="21"/>
          <w:szCs w:val="21"/>
          <w:highlight w:val="none"/>
        </w:rPr>
        <w:t xml:space="preserve">屠宰加工并检验合格；配送工具必须符合卫生要求。</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2、家禽冻品（鸡腿、鸡翅、鸡尖等）质量要求：配送单位须提供产品合格证明文件，动物产品提供《动物检疫合格证》。</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3、活杀家禽质量要求：配送单位须提供产品合格证明文件，动物产品提供《动物或动物产品分销信息凭证》或《动物检疫合格证》。</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4、豆制品质量要求：发酵性豆制品必须符合GB2712-2003标准，非发酵豆制品必须符合GBT 22106-2008标准、GB2711-2003非发酵性豆制品及面筋卫生标准，对豆制品的有关安全健康指标符合国家规定。</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6、无公害蔬菜质量要求：必须符合GB18406.1-2001 农产品安全质量无公害蔬菜安全要求，对蔬菜中有害物质严格控制在标准规定范围之内。</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7、调味品质量要求：食用盐符合GB5461-2000标准，酱油符合GB 18186-2000标准，味精符合GB2720-2015标准，生粉（淀粉制品）符合GB2713-2015标准，食糖符合GB13104-2014卫生标准，食醋符合GB/T18623-2011标准,酿造食醋符合GB18187-2000标准。</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8、食品添加剂质量要求：食品添加剂应符合相应的食品安全标准，添加剂的使用必须符合GB2760-2014标准，对食品的添加量严格控制在标准规定范围之内。</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9、鲜蛋质量要求：鸡蛋等新鲜蛋类必须符合</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"http://down.foodmate.net/standard/sort/3/48415.html" \t "_blank"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GB2749-2015标准。 </w:t>
      </w:r>
      <w:r>
        <w:rPr>
          <w:rFonts w:hint="eastAsia" w:ascii="宋体" w:hAnsi="宋体" w:eastAsia="宋体" w:cs="宋体"/>
          <w:color w:val="auto"/>
          <w:sz w:val="21"/>
          <w:szCs w:val="21"/>
          <w:highlight w:val="none"/>
        </w:rPr>
        <w:fldChar w:fldCharType="end"/>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10、大米要求：按照国家有关规定提供合格的品牌大米，并提供相应证明，质量出现问题，供方负责包退、包换，费用由供方承担。</w:t>
      </w:r>
      <w:r/>
    </w:p>
    <w:p>
      <w:pPr>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二、品牌及检测报告要求：</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1、肉类（含家禽、鱼、肉等冷鲜肉及冷冻肉）、豆制品、调味品、食用油必须使用品牌产品，即由所处经营领域中有较高知名度与美誉度的大型企业提供。</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2、每次配送均需提供配送食材的检测报告或食材检验合格证。</w:t>
      </w:r>
      <w:r/>
    </w:p>
    <w:p>
      <w:p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三、卫生要求：</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1、配送单位严禁提供以</w:t>
      </w:r>
      <w:r>
        <w:rPr>
          <w:rFonts w:hint="eastAsia" w:ascii="宋体" w:hAnsi="宋体" w:eastAsia="宋体" w:cs="宋体"/>
          <w:color w:val="auto"/>
          <w:sz w:val="21"/>
          <w:szCs w:val="21"/>
          <w:highlight w:val="none"/>
        </w:rPr>
        <w:t xml:space="preserve">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315"/>
        <w:jc w:val="left"/>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因配送单位所供应食品的质量问题引起食物中毒等食源性疾病的发生或其他事故，配送单位应承担全部责任，并承担由此而引起的全部经济损失及相关法律责任。情节较为严重的，甲方有权立即终止供货协议，并按相关法律处理。</w:t>
      </w:r>
      <w:r/>
    </w:p>
    <w:p>
      <w:pPr>
        <w:ind w:left="420" w:firstLine="0"/>
        <w:jc w:val="both"/>
        <w:spacing w:after="120"/>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p>
      <w:pPr>
        <w:ind w:left="420" w:firstLine="0"/>
        <w:jc w:val="both"/>
        <w:spacing w:after="120"/>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本协议一式三份，</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执两份，乙方执一份，具有同等法律效力。</w:t>
      </w:r>
      <w:r/>
    </w:p>
    <w:p>
      <w:pPr>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p>
      <w:pPr>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p>
      <w:pPr>
        <w:ind w:firstLine="420"/>
        <w:spacing w:line="400" w:lineRule="exac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甲方</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乙方</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p>
    <w:p>
      <w:pPr>
        <w:ind w:firstLine="21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p>
      <w:pPr>
        <w:ind w:firstLine="210"/>
        <w:spacing w:line="400" w:lineRule="exac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签字盖章</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签字盖章</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p>
    <w:p>
      <w:pPr>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ind w:left="420" w:firstLine="210"/>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年     月     日                               年     月     日 </w:t>
      </w:r>
      <w:r/>
    </w:p>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center"/>
        <w:pageBreakBefore/>
        <w:rPr>
          <w:rFonts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spacing w:line="360" w:lineRule="auto"/>
        <w:rPr>
          <w:rFonts w:ascii="宋体" w:hAnsi="宋体" w:cs="宋体"/>
          <w:b/>
          <w:color w:val="auto"/>
          <w:spacing w:val="20"/>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pacing w:val="20"/>
          <w:sz w:val="24"/>
          <w:highlight w:val="none"/>
        </w:rPr>
        <w:t xml:space="preserve">磋商响应函</w:t>
      </w:r>
      <w:r/>
    </w:p>
    <w:p>
      <w:pPr>
        <w:pStyle w:val="1024"/>
        <w:jc w:val="center"/>
        <w:rPr>
          <w:rFonts w:hAnsi="宋体" w:cs="宋体"/>
          <w:color w:val="auto"/>
          <w:highlight w:val="none"/>
        </w:rPr>
      </w:pPr>
      <w:r>
        <w:rPr>
          <w:rFonts w:hint="eastAsia" w:hAnsi="宋体" w:cs="宋体"/>
          <w:b/>
          <w:color w:val="auto"/>
          <w:spacing w:val="20"/>
          <w:sz w:val="24"/>
          <w:szCs w:val="24"/>
          <w:highlight w:val="none"/>
        </w:rPr>
        <w:t xml:space="preserve">磋商响应函</w:t>
      </w:r>
      <w:r/>
    </w:p>
    <w:p>
      <w:pPr>
        <w:pStyle w:val="979"/>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吴江区卫健委（食堂）食材定点配送服务项目</w:t>
      </w:r>
      <w:r>
        <w:rPr>
          <w:rFonts w:hint="eastAsia" w:ascii="宋体" w:hAnsi="宋体"/>
          <w:color w:val="auto"/>
          <w:szCs w:val="21"/>
          <w:highlight w:val="none"/>
        </w:rPr>
        <w:t xml:space="preserve">，总价格及明细见《磋商响应报价表》。</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w:t>
      </w:r>
      <w:r>
        <w:rPr>
          <w:rFonts w:hint="eastAsia" w:ascii="宋体" w:hAnsi="宋体"/>
          <w:color w:val="auto"/>
          <w:szCs w:val="21"/>
          <w:highlight w:val="none"/>
          <w:lang w:eastAsia="zh-CN"/>
        </w:rPr>
        <w:t xml:space="preserve">按照</w:t>
      </w:r>
      <w:r>
        <w:rPr>
          <w:rFonts w:hint="eastAsia" w:ascii="宋体" w:hAnsi="宋体"/>
          <w:color w:val="auto"/>
          <w:szCs w:val="21"/>
          <w:highlight w:val="none"/>
        </w:rPr>
        <w:t xml:space="preserve">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eastAsia="zh-CN"/>
        </w:rPr>
        <w:t xml:space="preserve">苏州市吴江区卫生健康委员会</w:t>
      </w:r>
      <w:r>
        <w:rPr>
          <w:rFonts w:hint="eastAsia" w:ascii="宋体" w:hAnsi="宋体"/>
          <w:color w:val="auto"/>
          <w:szCs w:val="21"/>
          <w:highlight w:val="none"/>
        </w:rPr>
        <w:t xml:space="preserve">关于违约责任的认定方式和相关对违约责任的处罚；在完成服务过程中，如我方违约，我方愿意承担相应违约责任。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spacing w:line="360" w:lineRule="auto"/>
        <w:rPr>
          <w:color w:val="auto"/>
          <w:highlight w:val="none"/>
          <w:lang w:val="zh-CN"/>
        </w:rPr>
      </w:pPr>
      <w:r>
        <w:rPr>
          <w:rFonts w:hint="eastAsia" w:ascii="宋体" w:hAnsi="宋体"/>
          <w:color w:val="auto"/>
          <w:szCs w:val="21"/>
          <w:highlight w:val="none"/>
        </w:rPr>
        <w:t xml:space="preserve">8、如我方成为成交单位，我方愿意在领取成交通知书时按采购文件的规定向采购代理机构支付采购代理服务费。</w:t>
      </w:r>
      <w:r>
        <w:rPr>
          <w:rFonts w:hint="eastAsia"/>
          <w:color w:val="auto"/>
          <w:highlight w:val="none"/>
          <w:lang w:val="zh-CN"/>
        </w:rPr>
        <w:t xml:space="preserve">逾期按中国人民银行公布的同期人民币贷款最高利率计付利息。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9、我们愿意按照《中华人民共和国民法典》履行自己应该承担的全部责任。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11、所有有关标书的函电，请按下列地址联系：</w:t>
      </w:r>
      <w:r/>
    </w:p>
    <w:p>
      <w:pPr>
        <w:pStyle w:val="108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    位：                     联 系 人：                         </w:t>
      </w:r>
      <w:r/>
    </w:p>
    <w:p>
      <w:pPr>
        <w:pStyle w:val="108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邮政编码：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传    真：</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979"/>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79"/>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pStyle w:val="979"/>
        <w:ind w:firstLine="20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附件2：（磋商供应商）法定代表人授权委托书</w:t>
      </w:r>
      <w:r/>
    </w:p>
    <w:p>
      <w:pPr>
        <w:pStyle w:val="979"/>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79"/>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979"/>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pStyle w:val="979"/>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1024"/>
        <w:rPr>
          <w:rFonts w:hAnsi="宋体" w:cs="宋体"/>
          <w:color w:val="auto"/>
          <w:szCs w:val="24"/>
          <w:highlight w:val="none"/>
        </w:rPr>
      </w:pPr>
      <w:r>
        <w:rPr>
          <w:rFonts w:hAnsi="宋体" w:cs="宋体"/>
          <w:color w:val="auto"/>
          <w:szCs w:val="24"/>
          <w:highlight w:val="none"/>
        </w:rPr>
      </w:r>
      <w:r/>
    </w:p>
    <w:p>
      <w:pPr>
        <w:rPr>
          <w:rFonts w:ascii="宋体" w:hAnsi="宋体" w:cs="宋体"/>
          <w:color w:val="auto"/>
          <w:highlight w:val="none"/>
        </w:rPr>
      </w:pPr>
      <w:r>
        <w:rPr>
          <w:rFonts w:ascii="宋体" w:hAnsi="宋体" w:cs="宋体"/>
          <w:color w:val="auto"/>
          <w:highlight w:val="none"/>
        </w:rPr>
      </w:r>
      <w:r/>
    </w:p>
    <w:p>
      <w:pPr>
        <w:ind w:right="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附件3：磋商报价表</w:t>
      </w:r>
      <w:r/>
    </w:p>
    <w:p>
      <w:pPr>
        <w:jc w:val="center"/>
        <w:spacing w:line="360" w:lineRule="auto"/>
        <w:rPr>
          <w:rFonts w:ascii="Times New Roman" w:hAnsi="Times New Roman" w:cs="Times New Roman"/>
          <w:color w:val="auto"/>
          <w:highlight w:val="none"/>
        </w:rPr>
      </w:pPr>
      <w:r>
        <w:rPr>
          <w:rFonts w:hint="eastAsia" w:ascii="宋体" w:hAnsi="宋体" w:cs="Times New Roman"/>
          <w:b/>
          <w:color w:val="auto"/>
          <w:sz w:val="24"/>
          <w:highlight w:val="none"/>
        </w:rPr>
        <w:t xml:space="preserve">（1）磋商报价表（</w:t>
      </w:r>
      <w:r>
        <w:rPr>
          <w:rFonts w:hint="eastAsia" w:ascii="宋体" w:hAnsi="宋体" w:cs="Times New Roman"/>
          <w:b/>
          <w:color w:val="auto"/>
          <w:sz w:val="24"/>
          <w:highlight w:val="none"/>
          <w:lang w:val="en-US" w:eastAsia="zh-CN"/>
        </w:rPr>
        <w:t xml:space="preserve">优惠率</w:t>
      </w:r>
      <w:r>
        <w:rPr>
          <w:rFonts w:hint="eastAsia" w:ascii="宋体" w:hAnsi="宋体" w:cs="Times New Roman"/>
          <w:b/>
          <w:color w:val="auto"/>
          <w:sz w:val="24"/>
          <w:highlight w:val="none"/>
        </w:rPr>
        <w:t xml:space="preserve">）</w:t>
      </w:r>
      <w:r/>
    </w:p>
    <w:p>
      <w:pPr>
        <w:spacing w:line="360" w:lineRule="auto"/>
        <w:rPr>
          <w:rFonts w:ascii="宋体" w:hAnsi="宋体" w:cs="Times New Roman"/>
          <w:color w:val="auto"/>
          <w:szCs w:val="21"/>
          <w:highlight w:val="none"/>
        </w:rPr>
      </w:pPr>
      <w:r>
        <w:rPr>
          <w:rFonts w:ascii="宋体" w:hAnsi="宋体" w:cs="Times New Roman"/>
          <w:color w:val="auto"/>
          <w:szCs w:val="21"/>
          <w:highlight w:val="none"/>
        </w:rPr>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供应商全称（加盖公章）：供应商名称 </w:t>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项目编号：项目编号 </w:t>
      </w:r>
      <w:r/>
    </w:p>
    <w:p>
      <w:pPr>
        <w:spacing w:line="360" w:lineRule="auto"/>
        <w:rPr>
          <w:rFonts w:ascii="Times New Roman" w:hAnsi="Times New Roman" w:cs="Times New Roman"/>
          <w:color w:val="auto"/>
          <w:highlight w:val="none"/>
        </w:rPr>
      </w:pPr>
      <w:r>
        <w:rPr>
          <w:rFonts w:hint="eastAsia" w:ascii="宋体" w:hAnsi="宋体" w:cs="Times New Roman"/>
          <w:color w:val="auto"/>
          <w:szCs w:val="21"/>
          <w:highlight w:val="none"/>
        </w:rPr>
        <w:t xml:space="preserve">分包号：分包号</w:t>
      </w:r>
      <w:r>
        <w:rPr>
          <w:rFonts w:ascii="Times New Roman" w:hAnsi="Times New Roman" w:cs="Times New Roman"/>
          <w:color w:val="auto"/>
          <w:highlight w:val="none"/>
        </w:rPr>
        <w:t xml:space="preserve"> </w:t>
      </w:r>
      <w:r/>
    </w:p>
    <w:tbl>
      <w:tblPr>
        <w:tblStyle w:val="976"/>
        <w:tblW w:w="8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328"/>
        <w:gridCol w:w="3994"/>
        <w:gridCol w:w="2016"/>
      </w:tblGrid>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投标人名称</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供应商名称 </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p>
      <w:pPr>
        <w:spacing w:line="380" w:lineRule="exact"/>
        <w:rPr>
          <w:rFonts w:hint="eastAsia" w:ascii="宋体" w:hAnsi="宋体" w:eastAsia="宋体" w:cs="宋体"/>
          <w:color w:val="auto"/>
          <w:szCs w:val="21"/>
          <w:highlight w:val="none"/>
          <w:u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color w:val="auto"/>
          <w:szCs w:val="21"/>
          <w:highlight w:val="none"/>
          <w:u w:val="none"/>
        </w:rPr>
        <w:t xml:space="preserve">本表中的报价为综合报价，</w:t>
      </w:r>
      <w:r>
        <w:rPr>
          <w:rFonts w:hint="eastAsia" w:ascii="宋体" w:hAnsi="宋体" w:eastAsia="宋体" w:cs="宋体"/>
          <w:color w:val="auto"/>
          <w:spacing w:val="5"/>
          <w:szCs w:val="21"/>
          <w:highlight w:val="none"/>
        </w:rPr>
        <w:t xml:space="preserve">包括</w:t>
      </w:r>
      <w:r>
        <w:rPr>
          <w:rFonts w:hint="eastAsia" w:ascii="宋体" w:hAnsi="宋体" w:eastAsia="宋体" w:cs="宋体"/>
          <w:color w:val="auto"/>
          <w:szCs w:val="21"/>
          <w:highlight w:val="none"/>
        </w:rPr>
        <w:t xml:space="preserve">为完成采购文件所确定的</w:t>
      </w:r>
      <w:r>
        <w:rPr>
          <w:rFonts w:hint="eastAsia" w:ascii="宋体" w:hAnsi="宋体" w:eastAsia="宋体" w:cs="宋体"/>
          <w:color w:val="auto"/>
          <w:szCs w:val="21"/>
          <w:highlight w:val="none"/>
          <w:lang w:val="en-US" w:eastAsia="zh-CN"/>
        </w:rPr>
        <w:t xml:space="preserve">所有</w:t>
      </w:r>
      <w:r>
        <w:rPr>
          <w:rFonts w:hint="eastAsia" w:ascii="宋体" w:hAnsi="宋体" w:eastAsia="宋体" w:cs="宋体"/>
          <w:color w:val="auto"/>
          <w:szCs w:val="21"/>
          <w:highlight w:val="none"/>
        </w:rPr>
        <w:t xml:space="preserve">内容的全部费用</w:t>
      </w:r>
      <w:r>
        <w:rPr>
          <w:rFonts w:hint="eastAsia" w:ascii="宋体" w:hAnsi="宋体" w:eastAsia="宋体" w:cs="宋体"/>
          <w:color w:val="auto"/>
          <w:spacing w:val="5"/>
          <w:szCs w:val="21"/>
          <w:highlight w:val="none"/>
        </w:rPr>
        <w:t xml:space="preserve">。</w:t>
      </w:r>
      <w:r/>
    </w:p>
    <w:p>
      <w:pPr>
        <w:jc w:val="left"/>
        <w:spacing w:line="360" w:lineRule="auto"/>
        <w:rPr>
          <w:rFonts w:hint="eastAsia" w:ascii="Times New Roman"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2、供应商在基准价的基础上，以优惠率（%）报价，结算金额根据实际供货数量按实结算（报价的优惠率10%，即按基准价的90%进行结算）</w:t>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附件4：服务要求及商务条款偏离表</w:t>
      </w:r>
      <w:r/>
    </w:p>
    <w:p>
      <w:pPr>
        <w:pStyle w:val="1024"/>
        <w:rPr>
          <w:rFonts w:hAnsi="宋体" w:cs="宋体"/>
          <w:color w:val="auto"/>
          <w:sz w:val="24"/>
          <w:szCs w:val="24"/>
          <w:highlight w:val="none"/>
        </w:rPr>
      </w:pPr>
      <w:r>
        <w:rPr>
          <w:rFonts w:hAnsi="宋体" w:cs="宋体"/>
          <w:color w:val="auto"/>
          <w:sz w:val="24"/>
          <w:szCs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服务要求偏离表</w:t>
      </w:r>
      <w:r/>
    </w:p>
    <w:p>
      <w:pPr>
        <w:spacing w:line="276"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吴江区卫健委（食堂）食材定点配送服务项目</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6"/>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注：1.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提交的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中与</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的技术部分的要求有不同时，应在本表中把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的规定。</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szCs w:val="21"/>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项目名称：吴江区卫健委（食堂）食材定点配送服务项目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6"/>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付款步骤</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服务期限</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left="0" w:firstLine="42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注：1.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提交的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（除技术要求部分）与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要求有不同时，应在本表中把</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w:t>
      </w:r>
      <w:r/>
    </w:p>
    <w:p>
      <w:pPr>
        <w:ind w:left="0" w:firstLine="420"/>
        <w:jc w:val="left"/>
        <w:spacing w:line="240" w:lineRule="auto"/>
        <w:rPr>
          <w:rFonts w:ascii="宋体" w:hAnsi="宋体" w:cs="宋体"/>
          <w:color w:val="auto"/>
          <w:szCs w:val="21"/>
          <w:highlight w:val="none"/>
        </w:rPr>
      </w:pPr>
      <w:r>
        <w:rPr>
          <w:rFonts w:hint="eastAsia" w:ascii="宋体" w:hAnsi="宋体" w:cs="宋体"/>
          <w:color w:val="auto"/>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附件5：</w:t>
      </w:r>
      <w:r>
        <w:rPr>
          <w:rFonts w:hint="eastAsia" w:ascii="宋体" w:hAnsi="宋体" w:cs="宋体"/>
          <w:b/>
          <w:color w:val="auto"/>
          <w:sz w:val="24"/>
          <w:highlight w:val="none"/>
        </w:rPr>
        <w:t xml:space="preserve">针对本项目的人员配置表</w:t>
      </w:r>
      <w:r/>
    </w:p>
    <w:p>
      <w:pPr>
        <w:jc w:val="cente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磋商编号：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号</w:t>
      </w:r>
      <w:r/>
    </w:p>
    <w:tbl>
      <w:tblPr>
        <w:tblStyle w:val="976"/>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85"/>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pageBreakBefore/>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pacing w:val="20"/>
          <w:highlight w:val="none"/>
        </w:rPr>
        <w:t xml:space="preserve">采购编号：        号</w:t>
      </w:r>
      <w:r>
        <w:rPr>
          <w:rFonts w:hint="eastAsia" w:ascii="宋体" w:hAnsi="宋体" w:cs="宋体"/>
          <w:color w:val="auto"/>
          <w:highlight w:val="none"/>
        </w:rPr>
        <w:t xml:space="preserve"> </w:t>
      </w:r>
      <w:r/>
    </w:p>
    <w:tbl>
      <w:tblPr>
        <w:tblStyle w:val="97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9"/>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9"/>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9"/>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9"/>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9"/>
        <w:ind w:firstLine="0"/>
        <w:jc w:val="both"/>
        <w:spacing w:line="360" w:lineRule="auto"/>
        <w:rPr>
          <w:rFonts w:ascii="宋体" w:hAnsi="宋体" w:eastAsia="宋体" w:cs="宋体"/>
          <w:b/>
          <w:color w:val="auto"/>
          <w:sz w:val="21"/>
          <w:szCs w:val="21"/>
          <w:highlight w:val="none"/>
        </w:rPr>
        <w:outlineLvl w:val="1"/>
      </w:pPr>
      <w:r>
        <w:rPr>
          <w:rFonts w:hint="eastAsia" w:ascii="宋体" w:hAnsi="宋体" w:eastAsia="宋体" w:cs="宋体"/>
          <w:b/>
          <w:color w:val="auto"/>
          <w:sz w:val="21"/>
          <w:highlight w:val="none"/>
        </w:rPr>
        <w:br w:type="page" w:clear="all"/>
      </w:r>
      <w:r>
        <w:rPr>
          <w:rFonts w:hint="eastAsia" w:ascii="宋体" w:hAnsi="宋体" w:eastAsia="宋体" w:cs="宋体"/>
          <w:b/>
          <w:color w:val="auto"/>
          <w:sz w:val="21"/>
          <w:highlight w:val="none"/>
        </w:rPr>
        <w:t xml:space="preserve"> </w:t>
      </w: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方案</w:t>
      </w:r>
      <w:r/>
    </w:p>
    <w:p>
      <w:pPr>
        <w:pStyle w:val="979"/>
        <w:ind w:firstLine="0"/>
        <w:jc w:val="center"/>
        <w:spacing w:line="360" w:lineRule="auto"/>
        <w:rPr>
          <w:rFonts w:ascii="宋体" w:hAnsi="宋体" w:eastAsia="宋体" w:cs="宋体"/>
          <w:b/>
          <w:color w:val="auto"/>
          <w:highlight w:val="none"/>
        </w:rPr>
      </w:pPr>
      <w:r>
        <w:rPr>
          <w:rFonts w:hint="eastAsia" w:ascii="宋体" w:hAnsi="宋体" w:eastAsia="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方案</w:t>
      </w:r>
      <w:r/>
    </w:p>
    <w:tbl>
      <w:tblPr>
        <w:tblStyle w:val="976"/>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77"/>
      </w:tblGrid>
      <w:tr>
        <w:trPr>
          <w:jc w:val="center"/>
          <w:trHeight w:val="1152"/>
        </w:trPr>
        <w:tc>
          <w:tcPr>
            <w:tcW w:w="9577"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1、供应商应根据本次采购项目要求，对所投服务进行详细的说明与描述，包括针对本次采购项目特点及具体情况编写成交后拟采取的技术服务方案等。</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577"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安全责任承诺书</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62"/>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pStyle w:val="106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9"/>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2"/>
          <w:szCs w:val="22"/>
          <w:highlight w:val="none"/>
        </w:rPr>
        <w:t xml:space="preserve">附件</w:t>
      </w:r>
      <w:r>
        <w:rPr>
          <w:rFonts w:hint="eastAsia" w:ascii="宋体" w:hAnsi="宋体" w:eastAsia="宋体" w:cs="宋体"/>
          <w:b/>
          <w:color w:val="auto"/>
          <w:sz w:val="22"/>
          <w:szCs w:val="22"/>
          <w:highlight w:val="none"/>
          <w:lang w:val="en-US" w:eastAsia="zh-CN"/>
        </w:rPr>
        <w:t xml:space="preserve">9</w:t>
      </w:r>
      <w:r>
        <w:rPr>
          <w:rFonts w:hint="eastAsia" w:ascii="宋体" w:hAnsi="宋体" w:eastAsia="宋体" w:cs="宋体"/>
          <w:b/>
          <w:color w:val="auto"/>
          <w:sz w:val="22"/>
          <w:szCs w:val="22"/>
          <w:highlight w:val="none"/>
        </w:rPr>
        <w:t xml:space="preserve">：资格证明文件</w:t>
      </w:r>
      <w:r/>
    </w:p>
    <w:p>
      <w:pPr>
        <w:pStyle w:val="979"/>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9"/>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979"/>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9"/>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9"/>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79"/>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79"/>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79"/>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79"/>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79"/>
        <w:spacing w:line="360" w:lineRule="auto"/>
        <w:tabs>
          <w:tab w:val="left" w:pos="324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620"/>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9"/>
        <w:ind w:left="294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79"/>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979"/>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79"/>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976"/>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w:t>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      </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1024"/>
        <w:rPr>
          <w:rFonts w:hAnsi="宋体" w:cs="宋体"/>
          <w:color w:val="auto"/>
          <w:szCs w:val="21"/>
          <w:highlight w:val="none"/>
        </w:rPr>
      </w:pPr>
      <w:r>
        <w:rPr>
          <w:rFonts w:hAnsi="宋体" w:cs="宋体"/>
          <w:color w:val="auto"/>
          <w:szCs w:val="21"/>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1024"/>
        <w:rPr>
          <w:rFonts w:hAnsi="宋体" w:cs="宋体"/>
          <w:color w:val="auto"/>
          <w:sz w:val="24"/>
          <w:szCs w:val="24"/>
          <w:highlight w:val="none"/>
        </w:rPr>
      </w:pPr>
      <w:r>
        <w:rPr>
          <w:rFonts w:hAnsi="宋体" w:cs="宋体"/>
          <w:color w:val="auto"/>
          <w:sz w:val="24"/>
          <w:szCs w:val="24"/>
          <w:highlight w:val="none"/>
        </w:rPr>
      </w:r>
      <w:r/>
    </w:p>
    <w:p>
      <w:pPr>
        <w:pStyle w:val="1024"/>
        <w:rPr>
          <w:rFonts w:hAnsi="宋体" w:cs="宋体"/>
          <w:color w:val="auto"/>
          <w:sz w:val="24"/>
          <w:szCs w:val="24"/>
          <w:highlight w:val="none"/>
        </w:rPr>
      </w:pPr>
      <w:r>
        <w:rPr>
          <w:rFonts w:hAnsi="宋体" w:cs="宋体"/>
          <w:color w:val="auto"/>
          <w:sz w:val="24"/>
          <w:szCs w:val="24"/>
          <w:highlight w:val="none"/>
        </w:rPr>
      </w:r>
      <w:r/>
    </w:p>
    <w:p>
      <w:pPr>
        <w:rPr>
          <w:rFonts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ind w:firstLine="210"/>
        <w:spacing w:line="360" w:lineRule="auto"/>
        <w:rPr>
          <w:rFonts w:ascii="宋体" w:hAnsi="宋体" w:cs="宋体"/>
          <w:b/>
          <w:bCs/>
          <w:color w:val="auto"/>
          <w:sz w:val="24"/>
          <w:highlight w:val="none"/>
          <w:lang w:val="zh-CN"/>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投标（响应）保证承诺书（参考格式）</w:t>
      </w:r>
      <w:r/>
    </w:p>
    <w:p>
      <w:pPr>
        <w:jc w:val="left"/>
        <w:spacing w:before="100" w:beforeAutospacing="1" w:after="100" w:afterAutospacing="1"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并做出如下承诺：</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972"/>
        <w:spacing w:before="120" w:after="120" w:line="360" w:lineRule="auto"/>
        <w:rPr>
          <w:rFonts w:ascii="宋体" w:hAnsi="宋体" w:cs="宋体"/>
          <w:bCs w:val="0"/>
          <w:color w:val="auto"/>
          <w:sz w:val="24"/>
          <w:szCs w:val="24"/>
          <w:highlight w:val="none"/>
        </w:rPr>
      </w:pPr>
      <w:r>
        <w:rPr>
          <w:rFonts w:ascii="宋体" w:hAnsi="宋体" w:cs="宋体"/>
          <w:bCs w:val="0"/>
          <w:color w:val="auto"/>
          <w:sz w:val="24"/>
          <w:szCs w:val="24"/>
          <w:highlight w:val="none"/>
        </w:rPr>
      </w:r>
      <w:r/>
    </w:p>
    <w:p>
      <w:pPr>
        <w:rPr>
          <w:rFonts w:ascii="宋体" w:hAnsi="宋体" w:cs="宋体"/>
          <w:color w:val="auto"/>
          <w:highlight w:val="none"/>
        </w:rPr>
      </w:pPr>
      <w:r>
        <w:rPr>
          <w:rFonts w:ascii="宋体" w:hAnsi="宋体" w:cs="宋体"/>
          <w:color w:val="auto"/>
          <w:highlight w:val="none"/>
        </w:rPr>
      </w:r>
      <w:r/>
    </w:p>
    <w:p>
      <w:pPr>
        <w:pStyle w:val="972"/>
        <w:spacing w:before="120" w:after="120" w:line="360" w:lineRule="auto"/>
        <w:rPr>
          <w:rFonts w:ascii="宋体" w:hAnsi="宋体" w:cs="宋体"/>
          <w:bCs w:val="0"/>
          <w:color w:val="auto"/>
          <w:sz w:val="24"/>
          <w:szCs w:val="24"/>
          <w:highlight w:val="none"/>
          <w:lang w:val="zh-CN"/>
        </w:rPr>
      </w:pPr>
      <w:r>
        <w:rPr>
          <w:rFonts w:hint="eastAsia" w:ascii="宋体" w:hAnsi="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1</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通知书回执 （</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后提供）</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：《中小微企业声明函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残疾人福利性单位声明函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监狱企业证明文件》。</w:t>
      </w:r>
      <w:r/>
    </w:p>
    <w:p>
      <w:pPr>
        <w:ind w:firstLine="422"/>
        <w:jc w:val="center"/>
        <w:spacing w:line="360" w:lineRule="auto"/>
        <w:rPr>
          <w:rFonts w:ascii="宋体" w:hAnsi="宋体" w:cs="宋体"/>
          <w:b/>
          <w:bCs/>
          <w:color w:val="auto"/>
          <w:sz w:val="24"/>
          <w:highlight w:val="none"/>
          <w:lang w:val="zh-CN"/>
        </w:rPr>
      </w:pPr>
      <w:r/>
      <w:bookmarkStart w:id="8" w:name="_Toc480743610"/>
      <w:r/>
      <w:bookmarkStart w:id="9" w:name="_Toc480790630"/>
      <w:r/>
      <w:bookmarkStart w:id="10" w:name="_Toc394140891"/>
      <w:r/>
      <w:bookmarkStart w:id="11" w:name="_Toc394588090"/>
      <w:r/>
      <w:bookmarkStart w:id="12" w:name="_Toc393909203"/>
      <w:r/>
      <w:bookmarkStart w:id="13" w:name="_Toc415770244"/>
      <w:r/>
      <w:bookmarkStart w:id="14" w:name="_Toc481587717"/>
      <w:r/>
      <w:bookmarkStart w:id="15" w:name="_Toc480908480"/>
      <w:r/>
      <w:bookmarkEnd w:id="8"/>
      <w:r/>
      <w:bookmarkEnd w:id="9"/>
      <w:r/>
      <w:bookmarkEnd w:id="10"/>
      <w:r/>
      <w:bookmarkEnd w:id="11"/>
      <w:r/>
      <w:bookmarkEnd w:id="12"/>
      <w:r/>
      <w:bookmarkEnd w:id="13"/>
      <w:r/>
      <w:bookmarkEnd w:id="14"/>
      <w:r/>
      <w:bookmarkEnd w:id="15"/>
      <w:r/>
      <w:r/>
    </w:p>
    <w:p>
      <w:pPr>
        <w:jc w:val="center"/>
        <w:spacing w:line="360" w:lineRule="auto"/>
        <w:rPr>
          <w:rFonts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bookmarkStart w:id="16" w:name="OLE_LINK14"/>
      <w:r/>
      <w:bookmarkStart w:id="17" w:name="OLE_LINK13"/>
      <w:r>
        <w:rPr>
          <w:rFonts w:hint="eastAsia" w:ascii="宋体" w:hAnsi="宋体" w:eastAsia="宋体" w:cs="宋体"/>
          <w:color w:val="auto"/>
          <w:sz w:val="22"/>
          <w:szCs w:val="22"/>
          <w:highlight w:val="none"/>
          <w:lang w:val="zh-CN" w:bidi="zh-CN"/>
        </w:rPr>
        <w:t xml:space="preserve">备注：</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供应商</w:t>
      </w:r>
      <w:r>
        <w:rPr>
          <w:rFonts w:hint="eastAsia" w:ascii="宋体" w:hAnsi="宋体" w:eastAsia="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ascii="宋体" w:hAnsi="宋体" w:cs="宋体"/>
          <w:color w:val="auto"/>
          <w:highlight w:val="none"/>
        </w:rPr>
      </w:pPr>
      <w:r>
        <w:rPr>
          <w:rFonts w:ascii="宋体" w:hAnsi="宋体" w:cs="宋体"/>
          <w:color w:val="auto"/>
          <w:highlight w:val="none"/>
        </w:rPr>
      </w:r>
      <w:bookmarkEnd w:id="16"/>
      <w:r/>
      <w:bookmarkEnd w:id="17"/>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1024"/>
        <w:rPr>
          <w:rFonts w:hAnsi="宋体" w:cs="宋体"/>
          <w:color w:val="auto"/>
          <w:szCs w:val="21"/>
          <w:highlight w:val="none"/>
        </w:rPr>
      </w:pPr>
      <w:r>
        <w:rPr>
          <w:rFonts w:hint="eastAsia" w:hAnsi="宋体" w:cs="宋体"/>
          <w:color w:val="auto"/>
          <w:szCs w:val="21"/>
          <w:highlight w:val="none"/>
        </w:rPr>
        <w:t xml:space="preserve">                                                                     </w:t>
      </w:r>
      <w:r/>
    </w:p>
    <w:p>
      <w:pPr>
        <w:pStyle w:val="1024"/>
        <w:rPr>
          <w:rFonts w:hAnsi="宋体" w:cs="宋体"/>
          <w:color w:val="auto"/>
          <w:szCs w:val="21"/>
          <w:highlight w:val="none"/>
        </w:rPr>
      </w:pPr>
      <w:r>
        <w:rPr>
          <w:rFonts w:hAnsi="宋体" w:cs="宋体"/>
          <w:color w:val="auto"/>
          <w:szCs w:val="21"/>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成交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苏财购〔2021〕82号</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及苏州市财政局、人民银行苏州市分行相关文件要求，按照双方自愿的原则提供便捷、优惠的贷款服务。</w:t>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jc w:val="right"/>
        <w:rPr>
          <w:rFonts w:hAnsi="宋体" w:cs="宋体"/>
          <w:b/>
          <w:color w:val="auto"/>
          <w:highlight w:val="none"/>
        </w:rPr>
      </w:pPr>
      <w:r>
        <w:rPr>
          <w:rFonts w:hint="eastAsia" w:hAnsi="宋体" w:cs="宋体"/>
          <w:color w:val="auto"/>
          <w:szCs w:val="21"/>
          <w:highlight w:val="none"/>
        </w:rPr>
        <w:t xml:space="preserve">  </w:t>
      </w:r>
      <w:r>
        <w:rPr>
          <w:rFonts w:hint="eastAsia" w:hAnsi="宋体" w:cs="宋体"/>
          <w:b/>
          <w:color w:val="auto"/>
          <w:sz w:val="24"/>
          <w:highlight w:val="none"/>
        </w:rPr>
        <w:t xml:space="preserve">（全文完）</w:t>
      </w:r>
      <w:bookmarkEnd w:id="18"/>
      <w:r/>
      <w:r/>
    </w:p>
    <w:sectPr>
      <w:headerReference w:type="default" r:id="rId11"/>
      <w:footerReference w:type="default" r:id="rId16"/>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Calibri">
    <w:panose1 w:val="020F0502020204030204"/>
  </w:font>
  <w:font w:name="Tahoma">
    <w:panose1 w:val="020B0604030504040204"/>
  </w:font>
  <w:font w:name="Courier New">
    <w:panose1 w:val="02070309020205020404"/>
  </w:font>
  <w:font w:name="等线 Light">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94"/>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4"/>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4"/>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4"/>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4"/>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u w:val="single"/>
      </w:rPr>
      <w:pBdr>
        <w:bottom w:val="none" w:color="auto" w:sz="0" w:space="0"/>
      </w:pBdr>
    </w:pPr>
    <w:r>
      <w:rPr>
        <w:u w:val="single"/>
      </w:rPr>
    </w:r>
    <w:r/>
  </w:p>
  <w:p>
    <w:pPr>
      <w:pStyle w:val="995"/>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JSZC-320509-SZYJ-C2026-0012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JSZC-320509-SZYJ-C2026-0012</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2"/>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975"/>
    <w:link w:val="970"/>
    <w:uiPriority w:val="9"/>
    <w:rPr>
      <w:rFonts w:ascii="Arial" w:hAnsi="Arial" w:eastAsia="Arial" w:cs="Arial"/>
      <w:sz w:val="40"/>
      <w:szCs w:val="40"/>
    </w:rPr>
  </w:style>
  <w:style w:type="character" w:styleId="816">
    <w:name w:val="Heading 2 Char"/>
    <w:basedOn w:val="975"/>
    <w:link w:val="971"/>
    <w:uiPriority w:val="9"/>
    <w:rPr>
      <w:rFonts w:ascii="Arial" w:hAnsi="Arial" w:eastAsia="Arial" w:cs="Arial"/>
      <w:sz w:val="34"/>
    </w:rPr>
  </w:style>
  <w:style w:type="paragraph" w:styleId="817">
    <w:name w:val="Heading 6"/>
    <w:basedOn w:val="969"/>
    <w:next w:val="969"/>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basedOn w:val="975"/>
    <w:link w:val="817"/>
    <w:uiPriority w:val="9"/>
    <w:rPr>
      <w:rFonts w:ascii="Arial" w:hAnsi="Arial" w:eastAsia="Arial" w:cs="Arial"/>
      <w:b/>
      <w:bCs/>
      <w:sz w:val="22"/>
      <w:szCs w:val="22"/>
    </w:rPr>
  </w:style>
  <w:style w:type="paragraph" w:styleId="819">
    <w:name w:val="Heading 7"/>
    <w:basedOn w:val="969"/>
    <w:next w:val="969"/>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basedOn w:val="975"/>
    <w:link w:val="819"/>
    <w:uiPriority w:val="9"/>
    <w:rPr>
      <w:rFonts w:ascii="Arial" w:hAnsi="Arial" w:eastAsia="Arial" w:cs="Arial"/>
      <w:b/>
      <w:bCs/>
      <w:i/>
      <w:iCs/>
      <w:sz w:val="22"/>
      <w:szCs w:val="22"/>
    </w:rPr>
  </w:style>
  <w:style w:type="paragraph" w:styleId="821">
    <w:name w:val="Heading 8"/>
    <w:basedOn w:val="969"/>
    <w:next w:val="969"/>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basedOn w:val="975"/>
    <w:link w:val="821"/>
    <w:uiPriority w:val="9"/>
    <w:rPr>
      <w:rFonts w:ascii="Arial" w:hAnsi="Arial" w:eastAsia="Arial" w:cs="Arial"/>
      <w:i/>
      <w:iCs/>
      <w:sz w:val="22"/>
      <w:szCs w:val="22"/>
    </w:rPr>
  </w:style>
  <w:style w:type="paragraph" w:styleId="823">
    <w:name w:val="Heading 9"/>
    <w:basedOn w:val="969"/>
    <w:next w:val="969"/>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basedOn w:val="975"/>
    <w:link w:val="823"/>
    <w:uiPriority w:val="9"/>
    <w:rPr>
      <w:rFonts w:ascii="Arial" w:hAnsi="Arial" w:eastAsia="Arial" w:cs="Arial"/>
      <w:i/>
      <w:iCs/>
      <w:sz w:val="21"/>
      <w:szCs w:val="21"/>
    </w:rPr>
  </w:style>
  <w:style w:type="character" w:styleId="825">
    <w:name w:val="Title Char"/>
    <w:basedOn w:val="975"/>
    <w:link w:val="1005"/>
    <w:uiPriority w:val="10"/>
    <w:rPr>
      <w:sz w:val="48"/>
      <w:szCs w:val="48"/>
    </w:rPr>
  </w:style>
  <w:style w:type="character" w:styleId="826">
    <w:name w:val="Subtitle Char"/>
    <w:basedOn w:val="975"/>
    <w:link w:val="998"/>
    <w:uiPriority w:val="11"/>
    <w:rPr>
      <w:sz w:val="24"/>
      <w:szCs w:val="24"/>
    </w:rPr>
  </w:style>
  <w:style w:type="paragraph" w:styleId="827">
    <w:name w:val="Quote"/>
    <w:basedOn w:val="969"/>
    <w:next w:val="969"/>
    <w:link w:val="828"/>
    <w:uiPriority w:val="29"/>
    <w:qFormat/>
    <w:pPr>
      <w:ind w:left="720" w:right="720"/>
    </w:pPr>
    <w:rPr>
      <w:i/>
    </w:rPr>
  </w:style>
  <w:style w:type="character" w:styleId="828">
    <w:name w:val="Quote Char"/>
    <w:link w:val="827"/>
    <w:uiPriority w:val="29"/>
    <w:rPr>
      <w:i/>
    </w:rPr>
  </w:style>
  <w:style w:type="paragraph" w:styleId="829">
    <w:name w:val="Intense Quote"/>
    <w:basedOn w:val="969"/>
    <w:next w:val="969"/>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character" w:styleId="831">
    <w:name w:val="Caption Char"/>
    <w:basedOn w:val="980"/>
    <w:link w:val="994"/>
    <w:uiPriority w:val="99"/>
  </w:style>
  <w:style w:type="table" w:styleId="832">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7">
    <w:name w:val="footnote text"/>
    <w:basedOn w:val="969"/>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basedOn w:val="975"/>
    <w:uiPriority w:val="99"/>
    <w:unhideWhenUsed/>
    <w:rPr>
      <w:vertAlign w:val="superscript"/>
    </w:rPr>
  </w:style>
  <w:style w:type="paragraph" w:styleId="960">
    <w:name w:val="endnote text"/>
    <w:basedOn w:val="969"/>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basedOn w:val="975"/>
    <w:uiPriority w:val="99"/>
    <w:semiHidden/>
    <w:unhideWhenUsed/>
    <w:rPr>
      <w:vertAlign w:val="superscript"/>
    </w:rPr>
  </w:style>
  <w:style w:type="paragraph" w:styleId="963">
    <w:name w:val="toc 5"/>
    <w:basedOn w:val="969"/>
    <w:next w:val="969"/>
    <w:uiPriority w:val="39"/>
    <w:unhideWhenUsed/>
    <w:pPr>
      <w:ind w:left="1134" w:right="0" w:firstLine="0"/>
      <w:spacing w:after="57"/>
    </w:pPr>
  </w:style>
  <w:style w:type="paragraph" w:styleId="964">
    <w:name w:val="toc 6"/>
    <w:basedOn w:val="969"/>
    <w:next w:val="969"/>
    <w:uiPriority w:val="39"/>
    <w:unhideWhenUsed/>
    <w:pPr>
      <w:ind w:left="1417"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77"/>
    <w:uiPriority w:val="0"/>
    <w:qFormat/>
    <w:pPr>
      <w:jc w:val="both"/>
      <w:widowControl w:val="off"/>
    </w:pPr>
    <w:rPr>
      <w:rFonts w:ascii="Times New Roman" w:hAnsi="Times New Roman" w:eastAsia="宋体" w:cs="Times New Roman"/>
      <w:sz w:val="21"/>
      <w:szCs w:val="24"/>
      <w:lang w:val="en-US" w:eastAsia="zh-CN" w:bidi="ar-SA"/>
    </w:rPr>
  </w:style>
  <w:style w:type="paragraph" w:styleId="970">
    <w:name w:val="Heading 1"/>
    <w:basedOn w:val="969"/>
    <w:next w:val="969"/>
    <w:link w:val="1026"/>
    <w:uiPriority w:val="0"/>
    <w:qFormat/>
    <w:pPr>
      <w:keepLines/>
      <w:keepNext/>
      <w:spacing w:before="340" w:after="330" w:line="576" w:lineRule="auto"/>
      <w:outlineLvl w:val="0"/>
    </w:pPr>
    <w:rPr>
      <w:b/>
      <w:bCs/>
      <w:sz w:val="44"/>
      <w:szCs w:val="44"/>
    </w:rPr>
  </w:style>
  <w:style w:type="paragraph" w:styleId="971">
    <w:name w:val="Heading 2"/>
    <w:basedOn w:val="969"/>
    <w:next w:val="969"/>
    <w:link w:val="1027"/>
    <w:uiPriority w:val="0"/>
    <w:qFormat/>
    <w:pPr>
      <w:keepLines/>
      <w:keepNext/>
      <w:spacing w:before="260" w:after="260" w:line="413" w:lineRule="auto"/>
      <w:outlineLvl w:val="1"/>
    </w:pPr>
    <w:rPr>
      <w:rFonts w:ascii="Cambria" w:hAnsi="Cambria"/>
      <w:b/>
      <w:sz w:val="32"/>
    </w:rPr>
  </w:style>
  <w:style w:type="paragraph" w:styleId="972">
    <w:name w:val="Heading 3"/>
    <w:basedOn w:val="969"/>
    <w:next w:val="969"/>
    <w:link w:val="1028"/>
    <w:uiPriority w:val="0"/>
    <w:qFormat/>
    <w:pPr>
      <w:keepLines/>
      <w:keepNext/>
      <w:spacing w:before="260" w:after="260" w:line="413" w:lineRule="auto"/>
      <w:outlineLvl w:val="2"/>
    </w:pPr>
    <w:rPr>
      <w:b/>
      <w:bCs/>
      <w:sz w:val="32"/>
      <w:szCs w:val="32"/>
    </w:rPr>
  </w:style>
  <w:style w:type="paragraph" w:styleId="973">
    <w:name w:val="Heading 4"/>
    <w:basedOn w:val="969"/>
    <w:next w:val="969"/>
    <w:link w:val="1029"/>
    <w:uiPriority w:val="0"/>
    <w:qFormat/>
    <w:pPr>
      <w:keepNext/>
      <w:spacing w:before="240" w:after="60"/>
      <w:outlineLvl w:val="3"/>
    </w:pPr>
    <w:rPr>
      <w:b/>
      <w:bCs/>
      <w:sz w:val="28"/>
      <w:szCs w:val="28"/>
    </w:rPr>
  </w:style>
  <w:style w:type="paragraph" w:styleId="974">
    <w:name w:val="Heading 5"/>
    <w:basedOn w:val="969"/>
    <w:next w:val="969"/>
    <w:link w:val="1030"/>
    <w:uiPriority w:val="0"/>
    <w:qFormat/>
    <w:pPr>
      <w:spacing w:before="240" w:after="60"/>
      <w:outlineLvl w:val="4"/>
    </w:pPr>
    <w:rPr>
      <w:b/>
      <w:bCs/>
      <w:i/>
      <w:iCs/>
      <w:sz w:val="26"/>
      <w:szCs w:val="26"/>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customStyle="1">
    <w:name w:val="正文1"/>
    <w:basedOn w:val="969"/>
    <w:next w:val="969"/>
    <w:uiPriority w:val="0"/>
    <w:qFormat/>
    <w:pPr>
      <w:ind w:left="359" w:hanging="359"/>
      <w:spacing w:line="500" w:lineRule="exact"/>
      <w:tabs>
        <w:tab w:val="left" w:pos="480" w:leader="none"/>
      </w:tabs>
    </w:pPr>
    <w:rPr>
      <w:rFonts w:ascii="黑体" w:hAnsi="宋体"/>
    </w:rPr>
  </w:style>
  <w:style w:type="paragraph" w:styleId="978">
    <w:name w:val="toc 7"/>
    <w:basedOn w:val="970"/>
    <w:next w:val="969"/>
    <w:uiPriority w:val="0"/>
    <w:qFormat/>
    <w:pPr>
      <w:ind w:left="1640" w:firstLine="3784"/>
      <w:spacing w:before="0" w:after="0" w:line="360" w:lineRule="auto"/>
    </w:pPr>
  </w:style>
  <w:style w:type="paragraph" w:styleId="979">
    <w:name w:val="Normal Indent"/>
    <w:basedOn w:val="969"/>
    <w:next w:val="969"/>
    <w:link w:val="1031"/>
    <w:uiPriority w:val="0"/>
    <w:qFormat/>
    <w:pPr>
      <w:ind w:firstLine="420"/>
      <w:jc w:val="left"/>
      <w:widowControl/>
    </w:pPr>
    <w:rPr>
      <w:rFonts w:eastAsia="楷体_GB2312"/>
      <w:sz w:val="24"/>
    </w:rPr>
  </w:style>
  <w:style w:type="paragraph" w:styleId="980">
    <w:name w:val="Caption"/>
    <w:basedOn w:val="969"/>
    <w:next w:val="969"/>
    <w:uiPriority w:val="35"/>
    <w:unhideWhenUsed/>
    <w:qFormat/>
    <w:rPr>
      <w:rFonts w:ascii="等线 Light" w:hAnsi="等线 Light" w:eastAsia="黑体"/>
      <w:sz w:val="20"/>
      <w:szCs w:val="20"/>
    </w:rPr>
  </w:style>
  <w:style w:type="paragraph" w:styleId="981">
    <w:name w:val="List Bullet"/>
    <w:basedOn w:val="969"/>
    <w:uiPriority w:val="0"/>
    <w:qFormat/>
    <w:pPr>
      <w:ind w:left="420" w:hanging="420"/>
      <w:tabs>
        <w:tab w:val="left" w:pos="1155" w:leader="none"/>
      </w:tabs>
    </w:pPr>
    <w:rPr>
      <w:rFonts w:eastAsia="仿宋_GB2312"/>
      <w:sz w:val="30"/>
      <w:szCs w:val="20"/>
    </w:rPr>
  </w:style>
  <w:style w:type="paragraph" w:styleId="982">
    <w:name w:val="Document Map"/>
    <w:basedOn w:val="969"/>
    <w:uiPriority w:val="0"/>
    <w:qFormat/>
    <w:pPr>
      <w:shd w:val="clear" w:color="auto" w:fill="000080"/>
    </w:pPr>
  </w:style>
  <w:style w:type="paragraph" w:styleId="983">
    <w:name w:val="annotation text"/>
    <w:basedOn w:val="969"/>
    <w:link w:val="1032"/>
    <w:uiPriority w:val="0"/>
    <w:qFormat/>
    <w:pPr>
      <w:jc w:val="left"/>
    </w:pPr>
  </w:style>
  <w:style w:type="paragraph" w:styleId="984">
    <w:name w:val="Body Text"/>
    <w:basedOn w:val="969"/>
    <w:link w:val="1025"/>
    <w:uiPriority w:val="0"/>
    <w:qFormat/>
    <w:pPr>
      <w:spacing w:after="120"/>
    </w:pPr>
  </w:style>
  <w:style w:type="paragraph" w:styleId="985">
    <w:name w:val="Body Text Indent"/>
    <w:basedOn w:val="969"/>
    <w:next w:val="986"/>
    <w:link w:val="1033"/>
    <w:uiPriority w:val="0"/>
    <w:qFormat/>
    <w:pPr>
      <w:ind w:left="420"/>
      <w:spacing w:after="120"/>
    </w:pPr>
  </w:style>
  <w:style w:type="paragraph" w:styleId="986">
    <w:name w:val="envelope return"/>
    <w:basedOn w:val="969"/>
    <w:uiPriority w:val="0"/>
    <w:qFormat/>
    <w:rPr>
      <w:rFonts w:ascii="Arial" w:hAnsi="Arial"/>
    </w:rPr>
  </w:style>
  <w:style w:type="paragraph" w:styleId="987">
    <w:name w:val="List 2"/>
    <w:basedOn w:val="970"/>
    <w:next w:val="978"/>
    <w:uiPriority w:val="0"/>
    <w:qFormat/>
    <w:pPr>
      <w:ind w:left="100" w:firstLine="3640"/>
      <w:spacing w:before="0" w:after="0" w:line="240" w:lineRule="auto"/>
    </w:pPr>
  </w:style>
  <w:style w:type="paragraph" w:styleId="988">
    <w:name w:val="Block Text"/>
    <w:basedOn w:val="969"/>
    <w:uiPriority w:val="0"/>
    <w:qFormat/>
    <w:pPr>
      <w:ind w:left="630" w:right="-609" w:firstLine="420"/>
      <w:spacing w:line="360" w:lineRule="auto"/>
    </w:pPr>
    <w:rPr>
      <w:rFonts w:hint="eastAsia" w:ascii="仿宋_GB2312" w:eastAsia="仿宋_GB2312"/>
      <w:szCs w:val="20"/>
    </w:rPr>
  </w:style>
  <w:style w:type="paragraph" w:styleId="989">
    <w:name w:val="toc 3"/>
    <w:basedOn w:val="969"/>
    <w:next w:val="969"/>
    <w:uiPriority w:val="0"/>
    <w:qFormat/>
    <w:pPr>
      <w:ind w:left="840" w:firstLine="200"/>
      <w:jc w:val="left"/>
      <w:spacing w:line="360" w:lineRule="auto"/>
    </w:pPr>
    <w:rPr>
      <w:sz w:val="24"/>
      <w:szCs w:val="22"/>
    </w:rPr>
  </w:style>
  <w:style w:type="paragraph" w:styleId="990">
    <w:name w:val="Plain Text"/>
    <w:basedOn w:val="969"/>
    <w:link w:val="1034"/>
    <w:uiPriority w:val="0"/>
    <w:qFormat/>
    <w:pPr>
      <w:jc w:val="left"/>
      <w:widowControl/>
    </w:pPr>
    <w:rPr>
      <w:rFonts w:ascii="宋体" w:hAnsi="Courier New" w:eastAsia="楷体_GB2312"/>
      <w:sz w:val="26"/>
    </w:rPr>
  </w:style>
  <w:style w:type="paragraph" w:styleId="991">
    <w:name w:val="Date"/>
    <w:basedOn w:val="969"/>
    <w:next w:val="969"/>
    <w:link w:val="1035"/>
    <w:uiPriority w:val="0"/>
    <w:qFormat/>
  </w:style>
  <w:style w:type="paragraph" w:styleId="992">
    <w:name w:val="Body Text Indent 2"/>
    <w:basedOn w:val="969"/>
    <w:uiPriority w:val="0"/>
    <w:qFormat/>
    <w:pPr>
      <w:ind w:left="420"/>
      <w:spacing w:after="120" w:line="480" w:lineRule="auto"/>
    </w:pPr>
  </w:style>
  <w:style w:type="paragraph" w:styleId="993">
    <w:name w:val="Balloon Text"/>
    <w:basedOn w:val="969"/>
    <w:link w:val="1036"/>
    <w:uiPriority w:val="0"/>
    <w:qFormat/>
    <w:rPr>
      <w:sz w:val="18"/>
      <w:szCs w:val="18"/>
    </w:rPr>
  </w:style>
  <w:style w:type="paragraph" w:styleId="994">
    <w:name w:val="Footer"/>
    <w:basedOn w:val="969"/>
    <w:link w:val="1037"/>
    <w:uiPriority w:val="0"/>
    <w:qFormat/>
    <w:pPr>
      <w:jc w:val="left"/>
      <w:tabs>
        <w:tab w:val="center" w:pos="4153" w:leader="none"/>
        <w:tab w:val="right" w:pos="8306" w:leader="none"/>
      </w:tabs>
    </w:pPr>
    <w:rPr>
      <w:sz w:val="18"/>
      <w:szCs w:val="18"/>
    </w:rPr>
  </w:style>
  <w:style w:type="paragraph" w:styleId="995">
    <w:name w:val="Header"/>
    <w:basedOn w:val="969"/>
    <w:link w:val="1038"/>
    <w:uiPriority w:val="0"/>
    <w:qFormat/>
    <w:pPr>
      <w:jc w:val="center"/>
      <w:tabs>
        <w:tab w:val="center" w:pos="4153" w:leader="none"/>
        <w:tab w:val="right" w:pos="8306" w:leader="none"/>
      </w:tabs>
      <w:pBdr>
        <w:bottom w:val="single" w:color="auto" w:sz="6" w:space="1"/>
      </w:pBdr>
    </w:pPr>
    <w:rPr>
      <w:sz w:val="18"/>
      <w:szCs w:val="18"/>
    </w:rPr>
  </w:style>
  <w:style w:type="paragraph" w:styleId="996">
    <w:name w:val="toc 1"/>
    <w:basedOn w:val="969"/>
    <w:next w:val="969"/>
    <w:uiPriority w:val="0"/>
    <w:qFormat/>
    <w:pPr>
      <w:jc w:val="left"/>
    </w:pPr>
    <w:rPr>
      <w:rFonts w:eastAsia="楷体_GB2312"/>
      <w:sz w:val="24"/>
      <w:szCs w:val="20"/>
    </w:rPr>
  </w:style>
  <w:style w:type="paragraph" w:styleId="997">
    <w:name w:val="toc 4"/>
    <w:basedOn w:val="969"/>
    <w:next w:val="969"/>
    <w:uiPriority w:val="0"/>
    <w:qFormat/>
    <w:pPr>
      <w:ind w:left="630"/>
      <w:jc w:val="left"/>
    </w:pPr>
    <w:rPr>
      <w:szCs w:val="21"/>
    </w:rPr>
  </w:style>
  <w:style w:type="paragraph" w:styleId="998">
    <w:name w:val="Subtitle"/>
    <w:basedOn w:val="969"/>
    <w:next w:val="969"/>
    <w:link w:val="1039"/>
    <w:uiPriority w:val="0"/>
    <w:qFormat/>
    <w:pPr>
      <w:jc w:val="center"/>
      <w:spacing w:before="240" w:after="60" w:line="312" w:lineRule="auto"/>
      <w:outlineLvl w:val="1"/>
    </w:pPr>
    <w:rPr>
      <w:rFonts w:ascii="宋体" w:hAnsi="Courier New" w:eastAsia="楷体_GB2312"/>
      <w:sz w:val="26"/>
    </w:rPr>
  </w:style>
  <w:style w:type="paragraph" w:styleId="999">
    <w:name w:val="List"/>
    <w:basedOn w:val="969"/>
    <w:next w:val="969"/>
    <w:uiPriority w:val="0"/>
    <w:qFormat/>
    <w:pPr>
      <w:ind w:left="420" w:hanging="420"/>
    </w:pPr>
    <w:rPr>
      <w:rFonts w:ascii="Arial" w:hAnsi="Arial" w:eastAsia="楷体_GB2312"/>
      <w:sz w:val="28"/>
    </w:rPr>
  </w:style>
  <w:style w:type="paragraph" w:styleId="1000">
    <w:name w:val="Body Text Indent 3"/>
    <w:basedOn w:val="969"/>
    <w:uiPriority w:val="0"/>
    <w:qFormat/>
    <w:pPr>
      <w:ind w:firstLine="480"/>
      <w:jc w:val="left"/>
      <w:spacing w:line="440" w:lineRule="atLeast"/>
    </w:pPr>
    <w:rPr>
      <w:sz w:val="24"/>
    </w:rPr>
  </w:style>
  <w:style w:type="paragraph" w:styleId="1001">
    <w:name w:val="toc 2"/>
    <w:basedOn w:val="969"/>
    <w:next w:val="969"/>
    <w:uiPriority w:val="0"/>
    <w:qFormat/>
    <w:pPr>
      <w:ind w:left="420" w:firstLine="200"/>
      <w:jc w:val="left"/>
      <w:spacing w:line="360" w:lineRule="auto"/>
    </w:pPr>
    <w:rPr>
      <w:sz w:val="24"/>
      <w:szCs w:val="22"/>
    </w:rPr>
  </w:style>
  <w:style w:type="paragraph" w:styleId="1002">
    <w:name w:val="Body Text 2"/>
    <w:basedOn w:val="969"/>
    <w:uiPriority w:val="0"/>
    <w:qFormat/>
    <w:pPr>
      <w:spacing w:after="120" w:line="480" w:lineRule="auto"/>
    </w:pPr>
  </w:style>
  <w:style w:type="paragraph" w:styleId="1003">
    <w:name w:val="Normal (Web)"/>
    <w:basedOn w:val="969"/>
    <w:next w:val="987"/>
    <w:uiPriority w:val="0"/>
    <w:qFormat/>
    <w:pPr>
      <w:jc w:val="left"/>
      <w:spacing w:before="100" w:beforeAutospacing="1" w:after="100" w:afterAutospacing="1"/>
      <w:widowControl/>
    </w:pPr>
    <w:rPr>
      <w:rFonts w:ascii="宋体" w:hAnsi="宋体" w:cs="宋体"/>
      <w:sz w:val="24"/>
    </w:rPr>
  </w:style>
  <w:style w:type="paragraph" w:styleId="1004">
    <w:name w:val="index 1"/>
    <w:basedOn w:val="969"/>
    <w:next w:val="969"/>
    <w:uiPriority w:val="0"/>
    <w:qFormat/>
  </w:style>
  <w:style w:type="paragraph" w:styleId="1005">
    <w:name w:val="Title"/>
    <w:basedOn w:val="969"/>
    <w:link w:val="1040"/>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1006">
    <w:name w:val="annotation subject"/>
    <w:basedOn w:val="983"/>
    <w:next w:val="983"/>
    <w:link w:val="1041"/>
    <w:uiPriority w:val="0"/>
    <w:qFormat/>
    <w:rPr>
      <w:b/>
      <w:bCs/>
    </w:rPr>
  </w:style>
  <w:style w:type="paragraph" w:styleId="1007">
    <w:name w:val="Body Text First Indent"/>
    <w:basedOn w:val="984"/>
    <w:uiPriority w:val="0"/>
    <w:qFormat/>
    <w:pPr>
      <w:ind w:firstLine="420"/>
    </w:pPr>
  </w:style>
  <w:style w:type="paragraph" w:styleId="1008">
    <w:name w:val="Body Text First Indent 2"/>
    <w:basedOn w:val="985"/>
    <w:uiPriority w:val="99"/>
    <w:unhideWhenUsed/>
    <w:qFormat/>
    <w:pPr>
      <w:ind w:firstLine="420"/>
    </w:pPr>
  </w:style>
  <w:style w:type="table" w:styleId="1009">
    <w:name w:val="Table Grid"/>
    <w:basedOn w:val="9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Strong"/>
    <w:uiPriority w:val="0"/>
    <w:qFormat/>
    <w:rPr>
      <w:b/>
      <w:bCs/>
    </w:rPr>
  </w:style>
  <w:style w:type="character" w:styleId="1011">
    <w:name w:val="page number"/>
    <w:basedOn w:val="975"/>
    <w:uiPriority w:val="0"/>
    <w:qFormat/>
  </w:style>
  <w:style w:type="character" w:styleId="1012">
    <w:name w:val="FollowedHyperlink"/>
    <w:uiPriority w:val="0"/>
    <w:qFormat/>
    <w:rPr>
      <w:color w:val="800080"/>
      <w:szCs w:val="24"/>
      <w:u w:val="none"/>
    </w:rPr>
  </w:style>
  <w:style w:type="character" w:styleId="1013">
    <w:name w:val="Emphasis"/>
    <w:basedOn w:val="975"/>
    <w:uiPriority w:val="0"/>
    <w:qFormat/>
    <w:rPr>
      <w:i/>
      <w:iCs/>
    </w:rPr>
  </w:style>
  <w:style w:type="character" w:styleId="1014">
    <w:name w:val="HTML Definition"/>
    <w:basedOn w:val="975"/>
    <w:uiPriority w:val="0"/>
    <w:qFormat/>
  </w:style>
  <w:style w:type="character" w:styleId="1015">
    <w:name w:val="HTML Variable"/>
    <w:basedOn w:val="975"/>
    <w:uiPriority w:val="0"/>
    <w:qFormat/>
  </w:style>
  <w:style w:type="character" w:styleId="1016">
    <w:name w:val="Hyperlink"/>
    <w:uiPriority w:val="0"/>
    <w:qFormat/>
    <w:rPr>
      <w:color w:val="000000"/>
      <w:szCs w:val="24"/>
      <w:u w:val="none"/>
    </w:rPr>
  </w:style>
  <w:style w:type="character" w:styleId="1017">
    <w:name w:val="HTML Code"/>
    <w:basedOn w:val="975"/>
    <w:uiPriority w:val="0"/>
    <w:qFormat/>
    <w:rPr>
      <w:rFonts w:hint="default" w:ascii="monospace" w:hAnsi="monospace" w:eastAsia="monospace" w:cs="monospace"/>
      <w:sz w:val="21"/>
      <w:szCs w:val="21"/>
    </w:rPr>
  </w:style>
  <w:style w:type="character" w:styleId="1018">
    <w:name w:val="annotation reference"/>
    <w:uiPriority w:val="0"/>
    <w:qFormat/>
    <w:rPr>
      <w:sz w:val="21"/>
      <w:szCs w:val="21"/>
    </w:rPr>
  </w:style>
  <w:style w:type="character" w:styleId="1019">
    <w:name w:val="HTML Cite"/>
    <w:basedOn w:val="975"/>
    <w:uiPriority w:val="0"/>
    <w:qFormat/>
  </w:style>
  <w:style w:type="character" w:styleId="1020">
    <w:name w:val="HTML Keyboard"/>
    <w:basedOn w:val="975"/>
    <w:uiPriority w:val="0"/>
    <w:qFormat/>
    <w:rPr>
      <w:rFonts w:ascii="monospace" w:hAnsi="monospace" w:eastAsia="monospace" w:cs="monospace"/>
      <w:sz w:val="21"/>
      <w:szCs w:val="21"/>
    </w:rPr>
  </w:style>
  <w:style w:type="character" w:styleId="1021">
    <w:name w:val="HTML Sample"/>
    <w:basedOn w:val="975"/>
    <w:uiPriority w:val="0"/>
    <w:qFormat/>
    <w:rPr>
      <w:rFonts w:hint="default" w:ascii="monospace" w:hAnsi="monospace" w:eastAsia="monospace" w:cs="monospace"/>
      <w:sz w:val="21"/>
      <w:szCs w:val="21"/>
    </w:rPr>
  </w:style>
  <w:style w:type="paragraph" w:styleId="1022"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首行缩进"/>
    <w:basedOn w:val="969"/>
    <w:uiPriority w:val="0"/>
    <w:qFormat/>
    <w:pPr>
      <w:ind w:firstLine="480"/>
    </w:pPr>
    <w:rPr>
      <w:szCs w:val="20"/>
      <w:lang w:val="zh-CN"/>
    </w:rPr>
  </w:style>
  <w:style w:type="paragraph" w:styleId="1024" w:customStyle="1">
    <w:name w:val="段"/>
    <w:next w:val="969"/>
    <w:uiPriority w:val="0"/>
    <w:qFormat/>
    <w:pPr>
      <w:ind w:firstLine="200"/>
      <w:jc w:val="both"/>
    </w:pPr>
    <w:rPr>
      <w:rFonts w:ascii="宋体" w:hAnsi="Times New Roman" w:eastAsia="宋体" w:cs="Times New Roman"/>
      <w:sz w:val="21"/>
      <w:lang w:val="en-US" w:eastAsia="zh-CN" w:bidi="ar-SA"/>
    </w:rPr>
  </w:style>
  <w:style w:type="character" w:styleId="1025" w:customStyle="1">
    <w:name w:val="正文文本 Char"/>
    <w:link w:val="984"/>
    <w:uiPriority w:val="0"/>
    <w:qFormat/>
    <w:rPr>
      <w:rFonts w:eastAsia="宋体"/>
      <w:sz w:val="21"/>
      <w:szCs w:val="24"/>
      <w:lang w:val="en-US" w:eastAsia="zh-CN" w:bidi="ar-SA"/>
    </w:rPr>
  </w:style>
  <w:style w:type="character" w:styleId="1026" w:customStyle="1">
    <w:name w:val="标题 1 Char"/>
    <w:link w:val="970"/>
    <w:uiPriority w:val="0"/>
    <w:qFormat/>
    <w:rPr>
      <w:rFonts w:eastAsia="宋体"/>
      <w:b/>
      <w:bCs/>
      <w:sz w:val="44"/>
      <w:szCs w:val="44"/>
      <w:lang w:val="en-US" w:eastAsia="zh-CN" w:bidi="ar-SA"/>
    </w:rPr>
  </w:style>
  <w:style w:type="character" w:styleId="1027" w:customStyle="1">
    <w:name w:val="标题 2 Char"/>
    <w:link w:val="971"/>
    <w:uiPriority w:val="0"/>
    <w:qFormat/>
    <w:rPr>
      <w:rFonts w:ascii="Cambria" w:hAnsi="Cambria" w:eastAsia="宋体"/>
      <w:b/>
      <w:sz w:val="32"/>
      <w:szCs w:val="24"/>
      <w:lang w:val="en-US" w:eastAsia="zh-CN" w:bidi="ar-SA"/>
    </w:rPr>
  </w:style>
  <w:style w:type="character" w:styleId="1028" w:customStyle="1">
    <w:name w:val="标题 3 Char"/>
    <w:link w:val="972"/>
    <w:uiPriority w:val="0"/>
    <w:qFormat/>
    <w:rPr>
      <w:b/>
      <w:bCs/>
      <w:sz w:val="32"/>
      <w:szCs w:val="32"/>
    </w:rPr>
  </w:style>
  <w:style w:type="character" w:styleId="1029" w:customStyle="1">
    <w:name w:val="标题 4 Char"/>
    <w:link w:val="973"/>
    <w:uiPriority w:val="0"/>
    <w:qFormat/>
    <w:rPr>
      <w:rFonts w:eastAsia="宋体"/>
      <w:b/>
      <w:bCs/>
      <w:sz w:val="28"/>
      <w:szCs w:val="28"/>
      <w:lang w:val="en-US" w:eastAsia="zh-CN" w:bidi="ar-SA"/>
    </w:rPr>
  </w:style>
  <w:style w:type="character" w:styleId="1030" w:customStyle="1">
    <w:name w:val="标题 5 Char"/>
    <w:link w:val="974"/>
    <w:uiPriority w:val="0"/>
    <w:qFormat/>
    <w:rPr>
      <w:rFonts w:eastAsia="宋体"/>
      <w:b/>
      <w:bCs/>
      <w:i/>
      <w:iCs/>
      <w:sz w:val="26"/>
      <w:szCs w:val="26"/>
      <w:lang w:val="en-US" w:eastAsia="zh-CN" w:bidi="ar-SA"/>
    </w:rPr>
  </w:style>
  <w:style w:type="character" w:styleId="1031" w:customStyle="1">
    <w:name w:val="正文缩进 Char"/>
    <w:link w:val="979"/>
    <w:uiPriority w:val="0"/>
    <w:qFormat/>
    <w:rPr>
      <w:rFonts w:eastAsia="楷体_GB2312"/>
      <w:sz w:val="24"/>
      <w:lang w:val="en-US" w:eastAsia="zh-CN" w:bidi="ar-SA"/>
    </w:rPr>
  </w:style>
  <w:style w:type="character" w:styleId="1032" w:customStyle="1">
    <w:name w:val="批注文字 Char"/>
    <w:link w:val="983"/>
    <w:uiPriority w:val="0"/>
    <w:qFormat/>
    <w:rPr>
      <w:sz w:val="21"/>
      <w:szCs w:val="24"/>
    </w:rPr>
  </w:style>
  <w:style w:type="character" w:styleId="1033" w:customStyle="1">
    <w:name w:val="正文文本缩进 Char"/>
    <w:link w:val="985"/>
    <w:uiPriority w:val="0"/>
    <w:qFormat/>
    <w:rPr>
      <w:sz w:val="21"/>
      <w:szCs w:val="24"/>
    </w:rPr>
  </w:style>
  <w:style w:type="character" w:styleId="1034" w:customStyle="1">
    <w:name w:val="纯文本 Char"/>
    <w:link w:val="990"/>
    <w:uiPriority w:val="0"/>
    <w:qFormat/>
    <w:rPr>
      <w:rFonts w:ascii="宋体" w:hAnsi="Courier New" w:eastAsia="楷体_GB2312"/>
      <w:sz w:val="26"/>
      <w:szCs w:val="24"/>
    </w:rPr>
  </w:style>
  <w:style w:type="character" w:styleId="1035" w:customStyle="1">
    <w:name w:val="日期 Char"/>
    <w:link w:val="991"/>
    <w:uiPriority w:val="0"/>
    <w:qFormat/>
    <w:rPr>
      <w:rFonts w:eastAsia="宋体"/>
      <w:sz w:val="21"/>
      <w:szCs w:val="24"/>
      <w:lang w:val="en-US" w:eastAsia="zh-CN" w:bidi="ar-SA"/>
    </w:rPr>
  </w:style>
  <w:style w:type="character" w:styleId="1036" w:customStyle="1">
    <w:name w:val="批注框文本 Char"/>
    <w:link w:val="993"/>
    <w:uiPriority w:val="0"/>
    <w:qFormat/>
    <w:rPr>
      <w:rFonts w:eastAsia="宋体"/>
      <w:sz w:val="18"/>
      <w:szCs w:val="18"/>
      <w:lang w:val="en-US" w:eastAsia="zh-CN" w:bidi="ar-SA"/>
    </w:rPr>
  </w:style>
  <w:style w:type="character" w:styleId="1037" w:customStyle="1">
    <w:name w:val="页脚 Char"/>
    <w:link w:val="994"/>
    <w:uiPriority w:val="0"/>
    <w:qFormat/>
    <w:rPr>
      <w:rFonts w:eastAsia="宋体"/>
      <w:sz w:val="18"/>
      <w:szCs w:val="18"/>
      <w:lang w:val="en-US" w:eastAsia="zh-CN" w:bidi="ar-SA"/>
    </w:rPr>
  </w:style>
  <w:style w:type="character" w:styleId="1038" w:customStyle="1">
    <w:name w:val="页眉 Char"/>
    <w:link w:val="995"/>
    <w:uiPriority w:val="0"/>
    <w:qFormat/>
    <w:rPr>
      <w:rFonts w:eastAsia="宋体"/>
      <w:sz w:val="18"/>
      <w:szCs w:val="18"/>
      <w:lang w:val="en-US" w:eastAsia="zh-CN" w:bidi="ar-SA"/>
    </w:rPr>
  </w:style>
  <w:style w:type="character" w:styleId="1039" w:customStyle="1">
    <w:name w:val="副标题 Char"/>
    <w:link w:val="998"/>
    <w:uiPriority w:val="0"/>
    <w:qFormat/>
    <w:rPr>
      <w:rFonts w:ascii="宋体" w:hAnsi="Courier New" w:eastAsia="楷体_GB2312"/>
      <w:sz w:val="26"/>
      <w:szCs w:val="24"/>
    </w:rPr>
  </w:style>
  <w:style w:type="character" w:styleId="1040" w:customStyle="1">
    <w:name w:val="标题 Char"/>
    <w:link w:val="1005"/>
    <w:uiPriority w:val="0"/>
    <w:qFormat/>
    <w:rPr>
      <w:rFonts w:ascii="Arial" w:hAnsi="Arial"/>
      <w:b/>
      <w:bCs/>
      <w:sz w:val="32"/>
      <w:szCs w:val="32"/>
    </w:rPr>
  </w:style>
  <w:style w:type="character" w:styleId="1041" w:customStyle="1">
    <w:name w:val="批注主题 Char"/>
    <w:link w:val="1006"/>
    <w:uiPriority w:val="0"/>
    <w:qFormat/>
    <w:rPr>
      <w:b/>
      <w:bCs/>
      <w:sz w:val="21"/>
      <w:szCs w:val="24"/>
    </w:rPr>
  </w:style>
  <w:style w:type="character" w:styleId="1042" w:customStyle="1">
    <w:name w:val="Header Char"/>
    <w:uiPriority w:val="0"/>
    <w:qFormat/>
    <w:rPr>
      <w:rFonts w:eastAsia="宋体" w:cs="Times New Roman"/>
      <w:sz w:val="18"/>
      <w:szCs w:val="24"/>
      <w:lang w:val="en-US" w:eastAsia="zh-CN"/>
    </w:rPr>
  </w:style>
  <w:style w:type="character" w:styleId="1043" w:customStyle="1">
    <w:name w:val="+● Char Char Char Char Char Char"/>
    <w:link w:val="1044"/>
    <w:uiPriority w:val="0"/>
    <w:qFormat/>
    <w:rPr>
      <w:sz w:val="24"/>
      <w:szCs w:val="28"/>
    </w:rPr>
  </w:style>
  <w:style w:type="paragraph" w:styleId="1044" w:customStyle="1">
    <w:name w:val="+● Char Char Char"/>
    <w:basedOn w:val="969"/>
    <w:link w:val="1043"/>
    <w:uiPriority w:val="0"/>
    <w:qFormat/>
    <w:pPr>
      <w:ind w:firstLine="480"/>
      <w:spacing w:line="360" w:lineRule="auto"/>
      <w:tabs>
        <w:tab w:val="left" w:pos="958" w:leader="none"/>
      </w:tabs>
    </w:pPr>
    <w:rPr>
      <w:sz w:val="24"/>
      <w:szCs w:val="28"/>
    </w:rPr>
  </w:style>
  <w:style w:type="character" w:styleId="1045" w:customStyle="1">
    <w:name w:val="+正文 Char3"/>
    <w:link w:val="1046"/>
    <w:uiPriority w:val="0"/>
    <w:qFormat/>
    <w:rPr>
      <w:sz w:val="24"/>
      <w:szCs w:val="24"/>
    </w:rPr>
  </w:style>
  <w:style w:type="paragraph" w:styleId="1046" w:customStyle="1">
    <w:name w:val="+正文"/>
    <w:basedOn w:val="969"/>
    <w:link w:val="1045"/>
    <w:uiPriority w:val="0"/>
    <w:qFormat/>
    <w:pPr>
      <w:ind w:firstLine="200"/>
      <w:spacing w:line="360" w:lineRule="auto"/>
    </w:pPr>
    <w:rPr>
      <w:sz w:val="24"/>
    </w:rPr>
  </w:style>
  <w:style w:type="character" w:styleId="1047" w:customStyle="1">
    <w:name w:val="c lh15"/>
    <w:basedOn w:val="975"/>
    <w:uiPriority w:val="0"/>
    <w:qFormat/>
  </w:style>
  <w:style w:type="character" w:styleId="1048" w:customStyle="1">
    <w:name w:val="纯文本 Char Char2"/>
    <w:uiPriority w:val="0"/>
    <w:qFormat/>
    <w:rPr>
      <w:rFonts w:ascii="宋体" w:hAnsi="Courier New" w:eastAsia="楷体_GB2312"/>
      <w:sz w:val="26"/>
      <w:szCs w:val="24"/>
      <w:lang w:val="en-US" w:eastAsia="zh-CN" w:bidi="ar-SA"/>
    </w:rPr>
  </w:style>
  <w:style w:type="character" w:styleId="1049" w:customStyle="1">
    <w:name w:val="Char Char17"/>
    <w:uiPriority w:val="0"/>
    <w:qFormat/>
    <w:rPr>
      <w:rFonts w:eastAsia="楷体_GB2312"/>
      <w:sz w:val="24"/>
      <w:lang w:val="en-US" w:eastAsia="zh-CN" w:bidi="ar-SA"/>
    </w:rPr>
  </w:style>
  <w:style w:type="character" w:styleId="1050" w:customStyle="1">
    <w:name w:val="Heading 5 Char"/>
    <w:uiPriority w:val="0"/>
    <w:qFormat/>
    <w:rPr>
      <w:rFonts w:ascii="Times New Roman" w:hAnsi="Times New Roman" w:cs="Times New Roman"/>
      <w:b/>
      <w:bCs/>
      <w:sz w:val="28"/>
      <w:szCs w:val="28"/>
    </w:rPr>
  </w:style>
  <w:style w:type="character" w:styleId="1051" w:customStyle="1">
    <w:name w:val="首行缩进两字 Char1"/>
    <w:uiPriority w:val="0"/>
    <w:qFormat/>
    <w:rPr>
      <w:rFonts w:eastAsia="楷体_GB2312"/>
      <w:sz w:val="24"/>
      <w:lang w:val="en-US" w:eastAsia="zh-CN" w:bidi="ar-SA"/>
    </w:rPr>
  </w:style>
  <w:style w:type="character" w:styleId="1052" w:customStyle="1">
    <w:name w:val="Heading 3 Char"/>
    <w:uiPriority w:val="0"/>
    <w:qFormat/>
    <w:rPr>
      <w:rFonts w:ascii="Times New Roman" w:hAnsi="Times New Roman" w:cs="Times New Roman"/>
      <w:b/>
      <w:bCs/>
      <w:sz w:val="32"/>
      <w:szCs w:val="32"/>
    </w:rPr>
  </w:style>
  <w:style w:type="character" w:styleId="1053" w:customStyle="1">
    <w:name w:val="Heading 4 Char"/>
    <w:uiPriority w:val="0"/>
    <w:qFormat/>
    <w:rPr>
      <w:rFonts w:ascii="Times New Roman" w:hAnsi="Times New Roman" w:eastAsia="宋体" w:cs="Times New Roman"/>
      <w:b/>
      <w:bCs/>
      <w:sz w:val="28"/>
      <w:szCs w:val="28"/>
    </w:rPr>
  </w:style>
  <w:style w:type="character" w:styleId="1054" w:customStyle="1">
    <w:name w:val="NormalCharacter"/>
    <w:uiPriority w:val="0"/>
    <w:qFormat/>
  </w:style>
  <w:style w:type="character" w:styleId="1055" w:customStyle="1">
    <w:name w:val="首行缩进两字 Char2"/>
    <w:uiPriority w:val="0"/>
    <w:qFormat/>
    <w:rPr>
      <w:rFonts w:eastAsia="楷体_GB2312"/>
      <w:sz w:val="24"/>
      <w:lang w:val="en-US" w:eastAsia="zh-CN" w:bidi="ar-SA"/>
    </w:rPr>
  </w:style>
  <w:style w:type="character" w:styleId="1056" w:customStyle="1">
    <w:name w:val="标题 Char1"/>
    <w:uiPriority w:val="0"/>
    <w:qFormat/>
    <w:rPr>
      <w:rFonts w:ascii="Cambria" w:hAnsi="Cambria" w:cs="Times New Roman"/>
      <w:b/>
      <w:bCs/>
      <w:sz w:val="32"/>
      <w:szCs w:val="32"/>
    </w:rPr>
  </w:style>
  <w:style w:type="character" w:styleId="1057" w:customStyle="1">
    <w:name w:val="+标题2 Char Char"/>
    <w:link w:val="1058"/>
    <w:uiPriority w:val="0"/>
    <w:qFormat/>
    <w:rPr>
      <w:rFonts w:ascii="Cambria" w:hAnsi="Cambria"/>
      <w:b/>
      <w:sz w:val="24"/>
      <w:szCs w:val="24"/>
    </w:rPr>
  </w:style>
  <w:style w:type="paragraph" w:styleId="1058" w:customStyle="1">
    <w:name w:val="+标题2"/>
    <w:basedOn w:val="971"/>
    <w:link w:val="1057"/>
    <w:uiPriority w:val="0"/>
    <w:qFormat/>
    <w:pPr>
      <w:ind w:left="840" w:hanging="420"/>
      <w:spacing w:before="120" w:after="120" w:line="360" w:lineRule="auto"/>
      <w:tabs>
        <w:tab w:val="left" w:pos="431" w:leader="none"/>
      </w:tabs>
    </w:pPr>
    <w:rPr>
      <w:sz w:val="24"/>
    </w:rPr>
  </w:style>
  <w:style w:type="character" w:styleId="1059" w:customStyle="1">
    <w:name w:val="+列表1 Char Char Char Char Char Char"/>
    <w:link w:val="1060"/>
    <w:uiPriority w:val="0"/>
    <w:qFormat/>
    <w:rPr>
      <w:rFonts w:eastAsia="宋体"/>
      <w:sz w:val="24"/>
      <w:szCs w:val="24"/>
      <w:lang w:val="en-US" w:eastAsia="zh-CN" w:bidi="ar-SA"/>
    </w:rPr>
  </w:style>
  <w:style w:type="paragraph" w:styleId="1060" w:customStyle="1">
    <w:name w:val="+列表1"/>
    <w:basedOn w:val="969"/>
    <w:link w:val="1059"/>
    <w:uiPriority w:val="0"/>
    <w:qFormat/>
    <w:pPr>
      <w:jc w:val="center"/>
    </w:pPr>
    <w:rPr>
      <w:sz w:val="24"/>
    </w:rPr>
  </w:style>
  <w:style w:type="character" w:styleId="1061" w:customStyle="1">
    <w:name w:val="Plain Text Char Char"/>
    <w:link w:val="1062"/>
    <w:uiPriority w:val="0"/>
    <w:qFormat/>
    <w:rPr>
      <w:rFonts w:ascii="宋体" w:hAnsi="Courier New" w:eastAsia="楷体_GB2312"/>
      <w:sz w:val="28"/>
      <w:lang w:val="en-US" w:eastAsia="zh-CN" w:bidi="ar-SA"/>
    </w:rPr>
  </w:style>
  <w:style w:type="paragraph" w:styleId="1062" w:customStyle="1">
    <w:name w:val="纯文本1"/>
    <w:basedOn w:val="969"/>
    <w:link w:val="1061"/>
    <w:uiPriority w:val="0"/>
    <w:qFormat/>
    <w:rPr>
      <w:rFonts w:ascii="宋体" w:hAnsi="Courier New" w:eastAsia="楷体_GB2312"/>
      <w:sz w:val="28"/>
    </w:rPr>
  </w:style>
  <w:style w:type="character" w:styleId="1063" w:customStyle="1">
    <w:name w:val="方案文档 Char Char"/>
    <w:link w:val="1064"/>
    <w:uiPriority w:val="0"/>
    <w:qFormat/>
    <w:rPr>
      <w:rFonts w:eastAsia="Times New Roman"/>
      <w:sz w:val="24"/>
      <w:szCs w:val="24"/>
      <w:lang w:val="en-US" w:eastAsia="zh-CN" w:bidi="ar-SA"/>
    </w:rPr>
  </w:style>
  <w:style w:type="paragraph" w:styleId="1064" w:customStyle="1">
    <w:name w:val="方案文档"/>
    <w:link w:val="1063"/>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65" w:customStyle="1">
    <w:name w:val="UserStyle_5"/>
    <w:link w:val="1066"/>
    <w:uiPriority w:val="0"/>
    <w:qFormat/>
    <w:rPr>
      <w:sz w:val="16"/>
      <w:szCs w:val="16"/>
    </w:rPr>
  </w:style>
  <w:style w:type="paragraph" w:styleId="1066" w:customStyle="1">
    <w:name w:val="BodyTextIndent3"/>
    <w:basedOn w:val="969"/>
    <w:link w:val="1065"/>
    <w:uiPriority w:val="0"/>
    <w:qFormat/>
    <w:pPr>
      <w:ind w:left="420"/>
      <w:jc w:val="left"/>
      <w:spacing w:after="120"/>
      <w:widowControl/>
    </w:pPr>
    <w:rPr>
      <w:sz w:val="16"/>
      <w:szCs w:val="16"/>
    </w:rPr>
  </w:style>
  <w:style w:type="character" w:styleId="1067" w:customStyle="1">
    <w:name w:val="正文缩进 字符"/>
    <w:uiPriority w:val="0"/>
    <w:qFormat/>
    <w:rPr>
      <w:rFonts w:eastAsia="楷体_GB2312"/>
      <w:sz w:val="24"/>
    </w:rPr>
  </w:style>
  <w:style w:type="character" w:styleId="1068" w:customStyle="1">
    <w:name w:val="Footer Char"/>
    <w:uiPriority w:val="0"/>
    <w:qFormat/>
    <w:rPr>
      <w:rFonts w:ascii="Times New Roman" w:hAnsi="Times New Roman" w:cs="Times New Roman"/>
      <w:sz w:val="18"/>
      <w:szCs w:val="18"/>
    </w:rPr>
  </w:style>
  <w:style w:type="paragraph" w:styleId="1069" w:customStyle="1">
    <w:name w:val="Char Char Char1 Char Char Char Char"/>
    <w:basedOn w:val="969"/>
    <w:uiPriority w:val="0"/>
    <w:qFormat/>
    <w:pPr>
      <w:jc w:val="left"/>
      <w:spacing w:after="160" w:line="240" w:lineRule="exact"/>
      <w:widowControl/>
    </w:pPr>
    <w:rPr>
      <w:sz w:val="24"/>
    </w:rPr>
  </w:style>
  <w:style w:type="paragraph" w:styleId="1070" w:customStyle="1">
    <w:name w:val="p0"/>
    <w:basedOn w:val="969"/>
    <w:uiPriority w:val="0"/>
    <w:qFormat/>
    <w:pPr>
      <w:jc w:val="left"/>
      <w:widowControl/>
    </w:pPr>
    <w:rPr>
      <w:sz w:val="24"/>
    </w:rPr>
  </w:style>
  <w:style w:type="paragraph" w:styleId="1071"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72" w:customStyle="1">
    <w:name w:val="Plain Text1"/>
    <w:basedOn w:val="969"/>
    <w:uiPriority w:val="0"/>
    <w:qFormat/>
    <w:rPr>
      <w:rFonts w:ascii="宋体" w:hAnsi="Courier New" w:eastAsia="楷体_GB2312"/>
      <w:sz w:val="26"/>
      <w:szCs w:val="20"/>
    </w:rPr>
  </w:style>
  <w:style w:type="paragraph" w:styleId="1073" w:customStyle="1">
    <w:name w:val="Char Char Char Char Char Char Char Char Char1 Char Char Char Char"/>
    <w:basedOn w:val="982"/>
    <w:uiPriority w:val="0"/>
    <w:qFormat/>
    <w:pPr>
      <w:spacing w:line="360" w:lineRule="auto"/>
    </w:pPr>
    <w:rPr>
      <w:rFonts w:eastAsia="楷体_GB2312"/>
      <w:sz w:val="26"/>
      <w:szCs w:val="20"/>
    </w:rPr>
  </w:style>
  <w:style w:type="paragraph" w:styleId="1074" w:customStyle="1">
    <w:name w:val="表名"/>
    <w:basedOn w:val="1075"/>
    <w:uiPriority w:val="0"/>
    <w:qFormat/>
    <w:pPr>
      <w:jc w:val="right"/>
    </w:pPr>
    <w:rPr>
      <w:b/>
    </w:rPr>
  </w:style>
  <w:style w:type="paragraph" w:styleId="1075" w:customStyle="1">
    <w:name w:val="表格"/>
    <w:basedOn w:val="969"/>
    <w:uiPriority w:val="0"/>
    <w:qFormat/>
    <w:pPr>
      <w:jc w:val="center"/>
    </w:pPr>
    <w:rPr>
      <w:szCs w:val="22"/>
    </w:rPr>
  </w:style>
  <w:style w:type="paragraph" w:styleId="1076" w:customStyle="1">
    <w:name w:val="表"/>
    <w:basedOn w:val="969"/>
    <w:uiPriority w:val="0"/>
    <w:qFormat/>
    <w:pPr>
      <w:jc w:val="center"/>
    </w:pPr>
    <w:rPr>
      <w:szCs w:val="20"/>
    </w:rPr>
  </w:style>
  <w:style w:type="paragraph" w:styleId="1077" w:customStyle="1">
    <w:name w:val="正文标准"/>
    <w:basedOn w:val="969"/>
    <w:uiPriority w:val="0"/>
    <w:qFormat/>
    <w:pPr>
      <w:ind w:firstLine="200"/>
      <w:spacing w:line="360" w:lineRule="auto"/>
    </w:pPr>
    <w:rPr>
      <w:rFonts w:hAnsi="宋体"/>
      <w:sz w:val="24"/>
    </w:rPr>
  </w:style>
  <w:style w:type="paragraph" w:styleId="1078" w:customStyle="1">
    <w:name w:val="列出段落1"/>
    <w:basedOn w:val="969"/>
    <w:uiPriority w:val="0"/>
    <w:qFormat/>
    <w:pPr>
      <w:ind w:firstLine="420"/>
      <w:jc w:val="left"/>
      <w:spacing w:line="360" w:lineRule="auto"/>
    </w:pPr>
    <w:rPr>
      <w:sz w:val="24"/>
      <w:szCs w:val="22"/>
    </w:rPr>
  </w:style>
  <w:style w:type="paragraph" w:styleId="1079" w:customStyle="1">
    <w:name w:val="p25"/>
    <w:basedOn w:val="969"/>
    <w:uiPriority w:val="0"/>
    <w:qFormat/>
    <w:pPr>
      <w:jc w:val="left"/>
      <w:widowControl/>
    </w:pPr>
    <w:rPr>
      <w:rFonts w:ascii="黑体" w:hAnsi="黑体" w:eastAsia="黑体" w:cs="黑体"/>
      <w:sz w:val="26"/>
      <w:szCs w:val="26"/>
    </w:rPr>
  </w:style>
  <w:style w:type="paragraph" w:styleId="1080" w:customStyle="1">
    <w:name w:val="Char"/>
    <w:basedOn w:val="969"/>
    <w:uiPriority w:val="0"/>
    <w:qFormat/>
    <w:pPr>
      <w:ind w:left="420" w:hanging="420"/>
      <w:tabs>
        <w:tab w:val="left" w:pos="420" w:leader="none"/>
      </w:tabs>
    </w:pPr>
    <w:rPr>
      <w:sz w:val="24"/>
    </w:rPr>
  </w:style>
  <w:style w:type="paragraph" w:styleId="1081" w:customStyle="1">
    <w:name w:val="Char Char Char Char Char Char Char Char Char1 Char"/>
    <w:basedOn w:val="982"/>
    <w:uiPriority w:val="0"/>
    <w:qFormat/>
    <w:pPr>
      <w:spacing w:line="360" w:lineRule="auto"/>
    </w:pPr>
    <w:rPr>
      <w:rFonts w:ascii="Tahoma" w:hAnsi="Tahoma"/>
      <w:sz w:val="24"/>
    </w:rPr>
  </w:style>
  <w:style w:type="paragraph" w:styleId="1082" w:customStyle="1">
    <w:name w:val="纯文本11"/>
    <w:basedOn w:val="969"/>
    <w:next w:val="997"/>
    <w:uiPriority w:val="0"/>
    <w:qFormat/>
    <w:rPr>
      <w:rFonts w:ascii="宋体" w:hAnsi="Courier New" w:eastAsia="楷体_GB2312"/>
      <w:sz w:val="28"/>
      <w:szCs w:val="20"/>
    </w:rPr>
  </w:style>
  <w:style w:type="paragraph" w:styleId="1083" w:customStyle="1">
    <w:name w:val="UserStyle_7"/>
    <w:next w:val="969"/>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84" w:customStyle="1">
    <w:name w:val="Char Char Char"/>
    <w:basedOn w:val="982"/>
    <w:uiPriority w:val="0"/>
    <w:qFormat/>
    <w:pPr>
      <w:spacing w:line="360" w:lineRule="auto"/>
    </w:pPr>
    <w:rPr>
      <w:rFonts w:ascii="Tahoma" w:hAnsi="Tahoma"/>
      <w:sz w:val="24"/>
    </w:rPr>
  </w:style>
  <w:style w:type="paragraph" w:styleId="1085" w:customStyle="1">
    <w:name w:val="图名"/>
    <w:basedOn w:val="969"/>
    <w:uiPriority w:val="0"/>
    <w:qFormat/>
    <w:pPr>
      <w:jc w:val="center"/>
    </w:pPr>
    <w:rPr>
      <w:rFonts w:ascii="宋体" w:hAnsi="宋体"/>
      <w:b/>
      <w:szCs w:val="22"/>
    </w:rPr>
  </w:style>
  <w:style w:type="paragraph" w:styleId="1086" w:customStyle="1">
    <w:name w:val="格式３"/>
    <w:basedOn w:val="969"/>
    <w:uiPriority w:val="0"/>
    <w:qFormat/>
    <w:pPr>
      <w:ind w:left="600" w:hanging="600"/>
      <w:spacing w:line="420" w:lineRule="exact"/>
    </w:pPr>
    <w:rPr>
      <w:rFonts w:ascii="宋体" w:hAnsi="宋体"/>
      <w:color w:val="000000"/>
      <w:sz w:val="24"/>
      <w:szCs w:val="20"/>
    </w:rPr>
  </w:style>
  <w:style w:type="paragraph" w:styleId="1087" w:customStyle="1">
    <w:name w:val="xl44"/>
    <w:basedOn w:val="969"/>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8" w:customStyle="1">
    <w:name w:val="Char Char Char Char Char Char Char Char Char Char"/>
    <w:basedOn w:val="969"/>
    <w:uiPriority w:val="0"/>
    <w:qFormat/>
    <w:pPr>
      <w:ind w:left="420" w:hanging="420"/>
      <w:tabs>
        <w:tab w:val="left" w:pos="420" w:leader="none"/>
      </w:tabs>
    </w:pPr>
    <w:rPr>
      <w:sz w:val="24"/>
    </w:rPr>
  </w:style>
  <w:style w:type="paragraph" w:styleId="1089" w:customStyle="1">
    <w:name w:val="图片"/>
    <w:basedOn w:val="969"/>
    <w:uiPriority w:val="0"/>
    <w:qFormat/>
    <w:pPr>
      <w:jc w:val="center"/>
      <w:spacing w:line="360" w:lineRule="auto"/>
    </w:pPr>
    <w:rPr>
      <w:b/>
      <w:szCs w:val="22"/>
    </w:rPr>
  </w:style>
  <w:style w:type="paragraph" w:styleId="1090" w:customStyle="1">
    <w:name w:val="纯文本2"/>
    <w:basedOn w:val="969"/>
    <w:uiPriority w:val="0"/>
    <w:qFormat/>
    <w:pPr>
      <w:jc w:val="left"/>
      <w:widowControl/>
    </w:pPr>
    <w:rPr>
      <w:rFonts w:ascii="宋体" w:hAnsi="Courier New" w:eastAsia="楷体_GB2312"/>
      <w:sz w:val="26"/>
      <w:szCs w:val="20"/>
    </w:rPr>
  </w:style>
  <w:style w:type="paragraph" w:styleId="1091"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92" w:customStyle="1">
    <w:name w:val="Char Char Char Char Char Char Char"/>
    <w:basedOn w:val="969"/>
    <w:uiPriority w:val="0"/>
    <w:qFormat/>
  </w:style>
  <w:style w:type="paragraph" w:styleId="1093" w:customStyle="1">
    <w:name w:val="Char Char Char Char"/>
    <w:basedOn w:val="982"/>
    <w:uiPriority w:val="0"/>
    <w:qFormat/>
    <w:pPr>
      <w:spacing w:line="360" w:lineRule="auto"/>
    </w:pPr>
    <w:rPr>
      <w:sz w:val="24"/>
      <w:szCs w:val="20"/>
    </w:rPr>
  </w:style>
  <w:style w:type="paragraph" w:styleId="1094" w:customStyle="1">
    <w:name w:val="TOC 标题1"/>
    <w:basedOn w:val="970"/>
    <w:next w:val="969"/>
    <w:uiPriority w:val="0"/>
    <w:qFormat/>
    <w:pPr>
      <w:jc w:val="left"/>
      <w:spacing w:before="480" w:after="0" w:line="276" w:lineRule="auto"/>
      <w:widowControl/>
      <w:outlineLvl w:val="9"/>
    </w:pPr>
    <w:rPr>
      <w:rFonts w:ascii="Cambria" w:hAnsi="Cambria"/>
      <w:color w:val="365f91"/>
      <w:sz w:val="28"/>
      <w:szCs w:val="28"/>
    </w:rPr>
  </w:style>
  <w:style w:type="paragraph" w:styleId="1095" w:customStyle="1">
    <w:name w:val="Char1 Char Char Char"/>
    <w:basedOn w:val="969"/>
    <w:uiPriority w:val="0"/>
    <w:qFormat/>
    <w:rPr>
      <w:rFonts w:ascii="Tahoma" w:hAnsi="Tahoma"/>
      <w:sz w:val="24"/>
      <w:szCs w:val="20"/>
    </w:rPr>
  </w:style>
  <w:style w:type="paragraph" w:styleId="1096" w:customStyle="1">
    <w:name w:val="正文21"/>
    <w:basedOn w:val="969"/>
    <w:uiPriority w:val="0"/>
    <w:qFormat/>
    <w:pPr>
      <w:ind w:firstLine="200"/>
      <w:jc w:val="left"/>
      <w:spacing w:after="160" w:line="360" w:lineRule="auto"/>
      <w:widowControl/>
    </w:pPr>
    <w:rPr>
      <w:rFonts w:ascii="Verdana" w:hAnsi="Verdana" w:eastAsia="黑体"/>
      <w:szCs w:val="20"/>
      <w:lang w:eastAsia="en-US"/>
    </w:rPr>
  </w:style>
  <w:style w:type="paragraph" w:styleId="1097" w:customStyle="1">
    <w:name w:val="纯文本3"/>
    <w:basedOn w:val="969"/>
    <w:uiPriority w:val="0"/>
    <w:qFormat/>
    <w:rPr>
      <w:rFonts w:ascii="宋体" w:hAnsi="Courier New" w:eastAsia="楷体_GB2312"/>
      <w:sz w:val="28"/>
      <w:szCs w:val="20"/>
    </w:rPr>
  </w:style>
  <w:style w:type="paragraph" w:styleId="109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100">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101" w:customStyle="1">
    <w:name w:val="font11"/>
    <w:basedOn w:val="975"/>
    <w:uiPriority w:val="0"/>
    <w:qFormat/>
    <w:rPr>
      <w:rFonts w:hint="eastAsia" w:ascii="宋体" w:hAnsi="宋体" w:eastAsia="宋体" w:cs="宋体"/>
      <w:color w:val="000000"/>
      <w:sz w:val="21"/>
      <w:szCs w:val="21"/>
      <w:u w:val="none"/>
    </w:rPr>
  </w:style>
  <w:style w:type="paragraph" w:styleId="1102" w:customStyle="1">
    <w:name w:val="_Style 30"/>
    <w:basedOn w:val="969"/>
    <w:next w:val="990"/>
    <w:uiPriority w:val="0"/>
    <w:qFormat/>
    <w:rPr>
      <w:rFonts w:ascii="宋体" w:hAnsi="Courier New"/>
    </w:rPr>
  </w:style>
  <w:style w:type="paragraph" w:styleId="110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104" w:customStyle="1">
    <w:name w:val="fontstrikethrough"/>
    <w:basedOn w:val="975"/>
    <w:uiPriority w:val="0"/>
    <w:qFormat/>
    <w:rPr>
      <w:strike/>
    </w:rPr>
  </w:style>
  <w:style w:type="character" w:styleId="1105" w:customStyle="1">
    <w:name w:val="fontborder"/>
    <w:basedOn w:val="975"/>
    <w:uiPriority w:val="0"/>
    <w:qFormat/>
  </w:style>
  <w:style w:type="paragraph" w:styleId="1106">
    <w:name w:val="List Paragraph"/>
    <w:basedOn w:val="969"/>
    <w:uiPriority w:val="99"/>
    <w:qFormat/>
    <w:pPr>
      <w:ind w:firstLine="420"/>
    </w:pPr>
  </w:style>
  <w:style w:type="paragraph" w:styleId="1107"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08" w:customStyle="1">
    <w:name w:val="表格文字"/>
    <w:basedOn w:val="984"/>
    <w:next w:val="984"/>
    <w:uiPriority w:val="0"/>
    <w:qFormat/>
    <w:pPr>
      <w:jc w:val="left"/>
      <w:spacing w:line="420" w:lineRule="atLeast"/>
    </w:pPr>
    <w:rPr>
      <w:szCs w:val="20"/>
    </w:rPr>
  </w:style>
  <w:style w:type="paragraph" w:styleId="1109" w:customStyle="1">
    <w:name w:val="Table Paragraph"/>
    <w:basedOn w:val="969"/>
    <w:uiPriority w:val="1"/>
    <w:qFormat/>
    <w:pPr>
      <w:jc w:val="left"/>
    </w:pPr>
    <w:rPr>
      <w:rFonts w:ascii="宋体" w:hAnsi="宋体" w:cs="宋体"/>
      <w:sz w:val="22"/>
      <w:szCs w:val="22"/>
      <w:lang w:val="zh-CN" w:bidi="zh-CN"/>
    </w:rPr>
  </w:style>
  <w:style w:type="paragraph" w:styleId="1110" w:customStyle="1">
    <w:name w:val="纯文本5"/>
    <w:basedOn w:val="969"/>
    <w:uiPriority w:val="0"/>
    <w:qFormat/>
    <w:rPr>
      <w:rFonts w:ascii="宋体" w:hAnsi="Courier New" w:eastAsia="楷体_GB2312"/>
      <w:sz w:val="26"/>
      <w:szCs w:val="20"/>
    </w:rPr>
  </w:style>
  <w:style w:type="paragraph" w:styleId="1111" w:customStyle="1">
    <w:name w:val="纯文本6"/>
    <w:basedOn w:val="969"/>
    <w:uiPriority w:val="0"/>
    <w:qFormat/>
    <w:rPr>
      <w:rFonts w:ascii="宋体" w:hAnsi="Courier New" w:eastAsia="楷体_GB2312"/>
      <w:sz w:val="26"/>
    </w:rPr>
  </w:style>
  <w:style w:type="paragraph" w:styleId="1112" w:customStyle="1">
    <w:name w:val="列出段落3"/>
    <w:basedOn w:val="969"/>
    <w:uiPriority w:val="0"/>
    <w:qFormat/>
    <w:pPr>
      <w:ind w:firstLine="420"/>
    </w:pPr>
    <w:rPr>
      <w:rFonts w:ascii="Calibri" w:hAnsi="Calibri"/>
      <w:szCs w:val="22"/>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戴亚丽</cp:lastModifiedBy>
  <cp:revision>30</cp:revision>
  <dcterms:created xsi:type="dcterms:W3CDTF">2021-12-24T05:09:00Z</dcterms:created>
  <dcterms:modified xsi:type="dcterms:W3CDTF">2026-05-27T08:18:58Z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E8FA64BA929F4AE5AFD0C6CBA00C806B_13</vt:lpwstr>
  </property>
  <property fmtid="{D5CDD505-2E9C-101B-9397-08002B2CF9AE}" pid="4" name="KSOTemplateDocerSaveRecord">
    <vt:lpwstr>eyJoZGlkIjoiNTAwZDBhMjFmYWZkMGI5ZDUxYmY4OTQ4NGJlZDU4YjIiLCJ1c2VySWQiOiIzMjgwNzUwMDIifQ==</vt:lpwstr>
  </property>
</Properties>
</file>