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p>
    <w:p>
      <w:pPr>
        <w:jc w:val="center"/>
        <w:spacing w:before="120" w:after="120"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b w:val="0"/>
          <w:bCs w:val="0"/>
          <w:color w:val="000000" w:themeColor="text1"/>
          <w:sz w:val="32"/>
          <w:szCs w:val="24"/>
          <w:highlight w:val="none"/>
          <w14:textFill>
            <w14:solidFill>
              <w14:schemeClr w14:val="tx1"/>
            </w14:solidFill>
          </w14:textFill>
        </w:rPr>
        <w:t xml:space="preserve">南通市田家炳初级中学新建食堂风雨操场综合楼食堂厨具（含桌凳）设备和安装采购项目</w:t>
      </w:r>
      <w:r/>
    </w:p>
    <w:p>
      <w:pPr>
        <w:jc w:val="left"/>
        <w:spacing w:before="120" w:after="120" w:line="360" w:lineRule="auto"/>
        <w:rPr>
          <w:rFonts w:hint="eastAsia"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r>
      <w:r/>
    </w:p>
    <w:p>
      <w:pPr>
        <w:jc w:val="center"/>
        <w:spacing w:line="1000" w:lineRule="exact"/>
        <w:rPr>
          <w:rFonts w:hint="default"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JSZC-320600-JZCG-G202</w:t>
      </w:r>
      <w:r>
        <w:rPr>
          <w:rFonts w:hint="eastAsia" w:ascii="宋体" w:hAnsi="宋体" w:cs="宋体"/>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宋体" w:hAnsi="宋体" w:cs="宋体"/>
          <w:color w:val="000000" w:themeColor="text1"/>
          <w:sz w:val="32"/>
          <w:szCs w:val="32"/>
          <w:highlight w:val="none"/>
          <w:lang w:val="en-US" w:eastAsia="zh-CN"/>
          <w14:textFill>
            <w14:solidFill>
              <w14:schemeClr w14:val="tx1"/>
            </w14:solidFill>
          </w14:textFill>
        </w:rPr>
        <w:t xml:space="preserve">0052</w:t>
      </w:r>
      <w:r/>
    </w:p>
    <w:p>
      <w:pPr>
        <w:ind w:left="3012" w:hanging="3012"/>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9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pStyle w:val="999"/>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pStyle w:val="999"/>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2720"/>
        <w:spacing w:line="360" w:lineRule="auto"/>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 xml:space="preserve">南通市教育技术中心</w:t>
      </w:r>
      <w:r/>
    </w:p>
    <w:p>
      <w:pPr>
        <w:jc w:val="center"/>
        <w:spacing w:before="120" w:after="120" w:line="360" w:lineRule="auto"/>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 xml:space="preserve">202</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年</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月</w:t>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20823272"/>
      <w:r/>
      <w:bookmarkStart w:id="2" w:name="_Toc16938516"/>
      <w:r/>
      <w:bookmarkStart w:id="3" w:name="_Toc479757206"/>
      <w:r/>
      <w:bookmarkStart w:id="4" w:name="_Toc523127445"/>
      <w:r/>
      <w:bookmarkStart w:id="5" w:name="_Toc513029200"/>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b/>
          <w:color w:val="000000" w:themeColor="text1"/>
          <w:sz w:val="40"/>
          <w:szCs w:val="44"/>
          <w:highlight w:val="none"/>
          <w14:textFill>
            <w14:solidFill>
              <w14:schemeClr w14:val="tx1"/>
            </w14:solidFill>
          </w14:textFill>
        </w:rPr>
        <w:fldChar w:fldCharType="begin"/>
      </w:r>
      <w:r>
        <w:rPr>
          <w:rFonts w:hint="eastAsia" w:ascii="黑体" w:hAnsi="黑体" w:eastAsia="黑体" w:cs="黑体"/>
          <w:b/>
          <w:color w:val="000000" w:themeColor="text1"/>
          <w:sz w:val="40"/>
          <w:szCs w:val="44"/>
          <w:highlight w:val="none"/>
          <w14:textFill>
            <w14:solidFill>
              <w14:schemeClr w14:val="tx1"/>
            </w14:solidFill>
          </w14:textFill>
        </w:rPr>
        <w:instrText xml:space="preserve"> TOC \o "1-1" \h \z \u </w:instrText>
      </w:r>
      <w:r>
        <w:rPr>
          <w:rFonts w:hint="eastAsia" w:ascii="黑体" w:hAnsi="黑体" w:eastAsia="黑体" w:cs="黑体"/>
          <w:b/>
          <w:color w:val="000000" w:themeColor="text1"/>
          <w:sz w:val="40"/>
          <w:szCs w:val="44"/>
          <w:highlight w:val="none"/>
          <w14:textFill>
            <w14:solidFill>
              <w14:schemeClr w14:val="tx1"/>
            </w14:solidFill>
          </w14:textFill>
        </w:rPr>
        <w:fldChar w:fldCharType="separate"/>
      </w: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_Toc13312 </w:instrText>
      </w:r>
      <w:r>
        <w:rPr>
          <w:rFonts w:hint="eastAsia" w:ascii="黑体" w:hAnsi="黑体" w:eastAsia="黑体" w:cs="黑体"/>
          <w:sz w:val="40"/>
          <w:szCs w:val="44"/>
          <w:highlight w:val="none"/>
        </w:rPr>
        <w:fldChar w:fldCharType="separate"/>
      </w:r>
      <w:r>
        <w:rPr>
          <w:rFonts w:hint="eastAsia" w:ascii="黑体" w:hAnsi="黑体" w:eastAsia="黑体" w:cs="黑体"/>
          <w:sz w:val="40"/>
          <w:szCs w:val="52"/>
          <w:highlight w:val="none"/>
        </w:rPr>
        <w:t xml:space="preserve">第一章  投标邀请</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_Toc13312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1</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_Toc28074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52"/>
          <w:highlight w:val="none"/>
        </w:rPr>
        <w:t xml:space="preserve">第二章  投标人须知</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_Toc28074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6</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_Toc27420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第三章  合同文本</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_Toc27420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24</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_Toc21863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24"/>
          <w:highlight w:val="none"/>
        </w:rPr>
        <w:t xml:space="preserve">第四章  采购需求</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_Toc21863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40</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_Toc2258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第五章  评标方法与评标标准</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_Toc2258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78</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pStyle w:val="1010"/>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_Toc2329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第六章  投标文件格式</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_Toc2329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85</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keepLines w:val="0"/>
        <w:keepNext w:val="0"/>
        <w:pageBreakBefore w:val="0"/>
        <w:spacing w:line="360" w:lineRule="auto"/>
        <w:widowControl w:val="off"/>
        <w:rPr>
          <w:rFonts w:hint="eastAsia" w:ascii="黑体" w:hAnsi="黑体" w:eastAsia="黑体" w:cs="黑体"/>
          <w:color w:val="000000" w:themeColor="text1"/>
          <w:sz w:val="40"/>
          <w:szCs w:val="24"/>
          <w:highlight w:val="none"/>
          <w14:textFill>
            <w14:solidFill>
              <w14:schemeClr w14:val="tx1"/>
            </w14:solidFill>
          </w14:textFill>
        </w:rPr>
      </w:pPr>
      <w:r>
        <w:rPr>
          <w:rFonts w:hint="eastAsia" w:ascii="黑体" w:hAnsi="黑体" w:eastAsia="黑体" w:cs="黑体"/>
          <w:color w:val="000000" w:themeColor="text1"/>
          <w:sz w:val="40"/>
          <w:szCs w:val="44"/>
          <w:highlight w:val="none"/>
          <w14:textFill>
            <w14:solidFill>
              <w14:schemeClr w14:val="tx1"/>
            </w14:solidFill>
          </w14:textFill>
        </w:rPr>
        <w:fldChar w:fldCharType="end"/>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rPr>
          <w:rFonts w:hint="eastAsia"/>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14:textFill>
            <w14:solidFill>
              <w14:schemeClr w14:val="tx1"/>
            </w14:solidFill>
          </w14:textFill>
        </w:rPr>
      </w:r>
      <w:r/>
    </w:p>
    <w:p>
      <w:pPr>
        <w:jc w:val="center"/>
        <w:keepNext/>
        <w:rPr>
          <w:rFonts w:hint="eastAsia" w:ascii="黑体" w:eastAsia="黑体"/>
          <w:bCs/>
          <w:color w:val="000000" w:themeColor="text1"/>
          <w:sz w:val="44"/>
          <w:szCs w:val="44"/>
          <w:highlight w:val="none"/>
          <w14:textFill>
            <w14:solidFill>
              <w14:schemeClr w14:val="tx1"/>
            </w14:solidFill>
          </w14:textFill>
        </w:rPr>
        <w:outlineLvl w:val="0"/>
      </w:pPr>
      <w:r/>
      <w:bookmarkStart w:id="6" w:name="_Toc13312"/>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6"/>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受南通市田家炳初级中学的委托，南通市教育技术中心就南通市田家炳初级中学新建食堂风雨操场综合楼食堂厨具（含桌凳）设备和安装采购项目</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JSZC-320600-JZCG-G</w:t>
      </w:r>
      <w:r>
        <w:rPr>
          <w:rFonts w:hint="eastAsia" w:ascii="仿宋" w:hAnsi="仿宋" w:eastAsia="仿宋"/>
          <w:color w:val="000000" w:themeColor="text1"/>
          <w:sz w:val="28"/>
          <w:szCs w:val="28"/>
          <w:highlight w:val="none"/>
          <w:lang w:eastAsia="zh-CN"/>
          <w14:textFill>
            <w14:solidFill>
              <w14:schemeClr w14:val="tx1"/>
            </w14:solidFill>
          </w14:textFill>
        </w:rPr>
        <w:t xml:space="preserve">2026-0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052）</w:t>
      </w:r>
      <w:r>
        <w:rPr>
          <w:rFonts w:hint="eastAsia" w:ascii="仿宋" w:hAnsi="仿宋" w:eastAsia="仿宋"/>
          <w:color w:val="000000" w:themeColor="text1"/>
          <w:sz w:val="28"/>
          <w:szCs w:val="28"/>
          <w:highlight w:val="none"/>
          <w14:textFill>
            <w14:solidFill>
              <w14:schemeClr w14:val="tx1"/>
            </w14:solidFill>
          </w14:textFill>
        </w:rPr>
        <w:t xml:space="preserve">进行公开招标采购，欢迎符合条件的供应商投标。</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项目概况</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u w:val="single"/>
          <w:lang w:eastAsia="zh-CN"/>
          <w14:textFill>
            <w14:solidFill>
              <w14:schemeClr w14:val="tx1"/>
            </w14:solidFill>
          </w14:textFill>
        </w:rPr>
        <w:t xml:space="preserve">南通市田家炳初级中学新建食堂风雨操场综合楼食堂厨具（含桌凳）设备和安装采购项目</w:t>
      </w:r>
      <w:r>
        <w:rPr>
          <w:rFonts w:hint="eastAsia" w:ascii="仿宋" w:hAnsi="仿宋" w:eastAsia="仿宋"/>
          <w:color w:val="000000" w:themeColor="text1"/>
          <w:sz w:val="28"/>
          <w:szCs w:val="28"/>
          <w:highlight w:val="none"/>
          <w14:textFill>
            <w14:solidFill>
              <w14:schemeClr w14:val="tx1"/>
            </w14:solidFill>
          </w14:textFill>
        </w:rPr>
        <w:t xml:space="preserve">的潜在投标人可在</w:t>
      </w:r>
      <w:r>
        <w:rPr>
          <w:rFonts w:hint="eastAsia" w:ascii="仿宋" w:hAnsi="仿宋" w:eastAsia="仿宋"/>
          <w:color w:val="000000" w:themeColor="text1"/>
          <w:sz w:val="28"/>
          <w:szCs w:val="28"/>
          <w:highlight w:val="none"/>
          <w:u w:val="single"/>
          <w14:textFill>
            <w14:solidFill>
              <w14:schemeClr w14:val="tx1"/>
            </w14:solidFill>
          </w14:textFill>
        </w:rPr>
        <w:t xml:space="preserve">“江苏政府采购网”自行免费下载</w:t>
      </w:r>
      <w:r>
        <w:rPr>
          <w:rFonts w:hint="eastAsia" w:ascii="仿宋" w:hAnsi="仿宋" w:eastAsia="仿宋"/>
          <w:color w:val="000000" w:themeColor="text1"/>
          <w:sz w:val="28"/>
          <w:szCs w:val="28"/>
          <w:highlight w:val="none"/>
          <w14:textFill>
            <w14:solidFill>
              <w14:schemeClr w14:val="tx1"/>
            </w14:solidFill>
          </w14:textFill>
        </w:rPr>
        <w:t xml:space="preserve">招标文件，并于</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6</w:t>
      </w:r>
      <w:r>
        <w:rPr>
          <w:rFonts w:hint="eastAsia" w:ascii="仿宋" w:hAnsi="仿宋" w:eastAsia="仿宋"/>
          <w:bCs/>
          <w:color w:val="000000" w:themeColor="text1"/>
          <w:sz w:val="28"/>
          <w:szCs w:val="28"/>
          <w:highlight w:val="none"/>
          <w:u w:val="single"/>
          <w14:textFill>
            <w14:solidFill>
              <w14:schemeClr w14:val="tx1"/>
            </w14:solidFill>
          </w14:textFill>
        </w:rPr>
        <w:t xml:space="preserve">年7月13日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14:textFill>
            <w14:solidFill>
              <w14:schemeClr w14:val="tx1"/>
            </w14:solidFill>
          </w14:textFill>
        </w:rPr>
        <w:t xml:space="preserve">北京时间）前递交投标</w:t>
      </w:r>
      <w:r>
        <w:rPr>
          <w:rFonts w:ascii="仿宋" w:hAnsi="仿宋" w:eastAsia="仿宋"/>
          <w:bCs/>
          <w:color w:val="000000" w:themeColor="text1"/>
          <w:sz w:val="28"/>
          <w:szCs w:val="28"/>
          <w:highlight w:val="none"/>
          <w14:textFill>
            <w14:solidFill>
              <w14:schemeClr w14:val="tx1"/>
            </w14:solidFill>
          </w14:textFill>
        </w:rPr>
        <w:t xml:space="preserve">文件</w:t>
      </w:r>
      <w:r>
        <w:rPr>
          <w:rFonts w:hint="eastAsia" w:ascii="仿宋" w:hAnsi="仿宋" w:eastAsia="仿宋"/>
          <w:color w:val="000000" w:themeColor="text1"/>
          <w:sz w:val="28"/>
          <w:szCs w:val="28"/>
          <w:highlight w:val="none"/>
          <w14:textFill>
            <w14:solidFill>
              <w14:schemeClr w14:val="tx1"/>
            </w14:solidFill>
          </w14:textFill>
        </w:rPr>
        <w:t xml:space="preserve">。</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7" w:name="_Toc38985263"/>
      <w:r/>
      <w:bookmarkStart w:id="8" w:name="_Toc28359002"/>
      <w:r/>
      <w:bookmarkStart w:id="9" w:name="_Toc28359079"/>
      <w:r/>
      <w:bookmarkStart w:id="10" w:name="_Toc35393621"/>
      <w:r/>
      <w:bookmarkStart w:id="11" w:name="_Toc35393790"/>
      <w:r/>
      <w:bookmarkStart w:id="12" w:name="_Hlk24379207"/>
      <w:r>
        <w:rPr>
          <w:rFonts w:hint="eastAsia" w:ascii="仿宋" w:hAnsi="仿宋" w:eastAsia="仿宋"/>
          <w:b/>
          <w:bCs/>
          <w:color w:val="000000" w:themeColor="text1"/>
          <w:sz w:val="28"/>
          <w:szCs w:val="28"/>
          <w:highlight w:val="none"/>
          <w14:textFill>
            <w14:solidFill>
              <w14:schemeClr w14:val="tx1"/>
            </w14:solidFill>
          </w14:textFill>
        </w:rPr>
        <w:t xml:space="preserve">一、项目基本情况</w:t>
      </w:r>
      <w:bookmarkEnd w:id="7"/>
      <w:r/>
      <w:bookmarkEnd w:id="8"/>
      <w:r/>
      <w:bookmarkEnd w:id="9"/>
      <w:r/>
      <w:bookmarkEnd w:id="10"/>
      <w:r/>
      <w:bookmarkEnd w:id="11"/>
      <w:r/>
      <w:r/>
    </w:p>
    <w:p>
      <w:pPr>
        <w:ind w:firstLine="56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1.项目编号：JSZC-320600-JZCG-G202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0052</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2.项目名称：</w:t>
      </w:r>
      <w:bookmarkEnd w:id="12"/>
      <w:r>
        <w:rPr>
          <w:rFonts w:hint="eastAsia" w:ascii="仿宋" w:hAnsi="仿宋" w:eastAsia="仿宋"/>
          <w:color w:val="000000" w:themeColor="text1"/>
          <w:sz w:val="28"/>
          <w:szCs w:val="28"/>
          <w:highlight w:val="none"/>
          <w14:textFill>
            <w14:solidFill>
              <w14:schemeClr w14:val="tx1"/>
            </w14:solidFill>
          </w14:textFill>
        </w:rPr>
        <w:t xml:space="preserve">南通市田家炳初级中学新建食堂风雨操场综合楼食堂厨具（含桌凳）设备和安装采购项目</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3.预算金额：</w:t>
      </w:r>
      <w:bookmarkStart w:id="13" w:name="_Toc35393622"/>
      <w:r/>
      <w:bookmarkStart w:id="14" w:name="_Toc28359080"/>
      <w:r/>
      <w:bookmarkStart w:id="15" w:name="_Toc35393791"/>
      <w:r/>
      <w:bookmarkStart w:id="16" w:name="_Toc28359003"/>
      <w:r/>
      <w:bookmarkStart w:id="17" w:name="_Toc38985264"/>
      <w:r>
        <w:rPr>
          <w:rFonts w:hint="eastAsia" w:ascii="仿宋" w:hAnsi="仿宋" w:eastAsia="仿宋"/>
          <w:color w:val="000000" w:themeColor="text1"/>
          <w:sz w:val="28"/>
          <w:szCs w:val="28"/>
          <w:highlight w:val="none"/>
          <w14:textFill>
            <w14:solidFill>
              <w14:schemeClr w14:val="tx1"/>
            </w14:solidFill>
          </w14:textFill>
        </w:rPr>
        <w:t xml:space="preserve">275.42 万元</w:t>
      </w:r>
      <w:r/>
    </w:p>
    <w:p>
      <w:pPr>
        <w:ind w:firstLine="560"/>
        <w:pageBreakBefore w:val="0"/>
        <w:spacing w:line="5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4.最高限价：</w:t>
      </w:r>
      <w:r>
        <w:rPr>
          <w:rFonts w:hint="eastAsia" w:ascii="仿宋" w:hAnsi="仿宋" w:eastAsia="仿宋"/>
          <w:color w:val="000000" w:themeColor="text1"/>
          <w:sz w:val="28"/>
          <w:szCs w:val="28"/>
          <w:highlight w:val="none"/>
          <w14:textFill>
            <w14:solidFill>
              <w14:schemeClr w14:val="tx1"/>
            </w14:solidFill>
          </w14:textFill>
        </w:rPr>
        <w:t xml:space="preserve">275.42 万元</w:t>
      </w:r>
      <w:r/>
    </w:p>
    <w:p>
      <w:pPr>
        <w:ind w:firstLine="560"/>
        <w:spacing w:after="62" w:line="480" w:lineRule="exact"/>
        <w:rPr>
          <w:rFonts w:ascii="Times New Roman" w:hAnsi="Times New Roman" w:eastAsia="仿宋" w:cs="Times New Roman"/>
          <w:color w:val="000000"/>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5.采购需求（简介）：</w:t>
      </w:r>
      <w:r>
        <w:rPr>
          <w:rFonts w:ascii="Times New Roman" w:hAnsi="Times New Roman" w:eastAsia="仿宋" w:cs="Times New Roman"/>
          <w:color w:val="000000"/>
          <w:sz w:val="28"/>
          <w:szCs w:val="28"/>
          <w:highlight w:val="none"/>
        </w:rPr>
        <w:t xml:space="preserve">学校食堂设备采购项目，满足学校师生员工就餐需求。采购范围包括学校厨房设备的制作、运输、安装、摆放就位、检测、售后服务等，性能、材料、结构、外观、安全等技术参数详见清单。</w:t>
      </w:r>
      <w:r/>
    </w:p>
    <w:p>
      <w:pPr>
        <w:ind w:firstLine="560"/>
        <w:spacing w:after="62" w:line="480" w:lineRule="exact"/>
        <w:rPr>
          <w:rFonts w:ascii="仿宋" w:hAnsi="仿宋" w:eastAsia="仿宋"/>
          <w:color w:val="000000" w:themeColor="text1"/>
          <w:sz w:val="28"/>
          <w:szCs w:val="28"/>
          <w:highlight w:val="none"/>
          <w:u w:val="single"/>
          <w14:textFill>
            <w14:solidFill>
              <w14:schemeClr w14:val="tx1"/>
            </w14:solidFill>
          </w14:textFill>
        </w:rPr>
      </w:pPr>
      <w:r>
        <w:rPr>
          <w:rFonts w:ascii="Times New Roman" w:hAnsi="Times New Roman" w:eastAsia="仿宋" w:cs="Times New Roman"/>
          <w:color w:val="000000"/>
          <w:sz w:val="28"/>
          <w:szCs w:val="28"/>
          <w:highlight w:val="none"/>
        </w:rPr>
        <w:t xml:space="preserve">6.合同履行期限：签订合同后30天内完成供货安装调试，并通过采购人验收。</w:t>
      </w:r>
      <w:r/>
    </w:p>
    <w:p>
      <w:pPr>
        <w:pageBreakBefore w:val="0"/>
        <w:spacing w:line="56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bookmarkStart w:id="18" w:name="_Toc38985265"/>
      <w:r/>
      <w:bookmarkStart w:id="19" w:name="_Toc35393792"/>
      <w:r/>
      <w:bookmarkStart w:id="20" w:name="_Toc35393623"/>
      <w:r/>
      <w:bookmarkStart w:id="21" w:name="_Toc28359004"/>
      <w:r/>
      <w:bookmarkStart w:id="22" w:name="_Toc28359081"/>
      <w:r>
        <w:rPr>
          <w:rFonts w:hint="eastAsia" w:ascii="仿宋" w:hAnsi="仿宋" w:eastAsia="仿宋"/>
          <w:color w:val="000000" w:themeColor="text1"/>
          <w:sz w:val="28"/>
          <w:szCs w:val="28"/>
          <w:highlight w:val="none"/>
          <w14:textFill>
            <w14:solidFill>
              <w14:schemeClr w14:val="tx1"/>
            </w14:solidFill>
          </w14:textFill>
        </w:rPr>
        <w:t xml:space="preserve">（一</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通用</w:t>
      </w:r>
      <w:r>
        <w:rPr>
          <w:rFonts w:ascii="仿宋" w:hAnsi="仿宋" w:eastAsia="仿宋"/>
          <w:color w:val="000000" w:themeColor="text1"/>
          <w:sz w:val="28"/>
          <w:szCs w:val="28"/>
          <w:highlight w:val="none"/>
          <w14:textFill>
            <w14:solidFill>
              <w14:schemeClr w14:val="tx1"/>
            </w14:solidFill>
          </w14:textFill>
        </w:rPr>
        <w:t xml:space="preserve">资格要求</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提供声明函</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4.本项目不接受联合体投标。</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5.本项目不接受分包。</w:t>
      </w: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三、获取招标文件</w:t>
      </w:r>
      <w:bookmarkEnd w:id="18"/>
      <w:r/>
      <w:bookmarkEnd w:id="19"/>
      <w:r/>
      <w:bookmarkEnd w:id="20"/>
      <w:r/>
      <w:bookmarkEnd w:id="21"/>
      <w:r/>
      <w:bookmarkEnd w:id="22"/>
      <w:r/>
      <w:r/>
    </w:p>
    <w:p>
      <w:pPr>
        <w:ind w:firstLine="540"/>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bookmarkStart w:id="23" w:name="_Toc28359082"/>
      <w:r/>
      <w:bookmarkStart w:id="24" w:name="_Toc28359005"/>
      <w:r/>
      <w:bookmarkStart w:id="25" w:name="_Toc35393793"/>
      <w:r/>
      <w:bookmarkStart w:id="26" w:name="_Toc38985266"/>
      <w:r/>
      <w:bookmarkStart w:id="27" w:name="_Toc35393624"/>
      <w:r>
        <w:rPr>
          <w:rFonts w:hint="eastAsia" w:ascii="仿宋" w:hAnsi="仿宋" w:eastAsia="仿宋" w:cs="宋体"/>
          <w:color w:val="000000" w:themeColor="text1"/>
          <w:sz w:val="28"/>
          <w:szCs w:val="28"/>
          <w:highlight w:val="none"/>
          <w14:textFill>
            <w14:solidFill>
              <w14:schemeClr w14:val="tx1"/>
            </w14:solidFill>
          </w14:textFill>
        </w:rPr>
        <w:t xml:space="preserve">1.时间：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月18日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40"/>
        <w:pageBreakBefore w:val="0"/>
        <w:spacing w:line="560" w:lineRule="exact"/>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2.方式：在“江苏政府采购网”自行免费下载招标文件。</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四、提交投标文件</w:t>
      </w:r>
      <w:bookmarkEnd w:id="23"/>
      <w:r/>
      <w:bookmarkEnd w:id="24"/>
      <w:r>
        <w:rPr>
          <w:rFonts w:hint="eastAsia" w:ascii="仿宋" w:hAnsi="仿宋" w:eastAsia="仿宋"/>
          <w:b/>
          <w:bCs/>
          <w:color w:val="000000" w:themeColor="text1"/>
          <w:sz w:val="28"/>
          <w:szCs w:val="28"/>
          <w:highlight w:val="none"/>
          <w14:textFill>
            <w14:solidFill>
              <w14:schemeClr w14:val="tx1"/>
            </w14:solidFill>
          </w14:textFill>
        </w:rPr>
        <w:t xml:space="preserve">截止时间、开标时间和地点</w:t>
      </w:r>
      <w:bookmarkEnd w:id="25"/>
      <w:r/>
      <w:bookmarkEnd w:id="26"/>
      <w:r/>
      <w:bookmarkEnd w:id="27"/>
      <w:r/>
      <w:r/>
    </w:p>
    <w:p>
      <w:pPr>
        <w:ind w:firstLine="560"/>
        <w:pageBreakBefore w:val="0"/>
        <w:spacing w:line="560" w:lineRule="exact"/>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 xml:space="preserve">1.</w:t>
      </w:r>
      <w:r>
        <w:rPr>
          <w:rFonts w:hint="eastAsia" w:ascii="仿宋" w:hAnsi="仿宋" w:eastAsia="仿宋"/>
          <w:bCs/>
          <w:color w:val="000000" w:themeColor="text1"/>
          <w:sz w:val="28"/>
          <w:szCs w:val="28"/>
          <w:highlight w:val="none"/>
          <w:u w:val="single"/>
          <w:lang w:eastAsia="zh-CN"/>
          <w14:textFill>
            <w14:solidFill>
              <w14:schemeClr w14:val="tx1"/>
            </w14:solidFill>
          </w14:textFill>
        </w:rPr>
        <w:t xml:space="preserve">2026</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7</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13</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0分</w:t>
      </w:r>
      <w:r>
        <w:rPr>
          <w:rFonts w:hint="eastAsia" w:ascii="仿宋" w:hAnsi="仿宋" w:eastAsia="仿宋"/>
          <w:bCs/>
          <w:color w:val="000000" w:themeColor="text1"/>
          <w:sz w:val="28"/>
          <w:szCs w:val="28"/>
          <w:highlight w:val="none"/>
          <w14:textFill>
            <w14:solidFill>
              <w14:schemeClr w14:val="tx1"/>
            </w14:solidFill>
          </w14:textFill>
        </w:rPr>
        <w:t xml:space="preserve">（北京时间）</w:t>
      </w:r>
      <w:r/>
    </w:p>
    <w:p>
      <w:pPr>
        <w:ind w:firstLine="560"/>
        <w:pageBreakBefore w:val="0"/>
        <w:spacing w:line="560" w:lineRule="exact"/>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2.地点：“苏采云”政府采购交易系统网上开标大厅</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28" w:name="_Toc35393794"/>
      <w:r/>
      <w:bookmarkStart w:id="29" w:name="_Toc28359084"/>
      <w:r/>
      <w:bookmarkStart w:id="30" w:name="_Toc35393625"/>
      <w:r/>
      <w:bookmarkStart w:id="31" w:name="_Toc38985267"/>
      <w:r/>
      <w:bookmarkStart w:id="32" w:name="_Toc28359007"/>
      <w:r>
        <w:rPr>
          <w:rFonts w:hint="eastAsia" w:ascii="仿宋" w:hAnsi="仿宋" w:eastAsia="仿宋"/>
          <w:b/>
          <w:bCs/>
          <w:color w:val="000000" w:themeColor="text1"/>
          <w:sz w:val="28"/>
          <w:szCs w:val="28"/>
          <w:highlight w:val="none"/>
          <w14:textFill>
            <w14:solidFill>
              <w14:schemeClr w14:val="tx1"/>
            </w14:solidFill>
          </w14:textFill>
        </w:rPr>
        <w:t xml:space="preserve">五、公告期限</w:t>
      </w:r>
      <w:bookmarkEnd w:id="28"/>
      <w:r/>
      <w:bookmarkEnd w:id="29"/>
      <w:r/>
      <w:bookmarkEnd w:id="30"/>
      <w:r/>
      <w:bookmarkEnd w:id="31"/>
      <w:r/>
      <w:bookmarkEnd w:id="32"/>
      <w:r/>
      <w:r/>
    </w:p>
    <w:p>
      <w:pPr>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bookmarkStart w:id="33" w:name="_Toc35393626"/>
      <w:r/>
      <w:bookmarkStart w:id="34" w:name="_Toc35393795"/>
      <w:r/>
      <w:bookmarkStart w:id="35" w:name="_Toc38985268"/>
      <w:r>
        <w:rPr>
          <w:rFonts w:hint="eastAsia" w:ascii="仿宋" w:hAnsi="仿宋" w:eastAsia="仿宋" w:cs="宋体"/>
          <w:color w:val="000000" w:themeColor="text1"/>
          <w:sz w:val="28"/>
          <w:szCs w:val="28"/>
          <w:highlight w:val="none"/>
          <w14:textFill>
            <w14:solidFill>
              <w14:schemeClr w14:val="tx1"/>
            </w14:solidFill>
          </w14:textFill>
        </w:rPr>
        <w:t xml:space="preserve">招标公告及招标文件公告期限为自本公告发布之日起5个工作日。</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六、其他补充事宜</w:t>
      </w:r>
      <w:bookmarkEnd w:id="33"/>
      <w:r/>
      <w:bookmarkEnd w:id="34"/>
      <w:r/>
      <w:bookmarkEnd w:id="35"/>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ascii="仿宋" w:hAnsi="仿宋" w:eastAsia="仿宋" w:cs="宋体"/>
          <w:color w:val="000000" w:themeColor="text1"/>
          <w:sz w:val="28"/>
          <w:szCs w:val="28"/>
          <w:highlight w:val="none"/>
          <w14:textFill>
            <w14:solidFill>
              <w14:schemeClr w14:val="tx1"/>
            </w14:solidFill>
          </w14:textFill>
        </w:rPr>
        <w:t xml:space="preserve">投标保证金：免收</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ascii="仿宋" w:hAnsi="仿宋" w:eastAsia="仿宋" w:cs="宋体"/>
          <w:color w:val="000000" w:themeColor="text1"/>
          <w:sz w:val="28"/>
          <w:szCs w:val="28"/>
          <w:highlight w:val="none"/>
          <w14:textFill>
            <w14:solidFill>
              <w14:schemeClr w14:val="tx1"/>
            </w14:solidFill>
          </w14:textFill>
        </w:rPr>
        <w:t xml:space="preserve">项目演示、样品、答辩等：</w:t>
      </w:r>
      <w:r>
        <w:rPr>
          <w:rFonts w:hint="eastAsia" w:ascii="仿宋" w:hAnsi="仿宋" w:eastAsia="仿宋" w:cs="宋体"/>
          <w:color w:val="000000" w:themeColor="text1"/>
          <w:sz w:val="28"/>
          <w:szCs w:val="28"/>
          <w:highlight w:val="none"/>
          <w14:textFill>
            <w14:solidFill>
              <w14:schemeClr w14:val="tx1"/>
            </w14:solidFill>
          </w14:textFill>
        </w:rPr>
        <w:t xml:space="preserve">详见采购文件</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4.有关本次招标的事项若存在变动或修改，均以江苏政府采购网发布的更正或补充通知为准，敬请及时关注。</w:t>
      </w: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6.“苏采云”系统使用相关提醒</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right="119"/>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http://www.ccgp-jiangsu.gov.cn/jiangsu/zlxz/ee/ee3a4bc5a3454aa2b0d9312230633ce9.html</w:t>
      </w: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6.2领取CA和办理电子签章请至南通市政务服务中心裙楼四楼（南通市公共资源交</w:t>
      </w:r>
      <w:r>
        <w:rPr>
          <w:rFonts w:hint="eastAsia" w:ascii="仿宋" w:hAnsi="仿宋" w:eastAsia="仿宋" w:cs="宋体"/>
          <w:bCs/>
          <w:color w:val="000000" w:themeColor="text1"/>
          <w:sz w:val="28"/>
          <w:szCs w:val="28"/>
          <w:highlight w:val="none"/>
          <w:lang w:val="en-US" w:eastAsia="zh-CN"/>
          <w14:textFill>
            <w14:solidFill>
              <w14:schemeClr w14:val="tx1"/>
            </w14:solidFill>
          </w14:textFill>
        </w:rPr>
        <w:t xml:space="preserve">易</w:t>
      </w:r>
      <w:r>
        <w:rPr>
          <w:rFonts w:hint="eastAsia" w:ascii="仿宋" w:hAnsi="仿宋" w:eastAsia="仿宋" w:cs="宋体"/>
          <w:bCs/>
          <w:color w:val="000000" w:themeColor="text1"/>
          <w:sz w:val="28"/>
          <w:szCs w:val="28"/>
          <w:highlight w:val="none"/>
          <w14:textFill>
            <w14:solidFill>
              <w14:schemeClr w14:val="tx1"/>
            </w14:solidFill>
          </w14:textFill>
        </w:rPr>
        <w:t xml:space="preserve">中心）CA办理窗口办理，详见《江苏省政府采购数字证书</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bCs/>
          <w:color w:val="000000" w:themeColor="text1"/>
          <w:sz w:val="28"/>
          <w:szCs w:val="28"/>
          <w:highlight w:val="none"/>
          <w14:textFill>
            <w14:solidFill>
              <w14:schemeClr w14:val="tx1"/>
            </w14:solidFill>
          </w14:textFill>
        </w:rPr>
        <w:t xml:space="preserve">供应商</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Cs/>
          <w:color w:val="000000" w:themeColor="text1"/>
          <w:sz w:val="28"/>
          <w:szCs w:val="28"/>
          <w:highlight w:val="none"/>
          <w14:textFill>
            <w14:solidFill>
              <w14:schemeClr w14:val="tx1"/>
            </w14:solidFill>
          </w14:textFill>
        </w:rPr>
        <w:t xml:space="preserve">CA</w:t>
      </w:r>
      <w:r>
        <w:rPr>
          <w:rFonts w:hint="eastAsia" w:ascii="仿宋" w:hAnsi="仿宋" w:eastAsia="仿宋" w:cs="宋体"/>
          <w:bCs/>
          <w:color w:val="000000" w:themeColor="text1"/>
          <w:sz w:val="28"/>
          <w:szCs w:val="28"/>
          <w:highlight w:val="none"/>
          <w14:textFill>
            <w14:solidFill>
              <w14:schemeClr w14:val="tx1"/>
            </w14:solidFill>
          </w14:textFill>
        </w:rPr>
        <w:t xml:space="preserve">及电子签章办理指南》，请及时进行注册并按要求制作、上传电子投标文件。</w:t>
      </w:r>
      <w:r/>
    </w:p>
    <w:p>
      <w:pPr>
        <w:ind w:right="119" w:firstLine="560"/>
        <w:pageBreakBefore w:val="0"/>
        <w:spacing w:line="560" w:lineRule="exact"/>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14:textFill>
            <w14:solidFill>
              <w14:schemeClr w14:val="tx1"/>
            </w14:solidFill>
          </w14:textFill>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bookmarkStart w:id="36" w:name="_Toc38985269"/>
      <w:r/>
      <w:bookmarkStart w:id="37" w:name="_Toc28359085"/>
      <w:r/>
      <w:bookmarkStart w:id="38" w:name="_Toc28359008"/>
      <w:r/>
      <w:bookmarkStart w:id="39" w:name="_Toc35393796"/>
      <w:r/>
      <w:bookmarkStart w:id="40" w:name="_Toc35393627"/>
      <w:r>
        <w:rPr>
          <w:rFonts w:hint="eastAsia" w:ascii="仿宋" w:hAnsi="仿宋" w:eastAsia="仿宋"/>
          <w:b/>
          <w:bCs/>
          <w:color w:val="000000" w:themeColor="text1"/>
          <w:sz w:val="28"/>
          <w:szCs w:val="28"/>
          <w:highlight w:val="none"/>
          <w14:textFill>
            <w14:solidFill>
              <w14:schemeClr w14:val="tx1"/>
            </w14:solidFill>
          </w14:textFill>
        </w:rPr>
        <w:t xml:space="preserve">七、本次招标联系方式</w:t>
      </w:r>
      <w:bookmarkEnd w:id="36"/>
      <w:r/>
      <w:bookmarkEnd w:id="37"/>
      <w:r/>
      <w:bookmarkEnd w:id="38"/>
      <w:r/>
      <w:bookmarkEnd w:id="39"/>
      <w:r/>
      <w:bookmarkEnd w:id="40"/>
      <w:r/>
      <w:r/>
    </w:p>
    <w:p>
      <w:pPr>
        <w:jc w:val="left"/>
        <w:pageBreakBefore w:val="0"/>
        <w:spacing w:line="56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1.采购人信息</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名称：南通市田家炳初级中学</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地址：江苏省南通市崇川区南园路21号</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王老师</w:t>
      </w: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1" w:name="_Toc28359009"/>
      <w:r/>
      <w:bookmarkStart w:id="42" w:name="_Toc28359086"/>
      <w:r>
        <w:rPr>
          <w:rFonts w:hint="eastAsia" w:ascii="仿宋" w:hAnsi="仿宋" w:eastAsia="仿宋"/>
          <w:color w:val="000000" w:themeColor="text1"/>
          <w:sz w:val="28"/>
          <w:szCs w:val="28"/>
          <w:highlight w:val="none"/>
          <w14:textFill>
            <w14:solidFill>
              <w14:schemeClr w14:val="tx1"/>
            </w14:solidFill>
          </w14:textFill>
        </w:rPr>
        <w:t xml:space="preserve">85051338</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p>
    <w:p>
      <w:pPr>
        <w:numPr>
          <w:ilvl w:val="0"/>
          <w:numId w:val="0"/>
        </w:numPr>
        <w:ind w:firstLine="280"/>
        <w:jc w:val="left"/>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2.采购代理机构</w:t>
      </w:r>
      <w:r>
        <w:rPr>
          <w:rFonts w:hint="eastAsia" w:ascii="仿宋" w:hAnsi="仿宋" w:eastAsia="仿宋" w:cs="宋体"/>
          <w:color w:val="000000" w:themeColor="text1"/>
          <w:sz w:val="28"/>
          <w:szCs w:val="28"/>
          <w:highlight w:val="none"/>
          <w14:textFill>
            <w14:solidFill>
              <w14:schemeClr w14:val="tx1"/>
            </w14:solidFill>
          </w14:textFill>
        </w:rPr>
        <w:t xml:space="preserve">信息</w:t>
      </w:r>
      <w:bookmarkEnd w:id="41"/>
      <w:r/>
      <w:bookmarkEnd w:id="42"/>
      <w:r/>
      <w:r/>
    </w:p>
    <w:p>
      <w:pPr>
        <w:numPr>
          <w:ilvl w:val="0"/>
          <w:numId w:val="0"/>
        </w:numPr>
        <w:ind w:firstLine="280"/>
        <w:jc w:val="left"/>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名称：南通市教育技术中心</w:t>
      </w:r>
      <w:r/>
    </w:p>
    <w:p>
      <w:pPr>
        <w:ind w:firstLine="28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ascii="仿宋" w:hAnsi="仿宋" w:eastAsia="仿宋"/>
          <w:color w:val="000000" w:themeColor="text1"/>
          <w:sz w:val="28"/>
          <w:szCs w:val="28"/>
          <w:highlight w:val="none"/>
          <w14:textFill>
            <w14:solidFill>
              <w14:schemeClr w14:val="tx1"/>
            </w14:solidFill>
          </w14:textFill>
        </w:rPr>
        <w:t xml:space="preserve">南通市</w:t>
      </w:r>
      <w:r>
        <w:rPr>
          <w:rFonts w:hint="eastAsia" w:ascii="仿宋" w:hAnsi="仿宋" w:eastAsia="仿宋"/>
          <w:color w:val="000000" w:themeColor="text1"/>
          <w:sz w:val="28"/>
          <w:szCs w:val="28"/>
          <w:highlight w:val="none"/>
          <w14:textFill>
            <w14:solidFill>
              <w14:schemeClr w14:val="tx1"/>
            </w14:solidFill>
          </w14:textFill>
        </w:rPr>
        <w:t xml:space="preserve">崇川区板桥路45号</w:t>
      </w:r>
      <w:r/>
    </w:p>
    <w:p>
      <w:pPr>
        <w:ind w:firstLine="28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成老师</w:t>
      </w:r>
      <w:r/>
    </w:p>
    <w:p>
      <w:pPr>
        <w:ind w:firstLine="280"/>
        <w:pageBreakBefore w:val="0"/>
        <w:spacing w:line="56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3" w:name="_Toc28359010"/>
      <w:r/>
      <w:bookmarkStart w:id="44" w:name="_Toc28359087"/>
      <w:r>
        <w:rPr>
          <w:rFonts w:hint="eastAsia" w:ascii="仿宋" w:hAnsi="仿宋" w:eastAsia="仿宋"/>
          <w:color w:val="000000" w:themeColor="text1"/>
          <w:sz w:val="28"/>
          <w:szCs w:val="28"/>
          <w:highlight w:val="none"/>
          <w14:textFill>
            <w14:solidFill>
              <w14:schemeClr w14:val="tx1"/>
            </w14:solidFill>
          </w14:textFill>
        </w:rPr>
        <w:t xml:space="preserve">0513-85010355</w:t>
      </w:r>
      <w:r/>
    </w:p>
    <w:p>
      <w:pPr>
        <w:ind w:firstLine="28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3.软件技术支持：0519-86722801</w:t>
      </w:r>
      <w:bookmarkEnd w:id="43"/>
      <w:r/>
      <w:bookmarkEnd w:id="44"/>
      <w:r/>
      <w:r/>
    </w:p>
    <w:p>
      <w:pPr>
        <w:rPr>
          <w:rFonts w:hint="eastAsia" w:ascii="黑体" w:hAnsi="Arial" w:eastAsia="黑体" w:cs="Arial"/>
          <w:b/>
          <w:bCs/>
          <w:color w:val="000000" w:themeColor="text1"/>
          <w:sz w:val="44"/>
          <w:szCs w:val="44"/>
          <w:highlight w:val="none"/>
          <w14:textFill>
            <w14:solidFill>
              <w14:schemeClr w14:val="tx1"/>
            </w14:solidFill>
          </w14:textFill>
        </w:rPr>
      </w:pPr>
      <w:r/>
      <w:bookmarkStart w:id="45" w:name="_Toc120614211"/>
      <w:r>
        <w:rPr>
          <w:rFonts w:hint="eastAsia" w:ascii="黑体" w:hAnsi="Arial" w:eastAsia="黑体" w:cs="Arial"/>
          <w:b/>
          <w:bCs/>
          <w:color w:val="000000" w:themeColor="text1"/>
          <w:sz w:val="44"/>
          <w:szCs w:val="44"/>
          <w:highlight w:val="none"/>
          <w14:textFill>
            <w14:solidFill>
              <w14:schemeClr w14:val="tx1"/>
            </w14:solidFill>
          </w14:textFill>
        </w:rPr>
        <w:br w:type="page" w:clear="all"/>
      </w:r>
      <w:r/>
    </w:p>
    <w:p>
      <w:pPr>
        <w:ind w:right="839"/>
        <w:jc w:val="center"/>
        <w:rPr>
          <w:rFonts w:hint="eastAsia" w:ascii="黑体" w:hAnsi="Arial" w:eastAsia="黑体" w:cs="Arial"/>
          <w:color w:val="000000" w:themeColor="text1"/>
          <w:sz w:val="44"/>
          <w:szCs w:val="44"/>
          <w:highlight w:val="none"/>
          <w14:textFill>
            <w14:solidFill>
              <w14:schemeClr w14:val="tx1"/>
            </w14:solidFill>
          </w14:textFill>
        </w:rPr>
        <w:outlineLvl w:val="0"/>
      </w:pPr>
      <w:r/>
      <w:bookmarkStart w:id="46" w:name="_Toc28074"/>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5"/>
      <w:r/>
      <w:bookmarkStart w:id="47" w:name="_Toc20823274"/>
      <w:r/>
      <w:bookmarkStart w:id="48" w:name="_Toc120614213"/>
      <w:r/>
      <w:bookmarkStart w:id="49" w:name="_Toc513029202"/>
      <w:r/>
      <w:bookmarkStart w:id="50" w:name="_Toc16938518"/>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46"/>
      <w:r/>
      <w:bookmarkEnd w:id="47"/>
      <w:r/>
      <w:bookmarkEnd w:id="48"/>
      <w:r/>
      <w:bookmarkEnd w:id="49"/>
      <w:r/>
      <w:bookmarkEnd w:id="50"/>
      <w:r/>
      <w:r/>
    </w:p>
    <w:p>
      <w:pPr>
        <w:keepLines/>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2"/>
      </w:pPr>
      <w:r/>
      <w:bookmarkStart w:id="51" w:name="_Toc16938519"/>
      <w:r/>
      <w:bookmarkStart w:id="52" w:name="_Toc20823275"/>
      <w:r/>
      <w:bookmarkStart w:id="53" w:name="_Toc513029203"/>
      <w:r/>
      <w:bookmarkStart w:id="54" w:name="_Toc120614214"/>
      <w:r>
        <w:rPr>
          <w:rFonts w:ascii="仿宋" w:hAnsi="仿宋" w:eastAsia="仿宋"/>
          <w:b/>
          <w:bCs/>
          <w:color w:val="000000" w:themeColor="text1"/>
          <w:sz w:val="28"/>
          <w:szCs w:val="28"/>
          <w:highlight w:val="none"/>
          <w14:textFill>
            <w14:solidFill>
              <w14:schemeClr w14:val="tx1"/>
            </w14:solidFill>
          </w14:textFill>
        </w:rPr>
        <w:t xml:space="preserve">（一）总则</w:t>
      </w:r>
      <w:bookmarkEnd w:id="51"/>
      <w:r/>
      <w:bookmarkEnd w:id="52"/>
      <w:r/>
      <w:bookmarkEnd w:id="53"/>
      <w:r/>
      <w:bookmarkEnd w:id="54"/>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55" w:name="_Hlt16619475"/>
      <w:r/>
      <w:bookmarkEnd w:id="55"/>
      <w:r/>
      <w:bookmarkStart w:id="56" w:name="_Toc458694821"/>
      <w:r/>
      <w:bookmarkStart w:id="57" w:name="_Toc16938520"/>
      <w:r/>
      <w:bookmarkStart w:id="58" w:name="_Toc20823276"/>
      <w:r/>
      <w:bookmarkStart w:id="59" w:name="_Toc513029204"/>
      <w:r>
        <w:rPr>
          <w:rFonts w:ascii="仿宋" w:hAnsi="仿宋" w:eastAsia="仿宋"/>
          <w:color w:val="000000" w:themeColor="text1"/>
          <w:sz w:val="28"/>
          <w:szCs w:val="28"/>
          <w:highlight w:val="none"/>
          <w14:textFill>
            <w14:solidFill>
              <w14:schemeClr w14:val="tx1"/>
            </w14:solidFill>
          </w14:textFill>
        </w:rPr>
        <w:t xml:space="preserve">1</w:t>
      </w:r>
      <w:bookmarkEnd w:id="56"/>
      <w:r>
        <w:rPr>
          <w:rFonts w:ascii="仿宋" w:hAnsi="仿宋" w:eastAsia="仿宋"/>
          <w:color w:val="000000" w:themeColor="text1"/>
          <w:sz w:val="28"/>
          <w:szCs w:val="28"/>
          <w:highlight w:val="none"/>
          <w14:textFill>
            <w14:solidFill>
              <w14:schemeClr w14:val="tx1"/>
            </w14:solidFill>
          </w14:textFill>
        </w:rPr>
        <w:t xml:space="preserve">.招标方式</w:t>
      </w:r>
      <w:bookmarkEnd w:id="57"/>
      <w:r/>
      <w:bookmarkEnd w:id="58"/>
      <w:r/>
      <w:bookmarkEnd w:id="5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0" w:name="_Toc513029205"/>
      <w:r/>
      <w:bookmarkStart w:id="61" w:name="_Toc16938521"/>
      <w:r/>
      <w:bookmarkStart w:id="62" w:name="_Toc20823277"/>
      <w:r>
        <w:rPr>
          <w:rFonts w:ascii="仿宋" w:hAnsi="仿宋" w:eastAsia="仿宋"/>
          <w:color w:val="000000" w:themeColor="text1"/>
          <w:sz w:val="28"/>
          <w:szCs w:val="28"/>
          <w:highlight w:val="none"/>
          <w14:textFill>
            <w14:solidFill>
              <w14:schemeClr w14:val="tx1"/>
            </w14:solidFill>
          </w14:textFill>
        </w:rPr>
        <w:t xml:space="preserve">2.合格的投标人</w:t>
      </w:r>
      <w:bookmarkEnd w:id="60"/>
      <w:r/>
      <w:bookmarkEnd w:id="61"/>
      <w:r/>
      <w:bookmarkEnd w:id="62"/>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2.1满足招标公告中供应商的资格要求的规定。</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2.2 满足本文件实质性条款的规定。</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3" w:name="_Toc20823278"/>
      <w:r/>
      <w:bookmarkStart w:id="64" w:name="_Toc16938522"/>
      <w:r/>
      <w:bookmarkStart w:id="65" w:name="_Toc513029206"/>
      <w:r>
        <w:rPr>
          <w:rFonts w:ascii="仿宋" w:hAnsi="仿宋" w:eastAsia="仿宋"/>
          <w:color w:val="000000" w:themeColor="text1"/>
          <w:sz w:val="28"/>
          <w:szCs w:val="28"/>
          <w:highlight w:val="none"/>
          <w14:textFill>
            <w14:solidFill>
              <w14:schemeClr w14:val="tx1"/>
            </w14:solidFill>
          </w14:textFill>
        </w:rPr>
        <w:t xml:space="preserve">3.适用法律</w:t>
      </w:r>
      <w:bookmarkEnd w:id="63"/>
      <w:r/>
      <w:bookmarkEnd w:id="64"/>
      <w:r/>
      <w:bookmarkEnd w:id="65"/>
      <w:r/>
      <w:r/>
    </w:p>
    <w:p>
      <w:pPr>
        <w:ind w:firstLine="49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bookmarkStart w:id="66" w:name="_Toc20823279"/>
      <w:r/>
      <w:bookmarkStart w:id="67" w:name="_Toc513029207"/>
      <w:r/>
      <w:bookmarkStart w:id="68" w:name="_Toc462564067"/>
      <w:r/>
      <w:bookmarkStart w:id="69" w:name="_Toc16938523"/>
      <w:r>
        <w:rPr>
          <w:rFonts w:ascii="仿宋" w:hAnsi="仿宋" w:eastAsia="仿宋"/>
          <w:color w:val="000000" w:themeColor="text1"/>
          <w:sz w:val="28"/>
          <w:szCs w:val="28"/>
          <w:highlight w:val="none"/>
          <w14:textFill>
            <w14:solidFill>
              <w14:schemeClr w14:val="tx1"/>
            </w14:solidFill>
          </w14:textFill>
        </w:rPr>
        <w:t xml:space="preserve">4.投标费用</w:t>
      </w:r>
      <w:bookmarkEnd w:id="66"/>
      <w:r/>
      <w:bookmarkEnd w:id="67"/>
      <w:r/>
      <w:bookmarkEnd w:id="68"/>
      <w:r/>
      <w:bookmarkEnd w:id="6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4.2本次招标</w:t>
      </w:r>
      <w:r>
        <w:rPr>
          <w:rFonts w:hint="eastAsia" w:ascii="仿宋" w:hAnsi="仿宋" w:eastAsia="仿宋"/>
          <w:color w:val="000000" w:themeColor="text1"/>
          <w:sz w:val="28"/>
          <w:szCs w:val="28"/>
          <w:highlight w:val="none"/>
          <w14:textFill>
            <w14:solidFill>
              <w14:schemeClr w14:val="tx1"/>
            </w14:solidFill>
          </w14:textFill>
        </w:rPr>
        <w:t xml:space="preserve">南通市教育技术</w:t>
      </w:r>
      <w:r>
        <w:rPr>
          <w:rFonts w:ascii="仿宋" w:hAnsi="仿宋" w:eastAsia="仿宋"/>
          <w:color w:val="000000" w:themeColor="text1"/>
          <w:sz w:val="28"/>
          <w:szCs w:val="28"/>
          <w:highlight w:val="none"/>
          <w14:textFill>
            <w14:solidFill>
              <w14:schemeClr w14:val="tx1"/>
            </w14:solidFill>
          </w14:textFill>
        </w:rPr>
        <w:t xml:space="preserve">中心和采购人不收取标书工本费与中标服务费。</w:t>
      </w: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rFonts w:ascii="仿宋" w:hAnsi="仿宋" w:eastAsia="仿宋"/>
          <w:color w:val="000000" w:themeColor="text1"/>
          <w:sz w:val="28"/>
          <w:szCs w:val="28"/>
          <w:highlight w:val="none"/>
          <w14:textFill>
            <w14:solidFill>
              <w14:schemeClr w14:val="tx1"/>
            </w14:solidFill>
          </w14:textFill>
        </w:rPr>
        <w:t xml:space="preserve">5.招标文件的约束力</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70" w:name="_Toc20823281"/>
      <w:r/>
      <w:bookmarkStart w:id="71" w:name="_Toc513029209"/>
      <w:r/>
      <w:bookmarkStart w:id="72" w:name="_Toc120614215"/>
      <w:r/>
      <w:bookmarkStart w:id="73" w:name="_Toc16938525"/>
      <w:r>
        <w:rPr>
          <w:rFonts w:hint="eastAsia" w:ascii="仿宋" w:hAnsi="仿宋" w:eastAsia="仿宋"/>
          <w:b/>
          <w:bCs/>
          <w:color w:val="000000" w:themeColor="text1"/>
          <w:sz w:val="28"/>
          <w:szCs w:val="28"/>
          <w:highlight w:val="none"/>
          <w14:textFill>
            <w14:solidFill>
              <w14:schemeClr w14:val="tx1"/>
            </w14:solidFill>
          </w14:textFill>
        </w:rPr>
        <w:t xml:space="preserve">二、招标文件</w:t>
      </w:r>
      <w:bookmarkEnd w:id="70"/>
      <w:r/>
      <w:bookmarkEnd w:id="71"/>
      <w:r/>
      <w:bookmarkEnd w:id="72"/>
      <w:r/>
      <w:bookmarkEnd w:id="73"/>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74" w:name="_Toc16938526"/>
      <w:r/>
      <w:bookmarkStart w:id="75" w:name="_Toc20823282"/>
      <w:r/>
      <w:bookmarkStart w:id="76" w:name="_Toc5130292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6.</w:t>
      </w:r>
      <w:r>
        <w:rPr>
          <w:rFonts w:hint="eastAsia" w:ascii="仿宋" w:hAnsi="仿宋" w:eastAsia="仿宋" w:cs="Arial"/>
          <w:color w:val="000000" w:themeColor="text1"/>
          <w:sz w:val="28"/>
          <w:szCs w:val="28"/>
          <w:highlight w:val="none"/>
          <w14:textFill>
            <w14:solidFill>
              <w14:schemeClr w14:val="tx1"/>
            </w14:solidFill>
          </w14:textFill>
        </w:rPr>
        <w:t xml:space="preserve">招标文件构成</w:t>
      </w:r>
      <w:bookmarkEnd w:id="74"/>
      <w:r/>
      <w:bookmarkEnd w:id="75"/>
      <w:r/>
      <w:bookmarkEnd w:id="76"/>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w:t>
      </w:r>
      <w:r>
        <w:rPr>
          <w:rFonts w:ascii="仿宋" w:hAnsi="仿宋" w:eastAsia="仿宋"/>
          <w:color w:val="000000" w:themeColor="text1"/>
          <w:sz w:val="28"/>
          <w:szCs w:val="28"/>
          <w:highlight w:val="none"/>
          <w14:textFill>
            <w14:solidFill>
              <w14:schemeClr w14:val="tx1"/>
            </w14:solidFill>
          </w14:textFill>
        </w:rPr>
        <w:t xml:space="preserve">邀请</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（2）投标人须知</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（3）合同文本</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（4）采购需求</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（5）评标方法与评标标准</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（6）投标文件格式</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请仔细检查招标文件是否齐全，如有缺漏请立即与南通市教育技术中心联系解决。</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77" w:name="_Toc513029211"/>
      <w:r/>
      <w:bookmarkStart w:id="78" w:name="_Toc462564070"/>
      <w:r/>
      <w:bookmarkStart w:id="79" w:name="_Toc20823283"/>
      <w:r/>
      <w:bookmarkStart w:id="80" w:name="_Toc16938527"/>
      <w:r>
        <w:rPr>
          <w:rFonts w:hint="eastAsia" w:ascii="仿宋" w:hAnsi="仿宋" w:eastAsia="仿宋" w:cs="Arial"/>
          <w:color w:val="000000" w:themeColor="text1"/>
          <w:sz w:val="28"/>
          <w:szCs w:val="28"/>
          <w:highlight w:val="none"/>
          <w:lang w:eastAsia="zh-CN"/>
          <w14:textFill>
            <w14:solidFill>
              <w14:schemeClr w14:val="tx1"/>
            </w14:solidFill>
          </w14:textFill>
        </w:rPr>
        <w:t xml:space="preserve">7.</w:t>
      </w:r>
      <w:r>
        <w:rPr>
          <w:rFonts w:hint="eastAsia" w:ascii="仿宋" w:hAnsi="仿宋" w:eastAsia="仿宋" w:cs="Arial"/>
          <w:color w:val="000000" w:themeColor="text1"/>
          <w:sz w:val="28"/>
          <w:szCs w:val="28"/>
          <w:highlight w:val="none"/>
          <w14:textFill>
            <w14:solidFill>
              <w14:schemeClr w14:val="tx1"/>
            </w14:solidFill>
          </w14:textFill>
        </w:rPr>
        <w:t xml:space="preserve">招标文件的澄清</w:t>
      </w:r>
      <w:bookmarkEnd w:id="77"/>
      <w:r/>
      <w:bookmarkEnd w:id="78"/>
      <w:r/>
      <w:bookmarkEnd w:id="79"/>
      <w:r/>
      <w:bookmarkEnd w:id="80"/>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 xml:space="preserve">十日</w:t>
      </w:r>
      <w:r>
        <w:rPr>
          <w:rFonts w:hint="eastAsia" w:ascii="仿宋" w:hAnsi="仿宋" w:eastAsia="仿宋"/>
          <w:color w:val="000000" w:themeColor="text1"/>
          <w:sz w:val="28"/>
          <w:szCs w:val="28"/>
          <w:highlight w:val="none"/>
          <w14:textFill>
            <w14:solidFill>
              <w14:schemeClr w14:val="tx1"/>
            </w14:solidFill>
          </w14:textFill>
        </w:rPr>
        <w:t xml:space="preserve">前按招标公告中的通讯地址，以书面形式通知南通市教育技术中心。采购人有权对发出的招标文件进行必要的澄清或修改。</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81" w:name="_Toc513029212"/>
      <w:r/>
      <w:bookmarkStart w:id="82" w:name="_Toc16938528"/>
      <w:r/>
      <w:bookmarkStart w:id="83" w:name="_Toc462564071"/>
      <w:r/>
      <w:bookmarkStart w:id="84" w:name="_Toc20823284"/>
      <w:r>
        <w:rPr>
          <w:rFonts w:hint="eastAsia" w:ascii="仿宋" w:hAnsi="仿宋" w:eastAsia="仿宋" w:cs="Arial"/>
          <w:color w:val="000000" w:themeColor="text1"/>
          <w:sz w:val="28"/>
          <w:szCs w:val="28"/>
          <w:highlight w:val="none"/>
          <w:lang w:eastAsia="zh-CN"/>
          <w14:textFill>
            <w14:solidFill>
              <w14:schemeClr w14:val="tx1"/>
            </w14:solidFill>
          </w14:textFill>
        </w:rPr>
        <w:t xml:space="preserve">8.</w:t>
      </w:r>
      <w:r>
        <w:rPr>
          <w:rFonts w:hint="eastAsia" w:ascii="仿宋" w:hAnsi="仿宋" w:eastAsia="仿宋" w:cs="Arial"/>
          <w:color w:val="000000" w:themeColor="text1"/>
          <w:sz w:val="28"/>
          <w:szCs w:val="28"/>
          <w:highlight w:val="none"/>
          <w14:textFill>
            <w14:solidFill>
              <w14:schemeClr w14:val="tx1"/>
            </w14:solidFill>
          </w14:textFill>
        </w:rPr>
        <w:t xml:space="preserve">招标文件的修改</w:t>
      </w:r>
      <w:bookmarkEnd w:id="81"/>
      <w:r/>
      <w:bookmarkEnd w:id="82"/>
      <w:r/>
      <w:bookmarkEnd w:id="83"/>
      <w:r/>
      <w:bookmarkEnd w:id="84"/>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间之</w:t>
      </w:r>
      <w:r>
        <w:rPr>
          <w:rFonts w:hint="eastAsia" w:ascii="仿宋" w:hAnsi="仿宋" w:eastAsia="仿宋"/>
          <w:color w:val="000000" w:themeColor="text1"/>
          <w:sz w:val="28"/>
          <w:szCs w:val="28"/>
          <w:highlight w:val="none"/>
          <w14:textFill>
            <w14:solidFill>
              <w14:schemeClr w14:val="tx1"/>
            </w14:solidFill>
          </w14:textFill>
        </w:rPr>
        <w:t xml:space="preserve">前，南通市教育技术中心可以对招标文件进行修改。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南通市教育技术中心有权按照法定的要求推迟投标截止日期和开标日期。</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 xml:space="preserve">招标文件的修改将在江苏政府采购网公布，补充文件将作为招标文件的组成部分，并对投标人具有约束力。</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85" w:name="_Toc20823285"/>
      <w:r/>
      <w:bookmarkStart w:id="86" w:name="_Toc462564072"/>
      <w:r/>
      <w:bookmarkStart w:id="87" w:name="_Toc120614216"/>
      <w:r/>
      <w:bookmarkStart w:id="88" w:name="_Toc16938529"/>
      <w:r/>
      <w:bookmarkStart w:id="89" w:name="_Toc513029213"/>
      <w:r>
        <w:rPr>
          <w:rFonts w:hint="eastAsia" w:ascii="仿宋" w:hAnsi="仿宋" w:eastAsia="仿宋"/>
          <w:b/>
          <w:bCs/>
          <w:color w:val="000000" w:themeColor="text1"/>
          <w:sz w:val="28"/>
          <w:szCs w:val="28"/>
          <w:highlight w:val="none"/>
          <w14:textFill>
            <w14:solidFill>
              <w14:schemeClr w14:val="tx1"/>
            </w14:solidFill>
          </w14:textFill>
        </w:rPr>
        <w:t xml:space="preserve">三、投标文件的编制</w:t>
      </w:r>
      <w:bookmarkEnd w:id="85"/>
      <w:r/>
      <w:bookmarkEnd w:id="86"/>
      <w:r/>
      <w:bookmarkEnd w:id="87"/>
      <w:r/>
      <w:bookmarkEnd w:id="88"/>
      <w:r/>
      <w:bookmarkEnd w:id="89"/>
      <w:r/>
      <w:r/>
    </w:p>
    <w:p>
      <w:pPr>
        <w:keepLines/>
        <w:keepNext/>
        <w:pageBreakBefore w:val="0"/>
        <w:spacing w:line="560" w:lineRule="exact"/>
        <w:widowControl w:val="off"/>
        <w:rPr>
          <w:rFonts w:hint="eastAsia" w:ascii="仿宋" w:hAnsi="仿宋" w:eastAsia="仿宋" w:cs="Arial"/>
          <w:b/>
          <w:color w:val="000000" w:themeColor="text1"/>
          <w:sz w:val="28"/>
          <w:szCs w:val="28"/>
          <w:highlight w:val="none"/>
          <w14:textFill>
            <w14:solidFill>
              <w14:schemeClr w14:val="tx1"/>
            </w14:solidFill>
          </w14:textFill>
        </w:rPr>
        <w:outlineLvl w:val="3"/>
      </w:pPr>
      <w:r/>
      <w:bookmarkStart w:id="90" w:name="_Toc20823286"/>
      <w:r/>
      <w:bookmarkStart w:id="91" w:name="_Toc462564073"/>
      <w:r/>
      <w:bookmarkStart w:id="92" w:name="_Toc16938530"/>
      <w:r/>
      <w:bookmarkStart w:id="93" w:name="_Toc513029214"/>
      <w:r>
        <w:rPr>
          <w:rFonts w:hint="eastAsia" w:ascii="仿宋" w:hAnsi="仿宋" w:eastAsia="仿宋" w:cs="Arial"/>
          <w:color w:val="000000" w:themeColor="text1"/>
          <w:sz w:val="28"/>
          <w:szCs w:val="28"/>
          <w:highlight w:val="none"/>
          <w:lang w:eastAsia="zh-CN"/>
          <w14:textFill>
            <w14:solidFill>
              <w14:schemeClr w14:val="tx1"/>
            </w14:solidFill>
          </w14:textFill>
        </w:rPr>
        <w:t xml:space="preserve">9.</w:t>
      </w:r>
      <w:r>
        <w:rPr>
          <w:rFonts w:hint="eastAsia" w:ascii="仿宋" w:hAnsi="仿宋" w:eastAsia="仿宋" w:cs="Arial"/>
          <w:color w:val="000000" w:themeColor="text1"/>
          <w:sz w:val="28"/>
          <w:szCs w:val="28"/>
          <w:highlight w:val="none"/>
          <w14:textFill>
            <w14:solidFill>
              <w14:schemeClr w14:val="tx1"/>
            </w14:solidFill>
          </w14:textFill>
        </w:rPr>
        <w:t xml:space="preserve">投标文件的语言及度量衡单位</w:t>
      </w:r>
      <w:bookmarkEnd w:id="90"/>
      <w:r/>
      <w:bookmarkEnd w:id="91"/>
      <w:r/>
      <w:bookmarkEnd w:id="92"/>
      <w:r/>
      <w:bookmarkEnd w:id="93"/>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94" w:name="_Toc20823287"/>
      <w:r/>
      <w:bookmarkStart w:id="95" w:name="_Toc513029215"/>
      <w:r/>
      <w:bookmarkStart w:id="96" w:name="_Toc462564074"/>
      <w:r/>
      <w:bookmarkStart w:id="97" w:name="_Toc16938531"/>
      <w:r>
        <w:rPr>
          <w:rFonts w:hint="eastAsia" w:ascii="仿宋" w:hAnsi="仿宋" w:eastAsia="仿宋" w:cs="Arial"/>
          <w:color w:val="000000" w:themeColor="text1"/>
          <w:sz w:val="28"/>
          <w:szCs w:val="28"/>
          <w:highlight w:val="none"/>
          <w:lang w:eastAsia="zh-CN"/>
          <w14:textFill>
            <w14:solidFill>
              <w14:schemeClr w14:val="tx1"/>
            </w14:solidFill>
          </w14:textFill>
        </w:rPr>
        <w:t xml:space="preserve">10.</w:t>
      </w:r>
      <w:r>
        <w:rPr>
          <w:rFonts w:hint="eastAsia" w:ascii="仿宋" w:hAnsi="仿宋" w:eastAsia="仿宋" w:cs="Arial"/>
          <w:color w:val="000000" w:themeColor="text1"/>
          <w:sz w:val="28"/>
          <w:szCs w:val="28"/>
          <w:highlight w:val="none"/>
          <w14:textFill>
            <w14:solidFill>
              <w14:schemeClr w14:val="tx1"/>
            </w14:solidFill>
          </w14:textFill>
        </w:rPr>
        <w:t xml:space="preserve">投标文件构成</w:t>
      </w:r>
      <w:bookmarkEnd w:id="94"/>
      <w:r/>
      <w:bookmarkEnd w:id="95"/>
      <w:r/>
      <w:bookmarkEnd w:id="96"/>
      <w:r/>
      <w:bookmarkEnd w:id="97"/>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98" w:name="_Hlt26670360"/>
      <w:r/>
      <w:bookmarkEnd w:id="98"/>
      <w:r/>
      <w:bookmarkStart w:id="99" w:name="_Hlt26668975"/>
      <w:r/>
      <w:bookmarkEnd w:id="99"/>
      <w:r/>
      <w:bookmarkStart w:id="100" w:name="_Hlt26954838"/>
      <w:r/>
      <w:bookmarkEnd w:id="100"/>
      <w:r/>
      <w:bookmarkStart w:id="101" w:name="_Toc49090507"/>
      <w:r/>
      <w:bookmarkStart w:id="102" w:name="_Toc14577354"/>
      <w:r/>
      <w:bookmarkStart w:id="103" w:name="_Toc513029216"/>
      <w:r/>
      <w:bookmarkStart w:id="104" w:name="_Toc14577357"/>
      <w:r/>
      <w:bookmarkStart w:id="105" w:name="_Toc513029219"/>
      <w:r/>
      <w:bookmarkStart w:id="106" w:name="_Toc49090509"/>
      <w:r/>
      <w:bookmarkStart w:id="107" w:name="_Toc14577355"/>
      <w:r/>
      <w:bookmarkStart w:id="108" w:name="_Toc49090508"/>
      <w:r>
        <w:rPr>
          <w:rFonts w:hint="eastAsia" w:ascii="仿宋" w:hAnsi="仿宋" w:eastAsia="仿宋" w:cs="Arial"/>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Arial"/>
          <w:color w:val="000000" w:themeColor="text1"/>
          <w:sz w:val="28"/>
          <w:szCs w:val="28"/>
          <w:highlight w:val="none"/>
          <w14:textFill>
            <w14:solidFill>
              <w14:schemeClr w14:val="tx1"/>
            </w14:solidFill>
          </w14:textFill>
        </w:rPr>
        <w:t xml:space="preserve">证明投标人及投标标的符合招标文件规定的文件</w:t>
      </w:r>
      <w:bookmarkEnd w:id="101"/>
      <w:r/>
      <w:bookmarkEnd w:id="102"/>
      <w:r/>
      <w:bookmarkEnd w:id="103"/>
      <w:r/>
      <w:bookmarkEnd w:id="104"/>
      <w:r/>
      <w:bookmarkEnd w:id="105"/>
      <w:r/>
      <w:bookmarkEnd w:id="106"/>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11.2招标文件对证明文件无明确形式要求的，证明文件可以以文字资料、图纸和数据等形式提交。</w:t>
      </w:r>
      <w:bookmarkEnd w:id="107"/>
      <w:r/>
      <w:bookmarkEnd w:id="108"/>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12.</w:t>
      </w:r>
      <w:r>
        <w:rPr>
          <w:rFonts w:hint="eastAsia" w:ascii="仿宋" w:hAnsi="仿宋" w:eastAsia="仿宋" w:cs="Arial"/>
          <w:color w:val="000000" w:themeColor="text1"/>
          <w:sz w:val="28"/>
          <w:szCs w:val="28"/>
          <w:highlight w:val="none"/>
          <w14:textFill>
            <w14:solidFill>
              <w14:schemeClr w14:val="tx1"/>
            </w14:solidFill>
          </w14:textFill>
        </w:rPr>
        <w:t xml:space="preserve">投标分项报价表</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w:t>
      </w:r>
      <w:r>
        <w:rPr>
          <w:rFonts w:hint="eastAsia" w:ascii="仿宋" w:hAnsi="仿宋" w:eastAsia="仿宋"/>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 xml:space="preserve">招标文件中另有规定的按规定执行。</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09" w:name="_Hlt26670482"/>
      <w:r/>
      <w:bookmarkEnd w:id="109"/>
      <w:r/>
      <w:bookmarkStart w:id="110" w:name="_Hlt26670486"/>
      <w:r/>
      <w:bookmarkEnd w:id="110"/>
      <w:r/>
      <w:bookmarkStart w:id="111" w:name="_Hlt26954731"/>
      <w:r/>
      <w:bookmarkEnd w:id="111"/>
      <w:r/>
      <w:bookmarkStart w:id="112" w:name="_Hlt26954848"/>
      <w:r/>
      <w:bookmarkEnd w:id="112"/>
      <w:r/>
      <w:bookmarkStart w:id="113" w:name="_Hlt26954846"/>
      <w:r/>
      <w:bookmarkEnd w:id="113"/>
      <w:r>
        <w:rPr>
          <w:rFonts w:hint="eastAsia" w:ascii="仿宋" w:hAnsi="仿宋" w:eastAsia="仿宋" w:cs="Arial"/>
          <w:color w:val="000000" w:themeColor="text1"/>
          <w:sz w:val="28"/>
          <w:szCs w:val="28"/>
          <w:highlight w:val="none"/>
          <w:lang w:eastAsia="zh-CN"/>
          <w14:textFill>
            <w14:solidFill>
              <w14:schemeClr w14:val="tx1"/>
            </w14:solidFill>
          </w14:textFill>
        </w:rPr>
        <w:t xml:space="preserve">13.</w:t>
      </w:r>
      <w:r>
        <w:rPr>
          <w:rFonts w:hint="eastAsia" w:ascii="仿宋" w:hAnsi="仿宋" w:eastAsia="仿宋" w:cs="Arial"/>
          <w:color w:val="000000" w:themeColor="text1"/>
          <w:sz w:val="28"/>
          <w:szCs w:val="28"/>
          <w:highlight w:val="none"/>
          <w14:textFill>
            <w14:solidFill>
              <w14:schemeClr w14:val="tx1"/>
            </w14:solidFill>
          </w14:textFill>
        </w:rPr>
        <w:t xml:space="preserve">技术要求响应及偏离表、商务要求响应及偏离表</w:t>
      </w: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3</w:t>
      </w: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投标人需对招标文件中的技术要求与商务要求逐项作出响应或偏离，并说明原因。</w:t>
      </w: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 xml:space="preserve">13.2投标人需按照招标文件要求，在投标文件中提供与技术要求和商务要求相关的证明材料。</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14.</w:t>
      </w:r>
      <w:r>
        <w:rPr>
          <w:rFonts w:hint="eastAsia" w:ascii="仿宋" w:hAnsi="仿宋" w:eastAsia="仿宋" w:cs="Arial"/>
          <w:color w:val="000000" w:themeColor="text1"/>
          <w:sz w:val="28"/>
          <w:szCs w:val="28"/>
          <w:highlight w:val="none"/>
          <w14:textFill>
            <w14:solidFill>
              <w14:schemeClr w14:val="tx1"/>
            </w14:solidFill>
          </w14:textFill>
        </w:rPr>
        <w:t xml:space="preserve">服务承诺、培训计划、人员安排及其他</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投标人需根据招标文件要求提供培训计划。</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所投标的的主要组成部分、功能设计、实现思路及关键技术等。</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14" w:name="_Toc14577359"/>
      <w:r/>
      <w:bookmarkStart w:id="115" w:name="_Toc490905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15.</w:t>
      </w:r>
      <w:r>
        <w:rPr>
          <w:rFonts w:hint="eastAsia" w:ascii="仿宋" w:hAnsi="仿宋" w:eastAsia="仿宋" w:cs="Arial"/>
          <w:color w:val="000000" w:themeColor="text1"/>
          <w:sz w:val="28"/>
          <w:szCs w:val="28"/>
          <w:highlight w:val="none"/>
          <w14:textFill>
            <w14:solidFill>
              <w14:schemeClr w14:val="tx1"/>
            </w14:solidFill>
          </w14:textFill>
        </w:rPr>
        <w:t xml:space="preserve">投标函和开标一览表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15.2 对于采用货币报价的项目，开标一览表中的投标总报价应与分项报价表中的投标总报价一致，如不一致，不作为无效投标处理，但评标时按开标一览表中价格为准。</w:t>
      </w:r>
      <w:bookmarkEnd w:id="114"/>
      <w:r/>
      <w:bookmarkEnd w:id="115"/>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16" w:name="_Toc14577360"/>
      <w:r/>
      <w:bookmarkStart w:id="117" w:name="_Toc490905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16.</w:t>
      </w:r>
      <w:r>
        <w:rPr>
          <w:rFonts w:hint="eastAsia" w:ascii="仿宋" w:hAnsi="仿宋" w:eastAsia="仿宋" w:cs="Arial"/>
          <w:color w:val="000000" w:themeColor="text1"/>
          <w:sz w:val="28"/>
          <w:szCs w:val="28"/>
          <w:highlight w:val="none"/>
          <w14:textFill>
            <w14:solidFill>
              <w14:schemeClr w14:val="tx1"/>
            </w14:solidFill>
          </w14:textFill>
        </w:rPr>
        <w:t xml:space="preserve">投标有效期</w:t>
      </w:r>
      <w:bookmarkEnd w:id="116"/>
      <w:r/>
      <w:bookmarkEnd w:id="117"/>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16.1投标有效期为</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规定的开标之日后</w:t>
      </w:r>
      <w:r>
        <w:rPr>
          <w:rFonts w:hint="eastAsia" w:ascii="仿宋" w:hAnsi="仿宋" w:eastAsia="仿宋"/>
          <w:color w:val="000000" w:themeColor="text1"/>
          <w:sz w:val="28"/>
          <w:szCs w:val="28"/>
          <w:highlight w:val="none"/>
          <w:u w:val="single"/>
          <w14:textFill>
            <w14:solidFill>
              <w14:schemeClr w14:val="tx1"/>
            </w14:solidFill>
          </w14:textFill>
        </w:rPr>
        <w:t xml:space="preserve">九十（90）天</w:t>
      </w:r>
      <w:r>
        <w:rPr>
          <w:rFonts w:hint="eastAsia" w:ascii="仿宋" w:hAnsi="仿宋" w:eastAsia="仿宋"/>
          <w:bCs/>
          <w:color w:val="000000" w:themeColor="text1"/>
          <w:sz w:val="28"/>
          <w:szCs w:val="28"/>
          <w:highlight w:val="none"/>
          <w14:textFill>
            <w14:solidFill>
              <w14:schemeClr w14:val="tx1"/>
            </w14:solidFill>
          </w14:textFill>
        </w:rPr>
        <w:t xml:space="preserve">。投标有效期比规定短的将被视为未实质性响应招标文件而予以拒绝。</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17.</w:t>
      </w:r>
      <w:r>
        <w:rPr>
          <w:rFonts w:hint="eastAsia" w:ascii="仿宋" w:hAnsi="仿宋" w:eastAsia="仿宋" w:cs="Arial"/>
          <w:color w:val="000000" w:themeColor="text1"/>
          <w:sz w:val="28"/>
          <w:szCs w:val="28"/>
          <w:highlight w:val="none"/>
          <w14:textFill>
            <w14:solidFill>
              <w14:schemeClr w14:val="tx1"/>
            </w14:solidFill>
          </w14:textFill>
        </w:rPr>
        <w:t xml:space="preserve">投标有效期的延长</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17.1在特殊情况下，</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 xml:space="preserve">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 xml:space="preserve">。</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18" w:name="_Hlt26954852"/>
      <w:r/>
      <w:bookmarkEnd w:id="118"/>
      <w:r/>
      <w:bookmarkStart w:id="119" w:name="_Hlt26954739"/>
      <w:r/>
      <w:bookmarkEnd w:id="119"/>
      <w:r/>
      <w:bookmarkStart w:id="120" w:name="_Toc120614217"/>
      <w:r/>
      <w:bookmarkStart w:id="121" w:name="_Toc16938540"/>
      <w:r/>
      <w:bookmarkStart w:id="122" w:name="_Toc513029224"/>
      <w:r/>
      <w:bookmarkStart w:id="123" w:name="_Toc20823296"/>
      <w:r>
        <w:rPr>
          <w:rFonts w:hint="eastAsia" w:ascii="仿宋" w:hAnsi="仿宋" w:eastAsia="仿宋"/>
          <w:b/>
          <w:bCs/>
          <w:color w:val="000000" w:themeColor="text1"/>
          <w:sz w:val="28"/>
          <w:szCs w:val="28"/>
          <w:highlight w:val="none"/>
          <w14:textFill>
            <w14:solidFill>
              <w14:schemeClr w14:val="tx1"/>
            </w14:solidFill>
          </w14:textFill>
        </w:rPr>
        <w:t xml:space="preserve">四、投标文件的递交</w:t>
      </w:r>
      <w:bookmarkEnd w:id="120"/>
      <w:r/>
      <w:bookmarkEnd w:id="121"/>
      <w:r/>
      <w:bookmarkEnd w:id="122"/>
      <w:r/>
      <w:bookmarkEnd w:id="123"/>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bookmarkStart w:id="124" w:name="_Toc16938541"/>
      <w:r/>
      <w:bookmarkStart w:id="125" w:name="_Toc20823297"/>
      <w:r/>
      <w:bookmarkStart w:id="126" w:name="_Toc513029225"/>
      <w:r/>
      <w:bookmarkStart w:id="127" w:name="_Toc462564084"/>
      <w:r>
        <w:rPr>
          <w:rFonts w:hint="eastAsia" w:ascii="仿宋" w:hAnsi="仿宋" w:eastAsia="仿宋"/>
          <w:bCs/>
          <w:color w:val="000000" w:themeColor="text1"/>
          <w:sz w:val="28"/>
          <w:szCs w:val="28"/>
          <w:highlight w:val="none"/>
          <w:lang w:eastAsia="zh-CN"/>
          <w14:textFill>
            <w14:solidFill>
              <w14:schemeClr w14:val="tx1"/>
            </w14:solidFill>
          </w14:textFill>
        </w:rPr>
        <w:t xml:space="preserve">18.</w:t>
      </w:r>
      <w:r>
        <w:rPr>
          <w:rFonts w:hint="eastAsia" w:ascii="仿宋" w:hAnsi="仿宋" w:eastAsia="仿宋"/>
          <w:bCs/>
          <w:color w:val="000000" w:themeColor="text1"/>
          <w:sz w:val="28"/>
          <w:szCs w:val="28"/>
          <w:highlight w:val="none"/>
          <w14:textFill>
            <w14:solidFill>
              <w14:schemeClr w14:val="tx1"/>
            </w14:solidFill>
          </w14:textFill>
        </w:rPr>
        <w:t xml:space="preserve">电子投标文件</w:t>
      </w:r>
      <w:bookmarkEnd w:id="124"/>
      <w:r/>
      <w:bookmarkEnd w:id="125"/>
      <w:r/>
      <w:bookmarkEnd w:id="126"/>
      <w:r/>
      <w:bookmarkEnd w:id="127"/>
      <w:r>
        <w:rPr>
          <w:rFonts w:hint="eastAsia" w:ascii="仿宋" w:hAnsi="仿宋" w:eastAsia="仿宋"/>
          <w:bCs/>
          <w:color w:val="000000" w:themeColor="text1"/>
          <w:sz w:val="28"/>
          <w:szCs w:val="28"/>
          <w:highlight w:val="none"/>
          <w14:textFill>
            <w14:solidFill>
              <w14:schemeClr w14:val="tx1"/>
            </w14:solidFill>
          </w14:textFill>
        </w:rPr>
        <w:t xml:space="preserve">的递交</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 xml:space="preserve">制作</w:t>
      </w:r>
      <w:r>
        <w:rPr>
          <w:rFonts w:hint="eastAsia" w:ascii="仿宋" w:hAnsi="仿宋" w:eastAsia="仿宋"/>
          <w:bCs/>
          <w:color w:val="000000" w:themeColor="text1"/>
          <w:sz w:val="28"/>
          <w:szCs w:val="28"/>
          <w:highlight w:val="none"/>
          <w14:textFill>
            <w14:solidFill>
              <w14:schemeClr w14:val="tx1"/>
            </w14:solidFill>
          </w14:textFill>
        </w:rPr>
        <w:t xml:space="preserve">并上传电子投标文件。</w:t>
      </w:r>
      <w:bookmarkStart w:id="128" w:name="_Toc16938542"/>
      <w:r/>
      <w:bookmarkStart w:id="129" w:name="_Toc513029226"/>
      <w:r/>
      <w:bookmarkStart w:id="130" w:name="_Toc20823298"/>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19.</w:t>
      </w:r>
      <w:r>
        <w:rPr>
          <w:rFonts w:hint="eastAsia" w:ascii="仿宋" w:hAnsi="仿宋" w:eastAsia="仿宋"/>
          <w:bCs/>
          <w:color w:val="000000" w:themeColor="text1"/>
          <w:sz w:val="28"/>
          <w:szCs w:val="28"/>
          <w:highlight w:val="none"/>
          <w14:textFill>
            <w14:solidFill>
              <w14:schemeClr w14:val="tx1"/>
            </w14:solidFill>
          </w14:textFill>
        </w:rPr>
        <w:t xml:space="preserve">投标截止日期</w:t>
      </w:r>
      <w:bookmarkEnd w:id="128"/>
      <w:r/>
      <w:bookmarkEnd w:id="129"/>
      <w:r/>
      <w:bookmarkEnd w:id="130"/>
      <w:r/>
      <w:r/>
    </w:p>
    <w:p>
      <w:pPr>
        <w:ind w:firstLine="562"/>
        <w:pageBreakBefore w:val="0"/>
        <w:spacing w:line="560" w:lineRule="exact"/>
        <w:widowControl w:val="off"/>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 xml:space="preserve">19</w:t>
      </w:r>
      <w:r>
        <w:rPr>
          <w:rFonts w:hint="eastAsia" w:ascii="仿宋" w:hAnsi="仿宋" w:eastAsia="仿宋"/>
          <w:b/>
          <w:color w:val="000000" w:themeColor="text1"/>
          <w:sz w:val="28"/>
          <w:szCs w:val="28"/>
          <w:highlight w:val="none"/>
          <w:u w:val="singl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投标人应</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none"/>
          <w14:textFill>
            <w14:solidFill>
              <w14:schemeClr w14:val="tx1"/>
            </w14:solidFill>
          </w14:textFill>
        </w:rPr>
        <w:t xml:space="preserve">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作无效投标</w:t>
      </w:r>
      <w:r>
        <w:rPr>
          <w:rFonts w:hint="eastAsia" w:ascii="仿宋" w:hAnsi="仿宋" w:eastAsia="仿宋"/>
          <w:bCs/>
          <w:color w:val="000000" w:themeColor="text1"/>
          <w:sz w:val="28"/>
          <w:szCs w:val="28"/>
          <w:highlight w:val="none"/>
          <w14:textFill>
            <w14:solidFill>
              <w14:schemeClr w14:val="tx1"/>
            </w14:solidFill>
          </w14:textFill>
        </w:rPr>
        <w:t xml:space="preserve">处理。</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19</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31" w:name="_Toc513029227"/>
      <w:r/>
      <w:bookmarkStart w:id="132" w:name="_Toc20823299"/>
      <w:r/>
      <w:bookmarkStart w:id="133" w:name="_Toc16938543"/>
      <w:r>
        <w:rPr>
          <w:rFonts w:hint="eastAsia" w:ascii="仿宋" w:hAnsi="仿宋" w:eastAsia="仿宋" w:cs="Arial"/>
          <w:color w:val="000000" w:themeColor="text1"/>
          <w:sz w:val="28"/>
          <w:szCs w:val="28"/>
          <w:highlight w:val="none"/>
          <w:lang w:eastAsia="zh-CN"/>
          <w14:textFill>
            <w14:solidFill>
              <w14:schemeClr w14:val="tx1"/>
            </w14:solidFill>
          </w14:textFill>
        </w:rPr>
        <w:t xml:space="preserve">20.</w:t>
      </w:r>
      <w:r>
        <w:rPr>
          <w:rFonts w:hint="eastAsia" w:ascii="仿宋" w:hAnsi="仿宋" w:eastAsia="仿宋" w:cs="Arial"/>
          <w:color w:val="000000" w:themeColor="text1"/>
          <w:sz w:val="28"/>
          <w:szCs w:val="28"/>
          <w:highlight w:val="none"/>
          <w14:textFill>
            <w14:solidFill>
              <w14:schemeClr w14:val="tx1"/>
            </w14:solidFill>
          </w14:textFill>
        </w:rPr>
        <w:t xml:space="preserve">投标文件</w:t>
      </w:r>
      <w:bookmarkEnd w:id="131"/>
      <w:r/>
      <w:bookmarkEnd w:id="132"/>
      <w:r/>
      <w:bookmarkEnd w:id="133"/>
      <w:r>
        <w:rPr>
          <w:rFonts w:hint="eastAsia" w:ascii="仿宋" w:hAnsi="仿宋" w:eastAsia="仿宋" w:cs="Arial"/>
          <w:color w:val="000000" w:themeColor="text1"/>
          <w:sz w:val="28"/>
          <w:szCs w:val="28"/>
          <w:highlight w:val="none"/>
          <w14:textFill>
            <w14:solidFill>
              <w14:schemeClr w14:val="tx1"/>
            </w14:solidFill>
          </w14:textFill>
        </w:rPr>
        <w:t xml:space="preserve">的拒收</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20.1 南通市教育技术中心拒绝接收在其规定的投标截止时间后上传的任何投标文件。</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34" w:name="_Toc513029228"/>
      <w:r/>
      <w:bookmarkStart w:id="135" w:name="_Toc16938544"/>
      <w:r/>
      <w:bookmarkStart w:id="136" w:name="_Toc20823300"/>
      <w:r>
        <w:rPr>
          <w:rFonts w:hint="eastAsia" w:ascii="仿宋" w:hAnsi="仿宋" w:eastAsia="仿宋" w:cs="Arial"/>
          <w:color w:val="000000" w:themeColor="text1"/>
          <w:sz w:val="28"/>
          <w:szCs w:val="28"/>
          <w:highlight w:val="none"/>
          <w:lang w:eastAsia="zh-CN"/>
          <w14:textFill>
            <w14:solidFill>
              <w14:schemeClr w14:val="tx1"/>
            </w14:solidFill>
          </w14:textFill>
        </w:rPr>
        <w:t xml:space="preserve">21.</w:t>
      </w:r>
      <w:r>
        <w:rPr>
          <w:rFonts w:hint="eastAsia" w:ascii="仿宋" w:hAnsi="仿宋" w:eastAsia="仿宋" w:cs="Arial"/>
          <w:color w:val="000000" w:themeColor="text1"/>
          <w:sz w:val="28"/>
          <w:szCs w:val="28"/>
          <w:highlight w:val="none"/>
          <w14:textFill>
            <w14:solidFill>
              <w14:schemeClr w14:val="tx1"/>
            </w14:solidFill>
          </w14:textFill>
        </w:rPr>
        <w:t xml:space="preserve">投标文件的撤回和修改</w:t>
      </w:r>
      <w:bookmarkEnd w:id="134"/>
      <w:r/>
      <w:bookmarkEnd w:id="135"/>
      <w:r/>
      <w:bookmarkEnd w:id="136"/>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 投标文件的撤回</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.1.1 电子投标文件的撤回</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 投标文件的修改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21.2.1投标人可在投标截止时间前，对其电子投标文件进行修改，具体操作方法见《操作手册》。</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37" w:name="_Toc16938545"/>
      <w:r/>
      <w:bookmarkStart w:id="138" w:name="_Toc120614218"/>
      <w:r/>
      <w:bookmarkStart w:id="139" w:name="_Toc20823301"/>
      <w:r/>
      <w:bookmarkStart w:id="140" w:name="_Toc513029229"/>
      <w:r>
        <w:rPr>
          <w:rFonts w:hint="eastAsia" w:ascii="仿宋" w:hAnsi="仿宋" w:eastAsia="仿宋"/>
          <w:b/>
          <w:bCs/>
          <w:color w:val="000000" w:themeColor="text1"/>
          <w:sz w:val="28"/>
          <w:szCs w:val="28"/>
          <w:highlight w:val="none"/>
          <w14:textFill>
            <w14:solidFill>
              <w14:schemeClr w14:val="tx1"/>
            </w14:solidFill>
          </w14:textFill>
        </w:rPr>
        <w:t xml:space="preserve">五、开标与评标</w:t>
      </w:r>
      <w:bookmarkEnd w:id="137"/>
      <w:r/>
      <w:bookmarkEnd w:id="138"/>
      <w:r/>
      <w:bookmarkEnd w:id="139"/>
      <w:r/>
      <w:bookmarkEnd w:id="140"/>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1" w:name="_Toc16938546"/>
      <w:r/>
      <w:bookmarkStart w:id="142" w:name="_Toc20823302"/>
      <w:r/>
      <w:bookmarkStart w:id="143" w:name="_Toc513029230"/>
      <w:r>
        <w:rPr>
          <w:rFonts w:hint="eastAsia" w:ascii="仿宋" w:hAnsi="仿宋" w:eastAsia="仿宋" w:cs="Arial"/>
          <w:color w:val="000000" w:themeColor="text1"/>
          <w:sz w:val="28"/>
          <w:szCs w:val="28"/>
          <w:highlight w:val="none"/>
          <w:lang w:eastAsia="zh-CN"/>
          <w14:textFill>
            <w14:solidFill>
              <w14:schemeClr w14:val="tx1"/>
            </w14:solidFill>
          </w14:textFill>
        </w:rPr>
        <w:t xml:space="preserve">22.</w:t>
      </w:r>
      <w:r>
        <w:rPr>
          <w:rFonts w:hint="eastAsia" w:ascii="仿宋" w:hAnsi="仿宋" w:eastAsia="仿宋" w:cs="Arial"/>
          <w:color w:val="000000" w:themeColor="text1"/>
          <w:sz w:val="28"/>
          <w:szCs w:val="28"/>
          <w:highlight w:val="none"/>
          <w14:textFill>
            <w14:solidFill>
              <w14:schemeClr w14:val="tx1"/>
            </w14:solidFill>
          </w14:textFill>
        </w:rPr>
        <w:t xml:space="preserve">开标</w:t>
      </w:r>
      <w:bookmarkEnd w:id="141"/>
      <w:r/>
      <w:bookmarkEnd w:id="142"/>
      <w:r/>
      <w:bookmarkEnd w:id="143"/>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 xml:space="preserve">。投标人应当按照《操作手册》规定，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并宣布各投标人名称和投标价格。</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涉及</w:t>
      </w:r>
      <w:r>
        <w:rPr>
          <w:rFonts w:hint="eastAsia" w:ascii="仿宋" w:hAnsi="仿宋" w:eastAsia="仿宋"/>
          <w:bCs/>
          <w:color w:val="000000" w:themeColor="text1"/>
          <w:sz w:val="28"/>
          <w:szCs w:val="28"/>
          <w:highlight w:val="none"/>
          <w14:textFill>
            <w14:solidFill>
              <w14:schemeClr w14:val="tx1"/>
            </w14:solidFill>
          </w14:textFill>
        </w:rPr>
        <w:t xml:space="preserve">的投标文件解密、开标结果确认等工作，应按照《操作手册》规定执行。</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4" w:name="_Toc513029231"/>
      <w:r/>
      <w:bookmarkStart w:id="145" w:name="_Toc20823303"/>
      <w:r/>
      <w:bookmarkStart w:id="146" w:name="_Toc16938547"/>
      <w:r>
        <w:rPr>
          <w:rFonts w:hint="eastAsia" w:ascii="仿宋" w:hAnsi="仿宋" w:eastAsia="仿宋" w:cs="Arial"/>
          <w:color w:val="000000" w:themeColor="text1"/>
          <w:sz w:val="28"/>
          <w:szCs w:val="28"/>
          <w:highlight w:val="none"/>
          <w:lang w:eastAsia="zh-CN"/>
          <w14:textFill>
            <w14:solidFill>
              <w14:schemeClr w14:val="tx1"/>
            </w14:solidFill>
          </w14:textFill>
        </w:rPr>
        <w:t xml:space="preserve">23.</w:t>
      </w:r>
      <w:r>
        <w:rPr>
          <w:rFonts w:hint="eastAsia" w:ascii="仿宋" w:hAnsi="仿宋" w:eastAsia="仿宋" w:cs="Arial"/>
          <w:color w:val="000000" w:themeColor="text1"/>
          <w:sz w:val="28"/>
          <w:szCs w:val="28"/>
          <w:highlight w:val="none"/>
          <w14:textFill>
            <w14:solidFill>
              <w14:schemeClr w14:val="tx1"/>
            </w14:solidFill>
          </w14:textFill>
        </w:rPr>
        <w:t xml:space="preserve">评标委员会</w:t>
      </w:r>
      <w:r/>
    </w:p>
    <w:p>
      <w:pPr>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开标后，南通市教育技术中心将立即组织评标委员会（以下简称评委会）进行评标。</w:t>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.2 评委会由采购人代表和有关技术、经济等方面的专家组成，且人员构成符合政府采购有关规定。</w:t>
      </w: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olor w:val="000000" w:themeColor="text1"/>
          <w:sz w:val="28"/>
          <w:szCs w:val="28"/>
          <w:highlight w:val="none"/>
          <w14:textFill>
            <w14:solidFill>
              <w14:schemeClr w14:val="tx1"/>
            </w14:solidFill>
          </w14:textFill>
        </w:rPr>
        <w:t xml:space="preserve">。</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24.</w:t>
      </w:r>
      <w:r>
        <w:rPr>
          <w:rFonts w:hint="eastAsia" w:ascii="仿宋" w:hAnsi="仿宋" w:eastAsia="仿宋" w:cs="Arial"/>
          <w:color w:val="000000" w:themeColor="text1"/>
          <w:sz w:val="28"/>
          <w:szCs w:val="28"/>
          <w:highlight w:val="none"/>
          <w14:textFill>
            <w14:solidFill>
              <w14:schemeClr w14:val="tx1"/>
            </w14:solidFill>
          </w14:textFill>
        </w:rPr>
        <w:t xml:space="preserve">评标过程的保密与公正</w:t>
      </w:r>
      <w:bookmarkEnd w:id="144"/>
      <w:r/>
      <w:bookmarkEnd w:id="145"/>
      <w:r/>
      <w:bookmarkEnd w:id="146"/>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凡是与审查、澄清、评价和比较投标的有关资料以及授标建议等，采购人、评委、南通市教育技术中心均不得向投标人或与评标无关的其他人员透露。</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.2在评标过程中，投标人不得以任何行为影响评标过程，否则其投标文件将被作为无效投标文件。</w:t>
      </w:r>
      <w:r/>
    </w:p>
    <w:p>
      <w:pPr>
        <w:ind w:firstLine="56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r/>
    </w:p>
    <w:p>
      <w:pPr>
        <w:ind w:firstLine="560"/>
        <w:pageBreakBefore w:val="0"/>
        <w:spacing w:line="560" w:lineRule="exact"/>
        <w:widowControl w:val="off"/>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bookmarkStart w:id="147" w:name="_Toc16938548"/>
      <w:r/>
      <w:bookmarkStart w:id="148" w:name="_Toc513029232"/>
      <w:r/>
      <w:bookmarkStart w:id="149" w:name="_Toc20823304"/>
      <w:r>
        <w:rPr>
          <w:rFonts w:hint="eastAsia" w:ascii="仿宋" w:hAnsi="仿宋" w:eastAsia="仿宋" w:cs="Arial"/>
          <w:color w:val="000000" w:themeColor="text1"/>
          <w:sz w:val="28"/>
          <w:szCs w:val="28"/>
          <w:highlight w:val="none"/>
          <w:lang w:eastAsia="zh-CN"/>
          <w14:textFill>
            <w14:solidFill>
              <w14:schemeClr w14:val="tx1"/>
            </w14:solidFill>
          </w14:textFill>
        </w:rPr>
        <w:t xml:space="preserve">25.</w:t>
      </w:r>
      <w:r>
        <w:rPr>
          <w:rFonts w:hint="eastAsia" w:ascii="仿宋" w:hAnsi="仿宋" w:eastAsia="仿宋" w:cs="Arial"/>
          <w:color w:val="000000" w:themeColor="text1"/>
          <w:sz w:val="28"/>
          <w:szCs w:val="28"/>
          <w:highlight w:val="none"/>
          <w14:textFill>
            <w14:solidFill>
              <w14:schemeClr w14:val="tx1"/>
            </w14:solidFill>
          </w14:textFill>
        </w:rPr>
        <w:t xml:space="preserve">投标文件的澄清</w:t>
      </w:r>
      <w:bookmarkEnd w:id="147"/>
      <w:r/>
      <w:bookmarkEnd w:id="148"/>
      <w:r/>
      <w:bookmarkEnd w:id="149"/>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bookmarkStart w:id="150" w:name="_Toc513029233"/>
      <w:r/>
      <w:bookmarkStart w:id="151" w:name="_Toc20823305"/>
      <w:r/>
      <w:bookmarkStart w:id="152" w:name="_Toc16938549"/>
      <w:r>
        <w:rPr>
          <w:rFonts w:ascii="仿宋" w:hAnsi="仿宋" w:eastAsia="仿宋"/>
          <w:color w:val="000000" w:themeColor="text1"/>
          <w:sz w:val="28"/>
          <w:szCs w:val="28"/>
          <w:highlight w:val="none"/>
          <w14:textFill>
            <w14:solidFill>
              <w14:schemeClr w14:val="tx1"/>
            </w14:solidFill>
          </w14:textFill>
        </w:rPr>
        <w:t xml:space="preserve">25</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，有权要求投标人作出必要的澄清、说明或者补正。</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评标</w:t>
      </w:r>
      <w:r>
        <w:rPr>
          <w:rFonts w:ascii="仿宋" w:hAnsi="仿宋" w:eastAsia="仿宋"/>
          <w:color w:val="000000" w:themeColor="text1"/>
          <w:sz w:val="28"/>
          <w:szCs w:val="28"/>
          <w:highlight w:val="none"/>
          <w14:textFill>
            <w14:solidFill>
              <w14:schemeClr w14:val="tx1"/>
            </w14:solidFill>
          </w14:textFill>
        </w:rPr>
        <w:t xml:space="preserve">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48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olor w:val="000000" w:themeColor="text1"/>
          <w:sz w:val="28"/>
          <w:szCs w:val="28"/>
          <w:highlight w:val="none"/>
          <w14:textFill>
            <w14:solidFill>
              <w14:schemeClr w14:val="tx1"/>
            </w14:solidFill>
          </w14:textFill>
        </w:rPr>
        <w:t xml:space="preserve">澄清、说明和补正，其风险由投标人自行承担。</w:t>
      </w: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26.</w:t>
      </w:r>
      <w:r>
        <w:rPr>
          <w:rFonts w:hint="eastAsia" w:ascii="仿宋" w:hAnsi="仿宋" w:eastAsia="仿宋" w:cs="Arial"/>
          <w:color w:val="000000" w:themeColor="text1"/>
          <w:sz w:val="28"/>
          <w:szCs w:val="28"/>
          <w:highlight w:val="none"/>
          <w14:textFill>
            <w14:solidFill>
              <w14:schemeClr w14:val="tx1"/>
            </w14:solidFill>
          </w14:textFill>
        </w:rPr>
        <w:t xml:space="preserve">对投标文件的初审</w:t>
      </w:r>
      <w:bookmarkEnd w:id="150"/>
      <w:r/>
      <w:bookmarkEnd w:id="151"/>
      <w:r/>
      <w:bookmarkEnd w:id="152"/>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投标文件初审分为资格审查和符合性审查。</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查询结果留存并归档。</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联合体成员中任何一方存在不良信用记录的，视同联合体存在不良应用记录。</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6</w:t>
      </w:r>
      <w:r>
        <w:rPr>
          <w:rFonts w:hint="eastAsia" w:ascii="仿宋" w:hAnsi="仿宋" w:eastAsia="仿宋"/>
          <w:bCs/>
          <w:color w:val="000000" w:themeColor="text1"/>
          <w:sz w:val="28"/>
          <w:szCs w:val="28"/>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 xml:space="preserve">苏采云系统</w:t>
      </w:r>
      <w:r>
        <w:rPr>
          <w:rFonts w:hint="eastAsia" w:ascii="仿宋" w:hAnsi="仿宋" w:eastAsia="仿宋"/>
          <w:b/>
          <w:bCs/>
          <w:color w:val="000000" w:themeColor="text1"/>
          <w:sz w:val="28"/>
          <w:szCs w:val="28"/>
          <w:highlight w:val="none"/>
          <w14:textFill>
            <w14:solidFill>
              <w14:schemeClr w14:val="tx1"/>
            </w14:solidFill>
          </w14:textFill>
        </w:rPr>
        <w:t xml:space="preserve">中告知未通过资格审查或符合性审查的原因，评审结束后，南通市教育技术中心将不再告知未通过资格审查或符合性审查的原因。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 xml:space="preserve">评委决定投标文件的响应性只根据投标文件本身的内容，而不寻求外部的证据。</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bCs/>
          <w:color w:val="000000" w:themeColor="text1"/>
          <w:sz w:val="28"/>
          <w:szCs w:val="28"/>
          <w:highlight w:val="none"/>
          <w14:textFill>
            <w14:solidFill>
              <w14:schemeClr w14:val="tx1"/>
            </w14:solidFill>
          </w14:textFill>
        </w:rPr>
        <w:t xml:space="preserve">合要求的偏离或保留而使其投标成为实质性响应的投标。</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bCs/>
          <w:color w:val="000000" w:themeColor="text1"/>
          <w:sz w:val="28"/>
          <w:szCs w:val="28"/>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（2）大写金额和小写金额不一致的，以大写金额为准。</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（4）总价金额与按单价汇总金额不一致的，以单价金额计算结果为准。</w:t>
      </w: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同时出现两种以上错误的，按照前款规定的顺序修正。</w:t>
      </w: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bCs/>
          <w:color w:val="000000" w:themeColor="text1"/>
          <w:sz w:val="28"/>
          <w:szCs w:val="28"/>
          <w:highlight w:val="none"/>
          <w14:textFill>
            <w14:solidFill>
              <w14:schemeClr w14:val="tx1"/>
            </w14:solidFill>
          </w14:textFill>
        </w:rPr>
        <w:t xml:space="preserve">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w:t>
      </w:r>
      <w:r>
        <w:rPr>
          <w:rFonts w:hint="eastAsia" w:ascii="仿宋" w:hAnsi="仿宋" w:eastAsia="仿宋"/>
          <w:bCs/>
          <w:color w:val="000000" w:themeColor="text1"/>
          <w:sz w:val="28"/>
          <w:szCs w:val="28"/>
          <w:highlight w:val="none"/>
          <w14:textFill>
            <w14:solidFill>
              <w14:schemeClr w14:val="tx1"/>
            </w14:solidFill>
          </w14:textFill>
        </w:rPr>
        <w:t xml:space="preserve">告知</w:t>
      </w:r>
      <w:r>
        <w:rPr>
          <w:rFonts w:ascii="仿宋" w:hAnsi="仿宋" w:eastAsia="仿宋"/>
          <w:bCs/>
          <w:color w:val="000000" w:themeColor="text1"/>
          <w:sz w:val="28"/>
          <w:szCs w:val="28"/>
          <w:highlight w:val="none"/>
          <w14:textFill>
            <w14:solidFill>
              <w14:schemeClr w14:val="tx1"/>
            </w14:solidFill>
          </w14:textFill>
        </w:rPr>
        <w:t xml:space="preserve">投标人，</w:t>
      </w:r>
      <w:r>
        <w:rPr>
          <w:rFonts w:hint="eastAsia" w:ascii="仿宋" w:hAnsi="仿宋" w:eastAsia="仿宋"/>
          <w:bCs/>
          <w:color w:val="000000" w:themeColor="text1"/>
          <w:sz w:val="28"/>
          <w:szCs w:val="28"/>
          <w:highlight w:val="none"/>
          <w14:textFill>
            <w14:solidFill>
              <w14:schemeClr w14:val="tx1"/>
            </w14:solidFill>
          </w14:textFill>
        </w:rPr>
        <w:t xml:space="preserve">调整后的价格应对投标人具有约束力。如果投标人不接受修正后的价格，则其投标将被拒绝。</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bookmarkStart w:id="153" w:name="_Toc16938550"/>
      <w:r/>
      <w:bookmarkStart w:id="154" w:name="_Toc513029234"/>
      <w:r/>
      <w:bookmarkStart w:id="155" w:name="_Toc20823306"/>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 xml:space="preserve">随机抽取</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方式</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确定一个参加评标的投标人，其他投标无效。</w:t>
      </w: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一个中标候选人</w:t>
      </w:r>
      <w:r>
        <w:rPr>
          <w:rFonts w:ascii="仿宋" w:hAnsi="仿宋" w:eastAsia="仿宋"/>
          <w:color w:val="000000" w:themeColor="text1"/>
          <w:sz w:val="28"/>
          <w:szCs w:val="28"/>
          <w:highlight w:val="none"/>
          <w14:textFill>
            <w14:solidFill>
              <w14:schemeClr w14:val="tx1"/>
            </w14:solidFill>
          </w14:textFill>
        </w:rPr>
        <w:t xml:space="preserve">，其他同品牌投标人不作为中标候选人。</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8"/>
          <w:szCs w:val="28"/>
          <w:highlight w:val="none"/>
          <w14:textFill>
            <w14:solidFill>
              <w14:schemeClr w14:val="tx1"/>
            </w14:solidFill>
          </w14:textFill>
        </w:rPr>
        <w:t xml:space="preserve">将载明其中的核心产品</w:t>
      </w:r>
      <w:r>
        <w:rPr>
          <w:rFonts w:ascii="仿宋" w:hAnsi="仿宋" w:eastAsia="仿宋"/>
          <w:color w:val="000000" w:themeColor="text1"/>
          <w:sz w:val="28"/>
          <w:szCs w:val="28"/>
          <w:highlight w:val="none"/>
          <w14:textFill>
            <w14:solidFill>
              <w14:schemeClr w14:val="tx1"/>
            </w14:solidFill>
          </w14:textFill>
        </w:rPr>
        <w:t xml:space="preserve">。多家投标人提供的核心产品品牌相同的，按前两款规定处理。</w:t>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.7投标人在开、评标全过程中应</w:t>
      </w:r>
      <w:r>
        <w:rPr>
          <w:rFonts w:hint="eastAsia" w:ascii="仿宋" w:hAnsi="仿宋" w:eastAsia="仿宋"/>
          <w:color w:val="000000" w:themeColor="text1"/>
          <w:sz w:val="28"/>
          <w:szCs w:val="28"/>
          <w:highlight w:val="none"/>
          <w:lang w:eastAsia="zh-CN"/>
          <w14:textFill>
            <w14:solidFill>
              <w14:schemeClr w14:val="tx1"/>
            </w14:solidFill>
          </w14:textFill>
        </w:rPr>
        <w:t xml:space="preserve">保持通信畅通</w:t>
      </w:r>
      <w:r>
        <w:rPr>
          <w:rFonts w:hint="eastAsia" w:ascii="仿宋" w:hAnsi="仿宋" w:eastAsia="仿宋"/>
          <w:color w:val="000000" w:themeColor="text1"/>
          <w:sz w:val="28"/>
          <w:szCs w:val="28"/>
          <w:highlight w:val="none"/>
          <w14:textFill>
            <w14:solidFill>
              <w14:schemeClr w14:val="tx1"/>
            </w14:solidFill>
          </w14:textFill>
        </w:rPr>
        <w:t xml:space="preserve">，及时登录苏采云系统查阅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并安排专人与南通市教育技术中心及评标委员会联系。</w:t>
      </w:r>
      <w:bookmarkEnd w:id="153"/>
      <w:r/>
      <w:bookmarkEnd w:id="154"/>
      <w:r/>
      <w:bookmarkEnd w:id="155"/>
      <w: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pStyle w:val="1319"/>
        <w:numPr>
          <w:ilvl w:val="0"/>
          <w:numId w:val="5"/>
        </w:numPr>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bookmarkStart w:id="156" w:name="_Toc16938551"/>
      <w:r/>
      <w:bookmarkStart w:id="157" w:name="_Toc20823307"/>
      <w:r/>
      <w:bookmarkStart w:id="158" w:name="_Toc513029235"/>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异常低价审查</w:t>
      </w:r>
      <w:r/>
    </w:p>
    <w:p>
      <w:pPr>
        <w:pStyle w:val="1319"/>
        <w:numPr>
          <w:ilvl w:val="0"/>
          <w:numId w:val="0"/>
        </w:numPr>
        <w:ind w:firstLine="562"/>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全部通过符合性审查供应商投标（响应）报价平均值×50%；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通过符合性审查的次低报价供应商投标（响应）报价×50%；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采购项目最高限价×45%； </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 </w:t>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14:textFill>
            <w14:solidFill>
              <w14:schemeClr w14:val="tx1"/>
            </w14:solidFill>
          </w14:textFill>
        </w:rPr>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28.无效投标条款和废标条款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28.1无效投标条款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 投标人在苏采云系统规定的时间内未成功解密电子投标文件的。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28.1.2 投标人未按照招标文件要求上传电子投标文件的。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28.1.3投标人同一分包提交两个（含两个）以上不同的投标报价的。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28.1.4投标人不具备招标文件中规定资格要求的。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28.1.5投标人的报价超过了采购预算或最高限价的。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28.1.6未通过符合性审查的。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28.1.7不符合招标文件中规定的实质性要求的（详见本招标文件第四章采购需求中斜体且有下划线部分）。</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28.1.9  投标文件含有采购人不能接受的附加条件的。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28.1.11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28.1.12 投标文件未按照招标文件要求加盖CA电子公章的。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28.1.13投标人的商务技术部分得分相差异常悬殊，评标委员会一致认为得分畸低者有可能影响产品质量或者不能诚信履约的。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28.1.14启动异常低价投标审查后，投标人不提供书面说明、证明材料，或者提供的书面说明、证明材料不能证明其报价合理性的。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28.1.15其他法律法规及本招标文件规定的属于无效投标的情形。</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28.2废标条款</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28.2.1符合专业条件的供应商或者对招标文件作实质响应的供应商不足三家的。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28.2.2出现影响采购公正的违法、违规行为的。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28.2.3因重大变故，采购任务取消的。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28.2.4评标委员会认定招标文件存在歧义、重大缺陷导致评审工作无法进行。</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28.2.5 因苏采云系统故障原因造成开标不成功的。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 投标截止时间结束后参加投标的供应商不足三家的处理：</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28.3.1如出现投标截止时间结束后参加投标的供应商或者在评标期间对招标文件做出实质响应的供应商不足三家情况，按政府采购相关规定执行。</w:t>
      </w:r>
      <w:r/>
    </w:p>
    <w:p>
      <w:pPr>
        <w:keepLines/>
        <w:keepNext/>
        <w:pageBreakBefore w:val="0"/>
        <w:spacing w:before="120" w:after="120"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2"/>
      </w:pPr>
      <w:r/>
      <w:bookmarkStart w:id="159"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六、</w:t>
      </w:r>
      <w:bookmarkEnd w:id="156"/>
      <w:r/>
      <w:bookmarkEnd w:id="157"/>
      <w:r/>
      <w:bookmarkEnd w:id="158"/>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定标</w:t>
      </w:r>
      <w:bookmarkEnd w:id="159"/>
      <w: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bookmarkStart w:id="160" w:name="_Toc513029238"/>
      <w:r/>
      <w:bookmarkStart w:id="161" w:name="_Toc16938554"/>
      <w:r/>
      <w:bookmarkStart w:id="162" w:name="_Toc2082331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w:t>
      </w:r>
      <w:bookmarkEnd w:id="1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确定</w:t>
      </w:r>
      <w:bookmarkEnd w:id="161"/>
      <w:r/>
      <w:bookmarkEnd w:id="162"/>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中标单位</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29.2 采购人应根据评委会推荐的中标候选人确定中标人。</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29.3 南通市教育技术中心将在“江苏政府采购网”发布中标公告，公告期限为1个工作日。</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 若有充分证据证明，中标人出现下列情况之一的，一经查实，将被取消中标资格：</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29.4.1提供虚假材料谋取中标的。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29.4.2向采购人、南通市教育技术中心行贿或者提供其他不正当利益的。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29.4.3属于本文件规定的无效条件，但在评标过程中又未被评委会发现的。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29.4.4与采购人或者其他供应商恶意串通的。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29.4.5采取不正当手段诋毁、排挤其他供应商的。</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bookmarkStart w:id="163"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29.5.有下列情形之一的，视为投标人串通投标，投标无效：</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29.5.1不同投标人的投标文件由同一单位或者个人编制；</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29.5.2不同投标人委托同一单位或者个人办理投标事宜；</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29.5.3 不同投标人的投标文件载明的项目管理成员或者联系人员为同一人；</w:t>
      </w: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29.5.4不同投标人的投标文件异常一致或者投标报价呈规律性差异；</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14:textFill>
            <w14:solidFill>
              <w14:schemeClr w14:val="tx1"/>
            </w14:solidFill>
          </w14:textFill>
        </w:rPr>
        <w:t xml:space="preserve">质疑处理</w:t>
      </w:r>
      <w:bookmarkEnd w:id="163"/>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.2.1</w:t>
      </w:r>
      <w:r>
        <w:rPr>
          <w:rFonts w:ascii="仿宋" w:hAnsi="仿宋" w:eastAsia="仿宋" w:cs="宋体"/>
          <w:color w:val="000000" w:themeColor="text1"/>
          <w:sz w:val="28"/>
          <w:szCs w:val="28"/>
          <w:highlight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s="宋体"/>
          <w:color w:val="000000" w:themeColor="text1"/>
          <w:sz w:val="28"/>
          <w:szCs w:val="28"/>
          <w:highlight w:val="none"/>
          <w14:textFill>
            <w14:solidFill>
              <w14:schemeClr w14:val="tx1"/>
            </w14:solidFill>
          </w14:textFill>
        </w:rPr>
        <w:t xml:space="preserve">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.2.3</w:t>
      </w:r>
      <w:r>
        <w:rPr>
          <w:rFonts w:ascii="仿宋" w:hAnsi="仿宋" w:eastAsia="仿宋" w:cs="宋体"/>
          <w:color w:val="000000" w:themeColor="text1"/>
          <w:sz w:val="28"/>
          <w:szCs w:val="28"/>
          <w:highlight w:val="none"/>
          <w14:textFill>
            <w14:solidFill>
              <w14:schemeClr w14:val="tx1"/>
            </w14:solidFill>
          </w14:textFill>
        </w:rPr>
        <w:t xml:space="preserve">对中标或者成交结果提出质疑的，为中标或者成交结果公告期限届满之日。</w:t>
      </w: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 xml:space="preserve">采购人</w:t>
      </w:r>
      <w:r>
        <w:rPr>
          <w:rFonts w:hint="eastAsia" w:ascii="仿宋" w:hAnsi="仿宋" w:eastAsia="仿宋" w:cs="宋体"/>
          <w:color w:val="000000" w:themeColor="text1"/>
          <w:sz w:val="28"/>
          <w:szCs w:val="28"/>
          <w:highlight w:val="none"/>
          <w14:textFill>
            <w14:solidFill>
              <w14:schemeClr w14:val="tx1"/>
            </w14:solidFill>
          </w14:textFill>
        </w:rPr>
        <w:t xml:space="preserve">将只对供应商第一次质疑作出答复。</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right="119"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.4 </w:t>
      </w:r>
      <w:r>
        <w:rPr>
          <w:rFonts w:hint="eastAsia" w:ascii="仿宋" w:hAnsi="仿宋" w:eastAsia="仿宋" w:cs="宋体"/>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采购人及南通市教育技术中心只接收以纸质原件形式送达的质疑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建议供应商尽量通过邮寄方式提交质疑（采购人和南通市教育技术中心不接受无快递运</w:t>
      </w:r>
      <w:r>
        <w:rPr>
          <w:rFonts w:ascii="仿宋" w:hAnsi="仿宋" w:eastAsia="仿宋"/>
          <w:color w:val="000000" w:themeColor="text1"/>
          <w:sz w:val="28"/>
          <w:szCs w:val="28"/>
          <w:highlight w:val="none"/>
          <w14:textFill>
            <w14:solidFill>
              <w14:schemeClr w14:val="tx1"/>
            </w14:solidFill>
          </w14:textFill>
        </w:rPr>
        <w:t xml:space="preserve">单号</w:t>
      </w:r>
      <w:r>
        <w:rPr>
          <w:rFonts w:hint="eastAsia" w:ascii="仿宋" w:hAnsi="仿宋" w:eastAsia="仿宋"/>
          <w:color w:val="000000" w:themeColor="text1"/>
          <w:sz w:val="28"/>
          <w:szCs w:val="28"/>
          <w:highlight w:val="none"/>
          <w14:textFill>
            <w14:solidFill>
              <w14:schemeClr w14:val="tx1"/>
            </w14:solidFill>
          </w14:textFill>
        </w:rPr>
        <w:t xml:space="preserve">的快递）。</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南通市教育技术中心质疑接收部门为采购科（快递运单上的收件人填写“采购科”即可），联系地址：南通市崇川区板桥路45号南通市教育技术中心采购科，联系电话：0513-85010355。</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采购人质疑接收人及联系方式见招标文件第一章。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 以下情形的质疑不予受理</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.5.1 内容不符合《政府采购质疑和投诉办法》第十二条规定的质疑。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.5.2 超出政府采购法定期限的质疑。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.5.3 以传真、电子邮件等方式递交的非原件形式的质疑。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.5.4 未参加投标活动的供应商或在投标活动中自身权益未受到损害的供应商所提出的质疑。</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.5.5供应商组成联合体参加投标，联合体中任何一方或多方未按要求签字、盖章、加盖公章的质疑。</w:t>
      </w:r>
      <w:r/>
    </w:p>
    <w:p>
      <w:pPr>
        <w:ind w:firstLine="546"/>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31.</w:t>
      </w:r>
      <w:r>
        <w:rPr>
          <w:rFonts w:hint="eastAsia" w:ascii="仿宋" w:hAnsi="仿宋" w:eastAsia="仿宋"/>
          <w:bCs/>
          <w:color w:val="000000" w:themeColor="text1"/>
          <w:sz w:val="28"/>
          <w:szCs w:val="28"/>
          <w:highlight w:val="none"/>
          <w14:textFill>
            <w14:solidFill>
              <w14:schemeClr w14:val="tx1"/>
            </w14:solidFill>
          </w14:textFill>
        </w:rPr>
        <w:t xml:space="preserve">中标通知书</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因未及时下载而造成的不利后果由中标人自行承担。</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bookmarkStart w:id="164" w:name="_Toc16938552"/>
      <w:r/>
      <w:bookmarkStart w:id="165" w:name="_Toc20823308"/>
      <w:r/>
      <w:bookmarkStart w:id="166" w:name="_Toc513029236"/>
      <w:r/>
      <w:bookmarkStart w:id="167" w:name="_Toc120614220"/>
      <w:r>
        <w:rPr>
          <w:rFonts w:hint="eastAsia" w:ascii="仿宋" w:hAnsi="仿宋" w:eastAsia="仿宋"/>
          <w:b/>
          <w:bCs/>
          <w:color w:val="000000" w:themeColor="text1"/>
          <w:sz w:val="28"/>
          <w:szCs w:val="28"/>
          <w:highlight w:val="none"/>
          <w14:textFill>
            <w14:solidFill>
              <w14:schemeClr w14:val="tx1"/>
            </w14:solidFill>
          </w14:textFill>
        </w:rPr>
        <w:t xml:space="preserve">七、授予合同</w:t>
      </w:r>
      <w:bookmarkEnd w:id="164"/>
      <w:r/>
      <w:bookmarkEnd w:id="165"/>
      <w:r/>
      <w:bookmarkEnd w:id="166"/>
      <w:r/>
      <w:bookmarkEnd w:id="167"/>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bookmarkStart w:id="168" w:name="_Toc20823309"/>
      <w:r/>
      <w:bookmarkStart w:id="169" w:name="_Toc513029237"/>
      <w:r/>
      <w:bookmarkStart w:id="170" w:name="_Toc16938553"/>
      <w:r>
        <w:rPr>
          <w:rFonts w:hint="eastAsia" w:ascii="仿宋" w:hAnsi="仿宋" w:eastAsia="仿宋"/>
          <w:bCs/>
          <w:color w:val="000000" w:themeColor="text1"/>
          <w:sz w:val="28"/>
          <w:szCs w:val="28"/>
          <w:highlight w:val="none"/>
          <w:lang w:eastAsia="zh-CN"/>
          <w14:textFill>
            <w14:solidFill>
              <w14:schemeClr w14:val="tx1"/>
            </w14:solidFill>
          </w14:textFill>
        </w:rPr>
        <w:t xml:space="preserve">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招标文件、中标人的投标文件及招标过程中有关澄清、承诺文件均应作为合同附件。</w:t>
      </w: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33.</w:t>
      </w:r>
      <w:r>
        <w:rPr>
          <w:rFonts w:hint="eastAsia" w:ascii="仿宋" w:hAnsi="仿宋" w:eastAsia="仿宋"/>
          <w:bCs/>
          <w:color w:val="000000" w:themeColor="text1"/>
          <w:sz w:val="28"/>
          <w:szCs w:val="28"/>
          <w:highlight w:val="none"/>
          <w14:textFill>
            <w14:solidFill>
              <w14:schemeClr w14:val="tx1"/>
            </w14:solidFill>
          </w14:textFill>
        </w:rPr>
        <w:t xml:space="preserve">货物（包含与货物相关的服务）的追加</w:t>
      </w: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bookmarkEnd w:id="169"/>
      <w:r/>
      <w:bookmarkEnd w:id="170"/>
      <w:r/>
      <w:r/>
    </w:p>
    <w:p>
      <w:pPr>
        <w:keepLines/>
        <w:keepNext/>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outlineLvl w:val="3"/>
      </w:pPr>
      <w:r/>
      <w:bookmarkStart w:id="171" w:name="_Toc16938558"/>
      <w:r/>
      <w:bookmarkStart w:id="172" w:name="_Toc120614221"/>
      <w:r/>
      <w:bookmarkStart w:id="173" w:name="_Toc479757207"/>
      <w:r/>
      <w:bookmarkStart w:id="174" w:name="_Toc513029242"/>
      <w:r/>
      <w:bookmarkStart w:id="175" w:name="_Toc20823314"/>
      <w:r>
        <w:rPr>
          <w:rFonts w:hint="eastAsia" w:ascii="仿宋" w:hAnsi="仿宋" w:eastAsia="仿宋"/>
          <w:bCs/>
          <w:color w:val="000000" w:themeColor="text1"/>
          <w:sz w:val="28"/>
          <w:szCs w:val="28"/>
          <w:highlight w:val="none"/>
          <w:lang w:eastAsia="zh-CN"/>
          <w14:textFill>
            <w14:solidFill>
              <w14:schemeClr w14:val="tx1"/>
            </w14:solidFill>
          </w14:textFill>
        </w:rPr>
        <w:t xml:space="preserve">34.</w:t>
      </w:r>
      <w:r>
        <w:rPr>
          <w:rFonts w:hint="eastAsia" w:ascii="仿宋" w:hAnsi="仿宋" w:eastAsia="仿宋"/>
          <w:bCs/>
          <w:color w:val="000000" w:themeColor="text1"/>
          <w:sz w:val="28"/>
          <w:szCs w:val="28"/>
          <w:highlight w:val="none"/>
          <w14:textFill>
            <w14:solidFill>
              <w14:schemeClr w14:val="tx1"/>
            </w14:solidFill>
          </w14:textFill>
        </w:rPr>
        <w:t xml:space="preserve">政府采购履约资金扶持政策</w:t>
      </w:r>
      <w:r/>
    </w:p>
    <w:p>
      <w:pPr>
        <w:ind w:firstLine="555"/>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ageBreakBefore w:val="0"/>
        <w:spacing w:line="560" w:lineRule="exact"/>
        <w:widowControl w:val="off"/>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pageBreakBefore w:val="0"/>
        <w:spacing w:line="560" w:lineRule="exact"/>
        <w:widowControl w:val="off"/>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r/>
    </w:p>
    <w:p>
      <w:pPr>
        <w:jc w:val="center"/>
        <w:keepNext/>
        <w:rPr>
          <w:rFonts w:hint="eastAsia" w:ascii="黑体" w:eastAsia="黑体"/>
          <w:bCs/>
          <w:color w:val="000000" w:themeColor="text1"/>
          <w:sz w:val="44"/>
          <w:szCs w:val="28"/>
          <w:highlight w:val="none"/>
          <w14:textFill>
            <w14:solidFill>
              <w14:schemeClr w14:val="tx1"/>
            </w14:solidFill>
          </w14:textFill>
        </w:rPr>
        <w:outlineLvl w:val="0"/>
      </w:pPr>
      <w:r/>
      <w:bookmarkStart w:id="176" w:name="_Toc27420"/>
      <w:r>
        <w:rPr>
          <w:rFonts w:hint="eastAsia" w:ascii="黑体" w:eastAsia="黑体"/>
          <w:bCs/>
          <w:color w:val="000000" w:themeColor="text1"/>
          <w:sz w:val="44"/>
          <w:szCs w:val="28"/>
          <w:highlight w:val="none"/>
          <w14:textFill>
            <w14:solidFill>
              <w14:schemeClr w14:val="tx1"/>
            </w14:solidFill>
          </w14:textFill>
        </w:rPr>
        <w:t xml:space="preserve">第三章  合同</w:t>
      </w:r>
      <w:bookmarkEnd w:id="171"/>
      <w:r/>
      <w:bookmarkEnd w:id="172"/>
      <w:r/>
      <w:bookmarkEnd w:id="173"/>
      <w:r/>
      <w:bookmarkEnd w:id="174"/>
      <w:r/>
      <w:bookmarkEnd w:id="175"/>
      <w:r>
        <w:rPr>
          <w:rFonts w:hint="eastAsia" w:ascii="黑体" w:eastAsia="黑体"/>
          <w:bCs/>
          <w:color w:val="000000" w:themeColor="text1"/>
          <w:sz w:val="44"/>
          <w:szCs w:val="28"/>
          <w:highlight w:val="none"/>
          <w14:textFill>
            <w14:solidFill>
              <w14:schemeClr w14:val="tx1"/>
            </w14:solidFill>
          </w14:textFill>
        </w:rPr>
        <w:t xml:space="preserve">文本</w:t>
      </w:r>
      <w:bookmarkEnd w:id="176"/>
      <w:r/>
      <w:bookmarkStart w:id="177" w:name="_Hlt16619369"/>
      <w:r/>
      <w:bookmarkEnd w:id="177"/>
      <w:r/>
      <w:bookmarkStart w:id="178" w:name="_Hlt16619350"/>
      <w:r/>
      <w:bookmarkStart w:id="179" w:name="_Toc20823346"/>
      <w:r/>
      <w:bookmarkStart w:id="180" w:name="_Toc16938590"/>
      <w:r/>
      <w:bookmarkStart w:id="181" w:name="_Toc120614244"/>
      <w:r/>
      <w:bookmarkStart w:id="182" w:name="_Toc462564139"/>
      <w:r/>
      <w:bookmarkStart w:id="183" w:name="_Toc479757211"/>
      <w:r/>
      <w:r/>
    </w:p>
    <w:p>
      <w:pPr>
        <w:jc w:val="center"/>
        <w:rPr>
          <w:rFonts w:ascii="宋体" w:hAnsi="宋体" w:cs="宋体"/>
          <w:b/>
          <w:bCs/>
          <w:color w:val="000000" w:themeColor="text1"/>
          <w:spacing w:val="-20"/>
          <w:sz w:val="48"/>
          <w:szCs w:val="48"/>
          <w:highlight w:val="none"/>
          <w14:textFill>
            <w14:solidFill>
              <w14:schemeClr w14:val="tx1"/>
            </w14:solidFill>
          </w14:textFill>
        </w:rPr>
      </w:pPr>
      <w:r/>
      <w:bookmarkStart w:id="184" w:name="_Toc3995"/>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政府采购货物买卖合同</w:t>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（试行）</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ind w:firstLine="480"/>
        <w:spacing w:line="360" w:lineRule="auto"/>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rPr>
          <w:rFonts w:hint="eastAsia"/>
          <w:color w:val="000000" w:themeColor="text1"/>
          <w:sz w:val="32"/>
          <w:szCs w:val="32"/>
          <w:highlight w:val="none"/>
          <w:u w:val="single"/>
          <w14:textFill>
            <w14:solidFill>
              <w14:schemeClr w14:val="tx1"/>
            </w14:solidFill>
          </w14:textFill>
        </w:rPr>
        <w:t xml:space="preserve">                             </w:t>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r/>
    </w:p>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 用 说 明</w:t>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84"/>
      <w:r/>
      <w:r/>
    </w:p>
    <w:p>
      <w:pPr>
        <w:rPr>
          <w:rFonts w:eastAsia="黑体"/>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bookmarkStart w:id="185"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85"/>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rFonts w:hint="eastAsia" w:ascii="黑体" w:hAnsi="华文中宋" w:eastAsia="黑体"/>
          <w:color w:val="000000" w:themeColor="text1"/>
          <w:sz w:val="28"/>
          <w:szCs w:val="28"/>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p>
    <w:p>
      <w:pPr>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p>
    <w:p>
      <w:pPr>
        <w:numPr>
          <w:ilvl w:val="0"/>
          <w:numId w:val="7"/>
        </w:numPr>
        <w:ind w:firstLine="42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p>
    <w:p>
      <w:pPr>
        <w:spacing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p>
    <w:p>
      <w:pPr>
        <w:ind w:firstLine="52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p>
    <w:p>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涉及车辆采购，请填写是否属于新能源汽车：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p>
    <w:p>
      <w:pPr>
        <w:jc w:val="left"/>
        <w:spacing w:line="400" w:lineRule="exact"/>
        <w:widowControl/>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840"/>
        <w:jc w:val="left"/>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rFonts w:hint="eastAsia"/>
          <w:color w:val="000000" w:themeColor="text1"/>
          <w:szCs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14:textFill>
            <w14:solidFill>
              <w14:schemeClr w14:val="tx1"/>
            </w14:solidFill>
          </w14:textFill>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p>
    <w:p>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p>
    <w:p>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jc w:val="left"/>
        <w:spacing w:line="400" w:lineRule="exact"/>
        <w:widowControl/>
        <w:tabs>
          <w:tab w:val="left" w:pos="134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部分由外国投资者投资</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p>
    <w:p>
      <w:pPr>
        <w:ind w:firstLine="63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r/>
    </w:p>
    <w:p>
      <w:pPr>
        <w:jc w:val="left"/>
        <w:spacing w:line="400" w:lineRule="exact"/>
        <w:widowControl/>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p>
    <w:p>
      <w:pPr>
        <w:jc w:val="left"/>
        <w:spacing w:line="400" w:lineRule="exact"/>
        <w:widowControl/>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快递包装政府采购需求标准（试行）》明确产品及相关快递服务的具体包装要求：</w:t>
      </w:r>
      <w:r/>
    </w:p>
    <w:p>
      <w:pPr>
        <w:ind w:firstLine="945"/>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（3）付款方式（按项目实际勾选填写）：</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p>
    <w:p>
      <w:pPr>
        <w:ind w:firstLine="525"/>
        <w:spacing w:line="400" w:lineRule="exact"/>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525"/>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p>
    <w:p>
      <w:pPr>
        <w:numPr>
          <w:ilvl w:val="0"/>
          <w:numId w:val="6"/>
        </w:numPr>
        <w:ind w:firstLine="421"/>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4"/>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r/>
    </w:p>
    <w:p>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p>
    <w:p>
      <w:pPr>
        <w:numPr>
          <w:ilvl w:val="0"/>
          <w:numId w:val="8"/>
        </w:num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p>
    <w:p>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p>
    <w:p>
      <w:pPr>
        <w:ind w:firstLine="420"/>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Calibri Light" w:hAnsi="Calibri Light"/>
          <w:b/>
          <w:bCs/>
          <w:color w:val="000000" w:themeColor="text1"/>
          <w:sz w:val="32"/>
          <w:szCs w:val="32"/>
          <w:highlight w:val="none"/>
          <w14:textFill>
            <w14:solidFill>
              <w14:schemeClr w14:val="tx1"/>
            </w14:solidFill>
          </w14:textFill>
        </w:rPr>
        <w:br w:type="page" w:clear="all"/>
      </w:r>
      <w:r/>
    </w:p>
    <w:tbl>
      <w:tblPr>
        <w:tblStyle w:val="998"/>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3561"/>
        <w:gridCol w:w="1175"/>
        <w:gridCol w:w="343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p>
        </w:tc>
      </w:tr>
    </w:tbl>
    <w:p>
      <w:pPr>
        <w:jc w:val="center"/>
        <w:keepLines/>
        <w:keepNext/>
        <w:spacing w:before="156" w:after="260" w:line="416" w:lineRule="auto"/>
        <w:rPr>
          <w:rFonts w:ascii="黑体" w:hAnsi="黑体" w:eastAsia="黑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Cs w:val="21"/>
          <w:highlight w:val="none"/>
          <w:u w:val="single"/>
          <w14:textFill>
            <w14:solidFill>
              <w14:schemeClr w14:val="tx1"/>
            </w14:solidFill>
          </w14:textFill>
        </w:rPr>
        <w:br w:type="page" w:clear="all"/>
      </w:r>
      <w:bookmarkStart w:id="186" w:name="_Toc27624"/>
      <w:r>
        <w:rPr>
          <w:rFonts w:hint="eastAsia" w:ascii="黑体" w:hAnsi="黑体" w:eastAsia="黑体"/>
          <w:color w:val="000000" w:themeColor="text1"/>
          <w:sz w:val="28"/>
          <w:szCs w:val="28"/>
          <w:highlight w:val="none"/>
          <w14:textFill>
            <w14:solidFill>
              <w14:schemeClr w14:val="tx1"/>
            </w14:solidFill>
          </w14:textFill>
        </w:rPr>
        <w:t xml:space="preserve">第二节 政府采购合同通用条款</w:t>
      </w:r>
      <w:bookmarkEnd w:id="186"/>
      <w: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 xml:space="preserve">定义</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9"/>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p>
    <w:p>
      <w:pPr>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 履行合同的时间、地点和方式</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 甲方的权利和义务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 乙方的权利和义务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合同履行</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 货物包装、运输、保险和交付要求</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jc w:val="left"/>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 质量标准和保证</w:t>
      </w:r>
      <w:r/>
    </w:p>
    <w:p>
      <w:pPr>
        <w:jc w:val="left"/>
        <w:spacing w:line="400" w:lineRule="exac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8.1 质量标准</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400" w:lineRule="exac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（2）采用中华人民共和国法定计量单位。</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 权利瑕疵担保</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 知识产权保护</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87"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 保密义务</w:t>
      </w:r>
      <w:r/>
    </w:p>
    <w:p>
      <w:pPr>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p>
    <w:p>
      <w:pPr>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p>
    <w:p>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 xml:space="preserve">售后</w:t>
      </w:r>
      <w:r>
        <w:rPr>
          <w:rFonts w:hint="eastAsia" w:ascii="宋体" w:hAnsi="宋体"/>
          <w:b/>
          <w:color w:val="000000" w:themeColor="text1"/>
          <w:sz w:val="24"/>
          <w:szCs w:val="24"/>
          <w:highlight w:val="none"/>
          <w14:textFill>
            <w14:solidFill>
              <w14:schemeClr w14:val="tx1"/>
            </w14:solidFill>
          </w14:textFill>
        </w:rPr>
        <w:t xml:space="preserve">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约定，货物在有效使用年限届满后应予回收的，乙方负有自行或者委托第三人对货物予以回收的义务；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15. 违约责任</w:t>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p>
    <w:p>
      <w:pPr>
        <w:numPr>
          <w:ilvl w:val="0"/>
          <w:numId w:val="11"/>
        </w:num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合同变更、中止与终止</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16.1合同的变更</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p>
    <w:p>
      <w:pPr>
        <w:jc w:val="left"/>
        <w:spacing w:line="400" w:lineRule="exact"/>
        <w:widowControl/>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 xml:space="preserve">涉及国家利益、社会公共利益的情形</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17. 合同分包</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18. 不可抗力</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19. 解决争议的方法</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选择仲裁的，应在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 政府采购政策</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 xml:space="preserve">本合同应当按照规定执行政府采购政策。</w:t>
      </w:r>
      <w:r/>
    </w:p>
    <w:p>
      <w:pPr>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 xml:space="preserve">甲乙双方</w:t>
      </w:r>
      <w:r>
        <w:rPr>
          <w:rFonts w:hint="eastAsia" w:ascii="宋体" w:hAnsi="宋体" w:cs="宋体"/>
          <w:color w:val="000000" w:themeColor="text1"/>
          <w:szCs w:val="24"/>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 法律适用</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本合同的订立、生效、解释、履行及与本合同有关的争议解决，均适用法律、行政法规。</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 通知</w:t>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合同未尽事项</w:t>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 合同附件与合同正文具有同等的法律效力。</w:t>
      </w:r>
      <w:bookmarkStart w:id="188" w:name="_Toc20313"/>
      <w: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 xml:space="preserve">第三节 政府采购合同专用条款</w:t>
      </w:r>
      <w:bookmarkEnd w:id="188"/>
      <w:r/>
      <w:r/>
    </w:p>
    <w:tbl>
      <w:tblPr>
        <w:tblStyle w:val="998"/>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p>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p>
          <w:p>
            <w:pPr>
              <w:jc w:val="center"/>
              <w:spacing w:line="400" w:lineRule="exact"/>
              <w:widowControl/>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tc>
      </w:tr>
    </w:tbl>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spacing w:line="360" w:lineRule="auto"/>
        <w:rPr>
          <w:rFonts w:ascii="等线" w:hAnsi="等线" w:eastAsia="等线" w:cs="仿宋"/>
          <w:color w:val="000000" w:themeColor="text1"/>
          <w:szCs w:val="21"/>
          <w:highlight w:val="none"/>
          <w14:textFill>
            <w14:solidFill>
              <w14:schemeClr w14:val="tx1"/>
            </w14:solidFill>
          </w14:textFill>
        </w:rPr>
      </w:pPr>
      <w:r>
        <w:rPr>
          <w:rFonts w:ascii="等线" w:hAnsi="等线" w:eastAsia="等线" w:cs="仿宋"/>
          <w:color w:val="000000" w:themeColor="text1"/>
          <w:szCs w:val="21"/>
          <w:highlight w:val="none"/>
          <w14:textFill>
            <w14:solidFill>
              <w14:schemeClr w14:val="tx1"/>
            </w14:solidFill>
          </w14:textFill>
        </w:rPr>
      </w:r>
      <w:r/>
    </w:p>
    <w:p>
      <w:pPr>
        <w:jc w:val="center"/>
        <w:spacing w:before="120" w:after="120" w:line="480" w:lineRule="exact"/>
        <w:rPr>
          <w:rFonts w:hint="eastAsia"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89" w:name="_Toc21863"/>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8"/>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9"/>
      <w:r/>
      <w:bookmarkEnd w:id="180"/>
      <w:r/>
      <w:bookmarkEnd w:id="181"/>
      <w:r/>
      <w:bookmarkEnd w:id="189"/>
      <w:r/>
      <w:r/>
    </w:p>
    <w:p>
      <w:pPr>
        <w:spacing w:after="62" w:line="540" w:lineRule="exact"/>
        <w:rPr>
          <w:rFonts w:ascii="Times New Roman" w:hAnsi="Times New Roman" w:eastAsia="仿宋" w:cs="Times New Roman"/>
          <w:color w:val="000000"/>
          <w:sz w:val="28"/>
          <w:szCs w:val="28"/>
          <w:highlight w:val="none"/>
        </w:rPr>
      </w:pPr>
      <w:r/>
      <w:bookmarkStart w:id="190" w:name="_Toc49090575"/>
      <w:r/>
      <w:bookmarkStart w:id="191" w:name="_Toc120614281"/>
      <w:r/>
      <w:bookmarkStart w:id="192" w:name="_Toc26554093"/>
      <w:r>
        <w:rPr>
          <w:rFonts w:ascii="Times New Roman" w:hAnsi="Times New Roman" w:eastAsia="仿宋" w:cs="Times New Roman"/>
          <w:color w:val="000000"/>
          <w:sz w:val="28"/>
          <w:szCs w:val="28"/>
          <w:highlight w:val="none"/>
        </w:rPr>
        <w:t xml:space="preserve">项目属性</w:t>
      </w:r>
      <w:r>
        <w:rPr>
          <w:rFonts w:hint="eastAsia" w:ascii="Times New Roman" w:hAnsi="Times New Roman" w:eastAsia="仿宋" w:cs="Times New Roman"/>
          <w:color w:val="000000"/>
          <w:sz w:val="28"/>
          <w:szCs w:val="28"/>
          <w:highlight w:val="none"/>
          <w:lang w:eastAsia="zh-CN"/>
        </w:rPr>
        <w:t xml:space="preserve">：</w:t>
      </w:r>
      <w:r>
        <w:rPr>
          <w:rFonts w:ascii="Times New Roman" w:hAnsi="Times New Roman" w:eastAsia="仿宋" w:cs="Times New Roman"/>
          <w:color w:val="000000"/>
          <w:sz w:val="28"/>
          <w:szCs w:val="28"/>
          <w:highlight w:val="none"/>
        </w:rPr>
        <w:t xml:space="preserve">货物类项目。</w:t>
      </w:r>
      <w:r/>
    </w:p>
    <w:p>
      <w:pPr>
        <w:spacing w:after="62" w:line="540" w:lineRule="exact"/>
        <w:rPr>
          <w:rFonts w:ascii="Times New Roman" w:hAnsi="Times New Roman" w:eastAsia="仿宋" w:cs="Times New Roman"/>
          <w:color w:val="ff0000"/>
          <w:sz w:val="28"/>
          <w:szCs w:val="28"/>
          <w:highlight w:val="none"/>
        </w:rPr>
      </w:pPr>
      <w:r>
        <w:rPr>
          <w:rFonts w:ascii="Times New Roman" w:hAnsi="Times New Roman" w:eastAsia="仿宋" w:cs="Times New Roman"/>
          <w:b/>
          <w:sz w:val="28"/>
          <w:szCs w:val="28"/>
          <w:highlight w:val="none"/>
        </w:rPr>
        <w:t xml:space="preserve">一、采购标的清单：</w:t>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990"/>
        <w:gridCol w:w="2419"/>
      </w:tblGrid>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分包</w:t>
            </w:r>
            <w:r/>
          </w:p>
        </w:tc>
        <w:tc>
          <w:tcPr>
            <w:tcW w:w="1104"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序号</w:t>
            </w:r>
            <w:r/>
          </w:p>
        </w:tc>
        <w:tc>
          <w:tcPr>
            <w:tcW w:w="3990"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采购标的</w:t>
            </w:r>
            <w:r/>
          </w:p>
        </w:tc>
        <w:tc>
          <w:tcPr>
            <w:tcW w:w="2419"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对应中小企业划分标准所属行业</w:t>
            </w:r>
            <w:r/>
          </w:p>
        </w:tc>
      </w:tr>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包1</w:t>
            </w:r>
            <w:r/>
          </w:p>
        </w:tc>
        <w:tc>
          <w:tcPr>
            <w:tcW w:w="1104"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1</w:t>
            </w:r>
            <w:r/>
          </w:p>
        </w:tc>
        <w:tc>
          <w:tcPr>
            <w:tcW w:w="3990"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食堂厨具（含桌凳）设备</w:t>
            </w:r>
            <w:r>
              <w:rPr>
                <w:rFonts w:hint="eastAsia" w:ascii="Times New Roman" w:hAnsi="Times New Roman" w:eastAsia="仿宋" w:cs="Times New Roman"/>
                <w:sz w:val="28"/>
                <w:szCs w:val="28"/>
                <w:highlight w:val="none"/>
                <w:lang w:eastAsia="zh-CN"/>
              </w:rPr>
              <w:t xml:space="preserve">采购和安装</w:t>
            </w:r>
            <w:r>
              <w:rPr>
                <w:rFonts w:ascii="Times New Roman" w:hAnsi="Times New Roman" w:eastAsia="仿宋" w:cs="Times New Roman"/>
                <w:sz w:val="28"/>
                <w:szCs w:val="28"/>
                <w:highlight w:val="none"/>
              </w:rPr>
              <w:t xml:space="preserve">项目采购</w:t>
            </w:r>
            <w:r/>
          </w:p>
        </w:tc>
        <w:tc>
          <w:tcPr>
            <w:tcW w:w="2419"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工业</w:t>
            </w:r>
            <w:r/>
          </w:p>
        </w:tc>
      </w:tr>
    </w:tbl>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具体采购清单及技术要求详见附件。</w:t>
      </w:r>
      <w:r/>
    </w:p>
    <w:p>
      <w:pPr>
        <w:spacing w:after="62" w:line="54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二、技术要求</w:t>
      </w:r>
      <w:r/>
    </w:p>
    <w:p>
      <w:pPr>
        <w:ind w:firstLine="560"/>
        <w:spacing w:after="62" w:line="54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包括性能、材料、结构、外观、安全，或者服务内容和标准等；餐桌、保温柜等：</w:t>
      </w:r>
      <w:r/>
    </w:p>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（一）采购标的需实现的功能或者目标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 以及为落实政府采购政策需满足的要求</w:t>
      </w:r>
      <w:r/>
    </w:p>
    <w:p>
      <w:pPr>
        <w:ind w:firstLine="560"/>
        <w:spacing w:after="62" w:line="54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学校食堂设备采购项目，满足学校师生员工就餐需求。采购范围包括学校厨房设备的制作、运输、安装、摆放就位、检测、售后服务等，性能、材料、结构、外观、安全等技术参数详见清单。本项目为“交钥匙工程”，项目所需厨具的制造、包装、运输（运到采购人指定地点），厨具设备安装过程中可能涉及原有进排水系统、供电、供气线路调整，以及厨具安装调试、试运行、验收、提供备品备件、技术培训、成品保护、售后服务、质保、维护保养等，直至最后交付使用的完整性项目。以上所涉及并产生的费用均包含在响应总价中，成交人不得再要求追加任何费用。</w:t>
      </w:r>
      <w:r/>
    </w:p>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（二）采购标的需执行的国家相关标准、行业标准、地方标准或者其他标准、规范</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sz w:val="28"/>
          <w:szCs w:val="28"/>
          <w:highlight w:val="none"/>
          <w:lang w:eastAsia="zh-CN"/>
        </w:rPr>
        <w:t xml:space="preserve">法律法规</w:t>
      </w:r>
      <w:r>
        <w:rPr>
          <w:rFonts w:ascii="Times New Roman" w:hAnsi="Times New Roman" w:eastAsia="仿宋" w:cs="Times New Roman"/>
          <w:sz w:val="28"/>
          <w:szCs w:val="28"/>
          <w:highlight w:val="none"/>
        </w:rPr>
        <w:t xml:space="preserve">规定的要求。</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项目提供的技术要求</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规格</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只是对产品的一些原则性要求，并不是最详尽的描述和要求，投标人有责任依据相关设计技术规范和有关行业国家标准执行。</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投标人应保证提供的产品不得侵犯第三方专利权、商标权和设计权、版权等。否则，投标人应负全部责任，并承担由此引起的一切后果。</w:t>
      </w: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4.</w:t>
      </w:r>
      <w:r>
        <w:rPr>
          <w:rFonts w:ascii="Times New Roman" w:hAnsi="Times New Roman" w:eastAsia="仿宋" w:cs="Times New Roman"/>
          <w:sz w:val="28"/>
          <w:szCs w:val="28"/>
          <w:highlight w:val="none"/>
        </w:rPr>
        <w:t xml:space="preserve">原材料抽检要求：在采购产品生产过程中，采购人必要时可以进行驻厂监督。中标人交货后，安装前，由中标人委托具有相应资质的第三方检测单位（须经采购人同意）对采购产品（主要是不锈钢制品）进行检测或抽检，费用含在报价中，结算时不</w:t>
      </w:r>
      <w:r>
        <w:rPr>
          <w:rFonts w:hint="eastAsia" w:ascii="Times New Roman" w:hAnsi="Times New Roman" w:eastAsia="仿宋" w:cs="Times New Roman"/>
          <w:sz w:val="28"/>
          <w:szCs w:val="28"/>
          <w:highlight w:val="none"/>
          <w:lang w:eastAsia="zh-CN"/>
        </w:rPr>
        <w:t xml:space="preserve">做</w:t>
      </w:r>
      <w:r>
        <w:rPr>
          <w:rFonts w:ascii="Times New Roman" w:hAnsi="Times New Roman" w:eastAsia="仿宋" w:cs="Times New Roman"/>
          <w:sz w:val="28"/>
          <w:szCs w:val="28"/>
          <w:highlight w:val="none"/>
        </w:rPr>
        <w:t xml:space="preserve">调整。如不符合采购需求中技术参数要求的，采购人有权终止合同，扣除全部履约保证金，给采购人造成的损失由中标人承担。</w:t>
      </w:r>
      <w:r/>
    </w:p>
    <w:p>
      <w:pPr>
        <w:ind w:firstLine="562"/>
        <w:jc w:val="left"/>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（三）采购标的需满足的质量、安全、技术规格、物理特性等要求设备技术参数要求</w:t>
      </w:r>
      <w:r/>
    </w:p>
    <w:p>
      <w:pPr>
        <w:ind w:firstLine="562"/>
        <w:jc w:val="left"/>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1、食堂功能区域清单</w:t>
      </w:r>
      <w:r/>
    </w:p>
    <w:tbl>
      <w:tblPr>
        <w:tblStyle w:val="998"/>
        <w:tblW w:w="8466" w:type="dxa"/>
        <w:jc w:val="center"/>
        <w:tblLayout w:type="fixed"/>
        <w:tblCellMar>
          <w:left w:w="108" w:type="dxa"/>
          <w:top w:w="0" w:type="dxa"/>
          <w:right w:w="108" w:type="dxa"/>
          <w:bottom w:w="0" w:type="dxa"/>
        </w:tblCellMar>
        <w:tblLook w:val="04A0" w:firstRow="1" w:lastRow="0" w:firstColumn="1" w:lastColumn="0" w:noHBand="0" w:noVBand="1"/>
      </w:tblPr>
      <w:tblGrid>
        <w:gridCol w:w="897"/>
        <w:gridCol w:w="5004"/>
        <w:gridCol w:w="795"/>
        <w:gridCol w:w="825"/>
        <w:gridCol w:w="945"/>
      </w:tblGrid>
      <w:tr>
        <w:trPr>
          <w:jc w:val="center"/>
          <w:trHeight w:val="435"/>
        </w:trPr>
        <w:tc>
          <w:tcPr>
            <w:gridSpan w:val="5"/>
            <w:shd w:val="clear" w:color="auto" w:fill="auto"/>
            <w:tcBorders>
              <w:top w:val="single" w:color="000000" w:sz="4" w:space="0"/>
              <w:left w:val="single" w:color="000000" w:sz="4" w:space="0"/>
              <w:bottom w:val="none" w:color="000000" w:sz="4" w:space="0"/>
              <w:right w:val="single" w:color="000000" w:sz="4" w:space="0"/>
            </w:tcBorders>
            <w:tcW w:w="8466" w:type="dxa"/>
            <w:vAlign w:val="center"/>
            <w:textDirection w:val="lrTb"/>
            <w:noWrap w:val="false"/>
          </w:tcPr>
          <w:p>
            <w:pPr>
              <w:jc w:val="center"/>
              <w:spacing w:after="62"/>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lang w:bidi="ar"/>
              </w:rPr>
              <w:t xml:space="preserve">①</w:t>
            </w:r>
            <w:r>
              <w:rPr>
                <w:rStyle w:val="1325"/>
                <w:rFonts w:ascii="Times New Roman" w:hAnsi="Times New Roman" w:cs="Times New Roman"/>
                <w:highlight w:val="none"/>
                <w:lang w:bidi="ar"/>
              </w:rPr>
              <w:t xml:space="preserve">食堂功能区域设备清单</w:t>
            </w:r>
            <w:r/>
          </w:p>
        </w:tc>
      </w:tr>
      <w:tr>
        <w:trPr>
          <w:jc w:val="center"/>
          <w:trHeight w:val="28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编号</w:t>
            </w: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产品名称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8" w:space="0"/>
            </w:tcBorders>
            <w:tcW w:w="94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备注</w:t>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A收货区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电子落地</w:t>
            </w:r>
            <w:r>
              <w:rPr>
                <w:rFonts w:hint="eastAsia" w:ascii="Times New Roman" w:hAnsi="Times New Roman" w:eastAsia="宋体" w:cs="Times New Roman"/>
                <w:color w:val="000000"/>
                <w:sz w:val="24"/>
                <w:highlight w:val="none"/>
                <w:lang w:eastAsia="zh-CN" w:bidi="ar"/>
              </w:rPr>
              <w:t xml:space="preserve">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B更衣室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感应水龙头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Style w:val="1326"/>
                <w:rFonts w:hint="default" w:ascii="Times New Roman" w:hAnsi="Times New Roman" w:cs="Times New Roman"/>
                <w:highlight w:val="none"/>
              </w:rPr>
            </w:pPr>
            <w:r>
              <w:rPr>
                <w:rFonts w:hint="eastAsia" w:ascii="宋体" w:hAnsi="宋体" w:cs="宋体"/>
                <w:color w:val="000000"/>
                <w:sz w:val="22"/>
                <w:szCs w:val="22"/>
                <w:highlight w:val="none"/>
                <w:lang w:bidi="ar"/>
              </w:rPr>
              <w:t xml:space="preserve">小厨宝</w:t>
            </w:r>
            <w:r>
              <w:rPr>
                <w:rFonts w:hint="eastAsia" w:ascii="宋体" w:hAnsi="宋体" w:cs="宋体"/>
                <w:b/>
                <w:bCs/>
                <w:color w:val="000000"/>
                <w:sz w:val="22"/>
                <w:szCs w:val="22"/>
                <w:highlight w:val="none"/>
                <w:lang w:bidi="ar"/>
              </w:rPr>
              <w:t xml:space="preserve">（节能产品政府强制采购产品）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C冷库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D仓库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57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塑料平板推车（</w:t>
            </w:r>
            <w:r>
              <w:rPr>
                <w:rStyle w:val="1326"/>
                <w:rFonts w:hint="default" w:ascii="Times New Roman" w:hAnsi="Times New Roman" w:cs="Times New Roman"/>
                <w:sz w:val="21"/>
                <w:szCs w:val="21"/>
                <w:highlight w:val="none"/>
                <w:lang w:bidi="ar"/>
              </w:rPr>
              <w:t xml:space="preserve">收货区5台，送班级用10台</w:t>
            </w:r>
            <w:r>
              <w:rPr>
                <w:rFonts w:ascii="Times New Roman" w:hAnsi="Times New Roman" w:eastAsia="宋体" w:cs="Times New Roman"/>
                <w:color w:val="000000"/>
                <w:sz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塑料平板推车</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E洗涤用品库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F荤菜粗加工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绞切三用机</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右单星杀鱼台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F10</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四门双温高身柜</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F11</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刀具砧板消毒柜</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G素菜粗加工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G01</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多功能切菜机</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H主厨间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燃气大锅灶（1000大锅）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燃气炒灶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燃气大锅灶（800大锅）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炉拼台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灶封板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36.12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m²</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I蒸煮间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I01</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四层冲孔货架</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电磁摇摆汤炉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电蒸箱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电蒸箱</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I07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宋体" w:hAnsi="宋体" w:eastAsia="宋体" w:cs="宋体"/>
                <w:color w:val="000000"/>
                <w:sz w:val="22"/>
                <w:szCs w:val="22"/>
                <w:highlight w:val="none"/>
                <w:lang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灶封板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m²</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J留样间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智能留样柜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K存储间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四门冷冻高身柜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L洗碗间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L04</w:t>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全自动长龙式洗碗机</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M消毒间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定制高温智控热风循环消毒房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收碗推车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N一楼备餐间</w:t>
            </w:r>
            <w:r/>
          </w:p>
        </w:tc>
        <w:tc>
          <w:tcPr>
            <w:shd w:val="clear" w:color="auto" w:fill="auto"/>
            <w:tcBorders>
              <w:top w:val="non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non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1/1份数盘不带盖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O二楼工具间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O01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O02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P二楼洗消间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双层工作台</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全自动长龙式洗碗机（含全自动分配器）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洗碗机机用液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Q教师备餐间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六门双温冰箱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智能留样柜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双头煮面炉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数显温控J40系列包体长方形液压餐炉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w:t>
            </w:r>
            <w:r>
              <w:rPr>
                <w:rFonts w:hint="eastAsia" w:ascii="Times New Roman" w:hAnsi="Times New Roman" w:eastAsia="宋体" w:cs="Times New Roman"/>
                <w:color w:val="000000"/>
                <w:sz w:val="24"/>
                <w:highlight w:val="none"/>
                <w:lang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w:t>
            </w:r>
            <w:r>
              <w:rPr>
                <w:rFonts w:hint="eastAsia"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暖汤煲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勾柄厨具/汤勺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精抛食品夹单齿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餐夹搁盘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R二楼学生备餐间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保温汤桶车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1/1份数盘不带盖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6"/>
                <w:rFonts w:hint="default" w:ascii="Times New Roman" w:hAnsi="Times New Roman" w:cs="Times New Roman"/>
                <w:highlight w:val="none"/>
                <w:lang w:bidi="ar"/>
              </w:rPr>
              <w:t xml:space="preserve">水龙头</w:t>
            </w:r>
            <w:r>
              <w:rPr>
                <w:rStyle w:val="1327"/>
                <w:rFonts w:hint="default" w:ascii="Times New Roman" w:hAnsi="Times New Roman" w:cs="Times New Roman"/>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五格餐盘带盖</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双层不锈钢小碗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不锈钢小勺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双层保温桶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S09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送餐保温箱（含2个1/2盆）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平板塑料垫板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排烟系统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57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（一楼主厨间）机械静电光解复合式集烟罩（油烟净化一体设备）</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一楼蒸煮间集气罩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二楼洗碗机集气罩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二楼早餐间集气罩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5#轴流风机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低噪音厢式风机（新风风机）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排烟管道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百叶窗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p>
        </w:tc>
      </w:tr>
      <w:tr>
        <w:trPr>
          <w:jc w:val="center"/>
          <w:trHeight w:val="30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19</w:t>
            </w:r>
            <w:r/>
          </w:p>
        </w:tc>
        <w:tc>
          <w:tcPr>
            <w:shd w:val="clear" w:color="auto" w:fill="auto"/>
            <w:tcBorders>
              <w:top w:val="single" w:color="000000" w:sz="4" w:space="0"/>
              <w:left w:val="single" w:color="000000" w:sz="4" w:space="0"/>
              <w:bottom w:val="single" w:color="000000" w:sz="8"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p>
        </w:tc>
        <w:tc>
          <w:tcPr>
            <w:shd w:val="clear" w:color="auto" w:fill="auto"/>
            <w:tcBorders>
              <w:top w:val="single" w:color="000000" w:sz="4" w:space="0"/>
              <w:left w:val="single" w:color="000000" w:sz="4" w:space="0"/>
              <w:bottom w:val="single" w:color="000000" w:sz="8"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p>
        </w:tc>
      </w:tr>
      <w:tr>
        <w:trPr>
          <w:jc w:val="center"/>
          <w:trHeight w:val="510"/>
        </w:trPr>
        <w:tc>
          <w:tcPr>
            <w:gridSpan w:val="4"/>
            <w:shd w:val="clear" w:color="auto" w:fill="auto"/>
            <w:tcBorders>
              <w:top w:val="none" w:color="000000" w:sz="4" w:space="0"/>
              <w:left w:val="none" w:color="000000" w:sz="4" w:space="0"/>
              <w:bottom w:val="none" w:color="000000" w:sz="4" w:space="0"/>
              <w:right w:val="none" w:color="000000" w:sz="4" w:space="0"/>
            </w:tcBorders>
            <w:tcW w:w="7521" w:type="dxa"/>
            <w:vAlign w:val="center"/>
            <w:textDirection w:val="lrTb"/>
            <w:noWrap/>
          </w:tcPr>
          <w:p>
            <w:pPr>
              <w:jc w:val="center"/>
              <w:spacing w:after="62"/>
              <w:widowControl/>
              <w:rPr>
                <w:rFonts w:ascii="Times New Roman" w:hAnsi="Times New Roman" w:cs="Times New Roman"/>
                <w:b/>
                <w:bCs/>
                <w:color w:val="000000"/>
                <w:sz w:val="36"/>
                <w:szCs w:val="36"/>
                <w:highlight w:val="none"/>
              </w:rPr>
            </w:pPr>
            <w:r>
              <w:rPr>
                <w:rStyle w:val="1325"/>
                <w:rFonts w:ascii="Times New Roman" w:hAnsi="Times New Roman" w:cs="Times New Roman"/>
                <w:highlight w:val="none"/>
                <w:lang w:bidi="ar"/>
              </w:rPr>
              <w:t xml:space="preserve">②厨房工具采购清单</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28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p>
        </w:tc>
        <w:tc>
          <w:tcPr>
            <w:shd w:val="clear" w:color="auto" w:fill="auto"/>
            <w:tcBorders>
              <w:top w:val="single" w:color="000000" w:sz="8" w:space="0"/>
              <w:left w:val="single" w:color="000000" w:sz="4" w:space="0"/>
              <w:bottom w:val="single" w:color="000000" w:sz="4" w:space="0"/>
              <w:right w:val="single" w:color="000000" w:sz="8"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密胺面碗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切菜刀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斩骨刀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削皮刀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聚酯切菜板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聚酯切肉、砍骨板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打汤勺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不锈钢笊篱</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塑料垃圾桶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厨余垃圾桶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刀叉框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广式水勺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长柄水勺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宽边油隔</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洗米箩</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荷花夹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铲刀头连木柄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刨刀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鱼鳞刨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肉锤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水果刀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打蛋器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耐高温手套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副</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防水手套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防水围裙</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件</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块</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水鞋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马斗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油缸</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调料缸</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小勺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密格平框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杯框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7521" w:type="dxa"/>
            <w:vAlign w:val="center"/>
            <w:textDirection w:val="lrTb"/>
            <w:noWrap/>
          </w:tcPr>
          <w:p>
            <w:pPr>
              <w:jc w:val="center"/>
              <w:spacing w:after="62"/>
              <w:widowControl/>
              <w:rPr>
                <w:rFonts w:ascii="Times New Roman" w:hAnsi="Times New Roman" w:cs="Times New Roman"/>
                <w:color w:val="000000"/>
                <w:sz w:val="28"/>
                <w:szCs w:val="28"/>
                <w:highlight w:val="none"/>
              </w:rPr>
            </w:pPr>
            <w:r>
              <w:rPr>
                <w:rStyle w:val="1325"/>
                <w:rFonts w:ascii="Times New Roman" w:hAnsi="Times New Roman" w:cs="Times New Roman"/>
                <w:highlight w:val="none"/>
                <w:lang w:bidi="ar"/>
              </w:rPr>
              <w:t xml:space="preserve">③食堂桌椅采购清单</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tc>
      </w:tr>
      <w:tr>
        <w:trPr>
          <w:jc w:val="center"/>
          <w:trHeight w:val="37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区域翻转式四人连座折叠座椅</w:t>
            </w: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p>
        </w:tc>
        <w:tc>
          <w:tcPr>
            <w:shd w:val="clear" w:color="auto" w:fill="auto"/>
            <w:tcBorders>
              <w:top w:val="single" w:color="000000" w:sz="8" w:space="0"/>
              <w:left w:val="single" w:color="000000" w:sz="4" w:space="0"/>
              <w:bottom w:val="single" w:color="000000" w:sz="4" w:space="0"/>
              <w:right w:val="single" w:color="000000" w:sz="8"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1楼学生餐厅翻转式四人连座折叠座椅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224</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restart"/>
            <w:textDirection w:val="lrTb"/>
            <w:noWrap/>
          </w:tcPr>
          <w:p>
            <w:pPr>
              <w:jc w:val="center"/>
              <w:spacing w:after="62"/>
              <w:widowControl/>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lang w:bidi="ar"/>
              </w:rPr>
              <w:t xml:space="preserve">张</w:t>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2楼学生餐厅翻转式四人连座折叠座椅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280</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2楼教工餐厅翻转式四人连座折叠座椅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120</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r>
        <w:trPr>
          <w:jc w:val="center"/>
          <w:trHeight w:val="319"/>
        </w:trPr>
        <w:tc>
          <w:tcPr>
            <w:gridSpan w:val="2"/>
            <w:shd w:val="clear" w:color="auto" w:fill="auto"/>
            <w:tcBorders>
              <w:top w:val="single" w:color="000000" w:sz="4" w:space="0"/>
              <w:left w:val="single" w:color="000000" w:sz="8" w:space="0"/>
              <w:bottom w:val="single" w:color="000000" w:sz="8" w:space="0"/>
              <w:right w:val="single" w:color="000000" w:sz="4" w:space="0"/>
            </w:tcBorders>
            <w:tcW w:w="5901" w:type="dxa"/>
            <w:vAlign w:val="center"/>
            <w:textDirection w:val="lrTb"/>
            <w:noWrap/>
          </w:tcPr>
          <w:p>
            <w:pPr>
              <w:spacing w:after="62"/>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4"/>
                <w:highlight w:val="none"/>
                <w:lang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624</w:t>
            </w: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p>
        </w:tc>
      </w:tr>
    </w:tbl>
    <w:p>
      <w:pPr>
        <w:ind w:firstLine="562"/>
        <w:jc w:val="left"/>
        <w:spacing w:after="62" w:line="540" w:lineRule="exact"/>
        <w:rPr>
          <w:rFonts w:ascii="Times New Roman" w:hAnsi="Times New Roman" w:eastAsia="仿宋" w:cs="Times New Roman"/>
          <w:b/>
          <w:bCs/>
          <w:sz w:val="28"/>
          <w:szCs w:val="28"/>
          <w:highlight w:val="none"/>
        </w:rPr>
        <w:sectPr>
          <w:footerReference w:type="default" r:id="rId16"/>
          <w:footnotePr/>
          <w:endnotePr/>
          <w:type w:val="nextPage"/>
          <w:pgSz w:w="11906" w:h="16838" w:orient="portrait"/>
          <w:pgMar w:top="1417" w:right="1417" w:bottom="1417" w:left="1417" w:header="851" w:footer="992" w:gutter="0"/>
          <w:cols w:num="1" w:sep="0" w:space="425" w:equalWidth="1"/>
          <w:docGrid w:linePitch="360"/>
        </w:sectPr>
      </w:pPr>
      <w:r>
        <w:rPr>
          <w:rFonts w:ascii="Times New Roman" w:hAnsi="Times New Roman" w:eastAsia="仿宋" w:cs="Times New Roman"/>
          <w:b/>
          <w:bCs/>
          <w:sz w:val="28"/>
          <w:szCs w:val="28"/>
          <w:highlight w:val="none"/>
        </w:rPr>
      </w:r>
      <w:r/>
    </w:p>
    <w:p>
      <w:pPr>
        <w:ind w:firstLine="562"/>
        <w:jc w:val="left"/>
        <w:spacing w:after="62" w:line="540" w:lineRule="exact"/>
        <w:rPr>
          <w:rFonts w:ascii="Times New Roman" w:hAnsi="Times New Roman" w:eastAsia="仿宋" w:cs="Times New Roman"/>
          <w:b/>
          <w:bCs/>
          <w:sz w:val="28"/>
          <w:szCs w:val="28"/>
          <w:highlight w:val="none"/>
        </w:rPr>
      </w:pPr>
      <w:r>
        <w:rPr>
          <w:rFonts w:hint="eastAsia" w:ascii="Times New Roman" w:hAnsi="Times New Roman" w:eastAsia="仿宋" w:cs="Times New Roman"/>
          <w:b/>
          <w:bCs/>
          <w:sz w:val="28"/>
          <w:szCs w:val="28"/>
          <w:highlight w:val="none"/>
          <w:lang w:eastAsia="zh-CN"/>
        </w:rPr>
        <w:t xml:space="preserve">2.</w:t>
      </w:r>
      <w:r>
        <w:rPr>
          <w:rFonts w:ascii="Times New Roman" w:hAnsi="Times New Roman" w:eastAsia="仿宋" w:cs="Times New Roman"/>
          <w:b/>
          <w:bCs/>
          <w:sz w:val="28"/>
          <w:szCs w:val="28"/>
          <w:highlight w:val="none"/>
        </w:rPr>
        <w:t xml:space="preserve">具体采购清单及技术要求</w:t>
      </w:r>
      <w:r/>
    </w:p>
    <w:tbl>
      <w:tblPr>
        <w:tblStyle w:val="998"/>
        <w:tblpPr w:horzAnchor="page" w:tblpXSpec="center" w:vertAnchor="text" w:tblpY="587" w:leftFromText="180" w:topFromText="0" w:rightFromText="180" w:bottomFromText="0"/>
        <w:tblW w:w="14552" w:type="dxa"/>
        <w:jc w:val="center"/>
        <w:tblLayout w:type="autofit"/>
        <w:tblCellMar>
          <w:left w:w="108" w:type="dxa"/>
          <w:top w:w="0" w:type="dxa"/>
          <w:right w:w="108" w:type="dxa"/>
          <w:bottom w:w="0" w:type="dxa"/>
        </w:tblCellMar>
        <w:tblLook w:val="04A0" w:firstRow="1" w:lastRow="0" w:firstColumn="1" w:lastColumn="0" w:noHBand="0" w:noVBand="1"/>
      </w:tblPr>
      <w:tblGrid>
        <w:gridCol w:w="457"/>
        <w:gridCol w:w="1233"/>
        <w:gridCol w:w="1857"/>
        <w:gridCol w:w="9310"/>
        <w:gridCol w:w="870"/>
        <w:gridCol w:w="825"/>
      </w:tblGrid>
      <w:tr>
        <w:trPr>
          <w:jc w:val="center"/>
          <w:trHeight w:val="375"/>
        </w:trPr>
        <w:tc>
          <w:tcPr>
            <w:gridSpan w:val="6"/>
            <w:shd w:val="clear" w:color="auto" w:fill="auto"/>
            <w:tcBorders>
              <w:top w:val="none" w:color="000000" w:sz="4" w:space="0"/>
              <w:left w:val="none" w:color="000000" w:sz="4" w:space="0"/>
              <w:bottom w:val="none" w:color="000000" w:sz="4" w:space="0"/>
              <w:right w:val="none" w:color="000000" w:sz="4" w:space="0"/>
            </w:tcBorders>
            <w:tcW w:w="14552" w:type="dxa"/>
            <w:vAlign w:val="center"/>
            <w:textDirection w:val="lrTb"/>
            <w:noWrap/>
          </w:tcPr>
          <w:p>
            <w:pPr>
              <w:jc w:val="center"/>
              <w:spacing w:after="62"/>
              <w:widowControl/>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lang w:bidi="ar"/>
              </w:rPr>
              <w:t xml:space="preserve">①食堂功能区域设备采购清单及技术参数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400" w:lineRule="exact"/>
              <w:widowControl/>
              <w:rPr>
                <w:rFonts w:hint="eastAsia"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规格尺寸</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单位</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900*400*1800</w:t>
            </w: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采用厚度0.6mm的优质</w:t>
            </w:r>
            <w:r>
              <w:rPr>
                <w:rFonts w:hint="eastAsia" w:ascii="Times New Roman" w:hAnsi="Times New Roman" w:eastAsia="宋体" w:cs="Times New Roman"/>
                <w:color w:val="auto"/>
                <w:sz w:val="22"/>
                <w:szCs w:val="22"/>
                <w:highlight w:val="none"/>
                <w:lang w:eastAsia="zh-CN" w:bidi="ar"/>
              </w:rPr>
              <w:t xml:space="preserve">冷轧</w:t>
            </w:r>
            <w:r>
              <w:rPr>
                <w:rFonts w:ascii="Times New Roman" w:hAnsi="Times New Roman" w:eastAsia="宋体" w:cs="Times New Roman"/>
                <w:color w:val="auto"/>
                <w:sz w:val="22"/>
                <w:szCs w:val="22"/>
                <w:highlight w:val="none"/>
                <w:lang w:bidi="ar"/>
              </w:rPr>
              <w:t xml:space="preserve">钢板经精裁、冲压、折弯、碰焊而成；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表面经酸洗、磷化、除油除锈、高温静电</w:t>
            </w:r>
            <w:r>
              <w:rPr>
                <w:rFonts w:hint="eastAsia" w:ascii="Times New Roman" w:hAnsi="Times New Roman" w:eastAsia="宋体" w:cs="Times New Roman"/>
                <w:color w:val="auto"/>
                <w:sz w:val="22"/>
                <w:szCs w:val="22"/>
                <w:highlight w:val="none"/>
                <w:lang w:eastAsia="zh-CN" w:bidi="ar"/>
              </w:rPr>
              <w:t xml:space="preserve">粉末</w:t>
            </w:r>
            <w:r>
              <w:rPr>
                <w:rFonts w:ascii="Times New Roman" w:hAnsi="Times New Roman" w:eastAsia="宋体" w:cs="Times New Roman"/>
                <w:color w:val="auto"/>
                <w:sz w:val="22"/>
                <w:szCs w:val="22"/>
                <w:highlight w:val="none"/>
                <w:lang w:bidi="ar"/>
              </w:rPr>
              <w:t xml:space="preserve">喷塑。</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每个门均带独立锁、带挂衣杆。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600*500*800</w:t>
            </w:r>
            <w:r/>
          </w:p>
          <w:p>
            <w:pPr>
              <w:jc w:val="center"/>
              <w:keepLines w:val="0"/>
              <w:keepNext w:val="0"/>
              <w:pageBreakBefore w:val="0"/>
              <w:spacing w:after="0" w:line="280" w:lineRule="exact"/>
              <w:widowControl/>
              <w:rPr>
                <w:rFonts w:hint="eastAsia"/>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右单星杀鱼台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firstLine="360"/>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800*700*800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1200*800*800</w:t>
            </w:r>
            <w:r/>
          </w:p>
          <w:p>
            <w:pPr>
              <w:pStyle w:val="999"/>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700*600*800</w:t>
            </w:r>
            <w:r/>
          </w:p>
          <w:p>
            <w:pPr>
              <w:pStyle w:val="999"/>
              <w:ind w:firstLine="531"/>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600*600*800</w:t>
            </w:r>
            <w:r/>
          </w:p>
          <w:p>
            <w:pPr>
              <w:pStyle w:val="999"/>
              <w:rPr>
                <w:color w:val="auto"/>
                <w:highlight w:val="none"/>
              </w:rPr>
            </w:pPr>
            <w:r>
              <w:rPr>
                <w:rFonts w:hint="eastAsia" w:ascii="Times New Roman" w:eastAsia="宋体" w:cs="Times New Roman"/>
                <w:color w:val="auto"/>
                <w:sz w:val="18"/>
                <w:szCs w:val="18"/>
                <w:highlight w:val="none"/>
                <w:lang w:val="en-US" w:eastAsia="zh-CN" w:bidi="ar"/>
              </w:rPr>
              <w:t xml:space="preserve">(</w:t>
            </w:r>
            <w:r>
              <w:rPr>
                <w:rFonts w:hint="eastAsia" w:ascii="Times New Roman" w:hAnsi="Times New Roman" w:eastAsia="宋体" w:cs="Times New Roman"/>
                <w:color w:val="auto"/>
                <w:sz w:val="18"/>
                <w:szCs w:val="18"/>
                <w:highlight w:val="none"/>
                <w:lang w:val="en-US" w:eastAsia="zh-CN" w:bidi="ar"/>
              </w:rPr>
              <w:t xml:space="preserve">±10</w:t>
            </w:r>
            <w:r>
              <w:rPr>
                <w:rFonts w:hint="eastAsia" w:ascii="Times New Roman" w:eastAsia="宋体" w:cs="Times New Roman"/>
                <w:color w:val="auto"/>
                <w:sz w:val="18"/>
                <w:szCs w:val="18"/>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900*1200*80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700*500*800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星盆水池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4、带不锈钢落水口和不锈钢垃圾网，带溢水口。</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1400*600*800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1000*600*850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带4个5寸橡胶静音重型推车轮，其中两个带刹车的万向轮。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双层保温桶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1500*500*1550</w:t>
            </w: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框架采用SUS304不锈钢制作，平板厚度不小于1.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mm；立柱采用φ48mm，1.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mm厚不锈钢圆管；条板采用1.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mm厚板。采用二次压边工艺，无割手处，焊接处理光滑，美观，无明显焊斑焊缝。配不锈钢可调节子弹脚。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1000*500*200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hint="eastAsia" w:ascii="Times New Roman" w:hAnsi="Times New Roman" w:eastAsia="宋体" w:cs="Times New Roman"/>
                <w:color w:val="auto"/>
                <w:sz w:val="22"/>
                <w:szCs w:val="22"/>
                <w:highlight w:val="none"/>
                <w:lang w:bidi="ar"/>
              </w:rPr>
              <w:t xml:space="preserve">框架采用304不锈钢制作，厚度不小于1.0mm厚；横柱用50×25×0.8mm厚不锈钢；脚管立柱采用50×50×1.0mm厚不锈钢；横柱共计10根，配置塑胶脚垫。</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2.</w:t>
            </w:r>
            <w:r>
              <w:rPr>
                <w:rFonts w:hint="eastAsia"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感应水龙头</w:t>
            </w:r>
            <w:r>
              <w:rPr>
                <w:rStyle w:val="1328"/>
                <w:rFonts w:hint="default" w:ascii="Times New Roman" w:hAnsi="Times New Roman" w:cs="Times New Roman"/>
                <w:color w:val="auto"/>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1.外形尺寸：190*320(mm)±5%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2.工作电压：1.5V×4（四节五号干电池）或者110V  50/60</w:t>
            </w:r>
            <w:r>
              <w:rPr>
                <w:rFonts w:hint="eastAsia" w:ascii="Times New Roman" w:hAnsi="Times New Roman" w:eastAsia="宋体" w:cs="Times New Roman"/>
                <w:color w:val="auto"/>
                <w:sz w:val="22"/>
                <w:szCs w:val="22"/>
                <w:highlight w:val="none"/>
                <w:lang w:eastAsia="zh-CN" w:bidi="ar"/>
              </w:rPr>
              <w:t xml:space="preserve">Hz</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3.工作水压：0.1-0.6MPa 可接冷热混水，出水温度可调；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4.开孔径：32mm；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5.台式安装黄铜铸造水嘴，表面镀铬处理；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接水口口径为1/2"外螺纹；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水龙头</w:t>
            </w:r>
            <w:r>
              <w:rPr>
                <w:rStyle w:val="1328"/>
                <w:rFonts w:hint="default" w:ascii="Times New Roman" w:hAnsi="Times New Roman" w:cs="Times New Roman"/>
                <w:color w:val="auto"/>
                <w:highlight w:val="none"/>
                <w:lang w:bidi="ar"/>
              </w:rPr>
              <w:t xml:space="preserve">（政府采购强制认证产品）</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1.座台式安装，单孔单温；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2.低铅铜铸造表面抛光镀铬处理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3.配1/4转优质陶瓷阀芯一字型手柄；</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4.开孔尺寸为25mm ，接口为标准4分外螺纹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耐压2mpa爆破测试，0.1mpa测试每分钟出水4.5L</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碳钢静电喷涂圆形敞开式，10M黑色钢丝液压管。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2、SUS304#旋转便捷拆卸更换接头，水枪可360度旋转，前把手控制出水，按压渐变出水形状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含调温止回阀。</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塑料平板推车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900*600*800</w:t>
            </w:r>
            <w:r/>
          </w:p>
          <w:p>
            <w:pPr>
              <w:jc w:val="center"/>
              <w:keepLines w:val="0"/>
              <w:keepNext w:val="0"/>
              <w:pageBreakBefore w:val="0"/>
              <w:spacing w:after="0" w:line="28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材料采用SUS304不锈钢板制作，支撑板不小于1.0mm厚</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主管采用φ38，不小于1.0mm厚不锈钢结构管</w:t>
            </w:r>
            <w:r>
              <w:rPr>
                <w:rFonts w:hint="eastAsia" w:ascii="Times New Roman" w:hAnsi="Times New Roman" w:eastAsia="宋体" w:cs="Times New Roman"/>
                <w:color w:val="auto"/>
                <w:sz w:val="22"/>
                <w:szCs w:val="22"/>
                <w:highlight w:val="none"/>
                <w:lang w:eastAsia="zh-CN" w:bidi="ar"/>
              </w:rPr>
              <w:t xml:space="preserve">焊接</w:t>
            </w:r>
            <w:r>
              <w:rPr>
                <w:rFonts w:ascii="Times New Roman" w:hAnsi="Times New Roman" w:eastAsia="宋体" w:cs="Times New Roman"/>
                <w:color w:val="auto"/>
                <w:sz w:val="22"/>
                <w:szCs w:val="22"/>
                <w:highlight w:val="none"/>
                <w:lang w:bidi="ar"/>
              </w:rPr>
              <w:t xml:space="preserve">处打磨光滑，美观，无明显焊缝焊斑。配承重型不锈钢科顺脚轮四个</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两定向两万向</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连优质轴承，推杆底部圆管斜撑加固，车架防撞保护。承重能力要求不小于250KG</w:t>
            </w:r>
            <w:r>
              <w:rPr>
                <w:rFonts w:hint="eastAsia" w:ascii="Times New Roman" w:hAnsi="Times New Roman" w:eastAsia="宋体" w:cs="Times New Roman"/>
                <w:color w:val="auto"/>
                <w:sz w:val="22"/>
                <w:szCs w:val="22"/>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1200*700*1000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采用SUS304不锈钢板材不小于1.0mm制作。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采用三面围板，车子正面做对开门。采用SUS304不锈钢板材不小于1.0mm制作。不含推车不含垃圾桶。采用4个静音橡胶轮，其中2个万向轮。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收碗推车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900*600*850</w:t>
            </w: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3.台脚采用38mmX1.0mm不锈钢方管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保温汤桶车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w:t>
            </w:r>
            <w:r>
              <w:rPr>
                <w:rFonts w:hint="eastAsia" w:ascii="Times New Roman" w:hAnsi="Times New Roman" w:eastAsia="宋体" w:cs="Times New Roman"/>
                <w:color w:val="auto"/>
                <w:sz w:val="18"/>
                <w:szCs w:val="18"/>
                <w:highlight w:val="none"/>
                <w:lang w:val="en-US" w:eastAsia="zh-CN" w:bidi="ar"/>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1.采用主材SUS304不锈钢制作，厚度不小于1.0mm，双层不锈钢，中间增加保温板；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2.设置不锈钢推拉手，下配两定两动静音轮；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3.采用静音橡胶轮，其中2个万向轮。功率：220V，功率：不小于3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相应保温桶，保温桶可单独取清洗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1200*600*1450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可放置120个不锈钢餐盘。根据餐盘尺寸定制送餐车大小。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电热管加热和热风循环两种加热模式。</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电压：220V，功率：≥20W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灯管：≥2*10W紫外线灯管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覆盖面积40m2—50m2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≥1800*160*200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≥1500*160*200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43</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≥1200*160*200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44</w:t>
            </w: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土豆脱皮机</w:t>
            </w:r>
            <w:r/>
          </w:p>
        </w:tc>
        <w:tc>
          <w:tcPr>
            <w:shd w:val="clear" w:color="auto" w:fill="auto"/>
            <w:tcBorders>
              <w:top w:val="single" w:color="000000" w:sz="4" w:space="0"/>
              <w:left w:val="single" w:color="000000" w:sz="4" w:space="0"/>
              <w:bottom w:val="non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485*680*805</w:t>
            </w:r>
            <w:r/>
          </w:p>
        </w:tc>
        <w:tc>
          <w:tcPr>
            <w:shd w:val="clear" w:color="auto" w:fill="auto"/>
            <w:tcBorders>
              <w:top w:val="single" w:color="000000" w:sz="4" w:space="0"/>
              <w:left w:val="single" w:color="000000" w:sz="4" w:space="0"/>
              <w:bottom w:val="non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电功率：≥1500W 380V/ 50Hz</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产量： ≥260</w:t>
            </w:r>
            <w:r>
              <w:rPr>
                <w:rFonts w:hint="eastAsia" w:ascii="Times New Roman" w:hAnsi="Times New Roman" w:eastAsia="宋体" w:cs="Times New Roman"/>
                <w:color w:val="auto"/>
                <w:sz w:val="22"/>
                <w:szCs w:val="22"/>
                <w:highlight w:val="none"/>
                <w:lang w:eastAsia="zh-CN" w:bidi="ar"/>
              </w:rPr>
              <w:t xml:space="preserve">kg</w:t>
            </w:r>
            <w:r>
              <w:rPr>
                <w:rFonts w:ascii="Times New Roman" w:hAnsi="Times New Roman" w:eastAsia="宋体" w:cs="Times New Roman"/>
                <w:color w:val="auto"/>
                <w:sz w:val="22"/>
                <w:szCs w:val="22"/>
                <w:highlight w:val="none"/>
                <w:lang w:bidi="ar"/>
              </w:rPr>
              <w:t xml:space="preserve">/小时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定时器： 0~5 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风冷马达可以长时间连续使用；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自动土豆卸料系统；四脚带轮可移动，带密闭的卸料口；接触食品的零部件严格采用符合食品安全卫生标准的材料制作。</w:t>
            </w: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≥1200*660*1800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材质：内外胆采用SUS304不锈钢板≥1.0mm厚制作，一次密度保温发泡层，门带锁</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带可视玻璃。</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功能：对刀具粘板功能性设备，360度循环高温消毒，内置紫外线</w:t>
            </w:r>
            <w:r>
              <w:rPr>
                <w:rFonts w:hint="eastAsia" w:ascii="Times New Roman" w:hAnsi="Times New Roman" w:eastAsia="宋体" w:cs="Times New Roman"/>
                <w:color w:val="auto"/>
                <w:sz w:val="22"/>
                <w:szCs w:val="22"/>
                <w:highlight w:val="none"/>
                <w:lang w:eastAsia="zh-CN" w:bidi="ar"/>
              </w:rPr>
              <w:t xml:space="preserve">消毒</w:t>
            </w:r>
            <w:r>
              <w:rPr>
                <w:rFonts w:ascii="Times New Roman" w:hAnsi="Times New Roman" w:eastAsia="宋体" w:cs="Times New Roman"/>
                <w:color w:val="auto"/>
                <w:sz w:val="22"/>
                <w:szCs w:val="22"/>
                <w:highlight w:val="none"/>
                <w:lang w:bidi="ar"/>
              </w:rPr>
              <w:t xml:space="preserve">灯和石英高温消毒灯管，</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自动控温和时间调节器。防水等级：≥IPX4.</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功率：≥2350W，电压：220V。</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消毒效果：对大肠杆菌、金黄色葡萄球菌杀灭率达99%。消杀时间：每次至少60分钟。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燃气大锅灶（1000大锅）</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≥1200*1350*800+450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13"/>
              </w:numPr>
              <w:jc w:val="left"/>
              <w:spacing w:after="62"/>
              <w:widowControl/>
              <w:rPr>
                <w:rFonts w:hint="eastAsia" w:ascii="Times New Roman" w:hAnsi="Times New Roman" w:eastAsia="宋体" w:cs="Times New Roman"/>
                <w:color w:val="auto"/>
                <w:sz w:val="22"/>
                <w:szCs w:val="22"/>
                <w:highlight w:val="none"/>
                <w:lang w:eastAsia="zh-CN" w:bidi="ar"/>
              </w:rPr>
            </w:pP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5.无级</w:t>
            </w:r>
            <w:r>
              <w:rPr>
                <w:rFonts w:ascii="Times New Roman" w:hAnsi="Times New Roman" w:eastAsia="宋体" w:cs="Times New Roman"/>
                <w:color w:val="auto"/>
                <w:sz w:val="22"/>
                <w:szCs w:val="22"/>
                <w:highlight w:val="none"/>
                <w:lang w:bidi="ar"/>
              </w:rPr>
              <w:t xml:space="preserve">调节火力，操作更简便。</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ff0000"/>
                <w:sz w:val="22"/>
                <w:szCs w:val="22"/>
                <w:highlight w:val="none"/>
                <w:lang w:val="en-US" w:eastAsia="zh-CN" w:bidi="ar"/>
              </w:rPr>
              <w:t xml:space="preserve">6.</w:t>
            </w:r>
            <w:r>
              <w:rPr>
                <w:rFonts w:hint="eastAsia" w:cs="Times New Roman"/>
                <w:color w:val="ff0000"/>
                <w:sz w:val="22"/>
                <w:szCs w:val="22"/>
                <w:highlight w:val="none"/>
                <w:lang w:val="en-US" w:eastAsia="zh-CN" w:bidi="ar"/>
              </w:rPr>
              <w:t xml:space="preserve">符合GB30720-2025能效等级为一级</w:t>
            </w:r>
            <w:r>
              <w:rPr>
                <w:rFonts w:hint="eastAsia" w:cs="Times New Roman"/>
                <w:color w:val="ff0000"/>
                <w:sz w:val="22"/>
                <w:szCs w:val="22"/>
                <w:highlight w:val="none"/>
                <w:lang w:eastAsia="zh-CN" w:bidi="ar"/>
              </w:rPr>
              <w:t xml:space="preserve">（</w:t>
            </w:r>
            <w:r>
              <w:rPr>
                <w:rFonts w:hint="eastAsia" w:cs="Times New Roman"/>
                <w:color w:val="ff0000"/>
                <w:sz w:val="22"/>
                <w:szCs w:val="22"/>
                <w:highlight w:val="none"/>
                <w:lang w:val="en-US" w:eastAsia="zh-CN" w:bidi="ar"/>
              </w:rPr>
              <w:t xml:space="preserve">投标时须提供能效标识</w:t>
            </w:r>
            <w:r>
              <w:rPr>
                <w:rFonts w:hint="eastAsia" w:cs="Times New Roman"/>
                <w:color w:val="ff0000"/>
                <w:sz w:val="22"/>
                <w:szCs w:val="22"/>
                <w:highlight w:val="none"/>
                <w:lang w:eastAsia="zh-CN" w:bidi="ar"/>
              </w:rPr>
              <w:t xml:space="preserve">）</w:t>
            </w:r>
            <w:r>
              <w:rPr>
                <w:rFonts w:hint="eastAsia" w:ascii="Times New Roman" w:hAnsi="Times New Roman" w:eastAsia="宋体" w:cs="Times New Roman"/>
                <w:color w:val="ff0000"/>
                <w:sz w:val="22"/>
                <w:szCs w:val="22"/>
                <w:highlight w:val="none"/>
                <w:lang w:eastAsia="zh-CN" w:bidi="ar"/>
              </w:rPr>
              <w:t xml:space="preserve">。</w:t>
            </w:r>
            <w:r/>
          </w:p>
          <w:p>
            <w:pPr>
              <w:pStyle w:val="999"/>
              <w:ind w:left="0" w:firstLine="0"/>
              <w:rPr>
                <w:rFonts w:hint="eastAsia" w:eastAsia="方正公文仿宋" w:cs="Times New Roman"/>
                <w:color w:val="ff0000"/>
                <w:sz w:val="24"/>
                <w:highlight w:val="none"/>
                <w:lang w:val="en-US" w:eastAsia="zh-CN"/>
              </w:rPr>
            </w:pPr>
            <w:r>
              <w:rPr>
                <w:rFonts w:ascii="Times New Roman" w:hAnsi="Times New Roman" w:cs="Times New Roman" w:eastAsiaTheme="minorEastAsia"/>
                <w:b/>
                <w:bCs/>
                <w:color w:val="auto"/>
                <w:sz w:val="22"/>
                <w:szCs w:val="22"/>
                <w:highlight w:val="none"/>
              </w:rPr>
              <w:t xml:space="preserve">▲</w:t>
            </w:r>
            <w:r>
              <w:rPr>
                <w:rFonts w:hint="eastAsia" w:ascii="Times New Roman" w:eastAsia="宋体" w:cs="Times New Roman"/>
                <w:b/>
                <w:bCs/>
                <w:color w:val="auto"/>
                <w:sz w:val="22"/>
                <w:szCs w:val="22"/>
                <w:highlight w:val="none"/>
                <w:lang w:val="en-US" w:eastAsia="zh-CN"/>
              </w:rPr>
              <w:t xml:space="preserve">7、热效率＞65%，</w:t>
            </w:r>
            <w:r>
              <w:rPr>
                <w:rFonts w:hint="eastAsia" w:eastAsia="方正公文仿宋" w:cs="Times New Roman"/>
                <w:color w:val="ff0000"/>
                <w:sz w:val="24"/>
                <w:highlight w:val="none"/>
                <w:lang w:val="en-US" w:eastAsia="zh-CN"/>
              </w:rPr>
              <w:t xml:space="preserve">提供带有CMA或CNAS标识的检测报告扫描件，加盖投标人公章。</w:t>
            </w:r>
            <w:r/>
          </w:p>
          <w:p>
            <w:pPr>
              <w:jc w:val="left"/>
              <w:spacing w:after="62"/>
              <w:widowControl/>
              <w:rPr>
                <w:rFonts w:hint="eastAsia" w:ascii="Times New Roman" w:hAnsi="Times New Roman" w:eastAsia="方正公文仿宋" w:cs="Times New Roman"/>
                <w:b/>
                <w:bCs/>
                <w:color w:val="ff0000"/>
                <w:sz w:val="24"/>
                <w:szCs w:val="22"/>
                <w:highlight w:val="none"/>
                <w:lang w:val="en-US" w:eastAsia="zh-CN"/>
              </w:rPr>
            </w:pPr>
            <w:r>
              <w:rPr>
                <w:rFonts w:ascii="Times New Roman" w:hAnsi="Times New Roman" w:cs="Times New Roman" w:eastAsiaTheme="minorEastAsia"/>
                <w:b/>
                <w:bCs/>
                <w:color w:val="auto"/>
                <w:sz w:val="22"/>
                <w:szCs w:val="22"/>
                <w:highlight w:val="none"/>
              </w:rPr>
              <w:t xml:space="preserve">▲</w:t>
            </w:r>
            <w:r>
              <w:rPr>
                <w:rFonts w:hint="eastAsia" w:cs="Times New Roman" w:eastAsiaTheme="minorEastAsia"/>
                <w:b/>
                <w:bCs/>
                <w:color w:val="auto"/>
                <w:sz w:val="22"/>
                <w:szCs w:val="22"/>
                <w:highlight w:val="none"/>
                <w:lang w:val="en-US" w:eastAsia="zh-CN"/>
              </w:rPr>
              <w:t xml:space="preserve">8</w:t>
            </w:r>
            <w:r>
              <w:rPr>
                <w:rFonts w:hint="eastAsia" w:ascii="Times New Roman" w:hAnsi="Times New Roman" w:eastAsia="宋体" w:cs="Times New Roman"/>
                <w:b/>
                <w:bCs/>
                <w:color w:val="auto"/>
                <w:sz w:val="22"/>
                <w:szCs w:val="22"/>
                <w:highlight w:val="none"/>
                <w:lang w:bidi="ar"/>
              </w:rPr>
              <w:t xml:space="preserve">设备有故障代码提示功能（出现故障时候，会报警并且显示屏提示不同代码）</w:t>
            </w:r>
            <w:r>
              <w:rPr>
                <w:rFonts w:hint="eastAsia" w:cs="Times New Roman"/>
                <w:b/>
                <w:bCs/>
                <w:color w:val="auto"/>
                <w:sz w:val="22"/>
                <w:szCs w:val="22"/>
                <w:highlight w:val="none"/>
                <w:lang w:eastAsia="zh-CN" w:bidi="ar"/>
              </w:rPr>
              <w:t xml:space="preserve">，</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cs="Times New Roman"/>
                <w:b/>
                <w:bCs/>
                <w:color w:val="auto"/>
                <w:sz w:val="22"/>
                <w:szCs w:val="22"/>
                <w:highlight w:val="none"/>
                <w:lang w:val="en-US" w:eastAsia="zh-CN"/>
              </w:rPr>
              <w:t xml:space="preserve">9</w:t>
            </w:r>
            <w:r>
              <w:rPr>
                <w:rFonts w:hint="eastAsia" w:ascii="Times New Roman" w:hAnsi="Times New Roman" w:cs="Times New Roman" w:eastAsiaTheme="minorEastAsia"/>
                <w:b/>
                <w:bCs/>
                <w:color w:val="auto"/>
                <w:sz w:val="22"/>
                <w:szCs w:val="22"/>
                <w:highlight w:val="none"/>
                <w:lang w:val="en-US" w:eastAsia="zh-CN"/>
              </w:rPr>
              <w:t xml:space="preserve">.</w:t>
            </w:r>
            <w:r>
              <w:rPr>
                <w:rFonts w:hint="eastAsia" w:ascii="Times New Roman" w:hAnsi="Times New Roman" w:eastAsia="宋体" w:cs="Times New Roman"/>
                <w:b/>
                <w:bCs/>
                <w:color w:val="auto"/>
                <w:sz w:val="22"/>
                <w:szCs w:val="22"/>
                <w:highlight w:val="none"/>
                <w:lang w:bidi="ar"/>
              </w:rPr>
              <w:t xml:space="preserve">设备</w:t>
            </w:r>
            <w:r>
              <w:rPr>
                <w:rFonts w:hint="eastAsia" w:cs="Times New Roman"/>
                <w:b/>
                <w:bCs/>
                <w:color w:val="auto"/>
                <w:sz w:val="22"/>
                <w:szCs w:val="22"/>
                <w:highlight w:val="none"/>
                <w:lang w:val="en-US" w:eastAsia="zh-CN" w:bidi="ar"/>
              </w:rPr>
              <w:t xml:space="preserve">有</w:t>
            </w:r>
            <w:r>
              <w:rPr>
                <w:rFonts w:hint="eastAsia" w:eastAsia="方正公文仿宋" w:cs="Times New Roman"/>
                <w:color w:val="ff0000"/>
                <w:sz w:val="24"/>
                <w:highlight w:val="none"/>
                <w:lang w:val="en-US" w:eastAsia="zh-CN"/>
              </w:rPr>
              <w:t xml:space="preserve">自动燃烧器控制系统，提供产品功能说明书或满足此项功能的承诺函（格式自拟）。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燃气炒灶</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14"/>
              </w:numPr>
              <w:jc w:val="left"/>
              <w:spacing w:after="62"/>
              <w:widowControl/>
              <w:rPr>
                <w:rFonts w:ascii="Times New Roman" w:hAnsi="Times New Roman" w:eastAsia="宋体" w:cs="Times New Roman"/>
                <w:color w:val="auto"/>
                <w:sz w:val="22"/>
                <w:szCs w:val="22"/>
                <w:highlight w:val="none"/>
                <w:lang w:bidi="ar"/>
              </w:rPr>
            </w:pP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p>
          <w:p>
            <w:pPr>
              <w:numPr>
                <w:ilvl w:val="0"/>
                <w:numId w:val="14"/>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一体高温钢精铸炉膛，特殊工艺处理，经久耐用。</w:t>
            </w:r>
            <w:r/>
          </w:p>
          <w:p>
            <w:pPr>
              <w:numPr>
                <w:ilvl w:val="0"/>
                <w:numId w:val="14"/>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一体成型不锈钢炉头，无螺丝固定，堵塞时无需工具，手动即可轻松取下清洗。</w:t>
            </w:r>
            <w:r/>
          </w:p>
          <w:p>
            <w:pPr>
              <w:numPr>
                <w:ilvl w:val="0"/>
                <w:numId w:val="14"/>
              </w:numPr>
              <w:jc w:val="left"/>
              <w:spacing w:after="62"/>
              <w:widowControl/>
              <w:rPr>
                <w:rFonts w:hint="eastAsia"/>
                <w:highlight w:val="none"/>
              </w:rPr>
            </w:pP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w:t>
            </w:r>
            <w:r/>
          </w:p>
          <w:p>
            <w:pPr>
              <w:numPr>
                <w:ilvl w:val="0"/>
                <w:numId w:val="14"/>
              </w:numPr>
              <w:jc w:val="left"/>
              <w:spacing w:after="62"/>
              <w:widowControl/>
              <w:rPr>
                <w:rFonts w:hint="eastAsia"/>
                <w:highlight w:val="none"/>
              </w:rPr>
            </w:pP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p>
          <w:p>
            <w:pPr>
              <w:numPr>
                <w:ilvl w:val="0"/>
                <w:numId w:val="14"/>
              </w:numPr>
              <w:jc w:val="left"/>
              <w:spacing w:after="62"/>
              <w:widowControl/>
              <w:rPr>
                <w:rFonts w:hint="eastAsia"/>
                <w:highlight w:val="none"/>
              </w:rPr>
            </w:pPr>
            <w:r>
              <w:rPr>
                <w:rFonts w:hint="eastAsia" w:ascii="Times New Roman" w:hAnsi="Times New Roman" w:cs="Times New Roman" w:eastAsiaTheme="minorEastAsia"/>
                <w:b/>
                <w:bCs/>
                <w:color w:val="ff0000"/>
                <w:sz w:val="22"/>
                <w:szCs w:val="22"/>
                <w:highlight w:val="none"/>
              </w:rPr>
              <w:t xml:space="preserve">符合GB30720-2025</w:t>
            </w:r>
            <w:r>
              <w:rPr>
                <w:rFonts w:hint="eastAsia" w:cs="Times New Roman"/>
                <w:color w:val="ff0000"/>
                <w:sz w:val="22"/>
                <w:szCs w:val="22"/>
                <w:highlight w:val="none"/>
                <w:lang w:val="en-US" w:eastAsia="zh-CN" w:bidi="ar"/>
              </w:rPr>
              <w:t xml:space="preserve">能效等级为一级</w:t>
            </w:r>
            <w:r>
              <w:rPr>
                <w:rFonts w:hint="eastAsia" w:cs="Times New Roman"/>
                <w:color w:val="ff0000"/>
                <w:sz w:val="22"/>
                <w:szCs w:val="22"/>
                <w:highlight w:val="none"/>
                <w:lang w:eastAsia="zh-CN" w:bidi="ar"/>
              </w:rPr>
              <w:t xml:space="preserve">（</w:t>
            </w:r>
            <w:r>
              <w:rPr>
                <w:rFonts w:hint="eastAsia" w:cs="Times New Roman"/>
                <w:color w:val="ff0000"/>
                <w:sz w:val="22"/>
                <w:szCs w:val="22"/>
                <w:highlight w:val="none"/>
                <w:lang w:val="en-US" w:eastAsia="zh-CN" w:bidi="ar"/>
              </w:rPr>
              <w:t xml:space="preserve">投标时须提供能效标识</w:t>
            </w:r>
            <w:r>
              <w:rPr>
                <w:rFonts w:hint="eastAsia" w:cs="Times New Roman"/>
                <w:color w:val="ff0000"/>
                <w:sz w:val="22"/>
                <w:szCs w:val="22"/>
                <w:highlight w:val="none"/>
                <w:lang w:eastAsia="zh-CN" w:bidi="ar"/>
              </w:rPr>
              <w:t xml:space="preserve">）</w:t>
            </w:r>
            <w:r>
              <w:rPr>
                <w:rFonts w:hint="eastAsia" w:ascii="Times New Roman" w:hAnsi="Times New Roman" w:cs="Times New Roman" w:eastAsiaTheme="minorEastAsia"/>
                <w:b/>
                <w:bCs/>
                <w:color w:val="ff0000"/>
                <w:sz w:val="22"/>
                <w:szCs w:val="22"/>
                <w:highlight w:val="none"/>
              </w:rPr>
              <w:t xml:space="preserve">。</w:t>
            </w:r>
            <w:r/>
          </w:p>
          <w:p>
            <w:pPr>
              <w:pStyle w:val="999"/>
              <w:ind w:left="0" w:firstLine="0"/>
              <w:rPr>
                <w:rFonts w:hint="eastAsia"/>
              </w:rPr>
            </w:pPr>
            <w:r>
              <w:rPr>
                <w:rFonts w:ascii="Times New Roman" w:hAnsi="Times New Roman" w:cs="Times New Roman" w:eastAsiaTheme="minorEastAsia"/>
                <w:b/>
                <w:bCs/>
                <w:color w:val="auto"/>
                <w:sz w:val="22"/>
                <w:szCs w:val="22"/>
                <w:highlight w:val="none"/>
              </w:rPr>
              <w:t xml:space="preserve">▲</w:t>
            </w:r>
            <w:r>
              <w:rPr>
                <w:rFonts w:hint="eastAsia" w:ascii="Times New Roman" w:eastAsia="宋体" w:cs="Times New Roman"/>
                <w:b/>
                <w:bCs/>
                <w:color w:val="auto"/>
                <w:sz w:val="22"/>
                <w:szCs w:val="22"/>
                <w:highlight w:val="none"/>
                <w:lang w:val="en-US" w:eastAsia="zh-CN"/>
              </w:rPr>
              <w:t xml:space="preserve">7.热效率＞55%，</w:t>
            </w:r>
            <w:r>
              <w:rPr>
                <w:rFonts w:hint="eastAsia" w:eastAsia="方正公文仿宋" w:cs="Times New Roman"/>
                <w:color w:val="ff0000"/>
                <w:sz w:val="24"/>
                <w:highlight w:val="none"/>
                <w:lang w:val="en-US" w:eastAsia="zh-CN"/>
              </w:rPr>
              <w:t xml:space="preserve">提供带有CMA或CNAS标识的检测报告扫描件，加盖投标人公章。</w:t>
            </w:r>
            <w:r/>
          </w:p>
          <w:p>
            <w:pPr>
              <w:jc w:val="left"/>
              <w:spacing w:after="62"/>
              <w:widowControl/>
              <w:rPr>
                <w:rFonts w:hint="eastAsia" w:ascii="Times New Roman" w:hAnsi="Times New Roman" w:eastAsia="方正公文仿宋" w:cs="Times New Roman"/>
                <w:b/>
                <w:bCs/>
                <w:color w:val="ff0000"/>
                <w:sz w:val="24"/>
                <w:szCs w:val="22"/>
                <w:highlight w:val="none"/>
                <w:lang w:val="en-US" w:eastAsia="zh-CN"/>
              </w:rPr>
            </w:pPr>
            <w:r>
              <w:rPr>
                <w:rFonts w:ascii="Times New Roman" w:hAnsi="Times New Roman" w:cs="Times New Roman" w:eastAsiaTheme="minorEastAsia"/>
                <w:b/>
                <w:bCs/>
                <w:color w:val="auto"/>
                <w:sz w:val="22"/>
                <w:szCs w:val="22"/>
                <w:highlight w:val="none"/>
              </w:rPr>
              <w:t xml:space="preserve">▲</w:t>
            </w:r>
            <w:r>
              <w:rPr>
                <w:rFonts w:hint="eastAsia" w:cs="Times New Roman" w:eastAsiaTheme="minorEastAsia"/>
                <w:b/>
                <w:bCs/>
                <w:color w:val="auto"/>
                <w:sz w:val="22"/>
                <w:szCs w:val="22"/>
                <w:highlight w:val="none"/>
                <w:lang w:val="en-US" w:eastAsia="zh-CN"/>
              </w:rPr>
              <w:t xml:space="preserve">8.</w:t>
            </w:r>
            <w:r>
              <w:rPr>
                <w:rFonts w:hint="eastAsia" w:ascii="Times New Roman" w:hAnsi="Times New Roman" w:eastAsia="宋体" w:cs="Times New Roman"/>
                <w:b/>
                <w:bCs/>
                <w:color w:val="auto"/>
                <w:sz w:val="22"/>
                <w:szCs w:val="22"/>
                <w:highlight w:val="none"/>
                <w:lang w:bidi="ar"/>
              </w:rPr>
              <w:t xml:space="preserve">设备有故障代码提示功能（出现故障时候，会报警并且显示屏提示不同代码）</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cs="Times New Roman"/>
                <w:b/>
                <w:bCs/>
                <w:color w:val="auto"/>
                <w:sz w:val="22"/>
                <w:szCs w:val="22"/>
                <w:highlight w:val="none"/>
                <w:lang w:val="en-US" w:eastAsia="zh-CN"/>
              </w:rPr>
              <w:t xml:space="preserve">9</w:t>
            </w:r>
            <w:r>
              <w:rPr>
                <w:rFonts w:hint="eastAsia" w:ascii="Times New Roman" w:hAnsi="Times New Roman" w:cs="Times New Roman" w:eastAsiaTheme="minorEastAsia"/>
                <w:b/>
                <w:bCs/>
                <w:color w:val="auto"/>
                <w:sz w:val="22"/>
                <w:szCs w:val="22"/>
                <w:highlight w:val="none"/>
                <w:lang w:val="en-US" w:eastAsia="zh-CN"/>
              </w:rPr>
              <w:t xml:space="preserve">.</w:t>
            </w:r>
            <w:r>
              <w:rPr>
                <w:rFonts w:hint="eastAsia" w:ascii="Times New Roman" w:hAnsi="Times New Roman" w:eastAsia="宋体" w:cs="Times New Roman"/>
                <w:b/>
                <w:bCs/>
                <w:color w:val="auto"/>
                <w:sz w:val="22"/>
                <w:szCs w:val="22"/>
                <w:highlight w:val="none"/>
                <w:lang w:bidi="ar"/>
              </w:rPr>
              <w:t xml:space="preserve">设备</w:t>
            </w:r>
            <w:r>
              <w:rPr>
                <w:rFonts w:hint="eastAsia" w:cs="Times New Roman"/>
                <w:b/>
                <w:bCs/>
                <w:color w:val="auto"/>
                <w:sz w:val="22"/>
                <w:szCs w:val="22"/>
                <w:highlight w:val="none"/>
                <w:lang w:val="en-US" w:eastAsia="zh-CN" w:bidi="ar"/>
              </w:rPr>
              <w:t xml:space="preserve">有</w:t>
            </w:r>
            <w:r>
              <w:rPr>
                <w:rFonts w:hint="eastAsia" w:eastAsia="方正公文仿宋" w:cs="Times New Roman"/>
                <w:color w:val="ff0000"/>
                <w:sz w:val="24"/>
                <w:highlight w:val="none"/>
                <w:lang w:val="en-US" w:eastAsia="zh-CN"/>
              </w:rPr>
              <w:t xml:space="preserve">自动燃烧器控制系统，提供产品功能说明书或满足此项功能的承诺函（格式自拟）。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燃气大锅灶（800大锅）</w:t>
            </w:r>
            <w:r/>
          </w:p>
          <w:p>
            <w:pPr>
              <w:pStyle w:val="999"/>
              <w:rPr>
                <w:color w:val="auto"/>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灶面板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201，厚度≥1.2mm，灶腿50方管</w:t>
            </w:r>
            <w:r>
              <w:rPr>
                <w:rFonts w:hint="eastAsia" w:cs="Times New Roman"/>
                <w:color w:val="auto"/>
                <w:sz w:val="22"/>
                <w:szCs w:val="22"/>
                <w:highlight w:val="none"/>
                <w:lang w:eastAsia="zh-CN" w:bidi="ar"/>
              </w:rPr>
              <w:t xml:space="preserve">SUS</w:t>
            </w:r>
            <w:r>
              <w:rPr>
                <w:rFonts w:ascii="Times New Roman" w:hAnsi="Times New Roman" w:eastAsia="宋体" w:cs="Times New Roman"/>
                <w:color w:val="auto"/>
                <w:sz w:val="22"/>
                <w:szCs w:val="22"/>
                <w:highlight w:val="none"/>
                <w:lang w:bidi="ar"/>
              </w:rPr>
              <w:t xml:space="preserve">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自动检测火焰，遇到意外熄火时会自动关闭电磁阀并报警。</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6.无级</w:t>
            </w:r>
            <w:r>
              <w:rPr>
                <w:rFonts w:ascii="Times New Roman" w:hAnsi="Times New Roman" w:eastAsia="宋体" w:cs="Times New Roman"/>
                <w:color w:val="auto"/>
                <w:sz w:val="22"/>
                <w:szCs w:val="22"/>
                <w:highlight w:val="none"/>
                <w:lang w:bidi="ar"/>
              </w:rPr>
              <w:t xml:space="preserve">调节火力，操作更简便。</w:t>
            </w:r>
            <w:r/>
          </w:p>
          <w:p>
            <w:pPr>
              <w:numPr>
                <w:ilvl w:val="0"/>
                <w:numId w:val="0"/>
              </w:numPr>
              <w:jc w:val="left"/>
              <w:spacing w:after="62"/>
              <w:widowControl/>
              <w:rPr>
                <w:rFonts w:hint="eastAsia" w:eastAsia="宋体"/>
                <w:color w:val="auto"/>
                <w:highlight w:val="none"/>
              </w:rPr>
            </w:pPr>
            <w:r>
              <w:rPr>
                <w:rFonts w:hint="eastAsia" w:ascii="Times New Roman" w:hAnsi="Times New Roman" w:eastAsia="宋体" w:cs="Times New Roman"/>
                <w:color w:val="auto"/>
                <w:sz w:val="22"/>
                <w:szCs w:val="22"/>
                <w:highlight w:val="none"/>
                <w:lang w:val="en-US" w:eastAsia="zh-CN" w:bidi="ar"/>
              </w:rPr>
              <w:t xml:space="preserve">7.</w:t>
            </w:r>
            <w:r>
              <w:rPr>
                <w:rFonts w:ascii="Times New Roman" w:hAnsi="Times New Roman" w:eastAsia="宋体" w:cs="Times New Roman"/>
                <w:color w:val="auto"/>
                <w:sz w:val="22"/>
                <w:szCs w:val="22"/>
                <w:highlight w:val="none"/>
                <w:lang w:bidi="ar"/>
              </w:rPr>
              <w:t xml:space="preserve">热效率65%以上</w:t>
            </w:r>
            <w:r>
              <w:rPr>
                <w:rFonts w:hint="eastAsia" w:ascii="Times New Roman" w:hAnsi="Times New Roman" w:eastAsia="宋体" w:cs="Times New Roman"/>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2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lang w:bidi="ar"/>
              </w:rPr>
            </w:pPr>
            <w:r>
              <w:rPr>
                <w:rFonts w:ascii="Times New Roman" w:hAnsi="Times New Roman" w:eastAsia="宋体" w:cs="Times New Roman"/>
                <w:color w:val="auto"/>
                <w:sz w:val="22"/>
                <w:szCs w:val="22"/>
                <w:highlight w:val="none"/>
                <w:lang w:bidi="ar"/>
              </w:rPr>
              <w:t xml:space="preserve">主机箱采用SUS304-1.0mm不锈钢板材，灭火系统连接管采用SUS304-0.8mm不锈钢管，喷嘴采用360度无死角转动喷嘴：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1.所投产品具备：（1）功能：需与消防水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或者自来水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管路相连，设备具有自动启动，应急启动模式，（2）系统装置组成：控制箱、管路、喷嘴探测器、易熔连接片、金属拉索、滑轮三通、滑轮弯头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释放机构、驱动瓶、水流控制阀、单向阀、减压阀。</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2.灭火装置配置远程控制模块，能同时兼容消控中心信号反馈、切断燃气电磁阀、关闭排风风机等功能；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3.氮气瓶充装压力：10MPa ；药剂喷洒时间：≥26秒，</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食用油专用灭火剂应为绿色环保型灭火药剂，无色、无味、灭火效率快且不复燃。</w:t>
            </w:r>
            <w:r/>
          </w:p>
          <w:p>
            <w:pPr>
              <w:keepLines w:val="0"/>
              <w:keepNext w:val="0"/>
              <w:pageBreakBefore w:val="0"/>
              <w:spacing w:line="240" w:lineRule="auto"/>
              <w:widowControl w:val="off"/>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bidi="ar"/>
              </w:rPr>
              <w:t xml:space="preserve">▲</w:t>
            </w:r>
            <w:r>
              <w:rPr>
                <w:rFonts w:hint="eastAsia" w:ascii="宋体" w:hAnsi="宋体" w:eastAsia="宋体" w:cs="宋体"/>
                <w:b/>
                <w:bCs/>
                <w:color w:val="auto"/>
                <w:sz w:val="22"/>
                <w:szCs w:val="22"/>
                <w:highlight w:val="none"/>
                <w:lang w:val="en-US" w:eastAsia="zh-CN" w:bidi="ar"/>
              </w:rPr>
              <w:t xml:space="preserve">4</w:t>
            </w:r>
            <w:r>
              <w:rPr>
                <w:rFonts w:hint="eastAsia" w:ascii="宋体" w:hAnsi="宋体" w:eastAsia="宋体" w:cs="宋体"/>
                <w:color w:val="auto"/>
                <w:sz w:val="22"/>
                <w:szCs w:val="22"/>
                <w:highlight w:val="none"/>
              </w:rPr>
              <w:t xml:space="preserve">厨房灭火装置，有压力观察口的，</w:t>
            </w:r>
            <w:r>
              <w:rPr>
                <w:rFonts w:hint="eastAsia" w:ascii="宋体" w:hAnsi="宋体" w:eastAsia="宋体" w:cs="宋体"/>
                <w:b/>
                <w:bCs/>
                <w:color w:val="auto"/>
                <w:sz w:val="22"/>
                <w:szCs w:val="22"/>
                <w:highlight w:val="none"/>
                <w:lang w:bidi="ar"/>
              </w:rPr>
              <w:t xml:space="preserve">提供功能截图或满足此项功能的承诺函（格式自拟），加盖投标人公章。</w:t>
            </w:r>
            <w:r/>
          </w:p>
          <w:p>
            <w:pPr>
              <w:pStyle w:val="999"/>
              <w:ind w:left="0" w:firstLine="0"/>
              <w:keepLines w:val="0"/>
              <w:keepNext w:val="0"/>
              <w:pageBreakBefore w:val="0"/>
              <w:spacing w:line="240" w:lineRule="auto"/>
              <w:rPr>
                <w:rFonts w:hint="default" w:eastAsia="宋体"/>
                <w:lang w:val="en-US" w:eastAsia="zh-CN"/>
              </w:rPr>
            </w:pPr>
            <w:r>
              <w:rPr>
                <w:rFonts w:hint="eastAsia" w:ascii="宋体" w:hAnsi="宋体" w:eastAsia="宋体" w:cs="宋体"/>
                <w:b/>
                <w:bCs/>
                <w:color w:val="auto"/>
                <w:sz w:val="22"/>
                <w:szCs w:val="22"/>
                <w:highlight w:val="none"/>
                <w:lang w:val="en-US" w:eastAsia="zh-CN" w:bidi="ar"/>
              </w:rPr>
              <w:t xml:space="preserve">▲5.</w:t>
            </w:r>
            <w:r>
              <w:rPr>
                <w:rFonts w:hint="eastAsia" w:ascii="Times New Roman" w:hAnsi="Times New Roman" w:eastAsia="方正公文仿宋" w:cs="Times New Roman"/>
                <w:color w:val="ff0000"/>
                <w:sz w:val="24"/>
                <w:highlight w:val="none"/>
              </w:rPr>
              <w:t xml:space="preserve">提供带有CMA或CNAS标识的</w:t>
            </w:r>
            <w:r>
              <w:rPr>
                <w:rFonts w:hint="eastAsia" w:eastAsia="方正公文仿宋" w:cs="Times New Roman"/>
                <w:color w:val="ff0000"/>
                <w:sz w:val="24"/>
                <w:highlight w:val="none"/>
                <w:lang w:val="en-US" w:eastAsia="zh-CN"/>
              </w:rPr>
              <w:t xml:space="preserve">厨房灭火系统的型式检验报告。</w:t>
            </w:r>
            <w:r/>
          </w:p>
          <w:p>
            <w:pPr>
              <w:jc w:val="left"/>
              <w:keepLines w:val="0"/>
              <w:keepNext w:val="0"/>
              <w:pageBreakBefore w:val="0"/>
              <w:spacing w:line="240" w:lineRule="auto"/>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b/>
                <w:bCs/>
                <w:color w:val="auto"/>
                <w:sz w:val="22"/>
                <w:szCs w:val="22"/>
                <w:highlight w:val="none"/>
                <w:lang w:bidi="ar"/>
              </w:rPr>
              <w:t xml:space="preserve">▲</w:t>
            </w:r>
            <w:r>
              <w:rPr>
                <w:rFonts w:hint="eastAsia" w:cs="Times New Roman"/>
                <w:b/>
                <w:bCs/>
                <w:color w:val="auto"/>
                <w:sz w:val="22"/>
                <w:szCs w:val="22"/>
                <w:highlight w:val="none"/>
                <w:lang w:val="en-US" w:eastAsia="zh-CN" w:bidi="ar"/>
              </w:rPr>
              <w:t xml:space="preserve">6</w:t>
            </w:r>
            <w:r>
              <w:rPr>
                <w:rFonts w:hint="eastAsia" w:ascii="Times New Roman" w:hAnsi="Times New Roman" w:eastAsia="宋体" w:cs="Times New Roman"/>
                <w:b/>
                <w:bCs/>
                <w:color w:val="auto"/>
                <w:sz w:val="22"/>
                <w:szCs w:val="22"/>
                <w:highlight w:val="none"/>
                <w:lang w:val="en-US" w:eastAsia="zh-CN" w:bidi="ar"/>
              </w:rPr>
              <w:t xml:space="preserve">.</w:t>
            </w:r>
            <w:r>
              <w:rPr>
                <w:rFonts w:hint="eastAsia" w:ascii="Times New Roman" w:hAnsi="Times New Roman" w:eastAsia="宋体" w:cs="Times New Roman"/>
                <w:b/>
                <w:bCs/>
                <w:color w:val="auto"/>
                <w:sz w:val="22"/>
                <w:szCs w:val="22"/>
                <w:highlight w:val="none"/>
                <w:lang w:bidi="ar"/>
              </w:rPr>
              <w:t xml:space="preserve">厨房灭火系统须具有有效消防产品认证证书，提供证书扫描件加盖投标人公章。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炉拼台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优质SUS304不锈钢磨砂板，面板1.0mm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侧板1.0mm；置高450mm不锈钢后挡炉背板；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横通采用￠25*1.0mm不锈钢管连接，立管采用￠38*1.0mm不锈钢管连可调节高度子弹脚。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灶封板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≥17200*2100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采用SUS304不锈钢管不小于1.0mm制作。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80.22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m²</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电磁摇摆汤炉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/380v，容量：≥200L。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可倾斜式设计，0~90 度汤锅可倾斜角度 , 便于食物的投入或取出。</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环流立体加热，双向滚动沸腾，使食材充分受热，有效提高加热效率。</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无死角球底设计，清洗更方便。</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材质：SUS304不锈钢加厚机身，耐腐蚀，经久耐用。</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水龙头：配备 SUS304 不锈钢摇摆水龙头，可以 180度旋转，安全防漏。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color w:val="auto"/>
                <w:highlight w:val="none"/>
              </w:rPr>
            </w:pPr>
            <w:r>
              <w:rPr>
                <w:rFonts w:ascii="Times New Roman" w:hAnsi="Times New Roman" w:eastAsia="宋体" w:cs="Times New Roman"/>
                <w:color w:val="auto"/>
                <w:sz w:val="22"/>
                <w:szCs w:val="22"/>
                <w:highlight w:val="none"/>
                <w:lang w:bidi="ar"/>
              </w:rPr>
              <w:t xml:space="preserve">电蒸箱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≥1100*750*1700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规格：24盘</w:t>
            </w:r>
            <w:r>
              <w:rPr>
                <w:rFonts w:hint="eastAsia" w:ascii="Times New Roman" w:hAnsi="Times New Roman" w:eastAsia="宋体" w:cs="Times New Roman"/>
                <w:color w:val="auto"/>
                <w:sz w:val="22"/>
                <w:szCs w:val="22"/>
                <w:highlight w:val="none"/>
                <w:lang w:val="en-US" w:eastAsia="zh-CN" w:bidi="ar"/>
              </w:rPr>
              <w:t xml:space="preserve">  功率380V 24kW；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主材SUS304不锈钢板材制作，隔条50%防脱落，包括内部全不锈钢加强。保证长期使用结构安全可靠，无腐蚀现象。优质不锈钢材质加长双</w:t>
            </w:r>
            <w:r>
              <w:rPr>
                <w:rFonts w:hint="eastAsia" w:ascii="Times New Roman" w:hAnsi="Times New Roman" w:eastAsia="宋体" w:cs="Times New Roman"/>
                <w:color w:val="auto"/>
                <w:sz w:val="22"/>
                <w:szCs w:val="22"/>
                <w:highlight w:val="none"/>
                <w:lang w:eastAsia="zh-CN" w:bidi="ar"/>
              </w:rPr>
              <w:t xml:space="preserve">u</w:t>
            </w:r>
            <w:r>
              <w:rPr>
                <w:rFonts w:ascii="Times New Roman" w:hAnsi="Times New Roman" w:eastAsia="宋体" w:cs="Times New Roman"/>
                <w:color w:val="auto"/>
                <w:sz w:val="22"/>
                <w:szCs w:val="22"/>
                <w:highlight w:val="none"/>
                <w:lang w:bidi="ar"/>
              </w:rPr>
              <w:t xml:space="preserve">型优质发热管，电线符合国家标准，配有接地标准。自动进水功能。浮球优质不锈钢材质。蒸饭时箱内承受650帕微压状态，自动泄压，水的蒸发量每小时10公斤，既安全节能</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食物口感更佳。柜体采用高密度保温材料，使用过程中外壳表面温度在50摄氏度以内，不烫手。微电脑控制，带除垢功能，保温性能优良，安全节能。隔条50%防脱落，定时定温，缺水保护，过热保护 ，门打开防倾倒 ，水箱为整体一次成型。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≥400*600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采用SUS304不锈钢，尺寸：≥400*600*4.8，卷边不割手。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智能留样柜</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≥600*800*1970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制冷方式：风冷，温度：2℃~8℃，门数：单门，有效留样空间：≥6层，额定电压及频率：220V</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50HZ，额定功率≤400W；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箱体内外均采用食品级不锈钢，箱体整体发泡，中梁配加热丝，采用双层电加热防雾玻璃门，可拆卸门封条，自动回归门设计；品牌压缩机，纯铜蒸发器，在最高42℃的极端环境温度下也能正常制冷；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配置离子食物保鲜系统，通过释放活氧抑制细菌生长，通过释放负离子延缓食物氧化，延长食物保鲜时间；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四门冷冻高身柜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≥1200*750*1900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容量：≥925L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功率：220V/≥428W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箱内温度：F-12~-18℃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采用内外201，门铰链SUS304不锈钢产品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采用国内一线品牌压缩机，温控均为一线品牌温控，温度更精确，箱内拼接采用倒圆弧设计，干净清爽更易清洁。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定制高温智控热风循环消毒房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≥4800*3800*2400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总功率：380V/≥40</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门洞尺寸≥840*2000mm的门2套，含SUS304五金挂件，含真空玻璃可视窗。</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保温房板：采用100mm厚耐高温B1级阻燃岩棉保温板。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库房材料：双门采用磨砂SUS304不锈钢板，0.8MM厚。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地面：采用3mm压花防滑铝板，与外地面平行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消毒温度：30-130℃可调，可定时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定温</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自带记忆功能。</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内照明：嵌入式LED灯（防水、防爆、防高温）；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安全装置：</w:t>
            </w:r>
            <w:r>
              <w:rPr>
                <w:rFonts w:hint="eastAsia" w:ascii="Times New Roman" w:hAnsi="Times New Roman" w:eastAsia="宋体" w:cs="Times New Roman"/>
                <w:color w:val="auto"/>
                <w:sz w:val="22"/>
                <w:szCs w:val="22"/>
                <w:highlight w:val="none"/>
                <w:lang w:eastAsia="zh-CN" w:bidi="ar"/>
              </w:rPr>
              <w:t xml:space="preserve">电控</w:t>
            </w:r>
            <w:r>
              <w:rPr>
                <w:rFonts w:ascii="Times New Roman" w:hAnsi="Times New Roman" w:eastAsia="宋体" w:cs="Times New Roman"/>
                <w:color w:val="auto"/>
                <w:sz w:val="22"/>
                <w:szCs w:val="22"/>
                <w:highlight w:val="none"/>
                <w:lang w:bidi="ar"/>
              </w:rPr>
              <w:t xml:space="preserve">采用微电脑智能保护，拥有：超温保护、漏电保护及有障碍无法启动装置，内设自助应急开门装置确保任何情况下人员及设备的安全，使用警示报警闪灯提示故障，采用∅25mm不锈钢管防碰撞护栏。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控制系统：采用智能控制系统，触屏操作更简单直观，拥有：实时温度显示、消毒时间倒计时显示、故障代码显示、一键式启动功能等可省去需要专人操作的麻烦。</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10</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强制循环系统：6组耐高温高湿强制循环风机，6套4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的SUS304发热组件。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消毒原理：利用强制空间热能循环产生无死角流动的130℃热风对消毒物品表面及缝隙穿透杀灭残留细菌、病毒。消毒效果：对大肠杆菌、金黄色葡萄球菌杀灭率达99%。消杀时间：每次至少60分钟。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堂消毒房可对餐具、厨具、食品容器进行高温/专业消杀，彻底杀灭细菌、病毒、大肠杆菌等有害微生物；有效去除油污残留、异味，杜绝碗筷交叉污染；抑制霉菌滋生，防止餐具发霉变质；从源头把控食堂食品安全，预防肠道传染病，保障就餐人员饮食卫生与健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消毒房： 防鼠：门窗、缝隙封堵严实，防止老鼠进入污染餐具和消毒区域；防蝇：配备纱门纱窗、风幕等，阻挡苍蝇蚊虫飞入；防尘：密闭保洁，防止外界灰尘、杂物落入已消毒餐具，保持洁净无菌。</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四门保洁柜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主材采用SUS304不锈钢制作，台面厚度不小于1.0mm，下层、侧</w:t>
            </w:r>
            <w:r>
              <w:rPr>
                <w:rFonts w:hint="eastAsia" w:ascii="Times New Roman" w:hAnsi="Times New Roman" w:eastAsia="宋体" w:cs="Times New Roman"/>
                <w:color w:val="auto"/>
                <w:sz w:val="22"/>
                <w:szCs w:val="22"/>
                <w:highlight w:val="none"/>
                <w:lang w:eastAsia="zh-CN" w:bidi="ar"/>
              </w:rPr>
              <w:t xml:space="preserve">板</w:t>
            </w:r>
            <w:r>
              <w:rPr>
                <w:rFonts w:ascii="Times New Roman" w:hAnsi="Times New Roman" w:eastAsia="宋体" w:cs="Times New Roman"/>
                <w:color w:val="auto"/>
                <w:sz w:val="22"/>
                <w:szCs w:val="22"/>
                <w:highlight w:val="none"/>
                <w:lang w:bidi="ar"/>
              </w:rPr>
              <w:t xml:space="preserve">厚度不小于1.0mm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并用不小于1.0mm厚不锈钢板折成加强筋加固；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脚管采用Ф48*1.0mm厚不锈钢圆管，配置不锈钢可调子弹脚。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五格保温售饭工作台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规格：智能恒温，可定时定温，高效加热管，快速升温，经久耐用，搭配探针实时掌控温度。</w:t>
            </w:r>
            <w:r>
              <w:rPr>
                <w:rFonts w:hint="eastAsia" w:ascii="Times New Roman" w:hAnsi="Times New Roman" w:eastAsia="宋体" w:cs="Times New Roman"/>
                <w:color w:val="auto"/>
                <w:sz w:val="22"/>
                <w:szCs w:val="22"/>
                <w:highlight w:val="none"/>
                <w:lang w:eastAsia="zh-CN" w:bidi="ar"/>
              </w:rPr>
              <w:t xml:space="preserve">铜质</w:t>
            </w:r>
            <w:r>
              <w:rPr>
                <w:rFonts w:ascii="Times New Roman" w:hAnsi="Times New Roman" w:eastAsia="宋体" w:cs="Times New Roman"/>
                <w:color w:val="auto"/>
                <w:sz w:val="22"/>
                <w:szCs w:val="22"/>
                <w:highlight w:val="none"/>
                <w:lang w:bidi="ar"/>
              </w:rPr>
              <w:t xml:space="preserve">阀门下水，安全不漏水。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柜体采用SUS304不锈钢不小于1.2mm制作。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保温池底部增加38*25*1.0mm的加强筋。</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1/1份数盘不带盖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p>
        </w:tc>
        <w:tc>
          <w:tcPr>
            <w:shd w:val="clear" w:color="auto" w:fill="auto"/>
            <w:tcBorders>
              <w:top w:val="single" w:color="000000" w:sz="4" w:space="0"/>
              <w:left w:val="single" w:color="000000" w:sz="4" w:space="0"/>
              <w:bottom w:val="single" w:color="auto"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6</w:t>
            </w: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999"/>
              <w:jc w:val="center"/>
              <w:rPr>
                <w:color w:val="auto"/>
                <w:highlight w:val="none"/>
              </w:rPr>
            </w:pPr>
            <w:r>
              <w:rPr>
                <w:rFonts w:hint="eastAsia" w:ascii="Times New Roman" w:hAnsi="Times New Roman" w:eastAsia="宋体" w:cs="Times New Roman"/>
                <w:color w:val="auto"/>
                <w:sz w:val="22"/>
                <w:szCs w:val="22"/>
                <w:highlight w:val="none"/>
                <w:lang w:val="en-US" w:eastAsia="zh-CN" w:bidi="ar"/>
              </w:rPr>
              <w:t xml:space="preserve">小厨宝</w:t>
            </w:r>
            <w:r>
              <w:rPr>
                <w:rFonts w:hint="eastAsia" w:ascii="宋体" w:hAnsi="宋体" w:eastAsia="宋体" w:cs="宋体"/>
                <w:b/>
                <w:bCs/>
                <w:i w:val="0"/>
                <w:iCs w:val="0"/>
                <w:color w:val="auto"/>
                <w:sz w:val="18"/>
                <w:szCs w:val="18"/>
                <w:highlight w:val="none"/>
                <w:u w:val="none"/>
                <w:lang w:val="en-US" w:eastAsia="zh-CN" w:bidi="ar"/>
              </w:rPr>
              <w:t xml:space="preserve">（节能产品政府强制采购产品）◆需提供CCC认证证书</w:t>
            </w:r>
            <w:r/>
          </w:p>
        </w:tc>
        <w:tc>
          <w:tcPr>
            <w:shd w:val="clear" w:color="auto" w:fill="auto"/>
            <w:tcBorders>
              <w:top w:val="single" w:color="000000" w:sz="4" w:space="0"/>
              <w:left w:val="single" w:color="000000" w:sz="4" w:space="0"/>
              <w:bottom w:val="single" w:color="000000" w:sz="4" w:space="0"/>
              <w:right w:val="single" w:color="auto"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rPr>
                <w:rFonts w:hint="eastAsia" w:ascii="宋体" w:hAnsi="宋体" w:cs="宋体"/>
                <w:color w:val="auto"/>
                <w:sz w:val="22"/>
                <w:szCs w:val="22"/>
                <w:highlight w:val="none"/>
                <w:lang w:bidi="ar"/>
              </w:rPr>
              <w:t xml:space="preserve">355*355*325</w:t>
            </w:r>
            <w:r/>
          </w:p>
        </w:tc>
        <w:tc>
          <w:tcPr>
            <w:shd w:val="clear" w:color="auto" w:fill="auto"/>
            <w:tcBorders>
              <w:top w:val="single" w:color="auto" w:sz="4" w:space="0"/>
              <w:left w:val="single" w:color="auto" w:sz="4" w:space="0"/>
              <w:bottom w:val="single" w:color="auto" w:sz="4" w:space="0"/>
              <w:right w:val="single" w:color="auto" w:sz="4" w:space="0"/>
            </w:tcBorders>
            <w:tcW w:w="9310" w:type="dxa"/>
            <w:vAlign w:val="center"/>
            <w:textDirection w:val="lrTb"/>
            <w:noWrap w:val="false"/>
          </w:tcPr>
          <w:p>
            <w:pPr>
              <w:jc w:val="left"/>
              <w:spacing w:after="62"/>
              <w:widowControl/>
              <w:rPr>
                <w:rStyle w:val="1329"/>
                <w:rFonts w:hint="eastAsia" w:ascii="Times New Roman" w:hAnsi="Times New Roman" w:eastAsia="宋体" w:cs="Times New Roman"/>
                <w:color w:val="auto"/>
                <w:highlight w:val="none"/>
              </w:rPr>
            </w:pPr>
            <w:r>
              <w:rPr>
                <w:rStyle w:val="1329"/>
                <w:rFonts w:hint="default" w:ascii="Times New Roman" w:hAnsi="Times New Roman" w:cs="Times New Roman"/>
                <w:color w:val="auto"/>
                <w:highlight w:val="none"/>
                <w:lang w:bidi="ar"/>
              </w:rPr>
              <w:t xml:space="preserve">1</w:t>
            </w:r>
            <w:r>
              <w:rPr>
                <w:rStyle w:val="1329"/>
                <w:rFonts w:hint="eastAsia" w:ascii="Times New Roman" w:hAnsi="Times New Roman" w:eastAsia="宋体" w:cs="Times New Roman"/>
                <w:color w:val="auto"/>
                <w:highlight w:val="none"/>
                <w:lang w:val="en-US" w:eastAsia="zh-CN" w:bidi="ar"/>
              </w:rPr>
              <w:t xml:space="preserve">.</w:t>
            </w:r>
            <w:r>
              <w:rPr>
                <w:rStyle w:val="1329"/>
                <w:rFonts w:hint="default" w:ascii="Times New Roman" w:hAnsi="Times New Roman" w:cs="Times New Roman"/>
                <w:color w:val="auto"/>
                <w:highlight w:val="none"/>
                <w:lang w:bidi="ar"/>
              </w:rPr>
              <w:t xml:space="preserve">储水式电热水器， ≥15升容量</w:t>
            </w:r>
            <w:r>
              <w:rPr>
                <w:rStyle w:val="1329"/>
                <w:rFonts w:hint="eastAsia" w:ascii="Times New Roman" w:hAnsi="Times New Roman" w:eastAsia="宋体" w:cs="Times New Roman"/>
                <w:color w:val="auto"/>
                <w:highlight w:val="none"/>
                <w:lang w:eastAsia="zh-CN" w:bidi="ar"/>
              </w:rPr>
              <w:t xml:space="preserve">。</w:t>
            </w:r>
            <w:r/>
          </w:p>
          <w:p>
            <w:pPr>
              <w:jc w:val="left"/>
              <w:spacing w:after="62"/>
              <w:widowControl/>
              <w:rPr>
                <w:color w:val="auto"/>
                <w:highlight w:val="none"/>
              </w:rPr>
            </w:pPr>
            <w:r>
              <w:rPr>
                <w:rStyle w:val="1329"/>
                <w:rFonts w:hint="default" w:ascii="Times New Roman" w:hAnsi="Times New Roman" w:cs="Times New Roman"/>
                <w:b/>
                <w:bCs/>
                <w:color w:val="auto"/>
                <w:highlight w:val="none"/>
                <w:lang w:bidi="ar"/>
              </w:rPr>
              <w:t xml:space="preserve">★能效等级：≥二级。提供有效期内的节能产品认证证书和中国政府采购节能品目清单查询截图（中国政府采购网 (www.ccgp.gov.cn)）</w:t>
            </w:r>
            <w:r/>
          </w:p>
        </w:tc>
        <w:tc>
          <w:tcPr>
            <w:shd w:val="clear" w:color="auto" w:fill="auto"/>
            <w:tcBorders>
              <w:top w:val="single" w:color="000000" w:sz="4" w:space="0"/>
              <w:left w:val="single" w:color="auto"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干手器</w:t>
            </w: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p>
        </w:tc>
        <w:tc>
          <w:tcPr>
            <w:shd w:val="clear" w:color="auto" w:fill="auto"/>
            <w:tcBorders>
              <w:top w:val="single" w:color="000000" w:sz="4" w:space="0"/>
              <w:left w:val="single" w:color="000000" w:sz="4" w:space="0"/>
              <w:bottom w:val="single" w:color="000000" w:sz="4" w:space="0"/>
              <w:right w:val="single" w:color="auto"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≥156*176*207</w:t>
            </w:r>
            <w:r/>
          </w:p>
        </w:tc>
        <w:tc>
          <w:tcPr>
            <w:shd w:val="clear" w:color="auto" w:fill="auto"/>
            <w:tcBorders>
              <w:top w:val="single" w:color="auto" w:sz="4" w:space="0"/>
              <w:left w:val="single" w:color="auto" w:sz="4" w:space="0"/>
              <w:bottom w:val="single" w:color="auto" w:sz="4" w:space="0"/>
              <w:right w:val="single" w:color="auto"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Style w:val="1329"/>
                <w:rFonts w:hint="default" w:ascii="Times New Roman" w:hAnsi="Times New Roman" w:cs="Times New Roman"/>
                <w:color w:val="auto"/>
                <w:highlight w:val="none"/>
                <w:lang w:bidi="ar"/>
              </w:rPr>
              <w:t xml:space="preserve">1.结构与材质：外壳须为一体成型设计。</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2.干手性能：</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采用双面出风模式。干手时间应不大于7秒（在标准测试条件下）。须内置空气压缩箱体以提升风速，实现风干与沥干同步进行。</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3.核心部件：</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电机额定功率为2000W，须具备启动性能好、运行</w:t>
            </w:r>
            <w:r>
              <w:rPr>
                <w:rStyle w:val="1329"/>
                <w:rFonts w:hint="eastAsia" w:ascii="Times New Roman" w:hAnsi="Times New Roman" w:eastAsia="宋体" w:cs="Times New Roman"/>
                <w:color w:val="auto"/>
                <w:highlight w:val="none"/>
                <w:lang w:eastAsia="zh-CN" w:bidi="ar"/>
              </w:rPr>
              <w:t xml:space="preserve">噪声</w:t>
            </w:r>
            <w:r>
              <w:rPr>
                <w:rStyle w:val="1329"/>
                <w:rFonts w:hint="default" w:ascii="Times New Roman" w:hAnsi="Times New Roman" w:cs="Times New Roman"/>
                <w:color w:val="auto"/>
                <w:highlight w:val="none"/>
                <w:lang w:bidi="ar"/>
              </w:rPr>
              <w:t xml:space="preserve">低的特点。采用全金属涡轮增压风扇，并带降噪圆弧结构以控制运行</w:t>
            </w:r>
            <w:r>
              <w:rPr>
                <w:rStyle w:val="1329"/>
                <w:rFonts w:hint="eastAsia" w:ascii="Times New Roman" w:hAnsi="Times New Roman" w:eastAsia="宋体" w:cs="Times New Roman"/>
                <w:color w:val="auto"/>
                <w:highlight w:val="none"/>
                <w:lang w:eastAsia="zh-CN" w:bidi="ar"/>
              </w:rPr>
              <w:t xml:space="preserve">噪声</w:t>
            </w:r>
            <w:r>
              <w:rPr>
                <w:rStyle w:val="1329"/>
                <w:rFonts w:hint="default" w:ascii="Times New Roman" w:hAnsi="Times New Roman" w:cs="Times New Roman"/>
                <w:color w:val="auto"/>
                <w:highlight w:val="none"/>
                <w:lang w:bidi="ar"/>
              </w:rPr>
              <w:t xml:space="preserve">。</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4.感应技术：</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采用以波长为主要感应距离的近红外感应技术。</w:t>
            </w:r>
            <w:r>
              <w:rPr>
                <w:rStyle w:val="1329"/>
                <w:rFonts w:hint="default" w:ascii="Times New Roman" w:hAnsi="Times New Roman" w:cs="Times New Roman"/>
                <w:color w:val="auto"/>
                <w:highlight w:val="none"/>
                <w:lang w:bidi="ar"/>
              </w:rPr>
              <w:br/>
            </w:r>
            <w:r>
              <w:rPr>
                <w:rStyle w:val="1329"/>
                <w:rFonts w:hint="default" w:ascii="Times New Roman" w:hAnsi="Times New Roman" w:cs="Times New Roman"/>
                <w:color w:val="auto"/>
                <w:highlight w:val="none"/>
                <w:lang w:bidi="ar"/>
              </w:rPr>
              <w:t xml:space="preserve">配备高灵敏度的信号收发送感光元件，实现智能、快速、可靠的自动感应启停。</w:t>
            </w:r>
            <w:r/>
          </w:p>
        </w:tc>
        <w:tc>
          <w:tcPr>
            <w:shd w:val="clear" w:color="auto" w:fill="auto"/>
            <w:tcBorders>
              <w:top w:val="single" w:color="000000" w:sz="4" w:space="0"/>
              <w:left w:val="single" w:color="auto"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6469"/>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全自动长龙式洗碗机（含全自动分配器）</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≥3500*820*1550</w:t>
            </w:r>
            <w:r/>
          </w:p>
        </w:tc>
        <w:tc>
          <w:tcPr>
            <w:shd w:val="clear" w:color="auto" w:fill="auto"/>
            <w:tcBorders>
              <w:top w:val="single" w:color="auto"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最大洗涤速度（履带速度）：≥1.5米/分钟（4500碟/小时，8寸碟计算）；</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机器总功率：≤50kW；</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功能区块：入口区机器入口长度≥900mm，机器入口宽度≥612mm；机器入口高度≥440mm；入口区配置风罩，减少废热气对人的侵袭及向外溢出；进口端侧护板可拆卸，易于清洁，不留卫生死角，符合HACCP要求，入口配备感应传感器，自动检测餐具，操作更加</w:t>
            </w:r>
            <w:r>
              <w:rPr>
                <w:rFonts w:hint="eastAsia" w:ascii="Times New Roman" w:hAnsi="Times New Roman" w:eastAsia="宋体" w:cs="Times New Roman"/>
                <w:color w:val="auto"/>
                <w:sz w:val="22"/>
                <w:szCs w:val="22"/>
                <w:highlight w:val="none"/>
                <w:lang w:eastAsia="zh-CN" w:bidi="ar"/>
              </w:rPr>
              <w:t xml:space="preserve">方便</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功能区块：主洗区清洗泵功率≥1.5kW，水缸容量≥82L，清洗温度：55~60℃，加热功率≤18kW，清洗臂抽屉式安装，清洁时装卸更加便捷，降低操作人员操作的复杂程度，洗臂材料：必须是不锈钢金属材料，耐油碱腐蚀；耐高温、不易变形、不易老化。洗臂数量≥上4根/组，下4根/组。</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功能区块：双喷淋区，喷淋臂：含预喷淋臂，其材料必须是不锈钢金属材料，耐油碱腐蚀；耐高温、不易变形、不易老化。 喷淋温度≥82℃（当进水温度为10℃时实测） 耗水量≤350L  喷淋温度≥82℃  加热功率≤30kW；双道喷淋节能系统，预喷淋流量更大，清洁效果更佳，在降低水消耗量的同时，有效提升喷淋效果；</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w:t>
            </w:r>
            <w:r>
              <w:rPr>
                <w:rFonts w:ascii="Times New Roman" w:hAnsi="Times New Roman" w:eastAsia="宋体" w:cs="Times New Roman"/>
                <w:color w:val="auto"/>
                <w:sz w:val="22"/>
                <w:szCs w:val="22"/>
                <w:highlight w:val="none"/>
                <w:lang w:bidi="ar"/>
              </w:rPr>
              <w:t xml:space="preserve">功能区块：出口区机器出口长度≥1200mm，机器出口工作面高度≤860mm   功能部分：出口区四周围边可拆，易于清洁，不留卫生死角，符合HACCP要求；洗臂、喷淋臂材料：必须是不锈钢金属材料，耐油碱腐蚀；耐高温、不易变形、不易老化。</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7.</w:t>
            </w:r>
            <w:r>
              <w:rPr>
                <w:rFonts w:ascii="Times New Roman" w:hAnsi="Times New Roman" w:eastAsia="宋体" w:cs="Times New Roman"/>
                <w:color w:val="auto"/>
                <w:sz w:val="22"/>
                <w:szCs w:val="22"/>
                <w:highlight w:val="none"/>
                <w:lang w:bidi="ar"/>
              </w:rPr>
              <w:t xml:space="preserve">传送系统：采用高强度工程塑料；整机防水，密封：清洗、喷淋模块保证完全密封，防水性更好，同时防止老鼠对线路的破坏，降低维修费用；机身SUS304不锈钢</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8.</w:t>
            </w:r>
            <w:r>
              <w:rPr>
                <w:rFonts w:ascii="Times New Roman" w:hAnsi="Times New Roman" w:eastAsia="宋体" w:cs="Times New Roman"/>
                <w:color w:val="auto"/>
                <w:sz w:val="22"/>
                <w:szCs w:val="22"/>
                <w:highlight w:val="none"/>
                <w:lang w:bidi="ar"/>
              </w:rPr>
              <w:t xml:space="preserve">控制系统：自动启动、延时，简化操作，操作人员只需简单培训便可上岗操作，手动+自动切换，机器控制出现故障可通过</w:t>
            </w:r>
            <w:r>
              <w:rPr>
                <w:rFonts w:hint="eastAsia" w:ascii="Times New Roman" w:hAnsi="Times New Roman" w:eastAsia="宋体" w:cs="Times New Roman"/>
                <w:color w:val="auto"/>
                <w:sz w:val="22"/>
                <w:szCs w:val="22"/>
                <w:highlight w:val="none"/>
                <w:lang w:eastAsia="zh-CN" w:bidi="ar"/>
              </w:rPr>
              <w:t xml:space="preserve">手动挡</w:t>
            </w:r>
            <w:r>
              <w:rPr>
                <w:rFonts w:ascii="Times New Roman" w:hAnsi="Times New Roman" w:eastAsia="宋体" w:cs="Times New Roman"/>
                <w:color w:val="auto"/>
                <w:sz w:val="22"/>
                <w:szCs w:val="22"/>
                <w:highlight w:val="none"/>
                <w:lang w:bidi="ar"/>
              </w:rPr>
              <w:t xml:space="preserve">位继续运行，保证机器的稳定性；电子温度显示，清晰、直观，观察方便*升温箱分级加热控制，双温度探头监测减小温度波动，达到最佳喷淋效果。</w:t>
            </w:r>
            <w:r>
              <w:rPr>
                <w:rFonts w:ascii="Times New Roman" w:hAnsi="Times New Roman" w:eastAsia="宋体" w:cs="Times New Roman"/>
                <w:color w:val="auto"/>
                <w:sz w:val="22"/>
                <w:szCs w:val="22"/>
                <w:highlight w:val="none"/>
                <w:lang w:bidi="ar"/>
              </w:rPr>
              <w:br/>
            </w:r>
            <w:r>
              <w:rPr>
                <w:rFonts w:hint="eastAsia"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9.</w:t>
            </w:r>
            <w:r>
              <w:rPr>
                <w:rFonts w:hint="eastAsia" w:ascii="Times New Roman" w:hAnsi="Times New Roman" w:cs="Times New Roman" w:eastAsiaTheme="minorEastAsia"/>
                <w:b/>
                <w:bCs/>
                <w:color w:val="auto"/>
                <w:sz w:val="22"/>
                <w:szCs w:val="22"/>
                <w:highlight w:val="none"/>
              </w:rPr>
              <w:t xml:space="preserve">有商用洗碗机洗净性能认证证书</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提供认证</w:t>
            </w:r>
            <w:r>
              <w:rPr>
                <w:rFonts w:hint="eastAsia" w:cs="Times New Roman"/>
                <w:b/>
                <w:bCs/>
                <w:color w:val="auto"/>
                <w:sz w:val="22"/>
                <w:szCs w:val="22"/>
                <w:highlight w:val="none"/>
                <w:lang w:val="en-US" w:eastAsia="zh-CN"/>
              </w:rPr>
              <w:t xml:space="preserve">证书</w:t>
            </w:r>
            <w:r>
              <w:rPr>
                <w:rFonts w:hint="eastAsia" w:ascii="Times New Roman" w:hAnsi="Times New Roman" w:cs="Times New Roman" w:eastAsiaTheme="minorEastAsia"/>
                <w:b/>
                <w:bCs/>
                <w:color w:val="auto"/>
                <w:sz w:val="22"/>
                <w:szCs w:val="22"/>
                <w:highlight w:val="none"/>
                <w:lang w:val="en-US" w:eastAsia="zh-CN"/>
              </w:rPr>
              <w:t xml:space="preserve">扫描</w:t>
            </w:r>
            <w:r>
              <w:rPr>
                <w:rFonts w:hint="eastAsia" w:ascii="Times New Roman" w:hAnsi="Times New Roman" w:cs="Times New Roman" w:eastAsiaTheme="minorEastAsia"/>
                <w:b/>
                <w:bCs/>
                <w:color w:val="auto"/>
                <w:sz w:val="22"/>
                <w:szCs w:val="22"/>
                <w:highlight w:val="none"/>
              </w:rPr>
              <w:t xml:space="preserve">件</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 xml:space="preserve">有效</w:t>
            </w:r>
            <w:r>
              <w:rPr>
                <w:rFonts w:hint="eastAsia" w:ascii="Times New Roman" w:hAnsi="Times New Roman" w:cs="Times New Roman" w:eastAsiaTheme="minorEastAsia"/>
                <w:b/>
                <w:bCs/>
                <w:color w:val="auto"/>
                <w:sz w:val="22"/>
                <w:szCs w:val="22"/>
                <w:highlight w:val="none"/>
              </w:rPr>
              <w:t xml:space="preserve">的截图，均加盖投标人公章。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洗碗机机用液</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洗涤剂20L/桶</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催干剂20L/桶</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洗碗机专用洗涤剂：本品全新配方呈碱性，</w:t>
            </w:r>
            <w:r>
              <w:rPr>
                <w:rFonts w:hint="eastAsia" w:ascii="Times New Roman" w:hAnsi="Times New Roman" w:eastAsia="宋体" w:cs="Times New Roman"/>
                <w:color w:val="auto"/>
                <w:sz w:val="22"/>
                <w:szCs w:val="22"/>
                <w:highlight w:val="none"/>
                <w:lang w:eastAsia="zh-CN" w:bidi="ar"/>
              </w:rPr>
              <w:t xml:space="preserve">含水</w:t>
            </w:r>
            <w:r>
              <w:rPr>
                <w:rFonts w:ascii="Times New Roman" w:hAnsi="Times New Roman" w:eastAsia="宋体" w:cs="Times New Roman"/>
                <w:color w:val="auto"/>
                <w:sz w:val="22"/>
                <w:szCs w:val="22"/>
                <w:highlight w:val="none"/>
                <w:lang w:bidi="ar"/>
              </w:rPr>
              <w:t xml:space="preserve">处理剂和污垢控制剂，浓缩型清洁剂，去污力，去除食物残渣，污渍及油脂。</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规格：每桶20L。 外观：红色或无色透明液体  总活性物含量≥10%。</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（1%水溶性）：≥12.  活碱：10.5±5.漂洗性：易清洗。</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溶解性：全溶。相对密度：1.23±0.005.保质期：2年   容量：20L。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洗碗机专用催干剂：由表面活性剂复配而成，浓缩高效，提高洗碗机工作效率，通过降低水的表面张力，</w:t>
            </w:r>
            <w:r>
              <w:rPr>
                <w:rFonts w:hint="eastAsia" w:ascii="Times New Roman" w:hAnsi="Times New Roman" w:eastAsia="宋体" w:cs="Times New Roman"/>
                <w:color w:val="auto"/>
                <w:sz w:val="22"/>
                <w:szCs w:val="22"/>
                <w:highlight w:val="none"/>
                <w:lang w:eastAsia="zh-CN" w:bidi="ar"/>
              </w:rPr>
              <w:t xml:space="preserve">使</w:t>
            </w:r>
            <w:r>
              <w:rPr>
                <w:rFonts w:ascii="Times New Roman" w:hAnsi="Times New Roman" w:eastAsia="宋体" w:cs="Times New Roman"/>
                <w:color w:val="auto"/>
                <w:sz w:val="22"/>
                <w:szCs w:val="22"/>
                <w:highlight w:val="none"/>
                <w:lang w:bidi="ar"/>
              </w:rPr>
              <w:t xml:space="preserve">喷淋后的餐具形成无水渍，催干、消毒一次完成。</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催干剂必须与洗涤剂配合使用。规格：每桶20L。外观：清澈的蓝色液体。总活性物含量≥12%，</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：3~7.溶解性：全溶。相对密度：1.0575±0.005 质保期：2年。容量：20L。</w:t>
            </w: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1桶洗碗机专用洗涤剂和1桶洗碗机专用催干剂为1组，为全自动长龙式洗碗机（含全自动分配器）耗材。</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组</w:t>
            </w: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双门立式消毒柜</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≥1310*620*1930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1.外形尺寸：≥1310*620*1930mm，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2.功率 ≥2.4kW/220V，消毒容积≥720L；</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3.采用优质不锈钢制作，整体发泡；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4.机械式旋钮控制系统，操作方便，带温控和定时功能，温度范围30~125°，时间范围0~90min；</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5.消毒效率高，灭菌力强，符合二星级消毒柜要求；</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6.对大肠杆菌的杀灭对数值＞3.00，对脊髓灰质炎病毒Ⅰ型疫苗株的灭活对数值＞4.00。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3.台脚采用Ф38mmX1.0mm不锈钢圆管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 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173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六门双温冰箱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≥1800*750*1950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容量：≥1453L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功率：220V/≥398W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箱内温度：+8~-18℃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采用国内一线品牌压缩机，采用一线品牌温控，温度更精确，箱内拼接采用倒圆弧设计，干净清爽更易清洁。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双头煮面炉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≥1300*790*800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容量：≥70L*2 ；功率：≥9</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；电压：380V；内/外直径：≥45/51CM；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桶深：≥43CM；接线标准：100A；</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煮面炉柜身采用201不锈钢≥1.0mm</w:t>
            </w:r>
            <w:r>
              <w:rPr>
                <w:rFonts w:hint="eastAsia" w:ascii="Times New Roman" w:hAnsi="Times New Roman" w:eastAsia="宋体" w:cs="Times New Roman"/>
                <w:color w:val="auto"/>
                <w:sz w:val="22"/>
                <w:szCs w:val="22"/>
                <w:highlight w:val="none"/>
                <w:lang w:eastAsia="zh-CN" w:bidi="ar"/>
              </w:rPr>
              <w:t xml:space="preserve">厚</w:t>
            </w:r>
            <w:r>
              <w:rPr>
                <w:rFonts w:ascii="Times New Roman" w:hAnsi="Times New Roman" w:eastAsia="宋体" w:cs="Times New Roman"/>
                <w:color w:val="auto"/>
                <w:sz w:val="22"/>
                <w:szCs w:val="22"/>
                <w:highlight w:val="none"/>
                <w:lang w:bidi="ar"/>
              </w:rPr>
              <w:t xml:space="preserve">柜体，内胆采用SUS304不锈钢1.5mm厚。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数显温控J40系列包体长方形液压餐炉</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550*430*210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数显温控，220V，≥300W，容量9L，材质：SUS304不锈钢内胆</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620*655*700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不锈钢机身1.0mm厚，装备恒温装置，工作温度：50℃-300℃，大面积封闭加热，机械控温，快速升温，温度误差小，节能环保，降低能耗，电饼铛内胆采用铝合金制作，升温快，加热均匀，不</w:t>
            </w:r>
            <w:r>
              <w:rPr>
                <w:rFonts w:hint="eastAsia" w:ascii="Times New Roman" w:hAnsi="Times New Roman" w:eastAsia="宋体" w:cs="Times New Roman"/>
                <w:color w:val="auto"/>
                <w:sz w:val="18"/>
                <w:szCs w:val="18"/>
                <w:highlight w:val="none"/>
                <w:lang w:eastAsia="zh-CN" w:bidi="ar"/>
              </w:rPr>
              <w:t xml:space="preserve">黏附</w:t>
            </w:r>
            <w:r>
              <w:rPr>
                <w:rFonts w:hint="eastAsia" w:ascii="Times New Roman" w:hAnsi="Times New Roman" w:eastAsia="宋体" w:cs="Times New Roman"/>
                <w:color w:val="auto"/>
                <w:sz w:val="18"/>
                <w:szCs w:val="18"/>
                <w:highlight w:val="none"/>
                <w:lang w:bidi="ar"/>
              </w:rPr>
              <w:t xml:space="preserve">，容易脱模，油烟少，电功率：5KW380V/220V</w:t>
            </w:r>
            <w:r>
              <w:rPr>
                <w:rFonts w:hint="eastAsia" w:ascii="Times New Roman" w:hAnsi="Times New Roman" w:eastAsia="宋体" w:cs="Times New Roman"/>
                <w:color w:val="auto"/>
                <w:sz w:val="18"/>
                <w:szCs w:val="18"/>
                <w:highlight w:val="none"/>
                <w:lang w:bidi="ar"/>
              </w:rPr>
              <w:br/>
            </w:r>
            <w:r>
              <w:rPr>
                <w:rFonts w:hint="eastAsia" w:ascii="Times New Roman" w:hAnsi="Times New Roman" w:eastAsia="宋体" w:cs="Times New Roman"/>
                <w:color w:val="auto"/>
                <w:sz w:val="18"/>
                <w:szCs w:val="18"/>
                <w:highlight w:val="none"/>
                <w:lang w:bidi="ar"/>
              </w:rPr>
              <w:t xml:space="preserve">直径：50CM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台</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暖汤煲</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尺寸： ≥38*38*41CM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≥13L,≥300W，外层三层隔热，外壳内胆：纯铝速热，可拆SUS304不锈钢内胆，0~80℃五段控温系统。</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勾柄厨具/汤勺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SUS304不锈钢≥150ML，尺寸：柄长≥30cm.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精抛食品夹单齿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≥24cm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单齿加厚SUS304不锈钢制作。尺寸：≥24cm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餐夹搁盘</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≥15*28.5cm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5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五格餐盘带盖</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≥290*230*40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食品级SUS304不锈钢≥1.0mm厚，盖子SUS304不锈钢。</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8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双层不锈钢小碗</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≥直径11.5cm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内外SUS304不锈钢制作。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24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不锈钢小勺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≥18.5cm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≥直径80cm</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平板塑料垫板</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≥1500*1400*14</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采用PP材质，静载4000KG</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动载1200KG，耐高温135℃，耐低温-40℃，九个脚+4根钢（外边脚各1根钢，中间2根钢）</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（一楼主厨间）机械静电光解复合式集烟罩（油烟净化一体设备）</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≥17200*1500*780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本体采用优质不锈钢201板材，厚度≥1.0mm，净化率≥</w:t>
            </w:r>
            <w:r>
              <w:rPr>
                <w:rFonts w:hint="eastAsia" w:ascii="Times New Roman" w:hAnsi="Times New Roman" w:eastAsia="宋体" w:cs="Times New Roman"/>
                <w:color w:val="auto"/>
                <w:sz w:val="22"/>
                <w:szCs w:val="22"/>
                <w:highlight w:val="none"/>
                <w:lang w:val="en-US" w:eastAsia="zh-CN" w:bidi="ar"/>
              </w:rPr>
              <w:t xml:space="preserve">85</w:t>
            </w:r>
            <w:r>
              <w:rPr>
                <w:rFonts w:ascii="Times New Roman" w:hAnsi="Times New Roman" w:eastAsia="宋体" w:cs="Times New Roman"/>
                <w:color w:val="auto"/>
                <w:sz w:val="22"/>
                <w:szCs w:val="22"/>
                <w:highlight w:val="none"/>
                <w:lang w:bidi="ar"/>
              </w:rPr>
              <w:t xml:space="preserve">%。 设备集烟罩、抽排系统、风幕系统、净化系统为一体的油烟净化设备。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设备通道式设计，方便拼接安装。单台设备独立控制，自带动力，整机额定功率1.9-2.4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设备自带风幕风帘系统，有效防止油烟逃逸，提高油烟捕获效率。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高清液晶显示屏，触摸按键。实时工作温度显示</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自带缺相检测，可调节过载保护</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AC~220V风机自动识别兼容，无需手动。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烹饪时所产生的油烟气体，随风机产生的气流，进入高速旋转的网盘，被网盘屏蔽拦截，并在其离心作用下分离；                                                                                                 6</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后经多层铝波纹丝网过滤并均分散流；再经过高低压电场使油烟颗粒荷电分离并吸附于电极上；</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最后采用UV-C光解净化工艺，对油烟颗粒物、蒸气和气味进行氧化反应。废油回收率高，管道风机不积油，大大降低了风管内因大颗粒废油堆积而引起的火灾隐患。</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节能环保，油烟排放符合国家排放标准。</w:t>
            </w:r>
            <w:r/>
          </w:p>
          <w:p>
            <w:pPr>
              <w:pStyle w:val="999"/>
              <w:ind w:firstLine="0"/>
              <w:spacing w:after="62"/>
              <w:rPr>
                <w:rFonts w:hint="default" w:asci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eastAsia="宋体" w:cs="Times New Roman"/>
                <w:b/>
                <w:bCs/>
                <w:color w:val="auto"/>
                <w:sz w:val="22"/>
                <w:szCs w:val="22"/>
                <w:highlight w:val="none"/>
                <w:lang w:val="en-US" w:eastAsia="zh-CN" w:bidi="ar"/>
              </w:rPr>
              <w:t xml:space="preserve">9.有节能产品认证扫描件,并提供证书信息在“全国认证认可信息公共服务平台”网站查询有效的截图，均加盖投标人公章。</w:t>
            </w:r>
            <w:r/>
          </w:p>
          <w:p>
            <w:pPr>
              <w:pStyle w:val="999"/>
              <w:ind w:firstLine="0"/>
              <w:spacing w:after="62"/>
              <w:rPr>
                <w:rFonts w:ascii="Times New Roman" w:cs="Times New Roman"/>
                <w:color w:val="auto"/>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eastAsia="宋体" w:cs="Times New Roman"/>
                <w:b/>
                <w:bCs/>
                <w:color w:val="auto"/>
                <w:sz w:val="22"/>
                <w:szCs w:val="22"/>
                <w:highlight w:val="none"/>
                <w:lang w:val="en-US" w:eastAsia="zh-CN" w:bidi="ar"/>
              </w:rPr>
              <w:t xml:space="preserve">10.有中国环境保护产品认证证书扫描件。并提供证书信息在“全国认证认可信息公共服务平台”网站查询有效的截图，均加盖投标人公章。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一楼蒸煮间集气罩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≥10500*1300*500*2</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二楼早餐间集气罩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≥1500*1000*500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5#轴流风机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≥210*225</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铜芯，全国联保</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220V/0.55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全压：140Pa</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风量：1500m³/h.转速：2500r/mmin.</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restart"/>
            <w:textDirection w:val="lrTb"/>
            <w:noWrap w:val="false"/>
          </w:tcPr>
          <w:p>
            <w:pPr>
              <w:numPr>
                <w:ilvl w:val="0"/>
                <w:numId w:val="15"/>
              </w:numPr>
              <w:jc w:val="left"/>
              <w:keepLines w:val="0"/>
              <w:keepNext w:val="0"/>
              <w:pageBreakBefore w:val="0"/>
              <w:spacing w:after="0" w:line="360" w:lineRule="exact"/>
              <w:widowControl w:val="off"/>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外壳采用不小于1.0mm双面烤漆钢板制作，内部双层静音棉孔板制作</w:t>
            </w:r>
            <w:r>
              <w:rPr>
                <w:rFonts w:hint="eastAsia" w:ascii="Times New Roman" w:hAnsi="Times New Roman" w:eastAsia="宋体" w:cs="Times New Roman"/>
                <w:color w:val="auto"/>
                <w:sz w:val="22"/>
                <w:szCs w:val="22"/>
                <w:highlight w:val="none"/>
                <w:lang w:eastAsia="zh-CN" w:bidi="ar"/>
              </w:rPr>
              <w:t xml:space="preserve">适当</w:t>
            </w:r>
            <w:r>
              <w:rPr>
                <w:rFonts w:ascii="Times New Roman" w:hAnsi="Times New Roman" w:eastAsia="宋体" w:cs="Times New Roman"/>
                <w:color w:val="auto"/>
                <w:sz w:val="22"/>
                <w:szCs w:val="22"/>
                <w:highlight w:val="none"/>
                <w:lang w:bidi="ar"/>
              </w:rPr>
              <w:t xml:space="preserve">加固以避免在正常运作时产生振动；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轴承：采用耐腐蚀风机专用轴承；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电机：纯铜芯国标电机。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叶轮：按三元流理论设计的机翼形前倾式风轮，厚度不小于1.0mm镀锌钢板制作，耐腐蚀性好，风机设有检修门，方便日后维护；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底部自带槽钢支架，便于安装。   </w:t>
            </w:r>
            <w:r/>
          </w:p>
          <w:p>
            <w:pPr>
              <w:numPr>
                <w:ilvl w:val="0"/>
                <w:numId w:val="0"/>
              </w:numPr>
              <w:jc w:val="left"/>
              <w:keepLines w:val="0"/>
              <w:keepNext w:val="0"/>
              <w:pageBreakBefore w:val="0"/>
              <w:spacing w:after="0" w:line="360" w:lineRule="exact"/>
              <w:widowControl w:val="off"/>
              <w:rPr>
                <w:rFonts w:hint="eastAsia" w:ascii="Times New Roman" w:hAns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hAnsi="Times New Roman" w:eastAsia="宋体" w:cs="Times New Roman"/>
                <w:b/>
                <w:bCs/>
                <w:color w:val="auto"/>
                <w:sz w:val="22"/>
                <w:szCs w:val="22"/>
                <w:highlight w:val="none"/>
                <w:lang w:val="en-US" w:eastAsia="zh-CN" w:bidi="ar"/>
              </w:rPr>
              <w:t xml:space="preserve">6.所投产品外壳，采用48h循环盐雾腐蚀试验，结果定为合格。提供CNAS或CMA标志的检测报告扫描件，加盖投标人公章。</w:t>
            </w:r>
            <w:r/>
          </w:p>
          <w:p>
            <w:pPr>
              <w:numPr>
                <w:ilvl w:val="0"/>
                <w:numId w:val="0"/>
              </w:numPr>
              <w:jc w:val="left"/>
              <w:keepLines w:val="0"/>
              <w:keepNext w:val="0"/>
              <w:pageBreakBefore w:val="0"/>
              <w:spacing w:after="0" w:line="360" w:lineRule="exact"/>
              <w:widowControl w:val="off"/>
              <w:rPr>
                <w:rFonts w:ascii="Times New Roman" w:hAnsi="Times New Roman" w:eastAsia="宋体" w:cs="Times New Roman"/>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hAnsi="Times New Roman" w:eastAsia="宋体" w:cs="Times New Roman"/>
                <w:b/>
                <w:bCs/>
                <w:color w:val="auto"/>
                <w:sz w:val="22"/>
                <w:szCs w:val="22"/>
                <w:highlight w:val="none"/>
                <w:lang w:val="en-US" w:eastAsia="zh-CN" w:bidi="ar"/>
              </w:rPr>
              <w:t xml:space="preserve">7. 有低噪音产品认证证书扫描件，加盖投标人公章。</w:t>
            </w:r>
            <w:r>
              <w:rPr>
                <w:rFonts w:ascii="Times New Roman" w:hAnsi="Times New Roman" w:eastAsia="宋体" w:cs="Times New Roman"/>
                <w:b/>
                <w:bCs/>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低噪音厢式风机（新风风机）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≥5.5</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22</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18</w:t>
            </w:r>
            <w:r>
              <w:rPr>
                <w:rFonts w:hint="eastAsia" w:ascii="Times New Roman" w:hAnsi="Times New Roman" w:eastAsia="宋体" w:cs="Times New Roman"/>
                <w:color w:val="auto"/>
                <w:sz w:val="20"/>
                <w:szCs w:val="20"/>
                <w:highlight w:val="none"/>
                <w:lang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排烟管道</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含减震器、软连接、风机支架等。</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百叶窗</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采用SUS304不锈钢不小于1.0厚制作。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采用彩钢板制作，带锁。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含风机缺项保护。</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内部电子元器件安装及项目接线端整齐。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设置开、</w:t>
            </w:r>
            <w:r>
              <w:rPr>
                <w:rFonts w:hint="eastAsia" w:ascii="Times New Roman" w:hAnsi="Times New Roman" w:eastAsia="宋体" w:cs="Times New Roman"/>
                <w:color w:val="auto"/>
                <w:sz w:val="22"/>
                <w:szCs w:val="22"/>
                <w:highlight w:val="none"/>
                <w:lang w:eastAsia="zh-CN" w:bidi="ar"/>
              </w:rPr>
              <w:t xml:space="preserve">关键</w:t>
            </w:r>
            <w:r>
              <w:rPr>
                <w:rFonts w:ascii="Times New Roman" w:hAnsi="Times New Roman" w:eastAsia="宋体" w:cs="Times New Roman"/>
                <w:color w:val="auto"/>
                <w:sz w:val="22"/>
                <w:szCs w:val="22"/>
                <w:highlight w:val="none"/>
                <w:lang w:bidi="ar"/>
              </w:rPr>
              <w:t xml:space="preserve">，控制风机。</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highlight w:val="none"/>
                <w:vertAlign w:val="baseline"/>
                <w:lang w:val="en-US" w:eastAsia="zh-CN"/>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400*500*770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交直流两用，可充电，采用LED数码显示，带计价功能；量程：≥150kg，采用智能高清显示器，计价可累计99次金额，带有去皮功能。不锈钢防水大按键，采用食品级不锈钢制作。充满电可持续使用1个月。</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送餐保温箱（含2个1/2盆）</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67*58*40cm</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30升保温箱空箱+2个1/2盆</w:t>
            </w:r>
            <w:r>
              <w:rPr>
                <w:rFonts w:hint="eastAsia" w:ascii="Times New Roman" w:hAnsi="Times New Roman" w:eastAsia="宋体" w:cs="Times New Roman"/>
                <w:color w:val="auto"/>
                <w:sz w:val="22"/>
                <w:szCs w:val="22"/>
                <w:highlight w:val="none"/>
                <w:lang w:val="en-US" w:eastAsia="zh-CN" w:bidi="ar"/>
              </w:rPr>
              <w:t xml:space="preserve">为1件。</w:t>
            </w:r>
            <w:r>
              <w:rPr>
                <w:rFonts w:hint="eastAsia" w:ascii="Times New Roman" w:hAnsi="Times New Roman" w:eastAsia="宋体" w:cs="Times New Roman"/>
                <w:color w:val="auto"/>
                <w:sz w:val="22"/>
                <w:szCs w:val="22"/>
                <w:highlight w:val="none"/>
                <w:lang w:bidi="ar"/>
              </w:rPr>
              <w:t xml:space="preserve">保温箱空箱</w:t>
            </w:r>
            <w:r>
              <w:rPr>
                <w:rFonts w:hint="eastAsia" w:ascii="Times New Roman" w:hAnsi="Times New Roman" w:eastAsia="宋体" w:cs="Times New Roman"/>
                <w:color w:val="auto"/>
                <w:sz w:val="22"/>
                <w:szCs w:val="22"/>
                <w:highlight w:val="none"/>
                <w:lang w:val="en-US" w:eastAsia="zh-CN" w:bidi="ar"/>
              </w:rPr>
              <w:t xml:space="preserve">为</w:t>
            </w:r>
            <w:r>
              <w:rPr>
                <w:rFonts w:hint="eastAsia" w:ascii="Times New Roman" w:hAnsi="Times New Roman" w:eastAsia="宋体" w:cs="Times New Roman"/>
                <w:color w:val="auto"/>
                <w:sz w:val="22"/>
                <w:szCs w:val="22"/>
                <w:highlight w:val="none"/>
                <w:lang w:bidi="ar"/>
              </w:rPr>
              <w:t xml:space="preserve">食品级PE塑料，PU保温层，</w:t>
            </w:r>
            <w:r>
              <w:rPr>
                <w:rFonts w:hint="eastAsia" w:ascii="Times New Roman" w:hAnsi="Times New Roman" w:eastAsia="宋体" w:cs="Times New Roman"/>
                <w:color w:val="auto"/>
                <w:sz w:val="22"/>
                <w:szCs w:val="22"/>
                <w:highlight w:val="none"/>
                <w:lang w:val="en-US" w:eastAsia="zh-CN" w:bidi="ar"/>
              </w:rPr>
              <w:t xml:space="preserve">内胆2个</w:t>
            </w:r>
            <w:r>
              <w:rPr>
                <w:rFonts w:hint="eastAsia" w:ascii="Times New Roman" w:hAnsi="Times New Roman" w:eastAsia="宋体" w:cs="Times New Roman"/>
                <w:color w:val="auto"/>
                <w:sz w:val="22"/>
                <w:szCs w:val="22"/>
                <w:highlight w:val="none"/>
                <w:lang w:bidi="ar"/>
              </w:rPr>
              <w:t xml:space="preserve">1/2盆为</w:t>
            </w:r>
            <w:r>
              <w:rPr>
                <w:rFonts w:hint="eastAsia" w:ascii="Times New Roman" w:hAnsi="Times New Roman" w:eastAsia="宋体" w:cs="Times New Roman"/>
                <w:color w:val="auto"/>
                <w:sz w:val="22"/>
                <w:szCs w:val="22"/>
                <w:highlight w:val="none"/>
                <w:lang w:val="en-US" w:eastAsia="zh-CN" w:bidi="ar"/>
              </w:rPr>
              <w:t xml:space="preserve">304</w:t>
            </w:r>
            <w:r>
              <w:rPr>
                <w:rFonts w:hint="eastAsia" w:ascii="Times New Roman" w:hAnsi="Times New Roman" w:eastAsia="宋体" w:cs="Times New Roman"/>
                <w:color w:val="auto"/>
                <w:sz w:val="22"/>
                <w:szCs w:val="22"/>
                <w:highlight w:val="none"/>
                <w:lang w:bidi="ar"/>
              </w:rPr>
              <w:t xml:space="preserve">不锈钢</w:t>
            </w:r>
            <w:r>
              <w:rPr>
                <w:rFonts w:hint="eastAsia" w:ascii="Times New Roman" w:hAnsi="Times New Roman" w:eastAsia="宋体" w:cs="Times New Roman"/>
                <w:color w:val="auto"/>
                <w:sz w:val="22"/>
                <w:szCs w:val="22"/>
                <w:highlight w:val="none"/>
                <w:lang w:val="en-US" w:eastAsia="zh-CN" w:bidi="ar"/>
              </w:rPr>
              <w:t xml:space="preserve">制作并带不锈钢盖</w:t>
            </w:r>
            <w:r>
              <w:rPr>
                <w:rFonts w:hint="eastAsia" w:ascii="Times New Roman" w:hAnsi="Times New Roman" w:eastAsia="宋体" w:cs="Times New Roman"/>
                <w:color w:val="auto"/>
                <w:sz w:val="22"/>
                <w:szCs w:val="22"/>
                <w:highlight w:val="none"/>
                <w:lang w:bidi="ar"/>
              </w:rPr>
              <w:t xml:space="preserve">。（外观颜色：黄色、蓝色、绿色各</w:t>
            </w:r>
            <w:r>
              <w:rPr>
                <w:rFonts w:hint="eastAsia" w:ascii="Times New Roman" w:hAnsi="Times New Roman" w:eastAsia="宋体" w:cs="Times New Roman"/>
                <w:color w:val="auto"/>
                <w:sz w:val="22"/>
                <w:szCs w:val="22"/>
                <w:highlight w:val="none"/>
                <w:lang w:val="en-US" w:eastAsia="zh-CN" w:bidi="ar"/>
              </w:rPr>
              <w:t xml:space="preserve">35</w:t>
            </w:r>
            <w:r>
              <w:rPr>
                <w:rFonts w:hint="eastAsia" w:ascii="Times New Roman" w:hAnsi="Times New Roman" w:eastAsia="宋体" w:cs="Times New Roman"/>
                <w:color w:val="auto"/>
                <w:sz w:val="22"/>
                <w:szCs w:val="22"/>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410*45*50</w:t>
            </w: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304不锈钢制作</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每根至少5个挂钩</w:t>
            </w:r>
            <w:r>
              <w:rPr>
                <w:rFonts w:hint="eastAsia" w:ascii="Times New Roman" w:hAnsi="Times New Roman" w:eastAsia="宋体" w:cs="Times New Roman"/>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根</w:t>
            </w:r>
            <w:r/>
          </w:p>
        </w:tc>
      </w:tr>
    </w:tbl>
    <w:tbl>
      <w:tblPr>
        <w:tblStyle w:val="998"/>
        <w:tblW w:w="14045" w:type="dxa"/>
        <w:tblInd w:w="93" w:type="dxa"/>
        <w:tblLayout w:type="fixed"/>
        <w:tblCellMar>
          <w:left w:w="108" w:type="dxa"/>
          <w:top w:w="0" w:type="dxa"/>
          <w:right w:w="108" w:type="dxa"/>
          <w:bottom w:w="0" w:type="dxa"/>
        </w:tblCellMar>
        <w:tblLook w:val="04A0" w:firstRow="1" w:lastRow="0" w:firstColumn="1" w:lastColumn="0" w:noHBand="0" w:noVBand="1"/>
      </w:tblPr>
      <w:tblGrid>
        <w:gridCol w:w="726"/>
        <w:gridCol w:w="142"/>
        <w:gridCol w:w="1148"/>
        <w:gridCol w:w="396"/>
        <w:gridCol w:w="1781"/>
        <w:gridCol w:w="1602"/>
        <w:gridCol w:w="6420"/>
        <w:gridCol w:w="870"/>
        <w:gridCol w:w="90"/>
        <w:gridCol w:w="825"/>
        <w:gridCol w:w="45"/>
      </w:tblGrid>
      <w:tr>
        <w:trPr>
          <w:gridAfter w:val="1"/>
          <w:trHeight w:val="375"/>
        </w:trPr>
        <w:tc>
          <w:tcPr>
            <w:gridSpan w:val="10"/>
            <w:shd w:val="clear" w:color="auto" w:fill="auto"/>
            <w:tcBorders>
              <w:top w:val="none" w:color="000000" w:sz="4" w:space="0"/>
              <w:left w:val="none" w:color="000000" w:sz="4" w:space="0"/>
              <w:bottom w:val="none" w:color="000000" w:sz="4" w:space="0"/>
              <w:right w:val="none" w:color="000000" w:sz="4" w:space="0"/>
            </w:tcBorders>
            <w:tcW w:w="14000" w:type="dxa"/>
            <w:vAlign w:val="center"/>
            <w:textDirection w:val="lrTb"/>
            <w:noWrap/>
          </w:tcPr>
          <w:p>
            <w:pPr>
              <w:jc w:val="both"/>
              <w:spacing w:after="62"/>
              <w:widowControl/>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jc w:val="center"/>
              <w:spacing w:after="62"/>
              <w:widowControl/>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lang w:bidi="ar"/>
              </w:rPr>
              <w:t xml:space="preserve">②</w:t>
            </w:r>
            <w:r>
              <w:rPr>
                <w:rStyle w:val="1323"/>
                <w:rFonts w:hint="default" w:ascii="Times New Roman" w:hAnsi="Times New Roman" w:cs="Times New Roman"/>
                <w:highlight w:val="none"/>
                <w:lang w:bidi="ar"/>
              </w:rPr>
              <w:t xml:space="preserve">厨房工具采购清单及技术参数</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left"/>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单位</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密胺面碗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φ200*80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采用密胺制作，规格：φ200*80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不锈钢留样盒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120*120*45</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采用SUS304不锈钢制作。规格：120*120*45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切菜刀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1号刀</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斩骨刀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削皮刀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8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聚酯切菜板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500*350*25/白色10块，绿色10块，红色5块，蓝色5块</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无毒无味、轻便耐用、耐腐蚀、易清洁、韧性强等因素；</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聚酯切肉、砍骨板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φ450*40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无毒无味、轻便耐用、耐腐蚀、易清洁、韧性强等因素；厚度</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4.0cm。规格：φ450*40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采用不锈钢制作。中号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打菜勺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采用不锈钢制作。3两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打菜勺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采用不锈钢制作。6两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打汤勺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采用不锈钢制作。8两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不锈钢笊篱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φ300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采用不锈钢制作。φ300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157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塑料菜筐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640*440*350 中号</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绿筐20个、红筐10个、</w:t>
            </w:r>
            <w:r>
              <w:rPr>
                <w:rFonts w:hint="eastAsia" w:ascii="Times New Roman" w:hAnsi="Times New Roman" w:eastAsia="宋体" w:cs="Times New Roman"/>
                <w:color w:val="000000"/>
                <w:szCs w:val="21"/>
                <w:highlight w:val="none"/>
                <w:lang w:eastAsia="zh-CN" w:bidi="ar"/>
              </w:rPr>
              <w:t xml:space="preserve">篮筐</w:t>
            </w:r>
            <w:r>
              <w:rPr>
                <w:rFonts w:ascii="Times New Roman" w:hAnsi="Times New Roman" w:eastAsia="宋体" w:cs="Times New Roman"/>
                <w:color w:val="000000"/>
                <w:szCs w:val="21"/>
                <w:highlight w:val="none"/>
                <w:lang w:bidi="ar"/>
              </w:rPr>
              <w:t xml:space="preserve">10个</w:t>
            </w:r>
            <w:r>
              <w:rPr>
                <w:rFonts w:hint="eastAsia" w:ascii="Times New Roman" w:hAnsi="Times New Roman" w:eastAsia="宋体" w:cs="Times New Roman"/>
                <w:color w:val="000000"/>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采用人体无害的工程塑料一次性注塑成型。640*440*350 中号</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绿筐20个、红筐10个、</w:t>
            </w:r>
            <w:r>
              <w:rPr>
                <w:rFonts w:hint="eastAsia" w:ascii="Times New Roman" w:hAnsi="Times New Roman" w:eastAsia="宋体" w:cs="Times New Roman"/>
                <w:color w:val="000000"/>
                <w:szCs w:val="21"/>
                <w:highlight w:val="none"/>
                <w:lang w:eastAsia="zh-CN" w:bidi="ar"/>
              </w:rPr>
              <w:t xml:space="preserve">篮筐</w:t>
            </w:r>
            <w:r>
              <w:rPr>
                <w:rFonts w:ascii="Times New Roman" w:hAnsi="Times New Roman" w:eastAsia="宋体" w:cs="Times New Roman"/>
                <w:color w:val="000000"/>
                <w:szCs w:val="21"/>
                <w:highlight w:val="none"/>
                <w:lang w:bidi="ar"/>
              </w:rPr>
              <w:t xml:space="preserve">10个</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采用食品级材质，中标后，供货前，提供检测报告，否则拒收。</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塑料垃圾桶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eastAsia="zh-CN" w:bidi="ar"/>
              </w:rPr>
              <w:t xml:space="preserve">外形</w:t>
            </w:r>
            <w:r>
              <w:rPr>
                <w:rFonts w:ascii="Times New Roman" w:hAnsi="Times New Roman" w:eastAsia="宋体" w:cs="Times New Roman"/>
                <w:color w:val="000000"/>
                <w:szCs w:val="21"/>
                <w:highlight w:val="none"/>
                <w:lang w:bidi="ar"/>
              </w:rPr>
              <w:t xml:space="preserve">美观，采用优质工程材料制作，经久耐用。带轮。</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厨余垃圾桶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120升</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φ800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采用SUS304不锈钢制作，厚度：0.6mm。φ800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φ600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采用SUS304不锈钢制作，厚度：0.6mm。φ600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φ400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采用SUS304不锈钢制作，厚度：0.6mm。φ400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刀叉框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500*500*50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采用优质PP材料制作。规格：500*500*50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7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不锈钢方盘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600*400*40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采用不锈钢制作，厚度：0.8mm。规格：600*400*40</w:t>
            </w:r>
            <w:r>
              <w:rPr>
                <w:rFonts w:ascii="Times New Roman" w:hAnsi="Times New Roman" w:eastAsia="宋体" w:cs="Times New Roman"/>
                <w:color w:val="000000"/>
                <w:szCs w:val="21"/>
                <w:highlight w:val="none"/>
                <w:lang w:bidi="ar"/>
              </w:rPr>
              <w:br/>
            </w:r>
            <w:r>
              <w:rPr>
                <w:rFonts w:ascii="Times New Roman" w:hAnsi="Times New Roman" w:eastAsia="宋体" w:cs="Times New Roman"/>
                <w:color w:val="000000"/>
                <w:szCs w:val="21"/>
                <w:highlight w:val="none"/>
                <w:lang w:bidi="ar"/>
              </w:rPr>
              <w:t xml:space="preserve">带304钢印。</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广式水勺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采用304不锈钢制作。4斤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长柄水勺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炒勺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12两</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采用304不锈钢制作。12两</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漏勺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采用304不锈钢制作。300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宽边油隔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饭勺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采用304不锈钢制作。常规</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洗米箩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20KG</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采用304不锈钢制作。20KG</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荷花夹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9寸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采用304不锈钢制作。9寸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铲刀头连木柄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刨刀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刀片</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采用304不锈钢制作；手柄：采用工程塑料制作。小号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鱼鳞刨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采用304不锈钢制作。3寸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肉锤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水果刀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采用304不锈钢制作。12寸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油石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形状：长方形；材质：采用金刚砂制作。10寸</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耐高温手套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材料：防火布、优质隔热棉。大号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副</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拖把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长条棉布拖</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防水手套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加长防水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双</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防水围裙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件</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地刷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毛巾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块</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38/39/40/41/42各2双</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双</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马斗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油缸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调料缸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小勺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密格平框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杯框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密胺材质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磨刀石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80木</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不锈钢保温桶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不锈钢保温桶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筷子消毒机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285*335*240</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臭氧消毒，自动出筷</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台</w:t>
            </w:r>
            <w:r/>
          </w:p>
        </w:tc>
      </w:tr>
      <w:tr>
        <w:trPr>
          <w:trHeight w:val="360"/>
        </w:trPr>
        <w:tc>
          <w:tcPr>
            <w:gridSpan w:val="11"/>
            <w:shd w:val="clear" w:color="auto" w:fill="auto"/>
            <w:tcBorders>
              <w:top w:val="none" w:color="000000" w:sz="4" w:space="0"/>
              <w:left w:val="none" w:color="000000" w:sz="4" w:space="0"/>
              <w:bottom w:val="none" w:color="000000" w:sz="4" w:space="0"/>
              <w:right w:val="none" w:color="000000" w:sz="4" w:space="0"/>
            </w:tcBorders>
            <w:tcW w:w="14045" w:type="dxa"/>
            <w:vAlign w:val="center"/>
            <w:textDirection w:val="lrTb"/>
            <w:noWrap/>
          </w:tcPr>
          <w:p>
            <w:pPr>
              <w:jc w:val="center"/>
              <w:spacing w:after="62"/>
              <w:widowControl/>
              <w:rPr>
                <w:rFonts w:ascii="Times New Roman" w:hAnsi="Times New Roman" w:eastAsia="方正公文楷体" w:cs="Times New Roman"/>
                <w:b/>
                <w:bCs/>
                <w:color w:val="000000"/>
                <w:sz w:val="28"/>
                <w:szCs w:val="28"/>
                <w:highlight w:val="none"/>
              </w:rPr>
            </w:pPr>
            <w:r>
              <w:rPr>
                <w:rFonts w:ascii="Times New Roman" w:hAnsi="Times New Roman" w:eastAsia="方正公文楷体" w:cs="Times New Roman"/>
                <w:b/>
                <w:bCs/>
                <w:color w:val="000000"/>
                <w:sz w:val="28"/>
                <w:szCs w:val="28"/>
                <w:highlight w:val="none"/>
                <w:lang w:bidi="ar"/>
              </w:rPr>
              <w:t xml:space="preserve">③食堂桌椅采购清单及技术参数</w:t>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规格型号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技术参数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单位</w:t>
            </w:r>
            <w:r/>
          </w:p>
        </w:tc>
      </w:tr>
      <w:tr>
        <w:trPr>
          <w:trHeight w:val="2779"/>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翻转式四人连座折叠座椅</w:t>
            </w: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1200*1400*762</w:t>
            </w:r>
            <w:r/>
          </w:p>
          <w:p>
            <w:pPr>
              <w:pStyle w:val="999"/>
              <w:ind w:left="0" w:firstLine="0"/>
              <w:jc w:val="both"/>
              <w:rPr>
                <w:rFonts w:hint="eastAsia" w:eastAsia="宋体"/>
                <w:highlight w:val="none"/>
              </w:rPr>
            </w:pPr>
            <w:r>
              <w:rPr>
                <w:rFonts w:hint="eastAsia" w:ascii="Times New Roman" w:eastAsia="宋体" w:cs="Times New Roman"/>
                <w:b/>
                <w:bCs/>
                <w:color w:val="000000"/>
                <w:sz w:val="21"/>
                <w:szCs w:val="24"/>
                <w:highlight w:val="none"/>
                <w:lang w:eastAsia="zh-CN" w:bidi="ar"/>
              </w:rPr>
              <w:t xml:space="preserve">（±3%</w:t>
            </w:r>
            <w:r>
              <w:rPr>
                <w:rFonts w:hint="eastAsia" w:ascii="Times New Roman" w:eastAsia="宋体" w:cs="Times New Roman"/>
                <w:b/>
                <w:bCs/>
                <w:color w:val="000000"/>
                <w:sz w:val="21"/>
                <w:szCs w:val="24"/>
                <w:highlight w:val="none"/>
                <w:lang w:val="en-US" w:eastAsia="zh-CN" w:bidi="ar"/>
              </w:rPr>
              <w:t xml:space="preserve">之内</w:t>
            </w:r>
            <w:r>
              <w:rPr>
                <w:rFonts w:hint="eastAsia" w:ascii="Times New Roman" w:eastAsia="宋体" w:cs="Times New Roman"/>
                <w:b/>
                <w:bCs/>
                <w:color w:val="000000"/>
                <w:sz w:val="21"/>
                <w:szCs w:val="24"/>
                <w:highlight w:val="none"/>
                <w:lang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val="false"/>
          </w:tcPr>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1.桌面采用抗倍特板制作，桌面尺寸</w:t>
            </w:r>
            <w:r>
              <w:rPr>
                <w:rFonts w:hint="eastAsia" w:ascii="Times New Roman" w:eastAsia="宋体" w:cs="Times New Roman"/>
                <w:color w:val="000000"/>
                <w:sz w:val="24"/>
                <w:highlight w:val="none"/>
                <w:lang w:eastAsia="zh-CN" w:bidi="ar"/>
              </w:rPr>
              <w:t xml:space="preserve">：</w:t>
            </w:r>
            <w:r>
              <w:rPr>
                <w:rFonts w:hint="eastAsia" w:ascii="Times New Roman" w:hAnsi="Times New Roman" w:eastAsia="宋体" w:cs="Times New Roman"/>
                <w:color w:val="000000"/>
                <w:sz w:val="24"/>
                <w:highlight w:val="none"/>
                <w:lang w:bidi="ar"/>
              </w:rPr>
              <w:t xml:space="preserve">1200mm*600mm*12mm，桌面高762mm，颜色荷花白，面板四周采用CNC修边，四周倒角，圆润光滑不得有任何毛边。</w:t>
            </w:r>
            <w:r/>
          </w:p>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2.主框架采用SUS304材质50mm*50mm*1.5mm方管，中间连接采用SUS304材质50mm*50mm*1.5mm方管，托架采用SUS304材质25mm*50mm*1.5mm方管，翻转椅架采用SUS304材质直径38mm厚度3.0mm圆管。</w:t>
            </w:r>
            <w:r/>
          </w:p>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3.坐垫采用PP材质，直径300mm，坐垫高450mm，颜色为草绿色、棕色</w:t>
            </w:r>
            <w:r>
              <w:rPr>
                <w:rFonts w:hint="eastAsia" w:ascii="Times New Roman" w:eastAsia="宋体" w:cs="Times New Roman"/>
                <w:color w:val="000000"/>
                <w:sz w:val="24"/>
                <w:highlight w:val="none"/>
                <w:lang w:eastAsia="zh-CN" w:bidi="ar"/>
              </w:rPr>
              <w:t xml:space="preserve">、蓝色</w:t>
            </w:r>
            <w:r>
              <w:rPr>
                <w:rFonts w:hint="eastAsia" w:ascii="Times New Roman" w:eastAsia="宋体" w:cs="Times New Roman"/>
                <w:color w:val="000000"/>
                <w:sz w:val="24"/>
                <w:highlight w:val="none"/>
                <w:lang w:val="en-US" w:eastAsia="zh-CN" w:bidi="ar"/>
              </w:rPr>
              <w:t xml:space="preserve">等颜色</w:t>
            </w:r>
            <w:r>
              <w:rPr>
                <w:rFonts w:hint="eastAsia" w:ascii="Times New Roman" w:hAnsi="Times New Roman" w:eastAsia="宋体" w:cs="Times New Roman"/>
                <w:color w:val="000000"/>
                <w:sz w:val="24"/>
                <w:highlight w:val="none"/>
                <w:lang w:bidi="ar"/>
              </w:rPr>
              <w:t xml:space="preserve">，</w:t>
            </w:r>
            <w:r>
              <w:rPr>
                <w:rFonts w:hint="eastAsia" w:ascii="Times New Roman" w:hAnsi="Times New Roman" w:eastAsia="宋体" w:cs="Times New Roman"/>
                <w:b/>
                <w:bCs/>
                <w:color w:val="000000"/>
                <w:sz w:val="24"/>
                <w:highlight w:val="none"/>
                <w:lang w:bidi="ar"/>
              </w:rPr>
              <w:t xml:space="preserve">坐垫颜色由学校确定后制作</w:t>
            </w:r>
            <w:r>
              <w:rPr>
                <w:rFonts w:hint="eastAsia" w:ascii="Times New Roman" w:hAnsi="Times New Roman" w:eastAsia="宋体" w:cs="Times New Roman"/>
                <w:color w:val="000000"/>
                <w:sz w:val="24"/>
                <w:highlight w:val="none"/>
                <w:lang w:bidi="ar"/>
              </w:rPr>
              <w:t xml:space="preserve">。</w:t>
            </w:r>
            <w:r/>
          </w:p>
          <w:p>
            <w:pPr>
              <w:pStyle w:val="999"/>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4.桌角轮子采用四个移动刹车静音车轮。</w:t>
            </w:r>
            <w:r/>
          </w:p>
          <w:p>
            <w:pPr>
              <w:pStyle w:val="999"/>
              <w:numPr>
                <w:ilvl w:val="0"/>
                <w:numId w:val="0"/>
              </w:numPr>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5.桌面背面有十字加强筋</w:t>
            </w:r>
            <w:r>
              <w:rPr>
                <w:rFonts w:hint="eastAsia" w:ascii="Times New Roman" w:eastAsia="宋体" w:cs="Times New Roman"/>
                <w:color w:val="000000"/>
                <w:sz w:val="24"/>
                <w:highlight w:val="none"/>
                <w:lang w:eastAsia="zh-CN" w:bidi="ar"/>
              </w:rPr>
              <w:t xml:space="preserve">，加强筋与主骨架焊接牢固，无变形、无脱焊</w:t>
            </w:r>
            <w:r>
              <w:rPr>
                <w:rFonts w:hint="eastAsia" w:ascii="Times New Roman" w:hAnsi="Times New Roman" w:eastAsia="宋体" w:cs="Times New Roman"/>
                <w:color w:val="000000"/>
                <w:sz w:val="24"/>
                <w:highlight w:val="none"/>
                <w:lang w:bidi="ar"/>
              </w:rPr>
              <w:t xml:space="preserve">。</w:t>
            </w:r>
            <w:r/>
          </w:p>
          <w:p>
            <w:pPr>
              <w:pStyle w:val="999"/>
              <w:numPr>
                <w:ilvl w:val="0"/>
                <w:numId w:val="0"/>
              </w:numPr>
              <w:keepLines w:val="0"/>
              <w:keepNext w:val="0"/>
              <w:pageBreakBefore w:val="0"/>
              <w:spacing w:line="360" w:lineRule="exact"/>
              <w:widowControl w:val="off"/>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6.</w:t>
            </w:r>
            <w:r>
              <w:rPr>
                <w:rFonts w:hint="eastAsia" w:ascii="Times New Roman" w:hAnsi="Times New Roman" w:eastAsia="宋体" w:cs="Times New Roman"/>
                <w:color w:val="000000"/>
                <w:sz w:val="24"/>
                <w:highlight w:val="none"/>
                <w:lang w:val="en-US" w:eastAsia="zh-CN" w:bidi="ar"/>
              </w:rPr>
              <w:t xml:space="preserve">所有金属连接点均为满焊</w:t>
            </w:r>
            <w:r>
              <w:rPr>
                <w:rFonts w:hint="eastAsia" w:ascii="Times New Roman" w:eastAsia="宋体" w:cs="Times New Roman"/>
                <w:color w:val="000000"/>
                <w:sz w:val="24"/>
                <w:highlight w:val="none"/>
                <w:lang w:val="en-US" w:eastAsia="zh-CN" w:bidi="ar"/>
              </w:rPr>
              <w:t xml:space="preserve">，翻转机构转轴、螺丝等配件材质均匀。</w:t>
            </w:r>
            <w:r/>
          </w:p>
          <w:p>
            <w:pPr>
              <w:pStyle w:val="999"/>
              <w:ind w:left="0" w:firstLine="0"/>
              <w:keepLines w:val="0"/>
              <w:keepNext w:val="0"/>
              <w:pageBreakBefore w:val="0"/>
              <w:spacing w:line="360" w:lineRule="exact"/>
              <w:widowControl w:val="off"/>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7.目测检查所有部件无锈蚀、无毛刺，无裂纹、无气泡、无明显色差，所有紧固件无松动，徒手触摸座椅所有边角、焊接点、螺丝孔位及翻转机构活动部位，无刮手感觉。</w:t>
            </w:r>
            <w:r/>
          </w:p>
          <w:p>
            <w:pPr>
              <w:pStyle w:val="999"/>
              <w:ind w:left="0" w:firstLine="0"/>
              <w:keepLines w:val="0"/>
              <w:keepNext w:val="0"/>
              <w:pageBreakBefore w:val="0"/>
              <w:spacing w:line="360" w:lineRule="exact"/>
              <w:widowControl w:val="off"/>
              <w:rPr>
                <w:rFonts w:hint="default"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8.翻转顺畅、静置稳固、承重不变形；座椅置于水平地面，四脚（或底座）同时着地，无晃动。</w:t>
            </w:r>
            <w:r/>
          </w:p>
          <w:p>
            <w:pPr>
              <w:pStyle w:val="999"/>
              <w:ind w:left="0" w:firstLine="0"/>
              <w:keepLines w:val="0"/>
              <w:keepNext w:val="0"/>
              <w:pageBreakBefore w:val="0"/>
              <w:spacing w:line="360" w:lineRule="exact"/>
              <w:widowControl w:val="off"/>
              <w:rPr>
                <w:rFonts w:hint="default"/>
                <w:color w:val="000000" w:themeColor="text1"/>
                <w:highlight w:val="none"/>
                <w14:textFill>
                  <w14:solidFill>
                    <w14:schemeClr w14:val="tx1"/>
                  </w14:solidFill>
                </w14:textFill>
              </w:rPr>
            </w:pPr>
            <w:r>
              <w:rPr>
                <w:rFonts w:hint="eastAsia" w:ascii="Times New Roman" w:eastAsia="宋体" w:cs="Times New Roman"/>
                <w:color w:val="000000" w:themeColor="text1"/>
                <w:sz w:val="24"/>
                <w:highlight w:val="none"/>
                <w:lang w:val="en-US" w:eastAsia="zh-CN" w:bidi="ar"/>
                <w14:textFill>
                  <w14:solidFill>
                    <w14:schemeClr w14:val="tx1"/>
                  </w14:solidFill>
                </w14:textFill>
              </w:rPr>
              <w:t xml:space="preserve">9.</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 xml:space="preserve">尺寸误差在</w:t>
            </w:r>
            <w:r>
              <w:rPr>
                <w:rFonts w:hint="eastAsia" w:ascii="Times New Roman" w:eastAsia="宋体" w:cs="Times New Roman"/>
                <w:b/>
                <w:bCs/>
                <w:color w:val="000000" w:themeColor="text1"/>
                <w:sz w:val="21"/>
                <w:szCs w:val="24"/>
                <w:highlight w:val="none"/>
                <w:lang w:eastAsia="zh-CN" w:bidi="ar"/>
                <w14:textFill>
                  <w14:solidFill>
                    <w14:schemeClr w14:val="tx1"/>
                  </w14:solidFill>
                </w14:textFill>
              </w:rPr>
              <w:t xml:space="preserve">±3%</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 xml:space="preserve">之内</w:t>
            </w:r>
            <w:r>
              <w:rPr>
                <w:rFonts w:hint="eastAsia" w:ascii="Times New Roman" w:eastAsia="宋体" w:cs="Times New Roman"/>
                <w:color w:val="000000" w:themeColor="text1"/>
                <w:sz w:val="24"/>
                <w:highlight w:val="none"/>
                <w:lang w:val="en-US" w:eastAsia="zh-CN" w:bidi="ar"/>
                <w14:textFill>
                  <w14:solidFill>
                    <w14:schemeClr w14:val="tx1"/>
                  </w14:solidFill>
                </w14:textFill>
              </w:rPr>
              <w:t xml:space="preserve">，参考图片如下：</w:t>
            </w:r>
            <w:r/>
          </w:p>
          <w:p>
            <w:pPr>
              <w:pStyle w:val="999"/>
              <w:numPr>
                <w:ilvl w:val="0"/>
                <w:numId w:val="0"/>
              </w:numPr>
              <w:rPr>
                <w:rFonts w:hint="default" w:ascii="Times New Roman" w:eastAsia="宋体" w:cs="Times New Roman"/>
                <w:color w:val="000000"/>
                <w:sz w:val="24"/>
                <w:highlight w:val="none"/>
              </w:rPr>
            </w:pPr>
            <w:r>
              <w:rPr>
                <w:rFonts w:ascii="Times New Roman" w:hAnsi="Times New Roman" w:eastAsia="方正公文仿宋" w:cs="Times New Roman"/>
                <w:sz w:val="28"/>
                <w:szCs w:val="28"/>
                <w:highlight w:val="none"/>
              </w:rPr>
              <mc:AlternateContent>
                <mc:Choice Requires="wpg">
                  <w:drawing>
                    <wp:inline xmlns:wp="http://schemas.openxmlformats.org/drawingml/2006/wordprocessingDrawing" distT="0" distB="0" distL="0" distR="0">
                      <wp:extent cx="4017645" cy="1838325"/>
                      <wp:effectExtent l="0" t="0" r="1905" b="9525"/>
                      <wp:docPr id="8" name="图片 7" descr="09821d09-4b54-4a1a-b430-5046e610c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09821d09-4b54-4a1a-b430-5046e610cf30"/>
                              <pic:cNvPicPr>
                                <a:picLocks noChangeAspect="1"/>
                              </pic:cNvPicPr>
                              <pic:nvPr/>
                            </pic:nvPicPr>
                            <pic:blipFill>
                              <a:blip r:embed="rId23"/>
                              <a:stretch/>
                            </pic:blipFill>
                            <pic:spPr bwMode="auto">
                              <a:xfrm>
                                <a:off x="0" y="0"/>
                                <a:ext cx="4017644" cy="1838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16.3pt;height:144.8pt;mso-wrap-distance-left:0.0pt;mso-wrap-distance-top:0.0pt;mso-wrap-distance-right:0.0pt;mso-wrap-distance-bottom:0.0pt;" stroked="false">
                      <v:path textboxrect="0,0,0,0"/>
                      <v:imagedata r:id="rId23" o:title=""/>
                    </v:shape>
                  </w:pict>
                </mc:Fallback>
              </mc:AlternateConten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ff0000"/>
                <w:sz w:val="24"/>
                <w:highlight w:val="none"/>
                <w:lang w:bidi="ar"/>
              </w:rPr>
              <w:t xml:space="preserve">624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张</w:t>
            </w:r>
            <w:r/>
          </w:p>
        </w:tc>
      </w:tr>
    </w:tbl>
    <w:p>
      <w:pPr>
        <w:pStyle w:val="999"/>
        <w:ind w:firstLine="0"/>
        <w:spacing w:after="62" w:line="240" w:lineRule="auto"/>
        <w:rPr>
          <w:rFonts w:ascii="Times New Roman" w:cs="Times New Roman"/>
          <w:highlight w:val="none"/>
        </w:rPr>
      </w:pPr>
      <w:r>
        <w:rPr>
          <w:rFonts w:ascii="Times New Roman" w:cs="Times New Roman"/>
          <w:highlight w:val="none"/>
        </w:rPr>
      </w:r>
      <w:r/>
    </w:p>
    <w:p>
      <w:pPr>
        <w:pStyle w:val="999"/>
        <w:ind w:firstLine="0"/>
        <w:spacing w:after="62" w:line="240" w:lineRule="auto"/>
        <w:rPr>
          <w:rFonts w:ascii="Times New Roman" w:cs="Times New Roman"/>
          <w:b/>
          <w:bCs/>
          <w:highlight w:val="none"/>
        </w:rPr>
      </w:pPr>
      <w:r>
        <w:rPr>
          <w:rFonts w:ascii="Times New Roman" w:cs="Times New Roman"/>
          <w:b/>
          <w:bCs/>
          <w:highlight w:val="none"/>
        </w:rPr>
      </w:r>
      <w:r/>
    </w:p>
    <w:p>
      <w:pPr>
        <w:pStyle w:val="999"/>
        <w:ind w:firstLine="0"/>
        <w:spacing w:after="62"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备注:</w:t>
      </w:r>
      <w:r/>
    </w:p>
    <w:p>
      <w:pPr>
        <w:rPr>
          <w:rFonts w:hint="eastAsia" w:ascii="宋体" w:hAnsi="宋体" w:eastAsia="宋体" w:cs="宋体"/>
          <w:b/>
          <w:bCs/>
          <w:sz w:val="28"/>
          <w:szCs w:val="28"/>
          <w:highlight w:val="none"/>
        </w:rPr>
      </w:pPr>
      <w:r>
        <w:rPr>
          <w:rFonts w:hint="eastAsia" w:ascii="宋体" w:hAnsi="宋体" w:eastAsia="宋体" w:cs="宋体"/>
          <w:b/>
          <w:bCs/>
          <w:sz w:val="28"/>
          <w:szCs w:val="28"/>
        </w:rPr>
        <w:t xml:space="preserve">1.以"★"标注的为政府强制采购节能产品。投标人应当提供国家认可的节能产品认证机构出具的、处于有效期内的</w:t>
      </w:r>
      <w:r>
        <w:rPr>
          <w:rFonts w:hint="eastAsia" w:ascii="宋体" w:hAnsi="宋体" w:eastAsia="宋体" w:cs="宋体"/>
          <w:b/>
          <w:bCs/>
          <w:sz w:val="28"/>
          <w:szCs w:val="28"/>
          <w:highlight w:val="none"/>
        </w:rPr>
        <w:t xml:space="preserve">《节能产品认证证书》，否则按无效投标处理。</w:t>
      </w:r>
      <w:r/>
    </w:p>
    <w:p>
      <w:pPr>
        <w:pStyle w:val="999"/>
        <w:numPr>
          <w:ilvl w:val="0"/>
          <w:numId w:val="15"/>
        </w:numPr>
        <w:ind w:left="0" w:firstLine="0"/>
        <w:spacing w:after="62"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以"◆"标注的为强制性认证(CCC)产品。投标人应当提供国家认可的强制性产品认证机构出具的、处于有效期内的《中国国家强制性产品认证证书》(CCC证书)，否则按无效投标处理。</w:t>
      </w:r>
      <w:r/>
    </w:p>
    <w:p>
      <w:pPr>
        <w:pStyle w:val="999"/>
        <w:numPr>
          <w:ilvl w:val="0"/>
          <w:numId w:val="0"/>
        </w:numPr>
        <w:spacing w:after="62" w:line="240" w:lineRule="auto"/>
        <w:rPr>
          <w:rFonts w:hint="eastAsia" w:ascii="宋体" w:hAnsi="宋体" w:eastAsia="宋体" w:cs="宋体"/>
          <w:b/>
          <w:bCs/>
          <w:sz w:val="28"/>
          <w:szCs w:val="28"/>
          <w:highlight w:val="none"/>
        </w:rPr>
        <w:sectPr>
          <w:footnotePr/>
          <w:endnotePr/>
          <w:type w:val="nextPage"/>
          <w:pgSz w:w="16838" w:h="11906" w:orient="landscape"/>
          <w:pgMar w:top="1417" w:right="1417" w:bottom="1417" w:left="1417" w:header="851" w:footer="992" w:gutter="0"/>
          <w:cols w:num="1" w:sep="0" w:space="425" w:equalWidth="1"/>
          <w:docGrid w:linePitch="360"/>
        </w:sectPr>
      </w:pPr>
      <w:r>
        <w:rPr>
          <w:rFonts w:hint="eastAsia" w:ascii="宋体" w:hAnsi="宋体" w:eastAsia="宋体" w:cs="宋体"/>
          <w:b/>
          <w:bCs/>
          <w:sz w:val="28"/>
          <w:szCs w:val="28"/>
          <w:highlight w:val="none"/>
        </w:rPr>
        <w:t xml:space="preserve">3.以"▲"标注的产品参数为评分项内容，未满足"▲"参数不构成无效投标，仅影响对应分值。</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（四）采购标的数量、采购项目交付或者实施的时间和地点</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标的数量：食堂设备清单及技术要求详见附件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w:t>
      </w:r>
      <w:r>
        <w:rPr>
          <w:rFonts w:hint="eastAsia" w:eastAsia="仿宋" w:cs="Times New Roman"/>
          <w:color w:val="ff0000"/>
          <w:sz w:val="28"/>
          <w:szCs w:val="28"/>
          <w:highlight w:val="yellow"/>
          <w:lang w:val="en-US" w:eastAsia="zh-CN"/>
        </w:rPr>
        <w:t xml:space="preserve">25</w:t>
      </w:r>
      <w:r>
        <w:rPr>
          <w:rFonts w:ascii="Times New Roman" w:hAnsi="Times New Roman" w:eastAsia="仿宋" w:cs="Times New Roman"/>
          <w:color w:val="ff0000"/>
          <w:sz w:val="28"/>
          <w:szCs w:val="28"/>
          <w:highlight w:val="yellow"/>
        </w:rPr>
        <w:t xml:space="preserve">天</w:t>
      </w:r>
      <w:r>
        <w:rPr>
          <w:rFonts w:ascii="Times New Roman" w:hAnsi="Times New Roman" w:eastAsia="仿宋" w:cs="Times New Roman"/>
          <w:sz w:val="28"/>
          <w:szCs w:val="28"/>
          <w:highlight w:val="none"/>
        </w:rPr>
        <w:t xml:space="preserve">内完成供货安装调试</w:t>
      </w:r>
      <w:r>
        <w:rPr>
          <w:rFonts w:hint="eastAsia" w:eastAsia="仿宋" w:cs="Times New Roman"/>
          <w:sz w:val="28"/>
          <w:szCs w:val="28"/>
          <w:highlight w:val="none"/>
          <w:lang w:eastAsia="zh-CN"/>
        </w:rPr>
        <w:t xml:space="preserve">（</w:t>
      </w:r>
      <w:r>
        <w:rPr>
          <w:rFonts w:hint="eastAsia" w:eastAsia="仿宋" w:cs="Times New Roman"/>
          <w:sz w:val="28"/>
          <w:szCs w:val="28"/>
          <w:highlight w:val="none"/>
          <w:lang w:val="en-US" w:eastAsia="zh-CN"/>
        </w:rPr>
        <w:t xml:space="preserve">安装应遵循食堂平面图详见采购公告附件</w:t>
      </w:r>
      <w:r>
        <w:rPr>
          <w:rFonts w:hint="eastAsia"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，并通过采购人验收。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交货地点：南通市田家炳初级中学南园校区（南园路21号），具体按采购人指定地点送货、安装。</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（五）采购标的需满足的服务标准、期限、效率等要求</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投标人应保证货物是全新、未使用过的原厂合格产品，并完全符合投标文件的质量、规格和参数的要求。</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投标人应保证其货物在正确安装、正常使用下，在其使用寿命期内应具有满意的性能。</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必须不低于本采购文件所提供的技术指标进行技术响应（《技术要求响应及偏离表》必须列明产品名称、品牌、具体尺寸、具体规格参数以及《技术要求》中提出的其他内容，以及采购文件要求提供的检测报告、产品认证等技术参数佐证材料），投标人照搬或者响应内容不全或技术参数不明确或不满足要求</w:t>
      </w:r>
      <w:r>
        <w:rPr>
          <w:rFonts w:hint="eastAsia" w:ascii="Times New Roman" w:hAnsi="Times New Roman" w:eastAsia="仿宋" w:cs="Times New Roman"/>
          <w:sz w:val="28"/>
          <w:szCs w:val="28"/>
          <w:highlight w:val="none"/>
          <w:lang w:eastAsia="zh-CN"/>
        </w:rPr>
        <w:t xml:space="preserve">，或者</w:t>
      </w:r>
      <w:r>
        <w:rPr>
          <w:rFonts w:ascii="Times New Roman" w:hAnsi="Times New Roman" w:eastAsia="仿宋" w:cs="Times New Roman"/>
          <w:sz w:val="28"/>
          <w:szCs w:val="28"/>
          <w:highlight w:val="none"/>
        </w:rPr>
        <w:t xml:space="preserve">未按采购文件要求提供响应佐证材料的，均视为未实质性响应。</w:t>
      </w: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（六）采购标的验收标准</w:t>
      </w:r>
      <w:r>
        <w:rPr>
          <w:rFonts w:ascii="Times New Roman" w:hAnsi="Times New Roman" w:eastAsia="仿宋" w:cs="Times New Roman"/>
          <w:sz w:val="28"/>
          <w:szCs w:val="28"/>
          <w:highlight w:val="none"/>
        </w:rPr>
        <w:tab/>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在接到供应商以书面形式提出验收申请后，在5个工作日内及时组织相关专业技术人员，按国家制造和安装的标准要求执行，必要时</w:t>
      </w:r>
      <w:r>
        <w:rPr>
          <w:rFonts w:hint="eastAsia" w:ascii="Times New Roman" w:hAnsi="Times New Roman" w:eastAsia="仿宋" w:cs="Times New Roman"/>
          <w:sz w:val="28"/>
          <w:szCs w:val="28"/>
          <w:highlight w:val="none"/>
          <w:lang w:eastAsia="zh-CN"/>
        </w:rPr>
        <w:t xml:space="preserve">邀请</w:t>
      </w:r>
      <w:r>
        <w:rPr>
          <w:rFonts w:hint="eastAsia" w:ascii="Times New Roman" w:hAnsi="Times New Roman" w:eastAsia="仿宋" w:cs="Times New Roman"/>
          <w:sz w:val="28"/>
          <w:szCs w:val="28"/>
          <w:highlight w:val="none"/>
        </w:rPr>
        <w:t xml:space="preserve">设计公司</w:t>
      </w:r>
      <w:r>
        <w:rPr>
          <w:rFonts w:hint="eastAsia" w:ascii="Times New Roman" w:hAnsi="Times New Roman" w:eastAsia="仿宋" w:cs="Times New Roman"/>
          <w:sz w:val="28"/>
          <w:szCs w:val="28"/>
          <w:highlight w:val="none"/>
          <w:lang w:val="en-US" w:eastAsia="zh-CN"/>
        </w:rPr>
        <w:t xml:space="preserve">及</w:t>
      </w:r>
      <w:r>
        <w:rPr>
          <w:rFonts w:ascii="Times New Roman" w:hAnsi="Times New Roman" w:eastAsia="仿宋" w:cs="Times New Roman"/>
          <w:sz w:val="28"/>
          <w:szCs w:val="28"/>
          <w:highlight w:val="none"/>
        </w:rPr>
        <w:t xml:space="preserve">第三方质检等部门共同参与验收，并出具验收报告，作为支付货款的依据。</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所供产品交付使用时，供应商必须向需方提供产品说明书、质量保证书、保修卡、合格证等必须具备的相关资料和必备的附件。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中标人必须负责所采购产品的运输，并派有经验的技术人员到现场进行卸货、安装，经调试、检测合格后交付使用，其费用由中标人承担，包含在报价中。 </w:t>
      </w:r>
      <w:r/>
    </w:p>
    <w:p>
      <w:pPr>
        <w:ind w:firstLine="560"/>
        <w:spacing w:after="62" w:line="460" w:lineRule="exact"/>
        <w:rPr>
          <w:rFonts w:ascii="Times New Roman" w:hAnsi="Times New Roman" w:eastAsia="仿宋" w:cs="Times New Roman"/>
          <w:sz w:val="28"/>
          <w:szCs w:val="28"/>
          <w:highlight w:val="none"/>
        </w:rPr>
        <w:sectPr>
          <w:footerReference w:type="default" r:id="rId17"/>
          <w:footerReference w:type="first" r:id="rId18"/>
          <w:footnotePr/>
          <w:endnotePr/>
          <w:type w:val="nextPage"/>
          <w:pgSz w:w="11906" w:h="16838" w:orient="portrait"/>
          <w:pgMar w:top="1418" w:right="1588" w:bottom="1418" w:left="1365" w:header="851" w:footer="907" w:gutter="0"/>
          <w:pgNumType w:start="20"/>
          <w:cols w:num="1" w:sep="0" w:space="1701" w:equalWidth="1"/>
          <w:docGrid w:linePitch="360"/>
          <w:titlePg/>
        </w:sectPr>
      </w:pPr>
      <w:r>
        <w:rPr>
          <w:rFonts w:hint="eastAsia" w:ascii="Times New Roman" w:hAnsi="Times New Roman" w:eastAsia="仿宋" w:cs="Times New Roman"/>
          <w:sz w:val="28"/>
          <w:szCs w:val="28"/>
          <w:highlight w:val="none"/>
          <w:lang w:eastAsia="zh-CN"/>
        </w:rPr>
        <w:t xml:space="preserve">4.</w:t>
      </w:r>
      <w:r>
        <w:rPr>
          <w:rFonts w:ascii="Times New Roman" w:hAnsi="Times New Roman" w:eastAsia="仿宋" w:cs="Times New Roman"/>
          <w:sz w:val="28"/>
          <w:szCs w:val="28"/>
          <w:highlight w:val="none"/>
        </w:rPr>
        <w:t xml:space="preserve">不锈钢材质焊接拼缝处应无明显缝隙，无虚焊，表面需打磨抛光处</w:t>
      </w:r>
      <w:r/>
    </w:p>
    <w:p>
      <w:pPr>
        <w:ind w:firstLine="560"/>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sz w:val="28"/>
          <w:szCs w:val="28"/>
          <w:highlight w:val="none"/>
        </w:rPr>
        <w:t xml:space="preserve">理（所有焊接用氩弧焊焊接）。</w:t>
      </w: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（七）采购标的其他技术、服务等要求</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1.</w:t>
      </w:r>
      <w:r>
        <w:rPr>
          <w:rFonts w:ascii="Times New Roman" w:hAnsi="Times New Roman" w:eastAsia="仿宋" w:cs="Times New Roman"/>
          <w:bCs/>
          <w:sz w:val="28"/>
          <w:szCs w:val="28"/>
          <w:highlight w:val="none"/>
        </w:rPr>
        <w:t xml:space="preserve">中标人负责标的物的现场安装调试，将采购物品按采购人要求摆放到位。</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2.</w:t>
      </w:r>
      <w:r>
        <w:rPr>
          <w:rFonts w:ascii="Times New Roman" w:hAnsi="Times New Roman" w:eastAsia="仿宋" w:cs="Times New Roman"/>
          <w:bCs/>
          <w:sz w:val="28"/>
          <w:szCs w:val="28"/>
          <w:highlight w:val="none"/>
        </w:rPr>
        <w:t xml:space="preserve">中标人免费提供标的物组装和一般维修所必需的工具；</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3.</w:t>
      </w:r>
      <w:r>
        <w:rPr>
          <w:rFonts w:ascii="Times New Roman" w:hAnsi="Times New Roman" w:eastAsia="仿宋" w:cs="Times New Roman"/>
          <w:bCs/>
          <w:sz w:val="28"/>
          <w:szCs w:val="28"/>
          <w:highlight w:val="none"/>
        </w:rPr>
        <w:t xml:space="preserve">中标人在合同规定的期限内对所提供的标的物实行现场维护，随时处理存在的故障，如现场不能维修解决的故障问题，须提供故障不能排除时的解决方案。</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4.</w:t>
      </w:r>
      <w:r>
        <w:rPr>
          <w:rFonts w:ascii="Times New Roman" w:hAnsi="Times New Roman" w:eastAsia="仿宋" w:cs="Times New Roman"/>
          <w:bCs/>
          <w:sz w:val="28"/>
          <w:szCs w:val="28"/>
          <w:highlight w:val="none"/>
        </w:rPr>
        <w:t xml:space="preserve">中标人接到使用方通知后1小时内响应，2小时内上门服务，24小时内解决好问题。</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5.</w:t>
      </w:r>
      <w:r>
        <w:rPr>
          <w:rFonts w:ascii="Times New Roman" w:hAnsi="Times New Roman" w:eastAsia="仿宋" w:cs="Times New Roman"/>
          <w:b/>
          <w:sz w:val="28"/>
          <w:szCs w:val="28"/>
          <w:highlight w:val="none"/>
        </w:rPr>
        <w:t xml:space="preserve">本项目厨房设备质保三年，食堂桌椅整体质保三年</w:t>
      </w:r>
      <w:r>
        <w:rPr>
          <w:rFonts w:ascii="Times New Roman" w:hAnsi="Times New Roman" w:eastAsia="仿宋" w:cs="Times New Roman"/>
          <w:bCs/>
          <w:sz w:val="28"/>
          <w:szCs w:val="28"/>
          <w:highlight w:val="none"/>
        </w:rPr>
        <w:t xml:space="preserve">，中标人须承诺质保期满后提供终身维修服务，保证零配件供应，维修费用按照材料成本收取。</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6.</w:t>
      </w:r>
      <w:r>
        <w:rPr>
          <w:rFonts w:ascii="Times New Roman" w:hAnsi="Times New Roman" w:eastAsia="仿宋" w:cs="Times New Roman"/>
          <w:bCs/>
          <w:sz w:val="28"/>
          <w:szCs w:val="28"/>
          <w:highlight w:val="none"/>
        </w:rPr>
        <w:t xml:space="preserve">中标人应对采购人技术人员进行维护、维修、培训，确保使用者了解维护方法和进行简单的维修操作。</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7.</w:t>
      </w:r>
      <w:r>
        <w:rPr>
          <w:rFonts w:ascii="Times New Roman" w:hAnsi="Times New Roman" w:eastAsia="仿宋" w:cs="Times New Roman"/>
          <w:bCs/>
          <w:sz w:val="28"/>
          <w:szCs w:val="28"/>
          <w:highlight w:val="none"/>
        </w:rPr>
        <w:t xml:space="preserve">中标人提供现场技术培训，保证采购人使用人员能够正常操作产品的各种功能。</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8.</w:t>
      </w:r>
      <w:r>
        <w:rPr>
          <w:rFonts w:ascii="Times New Roman" w:hAnsi="Times New Roman" w:eastAsia="仿宋" w:cs="Times New Roman"/>
          <w:bCs/>
          <w:sz w:val="28"/>
          <w:szCs w:val="28"/>
          <w:highlight w:val="none"/>
        </w:rPr>
        <w:t xml:space="preserve">政府采购优先采购节能产品和环境标志产品</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节能产品是指列入财政部、国家发展和改革委员会制定的《节能产品政府采购清单》。环境标志产品是指财政部、国家环保总局制定的《环境标志产品政府采购清单》。</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8.1本次采购需切实履行绿色采购。</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8.1.1商品包装环保要求：应当按《关于印发〈商品包装政府采购需求标准（试行）〉、〈快递包装政府采购需求标准（试行）〉的通知》（财办库〔2020〕123号）文件执行。</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（1）商品包装层数不得超过 3 层，空隙率不大于40%；</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（2）商品包装尽可能使用单一材质的包装材料，如因功能需求</w:t>
      </w:r>
      <w:r>
        <w:rPr>
          <w:rFonts w:hint="eastAsia" w:ascii="Times New Roman" w:hAnsi="Times New Roman" w:eastAsia="仿宋" w:cs="Times New Roman"/>
          <w:bCs/>
          <w:sz w:val="28"/>
          <w:szCs w:val="28"/>
          <w:highlight w:val="none"/>
          <w:lang w:eastAsia="zh-CN"/>
        </w:rPr>
        <w:t xml:space="preserve">必须</w:t>
      </w:r>
      <w:r>
        <w:rPr>
          <w:rFonts w:ascii="Times New Roman" w:hAnsi="Times New Roman" w:eastAsia="仿宋" w:cs="Times New Roman"/>
          <w:bCs/>
          <w:sz w:val="28"/>
          <w:szCs w:val="28"/>
          <w:highlight w:val="none"/>
        </w:rPr>
        <w:t xml:space="preserve">使用不同材质，不同材质间应便于分离；</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（3）商品包装中铅、汞、镉、六价铬的总含量应不大于100mg/kg；</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（4）商品包装印刷使用的油墨中挥发性有机化合物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 5%（以重量计）；</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（5）塑料材质商品包装上呈现的印刷颜色不得超过 6 色；</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（6）纸质商品包装应使用 75%以上的可再生纤维原料生产；</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（7）木质商品包装的原料应来源于可持续性森林。</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8.1.2快递包装环保要求：</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（1）快递包装中重金属（铅、汞、镉、六价铬）总量应不大于 100mg/kg；</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（2）快递包装印刷使用的油墨中不应添加邻苯二甲酸酯，其挥发性有机化合物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含量应不大于5%（以重量计）；</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（3）快递包装中使用纸基材的包装材料，纸基材中的有机氯的含量应不大于 150 mg/kg；</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（4）快递包装中使用塑料基材的包装材料不得使用邻苯二甲酸二异壬酯、邻苯二甲酸二正辛酯、邻苯二甲酸二</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2</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乙基</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己酯、邻苯二甲酸二异癸酯、邻苯二甲酸丁基苄基酯、邻苯二甲酸二丁酯等作为增塑剂；</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（5）快递中使用的塑料包装袋不得使用聚氯乙烯作为原料，且原料应为单一材质制成，生物分解率大于60%；</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（6）快递中使用的充气类填充物不得使用聚氯乙烯作为 原料，且原料为单一材质制成，生物分解率大于60%；</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（7）快递中使用的集装袋应为单一材质制成，其重复使用次数应不小于 80 次；</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（8）快递中应使用幅宽不大于45mm 的生物降解胶带；</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（9）快递包装中不得使用溶剂型</w:t>
      </w:r>
      <w:r>
        <w:rPr>
          <w:rFonts w:hint="eastAsia" w:ascii="Times New Roman" w:hAnsi="Times New Roman" w:eastAsia="仿宋" w:cs="Times New Roman"/>
          <w:bCs/>
          <w:sz w:val="28"/>
          <w:szCs w:val="28"/>
          <w:highlight w:val="none"/>
          <w:lang w:eastAsia="zh-CN"/>
        </w:rPr>
        <w:t xml:space="preserve">胶黏剂</w:t>
      </w:r>
      <w:r>
        <w:rPr>
          <w:rFonts w:ascii="Times New Roman" w:hAnsi="Times New Roman" w:eastAsia="仿宋" w:cs="Times New Roman"/>
          <w:bCs/>
          <w:sz w:val="28"/>
          <w:szCs w:val="28"/>
          <w:highlight w:val="none"/>
        </w:rPr>
        <w:t xml:space="preserve">；</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（11）快递应使用电子面单；</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（12）直接使用商品包装作为快递包装的商品，其商品包装满足《商品包装政府采购需求标准（试行）》即可；</w:t>
      </w: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（13）快递包装产品质量和封装方式应符合相关国家或行业标准技术指标要求。</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（八）本项目（接受/不接受）进口产品投标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（备注：如有多分包，明确每个分包是否接受进口产品投标。）</w:t>
      </w:r>
      <w:r/>
    </w:p>
    <w:p>
      <w:pPr>
        <w:ind w:firstLine="562"/>
        <w:spacing w:after="62" w:line="46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t xml:space="preserve">本项目不接受进口产品投标，不接受分包。</w:t>
      </w:r>
      <w:r/>
    </w:p>
    <w:p>
      <w:pPr>
        <w:numPr>
          <w:ilvl w:val="0"/>
          <w:numId w:val="16"/>
        </w:num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非单一产品采购项目，采购标的中的核心产品</w:t>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分包号</w:t>
            </w:r>
            <w:r/>
          </w:p>
        </w:tc>
        <w:tc>
          <w:tcPr>
            <w:tcW w:w="5021"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核心产品（主要标的）</w:t>
            </w:r>
            <w:r/>
          </w:p>
        </w:tc>
      </w:tr>
      <w:tr>
        <w:trPr>
          <w:jc w:val="center"/>
        </w:trPr>
        <w:tc>
          <w:tcPr>
            <w:tcW w:w="1216"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1</w:t>
            </w:r>
            <w:r/>
          </w:p>
        </w:tc>
        <w:tc>
          <w:tcPr>
            <w:tcW w:w="5021"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燃气大锅灶（1000大锅）</w:t>
            </w:r>
            <w:r/>
          </w:p>
        </w:tc>
      </w:tr>
    </w:tbl>
    <w:p>
      <w:pPr>
        <w:ind w:firstLine="843"/>
        <w:spacing w:after="62"/>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三、商务要求</w:t>
      </w:r>
      <w:r/>
    </w:p>
    <w:p>
      <w:pPr>
        <w:ind w:firstLine="560"/>
        <w:jc w:val="left"/>
        <w:spacing w:after="62" w:line="46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包括交付（实施）的时间（期限）和地点（范围），付款条件（进度和方法），包装和运输，售后服务，保险等：</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（一）采购标的数量、采购项目交付或者实施的时间和地点</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标的数量：厨房设备清单及技术要求详见附件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w:t>
      </w:r>
      <w:r>
        <w:rPr>
          <w:rFonts w:hint="eastAsia" w:eastAsia="仿宋" w:cs="Times New Roman"/>
          <w:color w:val="ff0000"/>
          <w:sz w:val="28"/>
          <w:szCs w:val="28"/>
          <w:highlight w:val="yellow"/>
          <w:lang w:val="en-US" w:eastAsia="zh-CN"/>
        </w:rPr>
        <w:t xml:space="preserve">25</w:t>
      </w:r>
      <w:r>
        <w:rPr>
          <w:rFonts w:ascii="Times New Roman" w:hAnsi="Times New Roman" w:eastAsia="仿宋" w:cs="Times New Roman"/>
          <w:color w:val="ff0000"/>
          <w:sz w:val="28"/>
          <w:szCs w:val="28"/>
          <w:highlight w:val="yellow"/>
        </w:rPr>
        <w:t xml:space="preserve">天</w:t>
      </w:r>
      <w:bookmarkStart w:id="200" w:name="_GoBack"/>
      <w:r/>
      <w:bookmarkEnd w:id="200"/>
      <w:r>
        <w:rPr>
          <w:rFonts w:ascii="Times New Roman" w:hAnsi="Times New Roman" w:eastAsia="仿宋" w:cs="Times New Roman"/>
          <w:sz w:val="28"/>
          <w:szCs w:val="28"/>
          <w:highlight w:val="none"/>
        </w:rPr>
        <w:t xml:space="preserve">内完成供货安装调试</w:t>
      </w:r>
      <w:r>
        <w:rPr>
          <w:rFonts w:hint="eastAsia" w:eastAsia="仿宋" w:cs="Times New Roman"/>
          <w:sz w:val="28"/>
          <w:szCs w:val="28"/>
          <w:highlight w:val="none"/>
          <w:lang w:eastAsia="zh-CN"/>
        </w:rPr>
        <w:t xml:space="preserve">（</w:t>
      </w:r>
      <w:r>
        <w:rPr>
          <w:rFonts w:hint="eastAsia" w:eastAsia="仿宋" w:cs="Times New Roman"/>
          <w:sz w:val="28"/>
          <w:szCs w:val="28"/>
          <w:highlight w:val="none"/>
          <w:lang w:val="en-US" w:eastAsia="zh-CN"/>
        </w:rPr>
        <w:t xml:space="preserve">安装应遵循食堂平面图详见采购公告附件</w:t>
      </w:r>
      <w:r>
        <w:rPr>
          <w:rFonts w:hint="eastAsia"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，并通过采购人验收。</w:t>
      </w: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交货地点：南通市田家炳初级中学南园校区（南园路21号），具体按采购人指定地点送货、安装。</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（二）付款方式</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1.</w:t>
      </w:r>
      <w:r>
        <w:rPr>
          <w:rFonts w:ascii="Times New Roman" w:hAnsi="Times New Roman" w:eastAsia="仿宋" w:cs="Times New Roman"/>
          <w:bCs/>
          <w:sz w:val="28"/>
          <w:szCs w:val="28"/>
          <w:highlight w:val="none"/>
        </w:rPr>
        <w:t xml:space="preserve">合同签订生效后一个月采购人支付中标人合同总价的30%预付款。</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2.</w:t>
      </w:r>
      <w:r>
        <w:rPr>
          <w:rFonts w:ascii="Times New Roman" w:hAnsi="Times New Roman" w:eastAsia="仿宋" w:cs="Times New Roman"/>
          <w:bCs/>
          <w:sz w:val="28"/>
          <w:szCs w:val="28"/>
          <w:highlight w:val="none"/>
        </w:rPr>
        <w:t xml:space="preserve">货物到场、安装调试完毕，并经采购人验收合格确认签字入库1个月后收到中标人正规发票付至货款的100%。</w:t>
      </w: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3.</w:t>
      </w:r>
      <w:r>
        <w:rPr>
          <w:rFonts w:ascii="Times New Roman" w:hAnsi="Times New Roman" w:eastAsia="仿宋" w:cs="Times New Roman"/>
          <w:bCs/>
          <w:sz w:val="28"/>
          <w:szCs w:val="28"/>
          <w:highlight w:val="none"/>
        </w:rPr>
        <w:t xml:space="preserve">因中标人发票错误、迟延等问题而导致采购人无法付款的，采购人不承担责任。</w:t>
      </w: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（三）履约保证金</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发生以下情况的，履约保证金不予退还或部分退还：</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p>
    <w:p>
      <w:pPr>
        <w:ind w:firstLine="560"/>
        <w:spacing w:line="480" w:lineRule="exact"/>
        <w:rPr>
          <w:rFonts w:ascii="仿宋" w:hAnsi="仿宋" w:eastAsia="仿宋"/>
          <w:b/>
          <w:bCs/>
          <w:color w:val="000000"/>
          <w:sz w:val="28"/>
          <w:szCs w:val="28"/>
          <w:highlight w:val="none"/>
        </w:rPr>
      </w:pPr>
      <w:r>
        <w:rPr>
          <w:rFonts w:hint="eastAsia" w:ascii="仿宋" w:hAnsi="仿宋" w:eastAsia="仿宋"/>
          <w:color w:val="000000"/>
          <w:sz w:val="28"/>
          <w:szCs w:val="28"/>
          <w:highlight w:val="none"/>
          <w:lang w:eastAsia="zh-CN"/>
        </w:rPr>
        <w:t xml:space="preserve">4.</w:t>
      </w:r>
      <w:r>
        <w:rPr>
          <w:rFonts w:hint="eastAsia" w:ascii="仿宋" w:hAnsi="仿宋" w:eastAsia="仿宋"/>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8"/>
          <w:szCs w:val="28"/>
          <w:highlight w:val="none"/>
          <w:lang w:eastAsia="zh-CN"/>
        </w:rPr>
        <w:t xml:space="preserve">可登录</w:t>
      </w:r>
      <w:r>
        <w:rPr>
          <w:rFonts w:hint="eastAsia" w:ascii="仿宋" w:hAnsi="仿宋" w:eastAsia="仿宋"/>
          <w:color w:val="000000"/>
          <w:sz w:val="28"/>
          <w:szCs w:val="28"/>
          <w:highlight w:val="none"/>
        </w:rPr>
        <w:t xml:space="preserve">江苏政府采购网“资料下载”栏目下载“政府采购电子履约（保函）保险操作手册（网址：www.ccgp-jiangsu.gov.cn/jisngsu/zlxz</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w:t>
      </w:r>
      <w:r/>
    </w:p>
    <w:p>
      <w:pPr>
        <w:spacing w:after="62" w:line="48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 xml:space="preserve">四、采购需求中必须满足的实质性要求</w:t>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 xml:space="preserve">4.1技术部分实质性要求</w:t>
      </w:r>
      <w:r>
        <w:rPr>
          <w:rFonts w:ascii="Times New Roman" w:hAnsi="Times New Roman" w:eastAsia="仿宋" w:cs="Times New Roman"/>
          <w:b/>
          <w:bCs/>
          <w:i/>
          <w:sz w:val="28"/>
          <w:szCs w:val="28"/>
          <w:highlight w:val="none"/>
          <w:u w:val="single"/>
        </w:rPr>
        <w:t xml:space="preserve">（请单独列出并加斜体下划线）</w:t>
      </w: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 xml:space="preserve">4.1.1</w:t>
      </w:r>
      <w:r>
        <w:rPr>
          <w:rFonts w:ascii="Times New Roman" w:hAnsi="Times New Roman" w:eastAsia="仿宋" w:cs="Times New Roman"/>
          <w:b/>
          <w:bCs/>
          <w:i/>
          <w:sz w:val="28"/>
          <w:szCs w:val="28"/>
          <w:highlight w:val="none"/>
          <w:u w:val="single"/>
        </w:rPr>
        <w:t xml:space="preserve">机械静电光解复合式集烟罩餐饮业油烟净化一体机/设备</w:t>
      </w:r>
      <w:r>
        <w:rPr>
          <w:rFonts w:ascii="Times New Roman" w:hAnsi="Times New Roman" w:eastAsia="仿宋" w:cs="Times New Roman"/>
          <w:i/>
          <w:sz w:val="28"/>
          <w:szCs w:val="28"/>
          <w:highlight w:val="none"/>
          <w:u w:val="single"/>
        </w:rPr>
        <w:t xml:space="preserve">须提供书面承诺，承诺满足GB 18483-2001饮食业油烟排放标准中油烟净化效率≥85%的要求，且承诺中标后在验收时提供第三方检测机构出具的检测报告（须带有 CMA或CNAS 标志）</w:t>
      </w:r>
      <w:r>
        <w:rPr>
          <w:rFonts w:ascii="Times New Roman" w:hAnsi="Times New Roman" w:eastAsia="仿宋" w:cs="Times New Roman"/>
          <w:b/>
          <w:bCs/>
          <w:i/>
          <w:sz w:val="28"/>
          <w:szCs w:val="28"/>
          <w:highlight w:val="none"/>
          <w:u w:val="single"/>
        </w:rPr>
        <w:t xml:space="preserve">（请投标人做出书面承诺，</w:t>
      </w:r>
      <w:r>
        <w:rPr>
          <w:rFonts w:hint="eastAsia" w:ascii="Times New Roman" w:hAnsi="Times New Roman" w:eastAsia="仿宋" w:cs="Times New Roman"/>
          <w:b/>
          <w:bCs/>
          <w:i/>
          <w:sz w:val="28"/>
          <w:szCs w:val="28"/>
          <w:highlight w:val="none"/>
          <w:u w:val="single"/>
          <w:lang w:val="en-US" w:eastAsia="zh-CN"/>
        </w:rPr>
        <w:t xml:space="preserve">格式自拟，</w:t>
      </w:r>
      <w:r>
        <w:rPr>
          <w:rFonts w:ascii="Times New Roman" w:hAnsi="Times New Roman" w:eastAsia="仿宋" w:cs="Times New Roman"/>
          <w:b/>
          <w:bCs/>
          <w:i/>
          <w:sz w:val="28"/>
          <w:szCs w:val="28"/>
          <w:highlight w:val="none"/>
          <w:u w:val="single"/>
        </w:rPr>
        <w:t xml:space="preserve">承诺文件放在符合性审查文件中）。</w:t>
      </w:r>
      <w:r/>
    </w:p>
    <w:p>
      <w:pPr>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lang w:val="en-US" w:eastAsia="zh-CN"/>
        </w:rPr>
        <w:t xml:space="preserve">4.1.2节能产品政府强制采购产品：采购需求产品属于《节能产品政府采购品目清单》中，技术参数以“★”标注的为政府强制采购产品。投标人应当根据采购文件要求投标时提供国家认可的认证机构出具的、处于有效期内的《节能产品认证证书》，否则按无效投标处理。</w:t>
      </w:r>
      <w:r/>
    </w:p>
    <w:p>
      <w:pPr>
        <w:spacing w:line="480" w:lineRule="exact"/>
        <w:rPr>
          <w:rFonts w:hint="default" w:ascii="仿宋" w:hAnsi="仿宋" w:eastAsia="仿宋" w:cs="Times New Roman"/>
          <w:i/>
          <w:color w:val="ff0000"/>
          <w:sz w:val="28"/>
          <w:szCs w:val="28"/>
          <w:highlight w:val="none"/>
          <w:u w:val="single"/>
          <w:lang w:val="en-US"/>
        </w:rPr>
      </w:pPr>
      <w:r>
        <w:rPr>
          <w:rFonts w:hint="eastAsia" w:ascii="仿宋" w:hAnsi="仿宋" w:eastAsia="仿宋" w:cs="Times New Roman"/>
          <w:i/>
          <w:sz w:val="28"/>
          <w:szCs w:val="28"/>
          <w:highlight w:val="none"/>
          <w:u w:val="single"/>
          <w:lang w:val="en-US" w:eastAsia="zh-CN"/>
        </w:rPr>
        <w:t xml:space="preserve">4.1.3  CCC认证：提供标注“◆”产品的，投标单位应当根据采购文件要求投标时提供国家认可的认证机构出具的、处于有效期内的《中国国家强制性产品认证证书》，否则按无投标处理。</w:t>
      </w:r>
      <w:r>
        <w:rPr>
          <w:rFonts w:hint="eastAsia" w:ascii="仿宋" w:hAnsi="仿宋" w:eastAsia="仿宋" w:cs="Times New Roman"/>
          <w:i/>
          <w:color w:val="ff0000"/>
          <w:sz w:val="28"/>
          <w:szCs w:val="28"/>
          <w:highlight w:val="none"/>
          <w:u w:val="single"/>
          <w:lang w:val="en-US" w:eastAsia="zh-CN"/>
        </w:rPr>
        <w:t xml:space="preserve">标注“</w:t>
      </w:r>
      <w:r>
        <w:rPr>
          <w:rFonts w:hint="eastAsia" w:ascii="仿宋" w:hAnsi="仿宋" w:eastAsia="仿宋" w:cs="仿宋"/>
          <w:i/>
          <w:color w:val="ff0000"/>
          <w:sz w:val="28"/>
          <w:szCs w:val="28"/>
          <w:highlight w:val="none"/>
          <w:u w:val="single"/>
          <w:lang w:val="en-US" w:eastAsia="zh-CN"/>
        </w:rPr>
        <w:t xml:space="preserve">▲</w:t>
      </w:r>
      <w:r>
        <w:rPr>
          <w:rFonts w:hint="eastAsia" w:ascii="仿宋" w:hAnsi="仿宋" w:eastAsia="仿宋" w:cs="Times New Roman"/>
          <w:i/>
          <w:color w:val="ff0000"/>
          <w:sz w:val="28"/>
          <w:szCs w:val="28"/>
          <w:highlight w:val="none"/>
          <w:u w:val="single"/>
          <w:lang w:val="en-US" w:eastAsia="zh-CN"/>
        </w:rPr>
        <w:t xml:space="preserve">”产品参数为评分项内容。</w:t>
      </w:r>
      <w:r/>
    </w:p>
    <w:p>
      <w:pPr>
        <w:spacing w:line="480" w:lineRule="exact"/>
        <w:rPr>
          <w:rFonts w:hint="eastAsia" w:ascii="仿宋" w:hAnsi="仿宋" w:eastAsia="仿宋"/>
          <w:b/>
          <w:bCs/>
          <w:i/>
          <w:sz w:val="28"/>
          <w:szCs w:val="28"/>
          <w:highlight w:val="none"/>
          <w:u w:val="single"/>
        </w:rPr>
      </w:pPr>
      <w:r>
        <w:rPr>
          <w:rFonts w:hint="eastAsia" w:ascii="仿宋" w:hAnsi="仿宋" w:eastAsia="仿宋"/>
          <w:i/>
          <w:sz w:val="28"/>
          <w:szCs w:val="28"/>
          <w:highlight w:val="none"/>
          <w:u w:val="single"/>
        </w:rPr>
        <w:t xml:space="preserve">4.</w:t>
      </w:r>
      <w:r>
        <w:rPr>
          <w:rFonts w:hint="eastAsia" w:ascii="仿宋" w:hAnsi="仿宋" w:eastAsia="仿宋"/>
          <w:i/>
          <w:sz w:val="28"/>
          <w:szCs w:val="28"/>
          <w:highlight w:val="none"/>
          <w:u w:val="single"/>
          <w:lang w:val="en-US" w:eastAsia="zh-CN"/>
        </w:rPr>
        <w:t xml:space="preserve">2</w:t>
      </w:r>
      <w:r>
        <w:rPr>
          <w:rFonts w:hint="eastAsia" w:ascii="仿宋" w:hAnsi="仿宋" w:eastAsia="仿宋"/>
          <w:i/>
          <w:sz w:val="28"/>
          <w:szCs w:val="28"/>
          <w:highlight w:val="none"/>
          <w:u w:val="single"/>
        </w:rPr>
        <w:t xml:space="preserve">商务部分实质性要求</w:t>
      </w:r>
      <w:r>
        <w:rPr>
          <w:rFonts w:hint="eastAsia" w:ascii="仿宋" w:hAnsi="仿宋" w:eastAsia="仿宋"/>
          <w:b/>
          <w:bCs/>
          <w:i/>
          <w:sz w:val="28"/>
          <w:szCs w:val="28"/>
          <w:highlight w:val="none"/>
          <w:u w:val="single"/>
        </w:rPr>
        <w:t xml:space="preserve">（请单独列出并加斜体下划线）</w:t>
      </w:r>
      <w:r/>
    </w:p>
    <w:p>
      <w:pPr>
        <w:spacing w:line="480" w:lineRule="exact"/>
        <w:rPr>
          <w:rFonts w:ascii="仿宋" w:hAnsi="仿宋" w:eastAsia="仿宋"/>
          <w:i/>
          <w:sz w:val="28"/>
          <w:szCs w:val="28"/>
          <w:highlight w:val="none"/>
          <w:u w:val="single"/>
        </w:rPr>
      </w:pPr>
      <w:r>
        <w:rPr>
          <w:rFonts w:hint="eastAsia" w:ascii="仿宋" w:hAnsi="仿宋" w:eastAsia="仿宋"/>
          <w:i/>
          <w:sz w:val="28"/>
          <w:szCs w:val="28"/>
          <w:highlight w:val="none"/>
          <w:u w:val="single"/>
        </w:rPr>
        <w:t xml:space="preserve">4.</w:t>
      </w:r>
      <w:r>
        <w:rPr>
          <w:rFonts w:hint="eastAsia" w:ascii="仿宋" w:hAnsi="仿宋" w:eastAsia="仿宋"/>
          <w:i/>
          <w:sz w:val="28"/>
          <w:szCs w:val="28"/>
          <w:highlight w:val="none"/>
          <w:u w:val="single"/>
          <w:lang w:val="en-US" w:eastAsia="zh-CN"/>
        </w:rPr>
        <w:t xml:space="preserve">2</w:t>
      </w:r>
      <w:r>
        <w:rPr>
          <w:rFonts w:hint="eastAsia" w:ascii="仿宋" w:hAnsi="仿宋" w:eastAsia="仿宋"/>
          <w:i/>
          <w:sz w:val="28"/>
          <w:szCs w:val="28"/>
          <w:highlight w:val="none"/>
          <w:u w:val="single"/>
        </w:rPr>
        <w:t xml:space="preserve">.1投标人必须不低于本采购文件所提出的商务要求进行响应（《商务要求响应及偏离表》必须列明</w:t>
      </w:r>
      <w:r>
        <w:rPr>
          <w:rFonts w:hint="eastAsia" w:ascii="仿宋" w:hAnsi="仿宋" w:eastAsia="仿宋"/>
          <w:i/>
          <w:sz w:val="28"/>
          <w:szCs w:val="28"/>
          <w:highlight w:val="none"/>
          <w:u w:val="single"/>
          <w:lang w:val="en-US" w:eastAsia="zh-CN"/>
        </w:rPr>
        <w:t xml:space="preserve">供货的数量、产地、交付时间、交付地点、财务和服务要求，包括交付（实施）的</w:t>
      </w:r>
      <w:r>
        <w:rPr>
          <w:rFonts w:hint="eastAsia" w:ascii="仿宋" w:hAnsi="仿宋" w:eastAsia="仿宋"/>
          <w:i/>
          <w:sz w:val="28"/>
          <w:szCs w:val="28"/>
          <w:highlight w:val="none"/>
          <w:u w:val="single"/>
        </w:rPr>
        <w:t xml:space="preserve">数量、产地、时间</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期限</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rPr>
        <w:t xml:space="preserve">、地点</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范围）</w:t>
      </w:r>
      <w:r>
        <w:rPr>
          <w:rFonts w:hint="eastAsia" w:ascii="仿宋" w:hAnsi="仿宋" w:eastAsia="仿宋"/>
          <w:i/>
          <w:sz w:val="28"/>
          <w:szCs w:val="28"/>
          <w:highlight w:val="none"/>
          <w:u w:val="single"/>
        </w:rPr>
        <w:t xml:space="preserve">，付款条件（进度和方法），包装和运输，验收、售后服务内容。投标人照搬或者响应内容不全或响应内容不明确或不满足要求的，均视为未实质性响应。</w:t>
      </w:r>
      <w:r/>
    </w:p>
    <w:p>
      <w:pPr>
        <w:spacing w:line="480" w:lineRule="exact"/>
        <w:rPr>
          <w:rFonts w:hint="eastAsia" w:ascii="黑体" w:eastAsia="黑体"/>
          <w:bCs/>
          <w:color w:val="000000" w:themeColor="text1"/>
          <w:sz w:val="44"/>
          <w:szCs w:val="28"/>
          <w:highlight w:val="none"/>
          <w14:textFill>
            <w14:solidFill>
              <w14:schemeClr w14:val="tx1"/>
            </w14:solidFill>
          </w14:textFill>
        </w:rPr>
      </w:pPr>
      <w:r>
        <w:rPr>
          <w:rFonts w:hint="eastAsia" w:ascii="仿宋" w:hAnsi="仿宋" w:eastAsia="仿宋"/>
          <w:i/>
          <w:sz w:val="28"/>
          <w:szCs w:val="28"/>
          <w:highlight w:val="none"/>
          <w:u w:val="single"/>
        </w:rPr>
        <w:t xml:space="preserve">4.2.2中标人须完成与所供产品相关的阀门、龙头、连接件等厨具设备安装需要的所有配件、附件，相关</w:t>
      </w:r>
      <w:r>
        <w:rPr>
          <w:rFonts w:hint="eastAsia" w:ascii="仿宋" w:hAnsi="仿宋" w:eastAsia="仿宋"/>
          <w:i/>
          <w:sz w:val="28"/>
          <w:szCs w:val="28"/>
          <w:highlight w:val="none"/>
          <w:u w:val="single"/>
          <w:lang w:eastAsia="zh-CN"/>
        </w:rPr>
        <w:t xml:space="preserve">材料费</w:t>
      </w:r>
      <w:r>
        <w:rPr>
          <w:rFonts w:hint="eastAsia" w:ascii="仿宋" w:hAnsi="仿宋" w:eastAsia="仿宋"/>
          <w:i/>
          <w:sz w:val="28"/>
          <w:szCs w:val="28"/>
          <w:highlight w:val="none"/>
          <w:u w:val="single"/>
        </w:rPr>
        <w:t xml:space="preserve">、辅材费、安装费、税金等包含在总报价之中</w:t>
      </w:r>
      <w:r>
        <w:rPr>
          <w:rFonts w:hint="eastAsia" w:ascii="仿宋" w:hAnsi="仿宋" w:eastAsia="仿宋"/>
          <w:i/>
          <w:sz w:val="28"/>
          <w:szCs w:val="28"/>
          <w:highlight w:val="none"/>
          <w:u w:val="single"/>
          <w:lang w:eastAsia="zh-CN"/>
        </w:rPr>
        <w:t xml:space="preserve">（</w:t>
      </w:r>
      <w:r>
        <w:rPr>
          <w:rFonts w:hint="eastAsia" w:ascii="仿宋" w:hAnsi="仿宋" w:eastAsia="仿宋"/>
          <w:b/>
          <w:bCs/>
          <w:i/>
          <w:sz w:val="28"/>
          <w:szCs w:val="28"/>
          <w:highlight w:val="none"/>
          <w:u w:val="single"/>
        </w:rPr>
        <w:t xml:space="preserve">请投标人做出书面承诺，</w:t>
      </w:r>
      <w:r>
        <w:rPr>
          <w:rFonts w:hint="eastAsia" w:ascii="仿宋" w:hAnsi="仿宋" w:eastAsia="仿宋"/>
          <w:b/>
          <w:bCs/>
          <w:i/>
          <w:sz w:val="28"/>
          <w:szCs w:val="28"/>
          <w:highlight w:val="none"/>
          <w:u w:val="single"/>
          <w:lang w:val="en-US" w:eastAsia="zh-CN"/>
        </w:rPr>
        <w:t xml:space="preserve">格式自拟，</w:t>
      </w:r>
      <w:r>
        <w:rPr>
          <w:rFonts w:hint="eastAsia" w:ascii="仿宋" w:hAnsi="仿宋" w:eastAsia="仿宋"/>
          <w:b/>
          <w:bCs/>
          <w:i/>
          <w:sz w:val="28"/>
          <w:szCs w:val="28"/>
          <w:highlight w:val="none"/>
          <w:u w:val="single"/>
        </w:rPr>
        <w:t xml:space="preserve">承诺文件放在符合性审查文件中</w:t>
      </w:r>
      <w:r>
        <w:rPr>
          <w:rFonts w:hint="eastAsia" w:ascii="仿宋" w:hAnsi="仿宋" w:eastAsia="仿宋"/>
          <w:b/>
          <w:bCs/>
          <w:i/>
          <w:sz w:val="28"/>
          <w:szCs w:val="28"/>
          <w:highlight w:val="none"/>
          <w:u w:val="single"/>
          <w:lang w:eastAsia="zh-CN"/>
        </w:rPr>
        <w:t xml:space="preserve">）</w:t>
      </w:r>
      <w:r>
        <w:rPr>
          <w:rFonts w:hint="eastAsia" w:ascii="仿宋" w:hAnsi="仿宋" w:eastAsia="仿宋"/>
          <w:b/>
          <w:bCs/>
          <w:i/>
          <w:sz w:val="28"/>
          <w:szCs w:val="28"/>
          <w:highlight w:val="none"/>
          <w:u w:val="single"/>
        </w:rPr>
        <w:t xml:space="preserve">。</w:t>
      </w:r>
      <w:r>
        <w:rPr>
          <w:rFonts w:hint="eastAsia" w:ascii="黑体" w:eastAsia="黑体"/>
          <w:bCs/>
          <w:color w:val="000000" w:themeColor="text1"/>
          <w:sz w:val="44"/>
          <w:szCs w:val="28"/>
          <w:highlight w:val="none"/>
          <w14:textFill>
            <w14:solidFill>
              <w14:schemeClr w14:val="tx1"/>
            </w14:solidFill>
          </w14:textFill>
        </w:rPr>
        <w:br w:type="page" w:clear="all"/>
      </w:r>
      <w:r/>
    </w:p>
    <w:p>
      <w:pPr>
        <w:pStyle w:val="999"/>
        <w:ind w:firstLine="600"/>
        <w:jc w:val="center"/>
        <w:rPr>
          <w:rFonts w:hint="eastAsia" w:ascii="黑体" w:eastAsia="黑体"/>
          <w:bCs/>
          <w:color w:val="000000" w:themeColor="text1"/>
          <w:sz w:val="44"/>
          <w:szCs w:val="28"/>
          <w:highlight w:val="none"/>
          <w14:textFill>
            <w14:solidFill>
              <w14:schemeClr w14:val="tx1"/>
            </w14:solidFill>
          </w14:textFill>
        </w:rPr>
        <w:outlineLvl w:val="0"/>
      </w:pPr>
      <w:r/>
      <w:bookmarkStart w:id="193" w:name="_Toc2258"/>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bookmarkEnd w:id="193"/>
      <w:r/>
      <w:r/>
    </w:p>
    <w:p>
      <w:pPr>
        <w:ind w:firstLine="512"/>
        <w:jc w:val="left"/>
        <w:spacing w:before="120" w:after="120" w:line="480" w:lineRule="exact"/>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 xml:space="preserve">。本项目选取1名中标候选人。</w:t>
      </w:r>
      <w:r/>
    </w:p>
    <w:p>
      <w:pPr>
        <w:ind w:firstLine="514"/>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政府采购政策功能落实</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如果</w:t>
      </w:r>
      <w:r>
        <w:rPr>
          <w:rFonts w:hint="eastAsia" w:ascii="仿宋" w:hAnsi="仿宋" w:eastAsia="仿宋"/>
          <w:color w:val="000000" w:themeColor="text1"/>
          <w:sz w:val="28"/>
          <w:szCs w:val="28"/>
          <w:highlight w:val="none"/>
          <w14:textFill>
            <w14:solidFill>
              <w14:schemeClr w14:val="tx1"/>
            </w14:solidFill>
          </w14:textFill>
        </w:rPr>
        <w:t xml:space="preserve">该项目专门</w:t>
      </w:r>
      <w:r>
        <w:rPr>
          <w:rFonts w:ascii="仿宋" w:hAnsi="仿宋" w:eastAsia="仿宋"/>
          <w:color w:val="000000" w:themeColor="text1"/>
          <w:sz w:val="28"/>
          <w:szCs w:val="28"/>
          <w:highlight w:val="none"/>
          <w14:textFill>
            <w14:solidFill>
              <w14:schemeClr w14:val="tx1"/>
            </w14:solidFill>
          </w14:textFill>
        </w:rPr>
        <w:t xml:space="preserve">面向中小微</w:t>
      </w:r>
      <w:r>
        <w:rPr>
          <w:rFonts w:hint="eastAsia" w:ascii="仿宋" w:hAnsi="仿宋" w:eastAsia="仿宋"/>
          <w:color w:val="000000" w:themeColor="text1"/>
          <w:sz w:val="28"/>
          <w:szCs w:val="28"/>
          <w:highlight w:val="none"/>
          <w14:textFill>
            <w14:solidFill>
              <w14:schemeClr w14:val="tx1"/>
            </w14:solidFill>
          </w14:textFill>
        </w:rPr>
        <w:t xml:space="preserve">型企业</w:t>
      </w:r>
      <w:r>
        <w:rPr>
          <w:rFonts w:ascii="仿宋" w:hAnsi="仿宋" w:eastAsia="仿宋"/>
          <w:color w:val="000000" w:themeColor="text1"/>
          <w:sz w:val="28"/>
          <w:szCs w:val="28"/>
          <w:highlight w:val="none"/>
          <w14:textFill>
            <w14:solidFill>
              <w14:schemeClr w14:val="tx1"/>
            </w14:solidFill>
          </w14:textFill>
        </w:rPr>
        <w:t xml:space="preserve">采购，则</w:t>
      </w:r>
      <w:r>
        <w:rPr>
          <w:rFonts w:hint="eastAsia" w:ascii="仿宋" w:hAnsi="仿宋" w:eastAsia="仿宋"/>
          <w:color w:val="000000" w:themeColor="text1"/>
          <w:sz w:val="28"/>
          <w:szCs w:val="28"/>
          <w:highlight w:val="none"/>
          <w14:textFill>
            <w14:solidFill>
              <w14:schemeClr w14:val="tx1"/>
            </w14:solidFill>
          </w14:textFill>
        </w:rPr>
        <w:t xml:space="preserve">供应商不再</w:t>
      </w:r>
      <w:r>
        <w:rPr>
          <w:rFonts w:ascii="仿宋" w:hAnsi="仿宋" w:eastAsia="仿宋"/>
          <w:color w:val="000000" w:themeColor="text1"/>
          <w:sz w:val="28"/>
          <w:szCs w:val="28"/>
          <w:highlight w:val="none"/>
          <w14:textFill>
            <w14:solidFill>
              <w14:schemeClr w14:val="tx1"/>
            </w14:solidFill>
          </w14:textFill>
        </w:rPr>
        <w:t xml:space="preserve">享受任何价格扣除</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jc w:val="left"/>
        <w:spacing w:before="120" w:after="120"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小微型企业价格扣除</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（2）供应商需按照采购文件的要求提供相应的《小微企业声明函》。</w:t>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）文件规定自行填写。</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残疾人福利单位价格扣除</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 xml:space="preserve">福利</w:t>
      </w:r>
      <w:r>
        <w:rPr>
          <w:rFonts w:hint="eastAsia" w:ascii="仿宋" w:hAnsi="仿宋" w:eastAsia="仿宋"/>
          <w:color w:val="000000" w:themeColor="text1"/>
          <w:sz w:val="28"/>
          <w:szCs w:val="28"/>
          <w:highlight w:val="none"/>
          <w14:textFill>
            <w14:solidFill>
              <w14:schemeClr w14:val="tx1"/>
            </w14:solidFill>
          </w14:textFill>
        </w:rPr>
        <w:t xml:space="preserve">单位声明函》。</w:t>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监狱和戒毒企业价格扣除</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（2）监狱企业参加政府采购活动时，需提供由省级以上监狱管理局、戒毒管理局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出具的属于监狱企业的证明文件。供应商如不提供上述证明文件，价格将不做相应扣除。</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〔2014〕68号</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残疾人福利单位、监狱企业属于小型、微型企业的，不重复享受政策。</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如本项目同意联合体投标或同意分包履行合同的</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联合体各方均为小型、微型企业（残疾人福利单位、监狱企业）的，联合体享受20%价格扣除，用扣除后的价格参与评审。</w:t>
      </w:r>
      <w:bookmarkEnd w:id="190"/>
      <w:r/>
      <w:bookmarkEnd w:id="191"/>
      <w:r/>
      <w:bookmarkEnd w:id="192"/>
      <w:r/>
      <w:r/>
    </w:p>
    <w:p>
      <w:pPr>
        <w:ind w:firstLine="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bookmarkStart w:id="194" w:name="_Hlt26671244"/>
      <w:r/>
      <w:bookmarkEnd w:id="194"/>
      <w:r/>
      <w:bookmarkStart w:id="195" w:name="_Hlt26955039"/>
      <w:r/>
      <w:bookmarkEnd w:id="195"/>
      <w:r/>
      <w:bookmarkStart w:id="196" w:name="_Toc120614282"/>
      <w:r/>
      <w:bookmarkStart w:id="197" w:name="_Toc49090576"/>
      <w:r/>
      <w:bookmarkStart w:id="198" w:name="_Toc26554094"/>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p>
    <w:p>
      <w:pPr>
        <w:ind w:left="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p>
    <w:p>
      <w:pPr>
        <w:ind w:firstLine="560"/>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p>
      <w:pPr>
        <w:ind w:left="562"/>
        <w:jc w:val="left"/>
        <w:spacing w:before="120" w:after="62" w:line="480" w:lineRule="exac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2.</w:t>
      </w:r>
      <w:r>
        <w:rPr>
          <w:rFonts w:hint="eastAsia" w:ascii="Times New Roman" w:hAnsi="Times New Roman" w:eastAsia="仿宋" w:cs="Times New Roman"/>
          <w:b/>
          <w:color w:val="000000"/>
          <w:sz w:val="28"/>
          <w:szCs w:val="28"/>
          <w:highlight w:val="none"/>
        </w:rPr>
        <w:t xml:space="preserve">技术分：</w:t>
      </w:r>
      <w:r>
        <w:rPr>
          <w:rFonts w:hint="eastAsia" w:ascii="Times New Roman" w:hAnsi="Times New Roman" w:eastAsia="仿宋" w:cs="Times New Roman"/>
          <w:b/>
          <w:color w:val="000000"/>
          <w:sz w:val="28"/>
          <w:szCs w:val="28"/>
          <w:highlight w:val="none"/>
          <w:lang w:val="en-US" w:eastAsia="zh-CN"/>
        </w:rPr>
        <w:t xml:space="preserve">20</w:t>
      </w:r>
      <w:r>
        <w:rPr>
          <w:rFonts w:hint="eastAsia" w:ascii="Times New Roman" w:hAnsi="Times New Roman" w:eastAsia="仿宋" w:cs="Times New Roman"/>
          <w:b/>
          <w:color w:val="000000"/>
          <w:sz w:val="28"/>
          <w:szCs w:val="28"/>
          <w:highlight w:val="none"/>
        </w:rPr>
        <w:t xml:space="preserve">分</w:t>
      </w:r>
      <w:r/>
    </w:p>
    <w:p>
      <w:pPr>
        <w:ind w:firstLine="560"/>
        <w:jc w:val="left"/>
        <w:spacing w:before="120" w:after="62" w:line="480" w:lineRule="exact"/>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各投标人得分为评委会成员评分的算术平均分，分值保留小数点后两位。</w:t>
      </w:r>
      <w:r/>
    </w:p>
    <w:tbl>
      <w:tblPr>
        <w:tblStyle w:val="1020"/>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776"/>
        <w:gridCol w:w="611"/>
        <w:gridCol w:w="5481"/>
        <w:gridCol w:w="1036"/>
      </w:tblGrid>
      <w:tr>
        <w:trPr>
          <w:jc w:val="center"/>
        </w:trPr>
        <w:tc>
          <w:tcPr>
            <w:tcW w:w="502"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776"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611"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481" w:type="dxa"/>
            <w:vAlign w:val="center"/>
            <w:textDirection w:val="lrTb"/>
            <w:noWrap w:val="false"/>
          </w:tcPr>
          <w:p>
            <w:pPr>
              <w:ind w:firstLine="1680"/>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036" w:type="dxa"/>
            <w:vAlign w:val="center"/>
            <w:textDirection w:val="lrTb"/>
            <w:noWrap w:val="false"/>
          </w:tcPr>
          <w:p>
            <w:pPr>
              <w:ind w:firstLine="1680"/>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r>
            <w:r/>
          </w:p>
        </w:tc>
      </w:tr>
      <w:tr>
        <w:trPr>
          <w:jc w:val="center"/>
        </w:trPr>
        <w:tc>
          <w:tcPr>
            <w:tcW w:w="502"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1</w:t>
            </w:r>
            <w:r/>
          </w:p>
        </w:tc>
        <w:tc>
          <w:tcPr>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产品认证证书及检测报告</w:t>
            </w:r>
            <w:r/>
          </w:p>
        </w:tc>
        <w:tc>
          <w:tcPr>
            <w:tcW w:w="611"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lang w:val="en-US"/>
              </w:rPr>
            </w:pPr>
            <w:r>
              <w:rPr>
                <w:rFonts w:hint="eastAsia" w:eastAsia="方正公文仿宋" w:cs="Times New Roman"/>
                <w:b/>
                <w:bCs/>
                <w:color w:val="auto"/>
                <w:sz w:val="24"/>
                <w:highlight w:val="none"/>
                <w:lang w:val="en-US" w:eastAsia="zh-CN"/>
              </w:rPr>
              <w:t xml:space="preserve">17</w:t>
            </w:r>
            <w:r/>
          </w:p>
        </w:tc>
        <w:tc>
          <w:tcPr>
            <w:tcW w:w="5481" w:type="dxa"/>
            <w:vAlign w:val="center"/>
            <w:textDirection w:val="lrTb"/>
            <w:noWrap w:val="false"/>
          </w:tcPr>
          <w:p>
            <w:pPr>
              <w:ind w:firstLine="241"/>
              <w:keepLines w:val="0"/>
              <w:keepNext w:val="0"/>
              <w:pageBreakBefore w:val="0"/>
              <w:spacing w:after="0" w:line="360" w:lineRule="exact"/>
              <w:widowControl w:val="off"/>
              <w:rPr>
                <w:rFonts w:hint="default"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rPr>
              <w:t xml:space="preserve">技术参数中所有带</w:t>
            </w:r>
            <w:r>
              <w:rPr>
                <w:rFonts w:hint="eastAsia" w:ascii="仿宋" w:hAnsi="仿宋" w:eastAsia="仿宋" w:cs="仿宋"/>
                <w:b/>
                <w:bCs/>
                <w:color w:val="auto"/>
                <w:sz w:val="24"/>
                <w:szCs w:val="24"/>
                <w:highlight w:val="none"/>
                <w:lang w:bidi="ar"/>
              </w:rPr>
              <w:t xml:space="preserve">▲</w:t>
            </w:r>
            <w:r>
              <w:rPr>
                <w:rFonts w:hint="eastAsia" w:ascii="Times New Roman" w:hAnsi="Times New Roman" w:eastAsia="方正公文仿宋" w:cs="Times New Roman"/>
                <w:b/>
                <w:bCs/>
                <w:color w:val="auto"/>
                <w:sz w:val="24"/>
                <w:highlight w:val="none"/>
              </w:rPr>
              <w:t xml:space="preserve">的条款，投标时</w:t>
            </w:r>
            <w:r>
              <w:rPr>
                <w:rFonts w:hint="eastAsia" w:ascii="Times New Roman" w:hAnsi="Times New Roman" w:eastAsia="方正公文仿宋" w:cs="Times New Roman"/>
                <w:b/>
                <w:bCs/>
                <w:color w:val="auto"/>
                <w:sz w:val="24"/>
                <w:highlight w:val="none"/>
                <w:lang w:val="en-US" w:eastAsia="zh-CN"/>
              </w:rPr>
              <w:t xml:space="preserve">按技术参数中的要求提供对应材料：</w:t>
            </w:r>
            <w:r/>
          </w:p>
          <w:p>
            <w:pPr>
              <w:numPr>
                <w:ilvl w:val="0"/>
                <w:numId w:val="0"/>
              </w:numPr>
              <w:ind w:firstLine="240"/>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b/>
                <w:bCs/>
                <w:color w:val="auto"/>
                <w:sz w:val="24"/>
                <w:highlight w:val="none"/>
              </w:rPr>
              <w:t xml:space="preserve">燃气大锅灶（1000大锅）</w:t>
            </w:r>
            <w:r>
              <w:rPr>
                <w:rFonts w:hint="eastAsia" w:ascii="Times New Roman" w:hAnsi="Times New Roman" w:eastAsia="方正公文仿宋" w:cs="Times New Roman"/>
                <w:color w:val="auto"/>
                <w:sz w:val="24"/>
                <w:highlight w:val="none"/>
              </w:rPr>
              <w:t xml:space="preserve">：</w:t>
            </w:r>
            <w:r/>
          </w:p>
          <w:p>
            <w:pPr>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ff0000"/>
                <w:sz w:val="24"/>
                <w:highlight w:val="none"/>
              </w:rPr>
              <w:t xml:space="preserve">①热效率</w:t>
            </w:r>
            <w:r>
              <w:rPr>
                <w:rFonts w:hint="eastAsia" w:ascii="微软雅黑" w:hAnsi="微软雅黑" w:eastAsia="微软雅黑" w:cs="微软雅黑"/>
                <w:color w:val="ff0000"/>
                <w:sz w:val="24"/>
                <w:highlight w:val="none"/>
              </w:rPr>
              <w:t xml:space="preserve">&gt;</w:t>
            </w:r>
            <w:r>
              <w:rPr>
                <w:rFonts w:hint="eastAsia" w:ascii="Times New Roman" w:hAnsi="Times New Roman" w:eastAsia="方正公文仿宋" w:cs="Times New Roman"/>
                <w:color w:val="ff0000"/>
                <w:sz w:val="24"/>
                <w:highlight w:val="none"/>
              </w:rPr>
              <w:t xml:space="preserve">74%，得2分；热效率65%</w:t>
            </w:r>
            <w:r>
              <w:rPr>
                <w:rFonts w:hint="eastAsia" w:eastAsia="方正公文仿宋" w:cs="Times New Roman"/>
                <w:color w:val="ff0000"/>
                <w:sz w:val="24"/>
                <w:highlight w:val="none"/>
                <w:lang w:val="en-US" w:eastAsia="zh-CN"/>
              </w:rPr>
              <w:t xml:space="preserve">-74%</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w:t>
            </w:r>
            <w:r>
              <w:rPr>
                <w:rFonts w:hint="eastAsia" w:ascii="Times New Roman" w:hAnsi="Times New Roman" w:eastAsia="方正公文仿宋" w:cs="Times New Roman"/>
                <w:color w:val="ff0000"/>
                <w:sz w:val="24"/>
                <w:highlight w:val="none"/>
              </w:rPr>
              <w:t xml:space="preserve">带有CMA或CNAS标识的检测报告</w:t>
            </w:r>
            <w:r>
              <w:rPr>
                <w:rFonts w:hint="eastAsia" w:eastAsia="方正公文仿宋" w:cs="Times New Roman"/>
                <w:color w:val="ff0000"/>
                <w:sz w:val="24"/>
                <w:highlight w:val="none"/>
                <w:lang w:val="en-US" w:eastAsia="zh-CN"/>
              </w:rPr>
              <w:t xml:space="preserve">扫描件，加盖投标人公章</w:t>
            </w:r>
            <w:r>
              <w:rPr>
                <w:rFonts w:hint="eastAsia" w:ascii="Times New Roman" w:hAnsi="Times New Roman" w:eastAsia="方正公文仿宋" w:cs="Times New Roman"/>
                <w:color w:val="ff0000"/>
                <w:sz w:val="24"/>
                <w:highlight w:val="none"/>
                <w:lang w:eastAsia="zh-CN"/>
              </w:rPr>
              <w:t xml:space="preserve">。</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ff0000"/>
                <w:sz w:val="24"/>
                <w:highlight w:val="none"/>
              </w:rPr>
            </w:pPr>
            <w:r>
              <w:rPr>
                <w:rFonts w:hint="eastAsia" w:ascii="Times New Roman" w:hAnsi="Times New Roman" w:eastAsia="方正公文仿宋" w:cs="Times New Roman"/>
                <w:color w:val="auto"/>
                <w:sz w:val="24"/>
                <w:highlight w:val="none"/>
              </w:rPr>
              <w:t xml:space="preserve">②</w:t>
            </w:r>
            <w:r>
              <w:rPr>
                <w:rFonts w:hint="eastAsia" w:ascii="Times New Roman" w:hAnsi="Times New Roman" w:eastAsia="方正公文仿宋" w:cs="Times New Roman"/>
                <w:color w:val="ff0000"/>
                <w:sz w:val="24"/>
                <w:highlight w:val="none"/>
              </w:rPr>
              <w:t xml:space="preserve">设备有故障代码提示功能（出现故障时候，会报警并且显示屏提示不同代码）</w:t>
            </w:r>
            <w:r>
              <w:rPr>
                <w:rFonts w:hint="eastAsia" w:eastAsia="方正公文仿宋" w:cs="Times New Roman"/>
                <w:color w:val="ff0000"/>
                <w:sz w:val="24"/>
                <w:highlight w:val="none"/>
                <w:lang w:val="en-US" w:eastAsia="zh-CN"/>
              </w:rPr>
              <w:t xml:space="preserve">的</w:t>
            </w:r>
            <w:r>
              <w:rPr>
                <w:rFonts w:hint="eastAsia" w:eastAsia="方正公文仿宋" w:cs="Times New Roman"/>
                <w:color w:val="ff0000"/>
                <w:sz w:val="24"/>
                <w:highlight w:val="none"/>
                <w:lang w:eastAsia="zh-CN"/>
              </w:rPr>
              <w:t xml:space="preserve">，</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③设备有</w:t>
            </w:r>
            <w:r>
              <w:rPr>
                <w:rFonts w:hint="eastAsia" w:eastAsia="方正公文仿宋" w:cs="Times New Roman"/>
                <w:color w:val="ff0000"/>
                <w:sz w:val="24"/>
                <w:highlight w:val="none"/>
                <w:lang w:val="en-US" w:eastAsia="zh-CN"/>
              </w:rPr>
              <w:t xml:space="preserve">自动燃烧器控制系统</w:t>
            </w:r>
            <w:r>
              <w:rPr>
                <w:rFonts w:hint="eastAsia" w:eastAsia="方正公文仿宋" w:cs="Times New Roman"/>
                <w:color w:val="auto"/>
                <w:sz w:val="24"/>
                <w:highlight w:val="none"/>
                <w:lang w:val="en-US" w:eastAsia="zh-CN"/>
              </w:rPr>
              <w:t xml:space="preserve">的</w:t>
            </w:r>
            <w:r>
              <w:rPr>
                <w:rFonts w:hint="eastAsia" w:ascii="Times New Roman" w:hAnsi="Times New Roman" w:eastAsia="方正公文仿宋" w:cs="Times New Roman"/>
                <w:color w:val="auto"/>
                <w:sz w:val="24"/>
                <w:highlight w:val="none"/>
              </w:rPr>
              <w:t xml:space="preserve">，</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提供产品功能说明书或满足此项功能的承诺函（格式自拟）。</w:t>
            </w:r>
            <w:r/>
          </w:p>
          <w:p>
            <w:pPr>
              <w:keepLines w:val="0"/>
              <w:keepNext w:val="0"/>
              <w:pageBreakBefore w:val="0"/>
              <w:spacing w:before="181"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本项最高4分</w:t>
            </w:r>
            <w:r>
              <w:rPr>
                <w:rFonts w:hint="eastAsia" w:ascii="Times New Roman" w:hAnsi="Times New Roman" w:eastAsia="方正公文仿宋" w:cs="Times New Roman"/>
                <w:color w:val="auto"/>
                <w:sz w:val="24"/>
                <w:highlight w:val="none"/>
                <w:lang w:eastAsia="zh-CN"/>
              </w:rPr>
              <w:t xml:space="preserve">。</w:t>
            </w:r>
            <w:r/>
          </w:p>
          <w:p>
            <w:pPr>
              <w:numPr>
                <w:ilvl w:val="0"/>
                <w:numId w:val="0"/>
              </w:numPr>
              <w:ind w:firstLine="240"/>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2.</w:t>
            </w:r>
            <w:r>
              <w:rPr>
                <w:rFonts w:hint="eastAsia" w:ascii="Times New Roman" w:hAnsi="Times New Roman" w:eastAsia="方正公文仿宋" w:cs="Times New Roman"/>
                <w:b/>
                <w:bCs/>
                <w:color w:val="auto"/>
                <w:sz w:val="24"/>
                <w:highlight w:val="none"/>
              </w:rPr>
              <w:t xml:space="preserve">燃气炒灶：</w:t>
            </w:r>
            <w:r/>
          </w:p>
          <w:p>
            <w:pPr>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ff0000"/>
                <w:sz w:val="24"/>
                <w:highlight w:val="none"/>
              </w:rPr>
              <w:t xml:space="preserve">①热效率</w:t>
            </w:r>
            <w:r>
              <w:rPr>
                <w:rFonts w:hint="eastAsia" w:ascii="微软雅黑" w:hAnsi="微软雅黑" w:eastAsia="微软雅黑" w:cs="微软雅黑"/>
                <w:color w:val="ff0000"/>
                <w:sz w:val="24"/>
                <w:highlight w:val="none"/>
              </w:rPr>
              <w:t xml:space="preserve">&gt;</w:t>
            </w:r>
            <w:r>
              <w:rPr>
                <w:rFonts w:hint="eastAsia" w:ascii="微软雅黑" w:hAnsi="微软雅黑" w:eastAsia="微软雅黑" w:cs="微软雅黑"/>
                <w:color w:val="ff0000"/>
                <w:sz w:val="24"/>
                <w:highlight w:val="none"/>
                <w:lang w:val="en-US" w:eastAsia="zh-CN"/>
              </w:rPr>
              <w:t xml:space="preserve">55</w:t>
            </w:r>
            <w:r>
              <w:rPr>
                <w:rFonts w:hint="eastAsia" w:ascii="Times New Roman" w:hAnsi="Times New Roman" w:eastAsia="方正公文仿宋" w:cs="Times New Roman"/>
                <w:color w:val="ff0000"/>
                <w:sz w:val="24"/>
                <w:highlight w:val="none"/>
              </w:rPr>
              <w:t xml:space="preserve">%，得2分；热效率</w:t>
            </w:r>
            <w:r>
              <w:rPr>
                <w:rFonts w:hint="eastAsia" w:eastAsia="方正公文仿宋" w:cs="Times New Roman"/>
                <w:color w:val="ff0000"/>
                <w:sz w:val="24"/>
                <w:highlight w:val="none"/>
                <w:lang w:val="en-US" w:eastAsia="zh-CN"/>
              </w:rPr>
              <w:t xml:space="preserve">45</w:t>
            </w:r>
            <w:r>
              <w:rPr>
                <w:rFonts w:hint="eastAsia" w:ascii="Times New Roman" w:hAnsi="Times New Roman" w:eastAsia="方正公文仿宋" w:cs="Times New Roman"/>
                <w:color w:val="ff0000"/>
                <w:sz w:val="24"/>
                <w:highlight w:val="none"/>
              </w:rPr>
              <w:t xml:space="preserve">%</w:t>
            </w:r>
            <w:r>
              <w:rPr>
                <w:rFonts w:hint="eastAsia" w:eastAsia="方正公文仿宋" w:cs="Times New Roman"/>
                <w:color w:val="ff0000"/>
                <w:sz w:val="24"/>
                <w:highlight w:val="none"/>
                <w:lang w:val="en-US" w:eastAsia="zh-CN"/>
              </w:rPr>
              <w:t xml:space="preserve">-55%</w:t>
            </w:r>
            <w:r>
              <w:rPr>
                <w:rFonts w:hint="eastAsia" w:ascii="Times New Roman" w:hAnsi="Times New Roman" w:eastAsia="方正公文仿宋" w:cs="Times New Roman"/>
                <w:color w:val="ff0000"/>
                <w:sz w:val="24"/>
                <w:highlight w:val="none"/>
              </w:rPr>
              <w:t xml:space="preserve">，得1分，否则得0分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提供</w:t>
            </w:r>
            <w:r>
              <w:rPr>
                <w:rFonts w:hint="eastAsia" w:ascii="Times New Roman" w:hAnsi="Times New Roman" w:eastAsia="方正公文仿宋" w:cs="Times New Roman"/>
                <w:color w:val="ff0000"/>
                <w:sz w:val="24"/>
                <w:highlight w:val="none"/>
              </w:rPr>
              <w:t xml:space="preserve">带有CMA或CNAS标识的检测报告</w:t>
            </w:r>
            <w:r>
              <w:rPr>
                <w:rFonts w:hint="eastAsia" w:eastAsia="方正公文仿宋" w:cs="Times New Roman"/>
                <w:color w:val="ff0000"/>
                <w:sz w:val="24"/>
                <w:highlight w:val="none"/>
                <w:lang w:val="en-US" w:eastAsia="zh-CN"/>
              </w:rPr>
              <w:t xml:space="preserve">扫描件，加盖投标人公章</w:t>
            </w:r>
            <w:r>
              <w:rPr>
                <w:rFonts w:hint="eastAsia" w:ascii="Times New Roman" w:hAnsi="Times New Roman" w:eastAsia="方正公文仿宋" w:cs="Times New Roman"/>
                <w:color w:val="ff0000"/>
                <w:sz w:val="24"/>
                <w:highlight w:val="none"/>
                <w:lang w:eastAsia="zh-CN"/>
              </w:rPr>
              <w:t xml:space="preserve">。</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ff0000"/>
                <w:sz w:val="24"/>
                <w:highlight w:val="none"/>
              </w:rPr>
            </w:pPr>
            <w:r>
              <w:rPr>
                <w:rFonts w:hint="eastAsia" w:ascii="Times New Roman" w:hAnsi="Times New Roman" w:eastAsia="方正公文仿宋" w:cs="Times New Roman"/>
                <w:color w:val="auto"/>
                <w:sz w:val="24"/>
                <w:highlight w:val="none"/>
              </w:rPr>
              <w:t xml:space="preserve">②</w:t>
            </w:r>
            <w:r>
              <w:rPr>
                <w:rFonts w:hint="eastAsia" w:ascii="Times New Roman" w:hAnsi="Times New Roman" w:eastAsia="方正公文仿宋" w:cs="Times New Roman"/>
                <w:color w:val="ff0000"/>
                <w:sz w:val="24"/>
                <w:highlight w:val="none"/>
              </w:rPr>
              <w:t xml:space="preserve">设备有故障代码提示功能（出现故障时候，会报警并且显示屏提示不同代码）的，得1分，否则得0分。提供功能截图或满足此项功能的承诺函（格式自拟），加盖投标人公章。</w:t>
            </w:r>
            <w:r/>
          </w:p>
          <w:p>
            <w:pPr>
              <w:numPr>
                <w:ilvl w:val="0"/>
                <w:numId w:val="0"/>
              </w:numPr>
              <w:keepLines w:val="0"/>
              <w:keepNext w:val="0"/>
              <w:pageBreakBefore w:val="0"/>
              <w:spacing w:before="157" w:after="0" w:line="360" w:lineRule="exact"/>
              <w:widowControl w:val="off"/>
              <w:rPr>
                <w:rFonts w:hint="eastAsia" w:ascii="Times New Roman" w:hAnsi="Times New Roman" w:eastAsia="方正公文仿宋" w:cs="Times New Roman"/>
                <w:color w:val="ff0000"/>
                <w:sz w:val="24"/>
                <w:highlight w:val="none"/>
                <w:lang w:val="en-US" w:eastAsia="zh-CN"/>
              </w:rPr>
            </w:pPr>
            <w:r>
              <w:rPr>
                <w:rFonts w:hint="eastAsia" w:ascii="Times New Roman" w:hAnsi="Times New Roman" w:eastAsia="方正公文仿宋" w:cs="Times New Roman"/>
                <w:color w:val="ff0000"/>
                <w:sz w:val="24"/>
                <w:highlight w:val="none"/>
              </w:rPr>
              <w:t xml:space="preserve">③设备有自动燃烧器控制系统的，得1分，否则得0分。</w:t>
            </w:r>
            <w:r>
              <w:rPr>
                <w:rFonts w:hint="eastAsia" w:eastAsia="方正公文仿宋" w:cs="Times New Roman"/>
                <w:color w:val="ff0000"/>
                <w:sz w:val="24"/>
                <w:highlight w:val="none"/>
                <w:lang w:val="en-US" w:eastAsia="zh-CN"/>
              </w:rPr>
              <w:t xml:space="preserve">提供产品功能说明书或满足此项功能的承诺函（格式自拟）。</w:t>
            </w:r>
            <w:r/>
          </w:p>
          <w:p>
            <w:pPr>
              <w:keepLines w:val="0"/>
              <w:keepNext w:val="0"/>
              <w:pageBreakBefore w:val="0"/>
              <w:spacing w:before="181"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本项最高4分。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3.厨房灭火系统：</w:t>
            </w:r>
            <w:r/>
          </w:p>
          <w:p>
            <w:pPr>
              <w:ind w:firstLine="480"/>
              <w:keepLines w:val="0"/>
              <w:keepNext w:val="0"/>
              <w:pageBreakBefore w:val="0"/>
              <w:spacing w:after="0" w:line="360" w:lineRule="exact"/>
              <w:widowControl w:val="off"/>
              <w:rPr>
                <w:rFonts w:hint="eastAsia" w:eastAsia="方正公文仿宋" w:cs="Times New Roman"/>
                <w:color w:val="ff0000"/>
                <w:sz w:val="24"/>
                <w:highlight w:val="none"/>
                <w:lang w:val="en-US" w:eastAsia="zh-CN"/>
              </w:rPr>
            </w:pPr>
            <w:r>
              <w:rPr>
                <w:rFonts w:hint="eastAsia" w:ascii="Times New Roman" w:hAnsi="Times New Roman" w:eastAsia="方正公文仿宋" w:cs="Times New Roman"/>
                <w:color w:val="auto"/>
                <w:sz w:val="24"/>
                <w:highlight w:val="none"/>
              </w:rPr>
              <w:t xml:space="preserve">①厨房灭火装置，有压力观察口的</w:t>
            </w:r>
            <w:r>
              <w:rPr>
                <w:rFonts w:hint="eastAsia" w:eastAsia="方正公文仿宋" w:cs="Times New Roman"/>
                <w:color w:val="auto"/>
                <w:sz w:val="24"/>
                <w:highlight w:val="none"/>
                <w:lang w:eastAsia="zh-CN"/>
              </w:rPr>
              <w:t xml:space="preserve">，</w:t>
            </w:r>
            <w:r>
              <w:rPr>
                <w:rFonts w:hint="eastAsia" w:ascii="Times New Roman" w:hAnsi="Times New Roman" w:eastAsia="方正公文仿宋" w:cs="Times New Roman"/>
                <w:color w:val="auto"/>
                <w:sz w:val="24"/>
                <w:highlight w:val="none"/>
              </w:rPr>
              <w:t xml:space="preserve">得</w:t>
            </w:r>
            <w:r>
              <w:rPr>
                <w:rFonts w:hint="eastAsia" w:eastAsia="方正公文仿宋" w:cs="Times New Roman"/>
                <w:color w:val="auto"/>
                <w:sz w:val="24"/>
                <w:highlight w:val="none"/>
                <w:lang w:val="en-US" w:eastAsia="zh-CN"/>
              </w:rPr>
              <w:t xml:space="preserve">2</w:t>
            </w:r>
            <w:r>
              <w:rPr>
                <w:rFonts w:hint="eastAsia" w:ascii="Times New Roman" w:hAnsi="Times New Roman" w:eastAsia="方正公文仿宋" w:cs="Times New Roman"/>
                <w:color w:val="auto"/>
                <w:sz w:val="24"/>
                <w:highlight w:val="none"/>
              </w:rPr>
              <w:t xml:space="preserve">分，否则得0分</w:t>
            </w:r>
            <w:r>
              <w:rPr>
                <w:rFonts w:hint="eastAsia" w:eastAsia="方正公文仿宋" w:cs="Times New Roman"/>
                <w:color w:val="auto"/>
                <w:sz w:val="24"/>
                <w:highlight w:val="none"/>
                <w:lang w:eastAsia="zh-CN"/>
              </w:rPr>
              <w:t xml:space="preserve">。</w:t>
            </w:r>
            <w:r>
              <w:rPr>
                <w:rFonts w:hint="eastAsia" w:eastAsia="方正公文仿宋" w:cs="Times New Roman"/>
                <w:color w:val="ff0000"/>
                <w:sz w:val="24"/>
                <w:highlight w:val="none"/>
                <w:lang w:val="en-US" w:eastAsia="zh-CN"/>
              </w:rPr>
              <w:t xml:space="preserve">提供功能截图或满足此项功能的承诺函（格式自拟），加盖投标人公章。</w:t>
            </w:r>
            <w:r/>
          </w:p>
          <w:p>
            <w:pPr>
              <w:ind w:firstLine="480"/>
              <w:keepLines w:val="0"/>
              <w:keepNext w:val="0"/>
              <w:pageBreakBefore w:val="0"/>
              <w:spacing w:after="0" w:line="360" w:lineRule="exact"/>
              <w:widowControl w:val="off"/>
              <w:rPr>
                <w:rFonts w:hint="default" w:ascii="Times New Roman" w:hAnsi="Times New Roman" w:eastAsia="方正公文仿宋" w:cs="Times New Roman"/>
                <w:color w:val="ff0000"/>
                <w:sz w:val="24"/>
                <w:highlight w:val="none"/>
                <w:lang w:val="en-US" w:eastAsia="zh-CN"/>
              </w:rPr>
            </w:pPr>
            <w:r>
              <w:rPr>
                <w:rFonts w:hint="eastAsia" w:ascii="Times New Roman" w:hAnsi="Times New Roman" w:eastAsia="方正公文仿宋" w:cs="Times New Roman"/>
                <w:color w:val="ff0000"/>
                <w:sz w:val="24"/>
                <w:highlight w:val="none"/>
              </w:rPr>
              <w:t xml:space="preserve">②提供带有CMA或CNAS标识的厨房灭火系统的型式检验报告的，得</w:t>
            </w:r>
            <w:r>
              <w:rPr>
                <w:rFonts w:hint="eastAsia" w:eastAsia="方正公文仿宋" w:cs="Times New Roman"/>
                <w:color w:val="ff0000"/>
                <w:sz w:val="24"/>
                <w:highlight w:val="none"/>
                <w:lang w:val="en-US" w:eastAsia="zh-CN"/>
              </w:rPr>
              <w:t xml:space="preserve">1</w:t>
            </w:r>
            <w:r>
              <w:rPr>
                <w:rFonts w:hint="eastAsia" w:ascii="Times New Roman" w:hAnsi="Times New Roman" w:eastAsia="方正公文仿宋" w:cs="Times New Roman"/>
                <w:color w:val="ff0000"/>
                <w:sz w:val="24"/>
                <w:highlight w:val="none"/>
              </w:rPr>
              <w:t xml:space="preserve">分</w:t>
            </w:r>
            <w:r>
              <w:rPr>
                <w:rFonts w:hint="eastAsia" w:eastAsia="方正公文仿宋" w:cs="Times New Roman"/>
                <w:color w:val="ff0000"/>
                <w:sz w:val="24"/>
                <w:highlight w:val="none"/>
                <w:lang w:eastAsia="zh-CN"/>
              </w:rPr>
              <w:t xml:space="preserve">，</w:t>
            </w:r>
            <w:r>
              <w:rPr>
                <w:rFonts w:hint="eastAsia" w:eastAsia="方正公文仿宋" w:cs="Times New Roman"/>
                <w:color w:val="ff0000"/>
                <w:sz w:val="24"/>
                <w:highlight w:val="none"/>
                <w:lang w:val="en-US" w:eastAsia="zh-CN"/>
              </w:rPr>
              <w:t xml:space="preserve">未提供的，不得分。</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w:t>
            </w:r>
            <w:r>
              <w:rPr>
                <w:rFonts w:hint="eastAsia" w:eastAsia="方正公文仿宋" w:cs="Times New Roman"/>
                <w:color w:val="auto"/>
                <w:sz w:val="24"/>
                <w:highlight w:val="none"/>
                <w:lang w:val="en-US" w:eastAsia="zh-CN"/>
              </w:rPr>
              <w:t xml:space="preserve">3</w:t>
            </w:r>
            <w:r>
              <w:rPr>
                <w:rFonts w:hint="eastAsia" w:ascii="Times New Roman" w:hAnsi="Times New Roman" w:eastAsia="方正公文仿宋" w:cs="Times New Roman"/>
                <w:color w:val="auto"/>
                <w:sz w:val="24"/>
                <w:highlight w:val="none"/>
              </w:rPr>
              <w:t xml:space="preserve">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4.全自动长龙式洗碗机：</w:t>
            </w:r>
            <w:r>
              <w:rPr>
                <w:rFonts w:hint="eastAsia" w:ascii="Times New Roman" w:hAnsi="Times New Roman" w:eastAsia="方正公文仿宋" w:cs="Times New Roman"/>
                <w:color w:val="auto"/>
                <w:sz w:val="24"/>
                <w:highlight w:val="none"/>
              </w:rPr>
              <w:t xml:space="preserve">有商用洗碗机洗净性能认证证书扫描件证明，提供“全国认证认可信息公共服务平台”查询截图的，得</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分，否则得0分。本项最高</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5.机械静电光解复合式集烟罩</w:t>
            </w:r>
            <w:r>
              <w:rPr>
                <w:rFonts w:hint="eastAsia" w:ascii="Times New Roman" w:hAnsi="Times New Roman" w:eastAsia="方正公文仿宋" w:cs="Times New Roman"/>
                <w:color w:val="auto"/>
                <w:sz w:val="24"/>
                <w:highlight w:val="none"/>
              </w:rPr>
              <w:t xml:space="preserve">（油烟净化一体设备）：</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000000" w:themeColor="text1"/>
                <w:sz w:val="24"/>
                <w:highlight w:val="none"/>
                <w14:textFill>
                  <w14:solidFill>
                    <w14:schemeClr w14:val="tx1"/>
                  </w14:solidFill>
                </w14:textFill>
              </w:rPr>
            </w:pP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①有节能产品认证</w:t>
            </w:r>
            <w:r>
              <w:rPr>
                <w:rFonts w:hint="eastAsia" w:eastAsia="方正公文仿宋" w:cs="Times New Roman"/>
                <w:color w:val="000000" w:themeColor="text1"/>
                <w:sz w:val="24"/>
                <w:highlight w:val="none"/>
                <w:lang w:val="en-US" w:eastAsia="zh-CN"/>
                <w14:textFill>
                  <w14:solidFill>
                    <w14:schemeClr w14:val="tx1"/>
                  </w14:solidFill>
                </w14:textFill>
              </w:rPr>
              <w:t xml:space="preserve">证书</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扫描件，并提供“全国认证认可信息公共服务平台”查询截图的，得</w:t>
            </w:r>
            <w:r>
              <w:rPr>
                <w:rFonts w:hint="eastAsia" w:eastAsia="方正公文仿宋"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分，否则得0分；</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000000" w:themeColor="text1"/>
                <w:sz w:val="24"/>
                <w:highlight w:val="none"/>
                <w14:textFill>
                  <w14:solidFill>
                    <w14:schemeClr w14:val="tx1"/>
                  </w14:solidFill>
                </w14:textFill>
              </w:rPr>
            </w:pP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②有中国环境保护产品认证</w:t>
            </w:r>
            <w:r>
              <w:rPr>
                <w:rFonts w:hint="eastAsia" w:eastAsia="方正公文仿宋" w:cs="Times New Roman"/>
                <w:color w:val="000000" w:themeColor="text1"/>
                <w:sz w:val="24"/>
                <w:highlight w:val="none"/>
                <w:lang w:val="en-US" w:eastAsia="zh-CN"/>
                <w14:textFill>
                  <w14:solidFill>
                    <w14:schemeClr w14:val="tx1"/>
                  </w14:solidFill>
                </w14:textFill>
              </w:rPr>
              <w:t xml:space="preserve">证书</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扫描件，并提供“全国认证认可信息公共服务平台”查询截图的，得</w:t>
            </w:r>
            <w:r>
              <w:rPr>
                <w:rFonts w:hint="eastAsia" w:ascii="Times New Roman" w:hAnsi="Times New Roman" w:eastAsia="方正公文仿宋" w:cs="Times New Roman"/>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分，否则得0分；</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000000" w:themeColor="text1"/>
                <w:sz w:val="24"/>
                <w:highlight w:val="none"/>
                <w14:textFill>
                  <w14:solidFill>
                    <w14:schemeClr w14:val="tx1"/>
                  </w14:solidFill>
                </w14:textFill>
              </w:rPr>
            </w:pP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本项最高得</w:t>
            </w:r>
            <w:r>
              <w:rPr>
                <w:rFonts w:hint="eastAsia" w:eastAsia="方正公文仿宋" w:cs="Times New Roman"/>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方正公文仿宋" w:cs="Times New Roman"/>
                <w:color w:val="000000" w:themeColor="text1"/>
                <w:sz w:val="24"/>
                <w:highlight w:val="none"/>
                <w14:textFill>
                  <w14:solidFill>
                    <w14:schemeClr w14:val="tx1"/>
                  </w14:solidFill>
                </w14:textFill>
              </w:rPr>
              <w:t xml:space="preserve">分。</w:t>
            </w: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lang w:eastAsia="zh-CN"/>
              </w:rPr>
            </w:pPr>
            <w:r>
              <w:rPr>
                <w:rFonts w:hint="eastAsia" w:ascii="Times New Roman" w:hAnsi="Times New Roman" w:eastAsia="方正公文仿宋" w:cs="Times New Roman"/>
                <w:b/>
                <w:bCs/>
                <w:color w:val="auto"/>
                <w:sz w:val="24"/>
                <w:highlight w:val="none"/>
              </w:rPr>
              <w:t xml:space="preserve">6.低噪音厢式风机：</w:t>
            </w:r>
            <w:r>
              <w:rPr>
                <w:rFonts w:hint="eastAsia" w:ascii="Times New Roman" w:hAnsi="Times New Roman" w:eastAsia="方正公文仿宋" w:cs="Times New Roman"/>
                <w:color w:val="ff0000"/>
                <w:sz w:val="24"/>
                <w:highlight w:val="none"/>
              </w:rPr>
              <w:t xml:space="preserve">①所投产品外壳采用48h循环盐雾腐蚀试验，结果定为合格</w:t>
            </w:r>
            <w:r>
              <w:rPr>
                <w:rFonts w:hint="eastAsia" w:eastAsia="方正公文仿宋" w:cs="Times New Roman"/>
                <w:color w:val="ff0000"/>
                <w:sz w:val="24"/>
                <w:highlight w:val="none"/>
                <w:lang w:val="en-US" w:eastAsia="zh-CN"/>
              </w:rPr>
              <w:t xml:space="preserve">的，</w:t>
            </w:r>
            <w:r>
              <w:rPr>
                <w:rFonts w:hint="eastAsia" w:ascii="Times New Roman" w:hAnsi="Times New Roman" w:eastAsia="方正公文仿宋" w:cs="Times New Roman"/>
                <w:color w:val="ff0000"/>
                <w:sz w:val="24"/>
                <w:highlight w:val="none"/>
              </w:rPr>
              <w:t xml:space="preserve">得</w:t>
            </w:r>
            <w:r>
              <w:rPr>
                <w:rFonts w:hint="eastAsia" w:eastAsia="方正公文仿宋" w:cs="Times New Roman"/>
                <w:color w:val="ff0000"/>
                <w:sz w:val="24"/>
                <w:highlight w:val="none"/>
                <w:lang w:val="en-US" w:eastAsia="zh-CN"/>
              </w:rPr>
              <w:t xml:space="preserve">2</w:t>
            </w:r>
            <w:r>
              <w:rPr>
                <w:rFonts w:hint="eastAsia" w:ascii="Times New Roman" w:hAnsi="Times New Roman" w:eastAsia="方正公文仿宋" w:cs="Times New Roman"/>
                <w:color w:val="ff0000"/>
                <w:sz w:val="24"/>
                <w:highlight w:val="none"/>
              </w:rPr>
              <w:t xml:space="preserve">分，否则得0分。提供带有CMA或CNAS标识的检测报告扫描件，加盖投标人公章</w:t>
            </w:r>
            <w:r>
              <w:rPr>
                <w:rFonts w:hint="eastAsia" w:eastAsia="方正公文仿宋" w:cs="Times New Roman"/>
                <w:color w:val="ff0000"/>
                <w:sz w:val="24"/>
                <w:highlight w:val="none"/>
                <w:lang w:eastAsia="zh-CN"/>
              </w:rPr>
              <w:t xml:space="preserve">。</w:t>
            </w: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②提供具有低噪音产品认证证书，得1分，否则得0分。</w:t>
            </w:r>
            <w:r/>
          </w:p>
          <w:p>
            <w:pPr>
              <w:ind w:firstLine="480"/>
              <w:keepLines w:val="0"/>
              <w:keepNext w:val="0"/>
              <w:pageBreakBefore w:val="0"/>
              <w:spacing w:after="0" w:line="360" w:lineRule="exact"/>
              <w:widowControl w:val="off"/>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w:t>
            </w:r>
            <w:r>
              <w:rPr>
                <w:rFonts w:hint="eastAsia" w:eastAsia="方正公文仿宋" w:cs="Times New Roman"/>
                <w:color w:val="auto"/>
                <w:sz w:val="24"/>
                <w:highlight w:val="none"/>
                <w:lang w:val="en-US" w:eastAsia="zh-CN"/>
              </w:rPr>
              <w:t xml:space="preserve">3</w:t>
            </w:r>
            <w:r>
              <w:rPr>
                <w:rFonts w:hint="eastAsia" w:ascii="Times New Roman" w:hAnsi="Times New Roman" w:eastAsia="方正公文仿宋" w:cs="Times New Roman"/>
                <w:color w:val="auto"/>
                <w:sz w:val="24"/>
                <w:highlight w:val="none"/>
              </w:rPr>
              <w:t xml:space="preserve">分。</w:t>
            </w:r>
            <w:r/>
          </w:p>
        </w:tc>
        <w:tc>
          <w:tcPr>
            <w:tcW w:w="1036" w:type="dxa"/>
            <w:vAlign w:val="center"/>
            <w:textDirection w:val="lrTb"/>
            <w:noWrap w:val="false"/>
          </w:tcPr>
          <w:p>
            <w:pPr>
              <w:pStyle w:val="1073"/>
              <w:jc w:val="center"/>
              <w:spacing w:after="62" w:line="460" w:lineRule="exact"/>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 xml:space="preserve">客观分</w:t>
            </w:r>
            <w:r/>
          </w:p>
        </w:tc>
      </w:tr>
      <w:tr>
        <w:trPr>
          <w:jc w:val="center"/>
        </w:trPr>
        <w:tc>
          <w:tcPr>
            <w:tcW w:w="502"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2</w:t>
            </w:r>
            <w:r/>
          </w:p>
        </w:tc>
        <w:tc>
          <w:tcPr>
            <w:shd w:val="clear" w:color="auto" w:fill="auto"/>
            <w:tcW w:w="1776"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消防认证</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1</w:t>
            </w:r>
            <w:r/>
          </w:p>
        </w:tc>
        <w:tc>
          <w:tcPr>
            <w:shd w:val="clear" w:color="auto" w:fill="auto"/>
            <w:tcW w:w="5481" w:type="dxa"/>
            <w:vAlign w:val="center"/>
            <w:textDirection w:val="lrTb"/>
            <w:noWrap w:val="false"/>
          </w:tcPr>
          <w:p>
            <w:pPr>
              <w:pStyle w:val="999"/>
              <w:ind w:firstLine="0"/>
              <w:keepLines w:val="0"/>
              <w:keepNext w:val="0"/>
              <w:pageBreakBefore w:val="0"/>
              <w:spacing w:before="157" w:after="0" w:line="360" w:lineRule="exact"/>
              <w:widowControl w:val="off"/>
              <w:rPr>
                <w:rFonts w:hint="eastAsia" w:ascii="Times New Roman" w:eastAsia="方正公文仿宋" w:cs="Times New Roman"/>
                <w:color w:val="auto"/>
                <w:sz w:val="24"/>
                <w:szCs w:val="24"/>
                <w:highlight w:val="none"/>
              </w:rPr>
            </w:pPr>
            <w:r>
              <w:rPr>
                <w:rFonts w:hint="eastAsia" w:ascii="Times New Roman" w:eastAsia="方正公文仿宋" w:cs="Times New Roman"/>
                <w:color w:val="auto"/>
                <w:sz w:val="24"/>
                <w:szCs w:val="24"/>
                <w:highlight w:val="none"/>
                <w:lang w:eastAsia="zh-CN"/>
              </w:rPr>
              <w:t xml:space="preserve">厨房灭火系统须具有有效消防产品认证证书，提供证书扫描件加盖投标人公章的，得1分，否则得0分</w:t>
            </w:r>
            <w:r/>
          </w:p>
        </w:tc>
        <w:tc>
          <w:tcPr>
            <w:shd w:val="clear" w:color="auto" w:fill="auto"/>
            <w:tcW w:w="103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szCs w:val="24"/>
                <w:highlight w:val="none"/>
              </w:rPr>
              <w:t xml:space="preserve">客观分</w:t>
            </w:r>
            <w:r/>
          </w:p>
        </w:tc>
      </w:tr>
      <w:tr>
        <w:trPr>
          <w:jc w:val="center"/>
          <w:trHeight w:val="2584"/>
        </w:trPr>
        <w:tc>
          <w:tcPr>
            <w:shd w:val="clear" w:color="auto" w:fill="auto"/>
            <w:tcW w:w="502"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3</w:t>
            </w:r>
            <w:r/>
          </w:p>
        </w:tc>
        <w:tc>
          <w:tcPr>
            <w:shd w:val="clear" w:color="auto" w:fill="auto"/>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节能环保</w:t>
            </w:r>
            <w:r/>
          </w:p>
        </w:tc>
        <w:tc>
          <w:tcPr>
            <w:shd w:val="clear" w:color="auto" w:fill="auto"/>
            <w:tcW w:w="611"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lang w:val="en-US" w:eastAsia="zh-CN"/>
              </w:rPr>
            </w:pPr>
            <w:r>
              <w:rPr>
                <w:rFonts w:hint="eastAsia" w:eastAsia="方正公文仿宋" w:cs="Times New Roman"/>
                <w:color w:val="auto"/>
                <w:sz w:val="24"/>
                <w:highlight w:val="none"/>
                <w:lang w:val="en-US" w:eastAsia="zh-CN"/>
              </w:rPr>
              <w:t xml:space="preserve">2</w:t>
            </w:r>
            <w:r/>
          </w:p>
        </w:tc>
        <w:tc>
          <w:tcPr>
            <w:shd w:val="clear" w:color="auto" w:fill="auto"/>
            <w:tcW w:w="5481" w:type="dxa"/>
            <w:textDirection w:val="lrTb"/>
            <w:noWrap w:val="false"/>
          </w:tcPr>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投标产品属于财政部</w:t>
            </w:r>
            <w:r>
              <w:rPr>
                <w:rFonts w:hint="eastAsia" w:ascii="Times New Roman" w:hAnsi="Times New Roman" w:eastAsia="方正公文仿宋" w:cs="Times New Roman"/>
                <w:color w:val="auto"/>
                <w:sz w:val="24"/>
                <w:szCs w:val="24"/>
                <w:highlight w:val="none"/>
                <w:lang w:eastAsia="zh-CN"/>
              </w:rPr>
              <w:t xml:space="preserve">国家发展改革委</w:t>
            </w:r>
            <w:r>
              <w:rPr>
                <w:rFonts w:hint="eastAsia" w:ascii="Times New Roman" w:hAnsi="Times New Roman" w:eastAsia="方正公文仿宋" w:cs="Times New Roman"/>
                <w:color w:val="auto"/>
                <w:sz w:val="24"/>
                <w:szCs w:val="24"/>
                <w:highlight w:val="none"/>
              </w:rPr>
              <w:t xml:space="preserve">公布的“节能产品品目清单”范围内的（强制采购产品除外），供应商提供国家确定的认证机构出具的、处于有效期之内的该节能产品认证证书复印件，有1个得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分，最多得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投标产品属于财政部、生态环境部公布的“环境标志产品品目清单”范围内提供的，供应商提供国家确定的认证机构出具的、处于有效期内的该环保产品认证证书复印件，有1个得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分，最多得</w:t>
            </w:r>
            <w:r>
              <w:rPr>
                <w:rFonts w:hint="eastAsia" w:ascii="Times New Roman" w:hAnsi="Times New Roman" w:eastAsia="方正公文仿宋" w:cs="Times New Roman"/>
                <w:color w:val="auto"/>
                <w:sz w:val="24"/>
                <w:szCs w:val="24"/>
                <w:highlight w:val="none"/>
                <w:lang w:val="en-US" w:eastAsia="zh-CN"/>
              </w:rPr>
              <w:t xml:space="preserve">1</w:t>
            </w:r>
            <w:r>
              <w:rPr>
                <w:rFonts w:hint="eastAsia" w:ascii="Times New Roman" w:hAnsi="Times New Roman" w:eastAsia="方正公文仿宋" w:cs="Times New Roman"/>
                <w:color w:val="auto"/>
                <w:sz w:val="24"/>
                <w:szCs w:val="24"/>
                <w:highlight w:val="none"/>
              </w:rPr>
              <w:t xml:space="preserve">分。</w:t>
            </w:r>
            <w:r/>
          </w:p>
        </w:tc>
        <w:tc>
          <w:tcPr>
            <w:shd w:val="clear" w:color="auto" w:fill="auto"/>
            <w:tcW w:w="1036" w:type="dxa"/>
            <w:vAlign w:val="center"/>
            <w:textDirection w:val="lrTb"/>
            <w:noWrap w:val="false"/>
          </w:tcPr>
          <w:p>
            <w:pPr>
              <w:jc w:val="left"/>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客观分</w:t>
            </w:r>
            <w:r/>
          </w:p>
        </w:tc>
      </w:tr>
    </w:tbl>
    <w:p>
      <w:pPr>
        <w:ind w:left="562"/>
        <w:jc w:val="left"/>
        <w:spacing w:before="120" w:after="62" w:line="480" w:lineRule="exac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3.</w:t>
      </w:r>
      <w:r>
        <w:rPr>
          <w:rFonts w:hint="eastAsia" w:ascii="Times New Roman" w:hAnsi="Times New Roman" w:eastAsia="仿宋" w:cs="Times New Roman"/>
          <w:b/>
          <w:color w:val="000000"/>
          <w:sz w:val="28"/>
          <w:szCs w:val="28"/>
          <w:highlight w:val="none"/>
        </w:rPr>
        <w:t xml:space="preserve">商务分：</w:t>
      </w:r>
      <w:r>
        <w:rPr>
          <w:rFonts w:hint="eastAsia" w:ascii="Times New Roman" w:hAnsi="Times New Roman" w:eastAsia="仿宋" w:cs="Times New Roman"/>
          <w:b/>
          <w:color w:val="000000"/>
          <w:sz w:val="28"/>
          <w:szCs w:val="28"/>
          <w:highlight w:val="none"/>
          <w:lang w:val="en-US" w:eastAsia="zh-CN"/>
        </w:rPr>
        <w:t xml:space="preserve">30</w:t>
      </w:r>
      <w:r>
        <w:rPr>
          <w:rFonts w:hint="eastAsia" w:ascii="Times New Roman" w:hAnsi="Times New Roman" w:eastAsia="仿宋" w:cs="Times New Roman"/>
          <w:b/>
          <w:color w:val="000000"/>
          <w:sz w:val="28"/>
          <w:szCs w:val="28"/>
          <w:highlight w:val="none"/>
        </w:rPr>
        <w:t xml:space="preserve">分</w:t>
      </w:r>
      <w:r/>
    </w:p>
    <w:p>
      <w:pPr>
        <w:ind w:firstLine="700"/>
        <w:jc w:val="left"/>
        <w:spacing w:line="500" w:lineRule="exact"/>
        <w:rPr>
          <w:rFonts w:eastAsia="方正仿宋_GBK"/>
          <w:sz w:val="28"/>
          <w:szCs w:val="28"/>
          <w:highlight w:val="none"/>
        </w:rPr>
      </w:pPr>
      <w:r>
        <w:rPr>
          <w:rFonts w:eastAsia="方正仿宋_GBK"/>
          <w:sz w:val="28"/>
          <w:szCs w:val="28"/>
          <w:highlight w:val="none"/>
        </w:rPr>
        <w:t xml:space="preserve">各投标人得分为评委会成员评分的算术平均分，分值保留小数点后两位。</w:t>
      </w:r>
      <w:r/>
    </w:p>
    <w:tbl>
      <w:tblPr>
        <w:tblStyle w:val="1020"/>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776"/>
        <w:gridCol w:w="611"/>
        <w:gridCol w:w="5481"/>
        <w:gridCol w:w="1036"/>
      </w:tblGrid>
      <w:tr>
        <w:trPr>
          <w:jc w:val="center"/>
        </w:trPr>
        <w:tc>
          <w:tcPr>
            <w:tcW w:w="502"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p>
        </w:tc>
        <w:tc>
          <w:tcPr>
            <w:tcW w:w="1776"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p>
        </w:tc>
        <w:tc>
          <w:tcPr>
            <w:tcW w:w="611"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p>
        </w:tc>
        <w:tc>
          <w:tcPr>
            <w:tcW w:w="5481" w:type="dxa"/>
            <w:vAlign w:val="center"/>
            <w:textDirection w:val="lrTb"/>
            <w:noWrap w:val="false"/>
          </w:tcPr>
          <w:p>
            <w:pPr>
              <w:ind w:firstLine="1680"/>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p>
        </w:tc>
        <w:tc>
          <w:tcPr>
            <w:tcW w:w="1036" w:type="dxa"/>
            <w:vAlign w:val="center"/>
            <w:textDirection w:val="lrTb"/>
            <w:noWrap w:val="false"/>
          </w:tcPr>
          <w:p>
            <w:pPr>
              <w:ind w:firstLine="1680"/>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r>
            <w:r/>
          </w:p>
        </w:tc>
      </w:tr>
      <w:tr>
        <w:trPr>
          <w:jc w:val="center"/>
        </w:trPr>
        <w:tc>
          <w:tcPr>
            <w:tcW w:w="502"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3</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安装调试方案</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5481" w:type="dxa"/>
            <w:vAlign w:val="center"/>
            <w:textDirection w:val="lrTb"/>
            <w:noWrap w:val="false"/>
          </w:tcPr>
          <w:p>
            <w:pPr>
              <w:pStyle w:val="999"/>
              <w:ind w:firstLine="0"/>
              <w:keepLines w:val="0"/>
              <w:keepNext w:val="0"/>
              <w:pageBreakBefore w:val="0"/>
              <w:spacing w:before="157" w:after="0" w:line="360" w:lineRule="exact"/>
              <w:widowControl w:val="off"/>
              <w:rPr>
                <w:rFonts w:hint="eastAsia" w:ascii="Times New Roman" w:eastAsia="方正公文仿宋" w:cs="Times New Roman"/>
                <w:color w:val="ff0000"/>
                <w:sz w:val="24"/>
                <w:szCs w:val="24"/>
                <w:highlight w:val="none"/>
                <w:lang w:val="en-US" w:eastAsia="zh-CN"/>
              </w:rPr>
            </w:pPr>
            <w:r>
              <w:rPr>
                <w:rFonts w:hint="eastAsia" w:ascii="Times New Roman" w:eastAsia="方正公文仿宋" w:cs="Times New Roman"/>
                <w:color w:val="ff0000"/>
                <w:sz w:val="24"/>
                <w:szCs w:val="24"/>
                <w:highlight w:val="none"/>
                <w:lang w:val="en-US" w:eastAsia="zh-CN"/>
              </w:rPr>
              <w:t xml:space="preserve">1</w:t>
            </w:r>
            <w:r>
              <w:rPr>
                <w:rFonts w:hint="eastAsia" w:ascii="Times New Roman" w:eastAsia="方正公文仿宋" w:cs="Times New Roman"/>
                <w:color w:val="ff0000"/>
                <w:sz w:val="24"/>
                <w:szCs w:val="24"/>
                <w:highlight w:val="none"/>
                <w:lang w:eastAsia="zh-CN"/>
              </w:rPr>
              <w:t xml:space="preserve">.每项内容阐述合理、条理清晰、针对性强、切实可行且不存在瑕疵的得</w:t>
            </w:r>
            <w:r>
              <w:rPr>
                <w:rFonts w:hint="eastAsia" w:ascii="Times New Roman" w:eastAsia="方正公文仿宋" w:cs="Times New Roman"/>
                <w:color w:val="ff0000"/>
                <w:sz w:val="24"/>
                <w:szCs w:val="24"/>
                <w:highlight w:val="none"/>
                <w:lang w:val="en-US" w:eastAsia="zh-CN"/>
              </w:rPr>
              <w:t xml:space="preserve">5</w:t>
            </w:r>
            <w:r>
              <w:rPr>
                <w:rFonts w:hint="eastAsia" w:ascii="Times New Roman" w:eastAsia="方正公文仿宋" w:cs="Times New Roman"/>
                <w:color w:val="ff0000"/>
                <w:sz w:val="24"/>
                <w:szCs w:val="24"/>
                <w:highlight w:val="none"/>
                <w:lang w:eastAsia="zh-CN"/>
              </w:rPr>
              <w:t xml:space="preserve">分；存在1处瑕疵的得</w:t>
            </w:r>
            <w:r>
              <w:rPr>
                <w:rFonts w:hint="eastAsia" w:ascii="Times New Roman" w:eastAsia="方正公文仿宋" w:cs="Times New Roman"/>
                <w:color w:val="ff0000"/>
                <w:sz w:val="24"/>
                <w:szCs w:val="24"/>
                <w:highlight w:val="none"/>
                <w:lang w:val="en-US" w:eastAsia="zh-CN"/>
              </w:rPr>
              <w:t xml:space="preserve">4</w:t>
            </w:r>
            <w:r>
              <w:rPr>
                <w:rFonts w:hint="eastAsia" w:ascii="Times New Roman" w:eastAsia="方正公文仿宋" w:cs="Times New Roman"/>
                <w:color w:val="ff0000"/>
                <w:sz w:val="24"/>
                <w:szCs w:val="24"/>
                <w:highlight w:val="none"/>
                <w:lang w:eastAsia="zh-CN"/>
              </w:rPr>
              <w:t xml:space="preserve">分；存在</w:t>
            </w:r>
            <w:r>
              <w:rPr>
                <w:rFonts w:hint="eastAsia" w:ascii="Times New Roman" w:eastAsia="方正公文仿宋" w:cs="Times New Roman"/>
                <w:color w:val="ff0000"/>
                <w:sz w:val="24"/>
                <w:szCs w:val="24"/>
                <w:highlight w:val="none"/>
                <w:lang w:val="en-US" w:eastAsia="zh-CN"/>
              </w:rPr>
              <w:t xml:space="preserve">2</w:t>
            </w:r>
            <w:r>
              <w:rPr>
                <w:rFonts w:hint="eastAsia" w:ascii="Times New Roman" w:eastAsia="方正公文仿宋" w:cs="Times New Roman"/>
                <w:color w:val="ff0000"/>
                <w:sz w:val="24"/>
                <w:szCs w:val="24"/>
                <w:highlight w:val="none"/>
                <w:lang w:eastAsia="zh-CN"/>
              </w:rPr>
              <w:t xml:space="preserve">处瑕疵的得</w:t>
            </w:r>
            <w:r>
              <w:rPr>
                <w:rFonts w:hint="eastAsia" w:ascii="Times New Roman" w:eastAsia="方正公文仿宋" w:cs="Times New Roman"/>
                <w:color w:val="ff0000"/>
                <w:sz w:val="24"/>
                <w:szCs w:val="24"/>
                <w:highlight w:val="none"/>
                <w:lang w:val="en-US" w:eastAsia="zh-CN"/>
              </w:rPr>
              <w:t xml:space="preserve">3</w:t>
            </w:r>
            <w:r>
              <w:rPr>
                <w:rFonts w:hint="eastAsia" w:ascii="Times New Roman" w:eastAsia="方正公文仿宋" w:cs="Times New Roman"/>
                <w:color w:val="ff0000"/>
                <w:sz w:val="24"/>
                <w:szCs w:val="24"/>
                <w:highlight w:val="none"/>
                <w:lang w:eastAsia="zh-CN"/>
              </w:rPr>
              <w:t xml:space="preserve">分；未进行阐述或不满足采购需求或存在3处及以上瑕疵的得</w:t>
            </w:r>
            <w:r>
              <w:rPr>
                <w:rFonts w:hint="eastAsia" w:ascii="Times New Roman" w:eastAsia="方正公文仿宋" w:cs="Times New Roman"/>
                <w:color w:val="ff0000"/>
                <w:sz w:val="24"/>
                <w:szCs w:val="24"/>
                <w:highlight w:val="none"/>
                <w:lang w:val="en-US" w:eastAsia="zh-CN"/>
              </w:rPr>
              <w:t xml:space="preserve">1</w:t>
            </w:r>
            <w:r>
              <w:rPr>
                <w:rFonts w:hint="eastAsia" w:ascii="Times New Roman" w:eastAsia="方正公文仿宋" w:cs="Times New Roman"/>
                <w:color w:val="ff0000"/>
                <w:sz w:val="24"/>
                <w:szCs w:val="24"/>
                <w:highlight w:val="none"/>
                <w:lang w:eastAsia="zh-CN"/>
              </w:rPr>
              <w:t xml:space="preserve">分。</w:t>
            </w:r>
            <w:r>
              <w:rPr>
                <w:rFonts w:hint="eastAsia" w:ascii="Times New Roman" w:eastAsia="方正公文仿宋" w:cs="Times New Roman"/>
                <w:color w:val="ff0000"/>
                <w:sz w:val="24"/>
                <w:szCs w:val="24"/>
                <w:highlight w:val="none"/>
                <w:lang w:val="en-US" w:eastAsia="zh-CN"/>
              </w:rPr>
              <w:t xml:space="preserve">未提供的不得分。</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注：以上所称“瑕疵”是指：</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①内容空洞，缺乏可量化的关键信息、具体措施或明确承诺；</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②未专门针对本项目的特点和需求，或机械套用其他项目模板而未作针对性修改；</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③ 对同一问题的表述前后矛盾，令评委无法确认其真实意图；</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④存在明显的逻辑漏洞、常识性错误或违背行业标准；</w:t>
            </w:r>
            <w:r/>
          </w:p>
          <w:p>
            <w:pPr>
              <w:pStyle w:val="999"/>
              <w:ind w:firstLine="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eastAsia="zh-CN"/>
              </w:rPr>
            </w:pPr>
            <w:r>
              <w:rPr>
                <w:rFonts w:hint="eastAsia" w:ascii="Times New Roman" w:eastAsia="方正公文仿宋" w:cs="Times New Roman"/>
                <w:color w:val="ff0000"/>
                <w:sz w:val="24"/>
                <w:szCs w:val="24"/>
                <w:highlight w:val="none"/>
                <w:lang w:eastAsia="zh-CN"/>
              </w:rPr>
              <w:t xml:space="preserve">⑤方案或承诺违背采购文件实质性要求，或在现有技术条件下不可能实现。</w:t>
            </w:r>
            <w:r/>
          </w:p>
          <w:p>
            <w:pPr>
              <w:pStyle w:val="999"/>
              <w:ind w:firstLine="0"/>
              <w:keepLines w:val="0"/>
              <w:keepNext w:val="0"/>
              <w:pageBreakBefore w:val="0"/>
              <w:spacing w:before="157" w:after="0" w:line="360" w:lineRule="exact"/>
              <w:widowControl w:val="off"/>
              <w:rPr>
                <w:rFonts w:eastAsia="方正公文仿宋"/>
                <w:color w:val="ff0000"/>
                <w:highlight w:val="none"/>
              </w:rPr>
            </w:pPr>
            <w:r>
              <w:rPr>
                <w:rFonts w:hint="eastAsia" w:ascii="Times New Roman" w:eastAsia="方正公文仿宋" w:cs="Times New Roman"/>
                <w:color w:val="ff0000"/>
                <w:sz w:val="24"/>
                <w:szCs w:val="24"/>
                <w:highlight w:val="none"/>
                <w:lang w:val="en-US" w:eastAsia="zh-CN"/>
              </w:rPr>
              <w:t xml:space="preserve">2</w:t>
            </w:r>
            <w:r>
              <w:rPr>
                <w:rFonts w:hint="eastAsia" w:ascii="Times New Roman" w:eastAsia="方正公文仿宋" w:cs="Times New Roman"/>
                <w:color w:val="ff0000"/>
                <w:sz w:val="24"/>
                <w:szCs w:val="24"/>
                <w:highlight w:val="none"/>
                <w:lang w:eastAsia="zh-CN"/>
              </w:rPr>
              <w:t xml:space="preserve">.食堂功能区域清单中利旧的产品，须提供免费搬运、送货、安装、调试服务至甲方指定地点，提供</w:t>
            </w:r>
            <w:r>
              <w:rPr>
                <w:rFonts w:ascii="Times New Roman" w:eastAsia="方正公文仿宋" w:cs="Times New Roman"/>
                <w:color w:val="ff0000"/>
                <w:sz w:val="24"/>
                <w:szCs w:val="24"/>
                <w:highlight w:val="none"/>
                <w:lang w:eastAsia="zh-CN"/>
              </w:rPr>
              <w:t xml:space="preserve">承诺</w:t>
            </w:r>
            <w:r>
              <w:rPr>
                <w:rFonts w:hint="eastAsia" w:ascii="Times New Roman" w:eastAsia="方正公文仿宋" w:cs="Times New Roman"/>
                <w:color w:val="ff0000"/>
                <w:sz w:val="24"/>
                <w:szCs w:val="24"/>
                <w:highlight w:val="none"/>
                <w:lang w:eastAsia="zh-CN"/>
              </w:rPr>
              <w:t xml:space="preserve">函，格式自拟。有</w:t>
            </w:r>
            <w:r>
              <w:rPr>
                <w:rFonts w:ascii="Times New Roman" w:eastAsia="方正公文仿宋" w:cs="Times New Roman"/>
                <w:color w:val="ff0000"/>
                <w:sz w:val="24"/>
                <w:szCs w:val="24"/>
                <w:highlight w:val="none"/>
                <w:lang w:eastAsia="zh-CN"/>
              </w:rPr>
              <w:t xml:space="preserve">承诺</w:t>
            </w:r>
            <w:r>
              <w:rPr>
                <w:rFonts w:hint="eastAsia" w:ascii="Times New Roman" w:eastAsia="方正公文仿宋" w:cs="Times New Roman"/>
                <w:color w:val="ff0000"/>
                <w:sz w:val="24"/>
                <w:szCs w:val="24"/>
                <w:highlight w:val="none"/>
                <w:lang w:eastAsia="zh-CN"/>
              </w:rPr>
              <w:t xml:space="preserve">函的，得</w:t>
            </w:r>
            <w:r>
              <w:rPr>
                <w:rFonts w:hint="eastAsia" w:ascii="Times New Roman" w:eastAsia="方正公文仿宋" w:cs="Times New Roman"/>
                <w:color w:val="ff0000"/>
                <w:sz w:val="24"/>
                <w:szCs w:val="24"/>
                <w:highlight w:val="none"/>
                <w:lang w:val="en-US" w:eastAsia="zh-CN"/>
              </w:rPr>
              <w:t xml:space="preserve">1</w:t>
            </w:r>
            <w:r>
              <w:rPr>
                <w:rFonts w:hint="eastAsia" w:ascii="Times New Roman" w:eastAsia="方正公文仿宋" w:cs="Times New Roman"/>
                <w:color w:val="ff0000"/>
                <w:sz w:val="24"/>
                <w:szCs w:val="24"/>
                <w:highlight w:val="none"/>
                <w:lang w:eastAsia="zh-CN"/>
              </w:rPr>
              <w:t xml:space="preserve">分，</w:t>
            </w:r>
            <w:r>
              <w:rPr>
                <w:rFonts w:ascii="Times New Roman" w:eastAsia="方正公文仿宋" w:cs="Times New Roman"/>
                <w:color w:val="ff0000"/>
                <w:sz w:val="24"/>
                <w:szCs w:val="24"/>
                <w:highlight w:val="none"/>
                <w:lang w:eastAsia="zh-CN"/>
              </w:rPr>
              <w:t xml:space="preserve">未承诺0分</w:t>
            </w:r>
            <w:r>
              <w:rPr>
                <w:rFonts w:hint="eastAsia" w:ascii="Times New Roman" w:eastAsia="方正公文仿宋" w:cs="Times New Roman"/>
                <w:color w:val="ff0000"/>
                <w:sz w:val="24"/>
                <w:szCs w:val="24"/>
                <w:highlight w:val="none"/>
                <w:lang w:eastAsia="zh-CN"/>
              </w:rPr>
              <w:t xml:space="preserve">。</w:t>
            </w:r>
            <w:r/>
          </w:p>
        </w:tc>
        <w:tc>
          <w:tcPr>
            <w:shd w:val="clear" w:color="auto" w:fill="auto"/>
            <w:tcW w:w="103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主观分</w:t>
            </w:r>
            <w:r/>
          </w:p>
        </w:tc>
      </w:tr>
      <w:tr>
        <w:trPr>
          <w:jc w:val="center"/>
          <w:trHeight w:val="1701"/>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4</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hint="eastAsia" w:ascii="方正公文仿宋" w:hAnsi="方正公文仿宋" w:eastAsia="方正公文仿宋" w:cs="方正公文仿宋"/>
                <w:b w:val="0"/>
                <w:bCs/>
                <w:color w:val="auto"/>
                <w:sz w:val="24"/>
                <w:szCs w:val="24"/>
                <w:highlight w:val="none"/>
                <w:lang w:bidi="ar"/>
              </w:rPr>
              <w:t xml:space="preserve">配合措施及</w:t>
            </w:r>
            <w:r>
              <w:rPr>
                <w:rFonts w:hint="eastAsia" w:ascii="方正公文仿宋" w:hAnsi="方正公文仿宋" w:eastAsia="方正公文仿宋" w:cs="方正公文仿宋"/>
                <w:b w:val="0"/>
                <w:bCs/>
                <w:color w:val="auto"/>
                <w:sz w:val="24"/>
                <w:szCs w:val="24"/>
                <w:highlight w:val="none"/>
                <w:lang w:val="en-US" w:eastAsia="zh-CN" w:bidi="ar"/>
              </w:rPr>
              <w:t xml:space="preserve">确保项目实施</w:t>
            </w:r>
            <w:r>
              <w:rPr>
                <w:rFonts w:hint="eastAsia" w:ascii="方正公文仿宋" w:hAnsi="方正公文仿宋" w:eastAsia="方正公文仿宋" w:cs="方正公文仿宋"/>
                <w:b w:val="0"/>
                <w:bCs/>
                <w:color w:val="auto"/>
                <w:sz w:val="24"/>
                <w:szCs w:val="24"/>
                <w:highlight w:val="none"/>
                <w:lang w:bidi="ar"/>
              </w:rPr>
              <w:t xml:space="preserve">方案</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5481" w:type="dxa"/>
            <w:vAlign w:val="center"/>
            <w:textDirection w:val="lrTb"/>
            <w:noWrap w:val="false"/>
          </w:tcPr>
          <w:p>
            <w:pPr>
              <w:pStyle w:val="1003"/>
              <w:ind w:left="0" w:firstLine="480"/>
              <w:keepLines w:val="0"/>
              <w:keepNext w:val="0"/>
              <w:pageBreakBefore w:val="0"/>
              <w:spacing w:after="0" w:line="360" w:lineRule="exact"/>
              <w:widowControl w:val="off"/>
              <w:rPr>
                <w:rFonts w:hint="eastAsia" w:ascii="Times New Roman" w:eastAsia="方正公文仿宋" w:cs="Times New Roman"/>
                <w:color w:val="ff0000"/>
                <w:sz w:val="24"/>
                <w:szCs w:val="24"/>
                <w:highlight w:val="none"/>
                <w:lang w:val="en-US" w:eastAsia="zh-CN"/>
              </w:rPr>
            </w:pPr>
            <w:r>
              <w:rPr>
                <w:rFonts w:hint="eastAsia" w:ascii="Times New Roman" w:hAnsi="Times New Roman" w:eastAsia="方正公文仿宋" w:cs="Times New Roman"/>
                <w:color w:val="ff0000"/>
                <w:sz w:val="24"/>
                <w:szCs w:val="24"/>
                <w:highlight w:val="none"/>
              </w:rPr>
              <w:t xml:space="preserve">整套配合保障内容阐述完整合理、逻辑条理清晰、完全贴合本项目采购需求，各项保障措施量化明确、落地性强、无任何瑕疵的得6分；存在1处瑕疵的得</w:t>
            </w:r>
            <w:r>
              <w:rPr>
                <w:rFonts w:hint="eastAsia" w:ascii="Times New Roman" w:hAnsi="Times New Roman" w:eastAsia="方正公文仿宋" w:cs="Times New Roman"/>
                <w:color w:val="ff0000"/>
                <w:sz w:val="24"/>
                <w:szCs w:val="24"/>
                <w:highlight w:val="none"/>
                <w:lang w:val="en-US" w:eastAsia="zh-CN"/>
              </w:rPr>
              <w:t xml:space="preserve">5</w:t>
            </w:r>
            <w:r>
              <w:rPr>
                <w:rFonts w:hint="eastAsia" w:ascii="Times New Roman" w:hAnsi="Times New Roman" w:eastAsia="方正公文仿宋" w:cs="Times New Roman"/>
                <w:color w:val="ff0000"/>
                <w:sz w:val="24"/>
                <w:szCs w:val="24"/>
                <w:highlight w:val="none"/>
              </w:rPr>
              <w:t xml:space="preserve">分；存在</w:t>
            </w:r>
            <w:r>
              <w:rPr>
                <w:rFonts w:hint="eastAsia" w:ascii="Times New Roman" w:hAnsi="Times New Roman" w:eastAsia="方正公文仿宋" w:cs="Times New Roman"/>
                <w:color w:val="ff0000"/>
                <w:sz w:val="24"/>
                <w:szCs w:val="24"/>
                <w:highlight w:val="none"/>
                <w:lang w:val="en-US" w:eastAsia="zh-CN"/>
              </w:rPr>
              <w:t xml:space="preserve">2</w:t>
            </w:r>
            <w:r>
              <w:rPr>
                <w:rFonts w:hint="eastAsia" w:ascii="Times New Roman" w:hAnsi="Times New Roman" w:eastAsia="方正公文仿宋" w:cs="Times New Roman"/>
                <w:color w:val="ff0000"/>
                <w:sz w:val="24"/>
                <w:szCs w:val="24"/>
                <w:highlight w:val="none"/>
              </w:rPr>
              <w:t xml:space="preserve">处瑕疵的得</w:t>
            </w:r>
            <w:r>
              <w:rPr>
                <w:rFonts w:hint="eastAsia" w:ascii="Times New Roman" w:hAnsi="Times New Roman" w:eastAsia="方正公文仿宋" w:cs="Times New Roman"/>
                <w:color w:val="ff0000"/>
                <w:sz w:val="24"/>
                <w:szCs w:val="24"/>
                <w:highlight w:val="none"/>
                <w:lang w:val="en-US" w:eastAsia="zh-CN"/>
              </w:rPr>
              <w:t xml:space="preserve">4</w:t>
            </w:r>
            <w:r>
              <w:rPr>
                <w:rFonts w:hint="eastAsia" w:ascii="Times New Roman" w:hAnsi="Times New Roman" w:eastAsia="方正公文仿宋" w:cs="Times New Roman"/>
                <w:color w:val="ff0000"/>
                <w:sz w:val="24"/>
                <w:szCs w:val="24"/>
                <w:highlight w:val="none"/>
              </w:rPr>
              <w:t xml:space="preserve">分；未完整阐述保障配合内容、核心措施不满足项目实施要求，或存在3处及以上瑕疵的得2分；</w:t>
            </w:r>
            <w:r>
              <w:rPr>
                <w:rFonts w:hint="eastAsia" w:ascii="Times New Roman" w:eastAsia="方正公文仿宋" w:cs="Times New Roman"/>
                <w:color w:val="ff0000"/>
                <w:sz w:val="24"/>
                <w:szCs w:val="24"/>
                <w:highlight w:val="none"/>
                <w:lang w:val="en-US" w:eastAsia="zh-CN"/>
              </w:rPr>
              <w:t xml:space="preserve">未提供的不得分。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注：以上所称“瑕疵”是指：</w:t>
            </w:r>
            <w:r/>
          </w:p>
          <w:p>
            <w:pPr>
              <w:pStyle w:val="1003"/>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eastAsia="方正公文仿宋" w:cs="Times New Roman"/>
                <w:color w:val="ff0000"/>
                <w:sz w:val="24"/>
                <w:szCs w:val="24"/>
                <w:highlight w:val="none"/>
                <w:lang w:eastAsia="zh-CN"/>
              </w:rPr>
              <w:t xml:space="preserve">①</w:t>
            </w:r>
            <w:r>
              <w:rPr>
                <w:rFonts w:hint="eastAsia" w:ascii="Times New Roman" w:hAnsi="Times New Roman" w:eastAsia="方正公文仿宋" w:cs="Times New Roman"/>
                <w:color w:val="ff0000"/>
                <w:sz w:val="24"/>
                <w:szCs w:val="24"/>
                <w:highlight w:val="none"/>
              </w:rPr>
              <w:t xml:space="preserve">内容空洞笼统，缺少可量化管控指标、落地执行细则、专人对接机制、时限承诺等关键实质性信息；</w:t>
            </w:r>
            <w:r/>
          </w:p>
          <w:p>
            <w:pPr>
              <w:pStyle w:val="1003"/>
              <w:numPr>
                <w:ilvl w:val="0"/>
                <w:numId w:val="0"/>
              </w:numPr>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② 未结合本项目工期、场地、设备、交付要求定制编制，直接套用通用模板，无针对性调整适配内容；</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③ 人员对接、交叉施工、进度保障、售后配合等内容前后表述冲突，评审无法判定实际执行标准；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④ 保障方案存在流程逻辑漏洞、行业实施常识错误、不符合现行项目管理规范标准；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⑤ 人员配置、资源投入、进度保障、协调配合相关承诺违背采购文件硬性要求，或现有人力、技术、资源条件下无法落地兑现；</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⑥ 未针对甲方、监理、其他施工单位的多方协同制定专项配合管控措施，无冲突协调、现场配合应急处置机制。</w:t>
            </w:r>
            <w:r/>
          </w:p>
        </w:tc>
        <w:tc>
          <w:tcPr>
            <w:shd w:val="clear" w:color="auto" w:fill="auto"/>
            <w:tcW w:w="1036" w:type="dxa"/>
            <w:vAlign w:val="center"/>
            <w:textDirection w:val="lrTb"/>
            <w:noWrap w:val="false"/>
          </w:tcPr>
          <w:p>
            <w:pPr>
              <w:pStyle w:val="1003"/>
              <w:ind w:firstLine="0"/>
              <w:spacing w:after="62" w:line="460" w:lineRule="exact"/>
              <w:rPr>
                <w:rFonts w:ascii="Times New Roman" w:hAnsi="Times New Roman" w:eastAsia="方正公文仿宋" w:cs="Times New Roman"/>
                <w:color w:val="auto"/>
                <w:sz w:val="24"/>
                <w:szCs w:val="24"/>
                <w:highlight w:val="none"/>
              </w:rPr>
            </w:pPr>
            <w:r>
              <w:rPr>
                <w:rFonts w:hint="eastAsia" w:ascii="方正公文仿宋" w:hAnsi="方正公文仿宋" w:eastAsia="方正公文仿宋" w:cs="方正公文仿宋"/>
                <w:color w:val="auto"/>
                <w:sz w:val="24"/>
                <w:highlight w:val="none"/>
                <w:lang w:val="en-US" w:eastAsia="zh-CN"/>
              </w:rPr>
              <w:t xml:space="preserve">主观分</w:t>
            </w:r>
            <w:r/>
          </w:p>
        </w:tc>
      </w:tr>
      <w:tr>
        <w:trPr>
          <w:jc w:val="center"/>
          <w:trHeight w:val="2866"/>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5</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培训、售后服务方案</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6</w:t>
            </w:r>
            <w:r/>
          </w:p>
        </w:tc>
        <w:tc>
          <w:tcPr>
            <w:shd w:val="clear" w:color="auto" w:fill="auto"/>
            <w:tcW w:w="5481" w:type="dxa"/>
            <w:vAlign w:val="center"/>
            <w:textDirection w:val="lrTb"/>
            <w:noWrap w:val="false"/>
          </w:tcPr>
          <w:p>
            <w:pPr>
              <w:pStyle w:val="1003"/>
              <w:ind w:left="0" w:firstLine="48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整套培训及售后服务内容阐述完整详实、条理清晰、贴合本项目全部采购需求，所有培训计划、售后保障举措量化清晰、落地可行，无任何瑕疵的得6分；存在1处瑕疵的得5分；存在2处瑕疵的得4分；仅简单简述、核心培训/售后内容不满足采购要求，或存在3处及以上瑕疵的得2分；</w:t>
            </w:r>
            <w:r>
              <w:rPr>
                <w:rFonts w:hint="eastAsia" w:ascii="Times New Roman" w:eastAsia="方正公文仿宋" w:cs="Times New Roman"/>
                <w:color w:val="ff0000"/>
                <w:sz w:val="24"/>
                <w:szCs w:val="24"/>
                <w:highlight w:val="none"/>
                <w:lang w:val="en-US" w:eastAsia="zh-CN"/>
              </w:rPr>
              <w:t xml:space="preserve">未提供的不得分。</w:t>
            </w:r>
            <w:r>
              <w:rPr>
                <w:rFonts w:hint="eastAsia" w:ascii="Times New Roman" w:hAnsi="Times New Roman" w:eastAsia="方正公文仿宋" w:cs="Times New Roman"/>
                <w:color w:val="ff0000"/>
                <w:sz w:val="24"/>
                <w:szCs w:val="24"/>
                <w:highlight w:val="none"/>
              </w:rPr>
              <w:t xml:space="preserve">注：以上所称“瑕疵”是指：</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① 内容空洞笼统，缺少可量化培训课时、参训人员层级、售后响应时效、备品备件储备量、维保周期、上门服务时限等关键信息与明确承诺；</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② 未结合本项目设备类型、使用人员、运维场景、使用周期定制方案，直接套用通用模板，未针对本项目需求做专项调整；</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③ 培训安排、报修流程、故障处置、质保维保、增值服务等内容前后表述矛盾，评审无法确认实际执行标准；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④ 培训计划、售后维保流程存在逻辑漏洞、行业服务常识错误，不符合对应设备运维、服务行业规范标准；</w:t>
            </w:r>
            <w:r/>
          </w:p>
          <w:p>
            <w:pPr>
              <w:pStyle w:val="1003"/>
              <w:ind w:left="0" w:firstLine="0"/>
              <w:keepLines w:val="0"/>
              <w:keepNext w:val="0"/>
              <w:pageBreakBefore w:val="0"/>
              <w:spacing w:after="0" w:line="360" w:lineRule="exact"/>
              <w:widowControl w:val="off"/>
              <w:rPr>
                <w:rFonts w:hint="eastAsia"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⑤ 培训目标、售后时效、质保范围、故障修复承诺违背采购文件实质性条款，或现有人员、仓储、技术条件下无法兑现；</w:t>
            </w:r>
            <w:r/>
          </w:p>
          <w:p>
            <w:pPr>
              <w:pStyle w:val="1003"/>
              <w:ind w:left="0" w:firstLine="0"/>
              <w:keepLines w:val="0"/>
              <w:keepNext w:val="0"/>
              <w:pageBreakBefore w:val="0"/>
              <w:spacing w:after="0" w:line="360" w:lineRule="exact"/>
              <w:widowControl w:val="off"/>
              <w:rPr>
                <w:rFonts w:ascii="Times New Roman" w:hAnsi="Times New Roman" w:eastAsia="方正公文仿宋" w:cs="Times New Roman"/>
                <w:color w:val="ff0000"/>
                <w:sz w:val="24"/>
                <w:szCs w:val="24"/>
                <w:highlight w:val="none"/>
              </w:rPr>
            </w:pPr>
            <w:r>
              <w:rPr>
                <w:rFonts w:hint="eastAsia" w:ascii="Times New Roman" w:hAnsi="Times New Roman" w:eastAsia="方正公文仿宋" w:cs="Times New Roman"/>
                <w:color w:val="ff0000"/>
                <w:sz w:val="24"/>
                <w:szCs w:val="24"/>
                <w:highlight w:val="none"/>
              </w:rPr>
              <w:t xml:space="preserve">⑥ 未区分操作岗、管理岗、运维岗制定分层培训方案，无重大故障应急处置、定期巡检、客户回访专项保障措施。</w:t>
            </w:r>
            <w:r/>
          </w:p>
        </w:tc>
        <w:tc>
          <w:tcPr>
            <w:shd w:val="clear" w:color="auto" w:fill="auto"/>
            <w:tcW w:w="1036" w:type="dxa"/>
            <w:vAlign w:val="center"/>
            <w:textDirection w:val="lrTb"/>
            <w:noWrap w:val="false"/>
          </w:tcPr>
          <w:p>
            <w:pPr>
              <w:pStyle w:val="1003"/>
              <w:ind w:firstLine="0"/>
              <w:spacing w:after="62" w:line="460" w:lineRule="exact"/>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 xml:space="preserve">主观分</w:t>
            </w:r>
            <w:r/>
          </w:p>
        </w:tc>
      </w:tr>
      <w:tr>
        <w:trPr>
          <w:jc w:val="center"/>
          <w:trHeight w:val="356"/>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szCs w:val="24"/>
                <w:highlight w:val="none"/>
              </w:rPr>
              <w:t xml:space="preserve">质量延保</w:t>
            </w: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6</w:t>
            </w:r>
            <w:r/>
          </w:p>
        </w:tc>
        <w:tc>
          <w:tcPr>
            <w:shd w:val="clear" w:color="auto" w:fill="auto"/>
            <w:tcW w:w="5481" w:type="dxa"/>
            <w:vAlign w:val="center"/>
            <w:textDirection w:val="lrTb"/>
            <w:noWrap w:val="false"/>
          </w:tcPr>
          <w:p>
            <w:pPr>
              <w:pStyle w:val="1003"/>
              <w:ind w:left="0" w:firstLine="0"/>
              <w:keepLines w:val="0"/>
              <w:keepNext w:val="0"/>
              <w:pageBreakBefore w:val="0"/>
              <w:spacing w:before="157" w:after="0"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在满足质保期的前提下，对本项目提供整体质量延保服务，提供承诺函，格式自拟，每延长1年，得3分，最高6分</w:t>
            </w:r>
            <w:r>
              <w:rPr>
                <w:rFonts w:hint="eastAsia" w:ascii="Times New Roman" w:hAnsi="Times New Roman" w:eastAsia="方正公文仿宋" w:cs="Times New Roman"/>
                <w:color w:val="auto"/>
                <w:sz w:val="24"/>
                <w:szCs w:val="24"/>
                <w:highlight w:val="none"/>
                <w:lang w:eastAsia="zh-CN"/>
              </w:rPr>
              <w:t xml:space="preserve">。</w:t>
            </w:r>
            <w:r/>
          </w:p>
        </w:tc>
        <w:tc>
          <w:tcPr>
            <w:shd w:val="clear" w:color="auto" w:fill="auto"/>
            <w:tcW w:w="1036" w:type="dxa"/>
            <w:vAlign w:val="center"/>
            <w:textDirection w:val="lrTb"/>
            <w:noWrap w:val="false"/>
          </w:tcPr>
          <w:p>
            <w:pPr>
              <w:pStyle w:val="1003"/>
              <w:ind w:firstLine="0"/>
              <w:spacing w:after="62" w:line="460" w:lineRule="exact"/>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val="en-US" w:eastAsia="zh-CN"/>
              </w:rPr>
              <w:t xml:space="preserve">客观分</w:t>
            </w:r>
            <w:r/>
          </w:p>
        </w:tc>
      </w:tr>
      <w:tr>
        <w:trPr>
          <w:jc w:val="center"/>
          <w:trHeight w:val="932"/>
        </w:trPr>
        <w:tc>
          <w:tcPr>
            <w:shd w:val="clear" w:color="auto" w:fill="auto"/>
            <w:tcW w:w="502"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7</w:t>
            </w:r>
            <w:r/>
          </w:p>
        </w:tc>
        <w:tc>
          <w:tcPr>
            <w:shd w:val="clear" w:color="auto" w:fill="auto"/>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业绩</w:t>
            </w:r>
            <w:r/>
          </w:p>
        </w:tc>
        <w:tc>
          <w:tcPr>
            <w:shd w:val="clear" w:color="auto" w:fill="auto"/>
            <w:tcW w:w="611"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p>
        </w:tc>
        <w:tc>
          <w:tcPr>
            <w:shd w:val="clear" w:color="auto" w:fill="auto"/>
            <w:tcW w:w="5481" w:type="dxa"/>
            <w:textDirection w:val="lrTb"/>
            <w:noWrap w:val="false"/>
          </w:tcPr>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投标人2022 年1月1日（以合同签订时间为准）以来与本次采购类似项目业绩，每提供1个业绩得</w:t>
            </w:r>
            <w:r>
              <w:rPr>
                <w:rFonts w:hint="eastAsia" w:ascii="Times New Roman" w:hAnsi="Times New Roman" w:eastAsia="方正公文仿宋" w:cs="Times New Roman"/>
                <w:color w:val="auto"/>
                <w:sz w:val="24"/>
                <w:szCs w:val="24"/>
                <w:highlight w:val="none"/>
                <w:lang w:val="en-US" w:eastAsia="zh-CN"/>
              </w:rPr>
              <w:t xml:space="preserve">2</w:t>
            </w:r>
            <w:r>
              <w:rPr>
                <w:rFonts w:hint="eastAsia" w:ascii="Times New Roman" w:hAnsi="Times New Roman" w:eastAsia="方正公文仿宋" w:cs="Times New Roman"/>
                <w:color w:val="auto"/>
                <w:sz w:val="24"/>
                <w:szCs w:val="24"/>
                <w:highlight w:val="none"/>
              </w:rPr>
              <w:t xml:space="preserve">分，最多</w:t>
            </w:r>
            <w:r>
              <w:rPr>
                <w:rFonts w:hint="eastAsia" w:ascii="Times New Roman" w:hAnsi="Times New Roman" w:eastAsia="方正公文仿宋" w:cs="Times New Roman"/>
                <w:color w:val="auto"/>
                <w:sz w:val="24"/>
                <w:szCs w:val="24"/>
                <w:highlight w:val="none"/>
                <w:lang w:val="en-US" w:eastAsia="zh-CN"/>
              </w:rPr>
              <w:t xml:space="preserve">6</w:t>
            </w:r>
            <w:r>
              <w:rPr>
                <w:rFonts w:hint="eastAsia" w:ascii="Times New Roman" w:hAnsi="Times New Roman" w:eastAsia="方正公文仿宋" w:cs="Times New Roman"/>
                <w:color w:val="auto"/>
                <w:sz w:val="24"/>
                <w:szCs w:val="24"/>
                <w:highlight w:val="none"/>
              </w:rPr>
              <w:t xml:space="preserve">分。</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每个业绩须同时提供：</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①有效销售合同扫描件（如合同无法体现类似采购内容，则需另外提供采购单位盖章的采购清单或证明材料），</w:t>
            </w:r>
            <w:r/>
          </w:p>
          <w:p>
            <w:pPr>
              <w:pStyle w:val="1003"/>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②不少于合同价60%的结算发票复印件加盖公章</w:t>
            </w:r>
            <w:r>
              <w:rPr>
                <w:rFonts w:hint="eastAsia" w:ascii="Times New Roman" w:hAnsi="Times New Roman" w:eastAsia="方正公文仿宋" w:cs="Times New Roman"/>
                <w:color w:val="auto"/>
                <w:sz w:val="24"/>
                <w:szCs w:val="24"/>
                <w:highlight w:val="none"/>
                <w:lang w:eastAsia="zh-CN"/>
              </w:rPr>
              <w:t xml:space="preserve">。</w:t>
            </w:r>
            <w:r/>
          </w:p>
          <w:p>
            <w:pPr>
              <w:pStyle w:val="1003"/>
              <w:ind w:firstLine="461"/>
              <w:keepLines w:val="0"/>
              <w:keepNext w:val="0"/>
              <w:pageBreakBefore w:val="0"/>
              <w:spacing w:after="62" w:line="360" w:lineRule="exact"/>
              <w:widowControl w:val="off"/>
              <w:rPr>
                <w:rFonts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注：中标后三日内提供原件核查，核查后发现虚假提供的，依照相关法律法规规定处理。</w:t>
            </w:r>
            <w:r/>
          </w:p>
        </w:tc>
        <w:tc>
          <w:tcPr>
            <w:shd w:val="clear" w:color="auto" w:fill="auto"/>
            <w:tcW w:w="1036" w:type="dxa"/>
            <w:vAlign w:val="center"/>
            <w:textDirection w:val="lrTb"/>
            <w:noWrap w:val="false"/>
          </w:tcPr>
          <w:p>
            <w:pPr>
              <w:jc w:val="left"/>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客观分</w:t>
            </w:r>
            <w:r/>
          </w:p>
        </w:tc>
      </w:tr>
    </w:tbl>
    <w:p>
      <w:pPr>
        <w:rPr>
          <w:rFonts w:ascii="Times New Roman" w:eastAsia="方正公文仿宋" w:cs="Times New Roman"/>
          <w:sz w:val="28"/>
          <w:szCs w:val="28"/>
          <w:highlight w:val="none"/>
        </w:rPr>
      </w:pPr>
      <w:r>
        <w:rPr>
          <w:rFonts w:ascii="Times New Roman" w:eastAsia="方正公文仿宋" w:cs="Times New Roman"/>
          <w:sz w:val="28"/>
          <w:szCs w:val="28"/>
          <w:highlight w:val="none"/>
        </w:rPr>
        <w:br w:type="page" w:clear="all"/>
      </w:r>
      <w:r/>
    </w:p>
    <w:p>
      <w:pPr>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r>
      <w:r/>
    </w:p>
    <w:p>
      <w:pPr>
        <w:pStyle w:val="999"/>
        <w:ind w:firstLine="0"/>
        <w:jc w:val="center"/>
        <w:rPr>
          <w:rFonts w:hint="eastAsia" w:ascii="黑体" w:eastAsia="黑体"/>
          <w:bCs/>
          <w:color w:val="000000" w:themeColor="text1"/>
          <w:sz w:val="44"/>
          <w:szCs w:val="28"/>
          <w:highlight w:val="none"/>
          <w14:textFill>
            <w14:solidFill>
              <w14:schemeClr w14:val="tx1"/>
            </w14:solidFill>
          </w14:textFill>
        </w:rPr>
        <w:outlineLvl w:val="0"/>
      </w:pPr>
      <w:r/>
      <w:bookmarkStart w:id="199" w:name="_Toc2329"/>
      <w:r>
        <w:rPr>
          <w:rFonts w:hint="eastAsia" w:ascii="黑体" w:eastAsia="黑体"/>
          <w:bCs/>
          <w:color w:val="000000" w:themeColor="text1"/>
          <w:sz w:val="44"/>
          <w:szCs w:val="28"/>
          <w:highlight w:val="none"/>
          <w14:textFill>
            <w14:solidFill>
              <w14:schemeClr w14:val="tx1"/>
            </w14:solidFill>
          </w14:textFill>
        </w:rPr>
        <w:t xml:space="preserve">第六章  投标文件格式</w:t>
      </w:r>
      <w:bookmarkEnd w:id="199"/>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0"/>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一、基本目录</w:t>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开标一览表（格式见附件</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投标分项报价表（格式见</w:t>
      </w:r>
      <w:r>
        <w:rPr>
          <w:rFonts w:ascii="仿宋" w:hAnsi="仿宋" w:eastAsia="仿宋"/>
          <w:color w:val="000000" w:themeColor="text1"/>
          <w:sz w:val="28"/>
          <w:szCs w:val="28"/>
          <w:highlight w:val="none"/>
          <w14:textFill>
            <w14:solidFill>
              <w14:schemeClr w14:val="tx1"/>
            </w14:solidFill>
          </w14:textFill>
        </w:rPr>
        <w:t xml:space="preserve">附件2</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二</w:t>
      </w:r>
      <w:r>
        <w:rPr>
          <w:rFonts w:ascii="仿宋" w:hAnsi="仿宋" w:eastAsia="仿宋"/>
          <w:b/>
          <w:color w:val="000000" w:themeColor="text1"/>
          <w:sz w:val="28"/>
          <w:szCs w:val="28"/>
          <w:highlight w:val="none"/>
          <w14:textFill>
            <w14:solidFill>
              <w14:schemeClr w14:val="tx1"/>
            </w14:solidFill>
          </w14:textFill>
        </w:rPr>
        <w:t xml:space="preserve">、资格审查内容</w:t>
      </w: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投标人符合《政府采购法》第二十二条规定条件的声明函（格式见附件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 xml:space="preserve">做出特定资格要求的</w:t>
      </w:r>
      <w:r>
        <w:rPr>
          <w:rFonts w:hint="eastAsia" w:ascii="仿宋" w:hAnsi="仿宋" w:eastAsia="仿宋"/>
          <w:color w:val="000000" w:themeColor="text1"/>
          <w:sz w:val="28"/>
          <w:szCs w:val="28"/>
          <w:highlight w:val="none"/>
          <w14:textFill>
            <w14:solidFill>
              <w14:schemeClr w14:val="tx1"/>
            </w14:solidFill>
          </w14:textFill>
        </w:rPr>
        <w:t xml:space="preserve">，必须提供）</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3.法定代表人身份证明</w:t>
      </w:r>
      <w:r>
        <w:rPr>
          <w:rFonts w:ascii="仿宋" w:hAnsi="仿宋" w:eastAsia="仿宋"/>
          <w:color w:val="000000" w:themeColor="text1"/>
          <w:sz w:val="28"/>
          <w:szCs w:val="28"/>
          <w:highlight w:val="none"/>
          <w14:textFill>
            <w14:solidFill>
              <w14:schemeClr w14:val="tx1"/>
            </w14:solidFill>
          </w14:textFill>
        </w:rPr>
        <w:t xml:space="preserve">（格式</w:t>
      </w:r>
      <w:r>
        <w:rPr>
          <w:rFonts w:hint="eastAsia" w:ascii="仿宋" w:hAnsi="仿宋" w:eastAsia="仿宋"/>
          <w:color w:val="000000" w:themeColor="text1"/>
          <w:sz w:val="28"/>
          <w:szCs w:val="28"/>
          <w:highlight w:val="none"/>
          <w14:textFill>
            <w14:solidFill>
              <w14:schemeClr w14:val="tx1"/>
            </w14:solidFill>
          </w14:textFill>
        </w:rPr>
        <w:t xml:space="preserve">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ascii="仿宋" w:hAnsi="仿宋" w:eastAsia="仿宋"/>
          <w:color w:val="000000" w:themeColor="text1"/>
          <w:sz w:val="28"/>
          <w:szCs w:val="28"/>
          <w:highlight w:val="none"/>
          <w14:textFill>
            <w14:solidFill>
              <w14:schemeClr w14:val="tx1"/>
            </w14:solidFill>
          </w14:textFill>
        </w:rPr>
        <w:t xml:space="preserve">）</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4.提供有效的营业执照复印件加盖公章</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eastAsia="方正仿宋_GBK"/>
          <w:color w:val="000000" w:themeColor="text1"/>
          <w:sz w:val="28"/>
          <w:szCs w:val="28"/>
          <w:highlight w:val="none"/>
          <w:lang w:val="zh-CN"/>
          <w14:textFill>
            <w14:solidFill>
              <w14:schemeClr w14:val="tx1"/>
            </w14:solidFill>
          </w14:textFill>
        </w:rPr>
        <w:t xml:space="preserve">法定代表人授权委托书</w:t>
      </w:r>
      <w:r>
        <w:rPr>
          <w:rFonts w:hint="eastAsia" w:ascii="仿宋" w:hAnsi="仿宋" w:eastAsia="仿宋"/>
          <w:color w:val="000000" w:themeColor="text1"/>
          <w:sz w:val="28"/>
          <w:szCs w:val="28"/>
          <w:highlight w:val="none"/>
          <w14:textFill>
            <w14:solidFill>
              <w14:schemeClr w14:val="tx1"/>
            </w14:solidFill>
          </w14:textFill>
        </w:rPr>
        <w:t xml:space="preserve">（格式见附件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14:textFill>
            <w14:solidFill>
              <w14:schemeClr w14:val="tx1"/>
            </w14:solidFill>
          </w14:textFill>
        </w:rPr>
        <w:t xml:space="preserve">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7.中小微企业声明函（如果本项目专门面向中小微型企业采购，则必须提供。格式见附件10）</w:t>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8.残疾人福利性单位声明函（如果本项目专门面向中小微型企业采购，供应商为残疾人福利性单位并提供本单位制造的货物，或者提供其他残疾人福利性单位制造的货物，则必须提供。格式见附件11）</w:t>
      </w:r>
      <w:r/>
    </w:p>
    <w:p>
      <w:pPr>
        <w:ind w:left="0" w:right="0" w:firstLine="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备注：上述“资格审查内容”中1、3、4、6条投标人必须在投标文件中提供相关材料，否则作无效投标处理；2、5、7、8条如招标文件要求必须提供相关材料而未提供的，作无效投标处理。</w:t>
      </w:r>
      <w:r/>
    </w:p>
    <w:p>
      <w:pPr>
        <w:pStyle w:val="1265"/>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三</w:t>
      </w:r>
      <w:r>
        <w:rPr>
          <w:rFonts w:ascii="仿宋" w:hAnsi="仿宋" w:eastAsia="仿宋"/>
          <w:b/>
          <w:color w:val="000000" w:themeColor="text1"/>
          <w:sz w:val="28"/>
          <w:szCs w:val="28"/>
          <w:highlight w:val="none"/>
          <w14:textFill>
            <w14:solidFill>
              <w14:schemeClr w14:val="tx1"/>
            </w14:solidFill>
          </w14:textFill>
        </w:rPr>
        <w:t xml:space="preserve">、</w:t>
      </w:r>
      <w:r>
        <w:rPr>
          <w:rFonts w:hint="eastAsia" w:ascii="仿宋" w:hAnsi="仿宋" w:eastAsia="仿宋"/>
          <w:b/>
          <w:color w:val="000000" w:themeColor="text1"/>
          <w:sz w:val="28"/>
          <w:szCs w:val="28"/>
          <w:highlight w:val="none"/>
          <w14:textFill>
            <w14:solidFill>
              <w14:schemeClr w14:val="tx1"/>
            </w14:solidFill>
          </w14:textFill>
        </w:rPr>
        <w:t xml:space="preserve">符合性</w:t>
      </w:r>
      <w:r>
        <w:rPr>
          <w:rFonts w:ascii="仿宋" w:hAnsi="仿宋" w:eastAsia="仿宋"/>
          <w:b/>
          <w:color w:val="000000" w:themeColor="text1"/>
          <w:sz w:val="28"/>
          <w:szCs w:val="28"/>
          <w:highlight w:val="none"/>
          <w14:textFill>
            <w14:solidFill>
              <w14:schemeClr w14:val="tx1"/>
            </w14:solidFill>
          </w14:textFill>
        </w:rPr>
        <w:t xml:space="preserve">审查内容</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技术要求响应及偏离表（如有，格式见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商务要求响应及偏离表（如有，格式见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3.投</w:t>
      </w:r>
      <w:r>
        <w:rPr>
          <w:rFonts w:hint="eastAsia" w:ascii="仿宋" w:hAnsi="仿宋" w:eastAsia="仿宋"/>
          <w:color w:val="000000" w:themeColor="text1"/>
          <w:sz w:val="28"/>
          <w:szCs w:val="28"/>
          <w:highlight w:val="none"/>
          <w14:textFill>
            <w14:solidFill>
              <w14:schemeClr w14:val="tx1"/>
            </w14:solidFill>
          </w14:textFill>
        </w:rPr>
        <w:t xml:space="preserve">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ascii="仿宋" w:hAnsi="仿宋" w:eastAsia="仿宋"/>
          <w:color w:val="000000" w:themeColor="text1"/>
          <w:sz w:val="28"/>
          <w:szCs w:val="28"/>
          <w:highlight w:val="none"/>
          <w14:textFill>
            <w14:solidFill>
              <w14:schemeClr w14:val="tx1"/>
            </w14:solidFill>
          </w14:textFill>
        </w:rPr>
        <w:t xml:space="preserve">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ind w:left="0" w:right="0" w:firstLine="48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四、价格扣除证明文件</w:t>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1.中小微企业声明函（格式见附件10）</w:t>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2.残疾人福利性单位声明函（格式见附件11）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或</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属于监狱企业的证明文件</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ascii="仿宋" w:hAnsi="仿宋" w:eastAsia="仿宋" w:cs="仿宋"/>
          <w:color w:val="000000" w:themeColor="text1"/>
          <w:sz w:val="28"/>
          <w:highlight w:val="none"/>
          <w14:textFill>
            <w14:solidFill>
              <w14:schemeClr w14:val="tx1"/>
            </w14:solidFill>
          </w14:textFill>
        </w:rPr>
        <w:t xml:space="preserve">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 </w:t>
      </w:r>
      <w:r/>
    </w:p>
    <w:p>
      <w:pPr>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开标一览表</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投标人全称（加盖CA电子签章）：</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项目编号：</w:t>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分包号：</w:t>
      </w:r>
      <w:r/>
    </w:p>
    <w:tbl>
      <w:tblPr>
        <w:tblStyle w:val="9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w:t>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小写：                             （人民币：元）</w:t>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核心产品品牌</w:t>
            </w: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p>
        </w:tc>
      </w:tr>
    </w:tbl>
    <w:p>
      <w:pPr>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pStyle w:val="1052"/>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本附件格式仅作参考，投标人以苏采云平台实际情况进行填报。</w:t>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投标分项报价表</w:t>
      </w:r>
      <w:r/>
    </w:p>
    <w:tbl>
      <w:tblPr>
        <w:tblStyle w:val="998"/>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）国内运输保险、报关清关（如果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）、开证（如果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）、办理全套免税手续费用（如果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）及其他有关的为完成本项目发生的所有费用，招标文件中另有规定的除外。</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3.投标人需认真填写本报价表，尤其注意规格型号的准确填写。</w:t>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pStyle w:val="99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3</w:t>
      </w:r>
      <w:r/>
    </w:p>
    <w:p>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 xml:space="preserve">投标人符合《政府采购法》第二十二条规定条件的声明函</w:t>
      </w:r>
      <w:r/>
    </w:p>
    <w:p>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r/>
    </w:p>
    <w:p>
      <w:pPr>
        <w:ind w:firstLine="560"/>
        <w:spacing w:line="520" w:lineRule="exact"/>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我单位参加</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________________ _</w:t>
      </w:r>
      <w:r>
        <w:rPr>
          <w:rFonts w:hint="eastAsia" w:ascii="仿宋" w:hAnsi="仿宋" w:eastAsia="仿宋"/>
          <w:bCs/>
          <w:color w:val="000000" w:themeColor="text1"/>
          <w:sz w:val="28"/>
          <w:szCs w:val="21"/>
          <w:highlight w:val="none"/>
          <w14:textFill>
            <w14:solidFill>
              <w14:schemeClr w14:val="tx1"/>
            </w14:solidFill>
          </w14:textFill>
        </w:rPr>
        <w:t xml:space="preserve">（项目名称），</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 __________</w:t>
      </w:r>
      <w:r>
        <w:rPr>
          <w:rFonts w:hint="eastAsia" w:ascii="仿宋" w:hAnsi="仿宋" w:eastAsia="仿宋"/>
          <w:bCs/>
          <w:color w:val="000000" w:themeColor="text1"/>
          <w:sz w:val="28"/>
          <w:szCs w:val="21"/>
          <w:highlight w:val="none"/>
          <w14:textFill>
            <w14:solidFill>
              <w14:schemeClr w14:val="tx1"/>
            </w14:solidFill>
          </w14:textFill>
        </w:rPr>
        <w:t xml:space="preserve">（项目编号）投标活动。针对《中华人民共和国政府采购法》第二十二条规定做出如下声明：</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1.我单位具有独立承担民事责任的能力；</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2.我单位具有良好的商业信誉和健全的财务会计制度；</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3.我单位具有履行合同所必需的设备和专业技术能力；</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4.我单位有依法缴纳税收和社会保障资金的良好记录；</w:t>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6.我单位满足法律、行政法规规定的其他条件。</w:t>
      </w:r>
      <w:r/>
    </w:p>
    <w:p>
      <w:pPr>
        <w:pStyle w:val="999"/>
        <w:ind w:firstLine="640"/>
        <w:rPr>
          <w:rFonts w:hint="eastAsia" w:ascii="仿宋" w:hAnsi="仿宋" w:eastAsia="仿宋"/>
          <w:color w:val="000000" w:themeColor="text1"/>
          <w:sz w:val="32"/>
          <w:highlight w:val="none"/>
          <w14:textFill>
            <w14:solidFill>
              <w14:schemeClr w14:val="tx1"/>
            </w14:solidFill>
          </w14:textFill>
        </w:rPr>
      </w:pPr>
      <w:r>
        <w:rPr>
          <w:rFonts w:hint="eastAsia" w:ascii="仿宋" w:hAnsi="仿宋" w:eastAsia="仿宋"/>
          <w:color w:val="000000" w:themeColor="text1"/>
          <w:sz w:val="32"/>
          <w:highlight w:val="none"/>
          <w14:textFill>
            <w14:solidFill>
              <w14:schemeClr w14:val="tx1"/>
            </w14:solidFill>
          </w14:textFill>
        </w:rPr>
      </w:r>
      <w:r/>
    </w:p>
    <w:p>
      <w:pPr>
        <w:jc w:val="center"/>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 xml:space="preserve">______</w:t>
      </w:r>
      <w:r>
        <w:rPr>
          <w:rFonts w:hint="eastAsia" w:ascii="仿宋" w:hAnsi="仿宋" w:eastAsia="仿宋"/>
          <w:bCs/>
          <w:color w:val="000000" w:themeColor="text1"/>
          <w:sz w:val="28"/>
          <w:szCs w:val="21"/>
          <w:highlight w:val="none"/>
          <w14:textFill>
            <w14:solidFill>
              <w14:schemeClr w14:val="tx1"/>
            </w14:solidFill>
          </w14:textFill>
        </w:rPr>
        <w:t xml:space="preserve">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日</w:t>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99"/>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pStyle w:val="999"/>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9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9"/>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spacing w:line="480" w:lineRule="exact"/>
        <w:tabs>
          <w:tab w:val="left" w:pos="360" w:leader="none"/>
        </w:tabs>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rFonts w:ascii="仿宋" w:hAnsi="仿宋" w:eastAsia="仿宋"/>
          <w:b/>
          <w:color w:val="000000" w:themeColor="text1"/>
          <w:sz w:val="28"/>
          <w:szCs w:val="28"/>
          <w:highlight w:val="none"/>
          <w14:textFill>
            <w14:solidFill>
              <w14:schemeClr w14:val="tx1"/>
            </w14:solidFill>
          </w14:textFill>
        </w:rPr>
        <w:t xml:space="preserve">                      </w:t>
      </w:r>
      <w:r/>
    </w:p>
    <w:p>
      <w:pPr>
        <w:jc w:val="center"/>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投标函</w:t>
      </w:r>
      <w:r/>
    </w:p>
    <w:p>
      <w:pPr>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致：南通市教育技术中心</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根据贵方的JSZC-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号招标文件，正式授权下述签字人_____</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姓名</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代表我方_______（投标人的名称），全权处理本次项目投标的有关事宜。</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据此函，__________签字人兹宣布同意如下：</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1.按招标文件规定的各项要求，向买方提供所需货物（包含与货物相关的服务）。</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2.我们完全理解贵方不一定将合同授予最低报价的投标人。</w:t>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.一旦我方中标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我方将根据招标文件的规定，严格履行合同的责任和义务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间内</w:t>
      </w:r>
      <w:r>
        <w:rPr>
          <w:rFonts w:hint="eastAsia" w:ascii="仿宋" w:hAnsi="仿宋" w:eastAsia="仿宋"/>
          <w:color w:val="000000" w:themeColor="text1"/>
          <w:sz w:val="28"/>
          <w:szCs w:val="28"/>
          <w:highlight w:val="none"/>
          <w14:textFill>
            <w14:solidFill>
              <w14:schemeClr w14:val="tx1"/>
            </w14:solidFill>
          </w14:textFill>
        </w:rPr>
        <w:t xml:space="preserve">完成项目，交付买方验收、使用。</w:t>
      </w:r>
      <w:r/>
    </w:p>
    <w:p>
      <w:pPr>
        <w:ind w:left="425"/>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.与本投标有关的正式通讯地址为：</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          址：</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邮          编：</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电          话：</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传          真：</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投标人开户行：</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期：________年____月____日</w:t>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技术要求响应及偏离表（分包号：**）</w:t>
      </w:r>
      <w:r/>
    </w:p>
    <w:tbl>
      <w:tblPr>
        <w:tblStyle w:val="9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对技术</w:t>
      </w:r>
      <w:r>
        <w:rPr>
          <w:rFonts w:hint="eastAsia" w:ascii="仿宋" w:hAnsi="仿宋" w:eastAsia="仿宋"/>
          <w:b/>
          <w:bCs/>
          <w:color w:val="000000" w:themeColor="text1"/>
          <w:sz w:val="28"/>
          <w:szCs w:val="28"/>
          <w:highlight w:val="none"/>
          <w14:textFill>
            <w14:solidFill>
              <w14:schemeClr w14:val="tx1"/>
            </w14:solidFill>
          </w14:textFill>
        </w:rPr>
        <w:t xml:space="preserve">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p>
    <w:p>
      <w:pPr>
        <w:pStyle w:val="999"/>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商务要求响应及偏离表（分包号：**）</w:t>
      </w:r>
      <w:r/>
    </w:p>
    <w:tbl>
      <w:tblPr>
        <w:tblStyle w:val="9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商务要求</w:t>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商务要求（未加斜体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p>
    <w:p>
      <w:pPr>
        <w:jc w:val="left"/>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实质性要求响应及偏离表（分包号：**）</w:t>
      </w:r>
      <w:r/>
    </w:p>
    <w:tbl>
      <w:tblPr>
        <w:tblStyle w:val="99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3609"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技术要求和商务要求中的实质性要求（加斜体下划线内容）</w:t>
            </w:r>
            <w:r/>
          </w:p>
        </w:tc>
        <w:tc>
          <w:tcPr>
            <w:tcW w:w="3317"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p>
        </w:tc>
        <w:tc>
          <w:tcPr>
            <w:tcW w:w="1526"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1.投标人必须对技术要求和商务要求中的实质性要求（加斜体下划线内容）逐条做出明确响应，否则作无效投标处理。</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2.如果招标文件要求提供证明材料，投标人必须将证明材料列于该表之下。</w:t>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3.投标人未对实质性要求逐条作出明确响应的，或未按招标文件要求提供证明材料的，该分包作无效投标处理。</w:t>
      </w:r>
      <w:r/>
    </w:p>
    <w:p>
      <w:pPr>
        <w:pStyle w:val="10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82"/>
      <w:r/>
      <w:bookmarkEnd w:id="183"/>
      <w:r/>
      <w:bookmarkEnd w:id="196"/>
      <w:r/>
      <w:bookmarkEnd w:id="197"/>
      <w:r/>
      <w:bookmarkEnd w:id="198"/>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10</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工信部联企业〔2011〕300号</w:t>
      </w:r>
      <w:r>
        <w:rPr>
          <w:rFonts w:hint="eastAsia" w:ascii="仿宋" w:hAnsi="仿宋" w:eastAsia="仿宋" w:cs="仿宋"/>
          <w:color w:val="000000"/>
          <w:sz w:val="28"/>
          <w:szCs w:val="28"/>
          <w:highlight w:val="none"/>
          <w:lang w:eastAsia="zh-CN"/>
        </w:rPr>
        <w:t xml:space="preserve">）和</w:t>
      </w:r>
      <w:r>
        <w:rPr>
          <w:rFonts w:hint="eastAsia" w:ascii="仿宋" w:hAnsi="仿宋" w:eastAsia="仿宋" w:cs="仿宋"/>
          <w:color w:val="000000"/>
          <w:sz w:val="28"/>
          <w:szCs w:val="28"/>
          <w:highlight w:val="none"/>
        </w:rPr>
        <w:t xml:space="preserve">《国家统计局关于印发〈统计上大中小微型企业划分办法（2017）〉的通知》（国统字〔2017〕213号）的规定，自行勾选制造商的企业规模类型。    </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附：中小企业划型标准规定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（十四）物业管理。从业人员1000人以下或营业收入5000万元以下的为中小微型企业。其中，从业人员</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2</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1018"/>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18"/>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102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102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1018"/>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1018"/>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1018"/>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1018"/>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sectPr>
      <w:footerReference w:type="default" r:id="rId19"/>
      <w:footerReference w:type="first" r:id="rId20"/>
      <w:footnotePr/>
      <w:endnotePr/>
      <w:type w:val="nextPage"/>
      <w:pgSz w:w="11906" w:h="16838" w:orient="portrait"/>
      <w:pgMar w:top="1418" w:right="1588" w:bottom="1418" w:left="1365" w:header="851" w:footer="907" w:gutter="0"/>
      <w:pgNumType w:start="7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方正公文楷体">
    <w:panose1 w:val="020B0503020202020204"/>
  </w:font>
  <w:font w:name="幼圆">
    <w:panose1 w:val="02010509060101010101"/>
  </w:font>
  <w:font w:name="黑体">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2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Style w:val="1272"/>
      </w:rPr>
      <w:framePr w:wrap="around" w:vAnchor="text" w:hAnchor="margin" w:xAlign="center" w:y="1"/>
    </w:pPr>
    <w:r>
      <w:fldChar w:fldCharType="begin"/>
    </w:r>
    <w:r>
      <w:rPr>
        <w:rStyle w:val="1272"/>
      </w:rPr>
      <w:instrText xml:space="preserve">PAGE  </w:instrText>
    </w:r>
    <w:r>
      <w:fldChar w:fldCharType="separate"/>
    </w:r>
    <w:r>
      <w:rPr>
        <w:rStyle w:val="1272"/>
      </w:rPr>
      <w:t xml:space="preserve">1</w:t>
    </w:r>
    <w:r>
      <w:fldChar w:fldCharType="end"/>
    </w:r>
    <w:r/>
  </w:p>
  <w:p>
    <w:pPr>
      <w:pStyle w:val="125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spacing w:after="4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spacing w:after="4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spacing w:after="4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rFonts w:hint="default"/>
        <w:lang w:val="en-US" w:eastAsia="zh-CN"/>
      </w:rPr>
    </w:pPr>
    <w:r>
      <w:rPr>
        <w:rFonts w:hint="eastAsia"/>
        <w:lang w:val="en-US" w:eastAsia="zh-CN"/>
      </w:rPr>
      <w:t xml:space="preserve">72</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rPr>
        <w:rFonts w:hint="default"/>
        <w:lang w:val="en-US" w:eastAsia="zh-CN"/>
      </w:rPr>
    </w:pPr>
    <w:r>
      <w:rPr>
        <w:rFonts w:hint="eastAsia"/>
        <w:lang w:val="en-US" w:eastAsia="zh-CN"/>
      </w:rPr>
      <w:t xml:space="preserve">73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19"/>
      <w:isLgl w:val="false"/>
      <w:suff w:val="nothing"/>
      <w:lvlText w:val=""/>
      <w:lvlJc w:val="left"/>
      <w:pPr>
        <w:ind w:left="0" w:firstLine="0"/>
      </w:pPr>
      <w:rPr>
        <w:rFonts w:hint="eastAsia"/>
      </w:rPr>
    </w:lvl>
    <w:lvl w:ilvl="6">
      <w:start w:val="1"/>
      <w:numFmt w:val="decimal"/>
      <w:pStyle w:val="1221"/>
      <w:isLgl w:val="false"/>
      <w:suff w:val="nothing"/>
      <w:lvlText w:val=""/>
      <w:lvlJc w:val="left"/>
      <w:pPr>
        <w:ind w:left="0" w:firstLine="0"/>
      </w:pPr>
      <w:rPr>
        <w:rFonts w:hint="eastAsia"/>
      </w:rPr>
    </w:lvl>
    <w:lvl w:ilvl="7">
      <w:start w:val="1"/>
      <w:numFmt w:val="decimal"/>
      <w:pStyle w:val="1223"/>
      <w:isLgl w:val="false"/>
      <w:suff w:val="nothing"/>
      <w:lvlText w:val=""/>
      <w:lvlJc w:val="left"/>
      <w:pPr>
        <w:ind w:left="0" w:firstLine="0"/>
      </w:pPr>
      <w:rPr>
        <w:rFonts w:hint="eastAsia"/>
      </w:rPr>
    </w:lvl>
    <w:lvl w:ilvl="8">
      <w:start w:val="1"/>
      <w:numFmt w:val="decimal"/>
      <w:pStyle w:val="1225"/>
      <w:isLgl w:val="false"/>
      <w:suff w:val="nothing"/>
      <w:lvlText w:val=""/>
      <w:lvlJc w:val="left"/>
      <w:pPr>
        <w:ind w:left="0" w:firstLine="0"/>
      </w:pPr>
      <w:rPr>
        <w:rFonts w:hint="eastAsia"/>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pStyle w:val="1027"/>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2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3"/>
  </w:num>
  <w:num w:numId="5">
    <w:abstractNumId w:val="2"/>
  </w:num>
  <w:num w:numId="6">
    <w:abstractNumId w:val="8"/>
  </w:num>
  <w:num w:numId="7">
    <w:abstractNumId w:val="9"/>
  </w:num>
  <w:num w:numId="8">
    <w:abstractNumId w:val="15"/>
  </w:num>
  <w:num w:numId="9">
    <w:abstractNumId w:val="7"/>
  </w:num>
  <w:num w:numId="10">
    <w:abstractNumId w:val="0"/>
  </w:num>
  <w:num w:numId="11">
    <w:abstractNumId w:val="11"/>
  </w:num>
  <w:num w:numId="12">
    <w:abstractNumId w:val="14"/>
  </w:num>
  <w:num w:numId="13">
    <w:abstractNumId w:val="10"/>
  </w:num>
  <w:num w:numId="14">
    <w:abstractNumId w:val="1"/>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default="1">
    <w:name w:val="Normal"/>
    <w:next w:val="999"/>
    <w:link w:val="1323"/>
    <w:uiPriority w:val="0"/>
    <w:qFormat/>
    <w:pPr>
      <w:jc w:val="both"/>
      <w:widowControl w:val="off"/>
    </w:pPr>
    <w:rPr>
      <w:rFonts w:hint="default" w:ascii="Times New Roman" w:hAnsi="Times New Roman" w:eastAsia="宋体" w:cs="Times New Roman"/>
      <w:sz w:val="21"/>
      <w:szCs w:val="22"/>
      <w:lang w:eastAsia="zh-CN"/>
    </w:rPr>
  </w:style>
  <w:style w:type="paragraph" w:styleId="988">
    <w:name w:val="Heading 1"/>
    <w:basedOn w:val="987"/>
    <w:next w:val="987"/>
    <w:link w:val="1058"/>
    <w:uiPriority w:val="9"/>
    <w:qFormat/>
    <w:pPr>
      <w:keepLines/>
      <w:keepNext/>
      <w:spacing w:before="480" w:after="200"/>
      <w:outlineLvl w:val="0"/>
    </w:pPr>
    <w:rPr>
      <w:rFonts w:ascii="Arial" w:hAnsi="Arial" w:eastAsia="Arial" w:cs="Arial"/>
      <w:sz w:val="40"/>
      <w:szCs w:val="40"/>
    </w:rPr>
  </w:style>
  <w:style w:type="paragraph" w:styleId="989">
    <w:name w:val="Heading 2"/>
    <w:basedOn w:val="987"/>
    <w:next w:val="987"/>
    <w:link w:val="1059"/>
    <w:uiPriority w:val="9"/>
    <w:unhideWhenUsed/>
    <w:qFormat/>
    <w:pPr>
      <w:keepLines/>
      <w:keepNext/>
      <w:spacing w:before="360" w:after="200"/>
      <w:outlineLvl w:val="1"/>
    </w:pPr>
    <w:rPr>
      <w:rFonts w:ascii="Arial" w:hAnsi="Arial" w:eastAsia="Arial" w:cs="Arial"/>
      <w:sz w:val="34"/>
    </w:rPr>
  </w:style>
  <w:style w:type="paragraph" w:styleId="990">
    <w:name w:val="Heading 3"/>
    <w:basedOn w:val="987"/>
    <w:next w:val="987"/>
    <w:link w:val="1060"/>
    <w:uiPriority w:val="9"/>
    <w:unhideWhenUsed/>
    <w:qFormat/>
    <w:pPr>
      <w:keepLines/>
      <w:keepNext/>
      <w:spacing w:before="320" w:after="200"/>
      <w:outlineLvl w:val="2"/>
    </w:pPr>
    <w:rPr>
      <w:rFonts w:ascii="Arial" w:hAnsi="Arial" w:eastAsia="Arial" w:cs="Arial"/>
      <w:sz w:val="30"/>
      <w:szCs w:val="30"/>
    </w:rPr>
  </w:style>
  <w:style w:type="paragraph" w:styleId="991">
    <w:name w:val="Heading 4"/>
    <w:basedOn w:val="987"/>
    <w:next w:val="987"/>
    <w:link w:val="1061"/>
    <w:uiPriority w:val="9"/>
    <w:unhideWhenUsed/>
    <w:qFormat/>
    <w:pPr>
      <w:keepLines/>
      <w:keepNext/>
      <w:spacing w:before="320" w:after="200"/>
      <w:outlineLvl w:val="3"/>
    </w:pPr>
    <w:rPr>
      <w:rFonts w:ascii="Arial" w:hAnsi="Arial" w:eastAsia="Arial" w:cs="Arial"/>
      <w:b/>
      <w:bCs/>
      <w:sz w:val="26"/>
      <w:szCs w:val="26"/>
    </w:rPr>
  </w:style>
  <w:style w:type="paragraph" w:styleId="992">
    <w:name w:val="Heading 5"/>
    <w:basedOn w:val="987"/>
    <w:next w:val="987"/>
    <w:link w:val="1062"/>
    <w:uiPriority w:val="9"/>
    <w:unhideWhenUsed/>
    <w:qFormat/>
    <w:pPr>
      <w:keepLines/>
      <w:keepNext/>
      <w:spacing w:before="320" w:after="200"/>
      <w:outlineLvl w:val="4"/>
    </w:pPr>
    <w:rPr>
      <w:rFonts w:ascii="Arial" w:hAnsi="Arial" w:eastAsia="Arial" w:cs="Arial"/>
      <w:b/>
      <w:bCs/>
      <w:sz w:val="24"/>
      <w:szCs w:val="24"/>
    </w:rPr>
  </w:style>
  <w:style w:type="paragraph" w:styleId="993">
    <w:name w:val="Heading 6"/>
    <w:basedOn w:val="987"/>
    <w:next w:val="987"/>
    <w:link w:val="1063"/>
    <w:uiPriority w:val="9"/>
    <w:unhideWhenUsed/>
    <w:qFormat/>
    <w:pPr>
      <w:keepLines/>
      <w:keepNext/>
      <w:spacing w:before="320" w:after="200"/>
      <w:outlineLvl w:val="5"/>
    </w:pPr>
    <w:rPr>
      <w:rFonts w:ascii="Arial" w:hAnsi="Arial" w:eastAsia="Arial" w:cs="Arial"/>
      <w:b/>
      <w:bCs/>
      <w:sz w:val="22"/>
      <w:szCs w:val="22"/>
    </w:rPr>
  </w:style>
  <w:style w:type="paragraph" w:styleId="994">
    <w:name w:val="Heading 7"/>
    <w:basedOn w:val="987"/>
    <w:next w:val="987"/>
    <w:link w:val="1064"/>
    <w:uiPriority w:val="9"/>
    <w:unhideWhenUsed/>
    <w:qFormat/>
    <w:pPr>
      <w:keepLines/>
      <w:keepNext/>
      <w:spacing w:before="320" w:after="200"/>
      <w:outlineLvl w:val="6"/>
    </w:pPr>
    <w:rPr>
      <w:rFonts w:ascii="Arial" w:hAnsi="Arial" w:eastAsia="Arial" w:cs="Arial"/>
      <w:b/>
      <w:bCs/>
      <w:i/>
      <w:iCs/>
      <w:sz w:val="22"/>
      <w:szCs w:val="22"/>
    </w:rPr>
  </w:style>
  <w:style w:type="paragraph" w:styleId="995">
    <w:name w:val="Heading 8"/>
    <w:basedOn w:val="987"/>
    <w:next w:val="987"/>
    <w:link w:val="1065"/>
    <w:uiPriority w:val="9"/>
    <w:unhideWhenUsed/>
    <w:qFormat/>
    <w:pPr>
      <w:keepLines/>
      <w:keepNext/>
      <w:spacing w:before="320" w:after="200"/>
      <w:outlineLvl w:val="7"/>
    </w:pPr>
    <w:rPr>
      <w:rFonts w:ascii="Arial" w:hAnsi="Arial" w:eastAsia="Arial" w:cs="Arial"/>
      <w:i/>
      <w:iCs/>
      <w:sz w:val="22"/>
      <w:szCs w:val="22"/>
    </w:rPr>
  </w:style>
  <w:style w:type="paragraph" w:styleId="996">
    <w:name w:val="Heading 9"/>
    <w:basedOn w:val="987"/>
    <w:next w:val="987"/>
    <w:link w:val="1066"/>
    <w:uiPriority w:val="9"/>
    <w:unhideWhenUsed/>
    <w:qFormat/>
    <w:pPr>
      <w:keepLines/>
      <w:keepNext/>
      <w:spacing w:before="320" w:after="200"/>
      <w:outlineLvl w:val="8"/>
    </w:pPr>
    <w:rPr>
      <w:rFonts w:ascii="Arial" w:hAnsi="Arial" w:eastAsia="Arial" w:cs="Arial"/>
      <w:i/>
      <w:iCs/>
      <w:sz w:val="21"/>
      <w:szCs w:val="21"/>
    </w:rPr>
  </w:style>
  <w:style w:type="character" w:styleId="997" w:default="1">
    <w:name w:val="Default Paragraph Font"/>
    <w:uiPriority w:val="1"/>
    <w:semiHidden/>
    <w:unhideWhenUsed/>
    <w:qFormat/>
  </w:style>
  <w:style w:type="table" w:styleId="998" w:default="1">
    <w:name w:val="Normal Table"/>
    <w:uiPriority w:val="99"/>
    <w:semiHidden/>
    <w:unhideWhenUsed/>
    <w:qFormat/>
    <w:tblPr>
      <w:tblCellMar>
        <w:left w:w="108" w:type="dxa"/>
        <w:top w:w="0" w:type="dxa"/>
        <w:right w:w="108" w:type="dxa"/>
        <w:bottom w:w="0" w:type="dxa"/>
      </w:tblCellMar>
    </w:tblPr>
  </w:style>
  <w:style w:type="paragraph" w:styleId="999" w:customStyle="1">
    <w:name w:val="正文首行缩进11"/>
    <w:basedOn w:val="1000"/>
    <w:link w:val="1057"/>
    <w:uiPriority w:val="0"/>
    <w:qFormat/>
    <w:pPr>
      <w:ind w:firstLine="200"/>
      <w:spacing w:line="360" w:lineRule="auto"/>
    </w:pPr>
    <w:rPr>
      <w:rFonts w:ascii="仿宋_GB2312" w:hAnsi="Times New Roman" w:eastAsia="仿宋_GB2312"/>
      <w:sz w:val="30"/>
      <w:szCs w:val="30"/>
    </w:rPr>
  </w:style>
  <w:style w:type="paragraph" w:styleId="1000" w:customStyle="1">
    <w:name w:val="正文文本1"/>
    <w:basedOn w:val="987"/>
    <w:next w:val="987"/>
    <w:uiPriority w:val="0"/>
    <w:qFormat/>
    <w:rPr>
      <w:rFonts w:ascii="楷体_GB2312" w:hAnsi="Arial" w:eastAsia="楷体_GB2312"/>
      <w:sz w:val="28"/>
      <w:szCs w:val="28"/>
      <w:lang w:eastAsia="en-US"/>
    </w:rPr>
  </w:style>
  <w:style w:type="paragraph" w:styleId="1001">
    <w:name w:val="toc 7"/>
    <w:basedOn w:val="987"/>
    <w:next w:val="987"/>
    <w:uiPriority w:val="39"/>
    <w:unhideWhenUsed/>
    <w:qFormat/>
    <w:pPr>
      <w:ind w:left="1701" w:right="0" w:firstLine="0"/>
      <w:spacing w:after="57"/>
    </w:pPr>
  </w:style>
  <w:style w:type="paragraph" w:styleId="1002">
    <w:name w:val="Caption"/>
    <w:basedOn w:val="987"/>
    <w:next w:val="9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3">
    <w:name w:val="Body Text Indent"/>
    <w:basedOn w:val="987"/>
    <w:uiPriority w:val="0"/>
    <w:qFormat/>
    <w:pPr>
      <w:ind w:firstLine="403"/>
      <w:spacing w:line="440" w:lineRule="exact"/>
    </w:pPr>
    <w:rPr>
      <w:rFonts w:ascii="宋体" w:hAnsi="宋体"/>
      <w:sz w:val="20"/>
      <w:szCs w:val="21"/>
    </w:rPr>
  </w:style>
  <w:style w:type="paragraph" w:styleId="1004">
    <w:name w:val="toc 5"/>
    <w:basedOn w:val="987"/>
    <w:next w:val="987"/>
    <w:uiPriority w:val="39"/>
    <w:unhideWhenUsed/>
    <w:qFormat/>
    <w:pPr>
      <w:ind w:left="1134" w:right="0" w:firstLine="0"/>
      <w:spacing w:after="57"/>
    </w:pPr>
  </w:style>
  <w:style w:type="paragraph" w:styleId="1005">
    <w:name w:val="toc 3"/>
    <w:basedOn w:val="987"/>
    <w:next w:val="987"/>
    <w:uiPriority w:val="39"/>
    <w:unhideWhenUsed/>
    <w:qFormat/>
    <w:pPr>
      <w:ind w:left="567" w:right="0" w:firstLine="0"/>
      <w:spacing w:after="57"/>
    </w:pPr>
  </w:style>
  <w:style w:type="paragraph" w:styleId="1006">
    <w:name w:val="toc 8"/>
    <w:basedOn w:val="987"/>
    <w:next w:val="987"/>
    <w:uiPriority w:val="39"/>
    <w:unhideWhenUsed/>
    <w:qFormat/>
    <w:pPr>
      <w:ind w:left="1984" w:right="0" w:firstLine="0"/>
      <w:spacing w:after="57"/>
    </w:pPr>
  </w:style>
  <w:style w:type="paragraph" w:styleId="1007">
    <w:name w:val="endnote text"/>
    <w:basedOn w:val="987"/>
    <w:uiPriority w:val="99"/>
    <w:semiHidden/>
    <w:unhideWhenUsed/>
    <w:qFormat/>
    <w:pPr>
      <w:spacing w:after="0" w:line="240" w:lineRule="auto"/>
    </w:pPr>
    <w:rPr>
      <w:sz w:val="20"/>
    </w:rPr>
  </w:style>
  <w:style w:type="paragraph" w:styleId="1008">
    <w:name w:val="Footer"/>
    <w:basedOn w:val="987"/>
    <w:uiPriority w:val="99"/>
    <w:unhideWhenUsed/>
    <w:qFormat/>
    <w:pPr>
      <w:spacing w:after="0" w:line="240" w:lineRule="auto"/>
      <w:tabs>
        <w:tab w:val="center" w:pos="7143" w:leader="none"/>
        <w:tab w:val="right" w:pos="14287" w:leader="none"/>
      </w:tabs>
    </w:pPr>
  </w:style>
  <w:style w:type="paragraph" w:styleId="1009">
    <w:name w:val="Header"/>
    <w:basedOn w:val="987"/>
    <w:uiPriority w:val="99"/>
    <w:unhideWhenUsed/>
    <w:qFormat/>
    <w:pPr>
      <w:spacing w:after="0" w:line="240" w:lineRule="auto"/>
      <w:tabs>
        <w:tab w:val="center" w:pos="7143" w:leader="none"/>
        <w:tab w:val="right" w:pos="14287" w:leader="none"/>
      </w:tabs>
    </w:pPr>
  </w:style>
  <w:style w:type="paragraph" w:styleId="1010">
    <w:name w:val="toc 1"/>
    <w:basedOn w:val="987"/>
    <w:next w:val="987"/>
    <w:uiPriority w:val="39"/>
    <w:unhideWhenUsed/>
    <w:qFormat/>
    <w:pPr>
      <w:ind w:left="0" w:right="0" w:firstLine="0"/>
      <w:spacing w:after="57"/>
    </w:pPr>
  </w:style>
  <w:style w:type="paragraph" w:styleId="1011">
    <w:name w:val="toc 4"/>
    <w:basedOn w:val="987"/>
    <w:next w:val="987"/>
    <w:uiPriority w:val="39"/>
    <w:unhideWhenUsed/>
    <w:qFormat/>
    <w:pPr>
      <w:ind w:left="850" w:right="0" w:firstLine="0"/>
      <w:spacing w:after="57"/>
    </w:pPr>
  </w:style>
  <w:style w:type="paragraph" w:styleId="1012">
    <w:name w:val="Subtitle"/>
    <w:basedOn w:val="987"/>
    <w:next w:val="987"/>
    <w:uiPriority w:val="11"/>
    <w:qFormat/>
    <w:pPr>
      <w:spacing w:before="200" w:after="200"/>
    </w:pPr>
    <w:rPr>
      <w:sz w:val="24"/>
      <w:szCs w:val="24"/>
    </w:rPr>
  </w:style>
  <w:style w:type="paragraph" w:styleId="1013">
    <w:name w:val="footnote text"/>
    <w:basedOn w:val="987"/>
    <w:uiPriority w:val="99"/>
    <w:semiHidden/>
    <w:unhideWhenUsed/>
    <w:qFormat/>
    <w:pPr>
      <w:spacing w:after="40" w:line="240" w:lineRule="auto"/>
    </w:pPr>
    <w:rPr>
      <w:sz w:val="18"/>
    </w:rPr>
  </w:style>
  <w:style w:type="paragraph" w:styleId="1014">
    <w:name w:val="toc 6"/>
    <w:basedOn w:val="987"/>
    <w:next w:val="987"/>
    <w:uiPriority w:val="39"/>
    <w:unhideWhenUsed/>
    <w:qFormat/>
    <w:pPr>
      <w:ind w:left="1417" w:right="0" w:firstLine="0"/>
      <w:spacing w:after="57"/>
    </w:pPr>
  </w:style>
  <w:style w:type="paragraph" w:styleId="1015">
    <w:name w:val="table of figures"/>
    <w:basedOn w:val="987"/>
    <w:next w:val="987"/>
    <w:uiPriority w:val="99"/>
    <w:unhideWhenUsed/>
    <w:qFormat/>
    <w:pPr>
      <w:spacing w:after="0" w:afterAutospacing="0"/>
    </w:pPr>
  </w:style>
  <w:style w:type="paragraph" w:styleId="1016">
    <w:name w:val="toc 2"/>
    <w:basedOn w:val="987"/>
    <w:next w:val="987"/>
    <w:uiPriority w:val="39"/>
    <w:unhideWhenUsed/>
    <w:qFormat/>
    <w:pPr>
      <w:ind w:left="283" w:right="0" w:firstLine="0"/>
      <w:spacing w:after="57"/>
    </w:pPr>
  </w:style>
  <w:style w:type="paragraph" w:styleId="1017">
    <w:name w:val="toc 9"/>
    <w:basedOn w:val="987"/>
    <w:next w:val="987"/>
    <w:uiPriority w:val="39"/>
    <w:unhideWhenUsed/>
    <w:qFormat/>
    <w:pPr>
      <w:ind w:left="2268" w:right="0" w:firstLine="0"/>
      <w:spacing w:after="57"/>
    </w:pPr>
  </w:style>
  <w:style w:type="paragraph" w:styleId="1018">
    <w:name w:val="Normal (Web)"/>
    <w:basedOn w:val="987"/>
    <w:uiPriority w:val="0"/>
    <w:qFormat/>
    <w:pPr>
      <w:jc w:val="left"/>
      <w:spacing w:beforeAutospacing="1" w:afterAutospacing="1"/>
    </w:pPr>
    <w:rPr>
      <w:sz w:val="24"/>
    </w:rPr>
  </w:style>
  <w:style w:type="paragraph" w:styleId="1019">
    <w:name w:val="Title"/>
    <w:basedOn w:val="987"/>
    <w:next w:val="987"/>
    <w:uiPriority w:val="10"/>
    <w:qFormat/>
    <w:pPr>
      <w:contextualSpacing/>
      <w:spacing w:before="300" w:after="200"/>
    </w:pPr>
    <w:rPr>
      <w:sz w:val="48"/>
      <w:szCs w:val="48"/>
    </w:rPr>
  </w:style>
  <w:style w:type="table" w:styleId="10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1">
    <w:name w:val="endnote reference"/>
    <w:uiPriority w:val="99"/>
    <w:semiHidden/>
    <w:unhideWhenUsed/>
    <w:qFormat/>
    <w:rPr>
      <w:vertAlign w:val="superscript"/>
    </w:rPr>
  </w:style>
  <w:style w:type="character" w:styleId="1022">
    <w:name w:val="Emphasis"/>
    <w:uiPriority w:val="0"/>
    <w:qFormat/>
    <w:rPr>
      <w:i/>
    </w:rPr>
  </w:style>
  <w:style w:type="character" w:styleId="1023">
    <w:name w:val="Hyperlink"/>
    <w:uiPriority w:val="99"/>
    <w:unhideWhenUsed/>
    <w:qFormat/>
    <w:rPr>
      <w:color w:val="0000ff" w:themeColor="hyperlink"/>
      <w:u w:val="single"/>
      <w14:textFill>
        <w14:solidFill>
          <w14:schemeClr w14:val="hlink"/>
        </w14:solidFill>
      </w14:textFill>
    </w:rPr>
  </w:style>
  <w:style w:type="character" w:styleId="1024">
    <w:name w:val="footnote reference"/>
    <w:uiPriority w:val="99"/>
    <w:unhideWhenUsed/>
    <w:qFormat/>
    <w:rPr>
      <w:vertAlign w:val="superscript"/>
    </w:rPr>
  </w:style>
  <w:style w:type="paragraph" w:styleId="1025" w:customStyle="1">
    <w:name w:val="正文首行缩进 21"/>
    <w:basedOn w:val="1026"/>
    <w:link w:val="1269"/>
    <w:uiPriority w:val="0"/>
    <w:qFormat/>
    <w:pPr>
      <w:ind w:left="0" w:firstLine="420"/>
      <w:spacing w:after="0" w:line="360" w:lineRule="auto"/>
    </w:pPr>
    <w:rPr>
      <w:rFonts w:ascii="宋体" w:hAnsi="宋体"/>
      <w:sz w:val="20"/>
      <w:szCs w:val="20"/>
    </w:rPr>
  </w:style>
  <w:style w:type="paragraph" w:styleId="1026" w:customStyle="1">
    <w:name w:val="正文文本缩进1"/>
    <w:basedOn w:val="987"/>
    <w:next w:val="1025"/>
    <w:link w:val="1237"/>
    <w:uiPriority w:val="99"/>
    <w:unhideWhenUsed/>
    <w:qFormat/>
    <w:pPr>
      <w:ind w:left="420"/>
      <w:spacing w:after="120"/>
    </w:pPr>
  </w:style>
  <w:style w:type="paragraph" w:styleId="1027" w:customStyle="1">
    <w:name w:val="标题 111"/>
    <w:basedOn w:val="987"/>
    <w:next w:val="987"/>
    <w:uiPriority w:val="0"/>
    <w:qFormat/>
    <w:pPr>
      <w:numPr>
        <w:ilvl w:val="0"/>
        <w:numId w:val="1"/>
      </w:numPr>
      <w:jc w:val="left"/>
      <w:keepLines/>
      <w:keepNext/>
      <w:outlineLvl w:val="0"/>
    </w:pPr>
    <w:rPr>
      <w:b/>
      <w:bCs/>
      <w:sz w:val="32"/>
      <w:szCs w:val="32"/>
    </w:rPr>
  </w:style>
  <w:style w:type="character" w:styleId="1028" w:customStyle="1">
    <w:name w:val="默认段落字体11"/>
    <w:link w:val="987"/>
    <w:uiPriority w:val="1"/>
    <w:unhideWhenUsed/>
    <w:qFormat/>
  </w:style>
  <w:style w:type="table" w:styleId="1029" w:customStyle="1">
    <w:name w:val="普通表格11"/>
    <w:uiPriority w:val="99"/>
    <w:unhideWhenUsed/>
    <w:qFormat/>
    <w:tblPr/>
  </w:style>
  <w:style w:type="paragraph" w:styleId="1030" w:customStyle="1">
    <w:name w:val="目录 711"/>
    <w:basedOn w:val="987"/>
    <w:next w:val="987"/>
    <w:uiPriority w:val="39"/>
    <w:unhideWhenUsed/>
    <w:qFormat/>
    <w:pPr>
      <w:ind w:left="1701" w:right="0" w:firstLine="0"/>
      <w:spacing w:after="57"/>
    </w:pPr>
  </w:style>
  <w:style w:type="paragraph" w:styleId="1031" w:customStyle="1">
    <w:name w:val="正文文本1111"/>
    <w:basedOn w:val="987"/>
    <w:next w:val="987"/>
    <w:uiPriority w:val="0"/>
    <w:qFormat/>
    <w:rPr>
      <w:rFonts w:ascii="楷体_GB2312" w:hAnsi="Arial" w:eastAsia="楷体_GB2312"/>
      <w:sz w:val="28"/>
      <w:szCs w:val="28"/>
    </w:rPr>
  </w:style>
  <w:style w:type="paragraph" w:styleId="1032" w:customStyle="1">
    <w:name w:val="目录 511"/>
    <w:basedOn w:val="987"/>
    <w:next w:val="987"/>
    <w:uiPriority w:val="39"/>
    <w:unhideWhenUsed/>
    <w:qFormat/>
    <w:pPr>
      <w:ind w:left="1134" w:right="0" w:firstLine="0"/>
      <w:spacing w:after="57"/>
    </w:pPr>
  </w:style>
  <w:style w:type="paragraph" w:styleId="1033" w:customStyle="1">
    <w:name w:val="目录 311"/>
    <w:basedOn w:val="987"/>
    <w:next w:val="987"/>
    <w:uiPriority w:val="39"/>
    <w:unhideWhenUsed/>
    <w:qFormat/>
    <w:pPr>
      <w:ind w:left="567" w:right="0" w:firstLine="0"/>
      <w:spacing w:after="57"/>
    </w:pPr>
  </w:style>
  <w:style w:type="paragraph" w:styleId="1034" w:customStyle="1">
    <w:name w:val="纯文本11"/>
    <w:basedOn w:val="987"/>
    <w:uiPriority w:val="0"/>
    <w:qFormat/>
    <w:rPr>
      <w:rFonts w:ascii="宋体" w:hAnsi="Courier New"/>
    </w:rPr>
  </w:style>
  <w:style w:type="paragraph" w:styleId="1035" w:customStyle="1">
    <w:name w:val="目录 811"/>
    <w:basedOn w:val="987"/>
    <w:next w:val="987"/>
    <w:uiPriority w:val="39"/>
    <w:unhideWhenUsed/>
    <w:qFormat/>
    <w:pPr>
      <w:ind w:left="1984" w:right="0" w:firstLine="0"/>
      <w:spacing w:after="57"/>
    </w:pPr>
  </w:style>
  <w:style w:type="paragraph" w:styleId="1036" w:customStyle="1">
    <w:name w:val="正文文本缩进 211"/>
    <w:basedOn w:val="987"/>
    <w:uiPriority w:val="0"/>
    <w:qFormat/>
    <w:pPr>
      <w:ind w:firstLine="502"/>
      <w:spacing w:line="360" w:lineRule="auto"/>
      <w:tabs>
        <w:tab w:val="left" w:pos="0" w:leader="none"/>
      </w:tabs>
    </w:pPr>
    <w:rPr>
      <w:rFonts w:ascii="宋体" w:eastAsia="宋体"/>
      <w:b/>
      <w:bCs/>
      <w:sz w:val="24"/>
    </w:rPr>
  </w:style>
  <w:style w:type="paragraph" w:styleId="1037" w:customStyle="1">
    <w:name w:val="尾注文本1"/>
    <w:basedOn w:val="987"/>
    <w:link w:val="1038"/>
    <w:uiPriority w:val="99"/>
    <w:unhideWhenUsed/>
    <w:qFormat/>
    <w:pPr>
      <w:spacing w:after="0" w:line="240" w:lineRule="auto"/>
    </w:pPr>
    <w:rPr>
      <w:sz w:val="20"/>
    </w:rPr>
  </w:style>
  <w:style w:type="character" w:styleId="1038" w:customStyle="1">
    <w:name w:val="Endnote Text Char"/>
    <w:link w:val="1037"/>
    <w:uiPriority w:val="99"/>
    <w:qFormat/>
    <w:rPr>
      <w:sz w:val="20"/>
    </w:rPr>
  </w:style>
  <w:style w:type="paragraph" w:styleId="1039" w:customStyle="1">
    <w:name w:val="目录 111"/>
    <w:basedOn w:val="987"/>
    <w:next w:val="987"/>
    <w:uiPriority w:val="39"/>
    <w:unhideWhenUsed/>
    <w:qFormat/>
    <w:pPr>
      <w:ind w:left="0" w:right="0" w:firstLine="0"/>
      <w:spacing w:after="57"/>
    </w:pPr>
  </w:style>
  <w:style w:type="paragraph" w:styleId="1040" w:customStyle="1">
    <w:name w:val="目录 411"/>
    <w:basedOn w:val="987"/>
    <w:next w:val="987"/>
    <w:uiPriority w:val="39"/>
    <w:unhideWhenUsed/>
    <w:qFormat/>
    <w:pPr>
      <w:ind w:left="850" w:right="0" w:firstLine="0"/>
      <w:spacing w:after="57"/>
    </w:pPr>
  </w:style>
  <w:style w:type="paragraph" w:styleId="1041" w:customStyle="1">
    <w:name w:val="副标题1"/>
    <w:basedOn w:val="987"/>
    <w:next w:val="987"/>
    <w:link w:val="1042"/>
    <w:uiPriority w:val="11"/>
    <w:qFormat/>
    <w:pPr>
      <w:spacing w:before="200" w:after="200"/>
    </w:pPr>
    <w:rPr>
      <w:sz w:val="24"/>
      <w:szCs w:val="24"/>
    </w:rPr>
  </w:style>
  <w:style w:type="character" w:styleId="1042" w:customStyle="1">
    <w:name w:val="Subtitle Char"/>
    <w:link w:val="1041"/>
    <w:uiPriority w:val="11"/>
    <w:qFormat/>
    <w:rPr>
      <w:sz w:val="24"/>
      <w:szCs w:val="24"/>
    </w:rPr>
  </w:style>
  <w:style w:type="paragraph" w:styleId="1043" w:customStyle="1">
    <w:name w:val="脚注文本1"/>
    <w:basedOn w:val="987"/>
    <w:link w:val="1044"/>
    <w:uiPriority w:val="99"/>
    <w:unhideWhenUsed/>
    <w:qFormat/>
    <w:pPr>
      <w:spacing w:after="40" w:line="240" w:lineRule="auto"/>
    </w:pPr>
    <w:rPr>
      <w:sz w:val="18"/>
    </w:rPr>
  </w:style>
  <w:style w:type="character" w:styleId="1044" w:customStyle="1">
    <w:name w:val="Footnote Text Char"/>
    <w:link w:val="1043"/>
    <w:uiPriority w:val="99"/>
    <w:qFormat/>
    <w:rPr>
      <w:sz w:val="18"/>
    </w:rPr>
  </w:style>
  <w:style w:type="paragraph" w:styleId="1045" w:customStyle="1">
    <w:name w:val="目录 611"/>
    <w:basedOn w:val="987"/>
    <w:next w:val="987"/>
    <w:uiPriority w:val="39"/>
    <w:unhideWhenUsed/>
    <w:qFormat/>
    <w:pPr>
      <w:ind w:left="1417" w:right="0" w:firstLine="0"/>
      <w:spacing w:after="57"/>
    </w:pPr>
  </w:style>
  <w:style w:type="paragraph" w:styleId="1046" w:customStyle="1">
    <w:name w:val="图表目录11"/>
    <w:basedOn w:val="987"/>
    <w:next w:val="987"/>
    <w:uiPriority w:val="99"/>
    <w:unhideWhenUsed/>
    <w:qFormat/>
    <w:pPr>
      <w:spacing w:after="0" w:afterAutospacing="0"/>
    </w:pPr>
  </w:style>
  <w:style w:type="paragraph" w:styleId="1047" w:customStyle="1">
    <w:name w:val="目录 211"/>
    <w:basedOn w:val="987"/>
    <w:next w:val="987"/>
    <w:uiPriority w:val="39"/>
    <w:unhideWhenUsed/>
    <w:qFormat/>
    <w:pPr>
      <w:ind w:left="283" w:right="0" w:firstLine="0"/>
      <w:spacing w:after="57"/>
    </w:pPr>
  </w:style>
  <w:style w:type="paragraph" w:styleId="1048" w:customStyle="1">
    <w:name w:val="目录 911"/>
    <w:basedOn w:val="987"/>
    <w:next w:val="987"/>
    <w:uiPriority w:val="39"/>
    <w:unhideWhenUsed/>
    <w:qFormat/>
    <w:pPr>
      <w:ind w:left="2268" w:right="0" w:firstLine="0"/>
      <w:spacing w:after="57"/>
    </w:pPr>
  </w:style>
  <w:style w:type="paragraph" w:styleId="1049" w:customStyle="1">
    <w:name w:val="普通(网站)11"/>
    <w:basedOn w:val="987"/>
    <w:uiPriority w:val="0"/>
    <w:qFormat/>
    <w:pPr>
      <w:jc w:val="left"/>
      <w:spacing w:before="100" w:beforeAutospacing="1" w:after="100" w:afterAutospacing="1" w:line="360" w:lineRule="auto"/>
      <w:widowControl/>
    </w:pPr>
    <w:rPr>
      <w:rFonts w:hint="eastAsia" w:ascii="宋体" w:hAnsi="宋体"/>
      <w:sz w:val="18"/>
      <w:szCs w:val="18"/>
    </w:rPr>
  </w:style>
  <w:style w:type="paragraph" w:styleId="1050" w:customStyle="1">
    <w:name w:val="标题11"/>
    <w:basedOn w:val="987"/>
    <w:next w:val="987"/>
    <w:link w:val="1051"/>
    <w:uiPriority w:val="10"/>
    <w:qFormat/>
    <w:pPr>
      <w:contextualSpacing/>
      <w:spacing w:before="300" w:after="200"/>
    </w:pPr>
    <w:rPr>
      <w:sz w:val="48"/>
      <w:szCs w:val="48"/>
    </w:rPr>
  </w:style>
  <w:style w:type="character" w:styleId="1051" w:customStyle="1">
    <w:name w:val="Title Char"/>
    <w:link w:val="1050"/>
    <w:uiPriority w:val="10"/>
    <w:qFormat/>
    <w:rPr>
      <w:sz w:val="48"/>
      <w:szCs w:val="48"/>
    </w:rPr>
  </w:style>
  <w:style w:type="paragraph" w:styleId="1052" w:customStyle="1">
    <w:name w:val="正文首行缩进121"/>
    <w:basedOn w:val="1031"/>
    <w:uiPriority w:val="0"/>
    <w:qFormat/>
    <w:pPr>
      <w:ind w:firstLine="200"/>
      <w:spacing w:line="360" w:lineRule="auto"/>
    </w:pPr>
    <w:rPr>
      <w:rFonts w:ascii="仿宋_GB2312" w:hAnsi="Times New Roman" w:eastAsia="仿宋_GB2312"/>
      <w:sz w:val="30"/>
      <w:szCs w:val="30"/>
    </w:rPr>
  </w:style>
  <w:style w:type="table" w:styleId="1053" w:customStyle="1">
    <w:name w:val="网格型11"/>
    <w:uiPriority w:val="59"/>
    <w:qFormat/>
    <w:pPr>
      <w:spacing w:after="0" w:line="240" w:lineRule="auto"/>
    </w:pPr>
    <w:tblPr/>
  </w:style>
  <w:style w:type="character" w:styleId="1054" w:customStyle="1">
    <w:name w:val="尾注引用1"/>
    <w:link w:val="987"/>
    <w:uiPriority w:val="99"/>
    <w:unhideWhenUsed/>
    <w:qFormat/>
    <w:rPr>
      <w:vertAlign w:val="superscript"/>
    </w:rPr>
  </w:style>
  <w:style w:type="character" w:styleId="1055" w:customStyle="1">
    <w:name w:val="超链接12"/>
    <w:basedOn w:val="1028"/>
    <w:link w:val="987"/>
    <w:uiPriority w:val="99"/>
    <w:unhideWhenUsed/>
    <w:qFormat/>
    <w:rPr>
      <w:color w:val="0000ff"/>
      <w:u w:val="single"/>
    </w:rPr>
  </w:style>
  <w:style w:type="character" w:styleId="1056" w:customStyle="1">
    <w:name w:val="脚注引用1"/>
    <w:link w:val="987"/>
    <w:uiPriority w:val="99"/>
    <w:unhideWhenUsed/>
    <w:qFormat/>
    <w:rPr>
      <w:vertAlign w:val="superscript"/>
    </w:rPr>
  </w:style>
  <w:style w:type="character" w:styleId="1057" w:customStyle="1">
    <w:name w:val="正文首行缩进 字符"/>
    <w:link w:val="999"/>
    <w:uiPriority w:val="0"/>
    <w:qFormat/>
    <w:rPr>
      <w:rFonts w:ascii="仿宋_GB2312" w:hAnsi="Times New Roman" w:eastAsia="仿宋_GB2312" w:cs="Times New Roman"/>
      <w:sz w:val="30"/>
      <w:szCs w:val="30"/>
    </w:rPr>
  </w:style>
  <w:style w:type="character" w:styleId="1058" w:customStyle="1">
    <w:name w:val="Heading 1 Char"/>
    <w:link w:val="988"/>
    <w:uiPriority w:val="9"/>
    <w:qFormat/>
    <w:rPr>
      <w:rFonts w:ascii="Arial" w:hAnsi="Arial" w:eastAsia="Arial" w:cs="Arial"/>
      <w:sz w:val="40"/>
      <w:szCs w:val="40"/>
    </w:rPr>
  </w:style>
  <w:style w:type="character" w:styleId="1059" w:customStyle="1">
    <w:name w:val="Heading 2 Char"/>
    <w:link w:val="989"/>
    <w:uiPriority w:val="9"/>
    <w:qFormat/>
    <w:rPr>
      <w:rFonts w:ascii="Arial" w:hAnsi="Arial" w:eastAsia="Arial" w:cs="Arial"/>
      <w:sz w:val="34"/>
    </w:rPr>
  </w:style>
  <w:style w:type="character" w:styleId="1060" w:customStyle="1">
    <w:name w:val="Heading 3 Char"/>
    <w:link w:val="990"/>
    <w:uiPriority w:val="9"/>
    <w:qFormat/>
    <w:rPr>
      <w:rFonts w:ascii="Arial" w:hAnsi="Arial" w:eastAsia="Arial" w:cs="Arial"/>
      <w:sz w:val="30"/>
      <w:szCs w:val="30"/>
    </w:rPr>
  </w:style>
  <w:style w:type="character" w:styleId="1061" w:customStyle="1">
    <w:name w:val="Heading 4 Char"/>
    <w:link w:val="991"/>
    <w:uiPriority w:val="9"/>
    <w:qFormat/>
    <w:rPr>
      <w:rFonts w:ascii="Arial" w:hAnsi="Arial" w:eastAsia="Arial" w:cs="Arial"/>
      <w:b/>
      <w:bCs/>
      <w:sz w:val="26"/>
      <w:szCs w:val="26"/>
    </w:rPr>
  </w:style>
  <w:style w:type="character" w:styleId="1062" w:customStyle="1">
    <w:name w:val="Heading 5 Char"/>
    <w:link w:val="992"/>
    <w:uiPriority w:val="9"/>
    <w:qFormat/>
    <w:rPr>
      <w:rFonts w:ascii="Arial" w:hAnsi="Arial" w:eastAsia="Arial" w:cs="Arial"/>
      <w:b/>
      <w:bCs/>
      <w:sz w:val="24"/>
      <w:szCs w:val="24"/>
    </w:rPr>
  </w:style>
  <w:style w:type="character" w:styleId="1063" w:customStyle="1">
    <w:name w:val="Heading 6 Char"/>
    <w:link w:val="993"/>
    <w:uiPriority w:val="9"/>
    <w:qFormat/>
    <w:rPr>
      <w:rFonts w:ascii="Arial" w:hAnsi="Arial" w:eastAsia="Arial" w:cs="Arial"/>
      <w:b/>
      <w:bCs/>
      <w:sz w:val="22"/>
      <w:szCs w:val="22"/>
    </w:rPr>
  </w:style>
  <w:style w:type="character" w:styleId="1064" w:customStyle="1">
    <w:name w:val="Heading 7 Char"/>
    <w:link w:val="994"/>
    <w:uiPriority w:val="9"/>
    <w:qFormat/>
    <w:rPr>
      <w:rFonts w:ascii="Arial" w:hAnsi="Arial" w:eastAsia="Arial" w:cs="Arial"/>
      <w:b/>
      <w:bCs/>
      <w:i/>
      <w:iCs/>
      <w:sz w:val="22"/>
      <w:szCs w:val="22"/>
    </w:rPr>
  </w:style>
  <w:style w:type="character" w:styleId="1065" w:customStyle="1">
    <w:name w:val="Heading 8 Char"/>
    <w:link w:val="995"/>
    <w:uiPriority w:val="9"/>
    <w:qFormat/>
    <w:rPr>
      <w:rFonts w:ascii="Arial" w:hAnsi="Arial" w:eastAsia="Arial" w:cs="Arial"/>
      <w:i/>
      <w:iCs/>
      <w:sz w:val="22"/>
      <w:szCs w:val="22"/>
    </w:rPr>
  </w:style>
  <w:style w:type="character" w:styleId="1066" w:customStyle="1">
    <w:name w:val="Heading 9 Char"/>
    <w:link w:val="996"/>
    <w:uiPriority w:val="9"/>
    <w:qFormat/>
    <w:rPr>
      <w:rFonts w:ascii="Arial" w:hAnsi="Arial" w:eastAsia="Arial" w:cs="Arial"/>
      <w:i/>
      <w:iCs/>
      <w:sz w:val="21"/>
      <w:szCs w:val="21"/>
    </w:rPr>
  </w:style>
  <w:style w:type="paragraph" w:styleId="1067" w:customStyle="1">
    <w:name w:val="Caption1"/>
    <w:basedOn w:val="987"/>
    <w:next w:val="987"/>
    <w:uiPriority w:val="35"/>
    <w:unhideWhenUsed/>
    <w:qFormat/>
    <w:pPr>
      <w:spacing w:line="276" w:lineRule="auto"/>
    </w:pPr>
    <w:rPr>
      <w:b/>
      <w:bCs/>
      <w:color w:val="4f81bd"/>
      <w:sz w:val="18"/>
      <w:szCs w:val="18"/>
    </w:rPr>
  </w:style>
  <w:style w:type="paragraph" w:styleId="1068" w:customStyle="1">
    <w:name w:val="Footer1"/>
    <w:basedOn w:val="987"/>
    <w:link w:val="1070"/>
    <w:uiPriority w:val="99"/>
    <w:unhideWhenUsed/>
    <w:qFormat/>
    <w:pPr>
      <w:spacing w:after="0" w:line="240" w:lineRule="auto"/>
      <w:tabs>
        <w:tab w:val="center" w:pos="7143" w:leader="none"/>
        <w:tab w:val="right" w:pos="14287" w:leader="none"/>
      </w:tabs>
    </w:pPr>
  </w:style>
  <w:style w:type="character" w:styleId="1069" w:customStyle="1">
    <w:name w:val="Footer Char"/>
    <w:link w:val="1068"/>
    <w:uiPriority w:val="99"/>
    <w:qFormat/>
  </w:style>
  <w:style w:type="character" w:styleId="1070" w:customStyle="1">
    <w:name w:val="Caption Char"/>
    <w:link w:val="1068"/>
    <w:uiPriority w:val="99"/>
    <w:qFormat/>
  </w:style>
  <w:style w:type="paragraph" w:styleId="1071" w:customStyle="1">
    <w:name w:val="Header1"/>
    <w:basedOn w:val="987"/>
    <w:link w:val="1072"/>
    <w:uiPriority w:val="99"/>
    <w:unhideWhenUsed/>
    <w:qFormat/>
    <w:pPr>
      <w:spacing w:after="0" w:line="240" w:lineRule="auto"/>
      <w:tabs>
        <w:tab w:val="center" w:pos="7143" w:leader="none"/>
        <w:tab w:val="right" w:pos="14287" w:leader="none"/>
      </w:tabs>
    </w:pPr>
  </w:style>
  <w:style w:type="character" w:styleId="1072" w:customStyle="1">
    <w:name w:val="Header Char"/>
    <w:link w:val="1071"/>
    <w:uiPriority w:val="99"/>
    <w:qFormat/>
  </w:style>
  <w:style w:type="paragraph" w:styleId="1073" w:customStyle="1">
    <w:name w:val="正文文本11"/>
    <w:basedOn w:val="987"/>
    <w:next w:val="987"/>
    <w:link w:val="1074"/>
    <w:uiPriority w:val="0"/>
    <w:qFormat/>
    <w:rPr>
      <w:rFonts w:ascii="楷体_GB2312" w:hAnsi="Arial" w:eastAsia="楷体_GB2312"/>
      <w:sz w:val="28"/>
      <w:szCs w:val="28"/>
    </w:rPr>
  </w:style>
  <w:style w:type="character" w:styleId="1074" w:customStyle="1">
    <w:name w:val="正文文本 字符"/>
    <w:link w:val="1073"/>
    <w:uiPriority w:val="0"/>
    <w:qFormat/>
    <w:rPr>
      <w:rFonts w:ascii="楷体_GB2312" w:hAnsi="Arial" w:eastAsia="楷体_GB2312" w:cs="Times New Roman"/>
      <w:sz w:val="28"/>
      <w:szCs w:val="28"/>
    </w:rPr>
  </w:style>
  <w:style w:type="paragraph" w:styleId="1075">
    <w:name w:val="List Paragraph"/>
    <w:basedOn w:val="987"/>
    <w:uiPriority w:val="34"/>
    <w:qFormat/>
    <w:pPr>
      <w:contextualSpacing/>
      <w:ind w:left="720"/>
    </w:pPr>
  </w:style>
  <w:style w:type="paragraph" w:styleId="1076">
    <w:name w:val="No Spacing"/>
    <w:uiPriority w:val="1"/>
    <w:qFormat/>
    <w:pPr>
      <w:spacing w:before="0" w:after="0" w:line="240" w:lineRule="auto"/>
    </w:pPr>
    <w:rPr>
      <w:rFonts w:hint="default" w:ascii="Times New Roman" w:hAnsi="Times New Roman" w:eastAsia="宋体" w:cs="Times New Roman"/>
    </w:rPr>
  </w:style>
  <w:style w:type="paragraph" w:styleId="1077">
    <w:name w:val="Quote"/>
    <w:basedOn w:val="987"/>
    <w:next w:val="987"/>
    <w:link w:val="1078"/>
    <w:uiPriority w:val="29"/>
    <w:qFormat/>
    <w:pPr>
      <w:ind w:left="720" w:right="720"/>
    </w:pPr>
    <w:rPr>
      <w:i/>
    </w:rPr>
  </w:style>
  <w:style w:type="character" w:styleId="1078" w:customStyle="1">
    <w:name w:val="Quote Char"/>
    <w:link w:val="1077"/>
    <w:uiPriority w:val="29"/>
    <w:qFormat/>
    <w:rPr>
      <w:i/>
    </w:rPr>
  </w:style>
  <w:style w:type="paragraph" w:styleId="1079">
    <w:name w:val="Intense Quote"/>
    <w:basedOn w:val="987"/>
    <w:next w:val="987"/>
    <w:link w:val="10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0" w:customStyle="1">
    <w:name w:val="Intense Quote Char"/>
    <w:link w:val="1079"/>
    <w:uiPriority w:val="30"/>
    <w:qFormat/>
    <w:rPr>
      <w:i/>
    </w:rPr>
  </w:style>
  <w:style w:type="table" w:styleId="1081" w:customStyle="1">
    <w:name w:val="Table Grid Light"/>
    <w:uiPriority w:val="59"/>
    <w:qFormat/>
    <w:pPr>
      <w:spacing w:after="0" w:line="240" w:lineRule="auto"/>
    </w:pPr>
    <w:tblPr/>
  </w:style>
  <w:style w:type="table" w:styleId="1082" w:customStyle="1">
    <w:name w:val="Plain Table 1"/>
    <w:uiPriority w:val="59"/>
    <w:qFormat/>
    <w:pPr>
      <w:spacing w:after="0" w:line="240" w:lineRule="auto"/>
    </w:pPr>
    <w:tblPr/>
  </w:style>
  <w:style w:type="table" w:styleId="1083" w:customStyle="1">
    <w:name w:val="Plain Table 2"/>
    <w:uiPriority w:val="59"/>
    <w:qFormat/>
    <w:pPr>
      <w:spacing w:after="0" w:line="240" w:lineRule="auto"/>
    </w:pPr>
    <w:tblPr/>
  </w:style>
  <w:style w:type="table" w:styleId="1084" w:customStyle="1">
    <w:name w:val="Plain Table 3"/>
    <w:uiPriority w:val="99"/>
    <w:qFormat/>
    <w:pPr>
      <w:spacing w:after="0" w:line="240" w:lineRule="auto"/>
    </w:pPr>
    <w:tblPr/>
  </w:style>
  <w:style w:type="table" w:styleId="1085" w:customStyle="1">
    <w:name w:val="Plain Table 4"/>
    <w:uiPriority w:val="99"/>
    <w:qFormat/>
    <w:pPr>
      <w:spacing w:after="0" w:line="240" w:lineRule="auto"/>
    </w:pPr>
    <w:tblPr/>
  </w:style>
  <w:style w:type="table" w:styleId="1086" w:customStyle="1">
    <w:name w:val="Plain Table 5"/>
    <w:uiPriority w:val="99"/>
    <w:qFormat/>
    <w:pPr>
      <w:spacing w:after="0" w:line="240" w:lineRule="auto"/>
    </w:pPr>
    <w:tblPr/>
  </w:style>
  <w:style w:type="table" w:styleId="1087" w:customStyle="1">
    <w:name w:val="Grid Table 1 Light"/>
    <w:uiPriority w:val="99"/>
    <w:qFormat/>
    <w:pPr>
      <w:spacing w:after="0" w:line="240" w:lineRule="auto"/>
    </w:pPr>
    <w:tblPr/>
  </w:style>
  <w:style w:type="table" w:styleId="1088" w:customStyle="1">
    <w:name w:val="Grid Table 1 Light - Accent 1"/>
    <w:uiPriority w:val="99"/>
    <w:qFormat/>
    <w:pPr>
      <w:spacing w:after="0" w:line="240" w:lineRule="auto"/>
    </w:pPr>
    <w:tblPr/>
  </w:style>
  <w:style w:type="table" w:styleId="1089" w:customStyle="1">
    <w:name w:val="Grid Table 1 Light - Accent 2"/>
    <w:uiPriority w:val="99"/>
    <w:qFormat/>
    <w:pPr>
      <w:spacing w:after="0" w:line="240" w:lineRule="auto"/>
    </w:pPr>
    <w:tblPr/>
  </w:style>
  <w:style w:type="table" w:styleId="1090" w:customStyle="1">
    <w:name w:val="Grid Table 1 Light - Accent 3"/>
    <w:uiPriority w:val="99"/>
    <w:qFormat/>
    <w:pPr>
      <w:spacing w:after="0" w:line="240" w:lineRule="auto"/>
    </w:pPr>
    <w:tblPr/>
  </w:style>
  <w:style w:type="table" w:styleId="1091" w:customStyle="1">
    <w:name w:val="Grid Table 1 Light - Accent 4"/>
    <w:uiPriority w:val="99"/>
    <w:qFormat/>
    <w:pPr>
      <w:spacing w:after="0" w:line="240" w:lineRule="auto"/>
    </w:pPr>
    <w:tblPr/>
  </w:style>
  <w:style w:type="table" w:styleId="1092" w:customStyle="1">
    <w:name w:val="Grid Table 1 Light - Accent 5"/>
    <w:uiPriority w:val="99"/>
    <w:qFormat/>
    <w:pPr>
      <w:spacing w:after="0" w:line="240" w:lineRule="auto"/>
    </w:pPr>
    <w:tblPr/>
  </w:style>
  <w:style w:type="table" w:styleId="1093" w:customStyle="1">
    <w:name w:val="Grid Table 1 Light - Accent 6"/>
    <w:uiPriority w:val="99"/>
    <w:qFormat/>
    <w:pPr>
      <w:spacing w:after="0" w:line="240" w:lineRule="auto"/>
    </w:pPr>
    <w:tblPr/>
  </w:style>
  <w:style w:type="table" w:styleId="1094" w:customStyle="1">
    <w:name w:val="Grid Table 2"/>
    <w:uiPriority w:val="99"/>
    <w:qFormat/>
    <w:pPr>
      <w:spacing w:after="0" w:line="240" w:lineRule="auto"/>
    </w:pPr>
    <w:tblPr/>
  </w:style>
  <w:style w:type="table" w:styleId="1095" w:customStyle="1">
    <w:name w:val="Grid Table 2 - Accent 1"/>
    <w:uiPriority w:val="99"/>
    <w:qFormat/>
    <w:pPr>
      <w:spacing w:after="0" w:line="240" w:lineRule="auto"/>
    </w:pPr>
    <w:tblPr/>
  </w:style>
  <w:style w:type="table" w:styleId="1096" w:customStyle="1">
    <w:name w:val="Grid Table 2 - Accent 2"/>
    <w:uiPriority w:val="99"/>
    <w:qFormat/>
    <w:pPr>
      <w:spacing w:after="0" w:line="240" w:lineRule="auto"/>
    </w:pPr>
    <w:tblPr/>
  </w:style>
  <w:style w:type="table" w:styleId="1097" w:customStyle="1">
    <w:name w:val="Grid Table 2 - Accent 3"/>
    <w:uiPriority w:val="99"/>
    <w:qFormat/>
    <w:pPr>
      <w:spacing w:after="0" w:line="240" w:lineRule="auto"/>
    </w:pPr>
    <w:tblPr/>
  </w:style>
  <w:style w:type="table" w:styleId="1098" w:customStyle="1">
    <w:name w:val="Grid Table 2 - Accent 4"/>
    <w:uiPriority w:val="99"/>
    <w:qFormat/>
    <w:pPr>
      <w:spacing w:after="0" w:line="240" w:lineRule="auto"/>
    </w:pPr>
    <w:tblPr/>
  </w:style>
  <w:style w:type="table" w:styleId="1099" w:customStyle="1">
    <w:name w:val="Grid Table 2 - Accent 5"/>
    <w:uiPriority w:val="99"/>
    <w:qFormat/>
    <w:pPr>
      <w:spacing w:after="0" w:line="240" w:lineRule="auto"/>
    </w:pPr>
    <w:tblPr/>
  </w:style>
  <w:style w:type="table" w:styleId="1100" w:customStyle="1">
    <w:name w:val="Grid Table 2 - Accent 6"/>
    <w:uiPriority w:val="99"/>
    <w:qFormat/>
    <w:pPr>
      <w:spacing w:after="0" w:line="240" w:lineRule="auto"/>
    </w:pPr>
    <w:tblPr/>
  </w:style>
  <w:style w:type="table" w:styleId="1101" w:customStyle="1">
    <w:name w:val="Grid Table 3"/>
    <w:uiPriority w:val="99"/>
    <w:qFormat/>
    <w:pPr>
      <w:spacing w:after="0" w:line="240" w:lineRule="auto"/>
    </w:pPr>
    <w:tblPr/>
  </w:style>
  <w:style w:type="table" w:styleId="1102" w:customStyle="1">
    <w:name w:val="Grid Table 3 - Accent 1"/>
    <w:uiPriority w:val="99"/>
    <w:qFormat/>
    <w:pPr>
      <w:spacing w:after="0" w:line="240" w:lineRule="auto"/>
    </w:pPr>
    <w:tblPr/>
  </w:style>
  <w:style w:type="table" w:styleId="1103" w:customStyle="1">
    <w:name w:val="Grid Table 3 - Accent 2"/>
    <w:uiPriority w:val="99"/>
    <w:qFormat/>
    <w:pPr>
      <w:spacing w:after="0" w:line="240" w:lineRule="auto"/>
    </w:pPr>
    <w:tblPr/>
  </w:style>
  <w:style w:type="table" w:styleId="1104" w:customStyle="1">
    <w:name w:val="Grid Table 3 - Accent 3"/>
    <w:uiPriority w:val="99"/>
    <w:qFormat/>
    <w:pPr>
      <w:spacing w:after="0" w:line="240" w:lineRule="auto"/>
    </w:pPr>
    <w:tblPr/>
  </w:style>
  <w:style w:type="table" w:styleId="1105" w:customStyle="1">
    <w:name w:val="Grid Table 3 - Accent 4"/>
    <w:uiPriority w:val="99"/>
    <w:qFormat/>
    <w:pPr>
      <w:spacing w:after="0" w:line="240" w:lineRule="auto"/>
    </w:pPr>
    <w:tblPr/>
  </w:style>
  <w:style w:type="table" w:styleId="1106" w:customStyle="1">
    <w:name w:val="Grid Table 3 - Accent 5"/>
    <w:uiPriority w:val="99"/>
    <w:qFormat/>
    <w:pPr>
      <w:spacing w:after="0" w:line="240" w:lineRule="auto"/>
    </w:pPr>
    <w:tblPr/>
  </w:style>
  <w:style w:type="table" w:styleId="1107" w:customStyle="1">
    <w:name w:val="Grid Table 3 - Accent 6"/>
    <w:uiPriority w:val="99"/>
    <w:qFormat/>
    <w:pPr>
      <w:spacing w:after="0" w:line="240" w:lineRule="auto"/>
    </w:pPr>
    <w:tblPr/>
  </w:style>
  <w:style w:type="table" w:styleId="1108" w:customStyle="1">
    <w:name w:val="Grid Table 4"/>
    <w:uiPriority w:val="59"/>
    <w:qFormat/>
    <w:pPr>
      <w:spacing w:after="0" w:line="240" w:lineRule="auto"/>
    </w:pPr>
    <w:tblPr/>
  </w:style>
  <w:style w:type="table" w:styleId="1109" w:customStyle="1">
    <w:name w:val="Grid Table 4 - Accent 1"/>
    <w:uiPriority w:val="59"/>
    <w:qFormat/>
    <w:pPr>
      <w:spacing w:after="0" w:line="240" w:lineRule="auto"/>
    </w:pPr>
    <w:tblPr/>
  </w:style>
  <w:style w:type="table" w:styleId="1110" w:customStyle="1">
    <w:name w:val="Grid Table 4 - Accent 2"/>
    <w:uiPriority w:val="59"/>
    <w:qFormat/>
    <w:pPr>
      <w:spacing w:after="0" w:line="240" w:lineRule="auto"/>
    </w:pPr>
    <w:tblPr/>
  </w:style>
  <w:style w:type="table" w:styleId="1111" w:customStyle="1">
    <w:name w:val="Grid Table 4 - Accent 3"/>
    <w:uiPriority w:val="59"/>
    <w:qFormat/>
    <w:pPr>
      <w:spacing w:after="0" w:line="240" w:lineRule="auto"/>
    </w:pPr>
    <w:tblPr/>
  </w:style>
  <w:style w:type="table" w:styleId="1112" w:customStyle="1">
    <w:name w:val="Grid Table 4 - Accent 4"/>
    <w:uiPriority w:val="59"/>
    <w:qFormat/>
    <w:pPr>
      <w:spacing w:after="0" w:line="240" w:lineRule="auto"/>
    </w:pPr>
    <w:tblPr/>
  </w:style>
  <w:style w:type="table" w:styleId="1113" w:customStyle="1">
    <w:name w:val="Grid Table 4 - Accent 5"/>
    <w:uiPriority w:val="59"/>
    <w:qFormat/>
    <w:pPr>
      <w:spacing w:after="0" w:line="240" w:lineRule="auto"/>
    </w:pPr>
    <w:tblPr/>
  </w:style>
  <w:style w:type="table" w:styleId="1114" w:customStyle="1">
    <w:name w:val="Grid Table 4 - Accent 6"/>
    <w:uiPriority w:val="59"/>
    <w:qFormat/>
    <w:pPr>
      <w:spacing w:after="0" w:line="240" w:lineRule="auto"/>
    </w:pPr>
    <w:tblPr/>
  </w:style>
  <w:style w:type="table" w:styleId="1115" w:customStyle="1">
    <w:name w:val="Grid Table 5 Dark"/>
    <w:uiPriority w:val="99"/>
    <w:qFormat/>
    <w:pPr>
      <w:spacing w:after="0" w:line="240" w:lineRule="auto"/>
    </w:pPr>
    <w:tblPr/>
  </w:style>
  <w:style w:type="table" w:styleId="1116" w:customStyle="1">
    <w:name w:val="Grid Table 5 Dark- Accent 1"/>
    <w:uiPriority w:val="99"/>
    <w:qFormat/>
    <w:pPr>
      <w:spacing w:after="0" w:line="240" w:lineRule="auto"/>
    </w:pPr>
    <w:tblPr/>
  </w:style>
  <w:style w:type="table" w:styleId="1117" w:customStyle="1">
    <w:name w:val="Grid Table 5 Dark - Accent 2"/>
    <w:uiPriority w:val="99"/>
    <w:qFormat/>
    <w:pPr>
      <w:spacing w:after="0" w:line="240" w:lineRule="auto"/>
    </w:pPr>
    <w:tblPr/>
  </w:style>
  <w:style w:type="table" w:styleId="1118" w:customStyle="1">
    <w:name w:val="Grid Table 5 Dark - Accent 3"/>
    <w:uiPriority w:val="99"/>
    <w:qFormat/>
    <w:pPr>
      <w:spacing w:after="0" w:line="240" w:lineRule="auto"/>
    </w:pPr>
    <w:tblPr/>
  </w:style>
  <w:style w:type="table" w:styleId="1119" w:customStyle="1">
    <w:name w:val="Grid Table 5 Dark- Accent 4"/>
    <w:uiPriority w:val="99"/>
    <w:qFormat/>
    <w:pPr>
      <w:spacing w:after="0" w:line="240" w:lineRule="auto"/>
    </w:pPr>
    <w:tblPr/>
  </w:style>
  <w:style w:type="table" w:styleId="1120" w:customStyle="1">
    <w:name w:val="Grid Table 5 Dark - Accent 5"/>
    <w:uiPriority w:val="99"/>
    <w:qFormat/>
    <w:pPr>
      <w:spacing w:after="0" w:line="240" w:lineRule="auto"/>
    </w:pPr>
    <w:tblPr/>
  </w:style>
  <w:style w:type="table" w:styleId="1121" w:customStyle="1">
    <w:name w:val="Grid Table 5 Dark - Accent 6"/>
    <w:uiPriority w:val="99"/>
    <w:qFormat/>
    <w:pPr>
      <w:spacing w:after="0" w:line="240" w:lineRule="auto"/>
    </w:pPr>
    <w:tblPr/>
  </w:style>
  <w:style w:type="table" w:styleId="1122" w:customStyle="1">
    <w:name w:val="Grid Table 6 Colorful"/>
    <w:uiPriority w:val="99"/>
    <w:qFormat/>
    <w:pPr>
      <w:spacing w:after="0" w:line="240" w:lineRule="auto"/>
    </w:pPr>
    <w:tblPr/>
  </w:style>
  <w:style w:type="table" w:styleId="1123" w:customStyle="1">
    <w:name w:val="Grid Table 6 Colorful - Accent 1"/>
    <w:uiPriority w:val="99"/>
    <w:qFormat/>
    <w:pPr>
      <w:spacing w:after="0" w:line="240" w:lineRule="auto"/>
    </w:pPr>
    <w:tblPr/>
  </w:style>
  <w:style w:type="table" w:styleId="1124" w:customStyle="1">
    <w:name w:val="Grid Table 6 Colorful - Accent 2"/>
    <w:uiPriority w:val="99"/>
    <w:qFormat/>
    <w:pPr>
      <w:spacing w:after="0" w:line="240" w:lineRule="auto"/>
    </w:pPr>
    <w:tblPr/>
  </w:style>
  <w:style w:type="table" w:styleId="1125" w:customStyle="1">
    <w:name w:val="Grid Table 6 Colorful - Accent 3"/>
    <w:uiPriority w:val="99"/>
    <w:qFormat/>
    <w:pPr>
      <w:spacing w:after="0" w:line="240" w:lineRule="auto"/>
    </w:pPr>
    <w:tblPr/>
  </w:style>
  <w:style w:type="table" w:styleId="1126" w:customStyle="1">
    <w:name w:val="Grid Table 6 Colorful - Accent 4"/>
    <w:uiPriority w:val="99"/>
    <w:qFormat/>
    <w:pPr>
      <w:spacing w:after="0" w:line="240" w:lineRule="auto"/>
    </w:pPr>
    <w:tblPr/>
  </w:style>
  <w:style w:type="table" w:styleId="1127" w:customStyle="1">
    <w:name w:val="Grid Table 6 Colorful - Accent 5"/>
    <w:uiPriority w:val="99"/>
    <w:qFormat/>
    <w:pPr>
      <w:spacing w:after="0" w:line="240" w:lineRule="auto"/>
    </w:pPr>
    <w:tblPr/>
  </w:style>
  <w:style w:type="table" w:styleId="1128" w:customStyle="1">
    <w:name w:val="Grid Table 6 Colorful - Accent 6"/>
    <w:uiPriority w:val="99"/>
    <w:qFormat/>
    <w:pPr>
      <w:spacing w:after="0" w:line="240" w:lineRule="auto"/>
    </w:pPr>
    <w:tblPr/>
  </w:style>
  <w:style w:type="table" w:styleId="1129" w:customStyle="1">
    <w:name w:val="Grid Table 7 Colorful"/>
    <w:uiPriority w:val="99"/>
    <w:qFormat/>
    <w:pPr>
      <w:spacing w:after="0" w:line="240" w:lineRule="auto"/>
    </w:pPr>
    <w:tblPr/>
  </w:style>
  <w:style w:type="table" w:styleId="1130" w:customStyle="1">
    <w:name w:val="Grid Table 7 Colorful - Accent 1"/>
    <w:uiPriority w:val="99"/>
    <w:qFormat/>
    <w:pPr>
      <w:spacing w:after="0" w:line="240" w:lineRule="auto"/>
    </w:pPr>
    <w:tblPr/>
  </w:style>
  <w:style w:type="table" w:styleId="1131" w:customStyle="1">
    <w:name w:val="Grid Table 7 Colorful - Accent 2"/>
    <w:uiPriority w:val="99"/>
    <w:qFormat/>
    <w:pPr>
      <w:spacing w:after="0" w:line="240" w:lineRule="auto"/>
    </w:pPr>
    <w:tblPr/>
  </w:style>
  <w:style w:type="table" w:styleId="1132" w:customStyle="1">
    <w:name w:val="Grid Table 7 Colorful - Accent 3"/>
    <w:uiPriority w:val="99"/>
    <w:qFormat/>
    <w:pPr>
      <w:spacing w:after="0" w:line="240" w:lineRule="auto"/>
    </w:pPr>
    <w:tblPr/>
  </w:style>
  <w:style w:type="table" w:styleId="1133" w:customStyle="1">
    <w:name w:val="Grid Table 7 Colorful - Accent 4"/>
    <w:uiPriority w:val="99"/>
    <w:qFormat/>
    <w:pPr>
      <w:spacing w:after="0" w:line="240" w:lineRule="auto"/>
    </w:pPr>
    <w:tblPr/>
  </w:style>
  <w:style w:type="table" w:styleId="1134" w:customStyle="1">
    <w:name w:val="Grid Table 7 Colorful - Accent 5"/>
    <w:uiPriority w:val="99"/>
    <w:qFormat/>
    <w:pPr>
      <w:spacing w:after="0" w:line="240" w:lineRule="auto"/>
    </w:pPr>
    <w:tblPr/>
  </w:style>
  <w:style w:type="table" w:styleId="1135" w:customStyle="1">
    <w:name w:val="Grid Table 7 Colorful - Accent 6"/>
    <w:uiPriority w:val="99"/>
    <w:qFormat/>
    <w:pPr>
      <w:spacing w:after="0" w:line="240" w:lineRule="auto"/>
    </w:pPr>
    <w:tblPr/>
  </w:style>
  <w:style w:type="table" w:styleId="1136" w:customStyle="1">
    <w:name w:val="List Table 1 Light"/>
    <w:uiPriority w:val="99"/>
    <w:qFormat/>
    <w:pPr>
      <w:spacing w:after="0" w:line="240" w:lineRule="auto"/>
    </w:pPr>
    <w:tblPr/>
  </w:style>
  <w:style w:type="table" w:styleId="1137" w:customStyle="1">
    <w:name w:val="List Table 1 Light - Accent 1"/>
    <w:uiPriority w:val="99"/>
    <w:qFormat/>
    <w:pPr>
      <w:spacing w:after="0" w:line="240" w:lineRule="auto"/>
    </w:pPr>
    <w:tblPr/>
  </w:style>
  <w:style w:type="table" w:styleId="1138" w:customStyle="1">
    <w:name w:val="List Table 1 Light - Accent 2"/>
    <w:uiPriority w:val="99"/>
    <w:qFormat/>
    <w:pPr>
      <w:spacing w:after="0" w:line="240" w:lineRule="auto"/>
    </w:pPr>
    <w:tblPr/>
  </w:style>
  <w:style w:type="table" w:styleId="1139" w:customStyle="1">
    <w:name w:val="List Table 1 Light - Accent 3"/>
    <w:uiPriority w:val="99"/>
    <w:qFormat/>
    <w:pPr>
      <w:spacing w:after="0" w:line="240" w:lineRule="auto"/>
    </w:pPr>
    <w:tblPr/>
  </w:style>
  <w:style w:type="table" w:styleId="1140" w:customStyle="1">
    <w:name w:val="List Table 1 Light - Accent 4"/>
    <w:uiPriority w:val="99"/>
    <w:qFormat/>
    <w:pPr>
      <w:spacing w:after="0" w:line="240" w:lineRule="auto"/>
    </w:pPr>
    <w:tblPr/>
  </w:style>
  <w:style w:type="table" w:styleId="1141" w:customStyle="1">
    <w:name w:val="List Table 1 Light - Accent 5"/>
    <w:uiPriority w:val="99"/>
    <w:qFormat/>
    <w:pPr>
      <w:spacing w:after="0" w:line="240" w:lineRule="auto"/>
    </w:pPr>
    <w:tblPr/>
  </w:style>
  <w:style w:type="table" w:styleId="1142" w:customStyle="1">
    <w:name w:val="List Table 1 Light - Accent 6"/>
    <w:uiPriority w:val="99"/>
    <w:qFormat/>
    <w:pPr>
      <w:spacing w:after="0" w:line="240" w:lineRule="auto"/>
    </w:pPr>
    <w:tblPr/>
  </w:style>
  <w:style w:type="table" w:styleId="1143" w:customStyle="1">
    <w:name w:val="List Table 2"/>
    <w:uiPriority w:val="99"/>
    <w:qFormat/>
    <w:pPr>
      <w:spacing w:after="0" w:line="240" w:lineRule="auto"/>
    </w:pPr>
    <w:tblPr/>
  </w:style>
  <w:style w:type="table" w:styleId="1144" w:customStyle="1">
    <w:name w:val="List Table 2 - Accent 1"/>
    <w:uiPriority w:val="99"/>
    <w:qFormat/>
    <w:pPr>
      <w:spacing w:after="0" w:line="240" w:lineRule="auto"/>
    </w:pPr>
    <w:tblPr/>
  </w:style>
  <w:style w:type="table" w:styleId="1145" w:customStyle="1">
    <w:name w:val="List Table 2 - Accent 2"/>
    <w:uiPriority w:val="99"/>
    <w:qFormat/>
    <w:pPr>
      <w:spacing w:after="0" w:line="240" w:lineRule="auto"/>
    </w:pPr>
    <w:tblPr/>
  </w:style>
  <w:style w:type="table" w:styleId="1146" w:customStyle="1">
    <w:name w:val="List Table 2 - Accent 3"/>
    <w:uiPriority w:val="99"/>
    <w:qFormat/>
    <w:pPr>
      <w:spacing w:after="0" w:line="240" w:lineRule="auto"/>
    </w:pPr>
    <w:tblPr/>
  </w:style>
  <w:style w:type="table" w:styleId="1147" w:customStyle="1">
    <w:name w:val="List Table 2 - Accent 4"/>
    <w:uiPriority w:val="99"/>
    <w:qFormat/>
    <w:pPr>
      <w:spacing w:after="0" w:line="240" w:lineRule="auto"/>
    </w:pPr>
    <w:tblPr/>
  </w:style>
  <w:style w:type="table" w:styleId="1148" w:customStyle="1">
    <w:name w:val="List Table 2 - Accent 5"/>
    <w:uiPriority w:val="99"/>
    <w:qFormat/>
    <w:pPr>
      <w:spacing w:after="0" w:line="240" w:lineRule="auto"/>
    </w:pPr>
    <w:tblPr/>
  </w:style>
  <w:style w:type="table" w:styleId="1149" w:customStyle="1">
    <w:name w:val="List Table 2 - Accent 6"/>
    <w:uiPriority w:val="99"/>
    <w:qFormat/>
    <w:pPr>
      <w:spacing w:after="0" w:line="240" w:lineRule="auto"/>
    </w:pPr>
    <w:tblPr/>
  </w:style>
  <w:style w:type="table" w:styleId="1150" w:customStyle="1">
    <w:name w:val="List Table 3"/>
    <w:uiPriority w:val="99"/>
    <w:qFormat/>
    <w:pPr>
      <w:spacing w:after="0" w:line="240" w:lineRule="auto"/>
    </w:pPr>
    <w:tblPr/>
  </w:style>
  <w:style w:type="table" w:styleId="1151" w:customStyle="1">
    <w:name w:val="List Table 3 - Accent 1"/>
    <w:uiPriority w:val="99"/>
    <w:qFormat/>
    <w:pPr>
      <w:spacing w:after="0" w:line="240" w:lineRule="auto"/>
    </w:pPr>
    <w:tblPr/>
  </w:style>
  <w:style w:type="table" w:styleId="1152" w:customStyle="1">
    <w:name w:val="List Table 3 - Accent 2"/>
    <w:uiPriority w:val="99"/>
    <w:qFormat/>
    <w:pPr>
      <w:spacing w:after="0" w:line="240" w:lineRule="auto"/>
    </w:pPr>
    <w:tblPr/>
  </w:style>
  <w:style w:type="table" w:styleId="1153" w:customStyle="1">
    <w:name w:val="List Table 3 - Accent 3"/>
    <w:uiPriority w:val="99"/>
    <w:qFormat/>
    <w:pPr>
      <w:spacing w:after="0" w:line="240" w:lineRule="auto"/>
    </w:pPr>
    <w:tblPr/>
  </w:style>
  <w:style w:type="table" w:styleId="1154" w:customStyle="1">
    <w:name w:val="List Table 3 - Accent 4"/>
    <w:uiPriority w:val="99"/>
    <w:qFormat/>
    <w:pPr>
      <w:spacing w:after="0" w:line="240" w:lineRule="auto"/>
    </w:pPr>
    <w:tblPr/>
  </w:style>
  <w:style w:type="table" w:styleId="1155" w:customStyle="1">
    <w:name w:val="List Table 3 - Accent 5"/>
    <w:uiPriority w:val="99"/>
    <w:qFormat/>
    <w:pPr>
      <w:spacing w:after="0" w:line="240" w:lineRule="auto"/>
    </w:pPr>
    <w:tblPr/>
  </w:style>
  <w:style w:type="table" w:styleId="1156" w:customStyle="1">
    <w:name w:val="List Table 3 - Accent 6"/>
    <w:uiPriority w:val="99"/>
    <w:qFormat/>
    <w:pPr>
      <w:spacing w:after="0" w:line="240" w:lineRule="auto"/>
    </w:pPr>
    <w:tblPr/>
  </w:style>
  <w:style w:type="table" w:styleId="1157" w:customStyle="1">
    <w:name w:val="List Table 4"/>
    <w:uiPriority w:val="99"/>
    <w:qFormat/>
    <w:pPr>
      <w:spacing w:after="0" w:line="240" w:lineRule="auto"/>
    </w:pPr>
    <w:tblPr/>
  </w:style>
  <w:style w:type="table" w:styleId="1158" w:customStyle="1">
    <w:name w:val="List Table 4 - Accent 1"/>
    <w:uiPriority w:val="99"/>
    <w:qFormat/>
    <w:pPr>
      <w:spacing w:after="0" w:line="240" w:lineRule="auto"/>
    </w:pPr>
    <w:tblPr/>
  </w:style>
  <w:style w:type="table" w:styleId="1159" w:customStyle="1">
    <w:name w:val="List Table 4 - Accent 2"/>
    <w:uiPriority w:val="99"/>
    <w:qFormat/>
    <w:pPr>
      <w:spacing w:after="0" w:line="240" w:lineRule="auto"/>
    </w:pPr>
    <w:tblPr/>
  </w:style>
  <w:style w:type="table" w:styleId="1160" w:customStyle="1">
    <w:name w:val="List Table 4 - Accent 3"/>
    <w:uiPriority w:val="99"/>
    <w:qFormat/>
    <w:pPr>
      <w:spacing w:after="0" w:line="240" w:lineRule="auto"/>
    </w:pPr>
    <w:tblPr/>
  </w:style>
  <w:style w:type="table" w:styleId="1161" w:customStyle="1">
    <w:name w:val="List Table 4 - Accent 4"/>
    <w:uiPriority w:val="99"/>
    <w:qFormat/>
    <w:pPr>
      <w:spacing w:after="0" w:line="240" w:lineRule="auto"/>
    </w:pPr>
    <w:tblPr/>
  </w:style>
  <w:style w:type="table" w:styleId="1162" w:customStyle="1">
    <w:name w:val="List Table 4 - Accent 5"/>
    <w:uiPriority w:val="99"/>
    <w:qFormat/>
    <w:pPr>
      <w:spacing w:after="0" w:line="240" w:lineRule="auto"/>
    </w:pPr>
    <w:tblPr/>
  </w:style>
  <w:style w:type="table" w:styleId="1163" w:customStyle="1">
    <w:name w:val="List Table 4 - Accent 6"/>
    <w:uiPriority w:val="99"/>
    <w:qFormat/>
    <w:pPr>
      <w:spacing w:after="0" w:line="240" w:lineRule="auto"/>
    </w:pPr>
    <w:tblPr/>
  </w:style>
  <w:style w:type="table" w:styleId="1164" w:customStyle="1">
    <w:name w:val="List Table 5 Dark"/>
    <w:uiPriority w:val="99"/>
    <w:qFormat/>
    <w:pPr>
      <w:spacing w:after="0" w:line="240" w:lineRule="auto"/>
    </w:pPr>
    <w:tblPr/>
  </w:style>
  <w:style w:type="table" w:styleId="1165" w:customStyle="1">
    <w:name w:val="List Table 5 Dark - Accent 1"/>
    <w:uiPriority w:val="99"/>
    <w:qFormat/>
    <w:pPr>
      <w:spacing w:after="0" w:line="240" w:lineRule="auto"/>
    </w:pPr>
    <w:tblPr/>
  </w:style>
  <w:style w:type="table" w:styleId="1166" w:customStyle="1">
    <w:name w:val="List Table 5 Dark - Accent 2"/>
    <w:uiPriority w:val="99"/>
    <w:qFormat/>
    <w:pPr>
      <w:spacing w:after="0" w:line="240" w:lineRule="auto"/>
    </w:pPr>
    <w:tblPr/>
  </w:style>
  <w:style w:type="table" w:styleId="1167" w:customStyle="1">
    <w:name w:val="List Table 5 Dark - Accent 3"/>
    <w:uiPriority w:val="99"/>
    <w:qFormat/>
    <w:pPr>
      <w:spacing w:after="0" w:line="240" w:lineRule="auto"/>
    </w:pPr>
    <w:tblPr/>
  </w:style>
  <w:style w:type="table" w:styleId="1168" w:customStyle="1">
    <w:name w:val="List Table 5 Dark - Accent 4"/>
    <w:uiPriority w:val="99"/>
    <w:qFormat/>
    <w:pPr>
      <w:spacing w:after="0" w:line="240" w:lineRule="auto"/>
    </w:pPr>
    <w:tblPr/>
  </w:style>
  <w:style w:type="table" w:styleId="1169" w:customStyle="1">
    <w:name w:val="List Table 5 Dark - Accent 5"/>
    <w:uiPriority w:val="99"/>
    <w:qFormat/>
    <w:pPr>
      <w:spacing w:after="0" w:line="240" w:lineRule="auto"/>
    </w:pPr>
    <w:tblPr/>
  </w:style>
  <w:style w:type="table" w:styleId="1170" w:customStyle="1">
    <w:name w:val="List Table 5 Dark - Accent 6"/>
    <w:uiPriority w:val="99"/>
    <w:qFormat/>
    <w:pPr>
      <w:spacing w:after="0" w:line="240" w:lineRule="auto"/>
    </w:pPr>
    <w:tblPr/>
  </w:style>
  <w:style w:type="table" w:styleId="1171" w:customStyle="1">
    <w:name w:val="List Table 6 Colorful"/>
    <w:uiPriority w:val="99"/>
    <w:qFormat/>
    <w:pPr>
      <w:spacing w:after="0" w:line="240" w:lineRule="auto"/>
    </w:pPr>
    <w:tblPr/>
  </w:style>
  <w:style w:type="table" w:styleId="1172" w:customStyle="1">
    <w:name w:val="List Table 6 Colorful - Accent 1"/>
    <w:uiPriority w:val="99"/>
    <w:qFormat/>
    <w:pPr>
      <w:spacing w:after="0" w:line="240" w:lineRule="auto"/>
    </w:pPr>
    <w:tblPr/>
  </w:style>
  <w:style w:type="table" w:styleId="1173" w:customStyle="1">
    <w:name w:val="List Table 6 Colorful - Accent 2"/>
    <w:uiPriority w:val="99"/>
    <w:qFormat/>
    <w:pPr>
      <w:spacing w:after="0" w:line="240" w:lineRule="auto"/>
    </w:pPr>
    <w:tblPr/>
  </w:style>
  <w:style w:type="table" w:styleId="1174" w:customStyle="1">
    <w:name w:val="List Table 6 Colorful - Accent 3"/>
    <w:uiPriority w:val="99"/>
    <w:qFormat/>
    <w:pPr>
      <w:spacing w:after="0" w:line="240" w:lineRule="auto"/>
    </w:pPr>
    <w:tblPr/>
  </w:style>
  <w:style w:type="table" w:styleId="1175" w:customStyle="1">
    <w:name w:val="List Table 6 Colorful - Accent 4"/>
    <w:uiPriority w:val="99"/>
    <w:qFormat/>
    <w:pPr>
      <w:spacing w:after="0" w:line="240" w:lineRule="auto"/>
    </w:pPr>
    <w:tblPr/>
  </w:style>
  <w:style w:type="table" w:styleId="1176" w:customStyle="1">
    <w:name w:val="List Table 6 Colorful - Accent 5"/>
    <w:uiPriority w:val="99"/>
    <w:qFormat/>
    <w:pPr>
      <w:spacing w:after="0" w:line="240" w:lineRule="auto"/>
    </w:pPr>
    <w:tblPr/>
  </w:style>
  <w:style w:type="table" w:styleId="1177" w:customStyle="1">
    <w:name w:val="List Table 6 Colorful - Accent 6"/>
    <w:uiPriority w:val="99"/>
    <w:qFormat/>
    <w:pPr>
      <w:spacing w:after="0" w:line="240" w:lineRule="auto"/>
    </w:pPr>
    <w:tblPr/>
  </w:style>
  <w:style w:type="table" w:styleId="1178" w:customStyle="1">
    <w:name w:val="List Table 7 Colorful"/>
    <w:uiPriority w:val="99"/>
    <w:qFormat/>
    <w:pPr>
      <w:spacing w:after="0" w:line="240" w:lineRule="auto"/>
    </w:pPr>
    <w:tblPr/>
  </w:style>
  <w:style w:type="table" w:styleId="1179" w:customStyle="1">
    <w:name w:val="List Table 7 Colorful - Accent 1"/>
    <w:uiPriority w:val="99"/>
    <w:qFormat/>
    <w:pPr>
      <w:spacing w:after="0" w:line="240" w:lineRule="auto"/>
    </w:pPr>
    <w:tblPr/>
  </w:style>
  <w:style w:type="table" w:styleId="1180" w:customStyle="1">
    <w:name w:val="List Table 7 Colorful - Accent 2"/>
    <w:uiPriority w:val="99"/>
    <w:qFormat/>
    <w:pPr>
      <w:spacing w:after="0" w:line="240" w:lineRule="auto"/>
    </w:pPr>
    <w:tblPr/>
  </w:style>
  <w:style w:type="table" w:styleId="1181" w:customStyle="1">
    <w:name w:val="List Table 7 Colorful - Accent 3"/>
    <w:uiPriority w:val="99"/>
    <w:qFormat/>
    <w:pPr>
      <w:spacing w:after="0" w:line="240" w:lineRule="auto"/>
    </w:pPr>
    <w:tblPr/>
  </w:style>
  <w:style w:type="table" w:styleId="1182" w:customStyle="1">
    <w:name w:val="List Table 7 Colorful - Accent 4"/>
    <w:uiPriority w:val="99"/>
    <w:qFormat/>
    <w:pPr>
      <w:spacing w:after="0" w:line="240" w:lineRule="auto"/>
    </w:pPr>
    <w:tblPr/>
  </w:style>
  <w:style w:type="table" w:styleId="1183" w:customStyle="1">
    <w:name w:val="List Table 7 Colorful - Accent 5"/>
    <w:uiPriority w:val="99"/>
    <w:qFormat/>
    <w:pPr>
      <w:spacing w:after="0" w:line="240" w:lineRule="auto"/>
    </w:pPr>
    <w:tblPr/>
  </w:style>
  <w:style w:type="table" w:styleId="1184" w:customStyle="1">
    <w:name w:val="List Table 7 Colorful - Accent 6"/>
    <w:uiPriority w:val="99"/>
    <w:qFormat/>
    <w:pPr>
      <w:spacing w:after="0" w:line="240" w:lineRule="auto"/>
    </w:pPr>
    <w:tblPr/>
  </w:style>
  <w:style w:type="table" w:styleId="1185" w:customStyle="1">
    <w:name w:val="Lined - Accent"/>
    <w:uiPriority w:val="99"/>
    <w:qFormat/>
    <w:pPr>
      <w:spacing w:after="0" w:line="240" w:lineRule="auto"/>
    </w:pPr>
    <w:rPr>
      <w:color w:val="404040"/>
    </w:rPr>
    <w:tblPr/>
  </w:style>
  <w:style w:type="table" w:styleId="1186" w:customStyle="1">
    <w:name w:val="Lined - Accent 1"/>
    <w:uiPriority w:val="99"/>
    <w:qFormat/>
    <w:pPr>
      <w:spacing w:after="0" w:line="240" w:lineRule="auto"/>
    </w:pPr>
    <w:rPr>
      <w:color w:val="404040"/>
    </w:rPr>
    <w:tblPr/>
  </w:style>
  <w:style w:type="table" w:styleId="1187" w:customStyle="1">
    <w:name w:val="Lined - Accent 2"/>
    <w:uiPriority w:val="99"/>
    <w:qFormat/>
    <w:pPr>
      <w:spacing w:after="0" w:line="240" w:lineRule="auto"/>
    </w:pPr>
    <w:rPr>
      <w:color w:val="404040"/>
    </w:rPr>
    <w:tblPr/>
  </w:style>
  <w:style w:type="table" w:styleId="1188" w:customStyle="1">
    <w:name w:val="Lined - Accent 3"/>
    <w:uiPriority w:val="99"/>
    <w:qFormat/>
    <w:pPr>
      <w:spacing w:after="0" w:line="240" w:lineRule="auto"/>
    </w:pPr>
    <w:rPr>
      <w:color w:val="404040"/>
    </w:rPr>
    <w:tblPr/>
  </w:style>
  <w:style w:type="table" w:styleId="1189" w:customStyle="1">
    <w:name w:val="Lined - Accent 4"/>
    <w:uiPriority w:val="99"/>
    <w:qFormat/>
    <w:pPr>
      <w:spacing w:after="0" w:line="240" w:lineRule="auto"/>
    </w:pPr>
    <w:rPr>
      <w:color w:val="404040"/>
    </w:rPr>
    <w:tblPr/>
  </w:style>
  <w:style w:type="table" w:styleId="1190" w:customStyle="1">
    <w:name w:val="Lined - Accent 5"/>
    <w:uiPriority w:val="99"/>
    <w:qFormat/>
    <w:pPr>
      <w:spacing w:after="0" w:line="240" w:lineRule="auto"/>
    </w:pPr>
    <w:rPr>
      <w:color w:val="404040"/>
    </w:rPr>
    <w:tblPr/>
  </w:style>
  <w:style w:type="table" w:styleId="1191" w:customStyle="1">
    <w:name w:val="Lined - Accent 6"/>
    <w:uiPriority w:val="99"/>
    <w:qFormat/>
    <w:pPr>
      <w:spacing w:after="0" w:line="240" w:lineRule="auto"/>
    </w:pPr>
    <w:rPr>
      <w:color w:val="404040"/>
    </w:rPr>
    <w:tblPr/>
  </w:style>
  <w:style w:type="table" w:styleId="1192" w:customStyle="1">
    <w:name w:val="Bordered &amp; Lined - Accent"/>
    <w:uiPriority w:val="99"/>
    <w:qFormat/>
    <w:pPr>
      <w:spacing w:after="0" w:line="240" w:lineRule="auto"/>
    </w:pPr>
    <w:rPr>
      <w:color w:val="404040"/>
    </w:rPr>
    <w:tblPr/>
  </w:style>
  <w:style w:type="table" w:styleId="1193" w:customStyle="1">
    <w:name w:val="Bordered &amp; Lined - Accent 1"/>
    <w:uiPriority w:val="99"/>
    <w:qFormat/>
    <w:pPr>
      <w:spacing w:after="0" w:line="240" w:lineRule="auto"/>
    </w:pPr>
    <w:rPr>
      <w:color w:val="404040"/>
    </w:rPr>
    <w:tblPr/>
  </w:style>
  <w:style w:type="table" w:styleId="1194" w:customStyle="1">
    <w:name w:val="Bordered &amp; Lined - Accent 2"/>
    <w:uiPriority w:val="99"/>
    <w:qFormat/>
    <w:pPr>
      <w:spacing w:after="0" w:line="240" w:lineRule="auto"/>
    </w:pPr>
    <w:rPr>
      <w:color w:val="404040"/>
    </w:rPr>
    <w:tblPr/>
  </w:style>
  <w:style w:type="table" w:styleId="1195" w:customStyle="1">
    <w:name w:val="Bordered &amp; Lined - Accent 3"/>
    <w:uiPriority w:val="99"/>
    <w:qFormat/>
    <w:pPr>
      <w:spacing w:after="0" w:line="240" w:lineRule="auto"/>
    </w:pPr>
    <w:rPr>
      <w:color w:val="404040"/>
    </w:rPr>
    <w:tblPr/>
  </w:style>
  <w:style w:type="table" w:styleId="1196" w:customStyle="1">
    <w:name w:val="Bordered &amp; Lined - Accent 4"/>
    <w:uiPriority w:val="99"/>
    <w:qFormat/>
    <w:pPr>
      <w:spacing w:after="0" w:line="240" w:lineRule="auto"/>
    </w:pPr>
    <w:rPr>
      <w:color w:val="404040"/>
    </w:rPr>
    <w:tblPr/>
  </w:style>
  <w:style w:type="table" w:styleId="1197" w:customStyle="1">
    <w:name w:val="Bordered &amp; Lined - Accent 5"/>
    <w:uiPriority w:val="99"/>
    <w:qFormat/>
    <w:pPr>
      <w:spacing w:after="0" w:line="240" w:lineRule="auto"/>
    </w:pPr>
    <w:rPr>
      <w:color w:val="404040"/>
    </w:rPr>
    <w:tblPr/>
  </w:style>
  <w:style w:type="table" w:styleId="1198" w:customStyle="1">
    <w:name w:val="Bordered &amp; Lined - Accent 6"/>
    <w:uiPriority w:val="99"/>
    <w:qFormat/>
    <w:pPr>
      <w:spacing w:after="0" w:line="240" w:lineRule="auto"/>
    </w:pPr>
    <w:rPr>
      <w:color w:val="404040"/>
    </w:rPr>
    <w:tblPr/>
  </w:style>
  <w:style w:type="table" w:styleId="1199" w:customStyle="1">
    <w:name w:val="Bordered"/>
    <w:uiPriority w:val="99"/>
    <w:qFormat/>
    <w:pPr>
      <w:spacing w:after="0" w:line="240" w:lineRule="auto"/>
    </w:pPr>
    <w:tblPr/>
  </w:style>
  <w:style w:type="table" w:styleId="1200" w:customStyle="1">
    <w:name w:val="Bordered - Accent 1"/>
    <w:uiPriority w:val="99"/>
    <w:qFormat/>
    <w:pPr>
      <w:spacing w:after="0" w:line="240" w:lineRule="auto"/>
    </w:pPr>
    <w:tblPr/>
  </w:style>
  <w:style w:type="table" w:styleId="1201" w:customStyle="1">
    <w:name w:val="Bordered - Accent 2"/>
    <w:uiPriority w:val="99"/>
    <w:qFormat/>
    <w:pPr>
      <w:spacing w:after="0" w:line="240" w:lineRule="auto"/>
    </w:pPr>
    <w:tblPr/>
  </w:style>
  <w:style w:type="table" w:styleId="1202" w:customStyle="1">
    <w:name w:val="Bordered - Accent 3"/>
    <w:uiPriority w:val="99"/>
    <w:qFormat/>
    <w:pPr>
      <w:spacing w:after="0" w:line="240" w:lineRule="auto"/>
    </w:pPr>
    <w:tblPr/>
  </w:style>
  <w:style w:type="table" w:styleId="1203" w:customStyle="1">
    <w:name w:val="Bordered - Accent 4"/>
    <w:uiPriority w:val="99"/>
    <w:qFormat/>
    <w:pPr>
      <w:spacing w:after="0" w:line="240" w:lineRule="auto"/>
    </w:pPr>
    <w:tblPr/>
  </w:style>
  <w:style w:type="table" w:styleId="1204" w:customStyle="1">
    <w:name w:val="Bordered - Accent 5"/>
    <w:uiPriority w:val="99"/>
    <w:qFormat/>
    <w:pPr>
      <w:spacing w:after="0" w:line="240" w:lineRule="auto"/>
    </w:pPr>
    <w:tblPr/>
  </w:style>
  <w:style w:type="table" w:styleId="1205" w:customStyle="1">
    <w:name w:val="Bordered - Accent 6"/>
    <w:uiPriority w:val="99"/>
    <w:qFormat/>
    <w:pPr>
      <w:spacing w:after="0" w:line="240" w:lineRule="auto"/>
    </w:pPr>
    <w:tblPr/>
  </w:style>
  <w:style w:type="paragraph" w:styleId="1206" w:customStyle="1">
    <w:name w:val="TOC Heading"/>
    <w:uiPriority w:val="39"/>
    <w:unhideWhenUsed/>
    <w:qFormat/>
    <w:rPr>
      <w:rFonts w:hint="default" w:ascii="Times New Roman" w:hAnsi="Times New Roman" w:eastAsia="宋体" w:cs="Times New Roman"/>
    </w:rPr>
  </w:style>
  <w:style w:type="paragraph" w:styleId="1207" w:customStyle="1">
    <w:name w:val="标题 11"/>
    <w:basedOn w:val="987"/>
    <w:next w:val="987"/>
    <w:link w:val="1208"/>
    <w:uiPriority w:val="0"/>
    <w:qFormat/>
    <w:pPr>
      <w:jc w:val="center"/>
      <w:keepNext/>
      <w:outlineLvl w:val="0"/>
    </w:pPr>
    <w:rPr>
      <w:rFonts w:ascii="楷体_GB2312" w:eastAsia="楷体_GB2312"/>
      <w:sz w:val="28"/>
      <w:szCs w:val="28"/>
    </w:rPr>
  </w:style>
  <w:style w:type="character" w:styleId="1208" w:customStyle="1">
    <w:name w:val="标题 1 字符"/>
    <w:link w:val="1207"/>
    <w:uiPriority w:val="0"/>
    <w:qFormat/>
    <w:rPr>
      <w:rFonts w:ascii="楷体_GB2312" w:hAnsi="Times New Roman" w:eastAsia="楷体_GB2312" w:cs="Times New Roman"/>
      <w:sz w:val="28"/>
      <w:szCs w:val="28"/>
    </w:rPr>
  </w:style>
  <w:style w:type="paragraph" w:styleId="1209" w:customStyle="1">
    <w:name w:val="标题 21"/>
    <w:basedOn w:val="987"/>
    <w:next w:val="1210"/>
    <w:link w:val="1211"/>
    <w:uiPriority w:val="0"/>
    <w:qFormat/>
    <w:pPr>
      <w:jc w:val="center"/>
      <w:keepLines/>
      <w:keepNext/>
      <w:spacing w:before="260" w:after="260" w:line="416" w:lineRule="auto"/>
      <w:outlineLvl w:val="1"/>
    </w:pPr>
    <w:rPr>
      <w:rFonts w:ascii="Arial" w:hAnsi="Arial" w:eastAsia="幼圆"/>
      <w:b/>
      <w:bCs/>
      <w:sz w:val="44"/>
      <w:szCs w:val="44"/>
    </w:rPr>
  </w:style>
  <w:style w:type="paragraph" w:styleId="1210" w:customStyle="1">
    <w:name w:val="正文缩进1"/>
    <w:basedOn w:val="987"/>
    <w:link w:val="1212"/>
    <w:uiPriority w:val="0"/>
    <w:qFormat/>
    <w:pPr>
      <w:ind w:firstLine="420"/>
    </w:pPr>
    <w:rPr>
      <w:sz w:val="20"/>
      <w:szCs w:val="21"/>
    </w:rPr>
  </w:style>
  <w:style w:type="character" w:styleId="1211" w:customStyle="1">
    <w:name w:val="标题 2 字符"/>
    <w:link w:val="1209"/>
    <w:uiPriority w:val="0"/>
    <w:qFormat/>
    <w:rPr>
      <w:rFonts w:ascii="Arial" w:hAnsi="Arial" w:eastAsia="幼圆" w:cs="Arial"/>
      <w:b/>
      <w:bCs/>
      <w:sz w:val="44"/>
      <w:szCs w:val="44"/>
    </w:rPr>
  </w:style>
  <w:style w:type="character" w:styleId="1212" w:customStyle="1">
    <w:name w:val="正文缩进 字符"/>
    <w:link w:val="1210"/>
    <w:uiPriority w:val="0"/>
    <w:qFormat/>
    <w:rPr>
      <w:szCs w:val="21"/>
    </w:rPr>
  </w:style>
  <w:style w:type="paragraph" w:styleId="1213" w:customStyle="1">
    <w:name w:val="标题 31"/>
    <w:basedOn w:val="987"/>
    <w:next w:val="1210"/>
    <w:link w:val="1214"/>
    <w:uiPriority w:val="0"/>
    <w:qFormat/>
    <w:pPr>
      <w:keepLines/>
      <w:keepNext/>
      <w:spacing w:before="260" w:after="260" w:line="416" w:lineRule="auto"/>
      <w:outlineLvl w:val="2"/>
    </w:pPr>
    <w:rPr>
      <w:b/>
      <w:bCs/>
      <w:sz w:val="32"/>
      <w:szCs w:val="32"/>
    </w:rPr>
  </w:style>
  <w:style w:type="character" w:styleId="1214" w:customStyle="1">
    <w:name w:val="标题 3 字符"/>
    <w:link w:val="1213"/>
    <w:uiPriority w:val="0"/>
    <w:qFormat/>
    <w:rPr>
      <w:rFonts w:ascii="Times New Roman" w:hAnsi="Times New Roman" w:eastAsia="宋体" w:cs="Times New Roman"/>
      <w:b/>
      <w:bCs/>
      <w:sz w:val="32"/>
      <w:szCs w:val="32"/>
    </w:rPr>
  </w:style>
  <w:style w:type="paragraph" w:styleId="1215" w:customStyle="1">
    <w:name w:val="标题 41"/>
    <w:basedOn w:val="987"/>
    <w:next w:val="1210"/>
    <w:link w:val="1216"/>
    <w:uiPriority w:val="0"/>
    <w:qFormat/>
    <w:pPr>
      <w:keepLines/>
      <w:keepNext/>
      <w:spacing w:before="280" w:after="290" w:line="376" w:lineRule="auto"/>
      <w:outlineLvl w:val="3"/>
    </w:pPr>
    <w:rPr>
      <w:rFonts w:ascii="Arial" w:hAnsi="Arial" w:eastAsia="黑体"/>
      <w:b/>
      <w:bCs/>
      <w:sz w:val="28"/>
      <w:szCs w:val="28"/>
    </w:rPr>
  </w:style>
  <w:style w:type="character" w:styleId="1216" w:customStyle="1">
    <w:name w:val="标题 4 字符"/>
    <w:link w:val="1215"/>
    <w:uiPriority w:val="0"/>
    <w:qFormat/>
    <w:rPr>
      <w:rFonts w:ascii="Arial" w:hAnsi="Arial" w:eastAsia="黑体" w:cs="Arial"/>
      <w:b/>
      <w:bCs/>
      <w:sz w:val="28"/>
      <w:szCs w:val="28"/>
    </w:rPr>
  </w:style>
  <w:style w:type="paragraph" w:styleId="1217" w:customStyle="1">
    <w:name w:val="标题 51"/>
    <w:basedOn w:val="987"/>
    <w:next w:val="1210"/>
    <w:link w:val="1218"/>
    <w:uiPriority w:val="0"/>
    <w:qFormat/>
    <w:pPr>
      <w:keepNext/>
      <w:outlineLvl w:val="4"/>
    </w:pPr>
    <w:rPr>
      <w:rFonts w:ascii="宋体"/>
      <w:color w:val="000000"/>
      <w:sz w:val="28"/>
      <w:szCs w:val="28"/>
    </w:rPr>
  </w:style>
  <w:style w:type="character" w:styleId="1218" w:customStyle="1">
    <w:name w:val="标题 5 字符"/>
    <w:link w:val="1217"/>
    <w:uiPriority w:val="0"/>
    <w:qFormat/>
    <w:rPr>
      <w:rFonts w:ascii="宋体" w:hAnsi="Times New Roman" w:eastAsia="宋体" w:cs="Times New Roman"/>
      <w:color w:val="000000"/>
      <w:sz w:val="28"/>
      <w:szCs w:val="28"/>
    </w:rPr>
  </w:style>
  <w:style w:type="paragraph" w:styleId="1219" w:customStyle="1">
    <w:name w:val="标题 61"/>
    <w:basedOn w:val="987"/>
    <w:next w:val="987"/>
    <w:link w:val="1220"/>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220" w:customStyle="1">
    <w:name w:val="标题 6 字符"/>
    <w:link w:val="1219"/>
    <w:uiPriority w:val="0"/>
    <w:qFormat/>
    <w:rPr>
      <w:rFonts w:ascii="Arial" w:hAnsi="Arial" w:eastAsia="黑体" w:cs="Times New Roman"/>
      <w:b/>
      <w:bCs/>
      <w:sz w:val="24"/>
      <w:szCs w:val="24"/>
    </w:rPr>
  </w:style>
  <w:style w:type="paragraph" w:styleId="1221" w:customStyle="1">
    <w:name w:val="标题 71"/>
    <w:basedOn w:val="987"/>
    <w:next w:val="987"/>
    <w:link w:val="1222"/>
    <w:uiPriority w:val="0"/>
    <w:qFormat/>
    <w:pPr>
      <w:numPr>
        <w:ilvl w:val="6"/>
        <w:numId w:val="2"/>
      </w:numPr>
      <w:keepLines/>
      <w:keepNext/>
      <w:spacing w:before="240" w:after="64" w:line="320" w:lineRule="auto"/>
      <w:outlineLvl w:val="6"/>
    </w:pPr>
    <w:rPr>
      <w:b/>
      <w:bCs/>
      <w:sz w:val="24"/>
      <w:szCs w:val="24"/>
    </w:rPr>
  </w:style>
  <w:style w:type="character" w:styleId="1222" w:customStyle="1">
    <w:name w:val="标题 7 字符"/>
    <w:link w:val="1221"/>
    <w:uiPriority w:val="0"/>
    <w:qFormat/>
    <w:rPr>
      <w:rFonts w:ascii="Times New Roman" w:hAnsi="Times New Roman" w:eastAsia="宋体" w:cs="Times New Roman"/>
      <w:b/>
      <w:bCs/>
      <w:sz w:val="24"/>
      <w:szCs w:val="24"/>
    </w:rPr>
  </w:style>
  <w:style w:type="paragraph" w:styleId="1223" w:customStyle="1">
    <w:name w:val="标题 81"/>
    <w:basedOn w:val="987"/>
    <w:next w:val="987"/>
    <w:link w:val="1224"/>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224" w:customStyle="1">
    <w:name w:val="标题 8 字符"/>
    <w:link w:val="1223"/>
    <w:uiPriority w:val="0"/>
    <w:qFormat/>
    <w:rPr>
      <w:rFonts w:ascii="Arial" w:hAnsi="Arial" w:eastAsia="黑体" w:cs="Times New Roman"/>
      <w:sz w:val="24"/>
      <w:szCs w:val="24"/>
    </w:rPr>
  </w:style>
  <w:style w:type="paragraph" w:styleId="1225" w:customStyle="1">
    <w:name w:val="标题 91"/>
    <w:basedOn w:val="987"/>
    <w:next w:val="987"/>
    <w:link w:val="1226"/>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226" w:customStyle="1">
    <w:name w:val="标题 9 字符"/>
    <w:link w:val="1225"/>
    <w:uiPriority w:val="0"/>
    <w:qFormat/>
    <w:rPr>
      <w:rFonts w:ascii="Arial" w:hAnsi="Arial" w:eastAsia="黑体" w:cs="Times New Roman"/>
      <w:szCs w:val="21"/>
    </w:rPr>
  </w:style>
  <w:style w:type="character" w:styleId="1227" w:customStyle="1">
    <w:name w:val="默认段落字体1"/>
    <w:link w:val="987"/>
    <w:uiPriority w:val="1"/>
    <w:unhideWhenUsed/>
    <w:qFormat/>
  </w:style>
  <w:style w:type="table" w:styleId="1228" w:customStyle="1">
    <w:name w:val="普通表格1"/>
    <w:uiPriority w:val="99"/>
    <w:unhideWhenUsed/>
    <w:qFormat/>
    <w:tblPr/>
  </w:style>
  <w:style w:type="paragraph" w:styleId="1229" w:customStyle="1">
    <w:name w:val="列表 31"/>
    <w:basedOn w:val="987"/>
    <w:uiPriority w:val="0"/>
    <w:qFormat/>
    <w:pPr>
      <w:ind w:left="100" w:hanging="200"/>
    </w:pPr>
    <w:rPr>
      <w:rFonts w:ascii="Times New Roman" w:hAnsi="Times New Roman" w:eastAsia="宋体" w:cs="Times New Roman"/>
      <w:szCs w:val="21"/>
    </w:rPr>
  </w:style>
  <w:style w:type="paragraph" w:styleId="1230" w:customStyle="1">
    <w:name w:val="目录 71"/>
    <w:basedOn w:val="987"/>
    <w:next w:val="987"/>
    <w:uiPriority w:val="0"/>
    <w:semiHidden/>
    <w:qFormat/>
    <w:pPr>
      <w:ind w:left="1260"/>
      <w:jc w:val="left"/>
    </w:pPr>
    <w:rPr>
      <w:rFonts w:ascii="Times New Roman" w:hAnsi="Times New Roman" w:eastAsia="宋体" w:cs="Times New Roman"/>
      <w:szCs w:val="21"/>
    </w:rPr>
  </w:style>
  <w:style w:type="paragraph" w:styleId="1231" w:customStyle="1">
    <w:name w:val="文档结构图1"/>
    <w:basedOn w:val="987"/>
    <w:link w:val="1232"/>
    <w:uiPriority w:val="0"/>
    <w:semiHidden/>
    <w:qFormat/>
    <w:pPr>
      <w:shd w:val="clear" w:color="auto" w:fill="000080"/>
    </w:pPr>
    <w:rPr>
      <w:sz w:val="20"/>
      <w:szCs w:val="21"/>
    </w:rPr>
  </w:style>
  <w:style w:type="character" w:styleId="1232" w:customStyle="1">
    <w:name w:val="文档结构图 字符"/>
    <w:link w:val="1231"/>
    <w:uiPriority w:val="0"/>
    <w:semiHidden/>
    <w:qFormat/>
    <w:rPr>
      <w:rFonts w:ascii="Times New Roman" w:hAnsi="Times New Roman" w:eastAsia="宋体" w:cs="Times New Roman"/>
      <w:szCs w:val="21"/>
      <w:shd w:val="clear" w:color="auto" w:fill="000080"/>
    </w:rPr>
  </w:style>
  <w:style w:type="paragraph" w:styleId="1233" w:customStyle="1">
    <w:name w:val="批注文字1"/>
    <w:basedOn w:val="987"/>
    <w:link w:val="1234"/>
    <w:uiPriority w:val="99"/>
    <w:unhideWhenUsed/>
    <w:qFormat/>
    <w:pPr>
      <w:jc w:val="left"/>
    </w:pPr>
  </w:style>
  <w:style w:type="character" w:styleId="1234" w:customStyle="1">
    <w:name w:val="批注文字 字符"/>
    <w:link w:val="1233"/>
    <w:uiPriority w:val="99"/>
    <w:semiHidden/>
    <w:qFormat/>
  </w:style>
  <w:style w:type="paragraph" w:styleId="1235" w:customStyle="1">
    <w:name w:val="正文文本 31"/>
    <w:basedOn w:val="987"/>
    <w:link w:val="1236"/>
    <w:uiPriority w:val="0"/>
    <w:qFormat/>
    <w:rPr>
      <w:rFonts w:ascii="仿宋_GB2312" w:hAnsi="Arial" w:eastAsia="仿宋_GB2312"/>
      <w:sz w:val="32"/>
      <w:szCs w:val="32"/>
    </w:rPr>
  </w:style>
  <w:style w:type="character" w:styleId="1236" w:customStyle="1">
    <w:name w:val="正文文本 3 字符"/>
    <w:link w:val="1235"/>
    <w:uiPriority w:val="0"/>
    <w:qFormat/>
    <w:rPr>
      <w:rFonts w:ascii="仿宋_GB2312" w:hAnsi="Arial" w:eastAsia="仿宋_GB2312" w:cs="Times New Roman"/>
      <w:sz w:val="32"/>
      <w:szCs w:val="32"/>
    </w:rPr>
  </w:style>
  <w:style w:type="character" w:styleId="1237" w:customStyle="1">
    <w:name w:val="正文文本缩进 字符"/>
    <w:link w:val="1026"/>
    <w:uiPriority w:val="99"/>
    <w:semiHidden/>
    <w:qFormat/>
  </w:style>
  <w:style w:type="paragraph" w:styleId="1238" w:customStyle="1">
    <w:name w:val="列表 21"/>
    <w:basedOn w:val="987"/>
    <w:uiPriority w:val="0"/>
    <w:qFormat/>
    <w:pPr>
      <w:ind w:left="100" w:hanging="200"/>
    </w:pPr>
    <w:rPr>
      <w:rFonts w:ascii="Times New Roman" w:hAnsi="Times New Roman" w:eastAsia="宋体" w:cs="Times New Roman"/>
      <w:szCs w:val="21"/>
    </w:rPr>
  </w:style>
  <w:style w:type="paragraph" w:styleId="1239" w:customStyle="1">
    <w:name w:val="目录 51"/>
    <w:basedOn w:val="987"/>
    <w:next w:val="987"/>
    <w:uiPriority w:val="0"/>
    <w:semiHidden/>
    <w:qFormat/>
    <w:pPr>
      <w:ind w:left="840"/>
      <w:jc w:val="left"/>
    </w:pPr>
    <w:rPr>
      <w:rFonts w:ascii="Times New Roman" w:hAnsi="Times New Roman" w:eastAsia="宋体" w:cs="Times New Roman"/>
      <w:szCs w:val="21"/>
    </w:rPr>
  </w:style>
  <w:style w:type="paragraph" w:styleId="1240" w:customStyle="1">
    <w:name w:val="目录 31"/>
    <w:basedOn w:val="987"/>
    <w:next w:val="987"/>
    <w:uiPriority w:val="0"/>
    <w:semiHidden/>
    <w:qFormat/>
    <w:pPr>
      <w:ind w:left="420"/>
      <w:jc w:val="left"/>
    </w:pPr>
    <w:rPr>
      <w:rFonts w:ascii="Times New Roman" w:hAnsi="Times New Roman" w:eastAsia="宋体" w:cs="Times New Roman"/>
      <w:i/>
      <w:iCs/>
      <w:szCs w:val="24"/>
    </w:rPr>
  </w:style>
  <w:style w:type="paragraph" w:styleId="1241" w:customStyle="1">
    <w:name w:val="纯文本1"/>
    <w:basedOn w:val="987"/>
    <w:link w:val="1242"/>
    <w:uiPriority w:val="0"/>
    <w:qFormat/>
    <w:rPr>
      <w:rFonts w:ascii="宋体" w:hAnsi="Courier New"/>
      <w:sz w:val="20"/>
      <w:szCs w:val="21"/>
    </w:rPr>
  </w:style>
  <w:style w:type="character" w:styleId="1242" w:customStyle="1">
    <w:name w:val="纯文本 字符"/>
    <w:link w:val="1241"/>
    <w:uiPriority w:val="0"/>
    <w:qFormat/>
    <w:rPr>
      <w:rFonts w:ascii="宋体" w:hAnsi="Courier New" w:eastAsia="宋体" w:cs="Courier New"/>
      <w:szCs w:val="21"/>
    </w:rPr>
  </w:style>
  <w:style w:type="paragraph" w:styleId="1243" w:customStyle="1">
    <w:name w:val="目录 81"/>
    <w:basedOn w:val="987"/>
    <w:next w:val="987"/>
    <w:uiPriority w:val="0"/>
    <w:semiHidden/>
    <w:qFormat/>
    <w:pPr>
      <w:ind w:left="1470"/>
      <w:jc w:val="left"/>
    </w:pPr>
    <w:rPr>
      <w:rFonts w:ascii="Times New Roman" w:hAnsi="Times New Roman" w:eastAsia="宋体" w:cs="Times New Roman"/>
      <w:szCs w:val="21"/>
    </w:rPr>
  </w:style>
  <w:style w:type="paragraph" w:styleId="1244" w:customStyle="1">
    <w:name w:val="日期1"/>
    <w:basedOn w:val="987"/>
    <w:next w:val="987"/>
    <w:link w:val="1245"/>
    <w:uiPriority w:val="0"/>
    <w:qFormat/>
    <w:rPr>
      <w:sz w:val="24"/>
      <w:szCs w:val="24"/>
    </w:rPr>
  </w:style>
  <w:style w:type="character" w:styleId="1245" w:customStyle="1">
    <w:name w:val="日期 字符"/>
    <w:link w:val="1244"/>
    <w:uiPriority w:val="0"/>
    <w:qFormat/>
    <w:rPr>
      <w:rFonts w:ascii="Times New Roman" w:hAnsi="Times New Roman" w:eastAsia="宋体" w:cs="Times New Roman"/>
      <w:sz w:val="24"/>
      <w:szCs w:val="24"/>
    </w:rPr>
  </w:style>
  <w:style w:type="paragraph" w:styleId="1246" w:customStyle="1">
    <w:name w:val="正文文本缩进 21"/>
    <w:basedOn w:val="987"/>
    <w:link w:val="1247"/>
    <w:uiPriority w:val="0"/>
    <w:qFormat/>
    <w:pPr>
      <w:ind w:left="630" w:firstLine="645"/>
    </w:pPr>
    <w:rPr>
      <w:rFonts w:ascii="Arial" w:hAnsi="Arial" w:eastAsia="仿宋_GB2312"/>
      <w:sz w:val="32"/>
      <w:szCs w:val="32"/>
    </w:rPr>
  </w:style>
  <w:style w:type="character" w:styleId="1247" w:customStyle="1">
    <w:name w:val="正文文本缩进 2 字符"/>
    <w:link w:val="1246"/>
    <w:uiPriority w:val="0"/>
    <w:qFormat/>
    <w:rPr>
      <w:rFonts w:ascii="Arial" w:hAnsi="Arial" w:eastAsia="仿宋_GB2312" w:cs="Arial"/>
      <w:sz w:val="32"/>
      <w:szCs w:val="32"/>
    </w:rPr>
  </w:style>
  <w:style w:type="paragraph" w:styleId="1248" w:customStyle="1">
    <w:name w:val="批注框文本1"/>
    <w:basedOn w:val="987"/>
    <w:link w:val="1249"/>
    <w:uiPriority w:val="0"/>
    <w:semiHidden/>
    <w:qFormat/>
    <w:rPr>
      <w:sz w:val="18"/>
      <w:szCs w:val="18"/>
    </w:rPr>
  </w:style>
  <w:style w:type="character" w:styleId="1249" w:customStyle="1">
    <w:name w:val="批注框文本 字符"/>
    <w:link w:val="1248"/>
    <w:uiPriority w:val="0"/>
    <w:semiHidden/>
    <w:qFormat/>
    <w:rPr>
      <w:rFonts w:ascii="Times New Roman" w:hAnsi="Times New Roman" w:eastAsia="宋体" w:cs="Times New Roman"/>
      <w:sz w:val="18"/>
      <w:szCs w:val="18"/>
    </w:rPr>
  </w:style>
  <w:style w:type="paragraph" w:styleId="1250" w:customStyle="1">
    <w:name w:val="页脚1"/>
    <w:basedOn w:val="987"/>
    <w:link w:val="1251"/>
    <w:uiPriority w:val="99"/>
    <w:qFormat/>
    <w:pPr>
      <w:jc w:val="left"/>
      <w:tabs>
        <w:tab w:val="center" w:pos="4153" w:leader="none"/>
        <w:tab w:val="right" w:pos="8306" w:leader="none"/>
      </w:tabs>
    </w:pPr>
    <w:rPr>
      <w:sz w:val="18"/>
      <w:szCs w:val="18"/>
    </w:rPr>
  </w:style>
  <w:style w:type="character" w:styleId="1251" w:customStyle="1">
    <w:name w:val="页脚 字符"/>
    <w:link w:val="1250"/>
    <w:uiPriority w:val="99"/>
    <w:qFormat/>
    <w:rPr>
      <w:rFonts w:ascii="Times New Roman" w:hAnsi="Times New Roman" w:eastAsia="宋体" w:cs="Times New Roman"/>
      <w:sz w:val="18"/>
      <w:szCs w:val="18"/>
    </w:rPr>
  </w:style>
  <w:style w:type="paragraph" w:styleId="1252" w:customStyle="1">
    <w:name w:val="页眉1"/>
    <w:basedOn w:val="987"/>
    <w:link w:val="1253"/>
    <w:uiPriority w:val="99"/>
    <w:qFormat/>
    <w:pPr>
      <w:jc w:val="center"/>
      <w:tabs>
        <w:tab w:val="center" w:pos="4153" w:leader="none"/>
        <w:tab w:val="right" w:pos="8306" w:leader="none"/>
      </w:tabs>
      <w:pBdr>
        <w:bottom w:val="single" w:color="000000" w:sz="6" w:space="1"/>
      </w:pBdr>
    </w:pPr>
    <w:rPr>
      <w:sz w:val="18"/>
      <w:szCs w:val="18"/>
    </w:rPr>
  </w:style>
  <w:style w:type="character" w:styleId="1253" w:customStyle="1">
    <w:name w:val="页眉 字符"/>
    <w:link w:val="1252"/>
    <w:uiPriority w:val="99"/>
    <w:qFormat/>
    <w:rPr>
      <w:rFonts w:ascii="Times New Roman" w:hAnsi="Times New Roman" w:eastAsia="宋体" w:cs="Times New Roman"/>
      <w:sz w:val="18"/>
      <w:szCs w:val="18"/>
    </w:rPr>
  </w:style>
  <w:style w:type="paragraph" w:styleId="1254" w:customStyle="1">
    <w:name w:val="目录 11"/>
    <w:basedOn w:val="987"/>
    <w:next w:val="987"/>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55" w:customStyle="1">
    <w:name w:val="目录 41"/>
    <w:basedOn w:val="987"/>
    <w:next w:val="987"/>
    <w:uiPriority w:val="0"/>
    <w:semiHidden/>
    <w:qFormat/>
    <w:pPr>
      <w:ind w:left="630"/>
      <w:jc w:val="left"/>
    </w:pPr>
    <w:rPr>
      <w:rFonts w:ascii="Times New Roman" w:hAnsi="Times New Roman" w:eastAsia="宋体" w:cs="Times New Roman"/>
      <w:szCs w:val="21"/>
    </w:rPr>
  </w:style>
  <w:style w:type="paragraph" w:styleId="1256" w:customStyle="1">
    <w:name w:val="列表1"/>
    <w:basedOn w:val="987"/>
    <w:uiPriority w:val="0"/>
    <w:qFormat/>
    <w:pPr>
      <w:ind w:left="200" w:hanging="200"/>
    </w:pPr>
    <w:rPr>
      <w:rFonts w:ascii="Times New Roman" w:hAnsi="Times New Roman" w:eastAsia="宋体" w:cs="Times New Roman"/>
      <w:szCs w:val="21"/>
    </w:rPr>
  </w:style>
  <w:style w:type="paragraph" w:styleId="1257" w:customStyle="1">
    <w:name w:val="目录 61"/>
    <w:basedOn w:val="987"/>
    <w:next w:val="987"/>
    <w:uiPriority w:val="0"/>
    <w:semiHidden/>
    <w:qFormat/>
    <w:pPr>
      <w:ind w:left="1050"/>
      <w:jc w:val="left"/>
    </w:pPr>
    <w:rPr>
      <w:rFonts w:ascii="Times New Roman" w:hAnsi="Times New Roman" w:eastAsia="宋体" w:cs="Times New Roman"/>
      <w:szCs w:val="21"/>
    </w:rPr>
  </w:style>
  <w:style w:type="paragraph" w:styleId="1258" w:customStyle="1">
    <w:name w:val="正文文本缩进 31"/>
    <w:basedOn w:val="987"/>
    <w:link w:val="1259"/>
    <w:uiPriority w:val="0"/>
    <w:qFormat/>
    <w:pPr>
      <w:ind w:left="645" w:firstLine="645"/>
    </w:pPr>
    <w:rPr>
      <w:rFonts w:ascii="Arial" w:hAnsi="Arial" w:eastAsia="仿宋_GB2312"/>
      <w:color w:val="ffff00"/>
      <w:sz w:val="32"/>
      <w:szCs w:val="32"/>
    </w:rPr>
  </w:style>
  <w:style w:type="character" w:styleId="1259" w:customStyle="1">
    <w:name w:val="正文文本缩进 3 字符"/>
    <w:link w:val="1258"/>
    <w:uiPriority w:val="0"/>
    <w:qFormat/>
    <w:rPr>
      <w:rFonts w:ascii="Arial" w:hAnsi="Arial" w:eastAsia="仿宋_GB2312" w:cs="Arial"/>
      <w:color w:val="ffff00"/>
      <w:sz w:val="32"/>
      <w:szCs w:val="32"/>
    </w:rPr>
  </w:style>
  <w:style w:type="paragraph" w:styleId="1260" w:customStyle="1">
    <w:name w:val="图表目录1"/>
    <w:basedOn w:val="987"/>
    <w:next w:val="987"/>
    <w:uiPriority w:val="0"/>
    <w:semiHidden/>
    <w:qFormat/>
    <w:pPr>
      <w:ind w:left="840" w:hanging="420"/>
    </w:pPr>
    <w:rPr>
      <w:rFonts w:ascii="Times New Roman" w:hAnsi="Times New Roman" w:eastAsia="宋体" w:cs="Times New Roman"/>
      <w:szCs w:val="21"/>
    </w:rPr>
  </w:style>
  <w:style w:type="paragraph" w:styleId="1261" w:customStyle="1">
    <w:name w:val="目录 21"/>
    <w:basedOn w:val="987"/>
    <w:next w:val="987"/>
    <w:uiPriority w:val="0"/>
    <w:semiHidden/>
    <w:qFormat/>
    <w:pPr>
      <w:ind w:left="210"/>
      <w:jc w:val="left"/>
    </w:pPr>
    <w:rPr>
      <w:rFonts w:ascii="Times New Roman" w:hAnsi="Times New Roman" w:eastAsia="宋体" w:cs="Times New Roman"/>
      <w:smallCaps/>
      <w:szCs w:val="24"/>
    </w:rPr>
  </w:style>
  <w:style w:type="paragraph" w:styleId="1262" w:customStyle="1">
    <w:name w:val="目录 91"/>
    <w:basedOn w:val="987"/>
    <w:next w:val="987"/>
    <w:uiPriority w:val="0"/>
    <w:semiHidden/>
    <w:qFormat/>
    <w:pPr>
      <w:ind w:left="1680"/>
      <w:jc w:val="left"/>
    </w:pPr>
    <w:rPr>
      <w:rFonts w:ascii="Times New Roman" w:hAnsi="Times New Roman" w:eastAsia="宋体" w:cs="Times New Roman"/>
      <w:szCs w:val="21"/>
    </w:rPr>
  </w:style>
  <w:style w:type="paragraph" w:styleId="1263" w:customStyle="1">
    <w:name w:val="正文文本 21"/>
    <w:basedOn w:val="987"/>
    <w:link w:val="1264"/>
    <w:uiPriority w:val="0"/>
    <w:qFormat/>
    <w:pPr>
      <w:jc w:val="center"/>
      <w:widowControl/>
    </w:pPr>
    <w:rPr>
      <w:rFonts w:ascii="楷体_GB2312" w:eastAsia="楷体_GB2312"/>
      <w:sz w:val="28"/>
      <w:szCs w:val="28"/>
    </w:rPr>
  </w:style>
  <w:style w:type="character" w:styleId="1264" w:customStyle="1">
    <w:name w:val="正文文本 2 字符"/>
    <w:link w:val="1263"/>
    <w:uiPriority w:val="0"/>
    <w:qFormat/>
    <w:rPr>
      <w:rFonts w:ascii="楷体_GB2312" w:hAnsi="Times New Roman" w:eastAsia="楷体_GB2312" w:cs="Times New Roman"/>
      <w:sz w:val="28"/>
      <w:szCs w:val="28"/>
    </w:rPr>
  </w:style>
  <w:style w:type="paragraph" w:styleId="1265" w:customStyle="1">
    <w:name w:val="普通(网站)1"/>
    <w:basedOn w:val="987"/>
    <w:uiPriority w:val="99"/>
    <w:qFormat/>
    <w:pPr>
      <w:jc w:val="left"/>
      <w:spacing w:before="100" w:beforeAutospacing="1" w:after="100" w:afterAutospacing="1"/>
      <w:widowControl/>
    </w:pPr>
    <w:rPr>
      <w:rFonts w:ascii="宋体" w:hAnsi="宋体" w:eastAsia="宋体" w:cs="宋体"/>
      <w:sz w:val="24"/>
      <w:szCs w:val="24"/>
    </w:rPr>
  </w:style>
  <w:style w:type="paragraph" w:styleId="1266" w:customStyle="1">
    <w:name w:val="索引 11"/>
    <w:basedOn w:val="987"/>
    <w:next w:val="987"/>
    <w:uiPriority w:val="0"/>
    <w:semiHidden/>
    <w:qFormat/>
    <w:pPr>
      <w:spacing w:line="240" w:lineRule="atLeast"/>
    </w:pPr>
    <w:rPr>
      <w:rFonts w:ascii="Times New Roman" w:hAnsi="Times New Roman" w:eastAsia="宋体" w:cs="Times New Roman"/>
      <w:b/>
      <w:bCs/>
      <w:szCs w:val="21"/>
    </w:rPr>
  </w:style>
  <w:style w:type="paragraph" w:styleId="1267" w:customStyle="1">
    <w:name w:val="批注主题1"/>
    <w:basedOn w:val="1233"/>
    <w:next w:val="1233"/>
    <w:link w:val="1268"/>
    <w:uiPriority w:val="0"/>
    <w:semiHidden/>
    <w:qFormat/>
    <w:rPr>
      <w:b/>
      <w:bCs/>
      <w:sz w:val="20"/>
      <w:szCs w:val="21"/>
    </w:rPr>
  </w:style>
  <w:style w:type="character" w:styleId="1268" w:customStyle="1">
    <w:name w:val="批注主题 字符"/>
    <w:link w:val="1267"/>
    <w:uiPriority w:val="0"/>
    <w:semiHidden/>
    <w:qFormat/>
    <w:rPr>
      <w:rFonts w:ascii="Times New Roman" w:hAnsi="Times New Roman" w:eastAsia="宋体" w:cs="Times New Roman"/>
      <w:b/>
      <w:bCs/>
      <w:szCs w:val="21"/>
    </w:rPr>
  </w:style>
  <w:style w:type="character" w:styleId="1269" w:customStyle="1">
    <w:name w:val="正文首行缩进 2 字符"/>
    <w:link w:val="1025"/>
    <w:uiPriority w:val="0"/>
    <w:qFormat/>
    <w:rPr>
      <w:rFonts w:ascii="宋体" w:hAnsi="宋体" w:eastAsia="宋体" w:cs="Times New Roman"/>
      <w:szCs w:val="20"/>
    </w:rPr>
  </w:style>
  <w:style w:type="table" w:styleId="1270" w:customStyle="1">
    <w:name w:val="网格型1"/>
    <w:basedOn w:val="1228"/>
    <w:uiPriority w:val="0"/>
    <w:qFormat/>
    <w:pPr>
      <w:jc w:val="both"/>
      <w:widowControl w:val="off"/>
    </w:pPr>
    <w:rPr>
      <w:rFonts w:ascii="Times New Roman" w:hAnsi="Times New Roman" w:eastAsia="宋体" w:cs="Times New Roman"/>
      <w:sz w:val="20"/>
      <w:szCs w:val="20"/>
    </w:rPr>
    <w:tblPr/>
  </w:style>
  <w:style w:type="character" w:styleId="1271" w:customStyle="1">
    <w:name w:val="要点1"/>
    <w:link w:val="987"/>
    <w:uiPriority w:val="0"/>
    <w:qFormat/>
    <w:rPr>
      <w:b/>
      <w:bCs/>
    </w:rPr>
  </w:style>
  <w:style w:type="character" w:styleId="1272" w:customStyle="1">
    <w:name w:val="页码1"/>
    <w:link w:val="987"/>
    <w:uiPriority w:val="0"/>
    <w:qFormat/>
  </w:style>
  <w:style w:type="character" w:styleId="1273" w:customStyle="1">
    <w:name w:val="访问过的超链接"/>
    <w:link w:val="987"/>
    <w:uiPriority w:val="0"/>
    <w:qFormat/>
    <w:rPr>
      <w:color w:val="800080"/>
      <w:u w:val="single"/>
    </w:rPr>
  </w:style>
  <w:style w:type="character" w:styleId="1274" w:customStyle="1">
    <w:name w:val="超链接11"/>
    <w:link w:val="987"/>
    <w:uiPriority w:val="99"/>
    <w:qFormat/>
    <w:rPr>
      <w:color w:val="0000ff"/>
      <w:u w:val="single"/>
    </w:rPr>
  </w:style>
  <w:style w:type="character" w:styleId="1275" w:customStyle="1">
    <w:name w:val="批注引用1"/>
    <w:link w:val="987"/>
    <w:uiPriority w:val="0"/>
    <w:semiHidden/>
    <w:qFormat/>
    <w:rPr>
      <w:sz w:val="21"/>
      <w:szCs w:val="21"/>
    </w:rPr>
  </w:style>
  <w:style w:type="paragraph" w:styleId="1276" w:customStyle="1">
    <w:name w:val="段"/>
    <w:next w:val="987"/>
    <w:uiPriority w:val="0"/>
    <w:qFormat/>
    <w:pPr>
      <w:ind w:firstLine="200"/>
      <w:jc w:val="both"/>
    </w:pPr>
    <w:rPr>
      <w:rFonts w:hint="default" w:ascii="宋体" w:hAnsi="Times New Roman" w:eastAsia="Times New Roman" w:cs="Times New Roman"/>
      <w:sz w:val="21"/>
      <w:lang w:eastAsia="zh-CN"/>
    </w:rPr>
  </w:style>
  <w:style w:type="character" w:styleId="1277" w:customStyle="1">
    <w:name w:val="font5 Char"/>
    <w:link w:val="987"/>
    <w:uiPriority w:val="0"/>
    <w:qFormat/>
    <w:rPr>
      <w:rFonts w:ascii="宋体" w:hAnsi="宋体" w:eastAsia="宋体"/>
      <w:sz w:val="28"/>
      <w:szCs w:val="28"/>
      <w:lang w:val="en-US" w:eastAsia="zh-CN" w:bidi="ar-SA"/>
    </w:rPr>
  </w:style>
  <w:style w:type="character" w:styleId="1278" w:customStyle="1">
    <w:name w:val="二级目录 Char"/>
    <w:link w:val="1279"/>
    <w:uiPriority w:val="0"/>
    <w:qFormat/>
    <w:rPr>
      <w:b/>
      <w:sz w:val="30"/>
      <w:szCs w:val="28"/>
      <w:lang w:val="en-US" w:eastAsia="zh-CN" w:bidi="ar-SA"/>
    </w:rPr>
  </w:style>
  <w:style w:type="paragraph" w:styleId="1279" w:customStyle="1">
    <w:name w:val="二级目录"/>
    <w:next w:val="987"/>
    <w:link w:val="1278"/>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80" w:customStyle="1">
    <w:name w:val="列出段落 Char"/>
    <w:link w:val="1281"/>
    <w:uiPriority w:val="0"/>
    <w:qFormat/>
    <w:rPr>
      <w:rFonts w:ascii="Calibri" w:hAnsi="Calibri"/>
      <w:sz w:val="24"/>
      <w:szCs w:val="24"/>
      <w:lang w:eastAsia="en-US" w:bidi="en-US"/>
    </w:rPr>
  </w:style>
  <w:style w:type="paragraph" w:styleId="1281" w:customStyle="1">
    <w:name w:val="列出段落1"/>
    <w:basedOn w:val="987"/>
    <w:link w:val="1280"/>
    <w:uiPriority w:val="0"/>
    <w:qFormat/>
    <w:pPr>
      <w:contextualSpacing/>
      <w:ind w:left="720"/>
      <w:jc w:val="left"/>
      <w:widowControl/>
    </w:pPr>
    <w:rPr>
      <w:rFonts w:ascii="Calibri" w:hAnsi="Calibri"/>
      <w:sz w:val="24"/>
      <w:szCs w:val="24"/>
      <w:lang w:eastAsia="en-US" w:bidi="en-US"/>
    </w:rPr>
  </w:style>
  <w:style w:type="paragraph" w:styleId="1282" w:customStyle="1">
    <w:name w:val="Body Text(ch)"/>
    <w:basedOn w:val="987"/>
    <w:next w:val="1073"/>
    <w:uiPriority w:val="0"/>
    <w:qFormat/>
    <w:pPr>
      <w:spacing w:after="120"/>
    </w:pPr>
    <w:rPr>
      <w:rFonts w:ascii="宋体" w:hAnsi="Arial" w:eastAsia="宋体" w:cs="Times New Roman"/>
      <w:bCs/>
      <w:iCs/>
      <w:szCs w:val="24"/>
    </w:rPr>
  </w:style>
  <w:style w:type="paragraph" w:styleId="1283" w:customStyle="1">
    <w:name w:val="xl27"/>
    <w:basedOn w:val="9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4" w:customStyle="1">
    <w:name w:val="xl26"/>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5" w:customStyle="1">
    <w:name w:val="Char"/>
    <w:basedOn w:val="987"/>
    <w:uiPriority w:val="0"/>
    <w:qFormat/>
    <w:pPr>
      <w:ind w:firstLine="200"/>
      <w:tabs>
        <w:tab w:val="left" w:pos="360" w:leader="none"/>
      </w:tabs>
    </w:pPr>
    <w:rPr>
      <w:rFonts w:ascii="Times New Roman" w:hAnsi="Times New Roman" w:eastAsia="宋体" w:cs="Times New Roman"/>
      <w:sz w:val="28"/>
      <w:szCs w:val="30"/>
    </w:rPr>
  </w:style>
  <w:style w:type="paragraph" w:styleId="1286" w:customStyle="1">
    <w:name w:val=" Char"/>
    <w:basedOn w:val="1231"/>
    <w:uiPriority w:val="0"/>
    <w:qFormat/>
    <w:rPr>
      <w:rFonts w:ascii="Tahoma" w:hAnsi="Tahoma"/>
      <w:sz w:val="24"/>
      <w:szCs w:val="24"/>
    </w:rPr>
  </w:style>
  <w:style w:type="paragraph" w:styleId="1287" w:customStyle="1">
    <w:name w:val="普通正文"/>
    <w:basedOn w:val="987"/>
    <w:uiPriority w:val="0"/>
    <w:qFormat/>
    <w:pPr>
      <w:ind w:firstLine="480"/>
      <w:jc w:val="left"/>
      <w:spacing w:before="120" w:after="120" w:line="360" w:lineRule="auto"/>
    </w:pPr>
    <w:rPr>
      <w:rFonts w:ascii="Arial" w:hAnsi="Arial" w:eastAsia="宋体" w:cs="Times New Roman"/>
      <w:sz w:val="24"/>
      <w:szCs w:val="24"/>
    </w:rPr>
  </w:style>
  <w:style w:type="paragraph" w:styleId="1288" w:customStyle="1">
    <w:name w:val="table_lines"/>
    <w:basedOn w:val="987"/>
    <w:uiPriority w:val="0"/>
    <w:qFormat/>
    <w:pPr>
      <w:jc w:val="left"/>
      <w:widowControl/>
    </w:pPr>
    <w:rPr>
      <w:rFonts w:ascii="Times New Roman" w:hAnsi="Times New Roman" w:eastAsia="宋体" w:cs="Times New Roman"/>
      <w:sz w:val="20"/>
      <w:szCs w:val="20"/>
      <w:lang w:val="de-DE" w:eastAsia="de-DE"/>
    </w:rPr>
  </w:style>
  <w:style w:type="paragraph" w:styleId="12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90" w:customStyle="1">
    <w:name w:val="font7"/>
    <w:basedOn w:val="98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91" w:customStyle="1">
    <w:name w:val=" Char Char Char Char"/>
    <w:basedOn w:val="1231"/>
    <w:uiPriority w:val="0"/>
    <w:qFormat/>
    <w:pPr>
      <w:spacing w:line="360" w:lineRule="auto"/>
    </w:pPr>
    <w:rPr>
      <w:rFonts w:ascii="Tahoma" w:hAnsi="Tahoma"/>
      <w:sz w:val="24"/>
      <w:szCs w:val="24"/>
    </w:rPr>
  </w:style>
  <w:style w:type="paragraph" w:styleId="1292" w:customStyle="1">
    <w:name w:val="列出段落"/>
    <w:basedOn w:val="987"/>
    <w:uiPriority w:val="34"/>
    <w:qFormat/>
    <w:pPr>
      <w:contextualSpacing/>
      <w:ind w:left="720"/>
      <w:jc w:val="left"/>
      <w:widowControl/>
    </w:pPr>
    <w:rPr>
      <w:rFonts w:ascii="Calibri" w:hAnsi="Calibri" w:eastAsia="宋体" w:cs="Times New Roman"/>
      <w:sz w:val="24"/>
      <w:szCs w:val="24"/>
      <w:lang w:eastAsia="en-US" w:bidi="en-US"/>
    </w:rPr>
  </w:style>
  <w:style w:type="paragraph" w:styleId="1293" w:customStyle="1">
    <w:name w:val="4"/>
    <w:basedOn w:val="987"/>
    <w:next w:val="1258"/>
    <w:uiPriority w:val="0"/>
    <w:qFormat/>
    <w:pPr>
      <w:ind w:firstLine="420"/>
      <w:spacing w:line="360" w:lineRule="auto"/>
    </w:pPr>
    <w:rPr>
      <w:rFonts w:ascii="Times New Roman" w:hAnsi="Times New Roman" w:eastAsia="宋体" w:cs="Times New Roman"/>
      <w:color w:val="ff0000"/>
      <w:sz w:val="24"/>
      <w:szCs w:val="24"/>
    </w:rPr>
  </w:style>
  <w:style w:type="paragraph" w:styleId="1294" w:customStyle="1">
    <w:name w:val="普通 (Web)"/>
    <w:basedOn w:val="987"/>
    <w:uiPriority w:val="0"/>
    <w:qFormat/>
    <w:pPr>
      <w:jc w:val="left"/>
      <w:spacing w:before="100" w:beforeAutospacing="1" w:after="100" w:afterAutospacing="1"/>
      <w:widowControl/>
    </w:pPr>
    <w:rPr>
      <w:rFonts w:ascii="宋体" w:hAnsi="宋体" w:eastAsia="宋体" w:cs="Times New Roman"/>
      <w:sz w:val="24"/>
      <w:szCs w:val="24"/>
    </w:rPr>
  </w:style>
  <w:style w:type="paragraph" w:styleId="1295" w:customStyle="1">
    <w:name w:val=" Char Char Char Char Char Char Char Char Char Char"/>
    <w:basedOn w:val="987"/>
    <w:uiPriority w:val="0"/>
    <w:qFormat/>
    <w:pPr>
      <w:spacing w:line="360" w:lineRule="auto"/>
    </w:pPr>
    <w:rPr>
      <w:rFonts w:ascii="Times New Roman" w:hAnsi="Times New Roman" w:eastAsia="宋体" w:cs="Times New Roman"/>
      <w:sz w:val="24"/>
      <w:szCs w:val="20"/>
    </w:rPr>
  </w:style>
  <w:style w:type="paragraph" w:styleId="1296" w:customStyle="1">
    <w:name w:val="样式1"/>
    <w:basedOn w:val="987"/>
    <w:uiPriority w:val="0"/>
    <w:qFormat/>
    <w:pPr>
      <w:numPr>
        <w:ilvl w:val="0"/>
        <w:numId w:val="4"/>
      </w:numPr>
    </w:pPr>
    <w:rPr>
      <w:rFonts w:ascii="宋体" w:hAnsi="宋体" w:eastAsia="宋体" w:cs="Times New Roman"/>
      <w:szCs w:val="21"/>
    </w:rPr>
  </w:style>
  <w:style w:type="paragraph" w:styleId="1297" w:customStyle="1">
    <w:name w:val="font6"/>
    <w:basedOn w:val="98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98" w:customStyle="1">
    <w:name w:val="xl25"/>
    <w:basedOn w:val="9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9" w:customStyle="1">
    <w:name w:val="图标"/>
    <w:basedOn w:val="987"/>
    <w:next w:val="98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00" w:customStyle="1">
    <w:name w:val="标题3"/>
    <w:basedOn w:val="987"/>
    <w:next w:val="987"/>
    <w:uiPriority w:val="0"/>
    <w:qFormat/>
    <w:pPr>
      <w:ind w:firstLine="624"/>
      <w:spacing w:line="590" w:lineRule="atLeast"/>
    </w:pPr>
    <w:rPr>
      <w:rFonts w:ascii="方正黑体_GBK" w:hAnsi="Times New Roman" w:eastAsia="方正黑体_GBK" w:cs="Times New Roman"/>
      <w:sz w:val="32"/>
      <w:szCs w:val="32"/>
    </w:rPr>
  </w:style>
  <w:style w:type="paragraph" w:styleId="1301" w:customStyle="1">
    <w:name w:val="xl24"/>
    <w:basedOn w:val="9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02" w:customStyle="1">
    <w:name w:val="xl29"/>
    <w:basedOn w:val="98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03" w:customStyle="1">
    <w:name w:val="Char Char Char Char Char Char Char Char"/>
    <w:basedOn w:val="987"/>
    <w:uiPriority w:val="0"/>
    <w:qFormat/>
    <w:pPr>
      <w:jc w:val="left"/>
      <w:spacing w:after="160" w:line="240" w:lineRule="exact"/>
      <w:widowControl/>
    </w:pPr>
    <w:rPr>
      <w:rFonts w:ascii="Verdana" w:hAnsi="Verdana" w:eastAsia="宋体" w:cs="Times New Roman"/>
      <w:sz w:val="20"/>
      <w:szCs w:val="20"/>
      <w:lang w:eastAsia="en-US"/>
    </w:rPr>
  </w:style>
  <w:style w:type="paragraph" w:styleId="1304" w:customStyle="1">
    <w:name w:val="xl28"/>
    <w:basedOn w:val="9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05" w:customStyle="1">
    <w:name w:val=" Char Char Char Char Char Char Char Char"/>
    <w:basedOn w:val="987"/>
    <w:uiPriority w:val="0"/>
    <w:qFormat/>
    <w:pPr>
      <w:jc w:val="left"/>
      <w:spacing w:after="160" w:line="240" w:lineRule="exact"/>
      <w:widowControl/>
    </w:pPr>
    <w:rPr>
      <w:rFonts w:ascii="Verdana" w:hAnsi="Verdana" w:eastAsia="宋体" w:cs="Times New Roman"/>
      <w:sz w:val="20"/>
      <w:szCs w:val="20"/>
      <w:lang w:eastAsia="en-US"/>
    </w:rPr>
  </w:style>
  <w:style w:type="paragraph" w:styleId="1306" w:customStyle="1">
    <w:name w:val="xl30"/>
    <w:basedOn w:val="98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307" w:customStyle="1">
    <w:name w:val="Char Char Char Char"/>
    <w:basedOn w:val="1231"/>
    <w:uiPriority w:val="0"/>
    <w:qFormat/>
    <w:pPr>
      <w:spacing w:line="360" w:lineRule="auto"/>
    </w:pPr>
    <w:rPr>
      <w:rFonts w:ascii="Tahoma" w:hAnsi="Tahoma"/>
      <w:sz w:val="24"/>
      <w:szCs w:val="24"/>
    </w:rPr>
  </w:style>
  <w:style w:type="paragraph" w:styleId="1308" w:customStyle="1">
    <w:name w:val="table_1stline"/>
    <w:basedOn w:val="987"/>
    <w:uiPriority w:val="0"/>
    <w:qFormat/>
    <w:pPr>
      <w:jc w:val="left"/>
      <w:spacing w:before="120"/>
      <w:widowControl/>
    </w:pPr>
    <w:rPr>
      <w:rFonts w:ascii="Times New Roman" w:hAnsi="Times New Roman" w:eastAsia="宋体" w:cs="Times New Roman"/>
      <w:bCs/>
      <w:sz w:val="20"/>
      <w:szCs w:val="20"/>
      <w:lang w:val="de-DE" w:eastAsia="de-DE"/>
    </w:rPr>
  </w:style>
  <w:style w:type="paragraph" w:styleId="1309" w:customStyle="1">
    <w:name w:val="font5"/>
    <w:basedOn w:val="98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310" w:customStyle="1">
    <w:name w:val="标题1"/>
    <w:basedOn w:val="987"/>
    <w:next w:val="98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11" w:customStyle="1">
    <w:name w:val="修订"/>
    <w:uiPriority w:val="99"/>
    <w:semiHidden/>
    <w:qFormat/>
    <w:rPr>
      <w:rFonts w:hint="default" w:ascii="Times New Roman" w:hAnsi="Times New Roman" w:eastAsia="宋体" w:cs="Times New Roman"/>
      <w:sz w:val="21"/>
      <w:szCs w:val="21"/>
      <w:lang w:eastAsia="zh-CN"/>
    </w:rPr>
  </w:style>
  <w:style w:type="paragraph" w:styleId="1312"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313" w:customStyle="1">
    <w:name w:val="引文目录标题1"/>
    <w:basedOn w:val="987"/>
    <w:next w:val="987"/>
    <w:uiPriority w:val="0"/>
    <w:qFormat/>
    <w:pPr>
      <w:spacing w:before="120"/>
    </w:pPr>
    <w:rPr>
      <w:rFonts w:ascii="Arial" w:hAnsi="Arial"/>
      <w:sz w:val="24"/>
    </w:rPr>
  </w:style>
  <w:style w:type="character" w:styleId="1314" w:customStyle="1">
    <w:name w:val="超链接1"/>
    <w:link w:val="987"/>
    <w:uiPriority w:val="0"/>
    <w:qFormat/>
    <w:rPr>
      <w:rFonts w:ascii="Times New Roman" w:hAnsi="Times New Roman" w:eastAsia="宋体" w:cs="Times New Roman"/>
      <w:sz w:val="21"/>
      <w:szCs w:val="24"/>
      <w:lang w:val="en-US" w:eastAsia="zh-CN" w:bidi="ar-SA"/>
    </w:rPr>
  </w:style>
  <w:style w:type="paragraph" w:styleId="1315" w:customStyle="1">
    <w:name w:val="正文首行缩进1"/>
    <w:basedOn w:val="1000"/>
    <w:uiPriority w:val="0"/>
    <w:qFormat/>
    <w:pPr>
      <w:ind w:firstLine="200"/>
      <w:spacing w:line="360" w:lineRule="auto"/>
    </w:pPr>
    <w:rPr>
      <w:rFonts w:ascii="仿宋_GB2312" w:hAnsi="Times New Roman" w:eastAsia="仿宋_GB2312"/>
      <w:sz w:val="30"/>
      <w:szCs w:val="30"/>
    </w:rPr>
  </w:style>
  <w:style w:type="paragraph" w:styleId="1316" w:customStyle="1">
    <w:name w:val="正文缩进2格"/>
    <w:basedOn w:val="987"/>
    <w:uiPriority w:val="0"/>
    <w:qFormat/>
    <w:pPr>
      <w:ind w:firstLine="639"/>
      <w:spacing w:line="600" w:lineRule="exact"/>
    </w:pPr>
    <w:rPr>
      <w:rFonts w:ascii="仿宋_GB2312" w:hAnsi="宋体" w:eastAsia="仿宋_GB2312"/>
      <w:sz w:val="31"/>
      <w:szCs w:val="28"/>
      <w:lang w:eastAsia="en-US"/>
    </w:rPr>
  </w:style>
  <w:style w:type="paragraph" w:styleId="1317"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318" w:customStyle="1">
    <w:name w:val="普通(网站) Char"/>
    <w:basedOn w:val="987"/>
    <w:uiPriority w:val="0"/>
    <w:qFormat/>
    <w:pPr>
      <w:spacing w:before="100" w:beforeAutospacing="1" w:after="100" w:afterAutospacing="1"/>
    </w:pPr>
    <w:rPr>
      <w:rFonts w:ascii="宋体" w:hAnsi="宋体" w:cs="宋体"/>
      <w:sz w:val="24"/>
    </w:rPr>
  </w:style>
  <w:style w:type="paragraph" w:styleId="1319" w:customStyle="1">
    <w:name w:val="正文首行缩进111"/>
    <w:basedOn w:val="1320"/>
    <w:uiPriority w:val="0"/>
    <w:qFormat/>
    <w:pPr>
      <w:ind w:firstLine="200"/>
      <w:spacing w:line="360" w:lineRule="auto"/>
    </w:pPr>
    <w:rPr>
      <w:rFonts w:ascii="仿宋_GB2312" w:hAnsi="Times New Roman" w:eastAsia="仿宋_GB2312"/>
      <w:sz w:val="30"/>
      <w:szCs w:val="30"/>
    </w:rPr>
  </w:style>
  <w:style w:type="paragraph" w:styleId="1320" w:customStyle="1">
    <w:name w:val="正文文本111"/>
    <w:basedOn w:val="987"/>
    <w:next w:val="987"/>
    <w:uiPriority w:val="0"/>
    <w:qFormat/>
    <w:rPr>
      <w:rFonts w:ascii="楷体_GB2312" w:hAnsi="Arial" w:eastAsia="楷体_GB2312"/>
      <w:sz w:val="28"/>
      <w:szCs w:val="28"/>
    </w:rPr>
  </w:style>
  <w:style w:type="paragraph" w:styleId="1321" w:customStyle="1">
    <w:name w:val="正文首行缩进12"/>
    <w:basedOn w:val="1322"/>
    <w:uiPriority w:val="0"/>
    <w:qFormat/>
    <w:pPr>
      <w:ind w:firstLine="200"/>
      <w:spacing w:line="360" w:lineRule="auto"/>
    </w:pPr>
    <w:rPr>
      <w:rFonts w:ascii="仿宋_GB2312" w:hAnsi="Times New Roman" w:eastAsia="仿宋_GB2312"/>
      <w:sz w:val="30"/>
      <w:szCs w:val="30"/>
    </w:rPr>
  </w:style>
  <w:style w:type="paragraph" w:styleId="1322" w:customStyle="1">
    <w:name w:val="正文文本12"/>
    <w:basedOn w:val="987"/>
    <w:uiPriority w:val="0"/>
    <w:qFormat/>
    <w:rPr>
      <w:rFonts w:ascii="楷体_GB2312" w:hAnsi="Arial" w:eastAsia="楷体_GB2312"/>
      <w:sz w:val="28"/>
      <w:szCs w:val="28"/>
    </w:rPr>
  </w:style>
  <w:style w:type="character" w:styleId="1323" w:customStyle="1">
    <w:name w:val="font21"/>
    <w:basedOn w:val="997"/>
    <w:link w:val="987"/>
    <w:uiPriority w:val="0"/>
    <w:qFormat/>
    <w:rPr>
      <w:rFonts w:hint="eastAsia" w:ascii="宋体" w:hAnsi="宋体" w:eastAsia="宋体" w:cs="宋体"/>
      <w:color w:val="000000"/>
      <w:sz w:val="22"/>
      <w:szCs w:val="22"/>
      <w:u w:val="none"/>
    </w:rPr>
  </w:style>
  <w:style w:type="paragraph" w:styleId="1324" w:customStyle="1">
    <w:name w:val="方案正文"/>
    <w:basedOn w:val="987"/>
    <w:uiPriority w:val="0"/>
    <w:qFormat/>
    <w:pPr>
      <w:contextualSpacing/>
      <w:ind w:firstLine="200"/>
      <w:jc w:val="left"/>
      <w:widowControl/>
    </w:pPr>
    <w:rPr>
      <w:rFonts w:eastAsia="宋体"/>
    </w:rPr>
  </w:style>
  <w:style w:type="character" w:styleId="1325" w:customStyle="1">
    <w:name w:val="font31"/>
    <w:basedOn w:val="997"/>
    <w:uiPriority w:val="0"/>
    <w:qFormat/>
    <w:rPr>
      <w:rFonts w:ascii="楷体_GB2312" w:eastAsia="楷体_GB2312" w:cs="楷体_GB2312"/>
      <w:b/>
      <w:bCs/>
      <w:color w:val="000000"/>
      <w:sz w:val="28"/>
      <w:szCs w:val="28"/>
      <w:u w:val="none"/>
    </w:rPr>
  </w:style>
  <w:style w:type="character" w:styleId="1326" w:customStyle="1">
    <w:name w:val="font51"/>
    <w:basedOn w:val="997"/>
    <w:uiPriority w:val="0"/>
    <w:qFormat/>
    <w:rPr>
      <w:rFonts w:hint="eastAsia" w:ascii="宋体" w:hAnsi="宋体" w:eastAsia="宋体" w:cs="宋体"/>
      <w:color w:val="000000"/>
      <w:sz w:val="24"/>
      <w:szCs w:val="24"/>
      <w:u w:val="none"/>
    </w:rPr>
  </w:style>
  <w:style w:type="character" w:styleId="1327" w:customStyle="1">
    <w:name w:val="font41"/>
    <w:basedOn w:val="997"/>
    <w:uiPriority w:val="0"/>
    <w:qFormat/>
    <w:rPr>
      <w:rFonts w:hint="eastAsia" w:ascii="宋体" w:hAnsi="宋体" w:eastAsia="宋体" w:cs="宋体"/>
      <w:b/>
      <w:bCs/>
      <w:color w:val="000000"/>
      <w:sz w:val="24"/>
      <w:szCs w:val="24"/>
      <w:u w:val="none"/>
    </w:rPr>
  </w:style>
  <w:style w:type="character" w:styleId="1328" w:customStyle="1">
    <w:name w:val="font161"/>
    <w:basedOn w:val="997"/>
    <w:uiPriority w:val="0"/>
    <w:qFormat/>
    <w:rPr>
      <w:rFonts w:hint="eastAsia" w:ascii="宋体" w:hAnsi="宋体" w:eastAsia="宋体" w:cs="宋体"/>
      <w:b/>
      <w:bCs/>
      <w:color w:val="000000"/>
      <w:sz w:val="22"/>
      <w:szCs w:val="22"/>
      <w:u w:val="none"/>
    </w:rPr>
  </w:style>
  <w:style w:type="character" w:styleId="1329" w:customStyle="1">
    <w:name w:val="font01"/>
    <w:basedOn w:val="997"/>
    <w:uiPriority w:val="0"/>
    <w:qFormat/>
    <w:rPr>
      <w:rFonts w:hint="eastAsia" w:ascii="宋体" w:hAnsi="宋体" w:eastAsia="宋体" w:cs="宋体"/>
      <w:color w:val="000000"/>
      <w:sz w:val="22"/>
      <w:szCs w:val="22"/>
      <w:u w:val="none"/>
    </w:rPr>
  </w:style>
  <w:style w:type="numbering" w:styleId="33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2a9fcd66-3ccd-41b5-95ff-a669a7dc6a9e</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13D0C2D9</paraID>
      <start>37</start>
      <end>42</end>
      <status>unmodified</status>
      <modifiedWord/>
      <trackRevisions>false</trackRevisions>
    </reviewItem>
    <reviewItem>
      <errorID>d9309ce6-961a-4e3f-b9a0-20c3d4ded6a8</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6546CFC9</paraID>
      <start>39</start>
      <end>44</end>
      <status>unmodified</status>
      <modifiedWord/>
      <trackRevisions>false</trackRevisions>
    </reviewItem>
    <reviewItem>
      <errorID>5734bfe3-1207-49b6-aaa8-284182f0a2ab</errorID>
      <errorWord>（</errorWord>
      <group>L1_Punc</group>
      <groupName>标点问题</groupName>
      <ability>L2_Punc_CN</ability>
      <abilityName>标点符号检查</abilityName>
      <candidateList/>
      <explain>同一形式括号套用。</explain>
      <paraID>1E429C4F</paraID>
      <start>125</start>
      <end>126</end>
      <status>unmodified</status>
      <modifiedWord/>
      <trackRevisions>false</trackRevisions>
    </reviewItem>
    <reviewItem>
      <errorID>efad069e-cb7d-4dc8-845c-adae6737daaf</errorID>
      <errorWord>）</errorWord>
      <group>L1_Punc</group>
      <groupName>标点问题</groupName>
      <ability>L2_Punc_CN</ability>
      <abilityName>标点符号检查</abilityName>
      <candidateList/>
      <explain>同一形式括号套用。</explain>
      <paraID>1E429C4F</paraID>
      <start>135</start>
      <end>136</end>
      <status>unmodified</status>
      <modifiedWord/>
      <trackRevisions>false</trackRevisions>
    </reviewItem>
    <reviewItem>
      <errorID>c1bcc031-5edd-4bac-a4f9-a49722de4577</errorID>
      <errorWord>&lt;</errorWord>
      <group>L1_Format</group>
      <groupName>格式问题</groupName>
      <ability>L2_HalfPunc_CN</ability>
      <abilityName>全半角检查</abilityName>
      <candidateList>
        <item>〈</item>
      </candidateList>
      <explain>文本全半角错误。</explain>
      <paraID>77EAAE32</paraID>
      <start>50</start>
      <end>51</end>
      <status>unmodified</status>
      <modifiedWord/>
      <trackRevisions>false</trackRevisions>
    </reviewItem>
    <reviewItem>
      <errorID>8bfc50c7-9858-490c-ab74-fc4e1251f914</errorID>
      <errorWord>&lt;</errorWord>
      <group>L1_Format</group>
      <groupName>格式问题</groupName>
      <ability>L2_HalfPunc_CN</ability>
      <abilityName>全半角检查</abilityName>
      <candidateList>
        <item>〈</item>
      </candidateList>
      <explain>文本全半角错误。</explain>
      <paraID>4FA26E20</paraID>
      <start>35</start>
      <end>36</end>
      <status>unmodified</status>
      <modifiedWord/>
      <trackRevisions>false</trackRevisions>
    </reviewItem>
    <reviewItem>
      <errorID>76c33e64-b970-497a-be7d-aae747a7b455</errorID>
      <errorWord>》</errorWord>
      <group>L1_Word</group>
      <groupName>字词问题</groupName>
      <ability>L2_Typo</ability>
      <abilityName>字词错误</abilityName>
      <candidateList>
        <item>》和</item>
      </candidateList>
      <explain/>
      <paraID>39A47C1D</paraID>
      <start>42</start>
      <end>43</end>
      <status>unmodified</status>
      <modifiedWord/>
      <trackRevisions>false</trackRevisions>
    </reviewItem>
    <reviewItem>
      <errorID>5ba2434d-5df2-480d-bd19-cd14bada8e11</errorID>
      <errorWord>下</errorWord>
      <group>L1_Word</group>
      <groupName>字词问题</groupName>
      <ability>L2_Typo</ability>
      <abilityName>字词错误</abilityName>
      <candidateList>
        <item>下简</item>
      </candidateList>
      <explain/>
      <paraID>5544F974</paraID>
      <start>8</start>
      <end>9</end>
      <status>unmodified</status>
      <modifiedWord/>
      <trackRevisions>false</trackRevisions>
    </reviewItem>
    <reviewItem>
      <errorID>070c7710-0b48-4a8d-86e8-dc7c10f26776</errorID>
      <errorWord>下</errorWord>
      <group>L1_Word</group>
      <groupName>字词问题</groupName>
      <ability>L2_Typo</ability>
      <abilityName>字词错误</abilityName>
      <candidateList>
        <item>下简</item>
      </candidateList>
      <explain/>
      <paraID>3FA2C60E</paraID>
      <start>8</start>
      <end>9</end>
      <status>unmodified</status>
      <modifiedWord/>
      <trackRevisions>false</trackRevisions>
    </reviewItem>
    <reviewItem>
      <errorID>6b862777-e71a-4654-98e9-a1a6a9bf2030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4E7C062B</paraID>
      <start>57</start>
      <end>58</end>
      <status>unmodified</status>
      <modifiedWord/>
      <trackRevisions>false</trackRevisions>
    </reviewItem>
    <reviewItem>
      <errorID>0b02fd93-1ea1-4f8d-9b5a-3ddbf24c9002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787DCCB5</paraID>
      <start>40</start>
      <end>43</end>
      <status>unmodified</status>
      <modifiedWord/>
      <trackRevisions>false</trackRevisions>
    </reviewItem>
    <reviewItem>
      <errorID>331b878e-6331-4006-bc4e-ed23f9cc0e73</errorID>
      <errorWord>应</errorWord>
      <group>L1_Word</group>
      <groupName>字词问题</groupName>
      <ability>L2_Typo</ability>
      <abilityName>字词错误</abilityName>
      <candidateList>
        <item>应当</item>
      </candidateList>
      <explain/>
      <paraID>68ACED4C</paraID>
      <start>34</start>
      <end>35</end>
      <status>unmodified</status>
      <modifiedWord/>
      <trackRevisions>false</trackRevisions>
    </reviewItem>
    <reviewItem>
      <errorID>8b05bed5-1a23-41cb-9301-cdc5600591f9</errorID>
      <errorWord>作</errorWord>
      <group>L1_Word</group>
      <groupName>字词问题</groupName>
      <ability>L2_Typo</ability>
      <abilityName>字词错误</abilityName>
      <candidateList>
        <item>做</item>
      </candidateList>
      <explain>存在发音相同字词的误用。</explain>
      <paraID>1121F87E</paraID>
      <start>4</start>
      <end>5</end>
      <status>unmodified</status>
      <modifiedWord/>
      <trackRevisions>false</trackRevisions>
    </reviewItem>
    <reviewItem>
      <errorID>1165033e-0468-4393-b12e-99b58988ec81</errorID>
      <errorWord>做</errorWord>
      <group>L1_Word</group>
      <groupName>字词问题</groupName>
      <ability>L2_Typo</ability>
      <abilityName>字词错误</abilityName>
      <candidateList>
        <item>作</item>
      </candidateList>
      <explain>存在发音相同字词的误用。</explain>
      <paraID>4DF1EADC</paraID>
      <start>111</start>
      <end>112</end>
      <status>unmodified</status>
      <modifiedWord/>
      <trackRevisions>false</trackRevisions>
    </reviewItem>
    <reviewItem>
      <errorID>0b0f1e76-f4fc-4147-a4fb-2b63e050ce4c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2CDD969D</paraID>
      <start>0</start>
      <end>2</end>
      <status>unmodified</status>
      <modifiedWord/>
      <trackRevisions>false</trackRevisions>
    </reviewItem>
    <reviewItem>
      <errorID>4648cbf0-e22f-4b31-b0f6-fe2a2bca1b36</errorID>
      <errorWord>.</errorWord>
      <group>L1_Punc</group>
      <groupName>标点问题</groupName>
      <ability>L2_Punc_CN</ability>
      <abilityName>标点符号检查</abilityName>
      <candidateList/>
      <explain/>
      <paraID>506A302C</paraID>
      <start>0</start>
      <end>1</end>
      <status>unmodified</status>
      <modifiedWord/>
      <trackRevisions>false</trackRevisions>
    </reviewItem>
    <reviewItem>
      <errorID>61ab9a22-1424-437a-8c3e-ce5283074617</errorID>
      <errorWord>"</errorWord>
      <group>L1_Format</group>
      <groupName>格式问题</groupName>
      <ability>L2_HalfPunc_CN</ability>
      <abilityName>全半角检查</abilityName>
      <candidateList/>
      <explain>文本全半角错误。</explain>
      <paraID>231D391B</paraID>
      <start>251</start>
      <end>252</end>
      <status>unmodified</status>
      <modifiedWord/>
      <trackRevisions>false</trackRevisions>
    </reviewItem>
    <reviewItem>
      <errorID>5832f742-83f6-4411-844c-fbeb419da1a8</errorID>
      <errorWord>单独取</errorWord>
      <group>L1_Word</group>
      <groupName>字词问题</groupName>
      <ability>L2_Typo</ability>
      <abilityName>字词错误</abilityName>
      <candidateList>
        <item>单独</item>
      </candidateList>
      <explain/>
      <paraID>6D44D3EC</paraID>
      <start>117</start>
      <end>120</end>
      <status>unmodified</status>
      <modifiedWord/>
      <trackRevisions>false</trackRevisions>
    </reviewItem>
    <reviewItem>
      <errorID>d84da0e3-7e2b-4d23-b1f9-d974cc86c019</errorID>
      <errorWord>(</errorWord>
      <group>L1_Format</group>
      <groupName>格式问题</groupName>
      <ability>L2_HalfPunc_CN</ability>
      <abilityName>全半角检查</abilityName>
      <candidateList>
        <item>（</item>
      </candidateList>
      <explain>文本全半角错误。</explain>
      <paraID>68E9C034</paraID>
      <start>127</start>
      <end>128</end>
      <status>unmodified</status>
      <modifiedWord/>
      <trackRevisions>false</trackRevisions>
    </reviewItem>
    <reviewItem>
      <errorID>ffb06bc0-ec94-4c00-a51b-651d3b758e4c</errorID>
      <errorWord>(</errorWord>
      <group>L1_Format</group>
      <groupName>格式问题</groupName>
      <ability>L2_HalfPunc_CN</ability>
      <abilityName>全半角检查</abilityName>
      <candidateList>
        <item>（</item>
      </candidateList>
      <explain>文本全半角错误。</explain>
      <paraID>68E9C034</paraID>
      <start>153</start>
      <end>154</end>
      <status>unmodified</status>
      <modifiedWord/>
      <trackRevisions>false</trackRevisions>
    </reviewItem>
    <reviewItem>
      <errorID>1bd7a6ca-507a-4dd0-bc97-b8aed183914f</errorID>
      <errorWord>(</errorWord>
      <group>L1_Format</group>
      <groupName>格式问题</groupName>
      <ability>L2_HalfPunc_CN</ability>
      <abilityName>全半角检查</abilityName>
      <candidateList>
        <item>（</item>
      </candidateList>
      <explain>文本全半角错误。</explain>
      <paraID>68E9C034</paraID>
      <start>192</start>
      <end>193</end>
      <status>unmodified</status>
      <modifiedWord/>
      <trackRevisions>false</trackRevisions>
    </reviewItem>
    <reviewItem>
      <errorID>1a7e79da-6521-41fb-9f17-ce6dcea19e97</errorID>
      <errorWord>，。</errorWord>
      <group>L1_Punc</group>
      <groupName>标点问题</groupName>
      <ability>L2_Punc_CN</ability>
      <abilityName>标点符号检查</abilityName>
      <candidateList>
        <item>，</item>
      </candidateList>
      <explain/>
      <paraID>2F9EA7AD</paraID>
      <start>264</start>
      <end>266</end>
      <status>unmodified</status>
      <modifiedWord/>
      <trackRevisions>false</trackRevisions>
    </reviewItem>
    <reviewItem>
      <errorID>99d8730f-c900-443e-8352-c9ea88a84b40</errorID>
      <errorWord>,</errorWord>
      <group>L1_Format</group>
      <groupName>格式问题</groupName>
      <ability>L2_HalfPunc_CN</ability>
      <abilityName>全半角检查</abilityName>
      <candidateList>
        <item>，</item>
      </candidateList>
      <explain>文本全半角错误。</explain>
      <paraID>40E25CC5</paraID>
      <start>34</start>
      <end>35</end>
      <status>unmodified</status>
      <modifiedWord/>
      <trackRevisions>false</trackRevisions>
    </reviewItem>
    <reviewItem>
      <errorID>44273838-83f3-44b3-89b7-ac4e24dcfbf0</errorID>
      <errorWord>,</errorWord>
      <group>L1_Format</group>
      <groupName>格式问题</groupName>
      <ability>L2_HalfPunc_CN</ability>
      <abilityName>全半角检查</abilityName>
      <candidateList>
        <item>，</item>
      </candidateList>
      <explain>文本全半角错误。</explain>
      <paraID>6291BCE8</paraID>
      <start>34</start>
      <end>35</end>
      <status>unmodified</status>
      <modifiedWord/>
      <trackRevisions>false</trackRevisions>
    </reviewItem>
    <reviewItem>
      <errorID>60862d7c-557e-4678-b390-fd5a5d5a7746</errorID>
      <errorWord>（</errorWord>
      <group>L1_Punc</group>
      <groupName>标点问题</groupName>
      <ability>L2_Punc_CN</ability>
      <abilityName>标点符号检查</abilityName>
      <candidateList/>
      <explain>同一形式括号套用。</explain>
      <paraID>6576BED2</paraID>
      <start>42</start>
      <end>43</end>
      <status>unmodified</status>
      <modifiedWord/>
      <trackRevisions>false</trackRevisions>
    </reviewItem>
    <reviewItem>
      <errorID>7130063c-f6b2-4126-a6f5-4fcb90641fee</errorID>
      <errorWord>(</errorWord>
      <group>L1_Punc</group>
      <groupName>标点问题</groupName>
      <ability>L2_Punc_CN</ability>
      <abilityName>标点符号检查</abilityName>
      <candidateList/>
      <explain>同一形式括号套用。</explain>
      <paraID>6576BED2</paraID>
      <start>51</start>
      <end>52</end>
      <status>unmodified</status>
      <modifiedWord/>
      <trackRevisions>false</trackRevisions>
    </reviewItem>
    <reviewItem>
      <errorID>f7b8e789-0c5a-48f7-9e99-207facba408c</errorID>
      <errorWord>)</errorWord>
      <group>L1_Punc</group>
      <groupName>标点问题</groupName>
      <ability>L2_Punc_CN</ability>
      <abilityName>标点符号检查</abilityName>
      <candidateList/>
      <explain>同一形式括号套用。</explain>
      <paraID>6576BED2</paraID>
      <start>67</start>
      <end>68</end>
      <status>unmodified</status>
      <modifiedWord/>
      <trackRevisions>false</trackRevisions>
    </reviewItem>
    <reviewItem>
      <errorID>7a33a782-3de3-4529-8603-d15d079ccd61</errorID>
      <errorWord>）</errorWord>
      <group>L1_Punc</group>
      <groupName>标点问题</groupName>
      <ability>L2_Punc_CN</ability>
      <abilityName>标点符号检查</abilityName>
      <candidateList/>
      <explain>同一形式括号套用。</explain>
      <paraID>6576BED2</paraID>
      <start>68</start>
      <end>69</end>
      <status>unmodified</status>
      <modifiedWord/>
      <trackRevisions>false</trackRevisions>
    </reviewItem>
    <reviewItem>
      <errorID>cae2d83c-b658-449e-928a-858ee8df4b33</errorID>
      <errorWord>;</errorWord>
      <group>L1_Format</group>
      <groupName>格式问题</groupName>
      <ability>L2_HalfPunc_CN</ability>
      <abilityName>全半角检查</abilityName>
      <candidateList>
        <item>；</item>
      </candidateList>
      <explain>文本全半角错误。</explain>
      <paraID>198EC31A</paraID>
      <start>170</start>
      <end>171</end>
      <status>unmodified</status>
      <modifiedWord/>
      <trackRevisions>false</trackRevisions>
    </reviewItem>
    <reviewItem>
      <errorID>bac598b6-e368-4f1a-9114-e1dabed84718</errorID>
      <errorWord>无需手动</errorWord>
      <group>L1_Word</group>
      <groupName>字词问题</groupName>
      <ability>L2_Typo</ability>
      <abilityName>字词错误</abilityName>
      <candidateList>
        <item>无须手动</item>
      </candidateList>
      <explain>存在发音相同字词的误用。</explain>
      <paraID>198EC31A</paraID>
      <start>203</start>
      <end>207</end>
      <status>unmodified</status>
      <modifiedWord/>
      <trackRevisions>false</trackRevisions>
    </reviewItem>
    <reviewItem>
      <errorID>b4dba4b4-b8b3-40cf-95c7-0c76401ea3e5</errorID>
      <errorWord>,</errorWord>
      <group>L1_Format</group>
      <groupName>格式问题</groupName>
      <ability>L2_HalfPunc_CN</ability>
      <abilityName>全半角检查</abilityName>
      <candidateList>
        <item>，</item>
      </candidateList>
      <explain>文本全半角错误。</explain>
      <paraID>124D393C</paraID>
      <start>13</start>
      <end>14</end>
      <status>unmodified</status>
      <modifiedWord/>
      <trackRevisions>false</trackRevisions>
    </reviewItem>
    <reviewItem>
      <errorID>a46bb751-c149-4077-9948-4d3df7d976ee</errorID>
      <errorWord>,</errorWord>
      <group>L1_Format</group>
      <groupName>格式问题</groupName>
      <ability>L2_HalfPunc_CN</ability>
      <abilityName>全半角检查</abilityName>
      <candidateList>
        <item>，</item>
      </candidateList>
      <explain>文本全半角错误。</explain>
      <paraID>78AFBC6B</paraID>
      <start>69</start>
      <end>70</end>
      <status>unmodified</status>
      <modifiedWord/>
      <trackRevisions>false</trackRevisions>
    </reviewItem>
    <reviewItem>
      <errorID>11f7f6cc-8dea-46f0-ba13-4644e9f53fd3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5EC2BFB9</paraID>
      <start>103</start>
      <end>104</end>
      <status>unmodified</status>
      <modifiedWord/>
      <trackRevisions>false</trackRevisions>
    </reviewItem>
    <reviewItem>
      <errorID>5b0ffdd6-250c-47f1-b52e-99e273e67b29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757775ED</paraID>
      <start>30</start>
      <end>31</end>
      <status>unmodified</status>
      <modifiedWord/>
      <trackRevisions>false</trackRevisions>
    </reviewItem>
    <reviewItem>
      <errorID>4676cfff-899a-42b2-91e2-51935df1a97e</errorID>
      <errorWord>《政府采购法》</errorWord>
      <group>L1_Word</group>
      <groupName>字词问题</groupName>
      <ability>L2_Typo</ability>
      <abilityName>字词错误</abilityName>
      <candidateList>
        <item>《中华人民共和国政府采购法》</item>
      </candidateList>
      <explain/>
      <paraID>77926B8C</paraID>
      <start>7</start>
      <end>14</end>
      <status>unmodified</status>
      <modifiedWord/>
      <trackRevisions>false</trackRevisions>
    </reviewItem>
    <reviewItem>
      <errorID>355ab51e-e61b-4ee7-9cc0-a0b798f4fb11</errorID>
      <errorWord>《政府采购法》</errorWord>
      <group>L1_Word</group>
      <groupName>字词问题</groupName>
      <ability>L2_Typo</ability>
      <abilityName>字词错误</abilityName>
      <candidateList>
        <item>《中华人民共和国政府采购法》</item>
      </candidateList>
      <explain/>
      <paraID>2849EA20</paraID>
      <start>5</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592A30-22EE-4455-86F3-70BEE13F77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9</cp:revision>
  <dcterms:created xsi:type="dcterms:W3CDTF">2024-07-09T03:08:00Z</dcterms:created>
  <dcterms:modified xsi:type="dcterms:W3CDTF">2026-06-26T01:52:56Z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2052-12.1.0.26375</vt:lpwstr>
  </property>
  <property fmtid="{D5CDD505-2E9C-101B-9397-08002B2CF9AE}" pid="4" name="ICV">
    <vt:lpwstr>B099E24EC6DB4D46A2C3988D8E2DB7FF_13</vt:lpwstr>
  </property>
</Properties>
</file>