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7"/>
        <w:rPr>
          <w:rFonts w:ascii="仿宋" w:hAnsi="仿宋" w:eastAsia="仿宋" w:cs="仿宋"/>
          <w:highlight w:val="none"/>
        </w:rPr>
      </w:pPr>
      <w:r>
        <w:rPr>
          <w:rFonts w:ascii="仿宋" w:hAnsi="仿宋" w:eastAsia="仿宋" w:cs="仿宋"/>
          <w:highlight w:val="none"/>
        </w:rPr>
      </w:r>
      <w:r/>
    </w:p>
    <w:p>
      <w:pPr>
        <w:pStyle w:val="1052"/>
        <w:jc w:val="right"/>
        <w:rPr>
          <w:rFonts w:ascii="仿宋" w:hAnsi="仿宋" w:eastAsia="仿宋" w:cs="仿宋"/>
          <w:highlight w:val="none"/>
        </w:rPr>
      </w:pPr>
      <w:r>
        <w:rPr>
          <w:rFonts w:ascii="仿宋" w:hAnsi="仿宋" w:eastAsia="仿宋" w:cs="仿宋"/>
          <w:highlight w:val="none"/>
        </w:rPr>
      </w:r>
      <w:r/>
    </w:p>
    <w:p>
      <w:pPr>
        <w:pStyle w:val="1052"/>
        <w:rPr>
          <w:rFonts w:ascii="仿宋" w:hAnsi="仿宋" w:eastAsia="仿宋" w:cs="仿宋"/>
          <w:highlight w:val="none"/>
        </w:rPr>
      </w:pPr>
      <w:r>
        <w:rPr>
          <w:rFonts w:ascii="仿宋" w:hAnsi="仿宋" w:eastAsia="仿宋" w:cs="仿宋"/>
          <w:highlight w:val="none"/>
        </w:rPr>
      </w:r>
      <w:r/>
    </w:p>
    <w:p>
      <w:pPr>
        <w:pStyle w:val="1267"/>
        <w:rPr>
          <w:rFonts w:ascii="仿宋" w:hAnsi="仿宋" w:eastAsia="仿宋" w:cs="仿宋"/>
          <w:highlight w:val="none"/>
        </w:rPr>
      </w:pPr>
      <w:r>
        <w:rPr>
          <w:rFonts w:ascii="仿宋" w:hAnsi="仿宋" w:eastAsia="仿宋" w:cs="仿宋"/>
          <w:highlight w:val="none"/>
        </w:rPr>
      </w:r>
      <w:r/>
    </w:p>
    <w:p>
      <w:pPr>
        <w:pStyle w:val="1263"/>
        <w:jc w:val="center"/>
        <w:spacing w:line="360" w:lineRule="auto"/>
        <w:widowControl w:val="off"/>
        <w:rPr>
          <w:rStyle w:val="1305"/>
          <w:rFonts w:ascii="仿宋" w:hAnsi="仿宋" w:eastAsia="仿宋" w:cs="仿宋"/>
          <w:sz w:val="110"/>
          <w:highlight w:val="none"/>
        </w:rPr>
      </w:pPr>
      <w:r>
        <w:rPr>
          <w:rStyle w:val="1305"/>
          <w:rFonts w:hint="eastAsia" w:ascii="仿宋" w:hAnsi="仿宋" w:eastAsia="仿宋" w:cs="仿宋"/>
          <w:sz w:val="110"/>
          <w:highlight w:val="none"/>
        </w:rPr>
        <w:t xml:space="preserve">竞争性磋商文件</w:t>
      </w:r>
      <w:r/>
    </w:p>
    <w:p>
      <w:pPr>
        <w:pStyle w:val="1263"/>
        <w:jc w:val="left"/>
        <w:widowControl w:val="off"/>
        <w:rPr>
          <w:rStyle w:val="1305"/>
          <w:rFonts w:ascii="仿宋" w:hAnsi="仿宋" w:eastAsia="仿宋" w:cs="仿宋"/>
          <w:b/>
          <w:sz w:val="32"/>
          <w:highlight w:val="none"/>
        </w:rPr>
      </w:pPr>
      <w:r>
        <w:rPr>
          <w:rFonts w:ascii="仿宋" w:hAnsi="仿宋" w:eastAsia="仿宋" w:cs="仿宋"/>
          <w:b/>
          <w:sz w:val="32"/>
          <w:highlight w:val="none"/>
        </w:rPr>
      </w:r>
      <w:r/>
    </w:p>
    <w:p>
      <w:pPr>
        <w:pStyle w:val="1263"/>
        <w:jc w:val="left"/>
        <w:widowControl w:val="off"/>
        <w:rPr>
          <w:rStyle w:val="1305"/>
          <w:rFonts w:ascii="仿宋" w:hAnsi="仿宋" w:eastAsia="仿宋" w:cs="仿宋"/>
          <w:b/>
          <w:sz w:val="32"/>
          <w:highlight w:val="none"/>
        </w:rPr>
      </w:pPr>
      <w:r>
        <w:rPr>
          <w:rFonts w:ascii="仿宋" w:hAnsi="仿宋" w:eastAsia="仿宋" w:cs="仿宋"/>
          <w:b/>
          <w:sz w:val="32"/>
          <w:highlight w:val="none"/>
        </w:rPr>
      </w:r>
      <w:r/>
    </w:p>
    <w:p>
      <w:pPr>
        <w:pStyle w:val="1263"/>
        <w:ind w:firstLine="630"/>
        <w:jc w:val="left"/>
        <w:widowControl w:val="off"/>
        <w:rPr>
          <w:rStyle w:val="1305"/>
          <w:rFonts w:ascii="仿宋" w:hAnsi="仿宋" w:eastAsia="仿宋" w:cs="仿宋"/>
          <w:sz w:val="32"/>
          <w:highlight w:val="none"/>
        </w:rPr>
      </w:pPr>
      <w:r>
        <w:rPr>
          <w:rFonts w:ascii="仿宋" w:hAnsi="仿宋" w:eastAsia="仿宋" w:cs="仿宋"/>
          <w:sz w:val="32"/>
          <w:highlight w:val="none"/>
        </w:rPr>
      </w:r>
      <w:r/>
    </w:p>
    <w:p>
      <w:pPr>
        <w:pStyle w:val="1263"/>
        <w:ind w:left="2877" w:hanging="1600"/>
        <w:jc w:val="left"/>
        <w:spacing w:line="360" w:lineRule="auto"/>
        <w:widowControl w:val="off"/>
        <w:rPr>
          <w:rStyle w:val="1305"/>
          <w:rFonts w:ascii="仿宋" w:hAnsi="仿宋" w:eastAsia="仿宋" w:cs="仿宋"/>
          <w:sz w:val="32"/>
          <w:highlight w:val="none"/>
        </w:rPr>
      </w:pPr>
      <w:r>
        <w:rPr>
          <w:rStyle w:val="1305"/>
          <w:rFonts w:hint="eastAsia" w:ascii="仿宋" w:hAnsi="仿宋" w:eastAsia="仿宋" w:cs="仿宋"/>
          <w:sz w:val="32"/>
          <w:highlight w:val="none"/>
        </w:rPr>
        <w:t xml:space="preserve">项目名称：交管支队车管所考试场地整修</w:t>
      </w:r>
      <w:r/>
    </w:p>
    <w:p>
      <w:pPr>
        <w:pStyle w:val="1263"/>
        <w:ind w:left="840" w:firstLine="420"/>
        <w:jc w:val="left"/>
        <w:spacing w:line="360" w:lineRule="auto"/>
        <w:widowControl w:val="off"/>
        <w:rPr>
          <w:rStyle w:val="1305"/>
          <w:rFonts w:ascii="仿宋" w:hAnsi="仿宋" w:eastAsia="仿宋" w:cs="仿宋"/>
          <w:color w:val="ff0000"/>
          <w:sz w:val="32"/>
          <w:highlight w:val="none"/>
        </w:rPr>
      </w:pPr>
      <w:r>
        <w:rPr>
          <w:rStyle w:val="1305"/>
          <w:rFonts w:hint="eastAsia" w:ascii="仿宋" w:hAnsi="仿宋" w:eastAsia="仿宋" w:cs="仿宋"/>
          <w:color w:val="000000" w:themeColor="text1"/>
          <w:sz w:val="32"/>
          <w:highlight w:val="none"/>
        </w:rPr>
        <w:t xml:space="preserve">项目编号：JSZC-320300-XZBP-C2026-0003  </w:t>
      </w:r>
      <w:r/>
    </w:p>
    <w:p>
      <w:pPr>
        <w:pStyle w:val="1263"/>
        <w:ind w:left="840" w:firstLine="420"/>
        <w:jc w:val="left"/>
        <w:spacing w:line="360" w:lineRule="auto"/>
        <w:widowControl w:val="off"/>
        <w:rPr>
          <w:rStyle w:val="1305"/>
          <w:rFonts w:ascii="仿宋" w:hAnsi="仿宋" w:eastAsia="仿宋" w:cs="仿宋"/>
          <w:sz w:val="32"/>
          <w:highlight w:val="none"/>
        </w:rPr>
      </w:pPr>
      <w:r>
        <w:rPr>
          <w:rStyle w:val="1305"/>
          <w:rFonts w:hint="eastAsia" w:ascii="仿宋" w:hAnsi="仿宋" w:eastAsia="仿宋" w:cs="仿宋"/>
          <w:sz w:val="32"/>
          <w:highlight w:val="none"/>
        </w:rPr>
        <w:t xml:space="preserve">采 购 人：徐州市公安局交通管理支队</w:t>
      </w:r>
      <w:r/>
    </w:p>
    <w:p>
      <w:pPr>
        <w:pStyle w:val="1263"/>
        <w:ind w:firstLine="960"/>
        <w:jc w:val="left"/>
        <w:widowControl w:val="off"/>
        <w:rPr>
          <w:rStyle w:val="1305"/>
          <w:rFonts w:ascii="仿宋" w:hAnsi="仿宋" w:eastAsia="仿宋" w:cs="仿宋"/>
          <w:sz w:val="32"/>
          <w:highlight w:val="none"/>
        </w:rPr>
      </w:pPr>
      <w:r>
        <w:rPr>
          <w:rFonts w:ascii="仿宋" w:hAnsi="仿宋" w:eastAsia="仿宋" w:cs="仿宋"/>
          <w:sz w:val="32"/>
          <w:highlight w:val="none"/>
        </w:rPr>
      </w:r>
      <w:r/>
    </w:p>
    <w:p>
      <w:pPr>
        <w:pStyle w:val="1263"/>
        <w:jc w:val="center"/>
        <w:widowControl w:val="off"/>
        <w:rPr>
          <w:rStyle w:val="1305"/>
          <w:rFonts w:ascii="仿宋" w:hAnsi="仿宋" w:eastAsia="仿宋" w:cs="仿宋"/>
          <w:sz w:val="32"/>
          <w:highlight w:val="none"/>
        </w:rPr>
      </w:pPr>
      <w:r>
        <w:rPr>
          <w:rFonts w:ascii="仿宋" w:hAnsi="仿宋" w:eastAsia="仿宋" w:cs="仿宋"/>
          <w:sz w:val="32"/>
          <w:highlight w:val="none"/>
        </w:rPr>
      </w:r>
      <w:r/>
    </w:p>
    <w:p>
      <w:pPr>
        <w:pStyle w:val="1267"/>
        <w:rPr>
          <w:rStyle w:val="1305"/>
          <w:rFonts w:ascii="仿宋" w:hAnsi="仿宋" w:eastAsia="仿宋" w:cs="仿宋"/>
          <w:sz w:val="32"/>
          <w:highlight w:val="none"/>
        </w:rPr>
      </w:pPr>
      <w:r>
        <w:rPr>
          <w:rFonts w:ascii="仿宋" w:hAnsi="仿宋" w:eastAsia="仿宋" w:cs="仿宋"/>
          <w:sz w:val="32"/>
          <w:highlight w:val="none"/>
        </w:rPr>
      </w:r>
      <w:r/>
    </w:p>
    <w:p>
      <w:pPr>
        <w:pStyle w:val="1267"/>
        <w:rPr>
          <w:rStyle w:val="1305"/>
          <w:rFonts w:ascii="仿宋" w:hAnsi="仿宋" w:eastAsia="仿宋" w:cs="仿宋"/>
          <w:sz w:val="32"/>
          <w:highlight w:val="none"/>
        </w:rPr>
      </w:pPr>
      <w:r>
        <w:rPr>
          <w:rFonts w:ascii="仿宋" w:hAnsi="仿宋" w:eastAsia="仿宋" w:cs="仿宋"/>
          <w:sz w:val="32"/>
          <w:highlight w:val="none"/>
        </w:rPr>
      </w:r>
      <w:r/>
    </w:p>
    <w:p>
      <w:pPr>
        <w:pStyle w:val="1267"/>
        <w:rPr>
          <w:rStyle w:val="1305"/>
          <w:rFonts w:ascii="仿宋" w:hAnsi="仿宋" w:eastAsia="仿宋" w:cs="仿宋"/>
          <w:sz w:val="32"/>
          <w:highlight w:val="none"/>
        </w:rPr>
      </w:pPr>
      <w:r>
        <w:rPr>
          <w:rFonts w:ascii="仿宋" w:hAnsi="仿宋" w:eastAsia="仿宋" w:cs="仿宋"/>
          <w:sz w:val="32"/>
          <w:highlight w:val="none"/>
        </w:rPr>
      </w:r>
      <w:r/>
    </w:p>
    <w:p>
      <w:pPr>
        <w:pStyle w:val="1267"/>
        <w:rPr>
          <w:rStyle w:val="1305"/>
          <w:rFonts w:ascii="仿宋" w:hAnsi="仿宋" w:eastAsia="仿宋" w:cs="仿宋"/>
          <w:sz w:val="32"/>
          <w:highlight w:val="none"/>
        </w:rPr>
      </w:pPr>
      <w:r>
        <w:rPr>
          <w:rFonts w:ascii="仿宋" w:hAnsi="仿宋" w:eastAsia="仿宋" w:cs="仿宋"/>
          <w:sz w:val="32"/>
          <w:highlight w:val="none"/>
        </w:rPr>
      </w:r>
      <w:r/>
    </w:p>
    <w:p>
      <w:pPr>
        <w:pStyle w:val="1267"/>
        <w:rPr>
          <w:rStyle w:val="1305"/>
          <w:rFonts w:ascii="仿宋" w:hAnsi="仿宋" w:eastAsia="仿宋" w:cs="仿宋"/>
          <w:sz w:val="32"/>
          <w:highlight w:val="none"/>
        </w:rPr>
      </w:pPr>
      <w:r>
        <w:rPr>
          <w:rFonts w:ascii="仿宋" w:hAnsi="仿宋" w:eastAsia="仿宋" w:cs="仿宋"/>
          <w:sz w:val="32"/>
          <w:highlight w:val="none"/>
        </w:rPr>
      </w:r>
      <w:r/>
    </w:p>
    <w:p>
      <w:pPr>
        <w:pStyle w:val="1267"/>
        <w:ind w:left="0" w:firstLine="0"/>
        <w:jc w:val="center"/>
        <w:rPr>
          <w:rStyle w:val="1305"/>
          <w:rFonts w:ascii="仿宋" w:hAnsi="仿宋" w:eastAsia="仿宋" w:cs="仿宋"/>
          <w:sz w:val="32"/>
          <w:highlight w:val="none"/>
        </w:rPr>
      </w:pPr>
      <w:r>
        <w:rPr>
          <w:rFonts w:hint="eastAsia" w:ascii="仿宋" w:hAnsi="仿宋" w:eastAsia="仿宋" w:cs="仿宋"/>
          <w:color w:val="000000" w:themeColor="text1"/>
          <w:sz w:val="30"/>
          <w:highlight w:val="none"/>
          <w14:textFill>
            <w14:solidFill>
              <w14:schemeClr w14:val="tx1"/>
            </w14:solidFill>
          </w14:textFill>
        </w:rPr>
        <w:t xml:space="preserve">采购代理机构：徐州保平建设项目管理咨询有限公司</w:t>
      </w:r>
      <w:r/>
    </w:p>
    <w:p>
      <w:pPr>
        <w:pStyle w:val="1267"/>
        <w:ind w:left="0" w:right="0" w:firstLine="560"/>
        <w:jc w:val="center"/>
        <w:widowControl w:val="off"/>
        <w:rPr>
          <w:rFonts w:ascii="仿宋" w:hAnsi="仿宋" w:eastAsia="仿宋" w:cs="仿宋"/>
          <w:highlight w:val="none"/>
        </w:rPr>
      </w:pPr>
      <w:r>
        <w:rPr>
          <w:rFonts w:ascii="仿宋" w:hAnsi="仿宋" w:eastAsia="仿宋" w:cs="仿宋"/>
          <w:highlight w:val="none"/>
        </w:rPr>
      </w:r>
      <w:r/>
    </w:p>
    <w:p>
      <w:pPr>
        <w:pStyle w:val="1263"/>
        <w:jc w:val="center"/>
        <w:widowControl w:val="off"/>
        <w:rPr>
          <w:rStyle w:val="1305"/>
          <w:rFonts w:ascii="仿宋" w:hAnsi="仿宋" w:eastAsia="仿宋" w:cs="仿宋"/>
          <w:sz w:val="32"/>
          <w:highlight w:val="none"/>
        </w:rPr>
      </w:pPr>
      <w:r>
        <w:rPr>
          <w:rStyle w:val="1305"/>
          <w:rFonts w:hint="eastAsia" w:ascii="仿宋" w:hAnsi="仿宋" w:eastAsia="仿宋" w:cs="仿宋"/>
          <w:sz w:val="32"/>
          <w:highlight w:val="none"/>
        </w:rPr>
        <w:t xml:space="preserve">二〇二六年</w:t>
      </w:r>
      <w:r>
        <w:rPr>
          <w:rStyle w:val="1305"/>
          <w:rFonts w:hint="eastAsia" w:ascii="仿宋" w:hAnsi="仿宋" w:eastAsia="仿宋" w:cs="仿宋"/>
          <w:sz w:val="32"/>
          <w:highlight w:val="none"/>
        </w:rPr>
        <w:t xml:space="preserve">六</w:t>
      </w:r>
      <w:r>
        <w:rPr>
          <w:rStyle w:val="1305"/>
          <w:rFonts w:hint="eastAsia" w:ascii="仿宋" w:hAnsi="仿宋" w:eastAsia="仿宋" w:cs="仿宋"/>
          <w:sz w:val="32"/>
          <w:highlight w:val="none"/>
        </w:rPr>
        <w:t xml:space="preserve">月</w:t>
      </w:r>
      <w:r/>
    </w:p>
    <w:p>
      <w:pPr>
        <w:widowControl w:val="off"/>
        <w:rPr>
          <w:rFonts w:ascii="仿宋" w:hAnsi="仿宋" w:eastAsia="仿宋" w:cs="仿宋"/>
          <w:b/>
          <w:highlight w:val="none"/>
        </w:rPr>
      </w:pPr>
      <w:r>
        <w:rPr>
          <w:rFonts w:hint="eastAsia" w:ascii="仿宋" w:hAnsi="仿宋" w:eastAsia="仿宋" w:cs="仿宋"/>
          <w:b/>
          <w:bCs/>
          <w:highlight w:val="none"/>
        </w:rPr>
        <w:br w:type="page" w:clear="all"/>
      </w:r>
      <w:r/>
    </w:p>
    <w:p>
      <w:pPr>
        <w:pStyle w:val="1399"/>
        <w:ind w:firstLine="4498"/>
        <w:jc w:val="both"/>
        <w:keepLines w:val="0"/>
        <w:keepNext w:val="0"/>
        <w:widowControl w:val="off"/>
        <w:rPr>
          <w:rFonts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目</w:t>
      </w:r>
      <w:r>
        <w:rPr>
          <w:rFonts w:hint="eastAsia" w:ascii="仿宋" w:hAnsi="仿宋" w:eastAsia="仿宋" w:cs="仿宋"/>
          <w:b/>
          <w:bCs/>
          <w:color w:val="auto"/>
          <w:highlight w:val="none"/>
        </w:rPr>
        <w:t xml:space="preserve"> </w:t>
      </w:r>
      <w:r>
        <w:rPr>
          <w:rFonts w:hint="eastAsia" w:ascii="仿宋" w:hAnsi="仿宋" w:eastAsia="仿宋" w:cs="仿宋"/>
          <w:b/>
          <w:bCs/>
          <w:color w:val="auto"/>
          <w:highlight w:val="none"/>
          <w:lang w:val="zh-CN"/>
        </w:rPr>
        <w:t xml:space="preserve">录</w:t>
      </w:r>
      <w:r/>
    </w:p>
    <w:p>
      <w:pPr>
        <w:pStyle w:val="1291"/>
        <w:spacing w:line="360" w:lineRule="auto"/>
        <w:widowControl w:val="off"/>
        <w:tabs>
          <w:tab w:val="right" w:pos="9736" w:leader="dot"/>
        </w:tabs>
        <w:rPr>
          <w:rStyle w:val="1303"/>
          <w:rFonts w:ascii="仿宋" w:hAnsi="仿宋" w:eastAsia="仿宋" w:cs="仿宋"/>
          <w:color w:val="auto"/>
          <w:sz w:val="24"/>
          <w:szCs w:val="24"/>
          <w:highlight w:val="none"/>
          <w:u w:val="none"/>
        </w:rPr>
      </w:pPr>
      <w:r>
        <w:rPr>
          <w:rFonts w:ascii="仿宋" w:hAnsi="仿宋" w:eastAsia="仿宋" w:cs="仿宋"/>
          <w:color w:val="auto"/>
          <w:sz w:val="24"/>
          <w:szCs w:val="24"/>
          <w:highlight w:val="none"/>
          <w:u w:val="none"/>
        </w:rPr>
      </w:r>
      <w:r/>
    </w:p>
    <w:p>
      <w:pPr>
        <w:pStyle w:val="1067"/>
        <w:spacing w:line="312" w:lineRule="auto"/>
        <w:tabs>
          <w:tab w:val="right" w:pos="9692" w:leader="dot"/>
        </w:tabs>
        <w:rPr>
          <w:rFonts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TOC \o "1-3" \h \z \u </w:instrText>
      </w:r>
      <w:r>
        <w:rPr>
          <w:rFonts w:hint="eastAsia" w:ascii="仿宋" w:hAnsi="仿宋" w:eastAsia="仿宋" w:cs="仿宋"/>
          <w:sz w:val="24"/>
          <w:szCs w:val="24"/>
          <w:highlight w:val="none"/>
        </w:rPr>
        <w:fldChar w:fldCharType="separate"/>
      </w:r>
      <w:r>
        <w:rPr>
          <w:highlight w:val="none"/>
        </w:rPr>
        <w:fldChar w:fldCharType="begin"/>
      </w:r>
      <w:r>
        <w:rPr>
          <w:highlight w:val="none"/>
        </w:rPr>
        <w:instrText xml:space="preserve"> HYPERLINK \l "_Toc5081" </w:instrText>
      </w:r>
      <w:r>
        <w:rPr>
          <w:highlight w:val="none"/>
        </w:rPr>
        <w:fldChar w:fldCharType="separate"/>
      </w:r>
      <w:r>
        <w:rPr>
          <w:rFonts w:hint="eastAsia" w:ascii="仿宋" w:hAnsi="仿宋" w:eastAsia="仿宋" w:cs="仿宋"/>
          <w:sz w:val="24"/>
          <w:szCs w:val="24"/>
          <w:highlight w:val="none"/>
        </w:rPr>
        <w:t xml:space="preserve">竞争性磋商文件</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_Toc5081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1067"/>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"_Toc12213" </w:instrText>
      </w:r>
      <w:r>
        <w:rPr>
          <w:highlight w:val="none"/>
        </w:rPr>
        <w:fldChar w:fldCharType="separate"/>
      </w:r>
      <w:r>
        <w:rPr>
          <w:rFonts w:hint="eastAsia" w:ascii="仿宋" w:hAnsi="仿宋" w:eastAsia="仿宋" w:cs="仿宋"/>
          <w:sz w:val="24"/>
          <w:szCs w:val="24"/>
          <w:highlight w:val="none"/>
        </w:rPr>
        <w:t xml:space="preserve">第一章 项目说明</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_Toc12213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1067"/>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"_Toc9865" </w:instrText>
      </w:r>
      <w:r>
        <w:rPr>
          <w:highlight w:val="none"/>
        </w:rPr>
        <w:fldChar w:fldCharType="separate"/>
      </w:r>
      <w:r>
        <w:rPr>
          <w:rFonts w:hint="eastAsia" w:ascii="仿宋" w:hAnsi="仿宋" w:eastAsia="仿宋" w:cs="仿宋"/>
          <w:sz w:val="24"/>
          <w:szCs w:val="24"/>
          <w:highlight w:val="none"/>
        </w:rPr>
        <w:t xml:space="preserve">第二章 响应文件要求</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_Toc9865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1067"/>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"_Toc27519" </w:instrText>
      </w:r>
      <w:r>
        <w:rPr>
          <w:highlight w:val="none"/>
        </w:rPr>
        <w:fldChar w:fldCharType="separate"/>
      </w:r>
      <w:r>
        <w:rPr>
          <w:rFonts w:hint="eastAsia" w:ascii="仿宋" w:hAnsi="仿宋" w:eastAsia="仿宋" w:cs="仿宋"/>
          <w:sz w:val="24"/>
          <w:szCs w:val="24"/>
          <w:highlight w:val="none"/>
        </w:rPr>
        <w:t xml:space="preserve">第三章 磋商相关说明</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_Toc27519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1067"/>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"_Toc17980" </w:instrText>
      </w:r>
      <w:r>
        <w:rPr>
          <w:highlight w:val="none"/>
        </w:rPr>
        <w:fldChar w:fldCharType="separate"/>
      </w:r>
      <w:r>
        <w:rPr>
          <w:rFonts w:hint="eastAsia" w:ascii="仿宋" w:hAnsi="仿宋" w:eastAsia="仿宋" w:cs="仿宋"/>
          <w:bCs/>
          <w:sz w:val="24"/>
          <w:szCs w:val="24"/>
          <w:highlight w:val="none"/>
        </w:rPr>
        <w:t xml:space="preserve">第四章 确定成交供应商及合同签订等</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_Toc17980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1067"/>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"_Toc1882" </w:instrText>
      </w:r>
      <w:r>
        <w:rPr>
          <w:highlight w:val="none"/>
        </w:rPr>
        <w:fldChar w:fldCharType="separate"/>
      </w:r>
      <w:r>
        <w:rPr>
          <w:rFonts w:hint="eastAsia" w:ascii="仿宋" w:hAnsi="仿宋" w:eastAsia="仿宋" w:cs="仿宋"/>
          <w:bCs/>
          <w:sz w:val="24"/>
          <w:szCs w:val="24"/>
          <w:highlight w:val="none"/>
        </w:rPr>
        <w:t xml:space="preserve">第五章 磋商文件的澄清或者修改</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_Toc1882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1067"/>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"_Toc9582" </w:instrText>
      </w:r>
      <w:r>
        <w:rPr>
          <w:highlight w:val="none"/>
        </w:rPr>
        <w:fldChar w:fldCharType="separate"/>
      </w:r>
      <w:r>
        <w:rPr>
          <w:rFonts w:hint="eastAsia" w:ascii="仿宋" w:hAnsi="仿宋" w:eastAsia="仿宋" w:cs="仿宋"/>
          <w:bCs/>
          <w:sz w:val="24"/>
          <w:szCs w:val="24"/>
          <w:highlight w:val="none"/>
        </w:rPr>
        <w:t xml:space="preserve">第六章 询问和质疑</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fldChar w:fldCharType="end"/>
      </w:r>
      <w:r>
        <w:rPr>
          <w:rFonts w:hint="eastAsia" w:ascii="仿宋" w:hAnsi="仿宋" w:eastAsia="仿宋" w:cs="仿宋"/>
          <w:bCs/>
          <w:sz w:val="24"/>
          <w:szCs w:val="24"/>
          <w:highlight w:val="none"/>
        </w:rPr>
        <w:t xml:space="preserve">1</w:t>
      </w:r>
      <w:r/>
    </w:p>
    <w:p>
      <w:pPr>
        <w:pStyle w:val="1067"/>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"_Toc26268" </w:instrText>
      </w:r>
      <w:r>
        <w:rPr>
          <w:highlight w:val="none"/>
        </w:rPr>
        <w:fldChar w:fldCharType="separate"/>
      </w:r>
      <w:r>
        <w:rPr>
          <w:rFonts w:hint="eastAsia" w:ascii="仿宋" w:hAnsi="仿宋" w:eastAsia="仿宋" w:cs="仿宋"/>
          <w:sz w:val="24"/>
          <w:szCs w:val="24"/>
          <w:highlight w:val="none"/>
        </w:rPr>
        <w:t xml:space="preserve">第七章 其他</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fldChar w:fldCharType="end"/>
      </w:r>
      <w:r>
        <w:rPr>
          <w:rFonts w:hint="eastAsia" w:ascii="仿宋" w:hAnsi="仿宋" w:eastAsia="仿宋" w:cs="仿宋"/>
          <w:bCs/>
          <w:sz w:val="24"/>
          <w:szCs w:val="24"/>
          <w:highlight w:val="none"/>
        </w:rPr>
        <w:t xml:space="preserve">2</w:t>
      </w:r>
      <w:r/>
    </w:p>
    <w:p>
      <w:pPr>
        <w:pStyle w:val="1067"/>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"_Toc20928" </w:instrText>
      </w:r>
      <w:r>
        <w:rPr>
          <w:highlight w:val="none"/>
        </w:rPr>
        <w:fldChar w:fldCharType="separate"/>
      </w:r>
      <w:r>
        <w:rPr>
          <w:rFonts w:hint="eastAsia" w:ascii="仿宋" w:hAnsi="仿宋" w:eastAsia="仿宋" w:cs="仿宋"/>
          <w:sz w:val="24"/>
          <w:szCs w:val="24"/>
          <w:highlight w:val="none"/>
        </w:rPr>
        <w:t xml:space="preserve">第八章 附件</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fldChar w:fldCharType="end"/>
      </w:r>
      <w:r>
        <w:rPr>
          <w:rFonts w:hint="eastAsia" w:ascii="仿宋" w:hAnsi="仿宋" w:eastAsia="仿宋" w:cs="仿宋"/>
          <w:bCs/>
          <w:sz w:val="24"/>
          <w:szCs w:val="24"/>
          <w:highlight w:val="none"/>
        </w:rPr>
        <w:t xml:space="preserve">3</w:t>
      </w:r>
      <w:r/>
    </w:p>
    <w:p>
      <w:pPr>
        <w:pStyle w:val="1067"/>
        <w:spacing w:line="312" w:lineRule="auto"/>
        <w:tabs>
          <w:tab w:val="right" w:pos="9692" w:leader="dot"/>
        </w:tabs>
        <w:rPr>
          <w:rFonts w:ascii="仿宋" w:hAnsi="仿宋" w:eastAsia="仿宋" w:cs="仿宋"/>
          <w:highlight w:val="none"/>
        </w:rPr>
      </w:pPr>
      <w:r>
        <w:rPr>
          <w:rFonts w:ascii="仿宋" w:hAnsi="仿宋" w:eastAsia="仿宋" w:cs="仿宋"/>
          <w:highlight w:val="none"/>
        </w:rPr>
      </w:r>
      <w:r/>
    </w:p>
    <w:p>
      <w:pPr>
        <w:pStyle w:val="1263"/>
        <w:spacing w:line="360" w:lineRule="auto"/>
        <w:widowControl w:val="off"/>
        <w:rPr>
          <w:rStyle w:val="1305"/>
          <w:rFonts w:ascii="仿宋" w:hAnsi="仿宋" w:eastAsia="仿宋" w:cs="仿宋"/>
          <w:b/>
          <w:sz w:val="36"/>
          <w:highlight w:val="none"/>
        </w:rPr>
        <w:sectPr>
          <w:headerReference w:type="default" r:id="rId9"/>
          <w:headerReference w:type="first" r:id="rId10"/>
          <w:footerReference w:type="default" r:id="rId16"/>
          <w:footnotePr/>
          <w:endnotePr/>
          <w:type w:val="nextPage"/>
          <w:pgSz w:w="11906" w:h="16838" w:orient="portrait"/>
          <w:pgMar w:top="1440" w:right="1134" w:bottom="1440" w:left="1080" w:header="851" w:footer="992" w:gutter="0"/>
          <w:pgNumType w:start="1"/>
          <w:cols w:num="1" w:sep="0" w:space="1701" w:equalWidth="1"/>
          <w:docGrid w:linePitch="360"/>
        </w:sectPr>
      </w:pPr>
      <w:r>
        <w:rPr>
          <w:rFonts w:hint="eastAsia" w:ascii="仿宋" w:hAnsi="仿宋" w:eastAsia="仿宋" w:cs="仿宋"/>
          <w:bCs/>
          <w:szCs w:val="24"/>
          <w:highlight w:val="none"/>
          <w:lang w:val="zh-CN"/>
        </w:rPr>
        <w:fldChar w:fldCharType="end"/>
      </w:r>
      <w:r/>
    </w:p>
    <w:p>
      <w:pPr>
        <w:pStyle w:val="1263"/>
        <w:jc w:val="center"/>
        <w:widowControl w:val="off"/>
        <w:rPr>
          <w:rStyle w:val="1305"/>
          <w:rFonts w:ascii="仿宋" w:hAnsi="仿宋" w:eastAsia="仿宋" w:cs="仿宋"/>
          <w:b/>
          <w:sz w:val="36"/>
          <w:highlight w:val="none"/>
        </w:rPr>
        <w:outlineLvl w:val="0"/>
      </w:pPr>
      <w:r/>
      <w:bookmarkStart w:id="0" w:name="_Toc5081"/>
      <w:r>
        <w:rPr>
          <w:rStyle w:val="1305"/>
          <w:rFonts w:hint="eastAsia" w:ascii="仿宋" w:hAnsi="仿宋" w:eastAsia="仿宋" w:cs="仿宋"/>
          <w:b/>
          <w:sz w:val="36"/>
          <w:highlight w:val="none"/>
        </w:rPr>
        <w:t xml:space="preserve">竞争性磋商文件</w:t>
      </w:r>
      <w:bookmarkEnd w:id="0"/>
      <w:r/>
      <w:r/>
    </w:p>
    <w:p>
      <w:pPr>
        <w:pStyle w:val="1263"/>
        <w:jc w:val="center"/>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项目编号</w:t>
      </w:r>
      <w:r>
        <w:rPr>
          <w:rStyle w:val="1305"/>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rPr>
        <w:t xml:space="preserve">JSZC-320300-XZBP-C2026-0003</w:t>
      </w:r>
      <w:r>
        <w:rPr>
          <w:rStyle w:val="1305"/>
          <w:rFonts w:hint="eastAsia" w:ascii="仿宋" w:hAnsi="仿宋" w:eastAsia="仿宋" w:cs="仿宋"/>
          <w:color w:val="000000" w:themeColor="text1"/>
          <w:sz w:val="24"/>
          <w:szCs w:val="24"/>
          <w:highlight w:val="none"/>
        </w:rPr>
        <w:t xml:space="preserve">   </w:t>
      </w:r>
      <w:r/>
    </w:p>
    <w:p>
      <w:pPr>
        <w:pStyle w:val="1263"/>
        <w:jc w:val="left"/>
        <w:spacing w:line="312" w:lineRule="auto"/>
        <w:widowControl w:val="off"/>
        <w:tabs>
          <w:tab w:val="left" w:pos="3240" w:leader="none"/>
        </w:tabs>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（供应商）：</w:t>
      </w:r>
      <w:r/>
    </w:p>
    <w:p>
      <w:pPr>
        <w:pStyle w:val="1263"/>
        <w:ind w:firstLine="499"/>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sz w:val="24"/>
          <w:szCs w:val="24"/>
          <w:highlight w:val="none"/>
          <w:u w:val="single"/>
        </w:rPr>
        <w:t xml:space="preserve">徐州保平建设项目管理咨询有限公司</w:t>
      </w:r>
      <w:r>
        <w:rPr>
          <w:rStyle w:val="1305"/>
          <w:rFonts w:hint="eastAsia" w:ascii="仿宋" w:hAnsi="仿宋" w:eastAsia="仿宋" w:cs="仿宋"/>
          <w:sz w:val="24"/>
          <w:szCs w:val="24"/>
          <w:highlight w:val="none"/>
        </w:rPr>
        <w:t xml:space="preserve">对</w:t>
      </w:r>
      <w:r>
        <w:rPr>
          <w:rFonts w:hint="eastAsia" w:ascii="仿宋" w:hAnsi="仿宋" w:eastAsia="仿宋" w:cs="仿宋"/>
          <w:sz w:val="24"/>
          <w:szCs w:val="24"/>
          <w:highlight w:val="none"/>
          <w:u w:val="single"/>
        </w:rPr>
        <w:t xml:space="preserve">交管支队车管所考试场地整修</w:t>
      </w:r>
      <w:r>
        <w:rPr>
          <w:rStyle w:val="1305"/>
          <w:rFonts w:hint="eastAsia" w:ascii="仿宋" w:hAnsi="仿宋" w:eastAsia="仿宋" w:cs="仿宋"/>
          <w:sz w:val="24"/>
          <w:szCs w:val="24"/>
          <w:highlight w:val="none"/>
        </w:rPr>
        <w:t xml:space="preserve">采取竞争性磋商采购方式进行采购。如贵单位有意与本公司合作，请按以下竞争性磋商文件（以下简称磋商文件）要求参加磋商。</w:t>
      </w:r>
      <w:r/>
    </w:p>
    <w:p>
      <w:pPr>
        <w:pStyle w:val="1271"/>
        <w:jc w:val="center"/>
        <w:keepLines w:val="0"/>
        <w:keepNext w:val="0"/>
        <w:spacing w:before="0" w:after="0" w:line="312" w:lineRule="auto"/>
        <w:widowControl w:val="off"/>
        <w:rPr>
          <w:rStyle w:val="1305"/>
          <w:rFonts w:ascii="仿宋" w:hAnsi="仿宋" w:eastAsia="仿宋" w:cs="仿宋"/>
          <w:sz w:val="24"/>
          <w:szCs w:val="24"/>
          <w:highlight w:val="none"/>
        </w:rPr>
      </w:pPr>
      <w:r/>
      <w:bookmarkStart w:id="1" w:name="_Toc12213"/>
      <w:r>
        <w:rPr>
          <w:rStyle w:val="1305"/>
          <w:rFonts w:hint="eastAsia" w:ascii="仿宋" w:hAnsi="仿宋" w:eastAsia="仿宋" w:cs="仿宋"/>
          <w:sz w:val="24"/>
          <w:szCs w:val="24"/>
          <w:highlight w:val="none"/>
        </w:rPr>
        <w:t xml:space="preserve">第一章 项目说明</w:t>
      </w:r>
      <w:bookmarkEnd w:id="1"/>
      <w:r/>
      <w:r/>
    </w:p>
    <w:p>
      <w:pPr>
        <w:pStyle w:val="1263"/>
        <w:jc w:val="left"/>
        <w:spacing w:line="312" w:lineRule="auto"/>
        <w:widowControl w:val="off"/>
        <w:rPr>
          <w:rStyle w:val="1305"/>
          <w:rFonts w:ascii="仿宋" w:hAnsi="仿宋" w:eastAsia="仿宋" w:cs="仿宋"/>
          <w:color w:val="000000" w:themeColor="text1"/>
          <w:sz w:val="24"/>
          <w:szCs w:val="24"/>
          <w:highlight w:val="none"/>
        </w:rPr>
      </w:pPr>
      <w:r>
        <w:rPr>
          <w:rStyle w:val="1305"/>
          <w:rFonts w:hint="eastAsia" w:ascii="仿宋" w:hAnsi="仿宋" w:eastAsia="仿宋" w:cs="仿宋"/>
          <w:sz w:val="24"/>
          <w:szCs w:val="24"/>
          <w:highlight w:val="none"/>
        </w:rPr>
        <w:t xml:space="preserve">一</w:t>
      </w:r>
      <w:r>
        <w:rPr>
          <w:rStyle w:val="1305"/>
          <w:rFonts w:hint="eastAsia" w:ascii="仿宋" w:hAnsi="仿宋" w:eastAsia="仿宋" w:cs="仿宋"/>
          <w:color w:val="000000" w:themeColor="text1"/>
          <w:sz w:val="24"/>
          <w:szCs w:val="24"/>
          <w:highlight w:val="none"/>
        </w:rPr>
        <w:t xml:space="preserve">、项目概况</w:t>
      </w:r>
      <w:r>
        <w:rPr>
          <w:color w:val="000000" w:themeColor="text1"/>
        </w:rPr>
      </w:r>
    </w:p>
    <w:p>
      <w:pPr>
        <w:pStyle w:val="1263"/>
        <w:ind w:firstLine="480"/>
        <w:jc w:val="left"/>
        <w:spacing w:line="312" w:lineRule="auto"/>
        <w:widowControl w:val="off"/>
        <w:rPr>
          <w:rFonts w:ascii="仿宋" w:hAnsi="仿宋" w:eastAsia="仿宋" w:cs="仿宋"/>
          <w:b/>
          <w:color w:val="000000" w:themeColor="text1"/>
          <w:sz w:val="24"/>
          <w:szCs w:val="24"/>
          <w:highlight w:val="none"/>
        </w:rPr>
      </w:pPr>
      <w:r>
        <w:rPr>
          <w:rFonts w:hint="eastAsia" w:ascii="仿宋" w:hAnsi="仿宋" w:eastAsia="仿宋" w:cs="仿宋"/>
          <w:color w:val="000000" w:themeColor="text1"/>
          <w:sz w:val="24"/>
          <w:szCs w:val="24"/>
          <w:highlight w:val="none"/>
        </w:rPr>
        <w:t xml:space="preserve">1、采 购 人：徐州市公安局交通管理支队</w:t>
      </w:r>
      <w:r>
        <w:rPr>
          <w:color w:val="000000" w:themeColor="text1"/>
        </w:rPr>
      </w:r>
    </w:p>
    <w:p>
      <w:pPr>
        <w:pStyle w:val="1263"/>
        <w:ind w:firstLine="480"/>
        <w:jc w:val="left"/>
        <w:spacing w:line="312" w:lineRule="auto"/>
        <w:widowControl w:val="off"/>
        <w:rPr>
          <w:rStyle w:val="1305"/>
          <w:rFonts w:ascii="仿宋" w:hAnsi="仿宋" w:eastAsia="仿宋" w:cs="仿宋"/>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2、项目名称</w:t>
      </w:r>
      <w:r>
        <w:rPr>
          <w:rFonts w:hint="eastAsia" w:ascii="仿宋" w:hAnsi="仿宋" w:eastAsia="仿宋" w:cs="仿宋"/>
          <w:color w:val="000000" w:themeColor="text1"/>
          <w:sz w:val="24"/>
          <w:szCs w:val="24"/>
          <w:highlight w:val="none"/>
        </w:rPr>
        <w:t xml:space="preserve">：</w:t>
      </w:r>
      <w:r>
        <w:rPr>
          <w:rStyle w:val="1305"/>
          <w:rFonts w:hint="eastAsia" w:ascii="仿宋" w:hAnsi="仿宋" w:eastAsia="仿宋" w:cs="仿宋"/>
          <w:color w:val="000000" w:themeColor="text1"/>
          <w:sz w:val="24"/>
          <w:szCs w:val="24"/>
          <w:highlight w:val="none"/>
        </w:rPr>
        <w:t xml:space="preserve">交管支队车管所考试场地整修</w:t>
      </w:r>
      <w:r>
        <w:rPr>
          <w:color w:val="000000" w:themeColor="text1"/>
        </w:rPr>
      </w:r>
    </w:p>
    <w:p>
      <w:pPr>
        <w:pStyle w:val="1263"/>
        <w:ind w:firstLine="480"/>
        <w:jc w:val="left"/>
        <w:spacing w:line="312" w:lineRule="auto"/>
        <w:widowControl w:val="off"/>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3、项目编号：JSZC-320300-XZBP-C2026-0003 </w:t>
      </w:r>
      <w:r>
        <w:rPr>
          <w:rStyle w:val="1305"/>
          <w:rFonts w:hint="eastAsia" w:ascii="仿宋" w:hAnsi="仿宋" w:eastAsia="仿宋" w:cs="仿宋"/>
          <w:color w:val="000000" w:themeColor="text1"/>
          <w:sz w:val="24"/>
          <w:szCs w:val="24"/>
          <w:highlight w:val="none"/>
        </w:rPr>
        <w:t xml:space="preserve"> </w:t>
      </w:r>
      <w:r>
        <w:rPr>
          <w:color w:val="000000" w:themeColor="text1"/>
        </w:rPr>
      </w:r>
    </w:p>
    <w:p>
      <w:pPr>
        <w:pStyle w:val="1263"/>
        <w:ind w:firstLine="480"/>
        <w:spacing w:line="312" w:lineRule="auto"/>
        <w:widowControl w:val="off"/>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4、采购预算（采购项目预算金额）：详见《项目要求（采购需求）》。</w:t>
      </w:r>
      <w:r>
        <w:rPr>
          <w:color w:val="000000" w:themeColor="text1"/>
        </w:rPr>
      </w:r>
    </w:p>
    <w:p>
      <w:pPr>
        <w:pStyle w:val="1263"/>
        <w:jc w:val="left"/>
        <w:spacing w:line="312" w:lineRule="auto"/>
        <w:widowControl w:val="off"/>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rPr>
        <w:t xml:space="preserve">二、采购需求：详见《项目要求（采购需求</w:t>
      </w:r>
      <w:r>
        <w:rPr>
          <w:rFonts w:hint="eastAsia" w:ascii="仿宋" w:hAnsi="仿宋" w:eastAsia="仿宋" w:cs="仿宋"/>
          <w:sz w:val="24"/>
          <w:szCs w:val="24"/>
          <w:highlight w:val="none"/>
        </w:rPr>
        <w:t xml:space="preserve">）》。</w:t>
      </w:r>
      <w:r/>
    </w:p>
    <w:p>
      <w:pPr>
        <w:pStyle w:val="1263"/>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三、采购方式：</w:t>
      </w:r>
      <w:r/>
    </w:p>
    <w:p>
      <w:pPr>
        <w:pStyle w:val="1263"/>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1、采购人确定的采购项目属性：工程。</w:t>
      </w:r>
      <w:bookmarkStart w:id="35" w:name="_GoBack"/>
      <w:r/>
      <w:bookmarkEnd w:id="35"/>
      <w:r/>
      <w:r/>
    </w:p>
    <w:p>
      <w:pPr>
        <w:pStyle w:val="1263"/>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2、本项目采用竞争性磋商采购方式。</w:t>
      </w:r>
      <w:r/>
    </w:p>
    <w:p>
      <w:pPr>
        <w:pStyle w:val="1263"/>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四、采购邀请：通过发布公告的方式邀请符合相应资格条件的供应商参与竞争性磋商采购活动。</w:t>
      </w:r>
      <w:r/>
    </w:p>
    <w:p>
      <w:pPr>
        <w:pStyle w:val="1263"/>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五、合同草案条款：见《磋商文件》附件《合同草案条款》。</w:t>
      </w:r>
      <w:r/>
    </w:p>
    <w:p>
      <w:pPr>
        <w:pStyle w:val="1263"/>
        <w:jc w:val="left"/>
        <w:spacing w:line="312" w:lineRule="auto"/>
        <w:widowControl w:val="off"/>
        <w:rPr>
          <w:rFonts w:ascii="仿宋" w:hAnsi="仿宋" w:eastAsia="仿宋" w:cs="仿宋"/>
          <w:sz w:val="24"/>
          <w:szCs w:val="24"/>
          <w:highlight w:val="none"/>
        </w:rPr>
      </w:pPr>
      <w:r>
        <w:rPr>
          <w:rFonts w:hint="eastAsia" w:ascii="仿宋" w:hAnsi="仿宋" w:eastAsia="仿宋" w:cs="仿宋"/>
          <w:bCs/>
          <w:sz w:val="24"/>
          <w:szCs w:val="24"/>
          <w:highlight w:val="none"/>
        </w:rPr>
        <w:t xml:space="preserve">六、供应商</w:t>
      </w:r>
      <w:r>
        <w:rPr>
          <w:rFonts w:hint="eastAsia" w:ascii="仿宋" w:hAnsi="仿宋" w:eastAsia="仿宋" w:cs="仿宋"/>
          <w:sz w:val="24"/>
          <w:szCs w:val="24"/>
          <w:highlight w:val="none"/>
        </w:rPr>
        <w:t xml:space="preserve">资格条件</w:t>
      </w:r>
      <w:r/>
    </w:p>
    <w:p>
      <w:pPr>
        <w:pStyle w:val="1263"/>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lang w:bidi="en-US"/>
        </w:rPr>
        <w:t xml:space="preserve">1、满足《中华人民共和国政府采购法》第二十二条规定；</w:t>
      </w:r>
      <w:r/>
    </w:p>
    <w:p>
      <w:pPr>
        <w:pStyle w:val="1263"/>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lang w:bidi="en-US"/>
        </w:rPr>
        <w:t xml:space="preserve">2、落实政府采购政策需满足的资格要求：</w:t>
      </w:r>
      <w:bookmarkStart w:id="2" w:name="OLE_LINK9"/>
      <w:r>
        <w:rPr>
          <w:rFonts w:hint="eastAsia" w:ascii="仿宋" w:hAnsi="仿宋" w:eastAsia="仿宋" w:cs="仿宋"/>
          <w:sz w:val="24"/>
          <w:szCs w:val="24"/>
          <w:highlight w:val="none"/>
          <w:lang w:bidi="en-US"/>
        </w:rPr>
        <w:t xml:space="preserve">此项目属于专门面向中小微企业采购的项目，供应商应为中小微企业、监狱企业、残疾人福利性单位</w:t>
      </w:r>
      <w:bookmarkEnd w:id="2"/>
      <w:r>
        <w:rPr>
          <w:rFonts w:hint="eastAsia" w:ascii="仿宋" w:hAnsi="仿宋" w:eastAsia="仿宋" w:cs="仿宋"/>
          <w:sz w:val="24"/>
          <w:szCs w:val="24"/>
          <w:highlight w:val="none"/>
          <w:lang w:bidi="en-US"/>
        </w:rPr>
        <w:t xml:space="preserve">。</w:t>
      </w:r>
      <w:r/>
    </w:p>
    <w:p>
      <w:pPr>
        <w:pStyle w:val="1263"/>
        <w:ind w:firstLine="480"/>
        <w:spacing w:line="312" w:lineRule="auto"/>
        <w:widowControl w:val="off"/>
        <w:rPr>
          <w:rFonts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3、本项目的特定资格要求：</w:t>
      </w:r>
      <w:r/>
    </w:p>
    <w:p>
      <w:pPr>
        <w:ind w:firstLine="480"/>
        <w:spacing w:line="312"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①供应商具有有效的建筑工程施工总承包叁级（含）以上资质或市政公用工程施工总承包叁级（含）以上资质；</w:t>
      </w:r>
      <w:r/>
    </w:p>
    <w:p>
      <w:pPr>
        <w:ind w:firstLine="480"/>
        <w:jc w:val="left"/>
        <w:spacing w:line="312"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②供应商具有有效的《安全生产许可证》证书；</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b/>
          <w:bCs/>
          <w:sz w:val="24"/>
          <w:szCs w:val="24"/>
          <w:highlight w:val="none"/>
        </w:rPr>
        <w:t xml:space="preserve">③供应商拟派的项目负责人（注册建造师）须具备建筑工程专业贰级（含）以上资格或市政公用工程专业贰级（含）以上资格、《建筑施工企业安全生产考核合格证书》（B证）且无在建工程（提供无在建工程承诺书）。</w:t>
      </w:r>
      <w:r/>
    </w:p>
    <w:p>
      <w:pPr>
        <w:pStyle w:val="1263"/>
        <w:jc w:val="left"/>
        <w:spacing w:line="312" w:lineRule="auto"/>
        <w:widowControl w:val="off"/>
        <w:rPr>
          <w:rStyle w:val="1305"/>
          <w:rFonts w:ascii="仿宋" w:hAnsi="仿宋" w:eastAsia="仿宋" w:cs="仿宋"/>
          <w:b/>
          <w:bCs/>
          <w:sz w:val="24"/>
          <w:szCs w:val="24"/>
          <w:highlight w:val="none"/>
        </w:rPr>
      </w:pPr>
      <w:r>
        <w:rPr>
          <w:rStyle w:val="1305"/>
          <w:rFonts w:hint="eastAsia" w:ascii="仿宋" w:hAnsi="仿宋" w:eastAsia="仿宋" w:cs="仿宋"/>
          <w:b/>
          <w:bCs/>
          <w:sz w:val="24"/>
          <w:szCs w:val="24"/>
          <w:highlight w:val="none"/>
        </w:rPr>
        <w:t xml:space="preserve">七、说明：</w:t>
      </w:r>
      <w:r/>
    </w:p>
    <w:p>
      <w:pPr>
        <w:pStyle w:val="1263"/>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1、本项目不接受联合体参与采购活动。</w:t>
      </w:r>
      <w:r/>
    </w:p>
    <w:p>
      <w:pPr>
        <w:pStyle w:val="1263"/>
        <w:ind w:firstLine="482"/>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2、单位负责人为同一人或者存在直接控股、管理关系的不同供应商，不得参加同一合同项下的政府采购活动。</w:t>
      </w:r>
      <w:r/>
    </w:p>
    <w:p>
      <w:pPr>
        <w:pStyle w:val="1263"/>
        <w:ind w:firstLine="482"/>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3、为本采购项目提供整体设计、规范编制或者项目管理、审查等服务的供应商，不得再参加本采购项目的采购活动。</w:t>
      </w:r>
      <w:r/>
    </w:p>
    <w:p>
      <w:pPr>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4、查询及使用供应商信用记录：</w:t>
      </w:r>
      <w:r/>
    </w:p>
    <w:p>
      <w:pPr>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⑴由采购人查询信用信息。</w:t>
      </w:r>
      <w:r/>
    </w:p>
    <w:p>
      <w:pPr>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⑵查询渠道包括：</w:t>
      </w:r>
      <w:r/>
    </w:p>
    <w:p>
      <w:pPr>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①“信用中国”网（www.creditchina.gov.cn）；</w:t>
      </w:r>
      <w:r/>
    </w:p>
    <w:p>
      <w:pPr>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②中国政府采购网（www.ccgp.gov.cn）；</w:t>
      </w:r>
      <w:r/>
    </w:p>
    <w:p>
      <w:pPr>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③“信用中国（江苏）”网（http://credit.jiangsu.gov.cn/）；</w:t>
      </w:r>
      <w:r/>
    </w:p>
    <w:p>
      <w:pPr>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④“信用中国（徐州）”网（www.xuzhoucredit.gov.cn）。</w:t>
      </w:r>
      <w:r/>
    </w:p>
    <w:p>
      <w:pPr>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⑶截止时点（查询环节）：评审结束前。</w:t>
      </w:r>
      <w:r/>
    </w:p>
    <w:p>
      <w:pPr>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⑷信用信息查询记录和证据留存的具体方式：网页截屏打印，与其他采购文件一并保存。</w:t>
      </w:r>
      <w:r/>
    </w:p>
    <w:p>
      <w:pPr>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⑸信用信息的使用规则：</w:t>
      </w:r>
      <w:r/>
    </w:p>
    <w:p>
      <w:pPr>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63"/>
        <w:jc w:val="left"/>
        <w:spacing w:line="312" w:lineRule="auto"/>
        <w:widowControl w:val="off"/>
        <w:rPr>
          <w:rStyle w:val="1305"/>
          <w:rFonts w:ascii="仿宋" w:hAnsi="仿宋" w:eastAsia="仿宋" w:cs="仿宋"/>
          <w:b/>
          <w:bCs/>
          <w:sz w:val="24"/>
          <w:szCs w:val="24"/>
          <w:highlight w:val="none"/>
        </w:rPr>
      </w:pPr>
      <w:r>
        <w:rPr>
          <w:rStyle w:val="1305"/>
          <w:rFonts w:hint="eastAsia" w:ascii="仿宋" w:hAnsi="仿宋" w:eastAsia="仿宋" w:cs="仿宋"/>
          <w:b/>
          <w:bCs/>
          <w:sz w:val="24"/>
          <w:szCs w:val="24"/>
          <w:highlight w:val="none"/>
        </w:rPr>
        <w:t xml:space="preserve">八、报价要求</w:t>
      </w:r>
      <w:r/>
    </w:p>
    <w:p>
      <w:pPr>
        <w:pStyle w:val="1263"/>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1、供应商报价为要约，采购人无承诺表示时视为未成交，采购人认为必要时可重新进行竞争性磋商采购或采取其它方式采购。</w:t>
      </w:r>
      <w:r/>
    </w:p>
    <w:p>
      <w:pPr>
        <w:pStyle w:val="1263"/>
        <w:ind w:firstLine="480"/>
        <w:jc w:val="left"/>
        <w:spacing w:line="312" w:lineRule="auto"/>
        <w:widowControl w:val="off"/>
        <w:rPr>
          <w:rStyle w:val="1305"/>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2、按照《磋商报价表》要求填写首次报价。</w:t>
      </w:r>
      <w:r/>
    </w:p>
    <w:p>
      <w:pPr>
        <w:pStyle w:val="1263"/>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1263"/>
        <w:jc w:val="left"/>
        <w:spacing w:line="312" w:lineRule="auto"/>
        <w:widowControl w:val="off"/>
        <w:rPr>
          <w:rFonts w:ascii="仿宋" w:hAnsi="仿宋" w:eastAsia="仿宋" w:cs="仿宋"/>
          <w:sz w:val="24"/>
          <w:szCs w:val="24"/>
          <w:highlight w:val="none"/>
        </w:rPr>
      </w:pPr>
      <w:r>
        <w:rPr>
          <w:rStyle w:val="1305"/>
          <w:rFonts w:hint="eastAsia" w:ascii="仿宋" w:hAnsi="仿宋" w:eastAsia="仿宋" w:cs="仿宋"/>
          <w:sz w:val="24"/>
          <w:szCs w:val="24"/>
          <w:highlight w:val="none"/>
        </w:rPr>
        <w:t xml:space="preserve">九、</w:t>
      </w:r>
      <w:r>
        <w:rPr>
          <w:rFonts w:hint="eastAsia" w:ascii="仿宋" w:hAnsi="仿宋" w:eastAsia="仿宋" w:cs="仿宋"/>
          <w:sz w:val="24"/>
          <w:szCs w:val="24"/>
          <w:highlight w:val="none"/>
        </w:rPr>
        <w:t xml:space="preserve">供应商提交磋商保证金：不需交纳。</w:t>
      </w:r>
      <w:r/>
    </w:p>
    <w:p>
      <w:pPr>
        <w:pStyle w:val="1271"/>
        <w:jc w:val="center"/>
        <w:keepLines w:val="0"/>
        <w:keepNext w:val="0"/>
        <w:spacing w:before="0" w:after="0" w:line="312" w:lineRule="auto"/>
        <w:widowControl w:val="off"/>
        <w:rPr>
          <w:rStyle w:val="1305"/>
          <w:rFonts w:ascii="仿宋" w:hAnsi="仿宋" w:eastAsia="仿宋" w:cs="仿宋"/>
          <w:sz w:val="24"/>
          <w:szCs w:val="24"/>
          <w:highlight w:val="none"/>
        </w:rPr>
      </w:pPr>
      <w:r/>
      <w:bookmarkStart w:id="3" w:name="_Toc9865"/>
      <w:r>
        <w:rPr>
          <w:rStyle w:val="1305"/>
          <w:rFonts w:hint="eastAsia" w:ascii="仿宋" w:hAnsi="仿宋" w:eastAsia="仿宋" w:cs="仿宋"/>
          <w:sz w:val="24"/>
          <w:szCs w:val="24"/>
          <w:highlight w:val="none"/>
        </w:rPr>
        <w:t xml:space="preserve">第二章 响应文件要求</w:t>
      </w:r>
      <w:bookmarkEnd w:id="3"/>
      <w:r/>
      <w:r/>
    </w:p>
    <w:p>
      <w:pPr>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十、获取竞争性磋商文件：详见本项目竞争性磋商公告。</w:t>
      </w:r>
      <w:r/>
    </w:p>
    <w:p>
      <w:pPr>
        <w:jc w:val="left"/>
        <w:spacing w:line="312" w:lineRule="auto"/>
        <w:rPr>
          <w:rFonts w:ascii="仿宋" w:hAnsi="仿宋" w:eastAsia="仿宋" w:cs="仿宋"/>
          <w:b/>
          <w:bCs/>
          <w:sz w:val="24"/>
          <w:szCs w:val="24"/>
          <w:highlight w:val="none"/>
        </w:rPr>
      </w:pPr>
      <w:r>
        <w:rPr>
          <w:rFonts w:hint="eastAsia" w:ascii="仿宋" w:hAnsi="仿宋" w:eastAsia="仿宋" w:cs="仿宋"/>
          <w:sz w:val="24"/>
          <w:szCs w:val="24"/>
          <w:highlight w:val="none"/>
        </w:rPr>
        <w:t xml:space="preserve">十一、提交响应文件要求</w:t>
      </w:r>
      <w:r/>
    </w:p>
    <w:p>
      <w:pPr>
        <w:jc w:val="center"/>
        <w:spacing w:line="312" w:lineRule="auto"/>
        <w:rPr>
          <w:rFonts w:ascii="仿宋" w:hAnsi="仿宋" w:eastAsia="仿宋" w:cs="仿宋"/>
          <w:bCs/>
          <w:sz w:val="24"/>
          <w:szCs w:val="24"/>
          <w:highlight w:val="none"/>
        </w:rPr>
      </w:pPr>
      <w:r>
        <w:rPr>
          <w:rFonts w:hint="eastAsia" w:ascii="仿宋" w:hAnsi="仿宋" w:eastAsia="仿宋" w:cs="仿宋"/>
          <w:b/>
          <w:sz w:val="24"/>
          <w:szCs w:val="24"/>
          <w:highlight w:val="none"/>
        </w:rPr>
        <w:t xml:space="preserve">第一部分 基本要求</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（一）本项目通过“苏采云”系统进行电子采购，即供应商响应文件从政府采购客户端工具制作并通过“苏采云”系统提交。</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Style w:val="1305"/>
          <w:rFonts w:ascii="仿宋" w:hAnsi="仿宋" w:eastAsia="仿宋" w:cs="仿宋"/>
          <w:sz w:val="24"/>
          <w:szCs w:val="24"/>
          <w:highlight w:val="none"/>
        </w:rPr>
      </w:pPr>
      <w:r>
        <w:rPr>
          <w:rFonts w:hint="eastAsia" w:ascii="仿宋" w:hAnsi="仿宋" w:eastAsia="仿宋" w:cs="仿宋"/>
          <w:bCs/>
          <w:sz w:val="24"/>
          <w:szCs w:val="24"/>
          <w:highlight w:val="none"/>
        </w:rPr>
        <w:t xml:space="preserve">2、“CA数字证书”的获</w:t>
      </w:r>
      <w:r>
        <w:rPr>
          <w:rStyle w:val="1305"/>
          <w:rFonts w:hint="eastAsia" w:ascii="仿宋" w:hAnsi="仿宋" w:eastAsia="仿宋" w:cs="仿宋"/>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Style w:val="1305"/>
          <w:rFonts w:hint="eastAsia" w:ascii="仿宋" w:hAnsi="仿宋" w:eastAsia="仿宋" w:cs="仿宋"/>
          <w:sz w:val="24"/>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sz w:val="24"/>
          <w:szCs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4、“苏采云”系统使用要求：</w:t>
      </w:r>
      <w:r/>
    </w:p>
    <w:p>
      <w:pPr>
        <w:ind w:firstLine="480"/>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4.1使用谷歌浏览器参与不见面开标及磋商环节。</w:t>
      </w:r>
      <w:r/>
    </w:p>
    <w:p>
      <w:pPr>
        <w:ind w:firstLine="480"/>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4.2电脑需提前准备好麦克风、音响，摄像头，提前检查保证能够正常使用。</w:t>
      </w:r>
      <w:r/>
    </w:p>
    <w:p>
      <w:pPr>
        <w:ind w:firstLine="480"/>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4.3操作系统至少win7以上，建议使用win10操作系统。</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bCs/>
          <w:sz w:val="24"/>
          <w:szCs w:val="24"/>
          <w:highlight w:val="none"/>
        </w:rPr>
        <w:t xml:space="preserve">）首次响应文件提交时间、地点：</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1、首次响应文件提交的截止时</w:t>
      </w:r>
      <w:r>
        <w:rPr>
          <w:rFonts w:hint="eastAsia" w:ascii="仿宋" w:hAnsi="仿宋" w:eastAsia="仿宋" w:cs="仿宋"/>
          <w:bCs/>
          <w:color w:val="000000" w:themeColor="text1"/>
          <w:sz w:val="24"/>
          <w:szCs w:val="24"/>
          <w:highlight w:val="none"/>
        </w:rPr>
        <w:t xml:space="preserve">间：</w:t>
      </w:r>
      <w:r>
        <w:rPr>
          <w:rFonts w:hint="eastAsia" w:ascii="仿宋" w:hAnsi="仿宋" w:eastAsia="仿宋" w:cs="仿宋"/>
          <w:b/>
          <w:color w:val="000000" w:themeColor="text1"/>
          <w:sz w:val="24"/>
          <w:szCs w:val="24"/>
          <w:highlight w:val="none"/>
        </w:rPr>
        <w:t xml:space="preserve">2026年6月24日09：30（北京时间）</w:t>
      </w:r>
      <w:r>
        <w:rPr>
          <w:rFonts w:hint="eastAsia" w:ascii="仿宋" w:hAnsi="仿宋" w:eastAsia="仿宋" w:cs="仿宋"/>
          <w:bCs/>
          <w:color w:val="000000" w:themeColor="text1"/>
          <w:sz w:val="24"/>
          <w:szCs w:val="24"/>
          <w:highlight w:val="none"/>
        </w:rPr>
        <w:t xml:space="preserve">，</w:t>
      </w:r>
      <w:r>
        <w:rPr>
          <w:rFonts w:hint="eastAsia" w:ascii="仿宋" w:hAnsi="仿宋" w:eastAsia="仿宋" w:cs="仿宋"/>
          <w:bCs/>
          <w:sz w:val="24"/>
          <w:szCs w:val="24"/>
          <w:highlight w:val="none"/>
        </w:rPr>
        <w:t xml:space="preserve">截止时间后提交的响应文件为无效文件将被拒收。</w:t>
      </w: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bCs/>
          <w:sz w:val="24"/>
          <w:szCs w:val="24"/>
          <w:highlight w:val="none"/>
        </w:rPr>
        <w:t xml:space="preserve">2、提交首次响应文</w:t>
      </w:r>
      <w:r>
        <w:rPr>
          <w:rFonts w:hint="eastAsia" w:ascii="仿宋" w:hAnsi="仿宋" w:eastAsia="仿宋" w:cs="仿宋"/>
          <w:sz w:val="24"/>
          <w:szCs w:val="24"/>
          <w:highlight w:val="none"/>
        </w:rPr>
        <w:t xml:space="preserve">件地点：“苏采云”系统（网址：http：//jszfcg.jsczt.cn/）“开标大厅”或进入徐州政府采购网（网址：http：//czj.xz.gov.cn/Home/HomeIndex）-业务工作-用户登录，点击“苏采云”进入系统“开标大厅”。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ascii="仿宋" w:hAnsi="仿宋" w:eastAsia="仿宋" w:cs="仿宋"/>
          <w:color w:val="000000" w:themeColor="text1"/>
          <w:sz w:val="24"/>
          <w:szCs w:val="24"/>
          <w:highlight w:val="none"/>
        </w:rPr>
      </w:pPr>
      <w:r>
        <w:rPr>
          <w:rFonts w:hint="eastAsia" w:ascii="仿宋" w:hAnsi="仿宋" w:eastAsia="仿宋" w:cs="仿宋"/>
          <w:sz w:val="24"/>
          <w:szCs w:val="24"/>
          <w:highlight w:val="none"/>
        </w:rPr>
        <w:t xml:space="preserve">3、首次响应文件开启时间：</w:t>
      </w:r>
      <w:r>
        <w:rPr>
          <w:rFonts w:hint="eastAsia" w:ascii="仿宋" w:hAnsi="仿宋" w:eastAsia="仿宋" w:cs="仿宋"/>
          <w:b/>
          <w:color w:val="000000" w:themeColor="text1"/>
          <w:sz w:val="24"/>
          <w:szCs w:val="24"/>
          <w:highlight w:val="none"/>
        </w:rPr>
        <w:t xml:space="preserve">2026年6月24日</w:t>
      </w:r>
      <w:r>
        <w:rPr>
          <w:rFonts w:hint="eastAsia" w:ascii="仿宋" w:hAnsi="仿宋" w:eastAsia="仿宋" w:cs="仿宋"/>
          <w:b/>
          <w:color w:val="000000" w:themeColor="text1"/>
          <w:sz w:val="24"/>
          <w:szCs w:val="24"/>
          <w:highlight w:val="none"/>
        </w:rPr>
        <w:t xml:space="preserve">09：30</w:t>
      </w:r>
      <w:r>
        <w:rPr>
          <w:rFonts w:hint="eastAsia" w:ascii="仿宋" w:hAnsi="仿宋" w:eastAsia="仿宋" w:cs="仿宋"/>
          <w:b/>
          <w:bCs/>
          <w:color w:val="000000" w:themeColor="text1"/>
          <w:sz w:val="24"/>
          <w:szCs w:val="24"/>
          <w:highlight w:val="none"/>
        </w:rPr>
        <w:t xml:space="preserve">（北京时间）。</w:t>
      </w:r>
      <w:r>
        <w:rPr>
          <w:color w:val="000000" w:themeColor="text1"/>
        </w:rP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（四）不接受不按要求加盖公章（电子签章）的首次响应文件。电子签章相关要求见“苏采云”系统。</w:t>
      </w: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sz w:val="24"/>
          <w:szCs w:val="24"/>
          <w:highlight w:val="none"/>
        </w:rPr>
        <w:t xml:space="preserve">开启后“苏采云”系统提示解密30分钟内，通过“苏采云”系统</w:t>
      </w:r>
      <w:r>
        <w:rPr>
          <w:rFonts w:hint="eastAsia" w:ascii="仿宋" w:hAnsi="仿宋" w:eastAsia="仿宋" w:cs="仿宋"/>
          <w:sz w:val="24"/>
          <w:szCs w:val="24"/>
          <w:highlight w:val="none"/>
        </w:rPr>
        <w:t xml:space="preserve">（使用“CA数字证书”）解密。</w:t>
      </w: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（六）采购文件（后缀名为“.kedt”）、供应商操作手册及政府采购客户端工具可通过“苏采云”系统（网址：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Style w:val="1080"/>
          <w:rFonts w:hint="eastAsia" w:ascii="仿宋" w:hAnsi="仿宋" w:eastAsia="仿宋" w:cs="仿宋"/>
          <w:color w:val="auto"/>
          <w:sz w:val="24"/>
          <w:szCs w:val="24"/>
          <w:highlight w:val="none"/>
        </w:rPr>
        <w:t xml:space="preserve">http：//jszfcg.jsczt.cn/</w:t>
      </w:r>
      <w:r>
        <w:rPr>
          <w:rStyle w:val="1080"/>
          <w:rFonts w:hint="eastAsia" w:ascii="仿宋" w:hAnsi="仿宋" w:eastAsia="仿宋" w:cs="仿宋"/>
          <w:color w:val="auto"/>
          <w:sz w:val="24"/>
          <w:szCs w:val="24"/>
          <w:highlight w:val="none"/>
        </w:rPr>
        <w:fldChar w:fldCharType="end"/>
      </w:r>
      <w:r>
        <w:rPr>
          <w:rFonts w:hint="eastAsia" w:ascii="仿宋" w:hAnsi="仿宋" w:eastAsia="仿宋" w:cs="仿宋"/>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（七）相关说明： 供应商在“苏采云”系统中提交首次响应文件的时间即为数据电文（响应文件，下同）的发送时间和接收时间。</w:t>
      </w:r>
      <w:r/>
    </w:p>
    <w:p>
      <w:pPr>
        <w:jc w:val="center"/>
        <w:spacing w:line="312" w:lineRule="auto"/>
        <w:rPr>
          <w:rFonts w:ascii="仿宋" w:hAnsi="仿宋" w:eastAsia="仿宋" w:cs="仿宋"/>
          <w:b/>
          <w:sz w:val="24"/>
          <w:szCs w:val="20"/>
          <w:highlight w:val="none"/>
        </w:rPr>
      </w:pPr>
      <w:r>
        <w:rPr>
          <w:rFonts w:hint="eastAsia" w:ascii="仿宋" w:hAnsi="仿宋" w:eastAsia="仿宋" w:cs="仿宋"/>
          <w:b/>
          <w:sz w:val="24"/>
          <w:szCs w:val="20"/>
          <w:highlight w:val="none"/>
        </w:rPr>
        <w:t xml:space="preserve">第二部分 响应文件组成</w:t>
      </w:r>
      <w:r/>
    </w:p>
    <w:p>
      <w:pPr>
        <w:jc w:val="left"/>
        <w:spacing w:line="312" w:lineRule="auto"/>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十二、响应文件编制要求，请按照以下要求（包括但不限于以下要求）制作：</w:t>
      </w:r>
      <w:r/>
    </w:p>
    <w:p>
      <w:pPr>
        <w:jc w:val="left"/>
        <w:spacing w:line="312" w:lineRule="auto"/>
        <w:rPr>
          <w:rFonts w:ascii="仿宋" w:hAnsi="仿宋" w:eastAsia="仿宋" w:cs="仿宋"/>
          <w:b/>
          <w:sz w:val="24"/>
          <w:szCs w:val="20"/>
          <w:highlight w:val="none"/>
        </w:rPr>
      </w:pPr>
      <w:r>
        <w:rPr>
          <w:rFonts w:hint="eastAsia" w:ascii="仿宋" w:hAnsi="仿宋" w:eastAsia="仿宋" w:cs="仿宋"/>
          <w:b/>
          <w:sz w:val="24"/>
          <w:szCs w:val="20"/>
          <w:highlight w:val="none"/>
        </w:rPr>
        <w:t xml:space="preserve">（一）基本目录</w:t>
      </w:r>
      <w:r/>
    </w:p>
    <w:p>
      <w:pPr>
        <w:ind w:firstLine="480"/>
        <w:jc w:val="left"/>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1.</w:t>
      </w:r>
      <w:r>
        <w:rPr>
          <w:rFonts w:hint="eastAsia" w:ascii="仿宋" w:hAnsi="仿宋" w:eastAsia="仿宋" w:cs="仿宋"/>
          <w:sz w:val="24"/>
          <w:szCs w:val="20"/>
          <w:highlight w:val="none"/>
        </w:rPr>
        <w:t xml:space="preserve">《磋商报价表》（加盖电子签章，格式见《磋商文件》附件。</w:t>
      </w:r>
      <w:r>
        <w:rPr>
          <w:rFonts w:hint="eastAsia" w:ascii="仿宋" w:hAnsi="仿宋" w:eastAsia="仿宋" w:cs="仿宋"/>
          <w:bCs/>
          <w:sz w:val="24"/>
          <w:szCs w:val="20"/>
          <w:highlight w:val="none"/>
        </w:rPr>
        <w:t xml:space="preserve">政府采购客户端工具输入报价自动生成）；</w:t>
      </w:r>
      <w:r/>
    </w:p>
    <w:p>
      <w:pPr>
        <w:ind w:firstLine="480"/>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2、供应商认为需要提供的其他资料的扫描件（如有）。</w:t>
      </w:r>
      <w:r/>
    </w:p>
    <w:p>
      <w:pPr>
        <w:spacing w:line="312" w:lineRule="auto"/>
        <w:rPr>
          <w:rFonts w:ascii="仿宋" w:hAnsi="仿宋" w:eastAsia="仿宋" w:cs="仿宋"/>
          <w:bCs/>
          <w:sz w:val="24"/>
          <w:szCs w:val="20"/>
          <w:highlight w:val="none"/>
        </w:rPr>
      </w:pPr>
      <w:r>
        <w:rPr>
          <w:rFonts w:hint="eastAsia" w:ascii="仿宋" w:hAnsi="仿宋" w:eastAsia="仿宋" w:cs="仿宋"/>
          <w:b/>
          <w:bCs/>
          <w:sz w:val="24"/>
          <w:szCs w:val="20"/>
          <w:highlight w:val="none"/>
        </w:rPr>
        <w:t xml:space="preserve">（二）资格审查条件（1-7项必须提供，否则</w:t>
      </w:r>
      <w:r>
        <w:rPr>
          <w:rFonts w:hint="eastAsia" w:ascii="仿宋" w:hAnsi="仿宋" w:eastAsia="仿宋" w:cs="仿宋"/>
          <w:b/>
          <w:sz w:val="24"/>
          <w:szCs w:val="20"/>
          <w:highlight w:val="none"/>
        </w:rPr>
        <w:t xml:space="preserve">响应无效</w:t>
      </w:r>
      <w:r>
        <w:rPr>
          <w:rFonts w:hint="eastAsia" w:ascii="仿宋" w:hAnsi="仿宋" w:eastAsia="仿宋" w:cs="仿宋"/>
          <w:bCs/>
          <w:sz w:val="24"/>
          <w:szCs w:val="20"/>
          <w:highlight w:val="none"/>
        </w:rPr>
        <w:t xml:space="preserve">）</w:t>
      </w:r>
      <w:r/>
    </w:p>
    <w:p>
      <w:pPr>
        <w:ind w:firstLine="482"/>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1、具有独立承担民事责任的能力，提供合法有效的法人的营业执照或事业法人证或其他组织应提供合法证明文件或自然人提供身份证件。</w:t>
      </w:r>
      <w:r>
        <w:rPr>
          <w:rFonts w:hint="eastAsia" w:ascii="仿宋" w:hAnsi="仿宋" w:eastAsia="仿宋" w:cs="仿宋"/>
          <w:b/>
          <w:sz w:val="24"/>
          <w:szCs w:val="20"/>
          <w:highlight w:val="none"/>
        </w:rPr>
        <w:t xml:space="preserve">提供以上证明文件的原件扫描件。</w:t>
      </w:r>
      <w:r/>
    </w:p>
    <w:p>
      <w:pPr>
        <w:ind w:firstLine="482"/>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2、财务状况报告，至少提供：</w:t>
      </w:r>
      <w:r/>
    </w:p>
    <w:p>
      <w:pPr>
        <w:ind w:firstLine="482"/>
        <w:spacing w:line="312" w:lineRule="auto"/>
        <w:rPr>
          <w:rFonts w:ascii="仿宋" w:hAnsi="仿宋" w:eastAsia="仿宋" w:cs="仿宋"/>
          <w:bCs/>
          <w:sz w:val="24"/>
          <w:szCs w:val="20"/>
          <w:highlight w:val="none"/>
        </w:rPr>
      </w:pPr>
      <w:r>
        <w:rPr>
          <w:rFonts w:hint="eastAsia" w:ascii="仿宋" w:hAnsi="仿宋" w:eastAsia="仿宋" w:cs="仿宋"/>
          <w:b/>
          <w:sz w:val="24"/>
          <w:szCs w:val="20"/>
          <w:highlight w:val="none"/>
        </w:rPr>
        <w:t xml:space="preserve">供应商的提交首次响应文件时间前六个月内（不含“首次响应文件提交的截止时间”当月）任何一个月的资产负债表和利润表月报表扫描件；或供应商基本开户银行出具的有效的资信证明扫描件；或财政部门认可的政府采购专业担保机构出具的有效的担保函扫描件；或合法有效的经第三方机构审计的上一年度财务审计报告扫描件（2</w:t>
      </w:r>
      <w:r>
        <w:rPr>
          <w:rFonts w:ascii="仿宋" w:hAnsi="仿宋" w:eastAsia="仿宋" w:cs="仿宋"/>
          <w:b/>
          <w:sz w:val="24"/>
          <w:szCs w:val="20"/>
          <w:highlight w:val="none"/>
        </w:rPr>
        <w:t xml:space="preserve">025</w:t>
      </w:r>
      <w:r>
        <w:rPr>
          <w:rFonts w:hint="eastAsia" w:ascii="仿宋" w:hAnsi="仿宋" w:eastAsia="仿宋" w:cs="仿宋"/>
          <w:b/>
          <w:sz w:val="24"/>
          <w:szCs w:val="20"/>
          <w:highlight w:val="none"/>
        </w:rPr>
        <w:t xml:space="preserve">年度，应至少包括审计报告正文、资产负债表、现金流量表、利润表）</w:t>
      </w:r>
      <w:r>
        <w:rPr>
          <w:rFonts w:hint="eastAsia" w:ascii="仿宋" w:hAnsi="仿宋" w:eastAsia="仿宋" w:cs="仿宋"/>
          <w:bCs/>
          <w:sz w:val="24"/>
          <w:szCs w:val="20"/>
          <w:highlight w:val="none"/>
        </w:rPr>
        <w:t xml:space="preserve">。</w:t>
      </w:r>
      <w:r/>
    </w:p>
    <w:p>
      <w:pPr>
        <w:ind w:firstLine="482"/>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3、有依法缴纳税收和社会保障资金的良好记录，至少提供：</w:t>
      </w:r>
      <w:r/>
    </w:p>
    <w:p>
      <w:pPr>
        <w:ind w:firstLine="482"/>
        <w:spacing w:line="312" w:lineRule="auto"/>
        <w:rPr>
          <w:rFonts w:ascii="仿宋" w:hAnsi="仿宋" w:eastAsia="仿宋" w:cs="仿宋"/>
          <w:b/>
          <w:sz w:val="24"/>
          <w:szCs w:val="20"/>
          <w:highlight w:val="none"/>
        </w:rPr>
      </w:pPr>
      <w:r>
        <w:rPr>
          <w:rFonts w:hint="eastAsia" w:ascii="仿宋" w:hAnsi="仿宋" w:eastAsia="仿宋" w:cs="仿宋"/>
          <w:b/>
          <w:sz w:val="24"/>
          <w:szCs w:val="20"/>
          <w:highlight w:val="none"/>
        </w:rPr>
        <w:t xml:space="preserve">供应商的提交首次响应文件时间前六个月内（不含“首次响应文件提交的截止时间”当月）任何一月的依法缴纳税收和社会保障资金的相关材料扫描件；依法免税或不需要缴纳社会保障资金的供应商应提供相应其依法免税或不需要缴纳社会保障资金的证明文件扫描件。</w:t>
      </w:r>
      <w:r/>
    </w:p>
    <w:p>
      <w:pPr>
        <w:ind w:firstLine="482"/>
        <w:spacing w:line="312" w:lineRule="auto"/>
        <w:rPr>
          <w:rFonts w:ascii="仿宋" w:hAnsi="仿宋" w:eastAsia="仿宋" w:cs="仿宋"/>
          <w:b/>
          <w:sz w:val="24"/>
          <w:szCs w:val="24"/>
          <w:highlight w:val="none"/>
        </w:rPr>
      </w:pPr>
      <w:r>
        <w:rPr>
          <w:rFonts w:hint="eastAsia" w:ascii="仿宋" w:hAnsi="仿宋" w:eastAsia="仿宋" w:cs="仿宋"/>
          <w:bCs/>
          <w:sz w:val="24"/>
          <w:szCs w:val="20"/>
          <w:highlight w:val="none"/>
        </w:rPr>
        <w:t xml:space="preserve">4、</w:t>
      </w:r>
      <w:r>
        <w:rPr>
          <w:rFonts w:hint="eastAsia" w:ascii="仿宋" w:hAnsi="仿宋" w:eastAsia="仿宋" w:cs="仿宋"/>
          <w:b/>
          <w:sz w:val="24"/>
          <w:szCs w:val="20"/>
          <w:highlight w:val="none"/>
        </w:rPr>
        <w:t xml:space="preserve">具备履行合同所必需的设备和专业技术能力的证明材料</w:t>
      </w:r>
      <w:r>
        <w:rPr>
          <w:rFonts w:hint="eastAsia" w:ascii="仿宋" w:hAnsi="仿宋" w:eastAsia="仿宋" w:cs="仿宋"/>
          <w:b/>
          <w:sz w:val="24"/>
          <w:szCs w:val="24"/>
          <w:highlight w:val="none"/>
        </w:rPr>
        <w:t xml:space="preserve">（加盖电子签章，格式见《磋商文件》附件）。</w:t>
      </w:r>
      <w:r/>
    </w:p>
    <w:p>
      <w:pPr>
        <w:ind w:firstLine="482"/>
        <w:spacing w:line="312" w:lineRule="auto"/>
        <w:rPr>
          <w:rFonts w:ascii="仿宋" w:hAnsi="仿宋" w:eastAsia="仿宋" w:cs="仿宋"/>
          <w:b/>
          <w:sz w:val="24"/>
          <w:szCs w:val="20"/>
          <w:highlight w:val="none"/>
        </w:rPr>
      </w:pPr>
      <w:r>
        <w:rPr>
          <w:rFonts w:hint="eastAsia" w:ascii="仿宋" w:hAnsi="仿宋" w:eastAsia="仿宋" w:cs="仿宋"/>
          <w:bCs/>
          <w:sz w:val="24"/>
          <w:szCs w:val="20"/>
          <w:highlight w:val="none"/>
        </w:rPr>
        <w:t xml:space="preserve">5、</w:t>
      </w:r>
      <w:r>
        <w:rPr>
          <w:rFonts w:hint="eastAsia" w:ascii="仿宋" w:hAnsi="仿宋" w:eastAsia="仿宋" w:cs="仿宋"/>
          <w:b/>
          <w:sz w:val="24"/>
          <w:szCs w:val="20"/>
          <w:highlight w:val="none"/>
        </w:rPr>
        <w:t xml:space="preserve">供应商参加政府采购活动前三年内在经营活动中没有重大违法记录的书面声明（加盖电子签章，格式见《磋商文件》附件）。</w:t>
      </w:r>
      <w:r/>
    </w:p>
    <w:p>
      <w:pPr>
        <w:ind w:firstLine="482"/>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6、本项目特定资格要求：提</w:t>
      </w:r>
      <w:r>
        <w:rPr>
          <w:rFonts w:hint="eastAsia" w:ascii="仿宋" w:hAnsi="仿宋" w:eastAsia="仿宋" w:cs="仿宋"/>
          <w:bCs/>
          <w:sz w:val="24"/>
          <w:szCs w:val="24"/>
          <w:highlight w:val="none"/>
        </w:rPr>
        <w:t xml:space="preserve">供以下资料的原件扫描件，加盖电子签章</w:t>
      </w:r>
      <w:r>
        <w:rPr>
          <w:rFonts w:hint="eastAsia" w:ascii="仿宋" w:hAnsi="仿宋" w:eastAsia="仿宋" w:cs="仿宋"/>
          <w:bCs/>
          <w:sz w:val="24"/>
          <w:szCs w:val="20"/>
          <w:highlight w:val="none"/>
        </w:rPr>
        <w:t xml:space="preserve">：</w:t>
      </w:r>
      <w:r/>
    </w:p>
    <w:p>
      <w:pPr>
        <w:ind w:firstLine="480"/>
        <w:spacing w:line="312"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①供应商具有有效的建筑工程施工总承包叁级（含）以上资质或市政公用工程施工总承包叁级（含）以上资质；</w:t>
      </w:r>
      <w:r/>
    </w:p>
    <w:p>
      <w:pPr>
        <w:ind w:firstLine="480"/>
        <w:spacing w:line="312"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②供应商具有有效的《安全生产许可证》证书；</w:t>
      </w:r>
      <w:r/>
    </w:p>
    <w:p>
      <w:pPr>
        <w:ind w:firstLine="480"/>
        <w:spacing w:line="312" w:lineRule="auto"/>
        <w:widowControl w:val="off"/>
        <w:rPr>
          <w:rFonts w:ascii="仿宋" w:hAnsi="仿宋" w:eastAsia="仿宋" w:cs="仿宋"/>
          <w:b/>
          <w:sz w:val="24"/>
          <w:szCs w:val="24"/>
          <w:highlight w:val="none"/>
        </w:rPr>
      </w:pPr>
      <w:r>
        <w:rPr>
          <w:rFonts w:hint="eastAsia" w:ascii="仿宋" w:hAnsi="仿宋" w:eastAsia="仿宋" w:cs="仿宋"/>
          <w:b/>
          <w:bCs/>
          <w:sz w:val="24"/>
          <w:szCs w:val="24"/>
          <w:highlight w:val="none"/>
        </w:rPr>
        <w:t xml:space="preserve">③供应商拟派的项目负责人（注册建造师）须具备建筑工程专业贰级（含）以上资格或市政公用工程专业贰级（含）以上资格、《建筑施工企业安全生产考核合格证书》（B证）且无在建工程（提供无在建工程承诺书，格式自拟）</w:t>
      </w:r>
      <w:r>
        <w:rPr>
          <w:rFonts w:hint="eastAsia" w:ascii="仿宋" w:hAnsi="仿宋" w:eastAsia="仿宋" w:cs="仿宋"/>
          <w:b/>
          <w:sz w:val="24"/>
          <w:szCs w:val="24"/>
          <w:highlight w:val="none"/>
        </w:rPr>
        <w:t xml:space="preserve">；</w:t>
      </w:r>
      <w:r/>
    </w:p>
    <w:p>
      <w:pPr>
        <w:ind w:firstLine="482"/>
        <w:jc w:val="left"/>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7、本项目属于专门面向中小微企业采购的项目，供应商应为中小微企业、监狱企业、残疾人福利性单位。</w:t>
      </w:r>
      <w:r/>
    </w:p>
    <w:p>
      <w:pPr>
        <w:ind w:firstLine="482"/>
        <w:jc w:val="left"/>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供应商为中小企业（含中型、小型、微型企业，下同）的，</w:t>
      </w:r>
      <w:r>
        <w:rPr>
          <w:rFonts w:hint="eastAsia" w:ascii="仿宋" w:hAnsi="仿宋" w:eastAsia="仿宋" w:cs="仿宋"/>
          <w:b/>
          <w:sz w:val="24"/>
          <w:szCs w:val="20"/>
          <w:highlight w:val="none"/>
        </w:rPr>
        <w:t xml:space="preserve">提供《中小企业声明函》原件（电子签章，填写完整。格式见《磋商文件》附件）</w:t>
      </w:r>
      <w:r>
        <w:rPr>
          <w:rFonts w:hint="eastAsia" w:ascii="仿宋" w:hAnsi="仿宋" w:eastAsia="仿宋" w:cs="仿宋"/>
          <w:bCs/>
          <w:sz w:val="24"/>
          <w:szCs w:val="20"/>
          <w:highlight w:val="none"/>
        </w:rPr>
        <w:t xml:space="preserve">。《中小企业声明函》查询渠道参考工业和信息化部发布的中小企业规模自测小程序；</w:t>
      </w:r>
      <w:r/>
    </w:p>
    <w:p>
      <w:pPr>
        <w:ind w:firstLine="482"/>
        <w:jc w:val="left"/>
        <w:spacing w:line="312"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注：中小微企业，应当符合以下条件：</w:t>
      </w:r>
      <w:r/>
    </w:p>
    <w:p>
      <w:pPr>
        <w:ind w:firstLine="482"/>
        <w:jc w:val="left"/>
        <w:spacing w:line="312"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2"/>
        <w:jc w:val="left"/>
        <w:spacing w:line="312"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firstLine="482"/>
        <w:jc w:val="left"/>
        <w:spacing w:line="312"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jc w:val="left"/>
        <w:spacing w:line="312"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8、本项目不接受联合体参与采购活动。</w:t>
      </w:r>
      <w:r/>
    </w:p>
    <w:p>
      <w:pPr>
        <w:jc w:val="left"/>
        <w:spacing w:line="312"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（三）符合性审查条件（必须提供，否则</w:t>
      </w:r>
      <w:r>
        <w:rPr>
          <w:rFonts w:hint="eastAsia" w:ascii="仿宋" w:hAnsi="仿宋" w:eastAsia="仿宋" w:cs="仿宋"/>
          <w:b/>
          <w:sz w:val="24"/>
          <w:szCs w:val="24"/>
          <w:highlight w:val="none"/>
        </w:rPr>
        <w:t xml:space="preserve">响应无效</w:t>
      </w:r>
      <w:r>
        <w:rPr>
          <w:rFonts w:hint="eastAsia" w:ascii="仿宋" w:hAnsi="仿宋" w:eastAsia="仿宋" w:cs="仿宋"/>
          <w:b/>
          <w:bCs/>
          <w:sz w:val="24"/>
          <w:szCs w:val="24"/>
          <w:highlight w:val="none"/>
        </w:rPr>
        <w:t xml:space="preserve">）</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bookmarkStart w:id="4" w:name="OLE_LINK10"/>
      <w:r>
        <w:rPr>
          <w:rFonts w:hint="eastAsia" w:ascii="仿宋" w:hAnsi="仿宋" w:eastAsia="仿宋" w:cs="仿宋"/>
          <w:sz w:val="24"/>
          <w:szCs w:val="24"/>
          <w:highlight w:val="none"/>
        </w:rPr>
        <w:t xml:space="preserve">《承诺书》</w:t>
      </w:r>
      <w:bookmarkEnd w:id="4"/>
      <w:r>
        <w:rPr>
          <w:rFonts w:hint="eastAsia" w:ascii="仿宋" w:hAnsi="仿宋" w:eastAsia="仿宋" w:cs="仿宋"/>
          <w:sz w:val="24"/>
          <w:szCs w:val="24"/>
          <w:highlight w:val="none"/>
        </w:rPr>
        <w:t xml:space="preserve">（加盖电子签章，格式见《磋商文件》附件）（必须提供，否则响应无效）；</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2、《磋商报价表》（加盖电子签章，格式见《磋商文件》附件）（必须提供，否则响应无效）（磋商文件格式与客户端格式不同，以《磋商文件》附件为准，但首次报价必须相同）；</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3、《分项价格表》</w:t>
      </w:r>
      <w:bookmarkStart w:id="5" w:name="OLE_LINK4"/>
      <w:r>
        <w:rPr>
          <w:rFonts w:hint="eastAsia" w:ascii="仿宋" w:hAnsi="仿宋" w:eastAsia="仿宋" w:cs="仿宋"/>
          <w:sz w:val="24"/>
          <w:szCs w:val="24"/>
          <w:highlight w:val="none"/>
        </w:rPr>
        <w:t xml:space="preserve">（具有标价的工程量清单与报价表）（必须提供，否则响应无效）（加盖电子签章，格式见《磋商文件》附件，见工程量清单）</w:t>
      </w:r>
      <w:bookmarkEnd w:id="5"/>
      <w:r>
        <w:rPr>
          <w:rFonts w:hint="eastAsia" w:ascii="仿宋" w:hAnsi="仿宋" w:eastAsia="仿宋" w:cs="仿宋"/>
          <w:sz w:val="24"/>
          <w:szCs w:val="24"/>
          <w:highlight w:val="none"/>
        </w:rPr>
        <w:t xml:space="preserve">；</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4、《偏离表》</w:t>
      </w:r>
      <w:bookmarkStart w:id="6" w:name="OLE_LINK5"/>
      <w:r>
        <w:rPr>
          <w:rFonts w:hint="eastAsia" w:ascii="仿宋" w:hAnsi="仿宋" w:eastAsia="仿宋" w:cs="仿宋"/>
          <w:sz w:val="24"/>
          <w:szCs w:val="24"/>
          <w:highlight w:val="none"/>
        </w:rPr>
        <w:t xml:space="preserve">（必须提供，否则响应无效）（加盖电子签章，格式见《磋商文件》附件）；</w:t>
      </w:r>
      <w:bookmarkEnd w:id="6"/>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5、《授权委托书》</w:t>
      </w:r>
      <w:bookmarkStart w:id="7" w:name="OLE_LINK6"/>
      <w:r>
        <w:rPr>
          <w:rFonts w:hint="eastAsia" w:ascii="仿宋" w:hAnsi="仿宋" w:eastAsia="仿宋" w:cs="仿宋"/>
          <w:sz w:val="24"/>
          <w:szCs w:val="24"/>
          <w:highlight w:val="none"/>
        </w:rPr>
        <w:t xml:space="preserve">（加盖电子签章，格式见《磋商文件》附件）（必须提供，否则响应无效）；授权委托书中受托人身份证复印件（必须提供，否则响应无效）；</w:t>
      </w:r>
      <w:bookmarkEnd w:id="7"/>
      <w:r/>
      <w:r/>
    </w:p>
    <w:p>
      <w:pPr>
        <w:pStyle w:val="1085"/>
        <w:ind w:firstLine="480"/>
        <w:rPr>
          <w:rFonts w:eastAsia="仿宋"/>
          <w:highlight w:val="none"/>
        </w:rPr>
      </w:pPr>
      <w:r>
        <w:rPr>
          <w:rFonts w:hint="eastAsia" w:ascii="仿宋" w:hAnsi="仿宋" w:eastAsia="仿宋" w:cs="仿宋"/>
          <w:sz w:val="24"/>
          <w:szCs w:val="24"/>
          <w:highlight w:val="none"/>
        </w:rPr>
        <w:t xml:space="preserve">6、《主要材料（设备）一览表》（必须提供，否则响应无效，加盖电子签章，格式见《磋商文件》附件）。</w:t>
      </w:r>
      <w:r/>
    </w:p>
    <w:p>
      <w:pPr>
        <w:jc w:val="left"/>
        <w:spacing w:line="312"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（四）综合评审评分项</w:t>
      </w:r>
      <w:r/>
    </w:p>
    <w:p>
      <w:pPr>
        <w:ind w:firstLine="42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1、技术部分</w:t>
      </w:r>
      <w:r/>
    </w:p>
    <w:p>
      <w:pPr>
        <w:ind w:firstLine="42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（1）施工组织设计（要求见《磋商文件》第八章《评分细则》及第八章《项目要求（采购需求）》）</w:t>
      </w:r>
      <w:r/>
    </w:p>
    <w:p>
      <w:pPr>
        <w:ind w:firstLine="42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（2）质保服务方案（要求见《磋商文件》第八章《评分细则》及第八章《项目要求（采购需求）》）；</w:t>
      </w:r>
      <w:r/>
    </w:p>
    <w:p>
      <w:pPr>
        <w:ind w:firstLine="42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2、商务部分</w:t>
      </w:r>
      <w:r/>
    </w:p>
    <w:p>
      <w:pPr>
        <w:ind w:firstLine="42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（1）详见《磋商文件》第八章《评分细则》；</w:t>
      </w:r>
      <w:r/>
    </w:p>
    <w:p>
      <w:pPr>
        <w:jc w:val="left"/>
        <w:spacing w:line="312"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（五）价格折扣文件</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 企业报价折扣证明：无</w:t>
      </w:r>
      <w:r/>
    </w:p>
    <w:p>
      <w:pPr>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十三、提交的首次响应文件的密封、签署、盖章要求：</w:t>
      </w:r>
      <w:r/>
    </w:p>
    <w:p>
      <w:pPr>
        <w:ind w:firstLine="482"/>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1、密封（加密）要求：</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ascii="仿宋" w:hAnsi="仿宋" w:eastAsia="仿宋" w:cs="仿宋"/>
          <w:bCs/>
          <w:sz w:val="24"/>
          <w:szCs w:val="24"/>
          <w:highlight w:val="none"/>
        </w:rPr>
      </w:pPr>
      <w:r>
        <w:rPr>
          <w:rFonts w:hint="eastAsia" w:ascii="仿宋" w:hAnsi="仿宋" w:eastAsia="仿宋" w:cs="仿宋"/>
          <w:b/>
          <w:sz w:val="24"/>
          <w:szCs w:val="24"/>
          <w:highlight w:val="none"/>
        </w:rPr>
        <w:t xml:space="preserve">2、签署要求：</w:t>
      </w:r>
      <w:r>
        <w:rPr>
          <w:rFonts w:hint="eastAsia" w:ascii="仿宋" w:hAnsi="仿宋" w:eastAsia="仿宋" w:cs="仿宋"/>
          <w:bCs/>
          <w:sz w:val="24"/>
          <w:szCs w:val="24"/>
          <w:highlight w:val="none"/>
        </w:rPr>
        <w:t xml:space="preserve">见《磋商文件》第九章附件中相关格式要求。</w:t>
      </w:r>
      <w:r/>
    </w:p>
    <w:p>
      <w:pPr>
        <w:ind w:firstLine="482"/>
        <w:jc w:val="left"/>
        <w:spacing w:line="312" w:lineRule="auto"/>
        <w:rPr>
          <w:rFonts w:ascii="仿宋" w:hAnsi="仿宋" w:eastAsia="仿宋" w:cs="仿宋"/>
          <w:b/>
          <w:sz w:val="24"/>
          <w:szCs w:val="24"/>
          <w:highlight w:val="none"/>
        </w:rPr>
      </w:pPr>
      <w:r>
        <w:rPr>
          <w:rFonts w:hint="eastAsia" w:ascii="仿宋" w:hAnsi="仿宋" w:eastAsia="仿宋" w:cs="仿宋"/>
          <w:b/>
          <w:bCs/>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12" w:lineRule="auto"/>
        <w:rPr>
          <w:rFonts w:ascii="仿宋" w:hAnsi="仿宋" w:eastAsia="仿宋" w:cs="仿宋"/>
          <w:bCs/>
          <w:sz w:val="24"/>
          <w:szCs w:val="24"/>
          <w:highlight w:val="none"/>
        </w:rPr>
      </w:pPr>
      <w:r>
        <w:rPr>
          <w:rFonts w:hint="eastAsia" w:ascii="仿宋" w:hAnsi="仿宋" w:eastAsia="仿宋" w:cs="仿宋"/>
          <w:b/>
          <w:sz w:val="24"/>
          <w:szCs w:val="24"/>
          <w:highlight w:val="none"/>
        </w:rPr>
        <w:t xml:space="preserve">3、盖章要求：</w:t>
      </w:r>
      <w:r>
        <w:rPr>
          <w:rFonts w:hint="eastAsia" w:ascii="仿宋" w:hAnsi="仿宋" w:eastAsia="仿宋" w:cs="仿宋"/>
          <w:bCs/>
          <w:sz w:val="24"/>
          <w:szCs w:val="24"/>
          <w:highlight w:val="none"/>
        </w:rPr>
        <w:t xml:space="preserve">见《磋商文件》附件中相关格式要求。供应商须通过“苏采云”系统提供的政府采购客户端工具（使用“CA数字证书”）加盖电子签章。</w:t>
      </w:r>
      <w:r/>
    </w:p>
    <w:p>
      <w:pPr>
        <w:ind w:firstLine="482"/>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sz w:val="24"/>
          <w:szCs w:val="24"/>
          <w:highlight w:val="none"/>
        </w:rPr>
        <w:t xml:space="preserve">过150M！（以系统为准） </w:t>
      </w:r>
      <w:r/>
    </w:p>
    <w:p>
      <w:pPr>
        <w:ind w:firstLine="482"/>
        <w:jc w:val="left"/>
        <w:spacing w:line="312"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5、特别说明：</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5.1供应商应当按照《磋商文件》的要求编制响应文件，并对其提交的响应文件的真实性、合法性承担法律责任。</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5.2供应商中标（成交）后，须向代理机构提供</w:t>
      </w:r>
      <w:bookmarkStart w:id="8" w:name="_Hlk105221193"/>
      <w:r>
        <w:rPr>
          <w:rFonts w:hint="eastAsia" w:ascii="仿宋" w:hAnsi="仿宋" w:eastAsia="仿宋" w:cs="仿宋"/>
          <w:bCs/>
          <w:sz w:val="24"/>
          <w:szCs w:val="24"/>
          <w:highlight w:val="none"/>
        </w:rPr>
        <w:t xml:space="preserve">纸质版响应文件一正二副及电子响应文件（U盘）</w:t>
      </w:r>
      <w:bookmarkEnd w:id="8"/>
      <w:r>
        <w:rPr>
          <w:rFonts w:hint="eastAsia" w:ascii="仿宋" w:hAnsi="仿宋" w:eastAsia="仿宋" w:cs="仿宋"/>
          <w:bCs/>
          <w:sz w:val="24"/>
          <w:szCs w:val="24"/>
          <w:highlight w:val="none"/>
        </w:rPr>
        <w:t xml:space="preserve">。采购人索取成交供应商的响应文件，须在双方签订政府采购合同后，由采购代理机构提供给采购人。</w:t>
      </w:r>
      <w:r/>
    </w:p>
    <w:p>
      <w:pPr>
        <w:pStyle w:val="1271"/>
        <w:jc w:val="center"/>
        <w:keepLines w:val="0"/>
        <w:keepNext w:val="0"/>
        <w:spacing w:before="0" w:after="0" w:line="312" w:lineRule="auto"/>
        <w:widowControl w:val="off"/>
        <w:rPr>
          <w:rStyle w:val="1305"/>
          <w:rFonts w:ascii="仿宋" w:hAnsi="仿宋" w:eastAsia="仿宋" w:cs="仿宋"/>
          <w:sz w:val="24"/>
          <w:szCs w:val="40"/>
          <w:highlight w:val="none"/>
        </w:rPr>
      </w:pPr>
      <w:r/>
      <w:bookmarkStart w:id="9" w:name="_Toc27519"/>
      <w:r>
        <w:rPr>
          <w:rStyle w:val="1305"/>
          <w:rFonts w:hint="eastAsia" w:ascii="仿宋" w:hAnsi="仿宋" w:eastAsia="仿宋" w:cs="仿宋"/>
          <w:sz w:val="24"/>
          <w:szCs w:val="40"/>
          <w:highlight w:val="none"/>
        </w:rPr>
        <w:t xml:space="preserve">第三章 磋商相关说明</w:t>
      </w:r>
      <w:bookmarkEnd w:id="9"/>
      <w:r/>
      <w:r/>
    </w:p>
    <w:p>
      <w:pPr>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十四、磋商要求</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2、供应商可通过CA数字证书，在首次响应文件开启时间后，使用CA数字证书在规定时间内解密各自响应文件。</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3、供应商授权的磋商人员需携带授权委托书原件及身份证原件，经磋商小组核查后参与磋商活动。</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4、磋商顺序按照电子标书解密先后时间进行，解密时间相同的，不分先后顺序。</w:t>
      </w:r>
      <w:r/>
    </w:p>
    <w:p>
      <w:pPr>
        <w:ind w:firstLine="482"/>
        <w:spacing w:line="360" w:lineRule="auto"/>
        <w:rPr>
          <w:rFonts w:ascii="仿宋" w:hAnsi="仿宋" w:eastAsia="仿宋" w:cs="仿宋"/>
          <w:b/>
          <w:sz w:val="24"/>
          <w:szCs w:val="24"/>
          <w:highlight w:val="none"/>
        </w:rPr>
      </w:pPr>
      <w:r>
        <w:rPr>
          <w:rFonts w:hint="eastAsia" w:ascii="仿宋" w:hAnsi="仿宋" w:eastAsia="仿宋" w:cs="仿宋"/>
          <w:sz w:val="24"/>
          <w:szCs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sz w:val="24"/>
          <w:szCs w:val="24"/>
          <w:highlight w:val="none"/>
        </w:rPr>
        <w:t xml:space="preserve">。</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6、未在规定时间内进行答疑澄清的，视同放弃澄清。</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7、未在规定时间内进行报价的，视为响应无效。</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8、被邀请参与磋商的供应商如未按上述磋商要求执行，视同放弃磋商的权利。</w:t>
      </w:r>
      <w:r/>
    </w:p>
    <w:p>
      <w:pPr>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十五、评审方法和评审标准</w:t>
      </w:r>
      <w:r/>
    </w:p>
    <w:p>
      <w:pPr>
        <w:ind w:firstLine="478"/>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1、评审方法：综合评估法</w:t>
      </w:r>
      <w:r/>
    </w:p>
    <w:p>
      <w:pPr>
        <w:ind w:firstLine="478"/>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2、评审标准：详见《评分细则》</w:t>
      </w:r>
      <w:r/>
    </w:p>
    <w:p>
      <w:pPr>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十六、评审程序</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1、磋商评审小组的组建：采购人组建。磋商小组成员构成：3人。磋商小组确定方式：由政府采购专家组成（从《江苏省政府采购专家库》随机抽取）。    </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3、磋商小组所有成员应当集中与单一供应商分别进行磋商，并给予所有参加磋商的供应商平等的磋商机会。</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12" w:lineRule="auto"/>
        <w:rPr>
          <w:rFonts w:ascii="仿宋" w:hAnsi="仿宋" w:eastAsia="仿宋" w:cs="仿宋"/>
          <w:b/>
          <w:bCs/>
          <w:sz w:val="24"/>
          <w:szCs w:val="24"/>
          <w:highlight w:val="none"/>
        </w:rPr>
      </w:pPr>
      <w:r>
        <w:rPr>
          <w:rFonts w:hint="eastAsia" w:ascii="仿宋" w:hAnsi="仿宋" w:eastAsia="仿宋" w:cs="仿宋"/>
          <w:sz w:val="24"/>
          <w:szCs w:val="24"/>
          <w:highlight w:val="none"/>
        </w:rPr>
        <w:t xml:space="preserve">5、 磋商结束后，磋商小组应当要求所有参加磋商的供应商在规定时间内进行最后报价。供应商可按照磋商小组的要求在磋商现场（即“苏采云”系统开标大厅中）</w:t>
      </w:r>
      <w:r>
        <w:rPr>
          <w:rFonts w:hint="eastAsia" w:ascii="仿宋" w:hAnsi="仿宋" w:eastAsia="仿宋" w:cs="仿宋"/>
          <w:b/>
          <w:bCs/>
          <w:sz w:val="24"/>
          <w:szCs w:val="24"/>
          <w:highlight w:val="none"/>
        </w:rPr>
        <w:t xml:space="preserve">进行不少于两次的报价，首轮报价不公开，本项目二次报价为最后报价。</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6、已提交响应文件的供应商，在提交最后报价之前，可以根据磋商情况退出磋商。</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8、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80"/>
        <w:spacing w:line="85" w:lineRule="atLeast"/>
        <w:rPr>
          <w:rFonts w:ascii="仿宋" w:hAnsi="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rPr>
          <w:rFonts w:ascii="仿宋" w:hAnsi="仿宋" w:eastAsia="仿宋" w:cs="仿宋"/>
          <w:color w:val="000000"/>
          <w:sz w:val="24"/>
          <w:highlight w:val="none"/>
        </w:rPr>
        <w:t xml:space="preserve">实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施政府采购异常低价审查的有关要求:</w:t>
      </w:r>
      <w:r/>
    </w:p>
    <w:p>
      <w:pPr>
        <w:ind w:firstLine="480"/>
        <w:spacing w:line="85" w:lineRule="atLeast"/>
        <w:rPr>
          <w:rFonts w:ascii="仿宋" w:hAnsi="仿宋" w:cs="仿宋"/>
          <w:b/>
          <w:bCs/>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highlight w:val="none"/>
        </w:rPr>
        <w:t xml:space="preserve">(1)评审过程中出现下列情形之一的，磋商小组应当启动异常低价投标(响应)审查程序:</w:t>
      </w:r>
      <w:r/>
    </w:p>
    <w:p>
      <w:pPr>
        <w:pStyle w:val="1075"/>
        <w:ind w:firstLine="480"/>
        <w:widowControl w:val="off"/>
        <w:rPr>
          <w:rFonts w:ascii="仿宋" w:hAnsi="仿宋" w:eastAsia="仿宋" w:cs="仿宋"/>
          <w:b/>
          <w:bCs/>
          <w:color w:val="000000"/>
          <w:highlight w:val="none"/>
        </w:rPr>
      </w:pPr>
      <w:r>
        <w:rPr>
          <w:rFonts w:hint="eastAsia" w:ascii="仿宋" w:hAnsi="仿宋" w:eastAsia="仿宋" w:cs="仿宋"/>
          <w:b/>
          <w:bCs/>
          <w:color w:val="000000"/>
          <w:highlight w:val="none"/>
        </w:rPr>
        <w:t xml:space="preserve">评审过程中出现下列情形之一的，评审委员会应当启动异常低价投标审查程序：</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4.评审（评标）委员会基于专业判断，认为供应商报价过低，有可能影响产品质量或者不能诚信履约的其他情形。</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相关法律法规对供应商报价有规定的，从其规定。</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312" w:lineRule="auto"/>
        <w:rPr>
          <w:rFonts w:ascii="仿宋" w:hAnsi="仿宋" w:eastAsia="仿宋" w:cs="仿宋"/>
          <w:sz w:val="24"/>
          <w:szCs w:val="24"/>
          <w:highlight w:val="none"/>
        </w:rPr>
      </w:pPr>
      <w:r>
        <w:rPr>
          <w:rFonts w:ascii="仿宋" w:hAnsi="仿宋" w:eastAsia="仿宋" w:cs="仿宋"/>
          <w:sz w:val="24"/>
          <w:szCs w:val="24"/>
          <w:highlight w:val="none"/>
        </w:rPr>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12" w:lineRule="auto"/>
        <w:widowControl w:val="off"/>
        <w:rPr>
          <w:rFonts w:ascii="仿宋" w:hAnsi="仿宋" w:eastAsia="仿宋" w:cs="仿宋"/>
          <w:sz w:val="24"/>
          <w:szCs w:val="24"/>
          <w:highlight w:val="none"/>
        </w:rPr>
      </w:pPr>
      <w:r>
        <w:rPr>
          <w:rFonts w:hint="eastAsia" w:ascii="仿宋" w:hAnsi="仿宋" w:eastAsia="仿宋" w:cs="仿宋"/>
          <w:b/>
          <w:bCs/>
          <w:sz w:val="24"/>
          <w:szCs w:val="24"/>
          <w:highlight w:val="none"/>
        </w:rPr>
        <w:t xml:space="preserve">十七、有下列情形之一的，其响应无效：</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1、电子响应文件未按规定期限提交的； </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2、电子响应文件未按磋商文件要求签章的；</w:t>
      </w:r>
      <w:r/>
    </w:p>
    <w:p>
      <w:pPr>
        <w:ind w:firstLine="480"/>
        <w:spacing w:line="308"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3、投标人未在规定时间内解密电子响应文件的；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4、供应商的法定代表人授权代表，无法定代表人授权委托书的；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5、不具备磋商文件中规定的资格要求或未按磋商文件规定的要求提供资格、资信证明文件的；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6、被列入“信用中国”网站（www.creditchina.gov.cn）失信被执行人、重大税收违法案件当事人名单、政府采购严重违法失信行为记录名单的；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7、响应文件未按磋商文件规定的内容和要求填写的；没有在投标系统指定位置上传对应文件、材料的；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8、响应文件中有磋商文件未允许提供的选择性内容；</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9、不同供应商委托同一单位或者个人办理投标事宜的；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10、不同供应商的单位负责人为同一人或者存在直接控股、管理关系的；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14、项目（标段）投标总价超过本项目（标段）预算或最高限价的；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15、提供虚假材料的（包括工商营业执照、财务报表、资格证明文件等）；</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16、响应文件含有采购人不能接受的附加条件的；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18、除单一来源采购项目外，为采购项目提供整体设计、规范编制或者项目管理、监理、检测等服务的；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19、响应文件内容不全或不符合磋商文件中规定的其它实质性要求的；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20、法律法规和磋商文件规定的其它无效情形。</w:t>
      </w:r>
      <w:r/>
    </w:p>
    <w:p>
      <w:pPr>
        <w:jc w:val="center"/>
        <w:spacing w:line="312" w:lineRule="auto"/>
        <w:widowControl w:val="off"/>
        <w:rPr>
          <w:rFonts w:ascii="仿宋" w:hAnsi="仿宋" w:eastAsia="仿宋" w:cs="仿宋"/>
          <w:b/>
          <w:bCs/>
          <w:sz w:val="24"/>
          <w:szCs w:val="24"/>
          <w:highlight w:val="none"/>
        </w:rPr>
        <w:outlineLvl w:val="0"/>
      </w:pPr>
      <w:r/>
      <w:bookmarkStart w:id="10" w:name="_Toc17980"/>
      <w:r>
        <w:rPr>
          <w:rFonts w:hint="eastAsia" w:ascii="仿宋" w:hAnsi="仿宋" w:eastAsia="仿宋" w:cs="仿宋"/>
          <w:b/>
          <w:bCs/>
          <w:sz w:val="24"/>
          <w:szCs w:val="24"/>
          <w:highlight w:val="none"/>
        </w:rPr>
        <w:t xml:space="preserve">第四章 确定成交供应商及合同签订等</w:t>
      </w:r>
      <w:bookmarkEnd w:id="10"/>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放弃成交的供应商不得参加对该项目重新开展的采购活动。</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采购人对未成交的供应商不做未成交原因的解释。</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二十、采购人与成交供应商应当在成交通知书发出之日起</w:t>
      </w:r>
      <w:r>
        <w:rPr>
          <w:rFonts w:hint="eastAsia" w:ascii="仿宋" w:hAnsi="仿宋" w:eastAsia="仿宋" w:cs="仿宋"/>
          <w:sz w:val="24"/>
          <w:szCs w:val="24"/>
          <w:highlight w:val="none"/>
          <w:u w:val="single"/>
        </w:rPr>
        <w:t xml:space="preserve">15</w:t>
      </w:r>
      <w:r>
        <w:rPr>
          <w:rFonts w:hint="eastAsia" w:ascii="仿宋" w:hAnsi="仿宋" w:eastAsia="仿宋" w:cs="仿宋"/>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二十一、</w:t>
      </w:r>
      <w:r>
        <w:rPr>
          <w:rStyle w:val="1305"/>
          <w:rFonts w:hint="eastAsia" w:ascii="仿宋" w:hAnsi="仿宋" w:eastAsia="仿宋" w:cs="仿宋"/>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sz w:val="24"/>
          <w:szCs w:val="24"/>
          <w:highlight w:val="none"/>
        </w:rPr>
        <w:t xml:space="preserve">。</w:t>
      </w:r>
      <w:r/>
    </w:p>
    <w:p>
      <w:pPr>
        <w:jc w:val="center"/>
        <w:spacing w:line="312" w:lineRule="auto"/>
        <w:widowControl w:val="off"/>
        <w:rPr>
          <w:rFonts w:ascii="仿宋" w:hAnsi="仿宋" w:eastAsia="仿宋" w:cs="仿宋"/>
          <w:b/>
          <w:bCs/>
          <w:sz w:val="24"/>
          <w:szCs w:val="24"/>
          <w:highlight w:val="none"/>
        </w:rPr>
        <w:outlineLvl w:val="0"/>
      </w:pPr>
      <w:r/>
      <w:bookmarkStart w:id="11" w:name="_Toc1882"/>
      <w:r>
        <w:rPr>
          <w:rFonts w:hint="eastAsia" w:ascii="仿宋" w:hAnsi="仿宋" w:eastAsia="仿宋" w:cs="仿宋"/>
          <w:b/>
          <w:bCs/>
          <w:sz w:val="24"/>
          <w:szCs w:val="24"/>
          <w:highlight w:val="none"/>
        </w:rPr>
        <w:t xml:space="preserve">第五章 磋商文件的澄清或者修改</w:t>
      </w:r>
      <w:bookmarkEnd w:id="11"/>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二十二、竞争性磋商文件的澄清或者修改</w:t>
      </w:r>
      <w:r/>
    </w:p>
    <w:p>
      <w:pPr>
        <w:ind w:firstLine="480"/>
        <w:jc w:val="left"/>
        <w:spacing w:line="312" w:lineRule="auto"/>
        <w:widowControl w:val="off"/>
        <w:rPr>
          <w:rFonts w:ascii="仿宋" w:hAnsi="仿宋" w:eastAsia="仿宋" w:cs="仿宋"/>
          <w:b/>
          <w:bCs/>
          <w:sz w:val="24"/>
          <w:szCs w:val="24"/>
          <w:highlight w:val="none"/>
        </w:rPr>
      </w:pPr>
      <w:r>
        <w:rPr>
          <w:rFonts w:hint="eastAsia" w:ascii="仿宋" w:hAnsi="仿宋" w:eastAsia="仿宋" w:cs="仿宋"/>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ascii="仿宋" w:hAnsi="仿宋" w:eastAsia="仿宋" w:cs="仿宋"/>
          <w:b/>
          <w:bCs/>
          <w:sz w:val="24"/>
          <w:szCs w:val="24"/>
          <w:highlight w:val="none"/>
        </w:rPr>
        <w:outlineLvl w:val="0"/>
      </w:pPr>
      <w:r/>
      <w:bookmarkStart w:id="12" w:name="_Toc9582"/>
      <w:r>
        <w:rPr>
          <w:rFonts w:hint="eastAsia" w:ascii="仿宋" w:hAnsi="仿宋" w:eastAsia="仿宋" w:cs="仿宋"/>
          <w:b/>
          <w:bCs/>
          <w:sz w:val="24"/>
          <w:szCs w:val="24"/>
          <w:highlight w:val="none"/>
        </w:rPr>
        <w:t xml:space="preserve">第六章 询问和质疑</w:t>
      </w:r>
      <w:bookmarkEnd w:id="12"/>
      <w:r/>
      <w:r/>
    </w:p>
    <w:p>
      <w:pPr>
        <w:ind w:firstLine="480"/>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二十三、询问和质疑</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2、质疑和投诉按《政府采购质疑和投诉办法》执行。 供应商对同一采购程序环节的质疑应在质疑期内一次性提出。</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质疑接收人：董莉     联系电话：0516-87888893</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接收地址：徐州市云龙区吉田商务广场B栋222</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3、供应商对评审过程、成交结果提出质疑的，采购人、采购代理机构可以组织原评审委员会协助答复质疑。</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4、采购人或采购代理机构在收到供应商的书面质疑后7个工作日内予以答复，并告知本项目的有关供应商。</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jc w:val="center"/>
        <w:spacing w:line="300" w:lineRule="auto"/>
        <w:widowControl w:val="off"/>
        <w:rPr>
          <w:rFonts w:ascii="仿宋" w:hAnsi="仿宋" w:eastAsia="仿宋" w:cs="仿宋"/>
          <w:b/>
          <w:bCs/>
          <w:sz w:val="24"/>
          <w:szCs w:val="24"/>
          <w:highlight w:val="none"/>
        </w:rPr>
        <w:outlineLvl w:val="0"/>
      </w:pPr>
      <w:r>
        <w:rPr>
          <w:rFonts w:ascii="仿宋" w:hAnsi="仿宋" w:eastAsia="仿宋" w:cs="仿宋"/>
          <w:b/>
          <w:bCs/>
          <w:sz w:val="24"/>
          <w:szCs w:val="24"/>
          <w:highlight w:val="none"/>
        </w:rPr>
      </w:r>
      <w:r/>
    </w:p>
    <w:p>
      <w:pPr>
        <w:jc w:val="center"/>
        <w:spacing w:line="300" w:lineRule="auto"/>
        <w:widowControl w:val="off"/>
        <w:rPr>
          <w:rFonts w:ascii="仿宋" w:hAnsi="仿宋" w:eastAsia="仿宋" w:cs="仿宋"/>
          <w:b/>
          <w:bCs/>
          <w:sz w:val="24"/>
          <w:szCs w:val="24"/>
          <w:highlight w:val="none"/>
        </w:rPr>
        <w:outlineLvl w:val="0"/>
      </w:pPr>
      <w:r>
        <w:rPr>
          <w:rFonts w:hint="eastAsia" w:ascii="仿宋" w:hAnsi="仿宋" w:eastAsia="仿宋" w:cs="仿宋"/>
          <w:b/>
          <w:bCs/>
          <w:sz w:val="24"/>
          <w:szCs w:val="24"/>
          <w:highlight w:val="none"/>
        </w:rPr>
        <w:t xml:space="preserve">第七章 其他</w:t>
      </w:r>
      <w:r/>
    </w:p>
    <w:p>
      <w:pPr>
        <w:jc w:val="left"/>
        <w:spacing w:line="300" w:lineRule="auto"/>
        <w:widowControl w:val="off"/>
        <w:rPr>
          <w:rFonts w:ascii="仿宋" w:hAnsi="仿宋" w:eastAsia="仿宋" w:cs="仿宋"/>
          <w:sz w:val="24"/>
          <w:szCs w:val="24"/>
          <w:highlight w:val="none"/>
        </w:rPr>
      </w:pPr>
      <w:r>
        <w:rPr>
          <w:rFonts w:ascii="仿宋" w:hAnsi="仿宋" w:eastAsia="仿宋" w:cs="仿宋"/>
          <w:sz w:val="24"/>
          <w:szCs w:val="24"/>
          <w:highlight w:val="none"/>
        </w:rPr>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二十五、成交供应商领取成交通知书时，向徐州保平建设项目管理咨询有限公司一次性支付招标代理服务费，收费标准见附件。同时提供纸质版响应文件一正四副及电子响应文件（U盘）。</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二十六、成交结果在徐州政府采购网http://czj.xz.gov.cn/Home/HomeIndex上公布。</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二十七、联系方式</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1、采购人</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名称：徐州市公安局交通管理支队</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地址：徐州市泉山区祥湖路3号 </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采购项目联系人：金大江 </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电话：0</w:t>
      </w:r>
      <w:r>
        <w:rPr>
          <w:rFonts w:ascii="仿宋" w:hAnsi="仿宋" w:eastAsia="仿宋" w:cs="仿宋"/>
          <w:sz w:val="24"/>
          <w:szCs w:val="24"/>
          <w:highlight w:val="none"/>
        </w:rPr>
        <w:t xml:space="preserve">516</w:t>
      </w:r>
      <w:r>
        <w:rPr>
          <w:rFonts w:hint="eastAsia" w:ascii="仿宋" w:hAnsi="仿宋" w:eastAsia="仿宋" w:cs="仿宋"/>
          <w:sz w:val="24"/>
          <w:szCs w:val="24"/>
          <w:highlight w:val="none"/>
        </w:rPr>
        <w:t xml:space="preserve">-</w:t>
      </w:r>
      <w:r>
        <w:rPr>
          <w:rFonts w:ascii="仿宋" w:hAnsi="仿宋" w:eastAsia="仿宋" w:cs="仿宋"/>
          <w:sz w:val="24"/>
          <w:szCs w:val="24"/>
          <w:highlight w:val="none"/>
        </w:rPr>
        <w:t xml:space="preserve">83642929</w:t>
      </w:r>
      <w:r>
        <w:rPr>
          <w:rFonts w:hint="eastAsia" w:ascii="仿宋" w:hAnsi="仿宋" w:eastAsia="仿宋" w:cs="仿宋"/>
          <w:sz w:val="24"/>
          <w:szCs w:val="24"/>
          <w:highlight w:val="none"/>
        </w:rPr>
        <w:t xml:space="preserve"> </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2、采购代理机构</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名称：徐州保平建设项目管理咨询有限公司</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地址：徐州市云龙区吉田商务广场B栋222</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采购代理联系人：董莉</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电话：0516-87888893</w:t>
      </w:r>
      <w:r/>
    </w:p>
    <w:p>
      <w:pPr>
        <w:jc w:val="center"/>
        <w:spacing w:line="300" w:lineRule="auto"/>
        <w:widowControl w:val="off"/>
        <w:rPr>
          <w:rFonts w:ascii="仿宋" w:hAnsi="仿宋" w:eastAsia="仿宋" w:cs="仿宋"/>
          <w:b/>
          <w:bCs/>
          <w:sz w:val="24"/>
          <w:szCs w:val="24"/>
          <w:highlight w:val="none"/>
        </w:rPr>
        <w:outlineLvl w:val="0"/>
      </w:pPr>
      <w:r>
        <w:rPr>
          <w:rFonts w:hint="eastAsia" w:ascii="仿宋" w:hAnsi="仿宋" w:eastAsia="仿宋" w:cs="仿宋"/>
          <w:b/>
          <w:bCs/>
          <w:sz w:val="24"/>
          <w:szCs w:val="24"/>
          <w:highlight w:val="none"/>
        </w:rPr>
        <w:t xml:space="preserve">第八章 附件</w:t>
      </w:r>
      <w:r/>
    </w:p>
    <w:p>
      <w:pPr>
        <w:ind w:firstLine="480"/>
        <w:spacing w:line="360" w:lineRule="auto"/>
        <w:widowControl w:val="off"/>
        <w:rPr>
          <w:rFonts w:ascii="仿宋" w:hAnsi="仿宋" w:eastAsia="仿宋" w:cs="仿宋"/>
          <w:sz w:val="24"/>
          <w:szCs w:val="24"/>
          <w:highlight w:val="none"/>
        </w:rPr>
      </w:pPr>
      <w:r/>
      <w:bookmarkStart w:id="13" w:name="_Hlk81899242"/>
      <w:r>
        <w:rPr>
          <w:rFonts w:hint="eastAsia" w:ascii="仿宋" w:hAnsi="仿宋" w:eastAsia="仿宋" w:cs="仿宋"/>
          <w:sz w:val="24"/>
          <w:szCs w:val="24"/>
          <w:highlight w:val="none"/>
        </w:rPr>
        <w:t xml:space="preserve">1、《评分细则》</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2、《项目要求（采购需求）》</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3、《磋商报价表》</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bCs/>
          <w:sz w:val="24"/>
          <w:szCs w:val="24"/>
          <w:highlight w:val="none"/>
        </w:rPr>
        <w:t xml:space="preserve">分项价格表</w:t>
      </w:r>
      <w:r>
        <w:rPr>
          <w:rFonts w:hint="eastAsia" w:ascii="仿宋" w:hAnsi="仿宋" w:eastAsia="仿宋" w:cs="仿宋"/>
          <w:sz w:val="24"/>
          <w:szCs w:val="24"/>
          <w:highlight w:val="none"/>
        </w:rPr>
        <w:t xml:space="preserve">》</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5、《主要材料（设备）一览表》</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6、《偏离表》</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7、《合同草案条款》</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8、《承诺书》</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9、《授权委托书》</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10、《中小企业声明函》</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11、《残疾人福利性单位声明函》</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12、《供应商参加政府采购活动前3年内在经营活动中没有重大违法记录的书面声明》</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13、《具备履行合同所必需的设备和专业技术能力的书面声明》</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14、《预付款保函》</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15、《代理服务收费标准》</w:t>
      </w:r>
      <w:bookmarkEnd w:id="13"/>
      <w:r/>
      <w:r/>
    </w:p>
    <w:p>
      <w:pPr>
        <w:pStyle w:val="1271"/>
        <w:jc w:val="center"/>
        <w:keepLines w:val="0"/>
        <w:keepNext w:val="0"/>
        <w:spacing w:before="0" w:after="0" w:line="312" w:lineRule="auto"/>
        <w:widowControl w:val="off"/>
        <w:rPr>
          <w:rFonts w:ascii="仿宋" w:hAnsi="仿宋" w:eastAsia="仿宋" w:cs="仿宋"/>
          <w:sz w:val="21"/>
          <w:szCs w:val="21"/>
          <w:highlight w:val="none"/>
        </w:rPr>
      </w:pPr>
      <w:r>
        <w:rPr>
          <w:rStyle w:val="1305"/>
          <w:rFonts w:hint="eastAsia" w:ascii="仿宋" w:hAnsi="仿宋" w:eastAsia="仿宋" w:cs="仿宋"/>
          <w:sz w:val="28"/>
          <w:highlight w:val="none"/>
        </w:rPr>
        <w:br w:type="page" w:clear="all"/>
      </w:r>
      <w:bookmarkStart w:id="14" w:name="_Toc26268"/>
      <w:r>
        <w:rPr>
          <w:rStyle w:val="1305"/>
          <w:rFonts w:hint="eastAsia" w:ascii="仿宋" w:hAnsi="仿宋" w:eastAsia="仿宋" w:cs="仿宋"/>
          <w:sz w:val="28"/>
          <w:highlight w:val="none"/>
        </w:rPr>
        <w:t xml:space="preserve">1、 评分细则</w:t>
      </w:r>
      <w:bookmarkEnd w:id="14"/>
      <w:r/>
      <w:r/>
    </w:p>
    <w:tbl>
      <w:tblPr>
        <w:tblStyle w:val="1051"/>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428"/>
        <w:gridCol w:w="7022"/>
      </w:tblGrid>
      <w:tr>
        <w:trPr>
          <w:jc w:val="center"/>
          <w:trHeight w:val="90"/>
        </w:trPr>
        <w:tc>
          <w:tcPr>
            <w:gridSpan w:val="2"/>
            <w:tcW w:w="2725" w:type="dxa"/>
            <w:vAlign w:val="center"/>
            <w:textDirection w:val="lrTb"/>
            <w:noWrap w:val="false"/>
          </w:tcPr>
          <w:p>
            <w:pPr>
              <w:pStyle w:val="1095"/>
              <w:jc w:val="center"/>
              <w:spacing w:line="264" w:lineRule="auto"/>
              <w:rPr>
                <w:rFonts w:eastAsia="宋体" w:cs="宋体"/>
                <w:b/>
                <w:bCs/>
                <w:color w:val="auto"/>
                <w:sz w:val="28"/>
                <w:szCs w:val="28"/>
                <w:highlight w:val="none"/>
              </w:rPr>
            </w:pPr>
            <w:r>
              <w:rPr>
                <w:rFonts w:hint="eastAsia" w:eastAsia="宋体" w:cs="宋体"/>
                <w:b/>
                <w:bCs/>
                <w:color w:val="auto"/>
                <w:sz w:val="28"/>
                <w:szCs w:val="28"/>
                <w:highlight w:val="none"/>
              </w:rPr>
              <w:t xml:space="preserve">项目</w:t>
            </w:r>
            <w:r/>
          </w:p>
        </w:tc>
        <w:tc>
          <w:tcPr>
            <w:tcW w:w="7022" w:type="dxa"/>
            <w:vAlign w:val="center"/>
            <w:textDirection w:val="lrTb"/>
            <w:noWrap w:val="false"/>
          </w:tcPr>
          <w:p>
            <w:pPr>
              <w:pStyle w:val="1095"/>
              <w:jc w:val="center"/>
              <w:spacing w:line="264" w:lineRule="auto"/>
              <w:rPr>
                <w:rFonts w:eastAsia="宋体" w:cs="宋体"/>
                <w:b/>
                <w:bCs/>
                <w:color w:val="auto"/>
                <w:sz w:val="28"/>
                <w:szCs w:val="28"/>
                <w:highlight w:val="none"/>
              </w:rPr>
            </w:pPr>
            <w:r>
              <w:rPr>
                <w:rFonts w:hint="eastAsia" w:eastAsia="宋体" w:cs="宋体"/>
                <w:b/>
                <w:bCs/>
                <w:color w:val="auto"/>
                <w:sz w:val="28"/>
                <w:szCs w:val="28"/>
                <w:highlight w:val="none"/>
              </w:rPr>
              <w:t xml:space="preserve">评分细则</w:t>
            </w:r>
            <w:r/>
          </w:p>
        </w:tc>
      </w:tr>
      <w:tr>
        <w:trPr>
          <w:jc w:val="center"/>
          <w:trHeight w:val="1515"/>
        </w:trPr>
        <w:tc>
          <w:tcPr>
            <w:tcW w:w="1297" w:type="dxa"/>
            <w:vAlign w:val="center"/>
            <w:textDirection w:val="lrTb"/>
            <w:noWrap w:val="false"/>
          </w:tcPr>
          <w:p>
            <w:pPr>
              <w:pStyle w:val="1095"/>
              <w:jc w:val="center"/>
              <w:rPr>
                <w:rFonts w:eastAsia="宋体" w:cs="宋体"/>
                <w:color w:val="auto"/>
                <w:highlight w:val="none"/>
              </w:rPr>
            </w:pPr>
            <w:r>
              <w:rPr>
                <w:rFonts w:hint="eastAsia" w:eastAsia="宋体" w:cs="宋体"/>
                <w:color w:val="auto"/>
                <w:highlight w:val="none"/>
              </w:rPr>
              <w:t xml:space="preserve">经济</w:t>
            </w:r>
            <w:r/>
          </w:p>
          <w:p>
            <w:pPr>
              <w:pStyle w:val="1095"/>
              <w:jc w:val="center"/>
              <w:rPr>
                <w:rFonts w:eastAsia="宋体" w:cs="宋体"/>
                <w:color w:val="auto"/>
                <w:highlight w:val="none"/>
              </w:rPr>
            </w:pPr>
            <w:r>
              <w:rPr>
                <w:rFonts w:hint="eastAsia" w:eastAsia="宋体" w:cs="宋体"/>
                <w:color w:val="auto"/>
                <w:highlight w:val="none"/>
              </w:rPr>
              <w:t xml:space="preserve">部分</w:t>
            </w:r>
            <w:r/>
          </w:p>
          <w:p>
            <w:pPr>
              <w:pStyle w:val="1095"/>
              <w:jc w:val="center"/>
              <w:rPr>
                <w:rFonts w:eastAsia="宋体" w:cs="宋体"/>
                <w:color w:val="auto"/>
                <w:highlight w:val="none"/>
              </w:rPr>
            </w:pPr>
            <w:r>
              <w:rPr>
                <w:rFonts w:hint="eastAsia" w:eastAsia="宋体" w:cs="宋体"/>
                <w:color w:val="auto"/>
                <w:highlight w:val="none"/>
              </w:rPr>
              <w:t xml:space="preserve">(</w:t>
            </w:r>
            <w:r>
              <w:rPr>
                <w:rFonts w:eastAsia="宋体" w:cs="宋体"/>
                <w:color w:val="auto"/>
                <w:highlight w:val="none"/>
              </w:rPr>
              <w:t xml:space="preserve">35</w:t>
            </w:r>
            <w:r>
              <w:rPr>
                <w:rFonts w:hint="eastAsia" w:eastAsia="宋体" w:cs="宋体"/>
                <w:color w:val="auto"/>
                <w:highlight w:val="none"/>
              </w:rPr>
              <w:t xml:space="preserve">分)</w:t>
            </w:r>
            <w:r/>
          </w:p>
        </w:tc>
        <w:tc>
          <w:tcPr>
            <w:tcW w:w="1428" w:type="dxa"/>
            <w:vAlign w:val="center"/>
            <w:textDirection w:val="lrTb"/>
            <w:noWrap w:val="false"/>
          </w:tcPr>
          <w:p>
            <w:pPr>
              <w:pStyle w:val="1095"/>
              <w:jc w:val="center"/>
              <w:rPr>
                <w:rFonts w:eastAsia="宋体" w:cs="宋体"/>
                <w:color w:val="auto"/>
                <w:highlight w:val="none"/>
              </w:rPr>
            </w:pPr>
            <w:r>
              <w:rPr>
                <w:rFonts w:hint="eastAsia" w:eastAsia="宋体" w:cs="宋体"/>
                <w:color w:val="auto"/>
                <w:highlight w:val="none"/>
              </w:rPr>
              <w:t xml:space="preserve">价格</w:t>
            </w:r>
            <w:r/>
          </w:p>
          <w:p>
            <w:pPr>
              <w:pStyle w:val="1095"/>
              <w:jc w:val="center"/>
              <w:rPr>
                <w:rFonts w:eastAsia="宋体" w:cs="宋体"/>
                <w:color w:val="auto"/>
                <w:highlight w:val="none"/>
              </w:rPr>
            </w:pPr>
            <w:r>
              <w:rPr>
                <w:rFonts w:hint="eastAsia" w:eastAsia="宋体" w:cs="宋体"/>
                <w:color w:val="auto"/>
                <w:highlight w:val="none"/>
              </w:rPr>
              <w:t xml:space="preserve">（</w:t>
            </w:r>
            <w:r>
              <w:rPr>
                <w:rFonts w:eastAsia="宋体" w:cs="宋体"/>
                <w:color w:val="auto"/>
                <w:highlight w:val="none"/>
              </w:rPr>
              <w:t xml:space="preserve">35</w:t>
            </w:r>
            <w:r>
              <w:rPr>
                <w:rFonts w:hint="eastAsia" w:eastAsia="宋体" w:cs="宋体"/>
                <w:color w:val="auto"/>
                <w:highlight w:val="none"/>
              </w:rPr>
              <w:t xml:space="preserve">分)</w:t>
            </w:r>
            <w:r/>
          </w:p>
        </w:tc>
        <w:tc>
          <w:tcPr>
            <w:tcW w:w="7022" w:type="dxa"/>
            <w:vAlign w:val="center"/>
            <w:textDirection w:val="lrTb"/>
            <w:noWrap w:val="false"/>
          </w:tcPr>
          <w:p>
            <w:pPr>
              <w:pStyle w:val="1095"/>
              <w:jc w:val="both"/>
              <w:rPr>
                <w:rFonts w:eastAsia="宋体" w:cs="宋体"/>
                <w:color w:val="auto"/>
                <w:highlight w:val="none"/>
              </w:rPr>
            </w:pPr>
            <w:r/>
            <w:bookmarkStart w:id="15" w:name="OLE_LINK8"/>
            <w:r>
              <w:rPr>
                <w:rFonts w:hint="eastAsia" w:eastAsia="宋体" w:cs="宋体"/>
                <w:color w:val="auto"/>
                <w:highlight w:val="none"/>
              </w:rPr>
              <w:t xml:space="preserve">采用低价优先法计算，即满足磋商文件要求且最后报价最低的供应商的价格为磋商基准价，其价格分为满分。其他供应商的价格分统一按照下列公式计算： 磋商报价得分=（磋商基准价/最后磋商报价）×</w:t>
            </w:r>
            <w:r>
              <w:rPr>
                <w:rFonts w:eastAsia="宋体" w:cs="宋体"/>
                <w:color w:val="auto"/>
                <w:highlight w:val="none"/>
              </w:rPr>
              <w:t xml:space="preserve">35</w:t>
            </w:r>
            <w:r>
              <w:rPr>
                <w:rFonts w:hint="eastAsia" w:eastAsia="宋体" w:cs="宋体"/>
                <w:color w:val="auto"/>
                <w:highlight w:val="none"/>
              </w:rPr>
              <w:t xml:space="preserve">；</w:t>
            </w:r>
            <w:bookmarkEnd w:id="15"/>
            <w:r/>
            <w:r/>
          </w:p>
        </w:tc>
      </w:tr>
      <w:tr>
        <w:trPr>
          <w:jc w:val="center"/>
          <w:trHeight w:val="2670"/>
        </w:trPr>
        <w:tc>
          <w:tcPr>
            <w:tcW w:w="1297" w:type="dxa"/>
            <w:vAlign w:val="center"/>
            <w:textDirection w:val="lrTb"/>
            <w:noWrap w:val="false"/>
          </w:tcPr>
          <w:p>
            <w:pPr>
              <w:pStyle w:val="1095"/>
              <w:jc w:val="center"/>
              <w:rPr>
                <w:rFonts w:eastAsia="宋体" w:cs="宋体"/>
                <w:highlight w:val="none"/>
              </w:rPr>
            </w:pPr>
            <w:r>
              <w:rPr>
                <w:rFonts w:hint="eastAsia" w:eastAsia="宋体" w:cs="宋体"/>
                <w:highlight w:val="none"/>
              </w:rPr>
              <w:t xml:space="preserve">商务</w:t>
            </w:r>
            <w:r/>
          </w:p>
          <w:p>
            <w:pPr>
              <w:pStyle w:val="1095"/>
              <w:jc w:val="center"/>
              <w:rPr>
                <w:rFonts w:eastAsia="宋体" w:cs="宋体"/>
                <w:highlight w:val="none"/>
              </w:rPr>
            </w:pPr>
            <w:r>
              <w:rPr>
                <w:rFonts w:hint="eastAsia" w:eastAsia="宋体" w:cs="宋体"/>
                <w:highlight w:val="none"/>
              </w:rPr>
              <w:t xml:space="preserve">部分</w:t>
            </w:r>
            <w:r/>
          </w:p>
          <w:p>
            <w:pPr>
              <w:pStyle w:val="1095"/>
              <w:jc w:val="center"/>
              <w:rPr>
                <w:rFonts w:eastAsia="宋体" w:cs="宋体"/>
                <w:color w:val="auto"/>
                <w:highlight w:val="none"/>
              </w:rPr>
            </w:pPr>
            <w:r>
              <w:rPr>
                <w:rFonts w:hint="eastAsia" w:eastAsia="宋体" w:cs="宋体"/>
                <w:highlight w:val="none"/>
              </w:rPr>
              <w:t xml:space="preserve">(</w:t>
            </w:r>
            <w:r>
              <w:rPr>
                <w:rFonts w:hint="eastAsia" w:cs="宋体"/>
                <w:highlight w:val="none"/>
              </w:rPr>
              <w:t xml:space="preserve">4</w:t>
            </w:r>
            <w:r>
              <w:rPr>
                <w:rFonts w:hint="eastAsia" w:eastAsia="宋体" w:cs="宋体"/>
                <w:highlight w:val="none"/>
              </w:rPr>
              <w:t xml:space="preserve">分)</w:t>
            </w:r>
            <w:r/>
          </w:p>
        </w:tc>
        <w:tc>
          <w:tcPr>
            <w:tcW w:w="1428" w:type="dxa"/>
            <w:vAlign w:val="center"/>
            <w:textDirection w:val="lrTb"/>
            <w:noWrap w:val="false"/>
          </w:tcPr>
          <w:p>
            <w:pPr>
              <w:pStyle w:val="1095"/>
              <w:jc w:val="center"/>
              <w:rPr>
                <w:rFonts w:eastAsia="宋体" w:cs="宋体"/>
                <w:highlight w:val="none"/>
              </w:rPr>
            </w:pPr>
            <w:r>
              <w:rPr>
                <w:rFonts w:hint="eastAsia" w:eastAsia="宋体" w:cs="宋体"/>
                <w:highlight w:val="none"/>
              </w:rPr>
              <w:t xml:space="preserve">类似业绩</w:t>
            </w:r>
            <w:r/>
          </w:p>
          <w:p>
            <w:pPr>
              <w:pStyle w:val="1095"/>
              <w:jc w:val="center"/>
              <w:rPr>
                <w:rFonts w:eastAsia="宋体" w:cs="宋体"/>
                <w:color w:val="auto"/>
                <w:highlight w:val="none"/>
              </w:rPr>
            </w:pPr>
            <w:r>
              <w:rPr>
                <w:rFonts w:hint="eastAsia" w:eastAsia="宋体" w:cs="宋体"/>
                <w:highlight w:val="none"/>
              </w:rPr>
              <w:t xml:space="preserve">(4分)</w:t>
            </w:r>
            <w:r/>
          </w:p>
        </w:tc>
        <w:tc>
          <w:tcPr>
            <w:tcW w:w="7022" w:type="dxa"/>
            <w:vAlign w:val="center"/>
            <w:textDirection w:val="lrTb"/>
            <w:noWrap w:val="false"/>
          </w:tcPr>
          <w:p>
            <w:pPr>
              <w:pStyle w:val="1095"/>
              <w:jc w:val="both"/>
              <w:rPr>
                <w:rFonts w:eastAsia="宋体" w:cs="宋体"/>
                <w:color w:val="auto"/>
                <w:highlight w:val="none"/>
              </w:rPr>
            </w:pPr>
            <w:r>
              <w:rPr>
                <w:rFonts w:hint="eastAsia" w:eastAsia="宋体" w:cs="宋体"/>
                <w:color w:val="auto"/>
                <w:highlight w:val="none"/>
              </w:rPr>
              <w:t xml:space="preserve">供应商自2023年5月1日（含）（以合同签订时间为准）以来独立承担过合同内容为与本项目相同或类似项目，每提供一份业绩得</w:t>
            </w:r>
            <w:r>
              <w:rPr>
                <w:rFonts w:hint="eastAsia" w:cs="宋体"/>
                <w:color w:val="auto"/>
                <w:highlight w:val="none"/>
              </w:rPr>
              <w:t xml:space="preserve">2</w:t>
            </w:r>
            <w:r>
              <w:rPr>
                <w:rFonts w:hint="eastAsia" w:eastAsia="宋体" w:cs="宋体"/>
                <w:color w:val="auto"/>
                <w:highlight w:val="none"/>
              </w:rPr>
              <w:t xml:space="preserve">分，最高得4分。</w:t>
            </w:r>
            <w:r/>
          </w:p>
          <w:p>
            <w:pPr>
              <w:pStyle w:val="1095"/>
              <w:ind w:right="-4"/>
              <w:jc w:val="both"/>
              <w:rPr>
                <w:rFonts w:eastAsia="宋体" w:cs="宋体"/>
                <w:color w:val="auto"/>
                <w:highlight w:val="none"/>
              </w:rPr>
            </w:pPr>
            <w:r>
              <w:rPr>
                <w:rFonts w:hint="eastAsia" w:eastAsia="宋体" w:cs="宋体"/>
                <w:color w:val="auto"/>
                <w:highlight w:val="none"/>
              </w:rPr>
              <w:t xml:space="preserve">注：响应文件中需提供中标（成交）通知书、施工合同及完</w:t>
            </w:r>
            <w:r>
              <w:rPr>
                <w:rFonts w:hint="eastAsia" w:cs="宋体"/>
                <w:color w:val="auto"/>
                <w:highlight w:val="none"/>
              </w:rPr>
              <w:t xml:space="preserve">工</w:t>
            </w:r>
            <w:r>
              <w:rPr>
                <w:rFonts w:hint="eastAsia" w:eastAsia="宋体" w:cs="宋体"/>
                <w:color w:val="auto"/>
                <w:highlight w:val="none"/>
              </w:rPr>
              <w:t xml:space="preserve">（或竣工）验收证明材料原件扫描件并加盖供应商电子签章，如上述材料无法体现时间、项目内容、供应商名称等关键评审因素，须另附加盖有业主单位（或合同甲方）公章的相关证明材料扫描件，否则不得分。</w:t>
            </w:r>
            <w:r/>
          </w:p>
        </w:tc>
      </w:tr>
      <w:tr>
        <w:trPr>
          <w:jc w:val="center"/>
          <w:trHeight w:val="2585"/>
        </w:trPr>
        <w:tc>
          <w:tcPr>
            <w:tcW w:w="1297" w:type="dxa"/>
            <w:vAlign w:val="center"/>
            <w:vMerge w:val="restart"/>
            <w:textDirection w:val="lrTb"/>
            <w:noWrap w:val="false"/>
          </w:tcPr>
          <w:p>
            <w:pPr>
              <w:pStyle w:val="1095"/>
              <w:jc w:val="center"/>
              <w:rPr>
                <w:rFonts w:eastAsia="宋体" w:cs="宋体"/>
                <w:color w:val="auto"/>
                <w:highlight w:val="none"/>
              </w:rPr>
            </w:pPr>
            <w:r>
              <w:rPr>
                <w:rFonts w:eastAsia="宋体" w:cs="宋体"/>
                <w:color w:val="auto"/>
                <w:highlight w:val="none"/>
              </w:rPr>
            </w:r>
            <w:r/>
          </w:p>
          <w:p>
            <w:pPr>
              <w:pStyle w:val="1095"/>
              <w:jc w:val="center"/>
              <w:rPr>
                <w:rFonts w:eastAsia="宋体" w:cs="宋体"/>
                <w:color w:val="auto"/>
                <w:highlight w:val="none"/>
              </w:rPr>
            </w:pPr>
            <w:r>
              <w:rPr>
                <w:rFonts w:eastAsia="宋体" w:cs="宋体"/>
                <w:color w:val="auto"/>
                <w:highlight w:val="none"/>
              </w:rPr>
            </w:r>
            <w:r/>
          </w:p>
          <w:p>
            <w:pPr>
              <w:pStyle w:val="1095"/>
              <w:jc w:val="center"/>
              <w:rPr>
                <w:rFonts w:eastAsia="宋体" w:cs="宋体"/>
                <w:color w:val="auto"/>
                <w:highlight w:val="none"/>
              </w:rPr>
            </w:pPr>
            <w:r>
              <w:rPr>
                <w:rFonts w:eastAsia="宋体" w:cs="宋体"/>
                <w:color w:val="auto"/>
                <w:highlight w:val="none"/>
              </w:rPr>
            </w:r>
            <w:r/>
          </w:p>
          <w:p>
            <w:pPr>
              <w:pStyle w:val="1095"/>
              <w:jc w:val="center"/>
              <w:rPr>
                <w:rFonts w:eastAsia="宋体" w:cs="宋体"/>
                <w:color w:val="auto"/>
                <w:highlight w:val="none"/>
              </w:rPr>
            </w:pPr>
            <w:r>
              <w:rPr>
                <w:rFonts w:eastAsia="宋体" w:cs="宋体"/>
                <w:color w:val="auto"/>
                <w:highlight w:val="none"/>
              </w:rPr>
            </w:r>
            <w:r/>
          </w:p>
          <w:p>
            <w:pPr>
              <w:pStyle w:val="1095"/>
              <w:jc w:val="center"/>
              <w:rPr>
                <w:rFonts w:eastAsia="宋体" w:cs="宋体"/>
                <w:color w:val="auto"/>
                <w:highlight w:val="none"/>
              </w:rPr>
            </w:pPr>
            <w:r>
              <w:rPr>
                <w:rFonts w:eastAsia="宋体" w:cs="宋体"/>
                <w:color w:val="auto"/>
                <w:highlight w:val="none"/>
              </w:rPr>
            </w:r>
            <w:r/>
          </w:p>
          <w:p>
            <w:pPr>
              <w:pStyle w:val="1095"/>
              <w:jc w:val="center"/>
              <w:rPr>
                <w:rFonts w:eastAsia="宋体" w:cs="宋体"/>
                <w:color w:val="auto"/>
                <w:highlight w:val="none"/>
              </w:rPr>
            </w:pPr>
            <w:r>
              <w:rPr>
                <w:rFonts w:hint="eastAsia" w:eastAsia="宋体" w:cs="宋体"/>
                <w:color w:val="auto"/>
                <w:highlight w:val="none"/>
              </w:rPr>
              <w:t xml:space="preserve">施工</w:t>
            </w:r>
            <w:r/>
          </w:p>
          <w:p>
            <w:pPr>
              <w:pStyle w:val="1095"/>
              <w:jc w:val="center"/>
              <w:rPr>
                <w:rFonts w:eastAsia="宋体" w:cs="宋体"/>
                <w:color w:val="auto"/>
                <w:highlight w:val="none"/>
              </w:rPr>
            </w:pPr>
            <w:r>
              <w:rPr>
                <w:rFonts w:hint="eastAsia" w:eastAsia="宋体" w:cs="宋体"/>
                <w:color w:val="auto"/>
                <w:highlight w:val="none"/>
              </w:rPr>
              <w:t xml:space="preserve">组织</w:t>
            </w:r>
            <w:r/>
          </w:p>
          <w:p>
            <w:pPr>
              <w:pStyle w:val="1095"/>
              <w:jc w:val="center"/>
              <w:rPr>
                <w:rFonts w:eastAsia="宋体" w:cs="宋体"/>
                <w:color w:val="auto"/>
                <w:highlight w:val="none"/>
              </w:rPr>
            </w:pPr>
            <w:r>
              <w:rPr>
                <w:rFonts w:hint="eastAsia" w:eastAsia="宋体" w:cs="宋体"/>
                <w:color w:val="auto"/>
                <w:highlight w:val="none"/>
              </w:rPr>
              <w:t xml:space="preserve">设计</w:t>
            </w:r>
            <w:r/>
          </w:p>
          <w:p>
            <w:pPr>
              <w:pStyle w:val="1095"/>
              <w:jc w:val="center"/>
              <w:rPr>
                <w:rFonts w:eastAsia="宋体" w:cs="宋体"/>
                <w:color w:val="auto"/>
                <w:highlight w:val="none"/>
              </w:rPr>
            </w:pPr>
            <w:r>
              <w:rPr>
                <w:rFonts w:hint="eastAsia" w:eastAsia="宋体" w:cs="宋体"/>
                <w:color w:val="auto"/>
                <w:highlight w:val="none"/>
              </w:rPr>
              <w:t xml:space="preserve">（</w:t>
            </w:r>
            <w:r>
              <w:rPr>
                <w:rFonts w:hint="eastAsia" w:eastAsia="宋体" w:cs="宋体"/>
                <w:color w:val="auto"/>
                <w:highlight w:val="none"/>
                <w:lang w:val="en-US" w:eastAsia="zh-CN"/>
              </w:rPr>
              <w:t xml:space="preserve">55</w:t>
            </w:r>
            <w:r>
              <w:rPr>
                <w:rFonts w:hint="eastAsia" w:eastAsia="宋体" w:cs="宋体"/>
                <w:color w:val="auto"/>
                <w:highlight w:val="none"/>
              </w:rPr>
              <w:t xml:space="preserve">分）</w:t>
            </w:r>
            <w:r/>
          </w:p>
        </w:tc>
        <w:tc>
          <w:tcPr>
            <w:tcW w:w="142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总体施工方案</w:t>
            </w:r>
            <w:r/>
          </w:p>
          <w:p>
            <w:pPr>
              <w:pStyle w:val="1095"/>
              <w:jc w:val="center"/>
              <w:rPr>
                <w:rFonts w:eastAsia="宋体" w:cs="宋体"/>
                <w:color w:val="auto"/>
                <w:highlight w:val="none"/>
              </w:rPr>
            </w:pPr>
            <w:r>
              <w:rPr>
                <w:rFonts w:eastAsia="宋体" w:cs="宋体"/>
                <w:highlight w:val="none"/>
              </w:rPr>
              <w:t xml:space="preserve">（</w:t>
            </w:r>
            <w:r>
              <w:rPr>
                <w:rFonts w:hint="eastAsia" w:eastAsia="宋体" w:cs="宋体"/>
                <w:highlight w:val="none"/>
                <w:lang w:val="en-US" w:eastAsia="zh-CN"/>
              </w:rPr>
              <w:t xml:space="preserve">9</w:t>
            </w:r>
            <w:r>
              <w:rPr>
                <w:rFonts w:eastAsia="宋体" w:cs="宋体"/>
                <w:highlight w:val="none"/>
              </w:rPr>
              <w:t xml:space="preserve">分）</w:t>
            </w:r>
            <w:r/>
          </w:p>
        </w:tc>
        <w:tc>
          <w:tcPr>
            <w:tcW w:w="7022" w:type="dxa"/>
            <w:vAlign w:val="center"/>
            <w:textDirection w:val="lrTb"/>
            <w:noWrap w:val="false"/>
          </w:tcPr>
          <w:p>
            <w:pPr>
              <w:pStyle w:val="1095"/>
              <w:jc w:val="both"/>
              <w:rPr>
                <w:rFonts w:eastAsia="宋体" w:cs="宋体"/>
                <w:color w:val="auto"/>
                <w:highlight w:val="none"/>
              </w:rPr>
            </w:pPr>
            <w:r>
              <w:rPr>
                <w:rFonts w:hint="eastAsia" w:eastAsia="宋体" w:cs="宋体"/>
                <w:color w:val="auto"/>
                <w:highlight w:val="none"/>
              </w:rPr>
              <w:t xml:space="preserve">根据供应商响应文件中的总体施工方案，对内容的全面性、可行性、针对性进行评价。</w:t>
            </w:r>
            <w:r/>
          </w:p>
          <w:p>
            <w:pPr>
              <w:pStyle w:val="1095"/>
              <w:jc w:val="both"/>
              <w:rPr>
                <w:rFonts w:eastAsia="宋体" w:cs="宋体"/>
                <w:color w:val="auto"/>
                <w:highlight w:val="none"/>
              </w:rPr>
            </w:pPr>
            <w:r>
              <w:rPr>
                <w:rFonts w:hint="eastAsia" w:eastAsia="宋体" w:cs="宋体"/>
                <w:color w:val="auto"/>
                <w:highlight w:val="none"/>
              </w:rPr>
              <w:t xml:space="preserve">全面性(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分)：全面具体详实得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分；较全面得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分；不全面得 </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针对性(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分)：针对性强得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分；针对性较强得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分；针对性不强得</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可行性(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分)：符合实际切实可行得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分；较切实可行得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分；可行性欠缺得</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未提供的得0分。本项最高得</w:t>
            </w:r>
            <w:r>
              <w:rPr>
                <w:rFonts w:hint="eastAsia" w:eastAsia="宋体" w:cs="宋体"/>
                <w:color w:val="auto"/>
                <w:highlight w:val="none"/>
                <w:lang w:val="en-US" w:eastAsia="zh-CN"/>
              </w:rPr>
              <w:t xml:space="preserve">9</w:t>
            </w:r>
            <w:r>
              <w:rPr>
                <w:rFonts w:hint="eastAsia" w:eastAsia="宋体" w:cs="宋体"/>
                <w:color w:val="auto"/>
                <w:highlight w:val="none"/>
              </w:rPr>
              <w:t xml:space="preserve">分，最低得0分。</w:t>
            </w:r>
            <w:r/>
          </w:p>
        </w:tc>
      </w:tr>
      <w:tr>
        <w:trPr>
          <w:jc w:val="center"/>
          <w:trHeight w:val="1845"/>
        </w:trPr>
        <w:tc>
          <w:tcPr>
            <w:tcW w:w="1297" w:type="dxa"/>
            <w:vAlign w:val="center"/>
            <w:vMerge w:val="continue"/>
            <w:textDirection w:val="lrTb"/>
            <w:noWrap w:val="false"/>
          </w:tcPr>
          <w:p>
            <w:pPr>
              <w:pStyle w:val="1095"/>
              <w:jc w:val="center"/>
              <w:rPr>
                <w:rFonts w:eastAsia="宋体" w:cs="宋体"/>
                <w:color w:val="auto"/>
                <w:highlight w:val="none"/>
              </w:rPr>
            </w:pPr>
            <w:r>
              <w:rPr>
                <w:rFonts w:eastAsia="宋体" w:cs="宋体"/>
                <w:color w:val="auto"/>
                <w:highlight w:val="none"/>
              </w:rPr>
            </w:r>
            <w:r/>
          </w:p>
        </w:tc>
        <w:tc>
          <w:tcPr>
            <w:tcW w:w="142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进度及</w:t>
            </w:r>
            <w:r/>
          </w:p>
          <w:p>
            <w:pPr>
              <w:jc w:val="center"/>
              <w:rPr>
                <w:rFonts w:ascii="宋体" w:hAnsi="宋体" w:cs="宋体"/>
                <w:color w:val="000000"/>
                <w:sz w:val="24"/>
                <w:highlight w:val="none"/>
              </w:rPr>
            </w:pPr>
            <w:r>
              <w:rPr>
                <w:rFonts w:ascii="宋体" w:hAnsi="宋体" w:cs="宋体"/>
                <w:color w:val="000000"/>
                <w:sz w:val="24"/>
                <w:highlight w:val="none"/>
              </w:rPr>
              <w:t xml:space="preserve">保证措施</w:t>
            </w:r>
            <w:r/>
          </w:p>
          <w:p>
            <w:pPr>
              <w:pStyle w:val="1095"/>
              <w:jc w:val="center"/>
              <w:rPr>
                <w:rFonts w:eastAsia="宋体" w:cs="宋体"/>
                <w:color w:val="auto"/>
                <w:highlight w:val="none"/>
              </w:rPr>
            </w:pPr>
            <w:r>
              <w:rPr>
                <w:rFonts w:eastAsia="宋体" w:cs="宋体"/>
                <w:highlight w:val="none"/>
              </w:rPr>
              <w:t xml:space="preserve">(</w:t>
            </w:r>
            <w:r>
              <w:rPr>
                <w:rFonts w:hint="eastAsia" w:eastAsia="宋体" w:cs="宋体"/>
                <w:highlight w:val="none"/>
                <w:lang w:val="en-US" w:eastAsia="zh-CN"/>
              </w:rPr>
              <w:t xml:space="preserve">8</w:t>
            </w:r>
            <w:r>
              <w:rPr>
                <w:rFonts w:eastAsia="宋体" w:cs="宋体"/>
                <w:highlight w:val="none"/>
              </w:rPr>
              <w:t xml:space="preserve">分</w:t>
            </w:r>
            <w:r>
              <w:rPr>
                <w:rFonts w:hint="eastAsia" w:eastAsia="宋体" w:cs="宋体"/>
                <w:highlight w:val="none"/>
              </w:rPr>
              <w:t xml:space="preserve">）</w:t>
            </w:r>
            <w:r/>
          </w:p>
        </w:tc>
        <w:tc>
          <w:tcPr>
            <w:tcW w:w="7022" w:type="dxa"/>
            <w:vAlign w:val="center"/>
            <w:textDirection w:val="lrTb"/>
            <w:noWrap w:val="false"/>
          </w:tcPr>
          <w:p>
            <w:pPr>
              <w:pStyle w:val="1095"/>
              <w:jc w:val="both"/>
              <w:rPr>
                <w:rFonts w:eastAsia="宋体" w:cs="宋体"/>
                <w:color w:val="auto"/>
                <w:highlight w:val="none"/>
              </w:rPr>
            </w:pPr>
            <w:r>
              <w:rPr>
                <w:rFonts w:hint="eastAsia" w:eastAsia="宋体" w:cs="宋体"/>
                <w:color w:val="auto"/>
                <w:highlight w:val="none"/>
              </w:rPr>
              <w:t xml:space="preserve">根据供应商响应文件中施工进度计划和各阶段进度的保证措施，对内容的全面性、可行性、针对性进行评价。</w:t>
            </w:r>
            <w:r/>
          </w:p>
          <w:p>
            <w:pPr>
              <w:pStyle w:val="1095"/>
              <w:jc w:val="both"/>
              <w:rPr>
                <w:rFonts w:eastAsia="宋体" w:cs="宋体"/>
                <w:color w:val="auto"/>
                <w:highlight w:val="none"/>
              </w:rPr>
            </w:pPr>
            <w:r>
              <w:rPr>
                <w:rFonts w:hint="eastAsia" w:eastAsia="宋体" w:cs="宋体"/>
                <w:color w:val="auto"/>
                <w:highlight w:val="none"/>
              </w:rPr>
              <w:t xml:space="preserve">全面性(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分)：全面具体详实得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分；较全面得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分；不全面得 </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针对性(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分)：针对性强得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分；针对性较强得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分；针对性不强得</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可行性(2分)：符合实际切实可行得2分；较切实可行得1分；可行性欠缺得0.5分；</w:t>
            </w:r>
            <w:r/>
          </w:p>
          <w:p>
            <w:pPr>
              <w:pStyle w:val="1095"/>
              <w:jc w:val="both"/>
              <w:rPr>
                <w:rFonts w:eastAsia="宋体" w:cs="宋体"/>
                <w:color w:val="auto"/>
                <w:highlight w:val="none"/>
              </w:rPr>
            </w:pPr>
            <w:r>
              <w:rPr>
                <w:rFonts w:hint="eastAsia" w:eastAsia="宋体" w:cs="宋体"/>
                <w:color w:val="auto"/>
                <w:highlight w:val="none"/>
              </w:rPr>
              <w:t xml:space="preserve">未提供的得0分。本项最高得</w:t>
            </w:r>
            <w:r>
              <w:rPr>
                <w:rFonts w:hint="eastAsia" w:eastAsia="宋体" w:cs="宋体"/>
                <w:color w:val="auto"/>
                <w:highlight w:val="none"/>
                <w:lang w:val="en-US" w:eastAsia="zh-CN"/>
              </w:rPr>
              <w:t xml:space="preserve">8</w:t>
            </w:r>
            <w:r>
              <w:rPr>
                <w:rFonts w:hint="eastAsia" w:eastAsia="宋体" w:cs="宋体"/>
                <w:color w:val="auto"/>
                <w:highlight w:val="none"/>
              </w:rPr>
              <w:t xml:space="preserve">分，最低得0分。</w:t>
            </w:r>
            <w:r/>
          </w:p>
        </w:tc>
      </w:tr>
      <w:tr>
        <w:trPr>
          <w:jc w:val="center"/>
          <w:trHeight w:val="792"/>
        </w:trPr>
        <w:tc>
          <w:tcPr>
            <w:tcW w:w="1297" w:type="dxa"/>
            <w:vAlign w:val="center"/>
            <w:vMerge w:val="continue"/>
            <w:textDirection w:val="lrTb"/>
            <w:noWrap w:val="false"/>
          </w:tcPr>
          <w:p>
            <w:pPr>
              <w:pStyle w:val="1095"/>
              <w:jc w:val="center"/>
              <w:rPr>
                <w:rFonts w:eastAsia="宋体" w:cs="宋体"/>
                <w:color w:val="auto"/>
                <w:highlight w:val="none"/>
              </w:rPr>
            </w:pPr>
            <w:r>
              <w:rPr>
                <w:rFonts w:eastAsia="宋体" w:cs="宋体"/>
                <w:color w:val="auto"/>
                <w:highlight w:val="none"/>
              </w:rPr>
            </w:r>
            <w:r/>
          </w:p>
        </w:tc>
        <w:tc>
          <w:tcPr>
            <w:tcW w:w="1428" w:type="dxa"/>
            <w:vAlign w:val="center"/>
            <w:textDirection w:val="lrTb"/>
            <w:noWrap w:val="false"/>
          </w:tcPr>
          <w:p>
            <w:pPr>
              <w:jc w:val="center"/>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质量保证</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措施</w:t>
            </w:r>
            <w:r/>
          </w:p>
          <w:p>
            <w:pPr>
              <w:pStyle w:val="1095"/>
              <w:jc w:val="center"/>
              <w:rPr>
                <w:rFonts w:eastAsia="宋体" w:cs="宋体"/>
                <w:color w:val="auto"/>
                <w:highlight w:val="none"/>
              </w:rPr>
            </w:pPr>
            <w:r>
              <w:rPr>
                <w:rFonts w:eastAsia="宋体" w:cs="宋体"/>
                <w:highlight w:val="none"/>
              </w:rPr>
              <w:t xml:space="preserve">（</w:t>
            </w:r>
            <w:r>
              <w:rPr>
                <w:rFonts w:hint="eastAsia" w:eastAsia="宋体" w:cs="宋体"/>
                <w:highlight w:val="none"/>
                <w:lang w:val="en-US" w:eastAsia="zh-CN"/>
              </w:rPr>
              <w:t xml:space="preserve">8</w:t>
            </w:r>
            <w:r>
              <w:rPr>
                <w:rFonts w:eastAsia="宋体" w:cs="宋体"/>
                <w:highlight w:val="none"/>
              </w:rPr>
              <w:t xml:space="preserve">分）</w:t>
            </w:r>
            <w:r/>
          </w:p>
        </w:tc>
        <w:tc>
          <w:tcPr>
            <w:tcW w:w="7022" w:type="dxa"/>
            <w:vAlign w:val="center"/>
            <w:textDirection w:val="lrTb"/>
            <w:noWrap w:val="false"/>
          </w:tcPr>
          <w:p>
            <w:pPr>
              <w:pStyle w:val="1095"/>
              <w:jc w:val="both"/>
              <w:rPr>
                <w:rFonts w:eastAsia="宋体" w:cs="宋体"/>
                <w:color w:val="auto"/>
                <w:highlight w:val="none"/>
              </w:rPr>
            </w:pPr>
            <w:r>
              <w:rPr>
                <w:rFonts w:hint="eastAsia" w:eastAsia="宋体" w:cs="宋体"/>
                <w:color w:val="auto"/>
                <w:highlight w:val="none"/>
              </w:rPr>
              <w:t xml:space="preserve">根据供应商响应文件中质量保证措施及目标, 对内容的全面性、可行性、针对性进行评价。</w:t>
            </w:r>
            <w:r/>
          </w:p>
          <w:p>
            <w:pPr>
              <w:pStyle w:val="1095"/>
              <w:jc w:val="both"/>
              <w:rPr>
                <w:rFonts w:eastAsia="宋体" w:cs="宋体"/>
                <w:color w:val="auto"/>
                <w:highlight w:val="none"/>
              </w:rPr>
            </w:pPr>
            <w:r>
              <w:rPr>
                <w:rFonts w:hint="eastAsia" w:eastAsia="宋体" w:cs="宋体"/>
                <w:color w:val="auto"/>
                <w:highlight w:val="none"/>
              </w:rPr>
              <w:t xml:space="preserve">全面性(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分)：全面具体详实得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分；较全面得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分；不全面得 </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针对性(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分)：针对性强得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分；针对性较强得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分；针对性不强得</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可行性(2分)：符合实际切实可行得2分；较切实可行得1分；可行性欠缺得0.5分；</w:t>
            </w:r>
            <w:r/>
          </w:p>
          <w:p>
            <w:pPr>
              <w:pStyle w:val="1095"/>
              <w:jc w:val="both"/>
              <w:rPr>
                <w:rFonts w:eastAsia="宋体" w:cs="宋体"/>
                <w:color w:val="auto"/>
                <w:highlight w:val="none"/>
              </w:rPr>
            </w:pPr>
            <w:r>
              <w:rPr>
                <w:rFonts w:hint="eastAsia" w:eastAsia="宋体" w:cs="宋体"/>
                <w:color w:val="auto"/>
                <w:highlight w:val="none"/>
              </w:rPr>
              <w:t xml:space="preserve">未提供的得0分。本项最高得</w:t>
            </w:r>
            <w:r>
              <w:rPr>
                <w:rFonts w:hint="eastAsia" w:eastAsia="宋体" w:cs="宋体"/>
                <w:color w:val="auto"/>
                <w:highlight w:val="none"/>
                <w:lang w:val="en-US" w:eastAsia="zh-CN"/>
              </w:rPr>
              <w:t xml:space="preserve">8</w:t>
            </w:r>
            <w:r>
              <w:rPr>
                <w:rFonts w:hint="eastAsia" w:eastAsia="宋体" w:cs="宋体"/>
                <w:color w:val="auto"/>
                <w:highlight w:val="none"/>
              </w:rPr>
              <w:t xml:space="preserve">分，最低得0分。</w:t>
            </w:r>
            <w:r/>
          </w:p>
        </w:tc>
      </w:tr>
      <w:tr>
        <w:trPr>
          <w:jc w:val="center"/>
          <w:trHeight w:val="582"/>
        </w:trPr>
        <w:tc>
          <w:tcPr>
            <w:tcW w:w="1297" w:type="dxa"/>
            <w:vAlign w:val="center"/>
            <w:vMerge w:val="continue"/>
            <w:textDirection w:val="lrTb"/>
            <w:noWrap w:val="false"/>
          </w:tcPr>
          <w:p>
            <w:pPr>
              <w:pStyle w:val="1095"/>
              <w:jc w:val="center"/>
              <w:rPr>
                <w:rFonts w:eastAsia="宋体" w:cs="宋体"/>
                <w:color w:val="auto"/>
                <w:highlight w:val="none"/>
              </w:rPr>
            </w:pPr>
            <w:r>
              <w:rPr>
                <w:rFonts w:eastAsia="宋体" w:cs="宋体"/>
                <w:color w:val="auto"/>
                <w:highlight w:val="none"/>
              </w:rPr>
            </w:r>
            <w:r/>
          </w:p>
        </w:tc>
        <w:tc>
          <w:tcPr>
            <w:tcW w:w="1428" w:type="dxa"/>
            <w:vAlign w:val="center"/>
            <w:textDirection w:val="lrTb"/>
            <w:noWrap w:val="false"/>
          </w:tcPr>
          <w:p>
            <w:pPr>
              <w:pStyle w:val="1095"/>
              <w:jc w:val="center"/>
              <w:rPr>
                <w:rFonts w:eastAsia="宋体" w:cs="宋体"/>
                <w:color w:val="auto"/>
                <w:highlight w:val="none"/>
              </w:rPr>
            </w:pPr>
            <w:r>
              <w:rPr>
                <w:rFonts w:hint="eastAsia" w:eastAsia="宋体" w:cs="宋体"/>
                <w:color w:val="auto"/>
                <w:highlight w:val="none"/>
              </w:rPr>
              <w:t xml:space="preserve">劳动力、机械设备和材料投入</w:t>
            </w:r>
            <w:r/>
          </w:p>
          <w:p>
            <w:pPr>
              <w:pStyle w:val="1095"/>
              <w:jc w:val="center"/>
              <w:rPr>
                <w:rFonts w:eastAsia="宋体" w:cs="宋体"/>
                <w:color w:val="auto"/>
                <w:highlight w:val="none"/>
              </w:rPr>
            </w:pPr>
            <w:r>
              <w:rPr>
                <w:rFonts w:eastAsia="宋体" w:cs="宋体"/>
                <w:highlight w:val="none"/>
              </w:rPr>
              <w:t xml:space="preserve">（</w:t>
            </w:r>
            <w:r>
              <w:rPr>
                <w:rFonts w:hint="eastAsia" w:eastAsia="宋体" w:cs="宋体"/>
                <w:highlight w:val="none"/>
                <w:lang w:val="en-US" w:eastAsia="zh-CN"/>
              </w:rPr>
              <w:t xml:space="preserve">7</w:t>
            </w:r>
            <w:r>
              <w:rPr>
                <w:rFonts w:eastAsia="宋体" w:cs="宋体"/>
                <w:highlight w:val="none"/>
              </w:rPr>
              <w:t xml:space="preserve">分）</w:t>
            </w:r>
            <w:r/>
          </w:p>
        </w:tc>
        <w:tc>
          <w:tcPr>
            <w:tcW w:w="7022" w:type="dxa"/>
            <w:vAlign w:val="center"/>
            <w:textDirection w:val="lrTb"/>
            <w:noWrap w:val="false"/>
          </w:tcPr>
          <w:p>
            <w:pPr>
              <w:pStyle w:val="1095"/>
              <w:jc w:val="both"/>
              <w:rPr>
                <w:rFonts w:eastAsia="宋体" w:cs="宋体"/>
                <w:color w:val="auto"/>
                <w:highlight w:val="none"/>
              </w:rPr>
            </w:pPr>
            <w:r>
              <w:rPr>
                <w:rFonts w:hint="eastAsia" w:eastAsia="宋体" w:cs="宋体"/>
                <w:color w:val="auto"/>
                <w:highlight w:val="none"/>
              </w:rPr>
              <w:t xml:space="preserve">根据供应商响应文件中劳动力、机械设备和材料投入计划，对内容的全面性、可行性、针对性进行评价：</w:t>
            </w:r>
            <w:r/>
          </w:p>
          <w:p>
            <w:pPr>
              <w:pStyle w:val="1095"/>
              <w:jc w:val="both"/>
              <w:rPr>
                <w:rFonts w:eastAsia="宋体" w:cs="宋体"/>
                <w:color w:val="auto"/>
                <w:highlight w:val="none"/>
              </w:rPr>
            </w:pPr>
            <w:r>
              <w:rPr>
                <w:rFonts w:hint="eastAsia" w:eastAsia="宋体" w:cs="宋体"/>
                <w:color w:val="auto"/>
                <w:highlight w:val="none"/>
              </w:rPr>
              <w:t xml:space="preserve">全面性(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分)：全面具体详实得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分；较全面得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分；不全面得 </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针对性(</w:t>
            </w:r>
            <w:r>
              <w:rPr>
                <w:rFonts w:hint="eastAsia" w:eastAsia="宋体" w:cs="宋体"/>
                <w:color w:val="auto"/>
                <w:highlight w:val="none"/>
                <w:lang w:val="en-US" w:eastAsia="zh-CN"/>
              </w:rPr>
              <w:t xml:space="preserve">2</w:t>
            </w:r>
            <w:r>
              <w:rPr>
                <w:rFonts w:hint="eastAsia" w:eastAsia="宋体" w:cs="宋体"/>
                <w:color w:val="auto"/>
                <w:highlight w:val="none"/>
              </w:rPr>
              <w:t xml:space="preserve">分)：针对性强得2分；针对性较强得1分；针对性不强得0.5分。</w:t>
            </w:r>
            <w:r/>
          </w:p>
          <w:p>
            <w:pPr>
              <w:pStyle w:val="1095"/>
              <w:jc w:val="both"/>
              <w:rPr>
                <w:rFonts w:eastAsia="宋体" w:cs="宋体"/>
                <w:color w:val="auto"/>
                <w:highlight w:val="none"/>
              </w:rPr>
            </w:pPr>
            <w:r>
              <w:rPr>
                <w:rFonts w:hint="eastAsia" w:eastAsia="宋体" w:cs="宋体"/>
                <w:color w:val="auto"/>
                <w:highlight w:val="none"/>
              </w:rPr>
              <w:t xml:space="preserve">可行性(2分)：符合实际切实可行得2分；较切实可行得1分；可行性欠缺得0.5分；</w:t>
            </w:r>
            <w:r/>
          </w:p>
          <w:p>
            <w:pPr>
              <w:pStyle w:val="1095"/>
              <w:jc w:val="both"/>
              <w:rPr>
                <w:rFonts w:eastAsia="宋体" w:cs="宋体"/>
                <w:color w:val="auto"/>
                <w:highlight w:val="none"/>
              </w:rPr>
            </w:pPr>
            <w:r>
              <w:rPr>
                <w:rFonts w:hint="eastAsia" w:eastAsia="宋体" w:cs="宋体"/>
                <w:color w:val="auto"/>
                <w:highlight w:val="none"/>
              </w:rPr>
              <w:t xml:space="preserve">未提供的得0分。本项最高得</w:t>
            </w:r>
            <w:r>
              <w:rPr>
                <w:rFonts w:hint="eastAsia" w:eastAsia="宋体" w:cs="宋体"/>
                <w:color w:val="auto"/>
                <w:highlight w:val="none"/>
                <w:lang w:val="en-US" w:eastAsia="zh-CN"/>
              </w:rPr>
              <w:t xml:space="preserve">7</w:t>
            </w:r>
            <w:r>
              <w:rPr>
                <w:rFonts w:hint="eastAsia" w:eastAsia="宋体" w:cs="宋体"/>
                <w:color w:val="auto"/>
                <w:highlight w:val="none"/>
              </w:rPr>
              <w:t xml:space="preserve">分，最低得0分。</w:t>
            </w:r>
            <w:r/>
          </w:p>
        </w:tc>
      </w:tr>
      <w:tr>
        <w:trPr>
          <w:jc w:val="center"/>
          <w:trHeight w:val="900"/>
        </w:trPr>
        <w:tc>
          <w:tcPr>
            <w:tcW w:w="1297" w:type="dxa"/>
            <w:vAlign w:val="center"/>
            <w:vMerge w:val="continue"/>
            <w:textDirection w:val="lrTb"/>
            <w:noWrap w:val="false"/>
          </w:tcPr>
          <w:p>
            <w:pPr>
              <w:pStyle w:val="1095"/>
              <w:jc w:val="center"/>
              <w:rPr>
                <w:rFonts w:eastAsia="宋体" w:cs="宋体"/>
                <w:color w:val="auto"/>
                <w:highlight w:val="none"/>
              </w:rPr>
            </w:pPr>
            <w:r>
              <w:rPr>
                <w:rFonts w:eastAsia="宋体" w:cs="宋体"/>
                <w:color w:val="auto"/>
                <w:highlight w:val="none"/>
              </w:rPr>
            </w:r>
            <w:r/>
          </w:p>
        </w:tc>
        <w:tc>
          <w:tcPr>
            <w:tcW w:w="1428" w:type="dxa"/>
            <w:vAlign w:val="center"/>
            <w:textDirection w:val="lrTb"/>
            <w:noWrap w:val="false"/>
          </w:tcPr>
          <w:p>
            <w:pPr>
              <w:pStyle w:val="1095"/>
              <w:jc w:val="center"/>
              <w:rPr>
                <w:rFonts w:eastAsia="宋体" w:cs="宋体"/>
                <w:highlight w:val="none"/>
              </w:rPr>
            </w:pPr>
            <w:r>
              <w:rPr>
                <w:rFonts w:hint="eastAsia" w:eastAsia="宋体" w:cs="宋体"/>
                <w:highlight w:val="none"/>
              </w:rPr>
              <w:t xml:space="preserve">关键施工技术、工艺及工程项目实施的重点、难点和解决方案</w:t>
            </w:r>
            <w:r/>
          </w:p>
          <w:p>
            <w:pPr>
              <w:pStyle w:val="1095"/>
              <w:jc w:val="center"/>
              <w:rPr>
                <w:rFonts w:eastAsia="宋体" w:cs="宋体"/>
                <w:highlight w:val="none"/>
              </w:rPr>
            </w:pPr>
            <w:r>
              <w:rPr>
                <w:rFonts w:eastAsia="宋体" w:cs="宋体"/>
                <w:highlight w:val="none"/>
              </w:rPr>
              <w:t xml:space="preserve">（</w:t>
            </w:r>
            <w:r>
              <w:rPr>
                <w:rFonts w:hint="eastAsia" w:eastAsia="宋体" w:cs="宋体"/>
                <w:highlight w:val="none"/>
                <w:lang w:val="en-US" w:eastAsia="zh-CN"/>
              </w:rPr>
              <w:t xml:space="preserve">8</w:t>
            </w:r>
            <w:r>
              <w:rPr>
                <w:rFonts w:eastAsia="宋体" w:cs="宋体"/>
                <w:highlight w:val="none"/>
              </w:rPr>
              <w:t xml:space="preserve">分）</w:t>
            </w:r>
            <w:r/>
          </w:p>
        </w:tc>
        <w:tc>
          <w:tcPr>
            <w:tcW w:w="7022" w:type="dxa"/>
            <w:vAlign w:val="center"/>
            <w:textDirection w:val="lrTb"/>
            <w:noWrap w:val="false"/>
          </w:tcPr>
          <w:p>
            <w:pPr>
              <w:pStyle w:val="1095"/>
              <w:jc w:val="both"/>
              <w:rPr>
                <w:rFonts w:eastAsia="宋体" w:cs="宋体"/>
                <w:color w:val="auto"/>
                <w:highlight w:val="none"/>
              </w:rPr>
            </w:pPr>
            <w:r>
              <w:rPr>
                <w:rFonts w:hint="eastAsia" w:eastAsia="宋体" w:cs="宋体"/>
                <w:color w:val="auto"/>
                <w:highlight w:val="none"/>
              </w:rPr>
              <w:t xml:space="preserve">根据供应商响应文件中关键施工技术、工艺及工程项目实施的重点、难点和解决方案，对内容的全面性、可行性、针对性进行评价。</w:t>
            </w:r>
            <w:r/>
          </w:p>
          <w:p>
            <w:pPr>
              <w:pStyle w:val="1095"/>
              <w:jc w:val="both"/>
              <w:rPr>
                <w:rFonts w:eastAsia="宋体" w:cs="宋体"/>
                <w:color w:val="auto"/>
                <w:highlight w:val="none"/>
              </w:rPr>
            </w:pPr>
            <w:r>
              <w:rPr>
                <w:rFonts w:hint="eastAsia" w:eastAsia="宋体" w:cs="宋体"/>
                <w:color w:val="auto"/>
                <w:highlight w:val="none"/>
              </w:rPr>
              <w:t xml:space="preserve">全面性(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分)：全面具体详实得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分；较全面得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分；不全面得 </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针对性(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分)：针对性强得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分；针对性较强得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分；针对性不强得</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可行性(2分)：符合实际切实可行得2分；较切实可行得1分；可行性欠缺得0.5分；</w:t>
            </w:r>
            <w:r/>
          </w:p>
          <w:p>
            <w:pPr>
              <w:pStyle w:val="1095"/>
              <w:jc w:val="both"/>
              <w:rPr>
                <w:rFonts w:cs="宋体"/>
                <w:color w:val="auto"/>
                <w:highlight w:val="none"/>
              </w:rPr>
            </w:pPr>
            <w:r>
              <w:rPr>
                <w:rFonts w:hint="eastAsia" w:eastAsia="宋体" w:cs="宋体"/>
                <w:color w:val="auto"/>
                <w:highlight w:val="none"/>
              </w:rPr>
              <w:t xml:space="preserve">未提供的得0分。本项最高得</w:t>
            </w:r>
            <w:r>
              <w:rPr>
                <w:rFonts w:hint="eastAsia" w:eastAsia="宋体" w:cs="宋体"/>
                <w:color w:val="auto"/>
                <w:highlight w:val="none"/>
                <w:lang w:val="en-US" w:eastAsia="zh-CN"/>
              </w:rPr>
              <w:t xml:space="preserve">8</w:t>
            </w:r>
            <w:r>
              <w:rPr>
                <w:rFonts w:hint="eastAsia" w:eastAsia="宋体" w:cs="宋体"/>
                <w:color w:val="auto"/>
                <w:highlight w:val="none"/>
              </w:rPr>
              <w:t xml:space="preserve">分，最低得0分。</w:t>
            </w:r>
            <w:r/>
          </w:p>
        </w:tc>
      </w:tr>
      <w:tr>
        <w:trPr>
          <w:jc w:val="center"/>
          <w:trHeight w:val="1776"/>
        </w:trPr>
        <w:tc>
          <w:tcPr>
            <w:tcW w:w="1297" w:type="dxa"/>
            <w:vAlign w:val="center"/>
            <w:vMerge w:val="continue"/>
            <w:textDirection w:val="lrTb"/>
            <w:noWrap w:val="false"/>
          </w:tcPr>
          <w:p>
            <w:pPr>
              <w:pStyle w:val="1095"/>
              <w:jc w:val="center"/>
              <w:rPr>
                <w:rFonts w:eastAsia="宋体" w:cs="宋体"/>
                <w:color w:val="auto"/>
                <w:highlight w:val="none"/>
              </w:rPr>
            </w:pPr>
            <w:r>
              <w:rPr>
                <w:rFonts w:eastAsia="宋体" w:cs="宋体"/>
                <w:color w:val="auto"/>
                <w:highlight w:val="none"/>
              </w:rPr>
            </w:r>
            <w:r/>
          </w:p>
        </w:tc>
        <w:tc>
          <w:tcPr>
            <w:tcW w:w="1428" w:type="dxa"/>
            <w:vAlign w:val="center"/>
            <w:textDirection w:val="lrTb"/>
            <w:noWrap w:val="false"/>
          </w:tcPr>
          <w:p>
            <w:pPr>
              <w:pStyle w:val="1095"/>
              <w:jc w:val="both"/>
              <w:rPr>
                <w:rFonts w:eastAsia="宋体" w:cs="宋体"/>
                <w:color w:val="auto"/>
                <w:highlight w:val="none"/>
              </w:rPr>
            </w:pPr>
            <w:r>
              <w:rPr>
                <w:rFonts w:hint="eastAsia" w:eastAsia="宋体" w:cs="宋体"/>
                <w:color w:val="auto"/>
                <w:highlight w:val="none"/>
              </w:rPr>
              <w:t xml:space="preserve">项目管理班子的人员配备</w:t>
            </w:r>
            <w:r/>
          </w:p>
          <w:p>
            <w:pPr>
              <w:pStyle w:val="1095"/>
              <w:jc w:val="both"/>
              <w:rPr>
                <w:rFonts w:eastAsia="宋体" w:cs="宋体"/>
                <w:color w:val="auto"/>
                <w:highlight w:val="none"/>
              </w:rPr>
            </w:pPr>
            <w:r>
              <w:rPr>
                <w:rFonts w:hint="eastAsia" w:eastAsia="宋体" w:cs="宋体"/>
                <w:color w:val="auto"/>
                <w:highlight w:val="none"/>
              </w:rPr>
              <w:t xml:space="preserve">（</w:t>
            </w:r>
            <w:r>
              <w:rPr>
                <w:rFonts w:hint="eastAsia" w:eastAsia="宋体" w:cs="宋体"/>
                <w:color w:val="auto"/>
                <w:highlight w:val="none"/>
                <w:lang w:val="en-US" w:eastAsia="zh-CN"/>
              </w:rPr>
              <w:t xml:space="preserve">7</w:t>
            </w:r>
            <w:r>
              <w:rPr>
                <w:rFonts w:hint="eastAsia" w:eastAsia="宋体" w:cs="宋体"/>
                <w:color w:val="auto"/>
                <w:highlight w:val="none"/>
              </w:rPr>
              <w:t xml:space="preserve">分）</w:t>
            </w:r>
            <w:r/>
          </w:p>
        </w:tc>
        <w:tc>
          <w:tcPr>
            <w:tcW w:w="7022" w:type="dxa"/>
            <w:vAlign w:val="center"/>
            <w:textDirection w:val="lrTb"/>
            <w:noWrap w:val="false"/>
          </w:tcPr>
          <w:p>
            <w:pPr>
              <w:pStyle w:val="1095"/>
              <w:jc w:val="both"/>
              <w:rPr>
                <w:rFonts w:eastAsia="宋体" w:cs="宋体"/>
                <w:color w:val="auto"/>
                <w:highlight w:val="none"/>
              </w:rPr>
            </w:pPr>
            <w:r>
              <w:rPr>
                <w:rFonts w:hint="eastAsia" w:eastAsia="宋体" w:cs="宋体"/>
                <w:color w:val="auto"/>
                <w:highlight w:val="none"/>
              </w:rPr>
              <w:t xml:space="preserve">根据供应商响应文件中项目管理班子的人员配备、素质及管理经验，对内容的全面性、可行性、针对性进行评价。</w:t>
            </w:r>
            <w:r/>
          </w:p>
          <w:p>
            <w:pPr>
              <w:pStyle w:val="1095"/>
              <w:jc w:val="both"/>
              <w:rPr>
                <w:rFonts w:eastAsia="宋体" w:cs="宋体"/>
                <w:color w:val="auto"/>
                <w:highlight w:val="none"/>
              </w:rPr>
            </w:pPr>
            <w:r>
              <w:rPr>
                <w:rFonts w:hint="eastAsia" w:eastAsia="宋体" w:cs="宋体"/>
                <w:color w:val="auto"/>
                <w:highlight w:val="none"/>
              </w:rPr>
              <w:t xml:space="preserve">全面性(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分)：全面具体详实得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分；较全面得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分；不全面得 </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针对性(</w:t>
            </w:r>
            <w:r>
              <w:rPr>
                <w:rFonts w:hint="eastAsia" w:eastAsia="宋体" w:cs="宋体"/>
                <w:color w:val="auto"/>
                <w:highlight w:val="none"/>
                <w:lang w:val="en-US" w:eastAsia="zh-CN"/>
              </w:rPr>
              <w:t xml:space="preserve">2</w:t>
            </w:r>
            <w:r>
              <w:rPr>
                <w:rFonts w:hint="eastAsia" w:eastAsia="宋体" w:cs="宋体"/>
                <w:color w:val="auto"/>
                <w:highlight w:val="none"/>
              </w:rPr>
              <w:t xml:space="preserve">分)：针对性强得2分；针对性较强得1分；针对性不强得0.5分。</w:t>
            </w:r>
            <w:r/>
          </w:p>
          <w:p>
            <w:pPr>
              <w:pStyle w:val="1095"/>
              <w:jc w:val="both"/>
              <w:rPr>
                <w:rFonts w:eastAsia="宋体" w:cs="宋体"/>
                <w:color w:val="auto"/>
                <w:highlight w:val="none"/>
              </w:rPr>
            </w:pPr>
            <w:r>
              <w:rPr>
                <w:rFonts w:hint="eastAsia" w:eastAsia="宋体" w:cs="宋体"/>
                <w:color w:val="auto"/>
                <w:highlight w:val="none"/>
              </w:rPr>
              <w:t xml:space="preserve">可行性(2分)：符合实际切实可行得2分；较切实可行得1分；可行性欠缺得0.5分；</w:t>
            </w:r>
            <w:r/>
          </w:p>
          <w:p>
            <w:pPr>
              <w:pStyle w:val="1095"/>
              <w:jc w:val="both"/>
              <w:rPr>
                <w:rFonts w:eastAsia="宋体" w:cs="宋体"/>
                <w:color w:val="auto"/>
                <w:highlight w:val="none"/>
              </w:rPr>
            </w:pPr>
            <w:r>
              <w:rPr>
                <w:rFonts w:hint="eastAsia" w:eastAsia="宋体" w:cs="宋体"/>
                <w:color w:val="auto"/>
                <w:highlight w:val="none"/>
              </w:rPr>
              <w:t xml:space="preserve">未提供的得0分。本项最高得</w:t>
            </w:r>
            <w:r>
              <w:rPr>
                <w:rFonts w:hint="eastAsia" w:eastAsia="宋体" w:cs="宋体"/>
                <w:color w:val="auto"/>
                <w:highlight w:val="none"/>
                <w:lang w:val="en-US" w:eastAsia="zh-CN"/>
              </w:rPr>
              <w:t xml:space="preserve">7</w:t>
            </w:r>
            <w:r>
              <w:rPr>
                <w:rFonts w:hint="eastAsia" w:eastAsia="宋体" w:cs="宋体"/>
                <w:color w:val="auto"/>
                <w:highlight w:val="none"/>
              </w:rPr>
              <w:t xml:space="preserve">分，最低得0分。</w:t>
            </w:r>
            <w:r/>
          </w:p>
        </w:tc>
      </w:tr>
      <w:tr>
        <w:trPr>
          <w:jc w:val="center"/>
          <w:trHeight w:val="1618"/>
        </w:trPr>
        <w:tc>
          <w:tcPr>
            <w:tcW w:w="1297" w:type="dxa"/>
            <w:vAlign w:val="center"/>
            <w:vMerge w:val="continue"/>
            <w:textDirection w:val="lrTb"/>
            <w:noWrap w:val="false"/>
          </w:tcPr>
          <w:p>
            <w:pPr>
              <w:pStyle w:val="1095"/>
              <w:jc w:val="center"/>
              <w:rPr>
                <w:rFonts w:eastAsia="宋体" w:cs="宋体"/>
                <w:color w:val="auto"/>
                <w:highlight w:val="none"/>
              </w:rPr>
            </w:pPr>
            <w:r>
              <w:rPr>
                <w:rFonts w:eastAsia="宋体" w:cs="宋体"/>
                <w:color w:val="auto"/>
                <w:highlight w:val="none"/>
              </w:rPr>
            </w:r>
            <w:r/>
          </w:p>
        </w:tc>
        <w:tc>
          <w:tcPr>
            <w:tcW w:w="1428" w:type="dxa"/>
            <w:vAlign w:val="center"/>
            <w:textDirection w:val="lrTb"/>
            <w:noWrap w:val="false"/>
          </w:tcPr>
          <w:p>
            <w:pPr>
              <w:pStyle w:val="1095"/>
              <w:jc w:val="center"/>
              <w:rPr>
                <w:rFonts w:eastAsia="宋体" w:cs="宋体"/>
                <w:highlight w:val="none"/>
              </w:rPr>
            </w:pPr>
            <w:r>
              <w:rPr>
                <w:rFonts w:hint="eastAsia" w:eastAsia="宋体" w:cs="宋体"/>
                <w:highlight w:val="none"/>
              </w:rPr>
              <w:t xml:space="preserve">安全文明</w:t>
            </w:r>
            <w:r/>
          </w:p>
          <w:p>
            <w:pPr>
              <w:pStyle w:val="1095"/>
              <w:jc w:val="center"/>
              <w:rPr>
                <w:rFonts w:eastAsia="宋体" w:cs="宋体"/>
                <w:highlight w:val="none"/>
              </w:rPr>
            </w:pPr>
            <w:r>
              <w:rPr>
                <w:rFonts w:hint="eastAsia" w:eastAsia="宋体" w:cs="宋体"/>
                <w:highlight w:val="none"/>
              </w:rPr>
              <w:t xml:space="preserve">施工措施</w:t>
            </w:r>
            <w:r/>
          </w:p>
          <w:p>
            <w:pPr>
              <w:pStyle w:val="1095"/>
              <w:jc w:val="center"/>
              <w:rPr>
                <w:rFonts w:eastAsia="宋体" w:cs="宋体"/>
                <w:highlight w:val="none"/>
              </w:rPr>
            </w:pPr>
            <w:r>
              <w:rPr>
                <w:rFonts w:hint="eastAsia" w:eastAsia="宋体" w:cs="宋体"/>
                <w:highlight w:val="none"/>
              </w:rPr>
              <w:t xml:space="preserve">（</w:t>
            </w:r>
            <w:r>
              <w:rPr>
                <w:rFonts w:hint="eastAsia" w:eastAsia="宋体" w:cs="宋体"/>
                <w:highlight w:val="none"/>
                <w:lang w:val="en-US" w:eastAsia="zh-CN"/>
              </w:rPr>
              <w:t xml:space="preserve">8</w:t>
            </w:r>
            <w:r>
              <w:rPr>
                <w:rFonts w:hint="eastAsia" w:eastAsia="宋体" w:cs="宋体"/>
                <w:highlight w:val="none"/>
              </w:rPr>
              <w:t xml:space="preserve">分）</w:t>
            </w:r>
            <w:r/>
          </w:p>
          <w:p>
            <w:pPr>
              <w:pStyle w:val="1095"/>
              <w:jc w:val="center"/>
              <w:rPr>
                <w:rFonts w:eastAsia="宋体" w:cs="宋体"/>
                <w:highlight w:val="none"/>
              </w:rPr>
            </w:pPr>
            <w:r>
              <w:rPr>
                <w:rFonts w:eastAsia="宋体" w:cs="宋体"/>
                <w:highlight w:val="none"/>
              </w:rPr>
            </w:r>
            <w:r/>
          </w:p>
        </w:tc>
        <w:tc>
          <w:tcPr>
            <w:tcW w:w="7022" w:type="dxa"/>
            <w:vAlign w:val="center"/>
            <w:textDirection w:val="lrTb"/>
            <w:noWrap w:val="false"/>
          </w:tcPr>
          <w:p>
            <w:pPr>
              <w:pStyle w:val="1095"/>
              <w:jc w:val="both"/>
              <w:rPr>
                <w:rFonts w:hint="eastAsia" w:eastAsia="宋体" w:cs="宋体"/>
                <w:highlight w:val="none"/>
              </w:rPr>
            </w:pPr>
            <w:r>
              <w:rPr>
                <w:rFonts w:hint="eastAsia" w:eastAsia="宋体" w:cs="宋体"/>
                <w:highlight w:val="none"/>
              </w:rPr>
              <w:t xml:space="preserve">根据供应商响应文件中安全文明施工及环境保护措施，对内容的全面性、可行性、针对性进行评价。</w:t>
            </w:r>
            <w:r/>
          </w:p>
          <w:p>
            <w:pPr>
              <w:pStyle w:val="1095"/>
              <w:jc w:val="both"/>
              <w:rPr>
                <w:rFonts w:eastAsia="宋体" w:cs="宋体"/>
                <w:color w:val="auto"/>
                <w:highlight w:val="none"/>
              </w:rPr>
            </w:pPr>
            <w:r>
              <w:rPr>
                <w:rFonts w:hint="eastAsia" w:eastAsia="宋体" w:cs="宋体"/>
                <w:color w:val="auto"/>
                <w:highlight w:val="none"/>
              </w:rPr>
              <w:t xml:space="preserve">全面性(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分)：全面具体详实得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分；较全面得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分；不全面得 </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针对性(</w:t>
            </w:r>
            <w:r>
              <w:rPr>
                <w:rFonts w:hint="eastAsia" w:eastAsia="宋体" w:cs="宋体"/>
                <w:color w:val="auto"/>
                <w:highlight w:val="none"/>
                <w:lang w:val="en-US" w:eastAsia="zh-CN"/>
              </w:rPr>
              <w:t xml:space="preserve">3</w:t>
            </w:r>
            <w:r>
              <w:rPr>
                <w:rFonts w:hint="eastAsia" w:eastAsia="宋体" w:cs="宋体"/>
                <w:color w:val="auto"/>
                <w:highlight w:val="none"/>
              </w:rPr>
              <w:t xml:space="preserve">分)：针对性强得</w:t>
            </w:r>
            <w:r>
              <w:rPr>
                <w:rFonts w:hint="eastAsia" w:eastAsia="宋体" w:cs="宋体"/>
                <w:color w:val="auto"/>
                <w:highlight w:val="none"/>
                <w:lang w:val="en-US" w:eastAsia="zh-CN"/>
              </w:rPr>
              <w:t xml:space="preserve">3</w:t>
            </w:r>
            <w:r>
              <w:rPr>
                <w:rFonts w:hint="eastAsia" w:eastAsia="宋体" w:cs="宋体"/>
                <w:color w:val="auto"/>
                <w:highlight w:val="none"/>
              </w:rPr>
              <w:t xml:space="preserve">分；针对性较强得</w:t>
            </w:r>
            <w:r>
              <w:rPr>
                <w:rFonts w:hint="eastAsia" w:eastAsia="宋体" w:cs="宋体"/>
                <w:color w:val="auto"/>
                <w:highlight w:val="none"/>
                <w:lang w:val="en-US" w:eastAsia="zh-CN"/>
              </w:rPr>
              <w:t xml:space="preserve">2</w:t>
            </w:r>
            <w:r>
              <w:rPr>
                <w:rFonts w:hint="eastAsia" w:eastAsia="宋体" w:cs="宋体"/>
                <w:color w:val="auto"/>
                <w:highlight w:val="none"/>
              </w:rPr>
              <w:t xml:space="preserve">分；针对性不强得</w:t>
            </w:r>
            <w:r>
              <w:rPr>
                <w:rFonts w:hint="eastAsia" w:eastAsia="宋体" w:cs="宋体"/>
                <w:color w:val="auto"/>
                <w:highlight w:val="none"/>
                <w:lang w:val="en-US" w:eastAsia="zh-CN"/>
              </w:rPr>
              <w:t xml:space="preserve">1</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可行性(2分)：符合实际切实可行得2分；较切实可行得1分；可行性欠缺得0.5分；</w:t>
            </w:r>
            <w:r/>
          </w:p>
          <w:p>
            <w:pPr>
              <w:pStyle w:val="1095"/>
              <w:jc w:val="both"/>
              <w:rPr>
                <w:rFonts w:eastAsia="宋体" w:cs="宋体"/>
                <w:highlight w:val="none"/>
              </w:rPr>
            </w:pPr>
            <w:r>
              <w:rPr>
                <w:rFonts w:hint="eastAsia" w:eastAsia="宋体" w:cs="宋体"/>
                <w:color w:val="auto"/>
                <w:highlight w:val="none"/>
              </w:rPr>
              <w:t xml:space="preserve">未提供的得0分。本项最高得</w:t>
            </w:r>
            <w:r>
              <w:rPr>
                <w:rFonts w:hint="eastAsia" w:eastAsia="宋体" w:cs="宋体"/>
                <w:color w:val="auto"/>
                <w:highlight w:val="none"/>
                <w:lang w:val="en-US" w:eastAsia="zh-CN"/>
              </w:rPr>
              <w:t xml:space="preserve">8</w:t>
            </w:r>
            <w:r>
              <w:rPr>
                <w:rFonts w:hint="eastAsia" w:eastAsia="宋体" w:cs="宋体"/>
                <w:color w:val="auto"/>
                <w:highlight w:val="none"/>
              </w:rPr>
              <w:t xml:space="preserve">分，最低得0分。</w:t>
            </w:r>
            <w:r/>
          </w:p>
        </w:tc>
      </w:tr>
      <w:tr>
        <w:trPr>
          <w:jc w:val="center"/>
          <w:trHeight w:val="3890"/>
        </w:trPr>
        <w:tc>
          <w:tcPr>
            <w:tcW w:w="1297" w:type="dxa"/>
            <w:vAlign w:val="center"/>
            <w:vMerge w:val="restart"/>
            <w:textDirection w:val="lrTb"/>
            <w:noWrap w:val="false"/>
          </w:tcPr>
          <w:p>
            <w:pPr>
              <w:pStyle w:val="1095"/>
              <w:jc w:val="center"/>
              <w:rPr>
                <w:rFonts w:eastAsia="宋体" w:cs="宋体"/>
                <w:highlight w:val="none"/>
              </w:rPr>
            </w:pPr>
            <w:r>
              <w:rPr>
                <w:rFonts w:hint="eastAsia" w:eastAsia="宋体" w:cs="宋体"/>
                <w:highlight w:val="none"/>
              </w:rPr>
              <w:t xml:space="preserve">质保期</w:t>
            </w:r>
            <w:r/>
          </w:p>
          <w:p>
            <w:pPr>
              <w:pStyle w:val="1095"/>
              <w:jc w:val="center"/>
              <w:rPr>
                <w:rFonts w:eastAsia="宋体" w:cs="宋体"/>
                <w:highlight w:val="none"/>
              </w:rPr>
            </w:pPr>
            <w:r>
              <w:rPr>
                <w:rFonts w:hint="eastAsia" w:eastAsia="宋体" w:cs="宋体"/>
                <w:highlight w:val="none"/>
              </w:rPr>
              <w:t xml:space="preserve">服务</w:t>
            </w:r>
            <w:r/>
          </w:p>
          <w:p>
            <w:pPr>
              <w:pStyle w:val="1095"/>
              <w:jc w:val="center"/>
              <w:rPr>
                <w:rFonts w:eastAsia="宋体" w:cs="宋体"/>
                <w:color w:val="auto"/>
                <w:highlight w:val="none"/>
              </w:rPr>
            </w:pPr>
            <w:r>
              <w:rPr>
                <w:rFonts w:hint="eastAsia" w:eastAsia="宋体" w:cs="宋体"/>
                <w:highlight w:val="none"/>
              </w:rPr>
              <w:t xml:space="preserve">(6分)</w:t>
            </w:r>
            <w:r/>
          </w:p>
        </w:tc>
        <w:tc>
          <w:tcPr>
            <w:tcW w:w="1428" w:type="dxa"/>
            <w:vAlign w:val="center"/>
            <w:textDirection w:val="lrTb"/>
            <w:noWrap w:val="false"/>
          </w:tcPr>
          <w:p>
            <w:pPr>
              <w:pStyle w:val="1095"/>
              <w:jc w:val="center"/>
              <w:rPr>
                <w:rFonts w:eastAsia="宋体" w:cs="宋体"/>
                <w:highlight w:val="none"/>
              </w:rPr>
            </w:pPr>
            <w:r>
              <w:rPr>
                <w:rFonts w:hint="eastAsia" w:eastAsia="宋体" w:cs="宋体"/>
                <w:highlight w:val="none"/>
              </w:rPr>
              <w:t xml:space="preserve">质保期内</w:t>
            </w:r>
            <w:r>
              <w:rPr>
                <w:rFonts w:hint="eastAsia" w:cs="宋体"/>
                <w:highlight w:val="none"/>
              </w:rPr>
              <w:t xml:space="preserve">、外</w:t>
            </w:r>
            <w:r>
              <w:rPr>
                <w:rFonts w:hint="eastAsia" w:eastAsia="宋体" w:cs="宋体"/>
                <w:highlight w:val="none"/>
              </w:rPr>
              <w:t xml:space="preserve">服务方案</w:t>
            </w:r>
            <w:r/>
          </w:p>
          <w:p>
            <w:pPr>
              <w:pStyle w:val="1095"/>
              <w:jc w:val="center"/>
              <w:rPr>
                <w:rFonts w:eastAsia="宋体"/>
                <w:highlight w:val="none"/>
              </w:rPr>
            </w:pPr>
            <w:r>
              <w:rPr>
                <w:rFonts w:hint="eastAsia" w:eastAsia="宋体" w:cs="宋体"/>
                <w:highlight w:val="none"/>
              </w:rPr>
              <w:t xml:space="preserve">(</w:t>
            </w:r>
            <w:r>
              <w:rPr>
                <w:rFonts w:cs="宋体"/>
                <w:highlight w:val="none"/>
              </w:rPr>
              <w:t xml:space="preserve">4</w:t>
            </w:r>
            <w:r>
              <w:rPr>
                <w:rFonts w:hint="eastAsia" w:eastAsia="宋体" w:cs="宋体"/>
                <w:highlight w:val="none"/>
              </w:rPr>
              <w:t xml:space="preserve">分)</w:t>
            </w:r>
            <w:r/>
          </w:p>
        </w:tc>
        <w:tc>
          <w:tcPr>
            <w:tcW w:w="7022" w:type="dxa"/>
            <w:vAlign w:val="center"/>
            <w:textDirection w:val="lrTb"/>
            <w:noWrap w:val="false"/>
          </w:tcPr>
          <w:p>
            <w:pPr>
              <w:pStyle w:val="1095"/>
              <w:jc w:val="both"/>
              <w:rPr>
                <w:rFonts w:eastAsia="宋体" w:cs="宋体"/>
                <w:color w:val="auto"/>
                <w:highlight w:val="none"/>
              </w:rPr>
            </w:pPr>
            <w:r>
              <w:rPr>
                <w:rFonts w:hint="eastAsia" w:eastAsia="宋体" w:cs="宋体"/>
                <w:color w:val="auto"/>
                <w:highlight w:val="none"/>
              </w:rPr>
              <w:t xml:space="preserve">对质保期内</w:t>
            </w:r>
            <w:r>
              <w:rPr>
                <w:rFonts w:hint="eastAsia" w:cs="宋体"/>
                <w:color w:val="auto"/>
                <w:highlight w:val="none"/>
              </w:rPr>
              <w:t xml:space="preserve">、外</w:t>
            </w:r>
            <w:r>
              <w:rPr>
                <w:rFonts w:hint="eastAsia" w:eastAsia="宋体" w:cs="宋体"/>
                <w:color w:val="auto"/>
                <w:highlight w:val="none"/>
              </w:rPr>
              <w:t xml:space="preserve">服务方案的内容完整性、合理性、可行性进行评价：</w:t>
            </w:r>
            <w:r/>
          </w:p>
          <w:p>
            <w:pPr>
              <w:pStyle w:val="1095"/>
              <w:jc w:val="both"/>
              <w:rPr>
                <w:rFonts w:eastAsia="宋体" w:cs="宋体"/>
                <w:color w:val="auto"/>
                <w:highlight w:val="none"/>
              </w:rPr>
            </w:pPr>
            <w:r>
              <w:rPr>
                <w:rFonts w:hint="eastAsia" w:eastAsia="宋体" w:cs="宋体"/>
                <w:color w:val="auto"/>
                <w:highlight w:val="none"/>
              </w:rPr>
              <w:t xml:space="preserve">内容全面、详实具体，措施到位，针对性强的，优于项目需求的得</w:t>
            </w:r>
            <w:r>
              <w:rPr>
                <w:rFonts w:hint="eastAsia" w:cs="宋体"/>
                <w:color w:val="auto"/>
                <w:highlight w:val="none"/>
              </w:rPr>
              <w:t xml:space="preserve">4</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内容较全面、详实，措施基本到位，针对性较强的，符合项目需求的得</w:t>
            </w:r>
            <w:r>
              <w:rPr>
                <w:rFonts w:hint="eastAsia" w:cs="宋体"/>
                <w:color w:val="auto"/>
                <w:highlight w:val="none"/>
              </w:rPr>
              <w:t xml:space="preserve">3</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内容一般，措施基本到位，有一定的针对性，仅部分符合项目需求的得</w:t>
            </w:r>
            <w:r>
              <w:rPr>
                <w:rFonts w:hint="eastAsia" w:cs="宋体"/>
                <w:color w:val="auto"/>
                <w:highlight w:val="none"/>
              </w:rPr>
              <w:t xml:space="preserve">2</w:t>
            </w:r>
            <w:r>
              <w:rPr>
                <w:rFonts w:hint="eastAsia" w:eastAsia="宋体" w:cs="宋体"/>
                <w:color w:val="auto"/>
                <w:highlight w:val="none"/>
              </w:rPr>
              <w:t xml:space="preserve">分；</w:t>
            </w:r>
            <w:r/>
          </w:p>
          <w:p>
            <w:pPr>
              <w:pStyle w:val="1095"/>
              <w:jc w:val="both"/>
              <w:rPr>
                <w:rFonts w:eastAsia="宋体" w:cs="宋体"/>
                <w:color w:val="auto"/>
                <w:highlight w:val="none"/>
              </w:rPr>
            </w:pPr>
            <w:r>
              <w:rPr>
                <w:rFonts w:hint="eastAsia" w:eastAsia="宋体" w:cs="宋体"/>
                <w:color w:val="auto"/>
                <w:highlight w:val="none"/>
              </w:rPr>
              <w:t xml:space="preserve">内容欠缺，措施不到位，缺乏针对性</w:t>
            </w:r>
            <w:r>
              <w:rPr>
                <w:rFonts w:hint="eastAsia" w:cs="宋体"/>
                <w:color w:val="auto"/>
                <w:highlight w:val="none"/>
              </w:rPr>
              <w:t xml:space="preserve">的</w:t>
            </w:r>
            <w:r>
              <w:rPr>
                <w:rFonts w:hint="eastAsia" w:eastAsia="宋体" w:cs="宋体"/>
                <w:color w:val="auto"/>
                <w:highlight w:val="none"/>
              </w:rPr>
              <w:t xml:space="preserve">，得</w:t>
            </w:r>
            <w:r>
              <w:rPr>
                <w:rFonts w:hint="eastAsia" w:cs="宋体"/>
                <w:color w:val="auto"/>
                <w:highlight w:val="none"/>
              </w:rPr>
              <w:t xml:space="preserve">1</w:t>
            </w:r>
            <w:r>
              <w:rPr>
                <w:rFonts w:hint="eastAsia" w:eastAsia="宋体" w:cs="宋体"/>
                <w:color w:val="auto"/>
                <w:highlight w:val="none"/>
              </w:rPr>
              <w:t xml:space="preserve">分；</w:t>
            </w:r>
            <w:r/>
          </w:p>
          <w:p>
            <w:pPr>
              <w:pStyle w:val="1095"/>
              <w:jc w:val="both"/>
              <w:rPr>
                <w:highlight w:val="none"/>
              </w:rPr>
            </w:pPr>
            <w:r>
              <w:rPr>
                <w:rFonts w:hint="eastAsia" w:eastAsia="宋体" w:cs="宋体"/>
                <w:color w:val="auto"/>
                <w:highlight w:val="none"/>
              </w:rPr>
              <w:t xml:space="preserve">内容</w:t>
            </w:r>
            <w:r>
              <w:rPr>
                <w:rFonts w:hint="eastAsia" w:cs="宋体"/>
                <w:color w:val="auto"/>
                <w:highlight w:val="none"/>
              </w:rPr>
              <w:t xml:space="preserve">较差</w:t>
            </w:r>
            <w:r>
              <w:rPr>
                <w:rFonts w:hint="eastAsia" w:eastAsia="宋体" w:cs="宋体"/>
                <w:color w:val="auto"/>
                <w:highlight w:val="none"/>
              </w:rPr>
              <w:t xml:space="preserve">，不符合项目需求</w:t>
            </w:r>
            <w:r>
              <w:rPr>
                <w:rFonts w:hint="eastAsia" w:cs="宋体"/>
                <w:color w:val="auto"/>
                <w:highlight w:val="none"/>
              </w:rPr>
              <w:t xml:space="preserve">或</w:t>
            </w:r>
            <w:r>
              <w:rPr>
                <w:rFonts w:hint="eastAsia" w:eastAsia="宋体" w:cs="宋体"/>
                <w:color w:val="auto"/>
                <w:highlight w:val="none"/>
              </w:rPr>
              <w:t xml:space="preserve">无内容的</w:t>
            </w:r>
            <w:r>
              <w:rPr>
                <w:rFonts w:hint="eastAsia" w:cs="宋体"/>
                <w:color w:val="auto"/>
                <w:highlight w:val="none"/>
              </w:rPr>
              <w:t xml:space="preserve">，</w:t>
            </w:r>
            <w:r>
              <w:rPr>
                <w:rFonts w:hint="eastAsia" w:eastAsia="宋体" w:cs="宋体"/>
                <w:color w:val="auto"/>
                <w:highlight w:val="none"/>
              </w:rPr>
              <w:t xml:space="preserve">得</w:t>
            </w:r>
            <w:r>
              <w:rPr>
                <w:rFonts w:hint="eastAsia" w:cs="宋体"/>
                <w:color w:val="auto"/>
                <w:highlight w:val="none"/>
              </w:rPr>
              <w:t xml:space="preserve">0</w:t>
            </w:r>
            <w:r>
              <w:rPr>
                <w:rFonts w:hint="eastAsia" w:eastAsia="宋体" w:cs="宋体"/>
                <w:color w:val="auto"/>
                <w:highlight w:val="none"/>
              </w:rPr>
              <w:t xml:space="preserve">分；</w:t>
            </w:r>
            <w:r/>
          </w:p>
        </w:tc>
      </w:tr>
      <w:tr>
        <w:trPr>
          <w:jc w:val="center"/>
          <w:trHeight w:val="554"/>
        </w:trPr>
        <w:tc>
          <w:tcPr>
            <w:tcW w:w="1297" w:type="dxa"/>
            <w:vAlign w:val="center"/>
            <w:vMerge w:val="continue"/>
            <w:textDirection w:val="lrTb"/>
            <w:noWrap w:val="false"/>
          </w:tcPr>
          <w:p>
            <w:pPr>
              <w:pStyle w:val="1095"/>
              <w:jc w:val="center"/>
              <w:rPr>
                <w:rFonts w:eastAsia="宋体" w:cs="宋体"/>
                <w:highlight w:val="none"/>
              </w:rPr>
            </w:pPr>
            <w:r>
              <w:rPr>
                <w:rFonts w:eastAsia="宋体" w:cs="宋体"/>
                <w:highlight w:val="none"/>
              </w:rPr>
            </w:r>
            <w:r/>
          </w:p>
        </w:tc>
        <w:tc>
          <w:tcPr>
            <w:tcW w:w="1428" w:type="dxa"/>
            <w:vAlign w:val="center"/>
            <w:textDirection w:val="lrTb"/>
            <w:noWrap w:val="false"/>
          </w:tcPr>
          <w:p>
            <w:pPr>
              <w:pStyle w:val="1095"/>
              <w:jc w:val="both"/>
              <w:rPr>
                <w:rFonts w:eastAsia="宋体" w:cs="宋体"/>
                <w:color w:val="auto"/>
                <w:highlight w:val="none"/>
              </w:rPr>
            </w:pPr>
            <w:r>
              <w:rPr>
                <w:rFonts w:hint="eastAsia" w:eastAsia="宋体" w:cs="宋体"/>
                <w:color w:val="auto"/>
                <w:highlight w:val="none"/>
              </w:rPr>
              <w:t xml:space="preserve">免费质保期（2分）</w:t>
            </w:r>
            <w:r/>
          </w:p>
        </w:tc>
        <w:tc>
          <w:tcPr>
            <w:tcW w:w="7022" w:type="dxa"/>
            <w:vAlign w:val="center"/>
            <w:textDirection w:val="lrTb"/>
            <w:noWrap w:val="false"/>
          </w:tcPr>
          <w:p>
            <w:pPr>
              <w:pStyle w:val="1095"/>
              <w:jc w:val="both"/>
              <w:rPr>
                <w:rFonts w:eastAsia="宋体" w:cs="宋体"/>
                <w:color w:val="auto"/>
                <w:highlight w:val="none"/>
              </w:rPr>
            </w:pPr>
            <w:r>
              <w:rPr>
                <w:rFonts w:hint="eastAsia" w:eastAsia="宋体" w:cs="宋体"/>
                <w:color w:val="auto"/>
                <w:highlight w:val="none"/>
              </w:rPr>
              <w:t xml:space="preserve">免费质保期为2年的，得0分；</w:t>
            </w:r>
            <w:r/>
          </w:p>
          <w:p>
            <w:pPr>
              <w:pStyle w:val="1095"/>
              <w:jc w:val="both"/>
              <w:rPr>
                <w:rFonts w:eastAsia="宋体" w:cs="宋体"/>
                <w:color w:val="auto"/>
                <w:highlight w:val="none"/>
              </w:rPr>
            </w:pPr>
            <w:r>
              <w:rPr>
                <w:rFonts w:hint="eastAsia" w:eastAsia="宋体" w:cs="宋体"/>
                <w:color w:val="auto"/>
                <w:highlight w:val="none"/>
              </w:rPr>
              <w:t xml:space="preserve">增加一年，加2分（增加不足一年的不得分）。</w:t>
            </w:r>
            <w:r/>
          </w:p>
          <w:p>
            <w:pPr>
              <w:pStyle w:val="1095"/>
              <w:jc w:val="both"/>
              <w:rPr>
                <w:rFonts w:eastAsia="宋体" w:cs="宋体"/>
                <w:color w:val="auto"/>
                <w:highlight w:val="none"/>
              </w:rPr>
            </w:pPr>
            <w:r>
              <w:rPr>
                <w:rFonts w:hint="eastAsia" w:eastAsia="宋体" w:cs="宋体"/>
                <w:color w:val="auto"/>
                <w:highlight w:val="none"/>
              </w:rPr>
              <w:t xml:space="preserve">本项最高得2分，最低得0分。</w:t>
            </w:r>
            <w:r/>
          </w:p>
          <w:p>
            <w:pPr>
              <w:pStyle w:val="1095"/>
              <w:jc w:val="both"/>
              <w:rPr>
                <w:rFonts w:eastAsia="宋体" w:cs="宋体"/>
                <w:color w:val="auto"/>
                <w:highlight w:val="none"/>
              </w:rPr>
            </w:pPr>
            <w:r>
              <w:rPr>
                <w:rFonts w:hint="eastAsia" w:eastAsia="宋体" w:cs="宋体"/>
                <w:color w:val="auto"/>
                <w:highlight w:val="none"/>
              </w:rPr>
              <w:t xml:space="preserve">注：提供承诺函并加盖投标人公章，格式自拟。</w:t>
            </w:r>
            <w:r/>
          </w:p>
        </w:tc>
      </w:tr>
    </w:tbl>
    <w:p>
      <w:pPr>
        <w:pStyle w:val="1281"/>
        <w:spacing w:after="0"/>
        <w:widowControl w:val="off"/>
        <w:rPr>
          <w:rFonts w:ascii="仿宋" w:hAnsi="仿宋" w:eastAsia="仿宋" w:cs="仿宋"/>
          <w:sz w:val="21"/>
          <w:szCs w:val="21"/>
          <w:highlight w:val="none"/>
        </w:rPr>
      </w:pPr>
      <w:r>
        <w:rPr>
          <w:rFonts w:ascii="仿宋" w:hAnsi="仿宋" w:eastAsia="仿宋" w:cs="仿宋"/>
          <w:sz w:val="21"/>
          <w:szCs w:val="21"/>
          <w:highlight w:val="none"/>
        </w:rPr>
      </w:r>
      <w:r/>
    </w:p>
    <w:p>
      <w:pPr>
        <w:pStyle w:val="1263"/>
        <w:rPr>
          <w:highlight w:val="none"/>
        </w:rPr>
      </w:pPr>
      <w:r>
        <w:rPr>
          <w:highlight w:val="none"/>
        </w:rPr>
      </w:r>
      <w:r/>
    </w:p>
    <w:p>
      <w:pPr>
        <w:pStyle w:val="1263"/>
        <w:widowControl w:val="off"/>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说明：本项目采用综合评分法。（供应商技术部分得分取所有评委的平均值，保留小数点后二位）。</w:t>
      </w:r>
      <w:r/>
    </w:p>
    <w:p>
      <w:pPr>
        <w:rPr>
          <w:rStyle w:val="1305"/>
          <w:rFonts w:ascii="仿宋" w:hAnsi="仿宋" w:eastAsia="仿宋" w:cs="仿宋"/>
          <w:sz w:val="28"/>
          <w:highlight w:val="none"/>
        </w:rPr>
      </w:pPr>
      <w:r>
        <w:rPr>
          <w:rStyle w:val="1305"/>
          <w:rFonts w:hint="eastAsia" w:ascii="仿宋" w:hAnsi="仿宋" w:eastAsia="仿宋" w:cs="仿宋"/>
          <w:sz w:val="28"/>
          <w:highlight w:val="none"/>
        </w:rPr>
        <w:br w:type="page" w:clear="all"/>
      </w:r>
      <w:r/>
    </w:p>
    <w:p>
      <w:pPr>
        <w:pStyle w:val="1271"/>
        <w:jc w:val="center"/>
        <w:keepLines w:val="0"/>
        <w:keepNext w:val="0"/>
        <w:spacing w:before="0" w:after="0" w:line="312" w:lineRule="auto"/>
        <w:widowControl w:val="off"/>
        <w:rPr>
          <w:rStyle w:val="1305"/>
          <w:rFonts w:ascii="仿宋" w:hAnsi="仿宋" w:eastAsia="仿宋" w:cs="仿宋"/>
          <w:sz w:val="28"/>
          <w:highlight w:val="none"/>
        </w:rPr>
      </w:pPr>
      <w:r/>
      <w:bookmarkStart w:id="16" w:name="_Toc20928"/>
      <w:r>
        <w:rPr>
          <w:rStyle w:val="1305"/>
          <w:rFonts w:hint="eastAsia" w:ascii="仿宋" w:hAnsi="仿宋" w:eastAsia="仿宋" w:cs="仿宋"/>
          <w:sz w:val="28"/>
          <w:highlight w:val="none"/>
        </w:rPr>
        <w:t xml:space="preserve">2、项目要求（采购需求）</w:t>
      </w:r>
      <w:bookmarkEnd w:id="16"/>
      <w:r/>
      <w:r/>
    </w:p>
    <w:p>
      <w:pPr>
        <w:pStyle w:val="1263"/>
        <w:widowControl w:val="off"/>
        <w:rPr>
          <w:rFonts w:ascii="仿宋" w:hAnsi="仿宋" w:eastAsia="仿宋" w:cs="仿宋"/>
          <w:highlight w:val="none"/>
        </w:rPr>
      </w:pPr>
      <w:r>
        <w:rPr>
          <w:rFonts w:ascii="仿宋" w:hAnsi="仿宋" w:eastAsia="仿宋" w:cs="仿宋"/>
          <w:highlight w:val="none"/>
        </w:rPr>
      </w:r>
      <w:r/>
    </w:p>
    <w:p>
      <w:pPr>
        <w:pStyle w:val="1263"/>
        <w:spacing w:line="360" w:lineRule="auto"/>
        <w:widowControl w:val="off"/>
        <w:rPr>
          <w:rFonts w:ascii="仿宋" w:hAnsi="仿宋" w:eastAsia="仿宋" w:cs="仿宋"/>
          <w:b/>
          <w:sz w:val="24"/>
          <w:szCs w:val="24"/>
          <w:highlight w:val="none"/>
        </w:rPr>
      </w:pPr>
      <w:r/>
      <w:bookmarkStart w:id="17" w:name="_Toc80122298"/>
      <w:r>
        <w:rPr>
          <w:rFonts w:hint="eastAsia" w:ascii="仿宋" w:hAnsi="仿宋" w:eastAsia="仿宋" w:cs="仿宋"/>
          <w:b/>
          <w:sz w:val="24"/>
          <w:szCs w:val="24"/>
          <w:highlight w:val="none"/>
        </w:rPr>
        <w:t xml:space="preserve">一、项目名称：交管支队车管所考试场地整修</w:t>
      </w:r>
      <w:r/>
    </w:p>
    <w:p>
      <w:pPr>
        <w:pStyle w:val="1263"/>
        <w:spacing w:line="360" w:lineRule="auto"/>
        <w:widowControl w:val="off"/>
        <w:rPr>
          <w:rFonts w:ascii="仿宋" w:hAnsi="仿宋" w:eastAsia="仿宋" w:cs="仿宋"/>
          <w:sz w:val="24"/>
          <w:szCs w:val="24"/>
          <w:highlight w:val="none"/>
        </w:rPr>
      </w:pPr>
      <w:r>
        <w:rPr>
          <w:rFonts w:hint="eastAsia" w:ascii="仿宋" w:hAnsi="仿宋" w:eastAsia="仿宋" w:cs="仿宋"/>
          <w:b/>
          <w:sz w:val="24"/>
          <w:szCs w:val="24"/>
          <w:highlight w:val="none"/>
        </w:rPr>
        <w:t xml:space="preserve">二、本项</w:t>
      </w:r>
      <w:r>
        <w:rPr>
          <w:rFonts w:hint="eastAsia" w:ascii="仿宋" w:hAnsi="仿宋" w:eastAsia="仿宋" w:cs="仿宋"/>
          <w:b/>
          <w:color w:val="000000" w:themeColor="text1"/>
          <w:sz w:val="24"/>
          <w:szCs w:val="24"/>
          <w:highlight w:val="none"/>
          <w14:textFill>
            <w14:solidFill>
              <w14:schemeClr w14:val="tx1"/>
            </w14:solidFill>
          </w14:textFill>
        </w:rPr>
        <w:t xml:space="preserve">目采购预算金额为</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255.</w:t>
      </w:r>
      <w:r>
        <w:rPr>
          <w:rFonts w:hint="eastAsia" w:ascii="仿宋" w:hAnsi="仿宋" w:eastAsia="仿宋" w:cs="仿宋"/>
          <w:b/>
          <w:color w:val="000000" w:themeColor="text1"/>
          <w:sz w:val="24"/>
          <w:szCs w:val="24"/>
          <w:highlight w:val="none"/>
          <w:u w:val="single"/>
          <w:lang w:val="en-US" w:eastAsia="zh-CN"/>
          <w14:textFill>
            <w14:solidFill>
              <w14:schemeClr w14:val="tx1"/>
            </w14:solidFill>
          </w14:textFill>
        </w:rPr>
        <w:t xml:space="preserve">15</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万</w:t>
      </w:r>
      <w:r>
        <w:rPr>
          <w:rFonts w:hint="eastAsia" w:ascii="仿宋" w:hAnsi="仿宋" w:eastAsia="仿宋" w:cs="仿宋"/>
          <w:b/>
          <w:color w:val="000000" w:themeColor="text1"/>
          <w:sz w:val="24"/>
          <w:szCs w:val="24"/>
          <w:highlight w:val="none"/>
          <w14:textFill>
            <w14:solidFill>
              <w14:schemeClr w14:val="tx1"/>
            </w14:solidFill>
          </w14:textFill>
        </w:rPr>
        <w:t xml:space="preserve">元（人民币），最高限价为</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255.147258万</w:t>
      </w:r>
      <w:r>
        <w:rPr>
          <w:rFonts w:hint="eastAsia" w:ascii="仿宋" w:hAnsi="仿宋" w:eastAsia="仿宋" w:cs="仿宋"/>
          <w:b/>
          <w:color w:val="000000" w:themeColor="text1"/>
          <w:sz w:val="24"/>
          <w:szCs w:val="24"/>
          <w:highlight w:val="none"/>
          <w14:textFill>
            <w14:solidFill>
              <w14:schemeClr w14:val="tx1"/>
            </w14:solidFill>
          </w14:textFill>
        </w:rPr>
        <w:t xml:space="preserve">元，不接受超过</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255.147258万</w:t>
      </w:r>
      <w:r>
        <w:rPr>
          <w:rFonts w:hint="eastAsia" w:ascii="仿宋" w:hAnsi="仿宋" w:eastAsia="仿宋" w:cs="仿宋"/>
          <w:b/>
          <w:color w:val="000000" w:themeColor="text1"/>
          <w:sz w:val="24"/>
          <w:szCs w:val="24"/>
          <w:highlight w:val="none"/>
          <w14:textFill>
            <w14:solidFill>
              <w14:schemeClr w14:val="tx1"/>
            </w14:solidFill>
          </w14:textFill>
        </w:rPr>
        <w:t xml:space="preserve">元的磋商报价</w:t>
      </w:r>
      <w:r>
        <w:rPr>
          <w:rFonts w:hint="eastAsia" w:ascii="仿宋" w:hAnsi="仿宋" w:eastAsia="仿宋" w:cs="仿宋"/>
          <w:sz w:val="24"/>
          <w:szCs w:val="24"/>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pStyle w:val="1263"/>
        <w:spacing w:line="360" w:lineRule="auto"/>
        <w:widowControl w:val="off"/>
        <w:rPr>
          <w:rFonts w:ascii="仿宋" w:hAnsi="仿宋" w:eastAsia="仿宋" w:cs="仿宋"/>
          <w:sz w:val="24"/>
          <w:szCs w:val="24"/>
          <w:highlight w:val="none"/>
        </w:rPr>
      </w:pPr>
      <w:r>
        <w:rPr>
          <w:rFonts w:hint="eastAsia" w:ascii="仿宋" w:hAnsi="仿宋" w:eastAsia="仿宋" w:cs="仿宋"/>
          <w:b/>
          <w:sz w:val="24"/>
          <w:szCs w:val="24"/>
          <w:highlight w:val="none"/>
        </w:rPr>
        <w:t xml:space="preserve">三、项目概况</w:t>
      </w:r>
      <w:r/>
    </w:p>
    <w:p>
      <w:pPr>
        <w:pStyle w:val="1263"/>
        <w:ind w:firstLine="422"/>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1、项目名称：交管支队车管所考试场地整修</w:t>
      </w:r>
      <w:r/>
    </w:p>
    <w:p>
      <w:pPr>
        <w:pStyle w:val="1263"/>
        <w:ind w:firstLine="422"/>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2、项目地点：徐州市泉山区祥湖路</w:t>
      </w:r>
      <w:r/>
    </w:p>
    <w:p>
      <w:pPr>
        <w:pStyle w:val="1263"/>
        <w:ind w:firstLine="422"/>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3、项目内容：主要对徐州市公安局交警支队车管所考练场地场内道路拆除、恢复，改造室外雨水、室外电缆、消防、给水管道工程，工程详见工程量清单及施工图所含全部内容。</w:t>
      </w:r>
      <w:r/>
    </w:p>
    <w:p>
      <w:pPr>
        <w:pStyle w:val="1263"/>
        <w:ind w:firstLine="422"/>
        <w:spacing w:line="360" w:lineRule="auto"/>
        <w:widowControl w:val="off"/>
        <w:rPr>
          <w:rFonts w:ascii="仿宋" w:hAnsi="仿宋" w:eastAsia="仿宋" w:cs="仿宋"/>
          <w:sz w:val="24"/>
          <w:szCs w:val="24"/>
          <w:highlight w:val="none"/>
        </w:rPr>
      </w:pPr>
      <w:r/>
      <w:bookmarkStart w:id="18" w:name="_Hlk105172344"/>
      <w:r>
        <w:rPr>
          <w:rFonts w:hint="eastAsia" w:ascii="仿宋" w:hAnsi="仿宋" w:eastAsia="仿宋" w:cs="仿宋"/>
          <w:sz w:val="24"/>
          <w:szCs w:val="24"/>
          <w:highlight w:val="none"/>
        </w:rPr>
        <w:t xml:space="preserve">4、承包方式：包工包料。</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5、工程质量：合格（符合国家标准及行业要求，满足采购人需求），通过相关部门验收。</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6、工期：</w:t>
      </w:r>
      <w:r>
        <w:rPr>
          <w:rFonts w:ascii="仿宋" w:hAnsi="仿宋" w:eastAsia="仿宋" w:cs="仿宋"/>
          <w:sz w:val="24"/>
          <w:szCs w:val="24"/>
          <w:highlight w:val="none"/>
        </w:rPr>
        <w:t xml:space="preserve">90</w:t>
      </w:r>
      <w:r>
        <w:rPr>
          <w:rFonts w:hint="eastAsia" w:ascii="仿宋" w:hAnsi="仿宋" w:eastAsia="仿宋" w:cs="仿宋"/>
          <w:sz w:val="24"/>
          <w:szCs w:val="24"/>
          <w:highlight w:val="none"/>
        </w:rPr>
        <w:t xml:space="preserve">日历天（具体根据采购人要求）。</w:t>
      </w:r>
      <w:bookmarkEnd w:id="18"/>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7、现场踏勘：自行踏勘现场。</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7.1 供应商自行对施工现场进行踏勘，以获取编制响应文件所需的现场信息资料。</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7.2 供应商对本磋商文件所作出的理解、推论和解释由其自己负责。</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7.3 由于现场踏勘没有进行或者不详细所导致的一切问题均由供应商自行负责。</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7.4 供应商应承担现场踏勘的责任和风险，现场踏勘费用由供应商自己承担。成交后不得以未踏勘现场或不了解现场为由提出任何增加费用的要求。</w:t>
      </w:r>
      <w:bookmarkEnd w:id="17"/>
      <w:r/>
      <w:r/>
    </w:p>
    <w:p>
      <w:pPr>
        <w:pStyle w:val="1263"/>
        <w:spacing w:line="360"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四、工程量清单报价</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(一) 工程量清单以及图纸详见本项目磋商文件附件（后附）</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 《已标价的工程量清单》报价要求</w:t>
      </w:r>
      <w:r/>
    </w:p>
    <w:p>
      <w:pPr>
        <w:pStyle w:val="1263"/>
        <w:ind w:firstLine="420"/>
        <w:spacing w:line="360"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1、报价内容</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1.1 响应报价应包括磋商文件中所确定的范围内工程量清单以及施工图中所含的全部内容，以及为完成上述内容所需的全部费用。</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注：供应商必须按采购人提供的工程量清单进行报价，否则视为对竞争性磋商文件商务条款的实质性偏离。供应商不得修改工程量清单中的分部分项内容及数量，否则视为不响应磋商文件。</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1.2 供应商应按采购人提供的工程量清单填报价格。填写的项目名称、项目特征、计量单位、工程量必须与采购人提供的一致。</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照实际发生的工程量调整。</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1.5 技术参数、项目实施方案所描述的技术措施所发生的费用，视为已体现在供应商报价的非实体性消耗所发生的费用中。</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1.9 垃圾外运，在报价中综合考虑。</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1.11地方关系协调费供应商自行考虑，就此项招标人不支付任何费用。</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1.12施工时需做好防护措施保证周边安全，因中标人保障不利对招标人或第三方造成损失的，赔偿责任全部由中标人承担，若因此会增加费用，控制价不计取，供应商自行考虑在报价中，结算时不予调整。</w:t>
      </w:r>
      <w:r/>
    </w:p>
    <w:p>
      <w:pPr>
        <w:pStyle w:val="1263"/>
        <w:ind w:firstLine="420"/>
        <w:spacing w:line="360"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2、报价方式</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2.1 本工程采用固定单价合同（除另有规定外）。供应商应充分考虑施工期间各类建材的市场风险，并计入总报价，供应商在计算报价时应考虑一定的风险系数。</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2.2 材料风险约定：</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2.2.1 对于法律、法规、规章或有关政策出台导致工程税金、规费等发生变化的，应按照有关规定执行。</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1263"/>
        <w:ind w:firstLine="420"/>
        <w:spacing w:line="360"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3、报价的计价方法</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4、报价编制依据及要求：详见工程量清单。</w:t>
      </w:r>
      <w:r/>
    </w:p>
    <w:p>
      <w:pPr>
        <w:pStyle w:val="1263"/>
        <w:spacing w:line="360"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五、低于成本报价：</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263"/>
        <w:spacing w:line="360" w:lineRule="auto"/>
        <w:widowControl w:val="off"/>
        <w:rPr>
          <w:rFonts w:ascii="仿宋" w:hAnsi="仿宋" w:eastAsia="仿宋" w:cs="仿宋"/>
          <w:sz w:val="24"/>
          <w:szCs w:val="24"/>
          <w:highlight w:val="none"/>
        </w:rPr>
      </w:pPr>
      <w:r>
        <w:rPr>
          <w:rFonts w:hint="eastAsia" w:ascii="仿宋" w:hAnsi="仿宋" w:eastAsia="仿宋" w:cs="仿宋"/>
          <w:b/>
          <w:bCs/>
          <w:sz w:val="24"/>
          <w:szCs w:val="24"/>
          <w:highlight w:val="none"/>
        </w:rPr>
        <w:t xml:space="preserve">六、服务要求</w:t>
      </w:r>
      <w:r>
        <w:rPr>
          <w:rFonts w:hint="eastAsia" w:ascii="仿宋" w:hAnsi="仿宋" w:eastAsia="仿宋" w:cs="仿宋"/>
          <w:sz w:val="24"/>
          <w:szCs w:val="24"/>
          <w:highlight w:val="none"/>
        </w:rPr>
        <w:t xml:space="preserve">： </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1、质保及售后服务：本工程要求质保期按执行国家和地方现行标准、规范的相关规定，施工缺陷责任期至少24个月。质保期外，工程质量出现问题，成交供应商应主动提供维修方案，只收取材料费。 </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2、质保期内，如发生故障，采购人通知成交供应商服务人员时，相关服务人员要在6小时内到达现场配合采购人处理问题，进行更换或进行必要的维修。 </w:t>
      </w:r>
      <w:r/>
    </w:p>
    <w:p>
      <w:pPr>
        <w:pStyle w:val="1263"/>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3、供应商需根据本项目特征及自身情况编制施工方案。</w:t>
      </w:r>
      <w:r/>
    </w:p>
    <w:p>
      <w:pPr>
        <w:pStyle w:val="1263"/>
        <w:spacing w:line="360" w:lineRule="auto"/>
        <w:widowControl w:val="off"/>
        <w:rPr>
          <w:rStyle w:val="1305"/>
          <w:rFonts w:ascii="仿宋" w:hAnsi="仿宋" w:eastAsia="仿宋" w:cs="仿宋"/>
          <w:sz w:val="28"/>
          <w:highlight w:val="none"/>
        </w:rPr>
      </w:pPr>
      <w:r>
        <w:rPr>
          <w:rFonts w:hint="eastAsia" w:ascii="仿宋" w:hAnsi="仿宋" w:eastAsia="仿宋" w:cs="仿宋"/>
          <w:b/>
          <w:bCs/>
          <w:sz w:val="24"/>
          <w:szCs w:val="24"/>
          <w:highlight w:val="none"/>
        </w:rPr>
        <w:t xml:space="preserve">七、其他要求：</w:t>
      </w:r>
      <w:r>
        <w:rPr>
          <w:rFonts w:hint="eastAsia" w:ascii="仿宋" w:hAnsi="仿宋" w:eastAsia="仿宋" w:cs="仿宋"/>
          <w:sz w:val="24"/>
          <w:szCs w:val="24"/>
          <w:highlight w:val="none"/>
        </w:rPr>
        <w:t xml:space="preserve">见《磋商文件》附件《拟签订的合同文本》。</w:t>
      </w:r>
      <w:r>
        <w:rPr>
          <w:rStyle w:val="1305"/>
          <w:rFonts w:hint="eastAsia" w:ascii="仿宋" w:hAnsi="仿宋" w:eastAsia="仿宋" w:cs="仿宋"/>
          <w:sz w:val="28"/>
          <w:highlight w:val="none"/>
        </w:rPr>
        <w:br w:type="page" w:clear="all"/>
      </w:r>
      <w:bookmarkStart w:id="19" w:name="_Toc15789"/>
      <w:r/>
      <w:r/>
    </w:p>
    <w:p>
      <w:pPr>
        <w:pStyle w:val="1263"/>
        <w:jc w:val="center"/>
        <w:widowControl w:val="off"/>
        <w:rPr>
          <w:rStyle w:val="1305"/>
          <w:rFonts w:ascii="仿宋" w:hAnsi="仿宋" w:eastAsia="仿宋" w:cs="仿宋"/>
          <w:sz w:val="28"/>
          <w:highlight w:val="none"/>
        </w:rPr>
        <w:outlineLvl w:val="1"/>
      </w:pPr>
      <w:r>
        <w:rPr>
          <w:rStyle w:val="1305"/>
          <w:rFonts w:hint="eastAsia" w:ascii="仿宋" w:hAnsi="仿宋" w:eastAsia="仿宋" w:cs="仿宋"/>
          <w:b/>
          <w:bCs/>
          <w:sz w:val="28"/>
          <w:highlight w:val="none"/>
        </w:rPr>
        <w:t xml:space="preserve">3、</w:t>
      </w:r>
      <w:r>
        <w:rPr>
          <w:rStyle w:val="1305"/>
          <w:rFonts w:hint="eastAsia" w:ascii="仿宋" w:hAnsi="仿宋" w:eastAsia="仿宋" w:cs="仿宋"/>
          <w:b/>
          <w:bCs/>
          <w:sz w:val="28"/>
          <w:szCs w:val="21"/>
          <w:highlight w:val="none"/>
        </w:rPr>
        <w:t xml:space="preserve">磋商报价表</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本次为首次报价</w:t>
      </w:r>
      <w:r/>
    </w:p>
    <w:p>
      <w:pPr>
        <w:jc w:val="righ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货币单位：人民币元</w:t>
      </w:r>
      <w:r/>
    </w:p>
    <w:tbl>
      <w:tblPr>
        <w:tblStyle w:val="1051"/>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8"/>
        <w:gridCol w:w="1941"/>
        <w:gridCol w:w="3072"/>
      </w:tblGrid>
      <w:tr>
        <w:trPr>
          <w:cantSplit/>
          <w:jc w:val="center"/>
          <w:trHeight w:val="839"/>
        </w:trPr>
        <w:tc>
          <w:tcPr>
            <w:tcW w:w="392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项目名称</w:t>
            </w:r>
            <w:r/>
          </w:p>
        </w:tc>
        <w:tc>
          <w:tcPr>
            <w:tcW w:w="1941"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项目内容</w:t>
            </w:r>
            <w:r/>
          </w:p>
        </w:tc>
        <w:tc>
          <w:tcPr>
            <w:tcW w:w="3072"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总价（小写）</w:t>
            </w:r>
            <w:r/>
          </w:p>
        </w:tc>
      </w:tr>
      <w:tr>
        <w:trPr>
          <w:cantSplit/>
          <w:jc w:val="center"/>
          <w:trHeight w:val="1065" w:hRule="exact"/>
        </w:trPr>
        <w:tc>
          <w:tcPr>
            <w:tcW w:w="392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 交管支队车管所考试场地整修</w:t>
            </w:r>
            <w:r/>
          </w:p>
        </w:tc>
        <w:tc>
          <w:tcPr>
            <w:tcW w:w="1941"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详见响应文件</w:t>
            </w:r>
            <w:r/>
          </w:p>
        </w:tc>
        <w:tc>
          <w:tcPr>
            <w:tcW w:w="3072" w:type="dxa"/>
            <w:vAlign w:val="center"/>
            <w:textDirection w:val="lrTb"/>
            <w:noWrap w:val="false"/>
          </w:tcPr>
          <w:p>
            <w:pPr>
              <w:jc w:val="center"/>
              <w:rPr>
                <w:rFonts w:ascii="宋体" w:hAnsi="宋体" w:cs="宋体"/>
                <w:b/>
                <w:bCs/>
                <w:color w:val="000000"/>
                <w:sz w:val="24"/>
                <w:highlight w:val="none"/>
              </w:rPr>
            </w:pPr>
            <w:r>
              <w:rPr>
                <w:rFonts w:ascii="宋体" w:hAnsi="宋体" w:cs="宋体"/>
                <w:b/>
                <w:bCs/>
                <w:color w:val="000000"/>
                <w:sz w:val="24"/>
                <w:highlight w:val="none"/>
              </w:rPr>
            </w:r>
            <w:r/>
          </w:p>
        </w:tc>
      </w:tr>
      <w:tr>
        <w:trPr>
          <w:cantSplit/>
          <w:jc w:val="center"/>
          <w:trHeight w:val="850" w:hRule="exact"/>
        </w:trPr>
        <w:tc>
          <w:tcPr>
            <w:tcW w:w="392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总价（大写）：</w:t>
            </w:r>
            <w:r/>
          </w:p>
        </w:tc>
        <w:tc>
          <w:tcPr>
            <w:gridSpan w:val="2"/>
            <w:tcW w:w="5013" w:type="dxa"/>
            <w:vAlign w:val="center"/>
            <w:textDirection w:val="lrTb"/>
            <w:noWrap w:val="false"/>
          </w:tcPr>
          <w:p>
            <w:pPr>
              <w:jc w:val="center"/>
              <w:rPr>
                <w:rFonts w:ascii="宋体" w:hAnsi="宋体" w:cs="宋体"/>
                <w:b/>
                <w:bCs/>
                <w:color w:val="000000"/>
                <w:sz w:val="24"/>
                <w:highlight w:val="none"/>
              </w:rPr>
            </w:pPr>
            <w:r>
              <w:rPr>
                <w:rFonts w:ascii="宋体" w:hAnsi="宋体" w:cs="宋体"/>
                <w:b/>
                <w:bCs/>
                <w:color w:val="000000"/>
                <w:sz w:val="24"/>
                <w:highlight w:val="none"/>
              </w:rPr>
            </w:r>
            <w:r/>
          </w:p>
        </w:tc>
      </w:tr>
    </w:tbl>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供应商承诺：本报价（总价）为供应商本企业提供的施工。</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报价说明：</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1、报价应包括磋商文件所确定的招标范围内工程量清单所含的全部内容，以及为完成上述内容所需的全部费用。</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2、报价以总价为准，大小写不一致以大写为准；</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3、偏离说明：详见《偏离表》；</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4、如最后报价未列明单价，则最后所报各项单价计算方法为：（最后报价/最初报价）*各项最初报价的单价。</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520" w:lineRule="exact"/>
        <w:rPr>
          <w:rFonts w:ascii="宋体" w:hAnsi="宋体" w:cs="宋体"/>
          <w:color w:val="000000"/>
          <w:sz w:val="24"/>
          <w:highlight w:val="none"/>
        </w:rPr>
      </w:pPr>
      <w:r>
        <w:rPr>
          <w:rFonts w:ascii="宋体" w:hAnsi="宋体" w:cs="宋体"/>
          <w:color w:val="000000"/>
          <w:sz w:val="24"/>
          <w:highlight w:val="none"/>
        </w:rPr>
      </w:r>
      <w:r/>
    </w:p>
    <w:p>
      <w:pPr>
        <w:ind w:right="29" w:firstLine="480"/>
        <w:jc w:val="cente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                        供应商（电子签章）：</w:t>
      </w:r>
      <w:r/>
    </w:p>
    <w:p>
      <w:pPr>
        <w:ind w:right="29" w:firstLine="480"/>
        <w:jc w:val="right"/>
        <w:spacing w:line="520" w:lineRule="exact"/>
        <w:rPr>
          <w:rFonts w:ascii="宋体" w:hAnsi="宋体" w:cs="宋体"/>
          <w:b/>
          <w:bCs/>
          <w:color w:val="000000"/>
          <w:sz w:val="24"/>
          <w:highlight w:val="none"/>
        </w:rPr>
      </w:pPr>
      <w:r>
        <w:rPr>
          <w:rFonts w:ascii="宋体" w:hAnsi="宋体" w:cs="宋体"/>
          <w:b/>
          <w:bCs/>
          <w:color w:val="000000"/>
          <w:sz w:val="24"/>
          <w:highlight w:val="none"/>
        </w:rPr>
      </w:r>
      <w:r/>
    </w:p>
    <w:p>
      <w:pPr>
        <w:jc w:val="center"/>
        <w:rPr>
          <w:rStyle w:val="1305"/>
          <w:rFonts w:ascii="仿宋" w:hAnsi="仿宋" w:eastAsia="仿宋" w:cs="仿宋"/>
          <w:sz w:val="28"/>
          <w:highlight w:val="none"/>
        </w:rPr>
      </w:pPr>
      <w:r>
        <w:rPr>
          <w:rFonts w:hint="eastAsia" w:ascii="宋体" w:hAnsi="宋体" w:cs="宋体"/>
          <w:b/>
          <w:bCs/>
          <w:color w:val="000000"/>
          <w:sz w:val="24"/>
          <w:highlight w:val="none"/>
        </w:rPr>
        <w:t xml:space="preserve">                           日期：   年  月  日</w:t>
      </w:r>
      <w:r>
        <w:rPr>
          <w:rStyle w:val="1305"/>
          <w:rFonts w:hint="eastAsia" w:ascii="仿宋" w:hAnsi="仿宋" w:eastAsia="仿宋" w:cs="仿宋"/>
          <w:sz w:val="28"/>
          <w:highlight w:val="none"/>
        </w:rPr>
        <w:br w:type="page" w:clear="all"/>
      </w:r>
      <w:r/>
    </w:p>
    <w:p>
      <w:pPr>
        <w:pStyle w:val="1272"/>
        <w:jc w:val="center"/>
        <w:keepLines w:val="0"/>
        <w:keepNext w:val="0"/>
        <w:spacing w:before="0" w:after="0" w:line="400" w:lineRule="exact"/>
        <w:widowControl w:val="off"/>
        <w:rPr>
          <w:rFonts w:ascii="仿宋" w:hAnsi="仿宋" w:eastAsia="仿宋" w:cs="仿宋"/>
          <w:bCs w:val="0"/>
          <w:sz w:val="28"/>
          <w:szCs w:val="28"/>
          <w:highlight w:val="none"/>
        </w:rPr>
      </w:pPr>
      <w:r>
        <w:rPr>
          <w:rStyle w:val="1305"/>
          <w:rFonts w:hint="eastAsia" w:ascii="仿宋" w:hAnsi="仿宋" w:eastAsia="仿宋" w:cs="仿宋"/>
          <w:sz w:val="28"/>
          <w:szCs w:val="21"/>
          <w:highlight w:val="none"/>
        </w:rPr>
        <w:t xml:space="preserve">4、分项价格表</w:t>
      </w:r>
      <w:r/>
    </w:p>
    <w:p>
      <w:pPr>
        <w:pStyle w:val="1281"/>
        <w:jc w:val="center"/>
        <w:spacing w:after="0" w:line="360" w:lineRule="auto"/>
        <w:widowControl w:val="off"/>
        <w:rPr>
          <w:rFonts w:ascii="仿宋" w:hAnsi="仿宋" w:eastAsia="仿宋" w:cs="仿宋"/>
          <w:sz w:val="24"/>
          <w:szCs w:val="24"/>
          <w:highlight w:val="none"/>
        </w:rPr>
      </w:pPr>
      <w:r>
        <w:rPr>
          <w:rFonts w:ascii="仿宋" w:hAnsi="仿宋" w:eastAsia="仿宋" w:cs="仿宋"/>
          <w:sz w:val="24"/>
          <w:szCs w:val="24"/>
          <w:highlight w:val="none"/>
        </w:rPr>
      </w:r>
      <w:r/>
    </w:p>
    <w:p>
      <w:pPr>
        <w:pStyle w:val="1281"/>
        <w:jc w:val="center"/>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（具有已标价的工程量清单和报价表）</w:t>
      </w:r>
      <w:r/>
    </w:p>
    <w:p>
      <w:pPr>
        <w:pStyle w:val="1281"/>
        <w:spacing w:after="0" w:line="360" w:lineRule="auto"/>
        <w:widowControl w:val="off"/>
        <w:rPr>
          <w:rFonts w:ascii="仿宋" w:hAnsi="仿宋" w:eastAsia="仿宋" w:cs="仿宋"/>
          <w:sz w:val="24"/>
          <w:szCs w:val="24"/>
          <w:highlight w:val="none"/>
        </w:rPr>
      </w:pPr>
      <w:r>
        <w:rPr>
          <w:rFonts w:ascii="仿宋" w:hAnsi="仿宋" w:eastAsia="仿宋" w:cs="仿宋"/>
          <w:sz w:val="24"/>
          <w:szCs w:val="24"/>
          <w:highlight w:val="none"/>
        </w:rPr>
      </w:r>
      <w:r/>
    </w:p>
    <w:p>
      <w:pPr>
        <w:pStyle w:val="1281"/>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（本次为首次报价）</w:t>
      </w:r>
      <w:r/>
    </w:p>
    <w:p>
      <w:pPr>
        <w:pStyle w:val="1281"/>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项目名称： 交管支队车管所考试场地整修</w:t>
      </w:r>
      <w:r/>
    </w:p>
    <w:p>
      <w:pPr>
        <w:pStyle w:val="1281"/>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项目编号：</w:t>
      </w:r>
      <w:r>
        <w:rPr>
          <w:rStyle w:val="1305"/>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t xml:space="preserve"> </w:t>
      </w:r>
      <w:r/>
    </w:p>
    <w:p>
      <w:pPr>
        <w:pStyle w:val="1281"/>
        <w:spacing w:line="360" w:lineRule="auto"/>
        <w:widowControl w:val="off"/>
        <w:rPr>
          <w:rFonts w:ascii="仿宋" w:hAnsi="仿宋" w:eastAsia="仿宋" w:cs="仿宋"/>
          <w:highlight w:val="none"/>
        </w:rPr>
      </w:pPr>
      <w:r>
        <w:rPr>
          <w:rFonts w:ascii="仿宋" w:hAnsi="仿宋" w:eastAsia="仿宋" w:cs="仿宋"/>
          <w:highlight w:val="none"/>
        </w:rPr>
      </w:r>
      <w:r/>
    </w:p>
    <w:p>
      <w:pPr>
        <w:pStyle w:val="1086"/>
        <w:ind w:left="0"/>
        <w:jc w:val="center"/>
        <w:widowControl w:val="off"/>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根据工程量清单进行编制</w:t>
      </w:r>
      <w:r/>
    </w:p>
    <w:p>
      <w:pPr>
        <w:pStyle w:val="1088"/>
        <w:ind w:firstLine="400"/>
        <w:widowControl w:val="off"/>
        <w:rPr>
          <w:rFonts w:ascii="仿宋" w:hAnsi="仿宋" w:eastAsia="仿宋" w:cs="仿宋"/>
          <w:color w:val="auto"/>
          <w:highlight w:val="none"/>
        </w:rPr>
      </w:pPr>
      <w:r>
        <w:rPr>
          <w:rFonts w:ascii="仿宋" w:hAnsi="仿宋" w:eastAsia="仿宋" w:cs="仿宋"/>
          <w:color w:val="auto"/>
          <w:highlight w:val="none"/>
        </w:rPr>
      </w:r>
      <w:r/>
    </w:p>
    <w:p>
      <w:pPr>
        <w:pStyle w:val="1263"/>
        <w:widowControl w:val="off"/>
        <w:rPr>
          <w:rFonts w:ascii="仿宋" w:hAnsi="仿宋" w:eastAsia="仿宋" w:cs="仿宋"/>
          <w:highlight w:val="none"/>
        </w:rPr>
      </w:pPr>
      <w:r>
        <w:rPr>
          <w:rFonts w:ascii="仿宋" w:hAnsi="仿宋" w:eastAsia="仿宋" w:cs="仿宋"/>
          <w:highlight w:val="none"/>
        </w:rPr>
      </w:r>
      <w:r/>
    </w:p>
    <w:p>
      <w:pPr>
        <w:pStyle w:val="1088"/>
        <w:ind w:firstLine="400"/>
        <w:widowControl w:val="off"/>
        <w:rPr>
          <w:rFonts w:ascii="仿宋" w:hAnsi="仿宋" w:eastAsia="仿宋" w:cs="仿宋"/>
          <w:color w:val="auto"/>
          <w:highlight w:val="none"/>
        </w:rPr>
      </w:pPr>
      <w:r>
        <w:rPr>
          <w:rFonts w:ascii="仿宋" w:hAnsi="仿宋" w:eastAsia="仿宋" w:cs="仿宋"/>
          <w:color w:val="auto"/>
          <w:highlight w:val="none"/>
        </w:rPr>
      </w:r>
      <w:r/>
    </w:p>
    <w:p>
      <w:pPr>
        <w:pStyle w:val="1267"/>
        <w:ind w:left="0" w:right="0" w:firstLine="560"/>
        <w:widowControl w:val="off"/>
        <w:rPr>
          <w:rFonts w:ascii="仿宋" w:hAnsi="仿宋" w:eastAsia="仿宋" w:cs="仿宋"/>
          <w:highlight w:val="none"/>
        </w:rPr>
      </w:pPr>
      <w:r>
        <w:rPr>
          <w:rFonts w:ascii="仿宋" w:hAnsi="仿宋" w:eastAsia="仿宋" w:cs="仿宋"/>
          <w:highlight w:val="none"/>
        </w:rPr>
      </w:r>
      <w:r/>
    </w:p>
    <w:p>
      <w:pPr>
        <w:pStyle w:val="1281"/>
        <w:spacing w:line="360" w:lineRule="auto"/>
        <w:widowControl w:val="off"/>
        <w:rPr>
          <w:rFonts w:ascii="仿宋" w:hAnsi="仿宋" w:eastAsia="仿宋" w:cs="仿宋"/>
          <w:highlight w:val="none"/>
        </w:rPr>
      </w:pPr>
      <w:r>
        <w:rPr>
          <w:rFonts w:hint="eastAsia" w:ascii="仿宋" w:hAnsi="仿宋" w:eastAsia="仿宋" w:cs="仿宋"/>
          <w:highlight w:val="none"/>
        </w:rPr>
        <w:t xml:space="preserve">                           </w:t>
      </w:r>
      <w:r/>
    </w:p>
    <w:p>
      <w:pPr>
        <w:pStyle w:val="1263"/>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szCs w:val="21"/>
          <w:highlight w:val="none"/>
        </w:rPr>
        <w:t xml:space="preserve">供应商</w:t>
      </w:r>
      <w:r>
        <w:rPr>
          <w:rFonts w:hint="eastAsia" w:ascii="仿宋" w:hAnsi="仿宋" w:eastAsia="仿宋" w:cs="仿宋"/>
          <w:sz w:val="24"/>
          <w:highlight w:val="none"/>
        </w:rPr>
        <w:t xml:space="preserve">（</w:t>
      </w:r>
      <w:r>
        <w:rPr>
          <w:rStyle w:val="1305"/>
          <w:rFonts w:hint="eastAsia" w:ascii="仿宋" w:hAnsi="仿宋" w:eastAsia="仿宋" w:cs="仿宋"/>
          <w:sz w:val="24"/>
          <w:szCs w:val="24"/>
          <w:highlight w:val="none"/>
        </w:rPr>
        <w:t xml:space="preserve">电子签章</w:t>
      </w:r>
      <w:r>
        <w:rPr>
          <w:rFonts w:hint="eastAsia" w:ascii="仿宋" w:hAnsi="仿宋" w:eastAsia="仿宋" w:cs="仿宋"/>
          <w:sz w:val="24"/>
          <w:highlight w:val="none"/>
        </w:rPr>
        <w:t xml:space="preserve">）</w:t>
      </w:r>
      <w:r>
        <w:rPr>
          <w:rStyle w:val="1305"/>
          <w:rFonts w:hint="eastAsia" w:ascii="仿宋" w:hAnsi="仿宋" w:eastAsia="仿宋" w:cs="仿宋"/>
          <w:sz w:val="24"/>
          <w:szCs w:val="21"/>
          <w:highlight w:val="none"/>
        </w:rPr>
        <w:t xml:space="preserve">：</w:t>
      </w:r>
      <w:r/>
    </w:p>
    <w:p>
      <w:pPr>
        <w:pStyle w:val="1263"/>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szCs w:val="21"/>
          <w:highlight w:val="none"/>
        </w:rPr>
        <w:t xml:space="preserve">法定代表人或授权代表（签字或盖章）：  </w:t>
      </w:r>
      <w:r/>
    </w:p>
    <w:p>
      <w:pPr>
        <w:pStyle w:val="1263"/>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szCs w:val="21"/>
          <w:highlight w:val="none"/>
        </w:rPr>
        <w:t xml:space="preserve">日期：</w:t>
      </w:r>
      <w:r/>
    </w:p>
    <w:p>
      <w:pPr>
        <w:pStyle w:val="1281"/>
        <w:spacing w:line="360" w:lineRule="auto"/>
        <w:widowControl w:val="off"/>
        <w:rPr>
          <w:rFonts w:ascii="仿宋" w:hAnsi="仿宋" w:eastAsia="仿宋" w:cs="仿宋"/>
          <w:highlight w:val="none"/>
        </w:rPr>
      </w:pPr>
      <w:r>
        <w:rPr>
          <w:rFonts w:ascii="仿宋" w:hAnsi="仿宋" w:eastAsia="仿宋" w:cs="仿宋"/>
          <w:highlight w:val="none"/>
        </w:rPr>
      </w:r>
      <w:r/>
    </w:p>
    <w:p>
      <w:pPr>
        <w:pStyle w:val="1281"/>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注：</w:t>
      </w:r>
      <w:r/>
    </w:p>
    <w:p>
      <w:pPr>
        <w:pStyle w:val="1281"/>
        <w:ind w:firstLine="480"/>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1．如果不提供详细分项报价将视为没有实质性响应磋商文件。</w:t>
      </w:r>
      <w:r/>
    </w:p>
    <w:p>
      <w:pPr>
        <w:pStyle w:val="1281"/>
        <w:ind w:firstLine="480"/>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2．供应商对以上数据的真实性负责。</w:t>
      </w:r>
      <w:r/>
    </w:p>
    <w:p>
      <w:pPr>
        <w:pStyle w:val="1281"/>
        <w:ind w:firstLine="480"/>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 </w:t>
      </w:r>
      <w:r>
        <w:rPr>
          <w:rFonts w:hint="eastAsia" w:ascii="仿宋" w:hAnsi="仿宋" w:eastAsia="仿宋" w:cs="仿宋"/>
          <w:sz w:val="24"/>
          <w:highlight w:val="none"/>
        </w:rPr>
        <w:t xml:space="preserve">如果按单价计算的结果与总价不一致，以总价为准。</w:t>
      </w:r>
      <w:r/>
    </w:p>
    <w:p>
      <w:pPr>
        <w:pStyle w:val="1281"/>
        <w:ind w:firstLine="480"/>
        <w:spacing w:after="0" w:line="360" w:lineRule="auto"/>
        <w:widowControl w:val="off"/>
        <w:rPr>
          <w:rFonts w:ascii="仿宋" w:hAnsi="仿宋" w:eastAsia="仿宋" w:cs="仿宋"/>
          <w:b/>
          <w:i/>
          <w:sz w:val="24"/>
          <w:szCs w:val="24"/>
          <w:highlight w:val="none"/>
          <w:u w:val="single"/>
        </w:rPr>
      </w:pPr>
      <w:r>
        <w:rPr>
          <w:rFonts w:hint="eastAsia" w:ascii="仿宋" w:hAnsi="仿宋" w:eastAsia="仿宋" w:cs="仿宋"/>
          <w:b/>
          <w:i/>
          <w:sz w:val="24"/>
          <w:szCs w:val="24"/>
          <w:highlight w:val="none"/>
          <w:u w:val="single"/>
        </w:rPr>
        <w:t xml:space="preserve">采购人或采购代理机构有权将以上内容进行公示。</w:t>
      </w:r>
      <w:r/>
    </w:p>
    <w:p>
      <w:pPr>
        <w:pStyle w:val="1263"/>
        <w:jc w:val="center"/>
        <w:rPr>
          <w:rFonts w:ascii="仿宋" w:hAnsi="仿宋" w:eastAsia="仿宋" w:cs="仿宋"/>
          <w:sz w:val="24"/>
          <w:szCs w:val="24"/>
          <w:highlight w:val="none"/>
        </w:rPr>
      </w:pPr>
      <w:r>
        <w:rPr>
          <w:rStyle w:val="1305"/>
          <w:rFonts w:hint="eastAsia" w:ascii="仿宋" w:hAnsi="仿宋" w:eastAsia="仿宋" w:cs="仿宋"/>
          <w:sz w:val="28"/>
          <w:highlight w:val="none"/>
        </w:rPr>
        <w:br w:type="page" w:clear="all"/>
      </w:r>
      <w:r>
        <w:rPr>
          <w:rFonts w:hint="eastAsia" w:ascii="仿宋" w:hAnsi="仿宋" w:eastAsia="仿宋" w:cs="仿宋"/>
          <w:b/>
          <w:bCs/>
          <w:sz w:val="36"/>
          <w:highlight w:val="none"/>
        </w:rPr>
        <w:t xml:space="preserve">5、主要材料（设备）一览表</w:t>
      </w:r>
      <w:r/>
    </w:p>
    <w:p>
      <w:pPr>
        <w:jc w:val="left"/>
        <w:spacing w:line="0" w:lineRule="atLeast"/>
        <w:rPr>
          <w:rFonts w:ascii="仿宋" w:hAnsi="仿宋" w:eastAsia="仿宋" w:cs="仿宋"/>
          <w:sz w:val="24"/>
          <w:szCs w:val="24"/>
          <w:highlight w:val="none"/>
        </w:rPr>
      </w:pPr>
      <w:r>
        <w:rPr>
          <w:rFonts w:hint="eastAsia" w:ascii="仿宋" w:hAnsi="仿宋" w:eastAsia="仿宋" w:cs="仿宋"/>
          <w:sz w:val="24"/>
          <w:szCs w:val="24"/>
          <w:highlight w:val="none"/>
        </w:rPr>
        <w:t xml:space="preserve">项目编号：</w:t>
      </w:r>
      <w:r>
        <w:rPr>
          <w:rStyle w:val="1305"/>
          <w:rFonts w:hint="eastAsia" w:ascii="仿宋" w:hAnsi="仿宋" w:eastAsia="仿宋" w:cs="仿宋"/>
          <w:sz w:val="24"/>
          <w:szCs w:val="24"/>
          <w:highlight w:val="none"/>
        </w:rPr>
        <w:t xml:space="preserve"> </w:t>
      </w:r>
      <w:r/>
    </w:p>
    <w:tbl>
      <w:tblPr>
        <w:tblStyle w:val="1051"/>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材料（设备）  名称</w:t>
            </w:r>
            <w:r/>
          </w:p>
        </w:tc>
        <w:tc>
          <w:tcPr>
            <w:tcMar>
              <w:left w:w="15" w:type="dxa"/>
              <w:top w:w="15" w:type="dxa"/>
              <w:right w:w="15" w:type="dxa"/>
              <w:bottom w:w="0" w:type="dxa"/>
            </w:tcMar>
            <w:tcW w:w="927"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规格、 型号</w:t>
            </w:r>
            <w:r/>
          </w:p>
        </w:tc>
        <w:tc>
          <w:tcPr>
            <w:tcMar>
              <w:left w:w="15" w:type="dxa"/>
              <w:top w:w="15" w:type="dxa"/>
              <w:right w:w="15" w:type="dxa"/>
              <w:bottom w:w="0" w:type="dxa"/>
            </w:tcMar>
            <w:tcW w:w="1891"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jc w:val="cente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27"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91"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jc w:val="cente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27"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91"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jc w:val="cente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27"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91"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jc w:val="cente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27"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91"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jc w:val="cente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27"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91"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jc w:val="cente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27"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91"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r>
    </w:tbl>
    <w:p>
      <w:pPr>
        <w:jc w:val="left"/>
        <w:spacing w:line="0" w:lineRule="atLeast"/>
        <w:rPr>
          <w:rFonts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Style w:val="1305"/>
          <w:rFonts w:hint="eastAsia" w:ascii="仿宋" w:hAnsi="仿宋" w:eastAsia="仿宋" w:cs="仿宋"/>
          <w:sz w:val="24"/>
          <w:highlight w:val="none"/>
        </w:rPr>
        <w:t xml:space="preserve">交管支队车管所考试场地整修</w:t>
      </w:r>
      <w:r/>
    </w:p>
    <w:p>
      <w:pPr>
        <w:rPr>
          <w:rFonts w:ascii="仿宋" w:hAnsi="仿宋" w:eastAsia="仿宋" w:cs="仿宋"/>
          <w:sz w:val="24"/>
          <w:szCs w:val="24"/>
          <w:highlight w:val="none"/>
        </w:rPr>
      </w:pPr>
      <w:r>
        <w:rPr>
          <w:rFonts w:ascii="仿宋" w:hAnsi="仿宋" w:eastAsia="仿宋" w:cs="仿宋"/>
          <w:sz w:val="24"/>
          <w:szCs w:val="24"/>
          <w:highlight w:val="none"/>
        </w:rPr>
      </w:r>
      <w:r/>
    </w:p>
    <w:p>
      <w:pPr>
        <w:rPr>
          <w:rFonts w:ascii="仿宋" w:hAnsi="仿宋" w:eastAsia="仿宋" w:cs="仿宋"/>
          <w:sz w:val="24"/>
          <w:szCs w:val="24"/>
          <w:highlight w:val="none"/>
        </w:rPr>
      </w:pPr>
      <w:r>
        <w:rPr>
          <w:rFonts w:ascii="仿宋" w:hAnsi="仿宋" w:eastAsia="仿宋" w:cs="仿宋"/>
          <w:sz w:val="24"/>
          <w:szCs w:val="24"/>
          <w:highlight w:val="none"/>
        </w:rPr>
      </w:r>
      <w:r/>
    </w:p>
    <w:p>
      <w:pPr>
        <w:spacing w:line="520" w:lineRule="exact"/>
        <w:rPr>
          <w:rFonts w:ascii="仿宋" w:hAnsi="仿宋" w:eastAsia="仿宋" w:cs="仿宋"/>
          <w:sz w:val="24"/>
          <w:szCs w:val="24"/>
          <w:highlight w:val="none"/>
        </w:rPr>
      </w:pPr>
      <w:r>
        <w:rPr>
          <w:rFonts w:ascii="仿宋" w:hAnsi="仿宋" w:eastAsia="仿宋" w:cs="仿宋"/>
          <w:sz w:val="24"/>
          <w:szCs w:val="24"/>
          <w:highlight w:val="none"/>
        </w:rPr>
      </w:r>
      <w:r/>
    </w:p>
    <w:p>
      <w:pPr>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供应商（</w:t>
      </w:r>
      <w:r>
        <w:rPr>
          <w:rFonts w:hint="eastAsia" w:ascii="仿宋" w:hAnsi="仿宋" w:eastAsia="仿宋" w:cs="仿宋"/>
          <w:sz w:val="24"/>
          <w:highlight w:val="none"/>
        </w:rPr>
        <w:t xml:space="preserve">电子签章</w:t>
      </w:r>
      <w:r>
        <w:rPr>
          <w:rFonts w:hint="eastAsia" w:ascii="仿宋" w:hAnsi="仿宋" w:eastAsia="仿宋" w:cs="仿宋"/>
          <w:sz w:val="24"/>
          <w:szCs w:val="24"/>
          <w:highlight w:val="none"/>
        </w:rPr>
        <w:t xml:space="preserve">）：</w:t>
      </w:r>
      <w:r/>
    </w:p>
    <w:p>
      <w:pPr>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法定代表人(负责人)或授权代表（签字或盖章）：  </w:t>
      </w:r>
      <w:r/>
    </w:p>
    <w:p>
      <w:pPr>
        <w:spacing w:line="52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日期： 年  月  日</w:t>
      </w:r>
      <w:r/>
    </w:p>
    <w:p>
      <w:pPr>
        <w:spacing w:line="520" w:lineRule="exact"/>
        <w:rPr>
          <w:rFonts w:ascii="仿宋" w:hAnsi="仿宋" w:eastAsia="仿宋" w:cs="仿宋"/>
          <w:sz w:val="30"/>
          <w:szCs w:val="30"/>
          <w:highlight w:val="none"/>
        </w:rPr>
      </w:pPr>
      <w:r>
        <w:rPr>
          <w:rFonts w:ascii="仿宋" w:hAnsi="仿宋" w:eastAsia="仿宋" w:cs="仿宋"/>
          <w:sz w:val="30"/>
          <w:szCs w:val="30"/>
          <w:highlight w:val="none"/>
        </w:rPr>
      </w:r>
      <w:r/>
    </w:p>
    <w:p>
      <w:pPr>
        <w:spacing w:line="52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注：1、如果不提供《主要材料（设备）一览表》将视为没有实质性响应。</w:t>
      </w:r>
      <w:r/>
    </w:p>
    <w:p>
      <w:pPr>
        <w:ind w:firstLine="480"/>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2、响应供应商对以上数据的真实性负责。</w:t>
      </w:r>
      <w:r/>
    </w:p>
    <w:p>
      <w:pPr>
        <w:widowControl w:val="off"/>
        <w:rPr>
          <w:rFonts w:ascii="仿宋" w:hAnsi="仿宋" w:eastAsia="仿宋" w:cs="仿宋"/>
          <w:b/>
          <w:bCs/>
          <w:sz w:val="24"/>
          <w:szCs w:val="24"/>
          <w:highlight w:val="none"/>
        </w:rPr>
      </w:pPr>
      <w:r>
        <w:rPr>
          <w:rFonts w:ascii="仿宋" w:hAnsi="仿宋" w:eastAsia="仿宋" w:cs="仿宋"/>
          <w:b/>
          <w:bCs/>
          <w:sz w:val="24"/>
          <w:szCs w:val="24"/>
          <w:highlight w:val="none"/>
        </w:rPr>
      </w:r>
      <w:r/>
    </w:p>
    <w:p>
      <w:pPr>
        <w:widowControl w:val="off"/>
        <w:rPr>
          <w:rFonts w:ascii="仿宋" w:hAnsi="仿宋" w:eastAsia="仿宋" w:cs="仿宋"/>
          <w:b/>
          <w:bCs/>
          <w:sz w:val="24"/>
          <w:szCs w:val="24"/>
          <w:highlight w:val="none"/>
        </w:rPr>
      </w:pPr>
      <w:r>
        <w:rPr>
          <w:rFonts w:ascii="仿宋" w:hAnsi="仿宋" w:eastAsia="仿宋" w:cs="仿宋"/>
          <w:b/>
          <w:bCs/>
          <w:sz w:val="24"/>
          <w:szCs w:val="24"/>
          <w:highlight w:val="none"/>
        </w:rPr>
      </w:r>
      <w:r/>
    </w:p>
    <w:p>
      <w:pPr>
        <w:widowControl w:val="off"/>
        <w:rPr>
          <w:rFonts w:ascii="仿宋" w:hAnsi="仿宋" w:eastAsia="仿宋" w:cs="仿宋"/>
          <w:b/>
          <w:bCs/>
          <w:sz w:val="24"/>
          <w:szCs w:val="24"/>
          <w:highlight w:val="none"/>
        </w:rPr>
      </w:pPr>
      <w:r>
        <w:rPr>
          <w:rFonts w:ascii="仿宋" w:hAnsi="仿宋" w:eastAsia="仿宋" w:cs="仿宋"/>
          <w:b/>
          <w:bCs/>
          <w:sz w:val="24"/>
          <w:szCs w:val="24"/>
          <w:highlight w:val="none"/>
        </w:rPr>
      </w:r>
      <w:r/>
    </w:p>
    <w:p>
      <w:pPr>
        <w:jc w:val="center"/>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u w:val="single"/>
        </w:rPr>
        <w:t xml:space="preserve">采购人或采购代理机构有权将以上内容进行公示</w:t>
      </w:r>
      <w:r>
        <w:rPr>
          <w:rFonts w:hint="eastAsia" w:ascii="仿宋" w:hAnsi="仿宋" w:eastAsia="仿宋" w:cs="仿宋"/>
          <w:b/>
          <w:bCs/>
          <w:sz w:val="24"/>
          <w:szCs w:val="24"/>
          <w:highlight w:val="none"/>
        </w:rPr>
        <w:t xml:space="preserve">。</w:t>
      </w:r>
      <w:r/>
    </w:p>
    <w:p>
      <w:pPr>
        <w:ind w:left="420" w:right="33"/>
        <w:jc w:val="left"/>
        <w:widowControl w:val="off"/>
        <w:rPr>
          <w:rFonts w:ascii="仿宋" w:hAnsi="仿宋" w:eastAsia="仿宋" w:cs="仿宋"/>
          <w:b/>
          <w:bCs/>
          <w:sz w:val="24"/>
          <w:szCs w:val="24"/>
          <w:highlight w:val="none"/>
        </w:rPr>
      </w:pPr>
      <w:r>
        <w:rPr>
          <w:rFonts w:ascii="仿宋" w:hAnsi="仿宋" w:eastAsia="仿宋" w:cs="仿宋"/>
          <w:b/>
          <w:bCs/>
          <w:sz w:val="24"/>
          <w:szCs w:val="24"/>
          <w:highlight w:val="none"/>
        </w:rPr>
      </w:r>
      <w:r/>
    </w:p>
    <w:p>
      <w:pPr>
        <w:rPr>
          <w:rStyle w:val="1305"/>
          <w:rFonts w:ascii="仿宋" w:hAnsi="仿宋" w:eastAsia="仿宋" w:cs="仿宋"/>
          <w:sz w:val="28"/>
          <w:highlight w:val="none"/>
        </w:rPr>
      </w:pPr>
      <w:r>
        <w:rPr>
          <w:rStyle w:val="1305"/>
          <w:rFonts w:hint="eastAsia" w:ascii="仿宋" w:hAnsi="仿宋" w:eastAsia="仿宋" w:cs="仿宋"/>
          <w:sz w:val="28"/>
          <w:highlight w:val="none"/>
        </w:rPr>
        <w:br w:type="page" w:clear="all"/>
      </w:r>
      <w:r/>
    </w:p>
    <w:p>
      <w:pPr>
        <w:pStyle w:val="1263"/>
        <w:jc w:val="center"/>
        <w:spacing w:line="360" w:lineRule="auto"/>
        <w:widowControl w:val="off"/>
        <w:rPr>
          <w:rStyle w:val="1305"/>
          <w:rFonts w:ascii="仿宋" w:hAnsi="仿宋" w:eastAsia="仿宋" w:cs="仿宋"/>
          <w:sz w:val="24"/>
          <w:highlight w:val="none"/>
        </w:rPr>
        <w:outlineLvl w:val="1"/>
      </w:pPr>
      <w:r>
        <w:rPr>
          <w:rStyle w:val="1305"/>
          <w:rFonts w:hint="eastAsia" w:ascii="仿宋" w:hAnsi="仿宋" w:eastAsia="仿宋" w:cs="仿宋"/>
          <w:b/>
          <w:bCs/>
          <w:sz w:val="28"/>
          <w:szCs w:val="32"/>
          <w:highlight w:val="none"/>
        </w:rPr>
        <w:t xml:space="preserve">6、偏离表</w:t>
      </w:r>
      <w:r/>
    </w:p>
    <w:p>
      <w:pPr>
        <w:pStyle w:val="1263"/>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   项目名称：交管支队车管所考试场地整修</w:t>
      </w:r>
      <w:r/>
    </w:p>
    <w:p>
      <w:pPr>
        <w:pStyle w:val="1263"/>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   项目编号：</w:t>
      </w:r>
      <w:r>
        <w:rPr>
          <w:rStyle w:val="1305"/>
          <w:rFonts w:hint="eastAsia" w:ascii="仿宋" w:hAnsi="仿宋" w:eastAsia="仿宋" w:cs="仿宋"/>
          <w:sz w:val="24"/>
          <w:szCs w:val="24"/>
          <w:highlight w:val="none"/>
        </w:rPr>
        <w:t xml:space="preserve"> </w:t>
      </w:r>
      <w:r>
        <w:rPr>
          <w:rStyle w:val="1305"/>
          <w:rFonts w:hint="eastAsia" w:ascii="仿宋" w:hAnsi="仿宋" w:eastAsia="仿宋" w:cs="仿宋"/>
          <w:sz w:val="24"/>
          <w:highlight w:val="none"/>
        </w:rPr>
        <w:t xml:space="preserve"> </w:t>
      </w:r>
      <w:r/>
    </w:p>
    <w:tbl>
      <w:tblPr>
        <w:tblStyle w:val="1051"/>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263"/>
              <w:jc w:val="center"/>
              <w:spacing w:line="400" w:lineRule="exact"/>
              <w:widowControl w:val="off"/>
              <w:rPr>
                <w:rStyle w:val="1305"/>
                <w:rFonts w:ascii="仿宋" w:hAnsi="仿宋" w:eastAsia="仿宋" w:cs="仿宋"/>
                <w:caps/>
                <w:sz w:val="24"/>
                <w:highlight w:val="none"/>
              </w:rPr>
            </w:pPr>
            <w:r>
              <w:rPr>
                <w:rStyle w:val="1305"/>
                <w:rFonts w:hint="eastAsia" w:ascii="仿宋" w:hAnsi="仿宋" w:eastAsia="仿宋" w:cs="仿宋"/>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263"/>
              <w:jc w:val="center"/>
              <w:spacing w:line="400" w:lineRule="exact"/>
              <w:widowControl w:val="off"/>
              <w:rPr>
                <w:rStyle w:val="1305"/>
                <w:rFonts w:ascii="仿宋" w:hAnsi="仿宋" w:eastAsia="仿宋" w:cs="仿宋"/>
                <w:caps/>
                <w:sz w:val="24"/>
                <w:highlight w:val="none"/>
              </w:rPr>
            </w:pPr>
            <w:r>
              <w:rPr>
                <w:rStyle w:val="1305"/>
                <w:rFonts w:hint="eastAsia" w:ascii="仿宋" w:hAnsi="仿宋" w:eastAsia="仿宋" w:cs="仿宋"/>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263"/>
              <w:jc w:val="center"/>
              <w:spacing w:line="400" w:lineRule="exact"/>
              <w:widowControl w:val="off"/>
              <w:rPr>
                <w:rStyle w:val="1305"/>
                <w:rFonts w:ascii="仿宋" w:hAnsi="仿宋" w:eastAsia="仿宋" w:cs="仿宋"/>
                <w:caps/>
                <w:sz w:val="24"/>
                <w:highlight w:val="none"/>
              </w:rPr>
            </w:pPr>
            <w:r>
              <w:rPr>
                <w:rStyle w:val="1305"/>
                <w:rFonts w:hint="eastAsia" w:ascii="仿宋" w:hAnsi="仿宋" w:eastAsia="仿宋" w:cs="仿宋"/>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263"/>
              <w:jc w:val="center"/>
              <w:spacing w:line="400" w:lineRule="exact"/>
              <w:widowControl w:val="off"/>
              <w:rPr>
                <w:rStyle w:val="1305"/>
                <w:rFonts w:ascii="仿宋" w:hAnsi="仿宋" w:eastAsia="仿宋" w:cs="仿宋"/>
                <w:caps/>
                <w:sz w:val="24"/>
                <w:highlight w:val="none"/>
              </w:rPr>
            </w:pPr>
            <w:r>
              <w:rPr>
                <w:rStyle w:val="1305"/>
                <w:rFonts w:hint="eastAsia" w:ascii="仿宋" w:hAnsi="仿宋" w:eastAsia="仿宋" w:cs="仿宋"/>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263"/>
              <w:jc w:val="left"/>
              <w:spacing w:line="400" w:lineRule="exact"/>
              <w:widowControl w:val="off"/>
              <w:rPr>
                <w:rStyle w:val="1305"/>
                <w:rFonts w:ascii="仿宋" w:hAnsi="仿宋" w:eastAsia="仿宋" w:cs="仿宋"/>
                <w:caps/>
                <w:sz w:val="24"/>
                <w:highlight w:val="none"/>
              </w:rPr>
            </w:pPr>
            <w:r>
              <w:rPr>
                <w:rStyle w:val="1305"/>
                <w:rFonts w:hint="eastAsia" w:ascii="仿宋" w:hAnsi="仿宋" w:eastAsia="仿宋" w:cs="仿宋"/>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263"/>
              <w:jc w:val="center"/>
              <w:spacing w:line="400" w:lineRule="exact"/>
              <w:widowControl w:val="off"/>
              <w:rPr>
                <w:rStyle w:val="1305"/>
                <w:rFonts w:ascii="仿宋" w:hAnsi="仿宋" w:eastAsia="仿宋" w:cs="仿宋"/>
                <w:caps/>
                <w:sz w:val="24"/>
                <w:highlight w:val="none"/>
              </w:rPr>
            </w:pPr>
            <w:r>
              <w:rPr>
                <w:rStyle w:val="1305"/>
                <w:rFonts w:hint="eastAsia" w:ascii="仿宋" w:hAnsi="仿宋" w:eastAsia="仿宋" w:cs="仿宋"/>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263"/>
              <w:jc w:val="center"/>
              <w:spacing w:line="400" w:lineRule="exact"/>
              <w:widowControl w:val="off"/>
              <w:rPr>
                <w:rStyle w:val="1305"/>
                <w:rFonts w:ascii="仿宋" w:hAnsi="仿宋" w:eastAsia="仿宋" w:cs="仿宋"/>
                <w:caps/>
                <w:sz w:val="24"/>
                <w:highlight w:val="none"/>
              </w:rPr>
            </w:pPr>
            <w:r>
              <w:rPr>
                <w:rFonts w:ascii="仿宋" w:hAnsi="仿宋" w:eastAsia="仿宋" w:cs="仿宋"/>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263"/>
              <w:jc w:val="center"/>
              <w:spacing w:line="400" w:lineRule="exact"/>
              <w:widowControl w:val="off"/>
              <w:rPr>
                <w:rStyle w:val="1305"/>
                <w:rFonts w:ascii="仿宋" w:hAnsi="仿宋" w:eastAsia="仿宋" w:cs="仿宋"/>
                <w:caps/>
                <w:sz w:val="24"/>
                <w:highlight w:val="none"/>
              </w:rPr>
            </w:pPr>
            <w:r>
              <w:rPr>
                <w:rFonts w:ascii="仿宋" w:hAnsi="仿宋" w:eastAsia="仿宋" w:cs="仿宋"/>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263"/>
              <w:jc w:val="center"/>
              <w:spacing w:line="400" w:lineRule="exact"/>
              <w:widowControl w:val="off"/>
              <w:rPr>
                <w:rStyle w:val="1305"/>
                <w:rFonts w:ascii="仿宋" w:hAnsi="仿宋" w:eastAsia="仿宋" w:cs="仿宋"/>
                <w:caps/>
                <w:sz w:val="24"/>
                <w:highlight w:val="none"/>
              </w:rPr>
            </w:pPr>
            <w:r>
              <w:rPr>
                <w:rFonts w:ascii="仿宋" w:hAnsi="仿宋" w:eastAsia="仿宋" w:cs="仿宋"/>
                <w:caps/>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263"/>
              <w:jc w:val="center"/>
              <w:spacing w:line="400" w:lineRule="exact"/>
              <w:widowControl w:val="off"/>
              <w:rPr>
                <w:rStyle w:val="1305"/>
                <w:rFonts w:ascii="仿宋" w:hAnsi="仿宋" w:eastAsia="仿宋" w:cs="仿宋"/>
                <w:caps/>
                <w:sz w:val="24"/>
                <w:highlight w:val="none"/>
              </w:rPr>
            </w:pPr>
            <w:r>
              <w:rPr>
                <w:rFonts w:ascii="仿宋" w:hAnsi="仿宋" w:eastAsia="仿宋" w:cs="仿宋"/>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263"/>
              <w:jc w:val="center"/>
              <w:spacing w:line="400" w:lineRule="exact"/>
              <w:widowControl w:val="off"/>
              <w:rPr>
                <w:rStyle w:val="1305"/>
                <w:rFonts w:ascii="仿宋" w:hAnsi="仿宋" w:eastAsia="仿宋" w:cs="仿宋"/>
                <w:caps/>
                <w:sz w:val="24"/>
                <w:highlight w:val="none"/>
              </w:rPr>
            </w:pPr>
            <w:r>
              <w:rPr>
                <w:rFonts w:ascii="仿宋" w:hAnsi="仿宋" w:eastAsia="仿宋" w:cs="仿宋"/>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263"/>
              <w:jc w:val="center"/>
              <w:spacing w:line="400" w:lineRule="exact"/>
              <w:widowControl w:val="off"/>
              <w:rPr>
                <w:rStyle w:val="1305"/>
                <w:rFonts w:ascii="仿宋" w:hAnsi="仿宋" w:eastAsia="仿宋" w:cs="仿宋"/>
                <w:caps/>
                <w:sz w:val="24"/>
                <w:highlight w:val="none"/>
              </w:rPr>
            </w:pPr>
            <w:r>
              <w:rPr>
                <w:rFonts w:ascii="仿宋" w:hAnsi="仿宋" w:eastAsia="仿宋" w:cs="仿宋"/>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tc>
      </w:tr>
    </w:tbl>
    <w:p>
      <w:pPr>
        <w:pStyle w:val="1263"/>
        <w:jc w:val="left"/>
        <w:spacing w:line="400" w:lineRule="exact"/>
        <w:widowControl w:val="off"/>
        <w:rPr>
          <w:rStyle w:val="1305"/>
          <w:rFonts w:ascii="仿宋" w:hAnsi="仿宋" w:eastAsia="仿宋" w:cs="仿宋"/>
          <w:sz w:val="24"/>
          <w:highlight w:val="none"/>
          <w:u w:val="single"/>
        </w:rPr>
      </w:pPr>
      <w:r>
        <w:rPr>
          <w:rStyle w:val="1305"/>
          <w:rFonts w:hint="eastAsia" w:ascii="仿宋" w:hAnsi="仿宋" w:eastAsia="仿宋" w:cs="仿宋"/>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263"/>
        <w:jc w:val="left"/>
        <w:spacing w:line="400" w:lineRule="exact"/>
        <w:widowControl w:val="off"/>
        <w:rPr>
          <w:rStyle w:val="1305"/>
          <w:rFonts w:ascii="仿宋" w:hAnsi="仿宋" w:eastAsia="仿宋" w:cs="仿宋"/>
          <w:sz w:val="24"/>
          <w:highlight w:val="none"/>
        </w:rPr>
      </w:pPr>
      <w:r>
        <w:rPr>
          <w:rFonts w:ascii="仿宋" w:hAnsi="仿宋" w:eastAsia="仿宋" w:cs="仿宋"/>
          <w:sz w:val="24"/>
          <w:highlight w:val="none"/>
        </w:rPr>
      </w:r>
      <w:r/>
    </w:p>
    <w:p>
      <w:pPr>
        <w:pStyle w:val="1263"/>
        <w:ind w:firstLine="3960"/>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供应商（</w:t>
      </w:r>
      <w:r>
        <w:rPr>
          <w:rStyle w:val="1305"/>
          <w:rFonts w:hint="eastAsia" w:ascii="仿宋" w:hAnsi="仿宋" w:eastAsia="仿宋" w:cs="仿宋"/>
          <w:sz w:val="24"/>
          <w:szCs w:val="24"/>
          <w:highlight w:val="none"/>
        </w:rPr>
        <w:t xml:space="preserve">电子签章</w:t>
      </w:r>
      <w:r>
        <w:rPr>
          <w:rStyle w:val="1305"/>
          <w:rFonts w:hint="eastAsia" w:ascii="仿宋" w:hAnsi="仿宋" w:eastAsia="仿宋" w:cs="仿宋"/>
          <w:sz w:val="24"/>
          <w:highlight w:val="none"/>
        </w:rPr>
        <w:t xml:space="preserve">）：</w:t>
      </w:r>
      <w:r/>
    </w:p>
    <w:p>
      <w:pPr>
        <w:pStyle w:val="1263"/>
        <w:ind w:firstLine="3960"/>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法定代表人或授权代表（签字或盖章）：  </w:t>
      </w:r>
      <w:r/>
    </w:p>
    <w:p>
      <w:pPr>
        <w:pStyle w:val="1263"/>
        <w:ind w:firstLine="3960"/>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日期：</w:t>
      </w:r>
      <w:r/>
    </w:p>
    <w:p>
      <w:pPr>
        <w:rPr>
          <w:rStyle w:val="1305"/>
          <w:rFonts w:ascii="仿宋" w:hAnsi="仿宋" w:eastAsia="仿宋" w:cs="仿宋"/>
          <w:sz w:val="24"/>
          <w:highlight w:val="none"/>
        </w:rPr>
      </w:pPr>
      <w:r>
        <w:rPr>
          <w:rStyle w:val="1305"/>
          <w:rFonts w:hint="eastAsia" w:ascii="仿宋" w:hAnsi="仿宋" w:eastAsia="仿宋" w:cs="仿宋"/>
          <w:sz w:val="24"/>
          <w:highlight w:val="none"/>
        </w:rPr>
        <w:br w:type="page" w:clear="all"/>
      </w:r>
      <w:r/>
    </w:p>
    <w:p>
      <w:pPr>
        <w:pStyle w:val="1263"/>
        <w:ind w:firstLine="643"/>
        <w:jc w:val="center"/>
        <w:spacing w:line="360" w:lineRule="auto"/>
        <w:widowControl w:val="off"/>
        <w:rPr>
          <w:rStyle w:val="1305"/>
          <w:rFonts w:ascii="仿宋" w:hAnsi="仿宋" w:eastAsia="仿宋" w:cs="仿宋"/>
          <w:sz w:val="28"/>
          <w:highlight w:val="none"/>
        </w:rPr>
        <w:outlineLvl w:val="0"/>
      </w:pPr>
      <w:r>
        <w:rPr>
          <w:rStyle w:val="1305"/>
          <w:rFonts w:hint="eastAsia" w:ascii="仿宋" w:hAnsi="仿宋" w:eastAsia="仿宋" w:cs="仿宋"/>
          <w:b/>
          <w:bCs/>
          <w:sz w:val="28"/>
          <w:szCs w:val="21"/>
          <w:highlight w:val="none"/>
        </w:rPr>
        <w:t xml:space="preserve">7、拟签订的合同文本</w:t>
      </w:r>
      <w:r/>
    </w:p>
    <w:p>
      <w:pPr>
        <w:ind w:left="1200" w:hanging="1200"/>
        <w:jc w:val="left"/>
        <w:spacing w:line="360" w:lineRule="auto"/>
        <w:rPr>
          <w:rFonts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项目名称：</w:t>
      </w:r>
      <w:r>
        <w:rPr>
          <w:rStyle w:val="1305"/>
          <w:rFonts w:hint="eastAsia" w:ascii="仿宋" w:hAnsi="仿宋" w:eastAsia="仿宋" w:cs="仿宋"/>
          <w:sz w:val="24"/>
          <w:highlight w:val="none"/>
        </w:rPr>
        <w:t xml:space="preserve">交管支队车管所考试场地整修</w:t>
      </w:r>
      <w:r>
        <w:rPr>
          <w:rFonts w:hint="eastAsia" w:ascii="仿宋" w:hAnsi="仿宋" w:eastAsia="仿宋" w:cs="仿宋"/>
          <w:color w:val="000000" w:themeColor="text1"/>
          <w:sz w:val="24"/>
          <w:szCs w:val="20"/>
          <w:highlight w:val="none"/>
          <w14:textFill>
            <w14:solidFill>
              <w14:schemeClr w14:val="tx1"/>
            </w14:solidFill>
          </w14:textFill>
        </w:rPr>
        <w:t xml:space="preserve"> </w:t>
      </w:r>
      <w:r/>
    </w:p>
    <w:p>
      <w:pPr>
        <w:jc w:val="left"/>
        <w:spacing w:line="360" w:lineRule="auto"/>
        <w:rPr>
          <w:rFonts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项目编号： </w:t>
      </w:r>
      <w:r/>
    </w:p>
    <w:p>
      <w:pPr>
        <w:ind w:left="72" w:right="30"/>
        <w:jc w:val="center"/>
        <w:spacing w:after="60" w:line="360" w:lineRule="atLeast"/>
        <w:rPr>
          <w:rFonts w:ascii="仿宋" w:hAnsi="仿宋" w:eastAsia="仿宋" w:cs="仿宋"/>
          <w:color w:val="000000" w:themeColor="text1"/>
          <w:sz w:val="72"/>
          <w:szCs w:val="72"/>
          <w:highlight w:val="none"/>
          <w14:textFill>
            <w14:solidFill>
              <w14:schemeClr w14:val="tx1"/>
            </w14:solidFill>
          </w14:textFill>
        </w:rPr>
      </w:pPr>
      <w:r>
        <w:rPr>
          <w:rFonts w:ascii="仿宋" w:hAnsi="仿宋" w:eastAsia="仿宋" w:cs="仿宋"/>
          <w:color w:val="000000" w:themeColor="text1"/>
          <w:sz w:val="72"/>
          <w:szCs w:val="72"/>
          <w:highlight w:val="none"/>
          <w14:textFill>
            <w14:solidFill>
              <w14:schemeClr w14:val="tx1"/>
            </w14:solidFill>
          </w14:textFill>
        </w:rPr>
      </w:r>
      <w:r/>
    </w:p>
    <w:p>
      <w:pPr>
        <w:ind w:left="72" w:right="30"/>
        <w:jc w:val="center"/>
        <w:spacing w:after="60" w:line="360" w:lineRule="atLeast"/>
        <w:rPr>
          <w:rFonts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政</w:t>
      </w:r>
      <w:r/>
    </w:p>
    <w:p>
      <w:pPr>
        <w:ind w:left="72" w:right="30"/>
        <w:jc w:val="center"/>
        <w:spacing w:after="60" w:line="360" w:lineRule="atLeast"/>
        <w:rPr>
          <w:rFonts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府</w:t>
      </w:r>
      <w:r/>
    </w:p>
    <w:p>
      <w:pPr>
        <w:ind w:left="72" w:right="30"/>
        <w:jc w:val="center"/>
        <w:spacing w:after="60" w:line="360" w:lineRule="atLeast"/>
        <w:rPr>
          <w:rFonts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采</w:t>
      </w:r>
      <w:r/>
    </w:p>
    <w:p>
      <w:pPr>
        <w:ind w:left="72" w:right="30"/>
        <w:jc w:val="center"/>
        <w:spacing w:after="60" w:line="360" w:lineRule="atLeast"/>
        <w:rPr>
          <w:rFonts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购</w:t>
      </w:r>
      <w:r/>
    </w:p>
    <w:p>
      <w:pPr>
        <w:ind w:left="72" w:right="30"/>
        <w:jc w:val="center"/>
        <w:spacing w:after="60" w:line="360" w:lineRule="atLeast"/>
        <w:rPr>
          <w:rFonts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合</w:t>
      </w:r>
      <w:r/>
    </w:p>
    <w:p>
      <w:pPr>
        <w:ind w:left="72" w:right="30"/>
        <w:jc w:val="center"/>
        <w:spacing w:after="60" w:line="360" w:lineRule="atLeast"/>
        <w:rPr>
          <w:rFonts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同</w:t>
      </w:r>
      <w:r/>
    </w:p>
    <w:p>
      <w:pPr>
        <w:ind w:firstLine="360"/>
        <w:jc w:val="left"/>
        <w:spacing w:line="360" w:lineRule="auto"/>
        <w:rPr>
          <w:rFonts w:ascii="仿宋" w:hAnsi="仿宋" w:eastAsia="仿宋" w:cs="仿宋"/>
          <w:color w:val="000000" w:themeColor="text1"/>
          <w:sz w:val="24"/>
          <w:szCs w:val="20"/>
          <w:highlight w:val="none"/>
          <w14:textFill>
            <w14:solidFill>
              <w14:schemeClr w14:val="tx1"/>
            </w14:solidFill>
          </w14:textFill>
        </w:rPr>
      </w:pPr>
      <w:r>
        <w:rPr>
          <w:rFonts w:ascii="仿宋" w:hAnsi="仿宋" w:eastAsia="仿宋" w:cs="仿宋"/>
          <w:color w:val="000000" w:themeColor="text1"/>
          <w:sz w:val="24"/>
          <w:szCs w:val="20"/>
          <w:highlight w:val="none"/>
          <w14:textFill>
            <w14:solidFill>
              <w14:schemeClr w14:val="tx1"/>
            </w14:solidFill>
          </w14:textFill>
        </w:rPr>
      </w:r>
      <w:r/>
    </w:p>
    <w:p>
      <w:pPr>
        <w:ind w:firstLine="1320"/>
        <w:jc w:val="left"/>
        <w:spacing w:line="360" w:lineRule="auto"/>
        <w:rPr>
          <w:rFonts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采  购  人： </w:t>
      </w:r>
      <w:r/>
    </w:p>
    <w:p>
      <w:pPr>
        <w:ind w:firstLine="1320"/>
        <w:jc w:val="left"/>
        <w:spacing w:line="360" w:lineRule="auto"/>
        <w:rPr>
          <w:rFonts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成交供应商：</w:t>
      </w:r>
      <w:r/>
    </w:p>
    <w:p>
      <w:pPr>
        <w:ind w:firstLine="1320"/>
        <w:jc w:val="left"/>
        <w:spacing w:line="360" w:lineRule="auto"/>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合同签订日期：     年     月     日</w:t>
      </w:r>
      <w:r/>
    </w:p>
    <w:p>
      <w:pPr>
        <w:ind w:firstLine="480"/>
        <w:spacing w:line="360" w:lineRule="auto"/>
        <w:widowControl w:val="off"/>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p>
      <w:pPr>
        <w:ind w:firstLine="480"/>
        <w:spacing w:line="360" w:lineRule="auto"/>
        <w:widowControl w:val="off"/>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p>
      <w:pPr>
        <w:ind w:firstLine="480"/>
        <w:spacing w:line="360" w:lineRule="auto"/>
        <w:widowControl w:val="off"/>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480"/>
        <w:jc w:val="left"/>
        <w:spacing w:line="360" w:lineRule="auto"/>
        <w:rPr>
          <w:rFonts w:ascii="仿宋" w:hAnsi="仿宋" w:eastAsia="仿宋" w:cs="仿宋"/>
          <w:b/>
          <w:bCs/>
          <w:color w:val="000000" w:themeColor="text1"/>
          <w:sz w:val="24"/>
          <w:szCs w:val="24"/>
          <w:highlight w:val="none"/>
          <w14:textFill>
            <w14:solidFill>
              <w14:schemeClr w14:val="tx1"/>
            </w14:solidFill>
          </w14:textFill>
        </w:rPr>
        <w:sectPr>
          <w:headerReference w:type="default" r:id="rId11"/>
          <w:footerReference w:type="default" r:id="rId17"/>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bCs/>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仿宋" w:hAnsi="仿宋" w:eastAsia="仿宋" w:cs="仿宋"/>
          <w:highlight w:val="none"/>
        </w:rPr>
      </w:pPr>
      <w:r>
        <w:rPr>
          <w:rFonts w:ascii="仿宋" w:hAnsi="仿宋" w:eastAsia="仿宋" w:cs="仿宋"/>
          <w:highlight w:val="none"/>
        </w:rPr>
      </w:r>
      <w:r/>
    </w:p>
    <w:p>
      <w:pPr>
        <w:jc w:val="center"/>
        <w:keepLines/>
        <w:keepNext/>
        <w:spacing w:line="360" w:lineRule="auto"/>
        <w:rPr>
          <w:rFonts w:ascii="仿宋" w:hAnsi="仿宋" w:eastAsia="仿宋" w:cs="仿宋"/>
          <w:bCs/>
          <w:sz w:val="24"/>
          <w:szCs w:val="24"/>
          <w:highlight w:val="none"/>
        </w:rPr>
        <w:outlineLvl w:val="1"/>
      </w:pPr>
      <w:r>
        <w:rPr>
          <w:rFonts w:hint="eastAsia" w:ascii="仿宋" w:hAnsi="仿宋" w:eastAsia="仿宋" w:cs="仿宋"/>
          <w:b/>
          <w:bCs/>
          <w:sz w:val="24"/>
          <w:szCs w:val="24"/>
          <w:highlight w:val="none"/>
        </w:rPr>
        <w:t xml:space="preserve">第一部分 合同协议书</w:t>
      </w:r>
      <w:r/>
    </w:p>
    <w:p>
      <w:pPr>
        <w:spacing w:line="360" w:lineRule="auto"/>
        <w:rPr>
          <w:rFonts w:ascii="仿宋" w:hAnsi="仿宋" w:eastAsia="仿宋" w:cs="仿宋"/>
          <w:b/>
          <w:sz w:val="24"/>
          <w:szCs w:val="24"/>
          <w:highlight w:val="none"/>
          <w:u w:val="single"/>
        </w:rPr>
      </w:pPr>
      <w:r>
        <w:rPr>
          <w:rFonts w:hint="eastAsia" w:ascii="仿宋" w:hAnsi="仿宋" w:eastAsia="仿宋" w:cs="仿宋"/>
          <w:b/>
          <w:sz w:val="24"/>
          <w:szCs w:val="24"/>
          <w:highlight w:val="none"/>
        </w:rPr>
        <w:t xml:space="preserve">发包人（全称）：</w:t>
      </w:r>
      <w:r>
        <w:rPr>
          <w:rFonts w:hint="eastAsia" w:ascii="仿宋" w:hAnsi="仿宋" w:eastAsia="仿宋" w:cs="仿宋"/>
          <w:b/>
          <w:sz w:val="24"/>
          <w:szCs w:val="24"/>
          <w:highlight w:val="none"/>
          <w:u w:val="single"/>
        </w:rPr>
        <w:t xml:space="preserve">徐州市公安局交通管理支队</w:t>
      </w:r>
      <w:r/>
    </w:p>
    <w:p>
      <w:pPr>
        <w:spacing w:line="360" w:lineRule="auto"/>
        <w:rPr>
          <w:rFonts w:ascii="仿宋" w:hAnsi="仿宋" w:eastAsia="仿宋" w:cs="仿宋"/>
          <w:b/>
          <w:sz w:val="24"/>
          <w:szCs w:val="24"/>
          <w:highlight w:val="none"/>
          <w:u w:val="single"/>
        </w:rPr>
      </w:pPr>
      <w:r>
        <w:rPr>
          <w:rFonts w:hint="eastAsia" w:ascii="仿宋" w:hAnsi="仿宋" w:eastAsia="仿宋" w:cs="仿宋"/>
          <w:b/>
          <w:sz w:val="24"/>
          <w:szCs w:val="24"/>
          <w:highlight w:val="none"/>
        </w:rPr>
        <w:t xml:space="preserve">承包人（全称）： </w:t>
      </w:r>
      <w:r>
        <w:rPr>
          <w:rFonts w:hint="eastAsia" w:ascii="仿宋" w:hAnsi="仿宋" w:eastAsia="仿宋" w:cs="仿宋"/>
          <w:b/>
          <w:sz w:val="24"/>
          <w:szCs w:val="24"/>
          <w:highlight w:val="none"/>
          <w:u w:val="single"/>
        </w:rPr>
        <w:t xml:space="preserve">   </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sz w:val="24"/>
          <w:szCs w:val="24"/>
          <w:highlight w:val="none"/>
          <w:u w:val="single"/>
        </w:rPr>
        <w:t xml:space="preserve"> </w:t>
      </w:r>
      <w:r>
        <w:rPr>
          <w:rFonts w:hint="eastAsia" w:ascii="仿宋" w:hAnsi="仿宋" w:eastAsia="仿宋" w:cs="仿宋"/>
          <w:bCs/>
          <w:sz w:val="24"/>
          <w:szCs w:val="24"/>
          <w:highlight w:val="none"/>
          <w:u w:val="single"/>
        </w:rPr>
        <w:t xml:space="preserve">交管支队车管所考试场地整修</w:t>
      </w:r>
      <w:r>
        <w:rPr>
          <w:rFonts w:hint="eastAsia" w:ascii="仿宋" w:hAnsi="仿宋" w:eastAsia="仿宋" w:cs="仿宋"/>
          <w:sz w:val="24"/>
          <w:szCs w:val="24"/>
          <w:highlight w:val="none"/>
        </w:rPr>
        <w:t xml:space="preserve">施工及有关事项协商一致，共同达成如下协议：</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一、工程概况</w:t>
      </w:r>
      <w:r/>
    </w:p>
    <w:p>
      <w:pPr>
        <w:ind w:firstLine="411"/>
        <w:spacing w:line="360" w:lineRule="auto"/>
        <w:rPr>
          <w:rFonts w:ascii="仿宋" w:hAnsi="仿宋" w:eastAsia="仿宋" w:cs="仿宋"/>
          <w:sz w:val="24"/>
          <w:szCs w:val="24"/>
          <w:highlight w:val="none"/>
          <w:u w:val="single"/>
        </w:rPr>
      </w:pPr>
      <w:r>
        <w:rPr>
          <w:rFonts w:hint="eastAsia" w:ascii="仿宋" w:hAnsi="仿宋" w:eastAsia="仿宋" w:cs="仿宋"/>
          <w:bCs/>
          <w:sz w:val="24"/>
          <w:szCs w:val="24"/>
          <w:highlight w:val="none"/>
        </w:rPr>
        <w:t xml:space="preserve">1、工程名称</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u w:val="single"/>
        </w:rPr>
        <w:t xml:space="preserve">交管支队车管所考试场地整修</w:t>
      </w:r>
      <w:r/>
    </w:p>
    <w:p>
      <w:pPr>
        <w:ind w:firstLine="420"/>
        <w:spacing w:line="360" w:lineRule="auto"/>
        <w:rPr>
          <w:rFonts w:ascii="仿宋" w:hAnsi="仿宋" w:eastAsia="仿宋" w:cs="仿宋"/>
          <w:sz w:val="24"/>
          <w:szCs w:val="24"/>
          <w:highlight w:val="none"/>
          <w:u w:val="single"/>
        </w:rPr>
      </w:pPr>
      <w:r>
        <w:rPr>
          <w:rFonts w:hint="eastAsia" w:ascii="仿宋" w:hAnsi="仿宋" w:eastAsia="仿宋" w:cs="仿宋"/>
          <w:bCs/>
          <w:sz w:val="24"/>
          <w:szCs w:val="24"/>
          <w:highlight w:val="none"/>
        </w:rPr>
        <w:t xml:space="preserve">2、工程地点：</w:t>
      </w:r>
      <w:r>
        <w:rPr>
          <w:rFonts w:hint="eastAsia" w:ascii="仿宋" w:hAnsi="仿宋" w:eastAsia="仿宋" w:cs="仿宋"/>
          <w:bCs/>
          <w:sz w:val="24"/>
          <w:szCs w:val="24"/>
          <w:highlight w:val="none"/>
          <w:u w:val="single"/>
        </w:rPr>
        <w:t xml:space="preserve">徐州市泉山区祥湖路 </w:t>
      </w:r>
      <w:r>
        <w:rPr>
          <w:rFonts w:hint="eastAsia" w:ascii="仿宋" w:hAnsi="仿宋" w:eastAsia="仿宋" w:cs="仿宋"/>
          <w:sz w:val="24"/>
          <w:szCs w:val="24"/>
          <w:highlight w:val="none"/>
          <w:u w:val="single"/>
        </w:rPr>
        <w:t xml:space="preserve">。 </w:t>
      </w:r>
      <w:r/>
    </w:p>
    <w:p>
      <w:pPr>
        <w:ind w:firstLine="411"/>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3、工程立项批准文号：</w:t>
      </w:r>
      <w:r>
        <w:rPr>
          <w:rFonts w:hint="eastAsia" w:ascii="仿宋" w:hAnsi="仿宋" w:eastAsia="仿宋" w:cs="仿宋"/>
          <w:bCs/>
          <w:sz w:val="24"/>
          <w:szCs w:val="24"/>
          <w:highlight w:val="none"/>
          <w:u w:val="single"/>
        </w:rPr>
        <w:t xml:space="preserve">/</w:t>
      </w:r>
      <w:r/>
    </w:p>
    <w:p>
      <w:pPr>
        <w:ind w:firstLine="411"/>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4、资金来源：</w:t>
      </w:r>
      <w:r>
        <w:rPr>
          <w:rFonts w:hint="eastAsia" w:ascii="仿宋" w:hAnsi="仿宋" w:eastAsia="仿宋" w:cs="仿宋"/>
          <w:sz w:val="24"/>
          <w:szCs w:val="24"/>
          <w:highlight w:val="none"/>
          <w:u w:val="single"/>
        </w:rPr>
        <w:t xml:space="preserve">财政资金                      </w:t>
      </w:r>
      <w:r/>
    </w:p>
    <w:p>
      <w:pPr>
        <w:ind w:firstLine="411"/>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5、工程内容：</w:t>
      </w:r>
      <w:r>
        <w:rPr>
          <w:rFonts w:hint="eastAsia" w:ascii="仿宋" w:hAnsi="仿宋" w:eastAsia="仿宋" w:cs="仿宋"/>
          <w:sz w:val="24"/>
          <w:szCs w:val="24"/>
          <w:highlight w:val="none"/>
          <w:u w:val="single"/>
        </w:rPr>
        <w:t xml:space="preserve">详见工程量清单及施工图全部内容</w:t>
      </w:r>
      <w:r>
        <w:rPr>
          <w:rFonts w:hint="eastAsia" w:ascii="仿宋" w:hAnsi="仿宋" w:eastAsia="仿宋" w:cs="仿宋"/>
          <w:bCs/>
          <w:sz w:val="24"/>
          <w:szCs w:val="24"/>
          <w:highlight w:val="none"/>
        </w:rPr>
        <w:t xml:space="preserve">。</w:t>
      </w:r>
      <w:r/>
    </w:p>
    <w:p>
      <w:pPr>
        <w:ind w:firstLine="420"/>
        <w:spacing w:line="360" w:lineRule="auto"/>
        <w:rPr>
          <w:rFonts w:ascii="仿宋" w:hAnsi="仿宋" w:eastAsia="仿宋" w:cs="仿宋"/>
          <w:sz w:val="24"/>
          <w:szCs w:val="24"/>
          <w:highlight w:val="none"/>
        </w:rPr>
      </w:pPr>
      <w:r>
        <w:rPr>
          <w:rFonts w:hint="eastAsia" w:ascii="仿宋" w:hAnsi="仿宋" w:eastAsia="仿宋" w:cs="仿宋"/>
          <w:bCs/>
          <w:sz w:val="24"/>
          <w:szCs w:val="24"/>
          <w:highlight w:val="none"/>
        </w:rPr>
        <w:t xml:space="preserve">6、工程承包范围：</w:t>
      </w:r>
      <w:r>
        <w:rPr>
          <w:rFonts w:hint="eastAsia" w:ascii="仿宋" w:hAnsi="仿宋" w:eastAsia="仿宋" w:cs="仿宋"/>
          <w:sz w:val="24"/>
          <w:szCs w:val="24"/>
          <w:highlight w:val="none"/>
          <w:u w:val="single"/>
        </w:rPr>
        <w:t xml:space="preserve">交管支队车管所考试场地整修，详见工程量清单及施工图所含全部内容。</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zh-TW"/>
        </w:rPr>
        <w:t xml:space="preserve">7、</w:t>
      </w:r>
      <w:r>
        <w:rPr>
          <w:rFonts w:hint="eastAsia" w:ascii="仿宋" w:hAnsi="仿宋" w:eastAsia="仿宋" w:cs="仿宋"/>
          <w:bCs/>
          <w:sz w:val="24"/>
          <w:szCs w:val="24"/>
          <w:highlight w:val="none"/>
        </w:rPr>
        <w:t xml:space="preserve">承包方式：包工包料。</w:t>
      </w:r>
      <w:r/>
    </w:p>
    <w:p>
      <w:pPr>
        <w:keepLines/>
        <w:keepNext/>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二、合同工期</w:t>
      </w:r>
      <w:r/>
    </w:p>
    <w:p>
      <w:pPr>
        <w:ind w:firstLine="45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计划开工日期：  年   月   日。</w:t>
      </w:r>
      <w:r/>
    </w:p>
    <w:p>
      <w:pPr>
        <w:ind w:firstLine="45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计划竣工日期：年  月  日。</w:t>
      </w:r>
      <w:r/>
    </w:p>
    <w:p>
      <w:pPr>
        <w:ind w:firstLine="45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工期总日历天数：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天。工期总日历天数与根据前述计划开竣工日期计算的工期天数不一致的，以工期总日历天数为准。</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三、质量标准</w:t>
      </w:r>
      <w:r/>
    </w:p>
    <w:p>
      <w:pPr>
        <w:ind w:firstLine="45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工程质量符合</w:t>
      </w:r>
      <w:r>
        <w:rPr>
          <w:rFonts w:hint="eastAsia" w:ascii="仿宋" w:hAnsi="仿宋" w:eastAsia="仿宋" w:cs="仿宋"/>
          <w:sz w:val="24"/>
          <w:szCs w:val="24"/>
          <w:highlight w:val="none"/>
          <w:u w:val="single"/>
        </w:rPr>
        <w:t xml:space="preserve">合格</w:t>
      </w:r>
      <w:r>
        <w:rPr>
          <w:rFonts w:hint="eastAsia" w:ascii="仿宋" w:hAnsi="仿宋" w:eastAsia="仿宋" w:cs="仿宋"/>
          <w:sz w:val="24"/>
          <w:szCs w:val="24"/>
          <w:highlight w:val="none"/>
        </w:rPr>
        <w:t xml:space="preserve">标准，同时须符合现行最新的国家有关标准、规范及其他适用于本工程的技术标准、规范及发包人要求。</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四、签约合同价与合同价格形式</w:t>
      </w:r>
      <w:r>
        <w:rPr>
          <w:rFonts w:hint="eastAsia" w:ascii="仿宋" w:hAnsi="仿宋" w:eastAsia="仿宋" w:cs="仿宋"/>
          <w:bCs/>
          <w:sz w:val="24"/>
          <w:szCs w:val="24"/>
          <w:highlight w:val="none"/>
        </w:rPr>
        <w:tab/>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1.签约合同价为：</w:t>
      </w:r>
      <w:r/>
    </w:p>
    <w:p>
      <w:pPr>
        <w:ind w:firstLine="52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人民币（大写）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其中：</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（1）安全文明施工费：</w:t>
      </w:r>
      <w:r/>
    </w:p>
    <w:p>
      <w:pPr>
        <w:ind w:firstLine="94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人民币（大写）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（2）材料和工程设备暂估价金额：</w:t>
      </w:r>
      <w:r/>
    </w:p>
    <w:p>
      <w:pPr>
        <w:ind w:firstLine="94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人民币（大写）</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元)；</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（3）专业工程暂估价金额：</w:t>
      </w:r>
      <w:r/>
    </w:p>
    <w:p>
      <w:pPr>
        <w:ind w:firstLine="94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人民币（大写）</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元)；</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（4）暂列金额：</w:t>
      </w:r>
      <w:r/>
    </w:p>
    <w:p>
      <w:pPr>
        <w:ind w:firstLine="94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人民币（大写）</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元)。</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2.合同价格形式：</w:t>
      </w:r>
      <w:r>
        <w:rPr>
          <w:rFonts w:hint="eastAsia" w:ascii="仿宋" w:hAnsi="仿宋" w:eastAsia="仿宋" w:cs="仿宋"/>
          <w:sz w:val="24"/>
          <w:szCs w:val="24"/>
          <w:highlight w:val="none"/>
          <w:u w:val="single"/>
        </w:rPr>
        <w:t xml:space="preserve">固定单价合同  </w:t>
      </w:r>
      <w:r>
        <w:rPr>
          <w:rFonts w:hint="eastAsia" w:ascii="仿宋" w:hAnsi="仿宋" w:eastAsia="仿宋" w:cs="仿宋"/>
          <w:sz w:val="24"/>
          <w:szCs w:val="24"/>
          <w:highlight w:val="none"/>
        </w:rPr>
        <w:t xml:space="preserve">。</w:t>
      </w:r>
      <w:r/>
    </w:p>
    <w:p>
      <w:pPr>
        <w:keepLines/>
        <w:keepNext/>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五、项目经理</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承包人项目经理：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六、合同文件构成</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本协议书与下列文件一起构成合同文件：</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（1）中标通知书（如果有）；</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（2）投标函及其附录（如果有）； </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（3）专用合同条款及其附件；</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（4）通用合同条款；</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（5）技术标准和要求；</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（6）图纸；</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（7）已标价工程量清单或预算书；</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（8）其他合同文件。</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在合同订立及履行过程中形成的与合同有关的文件均构成合同文件组成部分。</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上述各项合同文件包括合同当事人就该项合同文件所作出的任何补充和修改内容一律不得背离合同实质性内容，否则，再行订立的背离合同实质性内容的其他协议应视为无效。专用合同条款及其附件须经合同当事人签字或盖章。</w:t>
      </w:r>
      <w:r/>
    </w:p>
    <w:p>
      <w:pPr>
        <w:keepLines/>
        <w:keepNext/>
        <w:spacing w:line="360" w:lineRule="auto"/>
        <w:rPr>
          <w:rFonts w:ascii="仿宋" w:hAnsi="仿宋" w:eastAsia="仿宋" w:cs="仿宋"/>
          <w:sz w:val="24"/>
          <w:szCs w:val="24"/>
          <w:highlight w:val="none"/>
        </w:rPr>
      </w:pPr>
      <w:r>
        <w:rPr>
          <w:rFonts w:hint="eastAsia" w:ascii="仿宋" w:hAnsi="仿宋" w:eastAsia="仿宋" w:cs="仿宋"/>
          <w:bCs/>
          <w:sz w:val="24"/>
          <w:szCs w:val="24"/>
          <w:highlight w:val="none"/>
        </w:rPr>
        <w:t xml:space="preserve">七、承诺</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2.承包人承诺按照法律规定及合同约定组织完成工程施工，确保工程质量和安全，并在缺陷责任期及保修期内承担相应的工程维修责任。</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ascii="仿宋" w:hAnsi="仿宋" w:eastAsia="仿宋" w:cs="仿宋"/>
          <w:bCs/>
          <w:sz w:val="24"/>
          <w:szCs w:val="24"/>
          <w:highlight w:val="none"/>
        </w:rPr>
      </w:pPr>
      <w:r>
        <w:rPr>
          <w:rFonts w:hint="eastAsia" w:ascii="仿宋" w:hAnsi="仿宋" w:eastAsia="仿宋" w:cs="仿宋"/>
          <w:b/>
          <w:sz w:val="24"/>
          <w:szCs w:val="24"/>
          <w:highlight w:val="none"/>
        </w:rPr>
        <w:t xml:space="preserve">八、词语含义</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本协议书中词语含义与第二部分通用合同条款中赋予的含义相同。</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九、签订时间</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本合同于</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年</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月</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日签订。</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十、签订地点</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本合同在</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签订。</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十一、补充协议</w:t>
      </w:r>
      <w:r/>
    </w:p>
    <w:p>
      <w:pPr>
        <w:ind w:firstLine="420"/>
        <w:spacing w:line="360" w:lineRule="auto"/>
        <w:rPr>
          <w:rFonts w:ascii="仿宋" w:hAnsi="仿宋" w:eastAsia="仿宋" w:cs="仿宋"/>
          <w:b/>
          <w:bCs/>
          <w:sz w:val="24"/>
          <w:szCs w:val="24"/>
          <w:highlight w:val="none"/>
        </w:rPr>
      </w:pPr>
      <w:r>
        <w:rPr>
          <w:rFonts w:hint="eastAsia" w:ascii="仿宋" w:hAnsi="仿宋" w:eastAsia="仿宋" w:cs="仿宋"/>
          <w:bCs/>
          <w:sz w:val="24"/>
          <w:szCs w:val="24"/>
          <w:highlight w:val="none"/>
        </w:rPr>
        <w:t xml:space="preserve">合同未尽事宜，合同当事人另行签订补充协议，补充协议是合同的组成部分。</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十二、合同生效</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本合同自</w:t>
      </w:r>
      <w:r>
        <w:rPr>
          <w:rFonts w:hint="eastAsia" w:ascii="仿宋" w:hAnsi="仿宋" w:eastAsia="仿宋" w:cs="仿宋"/>
          <w:bCs/>
          <w:sz w:val="24"/>
          <w:szCs w:val="24"/>
          <w:highlight w:val="none"/>
          <w:u w:val="single"/>
        </w:rPr>
        <w:t xml:space="preserve">       双方签字、盖章后     </w:t>
      </w:r>
      <w:r>
        <w:rPr>
          <w:rFonts w:hint="eastAsia" w:ascii="仿宋" w:hAnsi="仿宋" w:eastAsia="仿宋" w:cs="仿宋"/>
          <w:bCs/>
          <w:sz w:val="24"/>
          <w:szCs w:val="24"/>
          <w:highlight w:val="none"/>
        </w:rPr>
        <w:t xml:space="preserve">生效。</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十三、合同份数</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本合同一式</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份，均具有同等法律效力，发包人执</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份，承包人执</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份。</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十四、对接联系执行人</w:t>
      </w:r>
      <w:r/>
    </w:p>
    <w:p>
      <w:pPr>
        <w:ind w:firstLine="480"/>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发包人指定合同对接联系执行人为：</w:t>
      </w:r>
      <w:r>
        <w:rPr>
          <w:rFonts w:hint="eastAsia" w:ascii="仿宋" w:hAnsi="仿宋" w:eastAsia="仿宋" w:cs="仿宋"/>
          <w:sz w:val="24"/>
          <w:szCs w:val="24"/>
          <w:highlight w:val="none"/>
          <w:u w:val="single"/>
        </w:rPr>
        <w:t xml:space="preserve">            </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电话： </w:t>
      </w:r>
      <w:r>
        <w:rPr>
          <w:rFonts w:hint="eastAsia" w:ascii="仿宋" w:hAnsi="仿宋" w:eastAsia="仿宋" w:cs="仿宋"/>
          <w:sz w:val="24"/>
          <w:szCs w:val="24"/>
          <w:highlight w:val="none"/>
          <w:u w:val="single"/>
        </w:rPr>
        <w:t xml:space="preserve">                                                    </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微信号：</w:t>
      </w:r>
      <w:r>
        <w:rPr>
          <w:rFonts w:hint="eastAsia" w:ascii="仿宋" w:hAnsi="仿宋" w:eastAsia="仿宋" w:cs="仿宋"/>
          <w:sz w:val="24"/>
          <w:szCs w:val="24"/>
          <w:highlight w:val="none"/>
          <w:u w:val="single"/>
        </w:rPr>
        <w:t xml:space="preserve">                            </w:t>
      </w:r>
      <w:r/>
    </w:p>
    <w:p>
      <w:pPr>
        <w:ind w:firstLine="480"/>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承包人指定合同对接联系执行人为：</w:t>
      </w:r>
      <w:r>
        <w:rPr>
          <w:rFonts w:hint="eastAsia" w:ascii="仿宋" w:hAnsi="仿宋" w:eastAsia="仿宋" w:cs="仿宋"/>
          <w:sz w:val="24"/>
          <w:szCs w:val="24"/>
          <w:highlight w:val="none"/>
          <w:u w:val="single"/>
        </w:rPr>
        <w:t xml:space="preserve">    </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电话：</w:t>
      </w:r>
      <w:r>
        <w:rPr>
          <w:rFonts w:hint="eastAsia" w:ascii="仿宋" w:hAnsi="仿宋" w:eastAsia="仿宋" w:cs="仿宋"/>
          <w:sz w:val="24"/>
          <w:szCs w:val="24"/>
          <w:highlight w:val="none"/>
          <w:u w:val="single"/>
        </w:rPr>
        <w:t xml:space="preserve">                              </w:t>
      </w:r>
      <w:r/>
    </w:p>
    <w:p>
      <w:pPr>
        <w:ind w:firstLine="480"/>
        <w:spacing w:line="360" w:lineRule="auto"/>
        <w:rPr>
          <w:highlight w:val="none"/>
        </w:rPr>
      </w:pPr>
      <w:r>
        <w:rPr>
          <w:rFonts w:hint="eastAsia" w:ascii="仿宋" w:hAnsi="仿宋" w:eastAsia="仿宋" w:cs="仿宋"/>
          <w:sz w:val="24"/>
          <w:szCs w:val="24"/>
          <w:highlight w:val="none"/>
        </w:rPr>
        <w:t xml:space="preserve">微信号：</w:t>
      </w:r>
      <w:r>
        <w:rPr>
          <w:rFonts w:hint="eastAsia" w:ascii="仿宋" w:hAnsi="仿宋" w:eastAsia="仿宋" w:cs="仿宋"/>
          <w:sz w:val="24"/>
          <w:szCs w:val="24"/>
          <w:highlight w:val="none"/>
          <w:u w:val="single"/>
        </w:rPr>
        <w:t xml:space="preserve">                          </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本项目（合同）项下发包人及承包人对于其它指定的合同履行事项均按上述规定以此类推。</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本项目（合同）项下发承包双方指定的上述人员系与履行合同事项包括但不限于合同售后服务事宜有关的具体通知及送达人员，若有变更，变更方应在变更前通知相对方，否则，一方向相对方签署、通知及送达与合同履行相关的文件则视为有效，以确保缺陷责任期内的保修通知与送达具有执行力。</w:t>
      </w:r>
      <w:r/>
    </w:p>
    <w:p>
      <w:pP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发包人：  (公章)                         承包人：  (公章)</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签订日期：</w:t>
      </w:r>
      <w:r>
        <w:rPr>
          <w:rFonts w:hint="eastAsia" w:ascii="仿宋" w:hAnsi="仿宋" w:eastAsia="仿宋" w:cs="仿宋"/>
          <w:sz w:val="24"/>
          <w:szCs w:val="24"/>
          <w:highlight w:val="none"/>
          <w:u w:val="single"/>
        </w:rPr>
        <w:t xml:space="preserve">    年   月   日</w:t>
      </w:r>
      <w:r>
        <w:rPr>
          <w:rFonts w:hint="eastAsia" w:ascii="仿宋" w:hAnsi="仿宋" w:eastAsia="仿宋" w:cs="仿宋"/>
          <w:sz w:val="24"/>
          <w:szCs w:val="24"/>
          <w:highlight w:val="none"/>
        </w:rPr>
        <w:t xml:space="preserve">               签订日期：</w:t>
      </w:r>
      <w:r>
        <w:rPr>
          <w:rFonts w:hint="eastAsia" w:ascii="仿宋" w:hAnsi="仿宋" w:eastAsia="仿宋" w:cs="仿宋"/>
          <w:sz w:val="24"/>
          <w:szCs w:val="24"/>
          <w:highlight w:val="none"/>
          <w:u w:val="single"/>
        </w:rPr>
        <w:t xml:space="preserve">     年    月   日</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法定代表人或其委托代理人：               法定代表人或其委托代理人：</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（签字）                                  （签字）</w:t>
      </w:r>
      <w:r/>
    </w:p>
    <w:p>
      <w:pPr>
        <w:spacing w:line="360" w:lineRule="auto"/>
        <w:tabs>
          <w:tab w:val="left" w:pos="4410" w:leader="none"/>
        </w:tabs>
        <w:rPr>
          <w:rFonts w:ascii="仿宋" w:hAnsi="仿宋" w:eastAsia="仿宋" w:cs="仿宋"/>
          <w:sz w:val="24"/>
          <w:szCs w:val="24"/>
          <w:highlight w:val="none"/>
        </w:rPr>
      </w:pPr>
      <w:r>
        <w:rPr>
          <w:rFonts w:hint="eastAsia" w:ascii="仿宋" w:hAnsi="仿宋" w:eastAsia="仿宋" w:cs="仿宋"/>
          <w:sz w:val="24"/>
          <w:szCs w:val="24"/>
          <w:highlight w:val="none"/>
        </w:rPr>
        <w:t xml:space="preserve">组织机构代码：                                   组织机构代码：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地  址：                                         地  址：</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邮政编码：                                       邮政编码：</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                                     法定代表人：</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委托代理人：                                     委托代理人：</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电  话：                                         电  话：</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传  真：                                         传  真：</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电子信箱：                                       电子信箱：</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开户银行 ：                                      开户银行：</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账  号：                                         账  号：</w:t>
      </w:r>
      <w:r>
        <w:rPr>
          <w:rFonts w:hint="eastAsia" w:ascii="仿宋" w:hAnsi="仿宋" w:eastAsia="仿宋" w:cs="仿宋"/>
          <w:sz w:val="24"/>
          <w:szCs w:val="24"/>
          <w:highlight w:val="none"/>
          <w:u w:val="single"/>
        </w:rPr>
        <w:t xml:space="preserve">     </w:t>
      </w:r>
      <w:r/>
    </w:p>
    <w:p>
      <w:pPr>
        <w:ind w:right="-36" w:firstLine="504"/>
        <w:spacing w:line="400" w:lineRule="exact"/>
        <w:tabs>
          <w:tab w:val="left" w:pos="0" w:leader="none"/>
        </w:tabs>
        <w:rPr>
          <w:rFonts w:ascii="仿宋" w:hAnsi="仿宋" w:eastAsia="仿宋" w:cs="仿宋"/>
          <w:sz w:val="24"/>
          <w:szCs w:val="24"/>
          <w:highlight w:val="none"/>
        </w:rPr>
      </w:pPr>
      <w:r>
        <w:rPr>
          <w:rFonts w:hint="eastAsia" w:ascii="仿宋" w:hAnsi="仿宋" w:eastAsia="仿宋" w:cs="仿宋"/>
          <w:sz w:val="24"/>
          <w:szCs w:val="24"/>
          <w:highlight w:val="none"/>
        </w:rPr>
        <w:t xml:space="preserve">上述地址为双方文件受送达地址</w:t>
      </w:r>
      <w:r/>
    </w:p>
    <w:p>
      <w:pPr>
        <w:jc w:val="center"/>
        <w:keepLines/>
        <w:keepNext/>
        <w:spacing w:line="312" w:lineRule="auto"/>
        <w:rPr>
          <w:rFonts w:ascii="仿宋" w:hAnsi="仿宋" w:eastAsia="仿宋" w:cs="仿宋"/>
          <w:b/>
          <w:bCs/>
          <w:sz w:val="24"/>
          <w:szCs w:val="24"/>
          <w:highlight w:val="none"/>
        </w:rPr>
        <w:outlineLvl w:val="1"/>
      </w:pPr>
      <w:r>
        <w:rPr>
          <w:rFonts w:hint="eastAsia" w:ascii="仿宋" w:hAnsi="仿宋" w:eastAsia="仿宋" w:cs="仿宋"/>
          <w:b/>
          <w:bCs/>
          <w:szCs w:val="32"/>
          <w:highlight w:val="none"/>
        </w:rPr>
        <w:br w:type="page" w:clear="all"/>
      </w:r>
      <w:r>
        <w:rPr>
          <w:rFonts w:hint="eastAsia" w:ascii="仿宋" w:hAnsi="仿宋" w:eastAsia="仿宋" w:cs="仿宋"/>
          <w:b/>
          <w:bCs/>
          <w:sz w:val="28"/>
          <w:szCs w:val="28"/>
          <w:highlight w:val="none"/>
        </w:rPr>
        <w:t xml:space="preserve">第二部分 通用合同条款</w:t>
      </w:r>
      <w:r/>
    </w:p>
    <w:p>
      <w:pPr>
        <w:jc w:val="center"/>
        <w:spacing w:line="312" w:lineRule="auto"/>
        <w:rPr>
          <w:rFonts w:ascii="仿宋" w:hAnsi="仿宋" w:eastAsia="仿宋" w:cs="仿宋"/>
          <w:b/>
          <w:sz w:val="24"/>
          <w:szCs w:val="24"/>
          <w:highlight w:val="none"/>
        </w:rPr>
      </w:pPr>
      <w:r>
        <w:rPr>
          <w:rFonts w:ascii="仿宋" w:hAnsi="仿宋" w:eastAsia="仿宋" w:cs="仿宋"/>
          <w:b/>
          <w:sz w:val="24"/>
          <w:szCs w:val="24"/>
          <w:highlight w:val="none"/>
        </w:rPr>
      </w:r>
      <w:r/>
    </w:p>
    <w:p>
      <w:pPr>
        <w:jc w:val="center"/>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采用《建设工程施工合同（示范文本）》（GF—2017—0201）。</w:t>
      </w:r>
      <w:r/>
    </w:p>
    <w:p>
      <w:pPr>
        <w:jc w:val="center"/>
        <w:spacing w:line="312" w:lineRule="auto"/>
        <w:rPr>
          <w:rFonts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此部分在正式签订合同时应不加修改的、完整的装订在合同中。</w:t>
      </w:r>
      <w:r/>
    </w:p>
    <w:p>
      <w:pPr>
        <w:jc w:val="center"/>
        <w:spacing w:line="312" w:lineRule="auto"/>
        <w:rPr>
          <w:rFonts w:ascii="仿宋" w:hAnsi="仿宋" w:eastAsia="仿宋" w:cs="仿宋"/>
          <w:b/>
          <w:sz w:val="24"/>
          <w:szCs w:val="24"/>
          <w:highlight w:val="none"/>
          <w:u w:val="single"/>
        </w:rPr>
      </w:pPr>
      <w:r>
        <w:rPr>
          <w:rFonts w:ascii="仿宋" w:hAnsi="仿宋" w:eastAsia="仿宋" w:cs="仿宋"/>
          <w:b/>
          <w:sz w:val="24"/>
          <w:szCs w:val="24"/>
          <w:highlight w:val="none"/>
          <w:u w:val="single"/>
        </w:rPr>
      </w:r>
      <w:r/>
    </w:p>
    <w:p>
      <w:pPr>
        <w:rPr>
          <w:rFonts w:ascii="仿宋" w:hAnsi="仿宋" w:eastAsia="仿宋" w:cs="仿宋"/>
          <w:b/>
          <w:bCs/>
          <w:sz w:val="24"/>
          <w:szCs w:val="24"/>
          <w:highlight w:val="none"/>
        </w:rPr>
      </w:pPr>
      <w:r>
        <w:rPr>
          <w:rFonts w:hint="eastAsia" w:ascii="仿宋" w:hAnsi="仿宋" w:eastAsia="仿宋" w:cs="仿宋"/>
          <w:b/>
          <w:bCs/>
          <w:sz w:val="24"/>
          <w:szCs w:val="24"/>
          <w:highlight w:val="none"/>
        </w:rPr>
        <w:br w:type="page" w:clear="all"/>
      </w:r>
      <w:r/>
    </w:p>
    <w:p>
      <w:pPr>
        <w:jc w:val="center"/>
        <w:keepLines/>
        <w:keepNext/>
        <w:spacing w:before="320" w:after="200"/>
        <w:rPr>
          <w:rFonts w:ascii="仿宋" w:hAnsi="仿宋" w:eastAsia="仿宋" w:cs="仿宋"/>
          <w:b/>
          <w:bCs/>
          <w:color w:val="000000" w:themeColor="text1"/>
          <w:sz w:val="28"/>
          <w:szCs w:val="28"/>
          <w:highlight w:val="none"/>
          <w14:textFill>
            <w14:solidFill>
              <w14:schemeClr w14:val="tx1"/>
            </w14:solidFill>
          </w14:textFill>
        </w:rPr>
        <w:outlineLvl w:val="2"/>
      </w:pPr>
      <w:r>
        <w:rPr>
          <w:rFonts w:hint="eastAsia" w:ascii="仿宋" w:hAnsi="仿宋" w:eastAsia="仿宋" w:cs="仿宋"/>
          <w:b/>
          <w:bCs/>
          <w:color w:val="000000" w:themeColor="text1"/>
          <w:sz w:val="28"/>
          <w:szCs w:val="28"/>
          <w:highlight w:val="none"/>
          <w14:textFill>
            <w14:solidFill>
              <w14:schemeClr w14:val="tx1"/>
            </w14:solidFill>
          </w14:textFill>
        </w:rPr>
        <w:t xml:space="preserve">第三部分 专用合同条款</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 一般约定</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1.1 词语定义</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1.1.1合同</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1.1.1.10其他合同文件包括：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合同履行过程中经双方共同签字认可的对合同有影响的会议纪要、签证、设计变更、工程联系单及通知单等相关书面资料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 合同当事人及其他相关方</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1.1.2.4监理人：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资质类别和等级：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1.1.2.5 设计人：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资质类别和等级：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 工程和设施</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1.1.3.7 作为施工现场组成部分的其他场所包括：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现场临时办公及施工场地</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1.1.3.9 永久占地包括：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规划用地范围内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1.1.3.10 临时占地包括：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规划用地范围外</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1.3法律 </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适用于合同的其他规范性文件：</w:t>
      </w:r>
      <w:r>
        <w:rPr>
          <w:rFonts w:hint="eastAsia" w:ascii="仿宋" w:hAnsi="仿宋" w:eastAsia="仿宋" w:cs="仿宋"/>
          <w:color w:val="000000"/>
          <w:sz w:val="24"/>
          <w:szCs w:val="24"/>
          <w:highlight w:val="none"/>
          <w:u w:val="single"/>
        </w:rPr>
        <w:t xml:space="preserve">执行国家和地方现行标准、规范的相关规定及发包人管理制度</w:t>
      </w:r>
      <w:r>
        <w:rPr>
          <w:rFonts w:hint="eastAsia" w:ascii="仿宋" w:hAnsi="仿宋" w:eastAsia="仿宋" w:cs="仿宋"/>
          <w:color w:val="000000"/>
          <w:sz w:val="24"/>
          <w:szCs w:val="24"/>
          <w:highlight w:val="none"/>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1.4 标准和规范</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1.4.1适用于工程的标准规范包括：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设计有要求的按设计要求执行，设计没有要求的执行现行国家及本省、市有关标准、规范及其他适用于本工程的技术标准、规范、规程。</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1.4.2 发包人提供国外标准、规范的名称：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发包人提供国外标准、规范的份数：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发包人提供国外标准、规范的名称：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1.4.3发包人对工程的技术标准和功能要求的特殊要求：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符合有关行业主管部门和发包人的要求</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1.5 合同文件的优先顺序</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合同文件组成及优先顺序为：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1）合同协议书及补充协议书；（2）中标通知书；（3）投标函及其附录；（4）专用合同条款及其附件；（5）招标文件；（6）通用合同条款；（7）技术标准和要求；（8）图纸；（9）已标价工程量清单；（10）其他合同文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双方有关工程的洽商、变更、会议纪要、双方来往函件(施工过程中的)等书面协议或文件视为本合同的组成部分，对同一事项叙述不一致的，以日期靠后的为准。</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1.6 图纸和承包人文件</w:t>
      </w:r>
      <w:r>
        <w:rPr>
          <w:rFonts w:hint="eastAsia" w:ascii="仿宋" w:hAnsi="仿宋" w:eastAsia="仿宋" w:cs="仿宋"/>
          <w:b/>
          <w:bCs/>
          <w:color w:val="000000" w:themeColor="text1"/>
          <w:sz w:val="24"/>
          <w:szCs w:val="24"/>
          <w:highlight w:val="none"/>
          <w14:textFill>
            <w14:solidFill>
              <w14:schemeClr w14:val="tx1"/>
            </w14:solidFill>
          </w14:textFill>
        </w:rPr>
        <w:tab/>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 图纸的提供</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开工前5天</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发包人向承包人提供图纸的数量：</w:t>
      </w:r>
      <w:r>
        <w:rPr>
          <w:rFonts w:hint="eastAsia" w:ascii="仿宋" w:hAnsi="仿宋" w:eastAsia="仿宋" w:cs="仿宋"/>
          <w:color w:val="000000" w:themeColor="text1"/>
          <w:sz w:val="24"/>
          <w:szCs w:val="24"/>
          <w:highlight w:val="none"/>
          <w:u w:val="single"/>
          <w14:textFill>
            <w14:solidFill>
              <w14:schemeClr w14:val="tx1"/>
            </w14:solidFill>
          </w14:textFill>
        </w:rPr>
        <w:t xml:space="preserve">2套(其中1套为编制竣工图所用)，承包人需要更多份数时，可通过发包人复制，费用由承包人自行承担。</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已经审核的工程施工全套图纸（发包人不提供所配套的有关图集 ），承包人需要更多份数时，可通过发包人复制，费用由承包人自行承担。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发包人对图纸的保密要求：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除法律规定或合同另有约定外，未经发包人同意，承包人不得因本工程以外的原因复制本工程图纸、相关文件等，不得向第三方提供有关本工程的任何技术资料。</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1.6.4 承包人文件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需要由承包人提供的文件，包括但不限于：</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①按 GB/T50502、本合同第二部分 通用合同条款 7.1 和 7.2 编制施工组织设计、施工措施计划、施工方案、扬尘污染防治措施报监理人审核和发包人确认；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②由承包人办理的许可和批准的办理结果书面报送监理人审核和发包人确认、留存；</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③拟制施工人员名册（动态），并与为其办理工伤保险的有效证明一起报送监理人审核和发包人确认；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⑤特殊工种作业人员资格证明报送监理人审核和发包人确认；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⑥项目经理的姓名、职称、联系方式、授权范围等事项，和与承包人之间的正式聘用劳动合同、承包人为其缴纳社会保险的有效证明，一起报送监理人审核和发包人确认；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⑦工程质量管理体系及措施文件、质量检查制度、质量控制文件，报送监理人审核和发包人确认；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⑧工程安全管理体系及措施文件、安全检查制度、安全控制文件，报送监理人审核和发包人确认；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⑨发包人管理需要的其他文件；</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⑩上述文件如发包人因管理需增加时，承包人有义务按发包人提出的形式、格式、数量、时间等要求提供</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承包人提供的文件的期限为：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合同签定后7日内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承包人提供的文件的数量为：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纸质版1套，电子版一套</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承包人提供的文件的形式为：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加盖承包人鲜章（公章）的书面文件及电子版</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发包人审批承包人文件的期限：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7日内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1.6.5 现场图纸准备</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关于现场图纸准备的约定：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承包人应在施工现场保存一套完整的图纸和承包人文件，供发包人、监理人及有关人员进行工程检查时使用。</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1.7 联络</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1.7.1发包人和承包人应当在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5 </w:t>
      </w:r>
      <w:r>
        <w:rPr>
          <w:rFonts w:hint="eastAsia" w:ascii="仿宋" w:hAnsi="仿宋" w:eastAsia="仿宋" w:cs="仿宋"/>
          <w:color w:val="000000" w:themeColor="text1"/>
          <w:sz w:val="24"/>
          <w:szCs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1.7.2发包人接收文件的地点：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发包人指定地点；</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发包人派驻现场代表；</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现场项目部办公室；</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承包人项目经理；</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监理人施工现场办公室；</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总监或总监代表。</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1.10 交通运输</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1.10.1 出入现场的权利：</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由承包人按发包人要求负责取得出入施工现场所需的批准手续和全部权利，以及取得因施工所需修建道路以及其他基础设施的权利，并承担相关手续费用和建设费用，此费用包含在合同价款内。发包人应协助承包人办理上述手续。</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1.10.3 场内交通</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关于场外交通和场内交通的边界的约定：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以现场实际施工条件为准。</w:t>
      </w:r>
      <w:r/>
    </w:p>
    <w:p>
      <w:pPr>
        <w:ind w:firstLine="480"/>
        <w:jc w:val="left"/>
        <w:spacing w:line="360" w:lineRule="auto"/>
        <w:rPr>
          <w:rFonts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关于发包人向承包人免费提供满足工程施工需要的场内道路和交通设施的约定：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以现场实际施工条件为准。</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1.10.4超大件和超重件的运输</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运输超大件或超重件所需的道路和桥梁临时加固改造费用和其他有关费用由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1.11 知识产权</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关于发包人提供的上述文件的使用限制的要求：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1.11.2 关于承包人为实施工程所编制文件的著作权的归属：</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关于承包人提供的上述文件的使用限制的要求：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1.11.4 承包人在施工过程中所采用的专利、专有技术、技术秘密的使用费的承担方式：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1.13工程量清单错误的修正</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出现工程量清单错误时，是否调整合同价格：</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ind w:firstLine="480"/>
        <w:jc w:val="left"/>
        <w:spacing w:line="360" w:lineRule="auto"/>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允许调整合同价格的工程量偏差范围：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执行“12.合同价格、计量与支付”相关条款</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keepLines/>
        <w:keepNext/>
        <w:rPr>
          <w:rFonts w:ascii="仿宋" w:hAnsi="仿宋" w:eastAsia="仿宋" w:cs="仿宋"/>
          <w:b/>
          <w:bCs/>
          <w:color w:val="000000" w:themeColor="text1"/>
          <w:sz w:val="24"/>
          <w:szCs w:val="24"/>
          <w:highlight w:val="none"/>
          <w14:textFill>
            <w14:solidFill>
              <w14:schemeClr w14:val="tx1"/>
            </w14:solidFill>
          </w14:textFill>
        </w:rPr>
        <w:outlineLvl w:val="3"/>
      </w:pPr>
      <w:r>
        <w:rPr>
          <w:rFonts w:hint="eastAsia" w:ascii="仿宋" w:hAnsi="仿宋" w:eastAsia="仿宋" w:cs="仿宋"/>
          <w:b/>
          <w:bCs/>
          <w:color w:val="000000" w:themeColor="text1"/>
          <w:sz w:val="24"/>
          <w:szCs w:val="24"/>
          <w:highlight w:val="none"/>
          <w14:textFill>
            <w14:solidFill>
              <w14:schemeClr w14:val="tx1"/>
            </w14:solidFill>
          </w14:textFill>
        </w:rPr>
        <w:t xml:space="preserve">2. 发包人</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2.2 发包人代表</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发包人代表：</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    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项目负责人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发包人对发包人代表的授权范围如下：</w:t>
      </w:r>
      <w:r>
        <w:rPr>
          <w:rFonts w:hint="eastAsia" w:ascii="仿宋" w:hAnsi="仿宋" w:eastAsia="仿宋" w:cs="仿宋"/>
          <w:color w:val="000000" w:themeColor="text1"/>
          <w:sz w:val="24"/>
          <w:szCs w:val="24"/>
          <w:highlight w:val="none"/>
          <w:u w:val="single"/>
          <w14:textFill>
            <w14:solidFill>
              <w14:schemeClr w14:val="tx1"/>
            </w14:solidFill>
          </w14:textFill>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2.4 施工现场、施工条件和基础资料的提供</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2.4.1 提供施工现场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关于发包人移交施工现场的期限要求：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开工通知载明的开工日期7日前。</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2.4.2 提供施工条件</w:t>
      </w:r>
      <w:r/>
    </w:p>
    <w:p>
      <w:pPr>
        <w:ind w:firstLine="60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关于发包人应负责提供施工所需要的条件，包括：</w:t>
      </w:r>
      <w:r/>
    </w:p>
    <w:p>
      <w:pPr>
        <w:ind w:firstLine="60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 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施工过程中，所产生的电费由承包人自行及时向供电部门缴纳，因电费缴纳不及时造成的责任由承包人自行承担，为非发包人责任。</w:t>
      </w:r>
      <w:r/>
    </w:p>
    <w:p>
      <w:pPr>
        <w:ind w:firstLine="60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水费由承包人购买水表安装计量实际用水量，由承包人按表数缴纳水费。</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2.5资金来源证明及支付担保</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发包人提供资金来源证明的期限要求：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发包人是否提供支付担保：</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否</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发包人提供支付担保的形式：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3. 承包人</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3.1 承包人的一般义务：</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承包人提交的竣工资料的内容：</w:t>
      </w:r>
      <w:r>
        <w:rPr>
          <w:rFonts w:hint="eastAsia" w:ascii="仿宋" w:hAnsi="仿宋" w:eastAsia="仿宋" w:cs="仿宋"/>
          <w:color w:val="000000"/>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承包人需要提交的竣工资料套数：</w:t>
      </w:r>
      <w:r>
        <w:rPr>
          <w:rFonts w:hint="eastAsia" w:ascii="仿宋" w:hAnsi="仿宋" w:eastAsia="仿宋" w:cs="仿宋"/>
          <w:color w:val="000000"/>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承包人提交的竣工资料的费用承担：</w:t>
      </w:r>
      <w:r>
        <w:rPr>
          <w:rFonts w:hint="eastAsia" w:ascii="仿宋" w:hAnsi="仿宋" w:eastAsia="仿宋" w:cs="仿宋"/>
          <w:color w:val="000000"/>
          <w:sz w:val="24"/>
          <w:szCs w:val="24"/>
          <w:highlight w:val="none"/>
          <w:u w:val="single"/>
        </w:rPr>
        <w:t xml:space="preserve">由承包人承担</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承包人提交的竣工资料移交时间：</w:t>
      </w:r>
      <w:r>
        <w:rPr>
          <w:rFonts w:hint="eastAsia" w:ascii="仿宋" w:hAnsi="仿宋" w:eastAsia="仿宋" w:cs="仿宋"/>
          <w:color w:val="000000"/>
          <w:sz w:val="24"/>
          <w:szCs w:val="24"/>
          <w:highlight w:val="none"/>
          <w:u w:val="single"/>
        </w:rPr>
        <w:t xml:space="preserve">工程竣工验收合格之日起28日内完成移交，若逾期提交，发包人有权暂停支付工程款</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承包人提交的竣工资料形式要求：</w:t>
      </w:r>
      <w:r>
        <w:rPr>
          <w:rFonts w:hint="eastAsia" w:ascii="仿宋" w:hAnsi="仿宋" w:eastAsia="仿宋" w:cs="仿宋"/>
          <w:color w:val="000000"/>
          <w:sz w:val="24"/>
          <w:szCs w:val="24"/>
          <w:highlight w:val="none"/>
          <w:u w:val="single"/>
        </w:rPr>
        <w:t xml:space="preserve">立卷、装订成册的纸质文档和电子文档</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承包人应履行的其他义务：</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⑴施工过程中的排污、环保、渣土、环卫、市容、城建、城管、治安、人口管理等相关手续以及施工过程中需要办理的相关批复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⑵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承包人在施工现场负责工地安全保卫，维护工地治安，协调与周边环境的劳务纠纷，杜绝施工人员在工地斗殴。如承包人未履行上述义务造成工程财产、人身伤害等，由承包人承担全部责任</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⑶承包人负责采取有效措施对已完成工程成品的保护，费用由承包人承担。保护期间发生的损坏承包人自费予以修理。损坏其他单位所承担的施工内容，由承包人负责赔偿，并承担修复费用</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⑷符合徐州市有关部门规定的标准化施工现场要求，同时应满足市政、市容等相关主管部门的有关规定。道路施工工地一律实行封闭施工、防尘网覆盖、定时洒水，控制扬尘污染等安全文明施工措施。不符合要求者，承包人应承担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⑸承担施工安全保卫工作及非夜间施工照明的责任和要求：由承包人按建设行政管理部门和相关部门的要求自行承担，并设置明显警示标志和专职人员维护公共安全</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⑹需承包人办理的有关施工场地交通、环卫和施工噪音管理等手续：由承包人负责承担，费用也由承包方承担并综合考虑在投标报价内</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⑺已完工程成品保护的特殊要求及费用承担：由承包人负责承担</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⑻施工场地清洁卫生和要求：应按建设行政主管部门和相关部门的规定办理，所需费用由承包人负担</w:t>
      </w:r>
      <w:r>
        <w:rPr>
          <w:rFonts w:hint="eastAsia" w:ascii="仿宋" w:hAnsi="仿宋" w:eastAsia="仿宋" w:cs="仿宋"/>
          <w:color w:val="000000"/>
          <w:sz w:val="24"/>
          <w:szCs w:val="24"/>
          <w:highlight w:val="none"/>
        </w:rPr>
        <w:t xml:space="preserve">。</w:t>
      </w:r>
      <w:r/>
    </w:p>
    <w:p>
      <w:pPr>
        <w:ind w:firstLine="480"/>
        <w:spacing w:line="2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⑼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rPr>
          <w:rFonts w:hint="eastAsia" w:ascii="仿宋" w:hAnsi="仿宋" w:eastAsia="仿宋" w:cs="仿宋"/>
          <w:color w:val="000000"/>
          <w:sz w:val="24"/>
          <w:szCs w:val="24"/>
          <w:highlight w:val="none"/>
        </w:rPr>
        <w:t xml:space="preserve">。</w:t>
      </w:r>
      <w:r/>
    </w:p>
    <w:p>
      <w:pPr>
        <w:contextualSpacing/>
        <w:ind w:firstLine="480"/>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⑽承包人应积极配合各类上级主管部门的各项检查及验收工作等，并积极做好各项迎检工作，所产生费用由承包人承担。若承包人拒绝配合，发包人有权安排其他施工单位配合，所需费用从承包人工程款中扣除</w:t>
      </w:r>
      <w:r>
        <w:rPr>
          <w:rFonts w:hint="eastAsia" w:ascii="仿宋" w:hAnsi="仿宋" w:eastAsia="仿宋" w:cs="仿宋"/>
          <w:color w:val="000000"/>
          <w:sz w:val="24"/>
          <w:szCs w:val="24"/>
          <w:highlight w:val="none"/>
        </w:rPr>
        <w:t xml:space="preserve">。</w:t>
      </w:r>
      <w:r/>
    </w:p>
    <w:p>
      <w:pPr>
        <w:contextualSpacing/>
        <w:ind w:firstLine="420"/>
        <w:jc w:val="left"/>
        <w:spacing w:before="240" w:after="240"/>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⑾应提供计划、报表的名称及完成时间：按周提供，每周日之前提供当周完成进度及下周施工计划</w:t>
      </w:r>
      <w:r>
        <w:rPr>
          <w:rFonts w:hint="eastAsia" w:ascii="仿宋" w:hAnsi="仿宋" w:eastAsia="仿宋" w:cs="仿宋"/>
          <w:color w:val="000000"/>
          <w:sz w:val="24"/>
          <w:szCs w:val="24"/>
          <w:highlight w:val="none"/>
        </w:rPr>
        <w:t xml:space="preserve">。</w:t>
      </w:r>
      <w:r/>
    </w:p>
    <w:p>
      <w:pPr>
        <w:contextualSpacing/>
        <w:ind w:firstLine="420"/>
        <w:jc w:val="left"/>
        <w:spacing w:before="240" w:after="240"/>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⑿承包人按规定做好施工场地周围地下管线和邻近建筑物的保护</w:t>
      </w:r>
      <w:r>
        <w:rPr>
          <w:rFonts w:hint="eastAsia" w:ascii="仿宋" w:hAnsi="仿宋" w:eastAsia="仿宋" w:cs="仿宋"/>
          <w:color w:val="000000"/>
          <w:sz w:val="24"/>
          <w:szCs w:val="24"/>
          <w:highlight w:val="none"/>
        </w:rPr>
        <w:t xml:space="preserve">。</w:t>
      </w:r>
      <w:r/>
    </w:p>
    <w:p>
      <w:pPr>
        <w:contextualSpacing/>
        <w:ind w:firstLine="420"/>
        <w:jc w:val="left"/>
        <w:spacing w:before="240" w:after="240"/>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⒀向发包人提供的办公和生活房屋及设施的要求：发包人驻施工现场管理人员必要的办公用房及设施由承包人负责免费提供</w:t>
      </w:r>
      <w:r>
        <w:rPr>
          <w:rFonts w:hint="eastAsia" w:ascii="仿宋" w:hAnsi="仿宋" w:eastAsia="仿宋" w:cs="仿宋"/>
          <w:color w:val="000000"/>
          <w:sz w:val="24"/>
          <w:szCs w:val="24"/>
          <w:highlight w:val="none"/>
        </w:rPr>
        <w:t xml:space="preserve">。</w:t>
      </w:r>
      <w:r/>
    </w:p>
    <w:p>
      <w:pPr>
        <w:contextualSpacing/>
        <w:ind w:firstLine="480"/>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⒁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(15)如施工现场发现地下埋藏文物、古迹， 承包人应当及时报告文物管理部门，并负责保护现场，防止破坏和灭失。因此引起的工期损失或施工合同重大变更，按《文物保护法》和国务院颁布的《文物保护法实施条例》以及《徐州市文物保护管理条例》执行</w:t>
      </w:r>
      <w:r>
        <w:rPr>
          <w:rFonts w:hint="eastAsia" w:ascii="仿宋" w:hAnsi="仿宋" w:eastAsia="仿宋" w:cs="仿宋"/>
          <w:color w:val="000000"/>
          <w:sz w:val="24"/>
          <w:szCs w:val="24"/>
          <w:highlight w:val="none"/>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3.2 项目经理</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3.2.1 项目经理：</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建造师执业资格等级：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建造师注册证书号：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建造师执业印章号：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安全生产考核合格证书号：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承包人对项目经理的授权范围如下：</w:t>
      </w:r>
      <w:r>
        <w:rPr>
          <w:rFonts w:hint="eastAsia" w:ascii="仿宋" w:hAnsi="仿宋" w:eastAsia="仿宋" w:cs="仿宋"/>
          <w:color w:val="000000" w:themeColor="text1"/>
          <w:sz w:val="24"/>
          <w:szCs w:val="24"/>
          <w:highlight w:val="none"/>
          <w:u w:val="single"/>
          <w14:textFill>
            <w14:solidFill>
              <w14:schemeClr w14:val="tx1"/>
            </w14:solidFill>
          </w14:textFill>
        </w:rPr>
        <w:t xml:space="preserve">对工程质量、安全、进度和文明施工全面负责，并完成承包人应做的各项工作。</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关于项目经理每月在施工现场的时间要求： </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开工之日到竣工结束，项目经理每周不少于5天，每天必须不少于8小时在现场组织施工。</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承包人未提交劳动合同，以及没有为项目经理缴纳社会保险证明的违约责任：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由承包人自行承担 。</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项目经理未经批准，擅自离开施工现场的违约责任：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每查实一次向发包人支付违约金2000元，费用从当期应付工程款中直接扣除。如有特殊情况离开现场，应提前报请监理人、发包人同意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3.2.2承包人如未经发包人同意承包人擅自更换项目经理，或发包人认为承包人委派的项目经理工作能力和业务水平不称职，需重新委派称职项目经理时，则视为承包人委派的项目经理因故不能履行职责的行为；承包人项目经理因故不能履责的，承包人法定代表人自愿出任项目经理代行履责，否则，发包人有权解除合同，承包人并应承担违约责任。</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3.2.3 承包人擅自更换项目经理的违约责任：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的项目经理必须按投标文件中选派的项目经理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7天向监理人、发包人申请，获得批准后方可更换，否则每擅自更换一次，发包人有权在进度款中扣除3万元，作为承包人的违约金。</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3.2.4 承包人无正当理由拒绝更换项目经理的违约责任：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在的进度款中扣除2万元直至终止施工合同并没收履约保证金，由此所造成的一切经济损失及后果均由承包人承担。</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3.3 承包人人员</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3.3.1 承包人提交项目管理机构及施工现场管理人员安排报告的期限：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合同签订后，开工前7日内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3.3.3 承包人无正当理由拒绝撤换主要施工管理人员的违约责任：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在进度款中扣除1万元直至终止施工合同并没收履约保证金，由不称职人员所造成的一切经济损失及后果均由承包人承担。</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3.3.4 承包人主要施工管理人员离开施工现场的批准要求：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提前报请监理人、发包人同意后方可离场。</w:t>
      </w:r>
      <w:r/>
    </w:p>
    <w:p>
      <w:pPr>
        <w:ind w:firstLine="54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3.3.5承包人擅自更换主要施工管理人员的违约责任：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施工期间承包人派驻现场的主要施工管理人员必须与投标文件的人员名单保持一致,如不一致，按照10000元/人的标准支付违约金。费用从工程预付款中直接扣除。如有特殊情况确需调整人员配置，承包人应报请监理人、发包人同意后方可调整。</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承包人主要施工管理人员擅自离开施工现场的违约责任：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每查实一次支付违约金1000元/人次，费用从当期应付工程款中直接扣除。如有特殊情况离开现场，应提前报请监理人、发包人同意。</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3.5 分包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3.5.1 分包的一般约定</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禁止分包的工程包括：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除本合同3.5.2条允许分包的专业工程外的其他所有承包人承包范围内的工程。</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主体结构、关键性工作的范围：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执行国家相关法律、法规规定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3.5.2分包的确定</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允许分包的专业工程包括：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执行国家相关法律、法规规定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其他关于分包的约定：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（1）承包人应经发包人同意依法确定专业分包承包单位，并完成分包合同备案、办理相应的质检、安监手续（如有）。（2）专业分包合同必须报发包人和监理人，并纳入总承包管理范围。</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3.5.4 分包合同价款</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关于分包合同价款支付的约定：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由承包人根据分包合同支付 。</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3.6 工程照管与成品、半成品保护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承包人负责照管工程及工程相关的材料、工程设施的起始时间：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工程施工开始至竣工验收合格并办理完工程移交手续止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3.7 履约担保</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承包人是否提供履约担保：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是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承包人提供履约担保的形式、金额及期限的：</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履约保证金的金额：</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color w:val="000000" w:themeColor="text1"/>
          <w:sz w:val="24"/>
          <w:szCs w:val="24"/>
          <w:highlight w:val="none"/>
          <w14:textFill>
            <w14:solidFill>
              <w14:schemeClr w14:val="tx1"/>
            </w14:solidFill>
          </w14:textFill>
        </w:rPr>
        <w:t xml:space="preserve"> 万元整（签约合同总价的10%），承包人在本合同签订前按上述形式向发包人提交，否则发包人可以取消其中标资格。</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履约保证金的形式：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履约保证金应当以支票、本票、汇票或金融机构、担保机构出具的保函等非现金形式提交</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履约保证金的返还：</w:t>
      </w:r>
      <w:r>
        <w:rPr>
          <w:rFonts w:hint="eastAsia" w:ascii="仿宋" w:hAnsi="仿宋" w:eastAsia="仿宋" w:cs="仿宋"/>
          <w:color w:val="000000"/>
          <w:sz w:val="24"/>
          <w:szCs w:val="24"/>
          <w:highlight w:val="none"/>
          <w:u w:val="single"/>
        </w:rPr>
        <w:t xml:space="preserve">质保期满结算违约赔偿（如有）后7个工作日内无息退还，保修期内，由承包人原因造成的缺陷，承包人应负责维修，并承担鉴定及维修费用。如承包人不维修也不承担费用，发包人可按合同约定从履约保证金中扣除，费用超出的，发包人可按合同约定向承包人进行索赔。承包人维修并承担相应费用后，不免除对工程的损失赔偿责任。</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履约保证金不予退还情形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：①承包人不履行与发包人订立的合同的，履约保证金不予退还。②项目验收结果不合格的，履约保证金将不予退还。③其他违反国家相关法律法规及本合同相关约定的情形。</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4. 监理人（如有）</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4.1监理人的一般规定</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关于监理人的监理内容：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监理人需根据与发包人签订的委托监理合同约定履行职责、行使权力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关于监理人的监理权限：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须经发包人事先批准行使的权力如下（包含但不限于）：</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 发布开工令、暂时停工或复工令；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 审查技术规范（规定）或设计的变更，经发包人同意后批准实施；</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 审核索赔额与现场签证，并上报发包人；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 本工程中所有涉及改变技术类、经济类的文件。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关于监理人在施工现场的办公场所、生活场所的提供和费用承担的约定：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由承包人提供并承担费用</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4.2 监理人员</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总监理工程师：</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    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监理工程师执业资格证书号：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关于监理人的其他约定：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4.4 商定或确定</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在发包人和承包人不能通过协商达成一致意见时，发包人授权监理人对以下事项进行确定：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具体工序质量的判定 。</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5. 工程质量</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5.1 质量要求</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5.1.1 特殊质量标准和要求：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合格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关于工程奖项的约定：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5.3 隐蔽工程检查</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5.3.2承包人提前通知监理人隐蔽工程检查的期限的约定：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监理人不能按时进行检查时，应提前</w:t>
      </w:r>
      <w:r>
        <w:rPr>
          <w:rFonts w:hint="eastAsia" w:ascii="仿宋" w:hAnsi="仿宋" w:eastAsia="仿宋" w:cs="仿宋"/>
          <w:color w:val="000000" w:themeColor="text1"/>
          <w:sz w:val="24"/>
          <w:szCs w:val="24"/>
          <w:highlight w:val="none"/>
          <w:u w:val="single"/>
          <w14:textFill>
            <w14:solidFill>
              <w14:schemeClr w14:val="tx1"/>
            </w14:solidFill>
          </w14:textFill>
        </w:rPr>
        <w:t xml:space="preserve">8</w:t>
      </w:r>
      <w:r>
        <w:rPr>
          <w:rFonts w:hint="eastAsia" w:ascii="仿宋" w:hAnsi="仿宋" w:eastAsia="仿宋" w:cs="仿宋"/>
          <w:color w:val="000000" w:themeColor="text1"/>
          <w:sz w:val="24"/>
          <w:szCs w:val="24"/>
          <w:highlight w:val="none"/>
          <w14:textFill>
            <w14:solidFill>
              <w14:schemeClr w14:val="tx1"/>
            </w14:solidFill>
          </w14:textFill>
        </w:rPr>
        <w:t xml:space="preserve">小时提交书面延期要求。</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关于延期最长不得超过：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24</w:t>
      </w:r>
      <w:r>
        <w:rPr>
          <w:rFonts w:hint="eastAsia" w:ascii="仿宋" w:hAnsi="仿宋" w:eastAsia="仿宋" w:cs="仿宋"/>
          <w:color w:val="000000" w:themeColor="text1"/>
          <w:sz w:val="24"/>
          <w:szCs w:val="24"/>
          <w:highlight w:val="none"/>
          <w14:textFill>
            <w14:solidFill>
              <w14:schemeClr w14:val="tx1"/>
            </w14:solidFill>
          </w14:textFill>
        </w:rPr>
        <w:t xml:space="preserve">小时。</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6. 安全文明施工与环境保护</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6.1安全文明施工</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6.1.1 项目安全生产的达标目标及相应事项的约定：</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（2）施工过程中的排污、渣土、环卫、市容、城建、城管、治安等相关手续由承包人按规定负责办理并承担因此产生的一切费用。</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（3）承包人负责采取有效措施对已完成工程成品的保护，费用由承包人承担。保护期间发生的损坏承包人自费予以修理。损坏其他单位所承担的施工内容，由承包人负责赔偿，并承担修复费用。</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（4）承包人按规定做好施工场地周围地下管线和邻近建筑物的保护。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（5）其安全文明施工费已经含在合同价款（即中标价）内。</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（6）消防设备：在施工期间，承包人应按需要提供灭火器、沙桶和其它有效的消防设备，应符合当地政府法规及其它由工程师规定的要求。</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（7）承包人负责在工程施工至竣工前及保修过程中施工现场全部承包方、相应工作人员及施工现场第三方人员的安全。发包人不承担承包人及其分包单位雇工或其他施工现场第三方人员的伤亡赔偿或补偿责任。</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（8）承包人在施工现场的安全管理、教育和安全事故的责任皆由承包人自行承担。承包人违反安全施工的有关规定，其责任及所发生的一切费用由承包人自行承担。  </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9）承包人应遵守工程建设安全生产有关管理规定，严格按现行安全标准组织施工，并随时接受行业安全检查人员、监理方和甲方的监督检查，采取必要的安全防护措施，消除事故隐患，安全文明施工费用已经含在合同价款（即中标价）内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6.1.4 关于治安保卫的特别约定：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关于编制施工场地治安管理计划的约定：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开工通知载明的开工日期7天前提交施工场地治安管理计划。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6.1.5 文明施工</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合同当事人对文明施工的要求：</w:t>
      </w:r>
      <w:r/>
    </w:p>
    <w:p>
      <w:pPr>
        <w:ind w:firstLine="480"/>
        <w:jc w:val="left"/>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符合徐州市有关部门规定的标准化施工现场要求，同时应满足市政、市容等相关主管部门的有关规定 。</w:t>
      </w:r>
      <w:r/>
    </w:p>
    <w:p>
      <w:pPr>
        <w:ind w:firstLine="480"/>
        <w:jc w:val="left"/>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按照《徐州市市区工地扬尘污染防</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治管理规范》的要求，制定并落实扬尘污染防治措施；开工前 15 日内向项目所在地环境保护行政主管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firstLine="480"/>
        <w:jc w:val="left"/>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承包人不得以现场增加投入、赶工等借口拖延工期或申请追加合同金额，否则视为违约。</w:t>
      </w:r>
      <w:r/>
    </w:p>
    <w:p>
      <w:pPr>
        <w:ind w:firstLine="480"/>
        <w:jc w:val="left"/>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交工后一周内彻底清洁完毕撤离现场。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6.1.6 关于安全文明施工费支付比例和支付期限的约定：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含在合同工程款中支付。</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7. 工期和进度</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7.1 施工组织设计</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7.1.1 合同当事人约定的施工组织设计应包括的其他内容：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1）施工方案；（2）施工现场平面布置图；（3）施工进度计划和保证措施；（4）劳动力及材料供应计划；（5）施工机械设备的选用；（6）质量保证体系及措施；（7）安全生产、文明施工措施；（8）环境保护、成本控制措施；（9）合同当事人约定的其它内容。</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7.1.2 施工组织设计的提交和修改</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承包人提交详细施工组织设计的期限的约定：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开工前7天</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发包人和监理人在收到详细的施工组织设计后确认或提出修改意见的期限：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7.2 施工进度计划</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7.2.2 施工进度计划的修订</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发包人和监理人在收到修订的施工进度计划后确认或提出修改意见的期限：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收到后7天内 。施工期间，承包人每周日前向监理工程师报送下周的“周进度工程计划表”，经监理工程师审核和发包人代表确认后，应于2日内返回承包人；“周进度工程计划表”如需修改时，应于2日内发回承包人修改，承包人须于次日报送修改稿。 </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7.3 开工</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7.3.1 开工准备</w:t>
      </w:r>
      <w:r/>
    </w:p>
    <w:p>
      <w:pPr>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关于承包人提交工程开工报审表的期限：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合同签订后、开工前。</w:t>
      </w:r>
      <w:r/>
    </w:p>
    <w:p>
      <w:pPr>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关于发包人应完成的其他开工准备工作及期限：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关于承包人应完成的其他开工准备工作及期限：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7.3.2开工通知</w:t>
      </w:r>
      <w:r/>
    </w:p>
    <w:p>
      <w:pPr>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因发包人原因造成监理人未能在计划开工日期之日起</w:t>
      </w:r>
      <w:r>
        <w:rPr>
          <w:rFonts w:hint="eastAsia" w:ascii="仿宋" w:hAnsi="仿宋" w:eastAsia="仿宋" w:cs="仿宋"/>
          <w:bCs/>
          <w:sz w:val="24"/>
          <w:szCs w:val="24"/>
          <w:highlight w:val="none"/>
          <w:u w:val="single"/>
        </w:rPr>
        <w:t xml:space="preserve">30</w:t>
      </w:r>
      <w:r>
        <w:rPr>
          <w:rFonts w:hint="eastAsia" w:ascii="仿宋" w:hAnsi="仿宋" w:eastAsia="仿宋" w:cs="仿宋"/>
          <w:sz w:val="24"/>
          <w:szCs w:val="24"/>
          <w:highlight w:val="none"/>
        </w:rPr>
        <w:t xml:space="preserve">天内发出开工通知的，承包人有权提出价格调整要求，或者解除合同。</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7.4 测量放线</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7.4.1发包人通过监理人向承包人提供测量基准点、基准线和水准点及其书面资料的期限：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7.5 工期延误</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7.5.1 因发包人原因导致工期延误</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由于发包人原因导致的工期延误,工期可相应顺延。发包人的延误仅顺延工期, 合同工期作相应调整,承包人不得提出任何其他补偿或索赔费用。</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（7）因发包人原因导致工期延误的其他情形：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7.5.2 因承包人原因导致工期延误</w:t>
      </w:r>
      <w:r/>
    </w:p>
    <w:p>
      <w:pPr>
        <w:ind w:firstLine="480"/>
        <w:jc w:val="left"/>
        <w:spacing w:line="360" w:lineRule="auto"/>
        <w:rPr>
          <w:rFonts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因承包人原因造成工期延误，逾期竣工违约金的计算方法为：</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1）工期每逾期1天，每天按5000元计算违约金，且发包人有权采取任何补救措施来弥补该延误，由此增加的费用由承包人承担。（2）因承包人自身原因，达不到合同约定的工程质量标准，同时承包人自愿进行整改的，其整改所总时间计算在合同总工期内。</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因承包人原因造成工期延误，逾期竣工违约金的上限：</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合同总价的20%</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7.6 不利物质条件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不利物质条件的其他情形和有关约定：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7.7异常恶劣的气候条件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发包人和承包人同意以下情形视为异常恶劣的气候条件：</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7.9 提前竣工的奖励</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7.9.2提前竣工的奖励：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8. 材料与设备</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8.4材料与工程设备的保管与使用</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8.4.1发包人供应的材料设备的保管费用的承担：</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承包人承担</w:t>
      </w:r>
      <w:r>
        <w:rPr>
          <w:rFonts w:hint="eastAsia" w:ascii="仿宋" w:hAnsi="仿宋" w:eastAsia="仿宋" w:cs="仿宋"/>
          <w:color w:val="000000" w:themeColor="text1"/>
          <w:sz w:val="24"/>
          <w:szCs w:val="24"/>
          <w:highlight w:val="none"/>
          <w:u w:val="single"/>
          <w14:textFill>
            <w14:solidFill>
              <w14:schemeClr w14:val="tx1"/>
            </w14:solidFill>
          </w14:textFill>
        </w:rPr>
        <w:tab/>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8.6 样品</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8.6.1</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样品的报送与封存</w:t>
      </w:r>
      <w:r/>
    </w:p>
    <w:p>
      <w:pPr>
        <w:ind w:firstLine="42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需要承包人报送样品的材料或工程设备，样品的种类、名称、规格、数量要求：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按发包人要求确定。</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8.8 施工设备和临时设施</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8.8.1 承包人提供的施工设备和临时设施</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关于修建临时设施费用承担的约定：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已包含在合同总价中，结算时不调整。另外发包人驻施工现场管理人员必要的办公用房及设施由承包人负责免费提供。</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9. 试验与检验</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9.1试验设备与试验人员</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9.1.2 试验设备</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施工现场需要配置的试验场所：</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符合相关规范规定，满足施工材料、施工工序自检需要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施工现场需要配备的试验设备：</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符合相关规范规定，满足施工材料、施工工序自检需要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施工现场需要具备的其他试验条件：</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符合相关规范规定，满足施工材料、施工工序自检需要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9.4 现场工艺试验 </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现场工艺试验的有关约定：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监理单位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10. 变更</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10.1变更的范围</w:t>
      </w:r>
      <w:r/>
    </w:p>
    <w:p>
      <w:pPr>
        <w:ind w:firstLine="600"/>
        <w:jc w:val="left"/>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关于变更的范围的约定：</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除设计变更、现场签证和新增（减）工程外,其余均不作调整；设计变更须经设计院、监理工程师和发包人代表签字认可，现场签证、新增（减）工程须监理工程师和发包人代表签字认可，且以上都需跟踪审计单位审核确认。</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10.4 变更估价</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10.4.1 变更估价原则</w:t>
      </w:r>
      <w:r/>
    </w:p>
    <w:p>
      <w:pPr>
        <w:ind w:firstLine="480"/>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关于变更估价的约定：</w:t>
      </w:r>
      <w:r/>
    </w:p>
    <w:p>
      <w:pPr>
        <w:ind w:firstLine="480"/>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（1）现场签证及设计变更引起新增工程量清单项目，在施工过程中经</w:t>
      </w:r>
      <w:r>
        <w:rPr>
          <w:rFonts w:hint="eastAsia" w:ascii="仿宋" w:hAnsi="仿宋" w:eastAsia="仿宋" w:cs="仿宋"/>
          <w:color w:val="000000" w:themeColor="text1"/>
          <w:sz w:val="24"/>
          <w:szCs w:val="24"/>
          <w:highlight w:val="none"/>
          <w:u w:val="single"/>
          <w14:textFill>
            <w14:solidFill>
              <w14:schemeClr w14:val="tx1"/>
            </w14:solidFill>
          </w14:textFill>
        </w:rPr>
        <w:t xml:space="preserve">跟踪审计单位（如有）、监理单位、</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发包人代表确认后，其综合单价结算时按以下原则调整：</w:t>
      </w:r>
      <w:r>
        <w:rPr>
          <w:rFonts w:hint="eastAsia" w:ascii="仿宋" w:hAnsi="仿宋" w:eastAsia="仿宋" w:cs="仿宋"/>
          <w:color w:val="000000" w:themeColor="text1"/>
          <w:sz w:val="24"/>
          <w:szCs w:val="24"/>
          <w:highlight w:val="none"/>
          <w:u w:val="single"/>
          <w14:textFill>
            <w14:solidFill>
              <w14:schemeClr w14:val="tx1"/>
            </w14:solidFill>
          </w14:textFill>
        </w:rPr>
        <w:t xml:space="preserve">①合同中已有适用的固定单价，按合同中已有的固定单价结算；②合同中有类似单价的，参照类似单价重新组价；③合同中没有适用或类似的综合单价的，</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按招标控制价计价办法计算，并乘以中标价与招标控制价的下浮比率作为结算依据。</w:t>
      </w:r>
      <w:r/>
    </w:p>
    <w:p>
      <w:pPr>
        <w:ind w:firstLine="480"/>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（2）对于在施工期间出台的有关政策导致规费、税金发生变化的，按相关规定进行调整；</w:t>
      </w:r>
      <w:r/>
    </w:p>
    <w:p>
      <w:pPr>
        <w:ind w:firstLine="480"/>
        <w:jc w:val="left"/>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（3）发包人保留在施工过程中增加或取消工程内容的权利，承包人应无条件配合；</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（4）清单项目中特征描述不全的工序，如图纸已明确或已指明引用的规范、图集等或是常规工艺的工序，均视为全部包括在投标报价中，结算时综合单价不做调整。</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10.5承包人的合理化建议</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监理人审查承包人合理化建议的期限：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2日历天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发包人审批承包人合理化建议的期限：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2日历天 。</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承包人提出的合理化建议降低了合同价格或者提高了工程经济效益的奖励的方法和金额为：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11. 价格调整</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11.1 市场价格波动引起的调整</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市场价格波动是否调整合同价格的约定：</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承包人应充分考虑施工期间各类建材的市场风险，合同约定由承包人供应的材料，其价格除招标文件约定的风险外，今后不作调整。</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因市场价格波动调整合同价格，采用以下第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种方式对合同价格进行调整：</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第1种方式：采用价格指数进行价格调整。</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关于各可调因子、定值和变值权重，以及基本价格指数及其来源的约定：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第2种方式：采用造价信息进行价格调整。</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（2）关于基准价格的约定：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%时，或材料单价跌幅以已标价工程量清单或预算书中载明材料单价为基础超过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%时，其超过部分据实调整。</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%时，材料单价涨幅以已标价工程量清单或预算书中载明材料单价为基础超过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%时，其超过部分据实调整。</w:t>
      </w:r>
      <w:r/>
    </w:p>
    <w:p>
      <w:pPr>
        <w:ind w:firstLine="645"/>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%时，其超过部分据实调整。</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第3种方式：其他价格调整方式：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12. 合同价格、计量与支付</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12.1 合同价格形式</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1、单价合同。</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综合单价包含的风险范围：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a人工费调增的风险；b除第11条约定外材料费、机械费结算不予调整，措施费不予调整；c合同和招标文件中明示及隐含的风险及有经验的承包商可以或应该预见的，为完成整体工程内容所必须考虑的风险；d一周内非承包人原因停水、停电造成累计停工在八小时以内的风险；e清单项目中特征描述不全的工序，如图纸已明确或已指明引用的规范、图集等或是常规工艺必须的工序，均应包括在综合单价中。</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风险费用的计算方法：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风险费用已包含在合同价中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总价包含的风险范围：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风险费用的计算方法：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风险范围以外合同价格的调整方法：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风险费用已包含在合同价中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3、其他价格方式：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12.2 预付款</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预付款支付比例或金额：</w:t>
      </w:r>
      <w:r>
        <w:rPr>
          <w:rFonts w:hint="eastAsia" w:ascii="仿宋" w:hAnsi="仿宋" w:eastAsia="仿宋" w:cs="仿宋"/>
          <w:color w:val="000000"/>
          <w:sz w:val="24"/>
          <w:szCs w:val="24"/>
          <w:highlight w:val="none"/>
          <w:u w:val="single"/>
        </w:rPr>
        <w:t xml:space="preserve">详见12.4.1 付款周期</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预付款支付期限：</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预付款扣回的方式：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12.2.2 预付款担保</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承包人提交预付款担保的期限：</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预付款担保的形式为：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12.3 计量</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12.3.1 计量原则</w:t>
      </w:r>
      <w:r/>
    </w:p>
    <w:p>
      <w:pPr>
        <w:ind w:firstLine="480"/>
        <w:jc w:val="left"/>
        <w:spacing w:line="360" w:lineRule="auto"/>
        <w:tabs>
          <w:tab w:val="left" w:pos="2940" w:leader="none"/>
        </w:tabs>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工程量计算规则：</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执行现行现行《建设工程工程量清单计价标准》和江苏省定额规定的计算规则。</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12.3.2 计量周期</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关于计量周期的约定：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按进度计量，如承包人未按时报送工程量，影响工程款支付的，由承包人自行负责。</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12.3.3 单价合同的计量</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关于单价合同计量的约定：</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12.3.4 总价合同的计量</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关于总价合同计量的约定：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12.3.5总价合同采用支付分解表计量支付的，是否适用第12.3.4 项〔总价合同的计量〕约定进行计量：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12.3.6 其他价格形式合同的计量</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其他价格形式的计量方式和程序：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12.4 工程进度款支付</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12.4.1 付款周期</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关于付款周期的约定：</w:t>
      </w:r>
      <w:r/>
    </w:p>
    <w:p>
      <w:pPr>
        <w:ind w:firstLine="47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经双方协商一致，选择以下第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种付款方式：</w:t>
      </w:r>
      <w:r/>
    </w:p>
    <w:p>
      <w:pPr>
        <w:ind w:firstLine="472"/>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付款方式一：提交预付款保函的</w:t>
      </w:r>
      <w:r/>
    </w:p>
    <w:p>
      <w:pPr>
        <w:ind w:firstLine="47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合同价款的百分之三十(</w:t>
      </w:r>
      <w:r>
        <w:rPr>
          <w:rFonts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 xml:space="preserve">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元整，在双方签订合同15个工作日后且承包人向发包人出具等额预付款保函后，由发包人办理政府采购资金结算手续，经审核后支付给承包人。</w:t>
      </w:r>
      <w:r/>
    </w:p>
    <w:p>
      <w:pPr>
        <w:ind w:firstLine="47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合同价款的百分之七十(</w:t>
      </w:r>
      <w:r>
        <w:rPr>
          <w:rFonts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t xml:space="preserve">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 审计结束后28日内，并将竣工结算资料报送采购人后，付至经双方认可的竣工结算价款的100%。乙方提供对应金额的增值税发票后，由甲方办理政府采购资金结算手续，经审核且财政资金到位后30日内支付给乙方。</w:t>
      </w:r>
      <w:r/>
    </w:p>
    <w:p>
      <w:pPr>
        <w:ind w:firstLine="472"/>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付款方式二：不提交预付款保函的</w:t>
      </w:r>
      <w:r/>
    </w:p>
    <w:p>
      <w:pPr>
        <w:ind w:firstLine="470"/>
        <w:spacing w:line="400" w:lineRule="atLeast"/>
        <w:rPr>
          <w:rFonts w:ascii="仿宋" w:hAnsi="仿宋" w:eastAsia="仿宋" w:cs="仿宋"/>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合同生效且主要施工人员进场开工后15个工作日内支付工程合同价款的30%预付款；工程竣工验收合格后15个工作日内付至合同价款的</w:t>
      </w:r>
      <w:r>
        <w:rPr>
          <w:rFonts w:ascii="仿宋" w:hAnsi="仿宋" w:eastAsia="仿宋" w:cs="仿宋"/>
          <w:color w:val="000000"/>
          <w:sz w:val="24"/>
          <w:szCs w:val="24"/>
          <w:highlight w:val="none"/>
          <w:u w:val="single"/>
        </w:rPr>
        <w:t xml:space="preserve">7</w:t>
      </w:r>
      <w:r>
        <w:rPr>
          <w:rFonts w:hint="eastAsia" w:ascii="仿宋" w:hAnsi="仿宋" w:eastAsia="仿宋" w:cs="仿宋"/>
          <w:color w:val="000000"/>
          <w:sz w:val="24"/>
          <w:szCs w:val="24"/>
          <w:highlight w:val="none"/>
          <w:u w:val="single"/>
        </w:rPr>
        <w:t xml:space="preserve">0%；审计结束后28日内，并将竣工结算资料报送甲方后付至经双方认可的竣工结算价款的100%。乙方提供每次对应金额的增值税发票后，由甲方办理政府采购资金结算手续，经审核且财政资金到位后30日内支付给乙方。</w:t>
      </w:r>
      <w:r/>
    </w:p>
    <w:p>
      <w:pPr>
        <w:ind w:firstLine="420"/>
        <w:jc w:val="left"/>
        <w:spacing w:before="240" w:after="240" w:line="400" w:lineRule="atLeas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注：1.进度款与质量挂钩，如果所完成工程的质量达不到验收规范要求，发包人有权暂缓支付该部分工程款，待承包人整改完成符合验收规范要求后再行支付，付款前承包人应提供符合发包人要求的增值税发票，否则发包人有权拒绝付款且不视为违约。</w:t>
      </w:r>
      <w:r/>
    </w:p>
    <w:p>
      <w:pPr>
        <w:ind w:firstLine="960"/>
        <w:jc w:val="left"/>
        <w:spacing w:before="240" w:after="240" w:line="400" w:lineRule="atLeast"/>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2.若因财政付款审批程序滞后，发包人不承担逾期付款的违约责任。</w:t>
      </w:r>
      <w:r/>
    </w:p>
    <w:p>
      <w:pPr>
        <w:pStyle w:val="1083"/>
        <w:rPr>
          <w:highlight w:val="none"/>
        </w:rPr>
      </w:pPr>
      <w:r>
        <w:rPr>
          <w:highlight w:val="none"/>
        </w:rPr>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12.4.2 进度付款申请单的编制</w:t>
      </w:r>
      <w:r/>
    </w:p>
    <w:p>
      <w:pPr>
        <w:ind w:firstLine="63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关于进度付款申请单编制的约定：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工程进度款申请单一式四份，报监理和发包人代表签字后，由监理签发工程款支付证书</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12.4.3 进度付款申请单的提交</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（1）单价合同进度付款申请单提交的约定：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按本合同约定</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（3）其他价格形式合同进度付款申请单提交的约定：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12.4.4 进度款审核和支付</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（1）监理人审查并报送发包人的期限：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监理人应在收到承包人进度付款申请单以及相关资料后7天内完成审查并报送发包人。 </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发包人完成审批并签发进度款支付证书的期限：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（2）发包人支付进度款的期限：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发包人审查完毕并签署工程进度款支付证书，且承包人提供正式完税发票后30日内。</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发包人逾期支付进度款的违约金的计算方式：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若发包人逾期付款，每延迟一天，按照全国银行间同业拆借中心公布的一年期贷款市场报价利率向承包人支付违约金</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60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12.4.6 支付分解表的编制</w:t>
      </w:r>
      <w:r/>
    </w:p>
    <w:p>
      <w:pPr>
        <w:ind w:left="4780" w:hanging="43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2、总价合同支付分解表的编制与审批：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left="4780" w:hanging="43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3、单价合同的总价项目支付分解表的编制与审批：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13. 验收和工程试车</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13.1 分部分项工程验收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13.1.2监理人不能按时进行验收时，应提前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24 </w:t>
      </w:r>
      <w:r>
        <w:rPr>
          <w:rFonts w:hint="eastAsia" w:ascii="仿宋" w:hAnsi="仿宋" w:eastAsia="仿宋" w:cs="仿宋"/>
          <w:color w:val="000000" w:themeColor="text1"/>
          <w:sz w:val="24"/>
          <w:szCs w:val="24"/>
          <w:highlight w:val="none"/>
          <w14:textFill>
            <w14:solidFill>
              <w14:schemeClr w14:val="tx1"/>
            </w14:solidFill>
          </w14:textFill>
        </w:rPr>
        <w:t xml:space="preserve">小时提交书面延期要求。</w:t>
      </w:r>
      <w:r/>
    </w:p>
    <w:p>
      <w:pPr>
        <w:ind w:firstLine="480"/>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关于延期最长不得超过：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48 </w:t>
      </w:r>
      <w:r>
        <w:rPr>
          <w:rFonts w:hint="eastAsia" w:ascii="仿宋" w:hAnsi="仿宋" w:eastAsia="仿宋" w:cs="仿宋"/>
          <w:color w:val="000000" w:themeColor="text1"/>
          <w:sz w:val="24"/>
          <w:szCs w:val="24"/>
          <w:highlight w:val="none"/>
          <w14:textFill>
            <w14:solidFill>
              <w14:schemeClr w14:val="tx1"/>
            </w14:solidFill>
          </w14:textFill>
        </w:rPr>
        <w:t xml:space="preserve">小时。</w:t>
      </w:r>
      <w:r/>
    </w:p>
    <w:p>
      <w:pPr>
        <w:ind w:firstLine="482"/>
        <w:jc w:val="left"/>
        <w:spacing w:line="360" w:lineRule="auto"/>
        <w:rPr>
          <w:rFonts w:ascii="仿宋" w:hAnsi="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13.2 竣工验收</w:t>
      </w:r>
      <w:r/>
    </w:p>
    <w:p>
      <w:pPr>
        <w:ind w:firstLine="400"/>
        <w:spacing w:line="79" w:lineRule="atLeast"/>
        <w:rPr>
          <w:rFonts w:ascii="仿宋" w:hAnsi="仿宋" w:cs="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13.2.1验收时间：预计</w:t>
      </w:r>
      <w:r>
        <w:rPr>
          <w:rFonts w:ascii="仿宋" w:hAnsi="仿宋" w:eastAsia="仿宋" w:cs="仿宋"/>
          <w:b/>
          <w:color w:val="000000"/>
          <w:sz w:val="24"/>
          <w:szCs w:val="24"/>
          <w:highlight w:val="none"/>
          <w:u w:val="single"/>
        </w:rPr>
        <w:t xml:space="preserve">2026</w:t>
      </w:r>
      <w:r>
        <w:rPr>
          <w:rFonts w:ascii="仿宋" w:hAnsi="仿宋" w:eastAsia="仿宋" w:cs="仿宋"/>
          <w:b/>
          <w:color w:val="000000"/>
          <w:sz w:val="24"/>
          <w:szCs w:val="24"/>
          <w:highlight w:val="none"/>
        </w:rPr>
        <w:t xml:space="preserve">年</w:t>
      </w:r>
      <w:r>
        <w:rPr>
          <w:rFonts w:hint="eastAsia" w:ascii="仿宋" w:hAnsi="仿宋" w:eastAsia="仿宋" w:cs="仿宋"/>
          <w:b/>
          <w:color w:val="000000"/>
          <w:sz w:val="24"/>
          <w:szCs w:val="24"/>
          <w:highlight w:val="none"/>
          <w:u w:val="single"/>
        </w:rPr>
        <w:t xml:space="preserve">   </w:t>
      </w:r>
      <w:r>
        <w:rPr>
          <w:rFonts w:ascii="仿宋" w:hAnsi="仿宋" w:eastAsia="仿宋" w:cs="仿宋"/>
          <w:b/>
          <w:color w:val="000000"/>
          <w:sz w:val="24"/>
          <w:szCs w:val="24"/>
          <w:highlight w:val="none"/>
        </w:rPr>
        <w:t xml:space="preserve">月。</w:t>
      </w:r>
      <w:r/>
    </w:p>
    <w:p>
      <w:pPr>
        <w:ind w:firstLine="400"/>
        <w:spacing w:line="79" w:lineRule="atLeast"/>
        <w:rPr>
          <w:rFonts w:ascii="仿宋" w:hAnsi="仿宋" w:cs="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13.2.2验收地点：</w:t>
      </w:r>
      <w:r>
        <w:rPr>
          <w:rFonts w:hint="eastAsia" w:ascii="仿宋" w:hAnsi="仿宋" w:eastAsia="仿宋" w:cs="仿宋"/>
          <w:b/>
          <w:color w:val="000000"/>
          <w:sz w:val="24"/>
          <w:szCs w:val="24"/>
          <w:highlight w:val="none"/>
        </w:rPr>
        <w:t xml:space="preserve">徐州市公安局交通管理支队车管所考练场地</w:t>
      </w:r>
      <w:r/>
    </w:p>
    <w:p>
      <w:pPr>
        <w:ind w:firstLine="400"/>
        <w:spacing w:line="79" w:lineRule="atLeast"/>
        <w:rPr>
          <w:rFonts w:ascii="仿宋" w:hAnsi="仿宋" w:cs="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13.2.3验收主体：</w:t>
      </w:r>
      <w:r>
        <w:rPr>
          <w:rFonts w:hint="eastAsia" w:ascii="仿宋" w:hAnsi="仿宋" w:eastAsia="仿宋" w:cs="仿宋"/>
          <w:b/>
          <w:color w:val="000000"/>
          <w:sz w:val="24"/>
          <w:szCs w:val="24"/>
          <w:highlight w:val="none"/>
        </w:rPr>
        <w:t xml:space="preserve">徐州市公安局交通管理支队</w:t>
      </w:r>
      <w:r/>
    </w:p>
    <w:p>
      <w:pPr>
        <w:ind w:firstLine="400"/>
        <w:spacing w:line="79" w:lineRule="atLeast"/>
        <w:rPr>
          <w:rFonts w:ascii="仿宋" w:hAnsi="仿宋" w:cs="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13.2.4验收方式：由</w:t>
      </w:r>
      <w:r>
        <w:rPr>
          <w:rFonts w:hint="eastAsia" w:ascii="仿宋" w:hAnsi="仿宋" w:eastAsia="仿宋" w:cs="仿宋"/>
          <w:b/>
          <w:color w:val="000000"/>
          <w:sz w:val="24"/>
          <w:szCs w:val="24"/>
          <w:highlight w:val="none"/>
        </w:rPr>
        <w:t xml:space="preserve">徐州市公安局交通管理支队</w:t>
      </w:r>
      <w:r>
        <w:rPr>
          <w:rFonts w:ascii="仿宋" w:hAnsi="仿宋" w:eastAsia="仿宋" w:cs="仿宋"/>
          <w:b/>
          <w:color w:val="000000"/>
          <w:sz w:val="24"/>
          <w:szCs w:val="24"/>
          <w:highlight w:val="none"/>
        </w:rPr>
        <w:t xml:space="preserve">组织施工单位、监理单位相关验收小组人员现场进行验收。</w:t>
      </w:r>
      <w:r/>
    </w:p>
    <w:p>
      <w:pPr>
        <w:ind w:firstLine="482"/>
        <w:rPr>
          <w:rFonts w:ascii="仿宋" w:hAnsi="仿宋" w:cs="仿宋"/>
          <w:b/>
          <w:bCs/>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13.2.5验收内容：施工单位自检后，采购人</w:t>
      </w:r>
      <w:r>
        <w:rPr>
          <w:rFonts w:hint="eastAsia" w:ascii="仿宋" w:hAnsi="仿宋" w:eastAsia="仿宋" w:cs="仿宋"/>
          <w:b/>
          <w:color w:val="000000"/>
          <w:sz w:val="24"/>
          <w:szCs w:val="24"/>
          <w:highlight w:val="none"/>
        </w:rPr>
        <w:t xml:space="preserve">徐州市公安局交通管理支队</w:t>
      </w:r>
      <w:r>
        <w:rPr>
          <w:rFonts w:ascii="仿宋" w:hAnsi="仿宋" w:eastAsia="仿宋" w:cs="仿宋"/>
          <w:b/>
          <w:color w:val="000000"/>
          <w:sz w:val="24"/>
          <w:szCs w:val="24"/>
          <w:highlight w:val="none"/>
        </w:rPr>
        <w:t xml:space="preserve">组织验收，验收内容包</w:t>
      </w:r>
      <w:r>
        <w:rPr>
          <w:rFonts w:ascii="仿宋" w:hAnsi="仿宋" w:eastAsia="仿宋" w:cs="仿宋"/>
          <w:b/>
          <w:bCs/>
          <w:color w:val="000000"/>
          <w:sz w:val="24"/>
          <w:szCs w:val="24"/>
          <w:highlight w:val="none"/>
        </w:rPr>
        <w:t xml:space="preserve">含</w:t>
      </w:r>
      <w:r>
        <w:rPr>
          <w:rFonts w:hint="eastAsia" w:ascii="仿宋" w:hAnsi="仿宋" w:eastAsia="仿宋" w:cs="仿宋"/>
          <w:b/>
          <w:bCs/>
          <w:color w:val="000000"/>
          <w:sz w:val="24"/>
          <w:szCs w:val="24"/>
          <w:highlight w:val="none"/>
        </w:rPr>
        <w:t xml:space="preserve">交管支队车管所考试场地整修</w:t>
      </w:r>
      <w:r>
        <w:rPr>
          <w:rFonts w:ascii="仿宋" w:hAnsi="仿宋" w:eastAsia="仿宋" w:cs="仿宋"/>
          <w:b/>
          <w:color w:val="000000"/>
          <w:sz w:val="24"/>
          <w:szCs w:val="24"/>
          <w:highlight w:val="none"/>
        </w:rPr>
        <w:t xml:space="preserve">量清单内容、施工图、施工合同内容等。</w:t>
      </w:r>
      <w:r/>
    </w:p>
    <w:p>
      <w:pPr>
        <w:ind w:firstLine="482"/>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13.2.6验收标准：达到合同约定标准，依据《建筑工程施工质量验收统一标准》的要求。</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13.2.5移交、接收全部与部分工程</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承包人向发包人移交工程的期限：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按通用条款执行。</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发包人未按本合同约定接收全部或部分工程的，违约金的计算方法为：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承包人未按时移交工程的，违约金的计算方法为：</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每逾期1天，每天5000元支付违约金，发包人有权采取任何补救措施来弥补该延误，由此增加的费用由承包人承担。</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13.3 工程试车</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13.3.1 试车程序</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工程试车内容：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（1）单机无负荷试车费用由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（2）无负荷联动试车费用由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13.3.3 投料试车</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关于投料试车相关事项的约定：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13.6 竣工退场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13.6.1 竣工退场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承包人完成竣工退场的期限：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移交手续办理完毕28日内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14. 竣工结算</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14.1 竣工结算申请</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承包人提交竣工结算申请单的期限：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工程竣工验收合格后28天内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81"/>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竣工结算申请单应包括的内容：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招标文件、投标文件、中标通知书；合同文本；开、竣工报告；竣工验收合格证明书；签证变更资料；竣工图；监理人、发包人签收的满足城建档案管理要求的工程竣工资料（含竣工图）的交接单以及承包人已全部提交竣工结算资料的承诺书。</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承包方提供的竣工资料及竣工图应真实有效与工程实际相符，如有不符，发包人及监理有权让承包方重新整理，直至与实际相符。否则发包人将不予接收承包人报送的竣工结算申请和相关资料 </w:t>
      </w:r>
      <w:r>
        <w:rPr>
          <w:rFonts w:hint="eastAsia" w:ascii="仿宋" w:hAnsi="仿宋" w:eastAsia="仿宋" w:cs="仿宋"/>
          <w:color w:val="000000" w:themeColor="text1"/>
          <w:sz w:val="24"/>
          <w:szCs w:val="24"/>
          <w:highlight w:val="none"/>
          <w14:textFill>
            <w14:solidFill>
              <w14:schemeClr w14:val="tx1"/>
            </w14:solidFill>
          </w14:textFill>
        </w:rPr>
        <w:t xml:space="preserve">。承包人自愿按审计结果执行，且为终局审计。</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14.2 竣工结算审核</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发包人审批竣工付款申请单的期限：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竣工验收报告经发包人认可后28天内，承包人向发包人递交竣工结算报告及完整的结算资料。发包人自接到承包人递交的完整真实的结算资料后6个月内按照合同约定的合同价款及合同价款调整办法及调整因素，进行工程竣工结算审计审核。承包人在上述时间内应积极配合发包人及审计部门的审核，若承包人不配合，审计时间相应顺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发包人完成竣工付款的期限：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当双方取得一致认可的竣工结算价后30日内。</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关于竣工付款证书异议部分复核的方式和程序：</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按通用条款执行。</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14.4 最终结清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14.4.1 最终结清申请单</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承包人提交最终结清申请单的份数：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4份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承包人提交最终结算申请单的期限：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最后一笔工程款支付前14天内 </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14.4.2 最终结清证书和支付</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（1）发包人完成最终结清申请单的审批并颁发最终结清证书的期限：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收到申请后28天内。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（2）发包人完成支付的期限：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承包人需完成相关保修责任义务并经发包人确认，同时颁发最终结清证书后30日内完成支付。</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15. 缺陷责任期与保修</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15.2缺陷责任期</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缺陷责任期的具体期限：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自竣工验收之日起24个月。</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15.4保修</w:t>
      </w:r>
      <w:r/>
    </w:p>
    <w:p>
      <w:pPr>
        <w:ind w:firstLine="46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15.4.1 保修责任</w:t>
      </w:r>
      <w:r/>
    </w:p>
    <w:p>
      <w:pPr>
        <w:ind w:firstLine="46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工程保修期为：</w:t>
      </w:r>
      <w:r>
        <w:rPr>
          <w:rFonts w:hint="eastAsia" w:ascii="仿宋" w:hAnsi="仿宋" w:eastAsia="仿宋" w:cs="仿宋"/>
          <w:color w:val="000000"/>
          <w:sz w:val="24"/>
          <w:szCs w:val="24"/>
          <w:highlight w:val="none"/>
          <w:u w:val="single"/>
        </w:rPr>
        <w:t xml:space="preserve">自工程竣工验收合格后资料、手续齐备并移交发包人之日起计算，具体期限详见《工程质量保修书》。</w:t>
      </w:r>
      <w:r/>
    </w:p>
    <w:p>
      <w:pPr>
        <w:ind w:firstLine="46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15.4.2 修复通知</w:t>
      </w:r>
      <w:r/>
    </w:p>
    <w:p>
      <w:pPr>
        <w:ind w:firstLine="46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承包人收到保修通知并到达工程现场的合理时间：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接到发包人通知后48小时内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70"/>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16. 违约</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16.1 发包人违约</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16.1.1发包人违约的情形</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发包人违约的其他情形：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按通用条款执行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left="1200" w:hanging="120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16.1.2 发包人违约的责任</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发包人违约责任的承担方式和计算方法：</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（1）因发包人原因未能在计划开工日期前7天内下达开工通知的违约责任：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另行协商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（2）因发包人原因未能按合同约定支付合同价款的违约责任：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（3）发包人违反第10.1款〔变更的范围〕第（2）项约定，自行实施被取消的工作或转由他人实施的违约责任：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（5）因发包人违反合同约定造成暂停施工的违约责任：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（6）发包人无正当理由没有在约定期限内发出复工指示，导致承包人无法复工的违约责任：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（7）其他：</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16.1.3 因发包人违约解除合同</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承包人按16.1.1项〔发包人违约的情形〕约定暂停施工满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30 </w:t>
      </w:r>
      <w:r>
        <w:rPr>
          <w:rFonts w:hint="eastAsia" w:ascii="仿宋" w:hAnsi="仿宋" w:eastAsia="仿宋" w:cs="仿宋"/>
          <w:color w:val="000000" w:themeColor="text1"/>
          <w:sz w:val="24"/>
          <w:szCs w:val="24"/>
          <w:highlight w:val="none"/>
          <w14:textFill>
            <w14:solidFill>
              <w14:schemeClr w14:val="tx1"/>
            </w14:solidFill>
          </w14:textFill>
        </w:rPr>
        <w:t xml:space="preserve">天后发包人仍不纠正其违约行为并致使合同目的不能实现的，承包人有权解除合同。</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16.2 承包人违约</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16.2.1 承包人违约的情形</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承包人违约的其他情形：</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（1）承包人在中标后，未能按规定的时间办理相关手续、缴纳相关费用，影响办理施工许可证；</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（2）没有合理的原因而未能按期开工；</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（3）中标后被发现有出卖资质、非法挂靠行为的；</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（4）承包人违反合同约定进行转包或违法分包的；</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（5）施工过程中管理不规范；</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（6）承包人不服从发包人及监理工程师的管理；</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（7）工程竣工验收合格后，承包人不及时报送竣工资料的；</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（8）施工期间承包人未经发包人批准停止施工48小时；</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（9）承包人不按施工计划进度完成，且经发包人指出后仍不能整改并完成原施工计划进度的；</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（10）因承包人原因，导致发包方被司法机关协执导致合同不能正常履行的；</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（11）承包人发生质量安全事故；</w:t>
      </w:r>
      <w:r/>
    </w:p>
    <w:p>
      <w:pPr>
        <w:ind w:firstLine="480"/>
        <w:jc w:val="left"/>
        <w:spacing w:line="360" w:lineRule="auto"/>
        <w:rPr>
          <w:rFonts w:ascii="仿宋" w:hAnsi="仿宋" w:eastAsia="仿宋" w:cs="仿宋"/>
          <w:strike/>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（12）承包人</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应实行农民工劳动用工实名制管理，与招用的农民工书面约定或者通过依法制定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的规章制度规定工资支付标准、支付时间、支付方式等内容。承包人不得无故拖欠农民工工资，如因农民工上访讨薪等事件产生的一切后果由承包人承担。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16.2.2承包人违约的责任</w:t>
      </w:r>
      <w:r/>
    </w:p>
    <w:p>
      <w:pPr>
        <w:ind w:left="718" w:hanging="24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承包人违约责任的承担方式和计算方法：</w:t>
      </w:r>
      <w:r>
        <w:rPr>
          <w:rFonts w:hint="eastAsia" w:ascii="仿宋" w:hAnsi="仿宋" w:eastAsia="仿宋" w:cs="仿宋"/>
          <w:color w:val="000000"/>
          <w:sz w:val="24"/>
          <w:szCs w:val="24"/>
          <w:highlight w:val="none"/>
          <w:u w:val="single"/>
        </w:rPr>
        <w:t xml:space="preserve">由承包人承担全部费用并承担相关法律责任</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（1）承包人应当赔偿因违约给发包人造成的一切直接与间接损失（包括但不限于发包人因维权产生的诉讼费、诉讼保全担保费、律师费、保全费、鉴定费、交通费等）；</w:t>
      </w:r>
      <w:r/>
    </w:p>
    <w:p>
      <w:pPr>
        <w:ind w:firstLine="42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（2）承包人拒绝支付合同约定的违约金的，发包人均有权从承包人工程款中扣除；</w:t>
      </w:r>
      <w:r/>
    </w:p>
    <w:p>
      <w:pPr>
        <w:ind w:firstLine="480"/>
        <w:jc w:val="left"/>
        <w:spacing w:line="360" w:lineRule="auto"/>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承包人违反合同约定进行转包或违法分包的：转包或分包合同无效，承包人应向发包人承担转包或分包合同金额的30%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并承担因在政府有关部门处理该问题时而造成的停工处罚以及由此而给发包人造成的其他经济损失。</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16.2.3 因承包人违约解除合同</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关于承包人违约解除合同的特别约定：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施工过程中，发包人、监理人发现施工质量不符合国家相关规范标准的，承包人应立即停工整改，因此所增加的费用由承包人承担；发现严重施工质量问题达到3次，发包人有权解除合同，因此产生的一切损失和费用由承包人承担。</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工期逾期超过30天，发包人有权解除合同，因此产生的一切损失和费用由承包人承担。</w:t>
      </w:r>
      <w:r/>
    </w:p>
    <w:p>
      <w:pPr>
        <w:ind w:firstLine="63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 另行协商 。</w:t>
      </w:r>
      <w:r/>
    </w:p>
    <w:p>
      <w:pPr>
        <w:ind w:firstLine="638"/>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承包人若有违反合同或招投标文件项下任一条款之义务，发包人有权在承包人违约事实发生后书面通知承包人主张全部或部分解除或终止合同，合同在书面通知到达承包人时即告解除或终止。同时，承包人均 自愿按约定承担违约及赔偿责任。</w:t>
      </w:r>
      <w:r/>
    </w:p>
    <w:p>
      <w:pPr>
        <w:ind w:firstLine="63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 不可抗力</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17.1 不可抗力的确认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除通用合同条款约定的不可抗力事件之外，视为不可抗力的其他情形： </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17.4 因不可抗力解除合同</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合同解除后，发包人应在商定或确定发包人应支付款项后</w:t>
      </w:r>
      <w:r>
        <w:rPr>
          <w:rFonts w:hint="eastAsia" w:ascii="仿宋" w:hAnsi="仿宋" w:eastAsia="仿宋" w:cs="仿宋"/>
          <w:color w:val="000000" w:themeColor="text1"/>
          <w:sz w:val="24"/>
          <w:szCs w:val="24"/>
          <w:highlight w:val="none"/>
          <w:u w:val="single"/>
          <w14:textFill>
            <w14:solidFill>
              <w14:schemeClr w14:val="tx1"/>
            </w14:solidFill>
          </w14:textFill>
        </w:rPr>
        <w:t xml:space="preserve">30</w:t>
      </w:r>
      <w:r>
        <w:rPr>
          <w:rFonts w:hint="eastAsia" w:ascii="仿宋" w:hAnsi="仿宋" w:eastAsia="仿宋" w:cs="仿宋"/>
          <w:color w:val="000000" w:themeColor="text1"/>
          <w:sz w:val="24"/>
          <w:szCs w:val="24"/>
          <w:highlight w:val="none"/>
          <w14:textFill>
            <w14:solidFill>
              <w14:schemeClr w14:val="tx1"/>
            </w14:solidFill>
          </w14:textFill>
        </w:rPr>
        <w:t xml:space="preserve">天内完成款项的支付。</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18. 保险</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18.1 工程保险</w:t>
      </w:r>
      <w:r/>
    </w:p>
    <w:p>
      <w:pPr>
        <w:ind w:firstLine="480"/>
        <w:jc w:val="left"/>
        <w:spacing w:line="360" w:lineRule="auto"/>
        <w:rPr>
          <w:rFonts w:ascii="仿宋" w:hAnsi="仿宋" w:eastAsia="仿宋" w:cs="仿宋"/>
          <w:strike/>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关于工程保险的特别约定：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承包人必须按照工程所在地相关规定要求执行,相关保险费用由承包人承担。</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18.3 其他保险</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关于其他保险的约定：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承包人必须为施工现场的全部人员办理意外伤害保险，并缴纳保险费，包括其员工及为履行合同聘请的第三方的人员，所有保险费用由承包人承担，包含在签约合同价格中</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承包人是否应为其施工设备等办理财产保险：</w:t>
      </w:r>
      <w:r>
        <w:rPr>
          <w:rFonts w:hint="eastAsia" w:ascii="仿宋" w:hAnsi="仿宋" w:eastAsia="仿宋" w:cs="仿宋"/>
          <w:color w:val="000000" w:themeColor="text1"/>
          <w:sz w:val="24"/>
          <w:szCs w:val="24"/>
          <w:highlight w:val="none"/>
          <w:u w:val="single"/>
          <w14:textFill>
            <w14:solidFill>
              <w14:schemeClr w14:val="tx1"/>
            </w14:solidFill>
          </w14:textFill>
        </w:rPr>
        <w:t xml:space="preserve">是</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18.7 通知义务</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关于变更保险合同时的通知义务的约定：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按通用条款执行</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20. 争议解决</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因合同及合同有关事项发生的争议，按下列第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  </w:t>
      </w:r>
      <w:r>
        <w:rPr>
          <w:rFonts w:hint="eastAsia" w:ascii="仿宋" w:hAnsi="仿宋" w:eastAsia="仿宋" w:cs="仿宋"/>
          <w:color w:val="000000" w:themeColor="text1"/>
          <w:sz w:val="24"/>
          <w:szCs w:val="24"/>
          <w:highlight w:val="none"/>
          <w14:textFill>
            <w14:solidFill>
              <w14:schemeClr w14:val="tx1"/>
            </w14:solidFill>
          </w14:textFill>
        </w:rPr>
        <w:t xml:space="preserve">种方式解决：</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（1）向</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仲裁委员会申请仲裁；</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（2）向</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工程所在地 </w:t>
      </w:r>
      <w:r>
        <w:rPr>
          <w:rFonts w:hint="eastAsia" w:ascii="仿宋" w:hAnsi="仿宋" w:eastAsia="仿宋" w:cs="仿宋"/>
          <w:color w:val="000000" w:themeColor="text1"/>
          <w:sz w:val="24"/>
          <w:szCs w:val="24"/>
          <w:highlight w:val="none"/>
          <w14:textFill>
            <w14:solidFill>
              <w14:schemeClr w14:val="tx1"/>
            </w14:solidFill>
          </w14:textFill>
        </w:rPr>
        <w:t xml:space="preserve">人民法院起诉。</w:t>
      </w:r>
      <w:r/>
    </w:p>
    <w:p>
      <w:pPr>
        <w:ind w:firstLine="361"/>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21.补充条款</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供应商必须遵从发包人相关安全保卫制度、安全文明施工。涉及财产安全，施工组织和安全管理要求较高，承包人应严格遵守经批准制定的工期进度安排，项目经理和安全员必须驻现场组织施工和安全管理，否则按违约处理。项目经理在本项目服务期间不得担任其他项目的项目经理</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施工改造不得破坏现有设施设备，否则免费原样恢复，造成重大事故的由施工单位承担相关责任</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根据施工现场实际情况，采购人有权利对部分工程项目及工程量进行增减或调整，供应商必须认可采购人对部分工程项目及工程量进行增减或调整的内容</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重点区域或重点部位的施工要采取弹性工作时间，不得影响发包人办公秩序，服从采购人的安排</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 拆除原设施如为保护性拆除，不得随意损坏。否则，造成损坏的要无偿修复或按工程清单中价格赔偿。赔偿款从工程款中扣除</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trike/>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（2）施工用水、用电由承包人按施工现场发包人指定地点连接使用，施工用水、用电费用按照供应商投标报价各项子目所含水电费用进行扣除。即采用原进原出方式执行</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3）所有主要材料进场需提前申报，未经建设单位同意不得擅自使用。本工程严禁使用不合格或不符合设计要求的材料，一经发现，限期退场，不按要求退场的，造成的损失由承包人负责。若使用不符合标准、规格、质量和品牌要求（包括建设单位供应材料由于承包人验收把关不严）的工程材料承包人无条件更换和返工，并按照不合格材料购进总额的30%向发包人支付违约金（在同期工程进度款中扣除）。如购进的材料设备与提供的样品不一致时，由承包人无条件退货，造成的损失由承包人负责</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4）承包人在施工过程中必须文明、安全、规范，保持环境整洁，按照江苏省文明工地的标准，就生活办公用房、工地围墙、照明、防护、标志、警告信号和门卫等做出具体安排，若有违章行为，则承包人应按规定向发包人支付违约金，一切责任自负</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5）在履行合同过程中，承包人不得转包，应遵守国家或地方的法律、法规、法令，或任何对工程有管辖权的部门的规章，并按要求支付有关费用。一经发现承包人转包工程现象，取消承包资格，已完成的工程量不予结算</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（6）无论发包人是否给予了批准或同意，承包人应对现场作业、施工方法及所施工工程的完备性、稳定性和安全性承担全部责任，负责完成对工程的稳定、完整、安全、可靠及有效运行所必需的全部工作</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（7）承包人必须服从发包人和监理工程师的管理监督，施工中发生的质量问题必须及时整改，因承包人原因被责令停工和返工，所造成的一切损失由承包人负责</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（8）发生下列情况，承包人不向发包人收取任何费用：</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①承包人为了加快工程进度、保证进度、保证工程正常进行，采取的各种措施</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②施工期间清理本工程产生的各种垃圾</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9）重新检验：监理单位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10）考虑到本工程施工中可能会受到季节、气候等的影响。承包人应认真了解施工现场情况，充分考虑施工过程中可能出现的不利因素[如因赶工投入的模板、脚手支撑等措施费（含外聘专家咨询费），不同专业交叉作业、成品保护费、临时停电（一周累计8小时）、停水（一周累计8小时）、天气变化、材料到位、道路维护等等]，并在施工方案（施工组织设计）中明确为确保本工程质量和工期要求而应该采取的相应措施，其所有费用均已列入本合同价中，工程结算时不作调整</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vertAlign w:val="subscript"/>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（11）竣工验收前，承包人需提供完整的竣工验收资料，承包人提供的所有资料必须满足验收要求</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（12）合同工期结束时，确保施工现场达到清场的标准（或双方另商定），该费用由承包人自行考虑，并计入合同价中</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（13）社会保险费应由承包人自行向相关部门进行主动缴纳，如不缴纳的，一切后果和因此所产生的一切费用由承包人负责承担，发包人保留追缴承包人社会保险费的权利</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14）工程变更（内容应包括变更的原因、具体的工程量及相应的结算方法）应按不同类别分别编号管理，在工程竣工结算时无论该工程变更是否对工程造价产生影响，承包人均应全部整理上交。若在上交的工程变更中发现有故意缺漏项情况，则全部工程变更将不被发包人认可</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（15）验收期间，若发包人提出异议，要求承包人整改，承包人应在发包人规定期限内无偿整改，并报请发包人复验，否则发包人有权自行或委托第三方整改，产生的费用由承包人承担</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16）建筑垃圾及时清理并袋装化，拆除垃圾不得随意堆弃，承包人自行运至指定的弃置地点。该费用已计入合同价款中，不再另行支付。现场应文明施工，遵守发包人各项管理规定，现场应文明施工，将噪音和其他环境污染影响降到规定要求</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17）承包人已经认真勘察现场，充分了解其施工环境、现场场地情况、用水用电情况、道路、储存空间（材料堆放及料台搭设）、装卸限制、高压线防护、临设搭建及任何其他影响造价及工期的情况，承包人已自行考虑风险并计入合同价中，结算时不予调整</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18）发、承包双方如在本合同的执行过程中，还有需要补充及修正的内容，应在遵循《中华人民共和国建筑法》和《中华人民共和国民法典》及其他有关法律、法规和省市有关规定、条例的前提下另行签订补充协议或条款。补充协议或条款与本合同具有同等法律效力。</w:t>
      </w:r>
      <w:r/>
    </w:p>
    <w:p>
      <w:pPr>
        <w:ind w:firstLine="480"/>
        <w:spacing w:line="400" w:lineRule="atLeast"/>
        <w:rPr>
          <w:rFonts w:ascii="仿宋" w:hAnsi="仿宋" w:eastAsia="仿宋" w:cs="仿宋"/>
          <w:strike/>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strike/>
          <w:color w:val="000000"/>
          <w:sz w:val="24"/>
          <w:szCs w:val="24"/>
          <w:highlight w:val="none"/>
          <w:u w:val="single"/>
        </w:rPr>
      </w:r>
      <w:r/>
    </w:p>
    <w:p>
      <w:pPr>
        <w:spacing w:line="312" w:lineRule="auto"/>
        <w:rPr>
          <w:rFonts w:ascii="仿宋" w:hAnsi="仿宋" w:eastAsia="仿宋" w:cs="仿宋"/>
          <w:b/>
          <w:sz w:val="24"/>
          <w:szCs w:val="24"/>
          <w:highlight w:val="none"/>
        </w:rPr>
      </w:pPr>
      <w:r>
        <w:rPr>
          <w:rFonts w:ascii="仿宋" w:hAnsi="仿宋" w:eastAsia="仿宋" w:cs="仿宋"/>
          <w:b/>
          <w:sz w:val="24"/>
          <w:szCs w:val="24"/>
          <w:highlight w:val="none"/>
        </w:rPr>
      </w:r>
      <w:r/>
    </w:p>
    <w:p>
      <w:pPr>
        <w:spacing w:line="312" w:lineRule="auto"/>
        <w:rPr>
          <w:rFonts w:ascii="仿宋" w:hAnsi="仿宋" w:eastAsia="仿宋" w:cs="仿宋"/>
          <w:b/>
          <w:sz w:val="24"/>
          <w:szCs w:val="24"/>
          <w:highlight w:val="none"/>
        </w:rPr>
      </w:pPr>
      <w:r>
        <w:rPr>
          <w:rFonts w:ascii="仿宋" w:hAnsi="仿宋" w:eastAsia="仿宋" w:cs="仿宋"/>
          <w:b/>
          <w:sz w:val="24"/>
          <w:szCs w:val="24"/>
          <w:highlight w:val="none"/>
        </w:rPr>
      </w:r>
      <w:r/>
    </w:p>
    <w:p>
      <w:pPr>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附件</w:t>
      </w:r>
      <w:r/>
    </w:p>
    <w:p>
      <w:pPr>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协议书附件：</w:t>
      </w:r>
      <w:r/>
    </w:p>
    <w:p>
      <w:pPr>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专用合同条款附件：</w:t>
      </w:r>
      <w:r/>
    </w:p>
    <w:p>
      <w:pPr>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附件1：工程质量保修书</w:t>
      </w:r>
      <w:r/>
    </w:p>
    <w:p>
      <w:pPr>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附件2：承包人用于本工程施工的机械设备表</w:t>
      </w:r>
      <w:r/>
    </w:p>
    <w:p>
      <w:pPr>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附件3：承包人主要施工管理人员表</w:t>
      </w:r>
      <w:r/>
    </w:p>
    <w:p>
      <w:pPr>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br/>
      </w:r>
      <w:r/>
    </w:p>
    <w:p>
      <w:pPr>
        <w:spacing w:line="312" w:lineRule="auto"/>
        <w:rPr>
          <w:rFonts w:ascii="仿宋" w:hAnsi="仿宋" w:eastAsia="仿宋" w:cs="仿宋"/>
          <w:sz w:val="24"/>
          <w:szCs w:val="24"/>
          <w:highlight w:val="none"/>
        </w:rPr>
        <w:sectPr>
          <w:headerReference w:type="default" r:id="rId12"/>
          <w:footerReference w:type="default" r:id="rId18"/>
          <w:footerReference w:type="first" r:id="rId19"/>
          <w:footnotePr/>
          <w:endnotePr/>
          <w:type w:val="nextPage"/>
          <w:pgSz w:w="11906" w:h="16838" w:orient="portrait"/>
          <w:pgMar w:top="1440" w:right="1080" w:bottom="1440" w:left="1080" w:header="851" w:footer="992" w:gutter="0"/>
          <w:cols w:num="1" w:sep="0" w:space="1701" w:equalWidth="1"/>
          <w:docGrid w:linePitch="360"/>
          <w:titlePg/>
        </w:sectPr>
      </w:pPr>
      <w:r>
        <w:rPr>
          <w:rFonts w:ascii="仿宋" w:hAnsi="仿宋" w:eastAsia="仿宋" w:cs="仿宋"/>
          <w:sz w:val="24"/>
          <w:szCs w:val="24"/>
          <w:highlight w:val="none"/>
        </w:rPr>
      </w:r>
      <w:r/>
    </w:p>
    <w:p>
      <w:pPr>
        <w:spacing w:line="400" w:lineRule="exact"/>
        <w:rPr>
          <w:rFonts w:ascii="仿宋" w:hAnsi="仿宋" w:eastAsia="仿宋" w:cs="仿宋"/>
          <w:highlight w:val="none"/>
        </w:rPr>
      </w:pPr>
      <w:r>
        <w:rPr>
          <w:rFonts w:hint="eastAsia" w:ascii="仿宋" w:hAnsi="仿宋" w:eastAsia="仿宋" w:cs="仿宋"/>
          <w:sz w:val="24"/>
          <w:szCs w:val="24"/>
          <w:highlight w:val="none"/>
        </w:rPr>
        <w:t xml:space="preserve">附件1： </w:t>
      </w:r>
      <w:r>
        <w:rPr>
          <w:rFonts w:hint="eastAsia" w:ascii="仿宋" w:hAnsi="仿宋" w:eastAsia="仿宋" w:cs="仿宋"/>
          <w:highlight w:val="none"/>
        </w:rPr>
        <w:t xml:space="preserve">  </w:t>
      </w:r>
      <w:r/>
    </w:p>
    <w:p>
      <w:pPr>
        <w:jc w:val="center"/>
        <w:spacing w:before="156" w:after="156"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工程质量保修书</w:t>
      </w:r>
      <w:r/>
    </w:p>
    <w:p>
      <w:pPr>
        <w:spacing w:line="360" w:lineRule="auto"/>
        <w:rPr>
          <w:rFonts w:ascii="仿宋" w:hAnsi="仿宋" w:eastAsia="仿宋" w:cs="仿宋"/>
          <w:sz w:val="24"/>
          <w:szCs w:val="24"/>
          <w:highlight w:val="none"/>
        </w:rPr>
      </w:pPr>
      <w:r>
        <w:rPr>
          <w:rFonts w:hint="eastAsia" w:ascii="仿宋" w:hAnsi="仿宋" w:eastAsia="仿宋" w:cs="仿宋"/>
          <w:b/>
          <w:bCs/>
          <w:sz w:val="24"/>
          <w:szCs w:val="24"/>
          <w:highlight w:val="none"/>
        </w:rPr>
        <w:t xml:space="preserve">发包人</w:t>
      </w:r>
      <w:r>
        <w:rPr>
          <w:rFonts w:hint="eastAsia" w:ascii="仿宋" w:hAnsi="仿宋" w:eastAsia="仿宋" w:cs="仿宋"/>
          <w:sz w:val="24"/>
          <w:szCs w:val="24"/>
          <w:highlight w:val="none"/>
        </w:rPr>
        <w:t xml:space="preserve">（全称）：</w:t>
      </w:r>
      <w:r>
        <w:rPr>
          <w:rFonts w:hint="eastAsia" w:ascii="仿宋" w:hAnsi="仿宋" w:eastAsia="仿宋" w:cs="仿宋"/>
          <w:sz w:val="24"/>
          <w:szCs w:val="24"/>
          <w:highlight w:val="none"/>
          <w:u w:val="single"/>
        </w:rPr>
        <w:t xml:space="preserve">徐州市公安局交通管理支队</w:t>
      </w:r>
      <w:r/>
    </w:p>
    <w:p>
      <w:pPr>
        <w:spacing w:line="360" w:lineRule="auto"/>
        <w:rPr>
          <w:rFonts w:ascii="仿宋" w:hAnsi="仿宋" w:eastAsia="仿宋" w:cs="仿宋"/>
          <w:sz w:val="24"/>
          <w:szCs w:val="24"/>
          <w:highlight w:val="none"/>
        </w:rPr>
      </w:pPr>
      <w:r>
        <w:rPr>
          <w:rFonts w:hint="eastAsia" w:ascii="仿宋" w:hAnsi="仿宋" w:eastAsia="仿宋" w:cs="仿宋"/>
          <w:b/>
          <w:bCs/>
          <w:sz w:val="24"/>
          <w:szCs w:val="24"/>
          <w:highlight w:val="none"/>
        </w:rPr>
        <w:t xml:space="preserve">承包人</w:t>
      </w:r>
      <w:r>
        <w:rPr>
          <w:rFonts w:hint="eastAsia" w:ascii="仿宋" w:hAnsi="仿宋" w:eastAsia="仿宋" w:cs="仿宋"/>
          <w:sz w:val="24"/>
          <w:szCs w:val="24"/>
          <w:highlight w:val="none"/>
        </w:rPr>
        <w:t xml:space="preserve">（全称）： </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发包人和承包人根据《中华人民共和国建筑法》和《建设工程质量管理条例》，经协商一致就</w:t>
      </w:r>
      <w:r>
        <w:rPr>
          <w:rFonts w:hint="eastAsia" w:ascii="仿宋" w:hAnsi="仿宋" w:eastAsia="仿宋" w:cs="仿宋"/>
          <w:bCs/>
          <w:sz w:val="24"/>
          <w:szCs w:val="24"/>
          <w:highlight w:val="none"/>
          <w:u w:val="single"/>
        </w:rPr>
        <w:t xml:space="preserve">交管支队车管所考试场地整修</w:t>
      </w:r>
      <w:r>
        <w:rPr>
          <w:rFonts w:hint="eastAsia" w:ascii="仿宋" w:hAnsi="仿宋" w:eastAsia="仿宋" w:cs="仿宋"/>
          <w:sz w:val="24"/>
          <w:szCs w:val="24"/>
          <w:highlight w:val="none"/>
        </w:rPr>
        <w:t xml:space="preserve">（工程全称）签订工程质量保修书。</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一、工程质量保修范围和内容</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承包人在质量保修期内，按照有关法律规定和合同约定，承担工程质量保修责任。</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具体保修的内容，双方约定如下：</w:t>
      </w:r>
      <w:r/>
    </w:p>
    <w:p>
      <w:pPr>
        <w:ind w:firstLine="401"/>
        <w:spacing w:line="360" w:lineRule="auto"/>
        <w:rPr>
          <w:rFonts w:ascii="仿宋" w:hAnsi="仿宋" w:eastAsia="仿宋" w:cs="仿宋"/>
          <w:sz w:val="24"/>
          <w:szCs w:val="24"/>
          <w:highlight w:val="none"/>
        </w:rPr>
      </w:pPr>
      <w:r>
        <w:rPr>
          <w:rFonts w:hint="eastAsia" w:ascii="仿宋" w:hAnsi="仿宋" w:eastAsia="仿宋" w:cs="仿宋"/>
          <w:b/>
          <w:bCs/>
          <w:sz w:val="24"/>
          <w:szCs w:val="24"/>
          <w:highlight w:val="none"/>
          <w:u w:val="single"/>
        </w:rPr>
        <w:t xml:space="preserve">承包人实施的全部工程，详见工程量清单所含全部内容</w:t>
      </w:r>
      <w:r>
        <w:rPr>
          <w:rFonts w:hint="eastAsia" w:ascii="仿宋" w:hAnsi="仿宋" w:eastAsia="仿宋" w:cs="仿宋"/>
          <w:sz w:val="24"/>
          <w:szCs w:val="24"/>
          <w:highlight w:val="none"/>
        </w:rPr>
        <w:t xml:space="preserve">。</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二、质量保修期</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根据《建设工程质量管理条例》及有关规定，工程的质量保修期如下：</w:t>
      </w:r>
      <w:r/>
    </w:p>
    <w:p>
      <w:pPr>
        <w:ind w:firstLine="399"/>
        <w:spacing w:line="360" w:lineRule="auto"/>
        <w:rPr>
          <w:rFonts w:ascii="仿宋" w:hAnsi="仿宋" w:eastAsia="仿宋" w:cs="仿宋"/>
          <w:strike/>
          <w:sz w:val="24"/>
          <w:szCs w:val="24"/>
          <w:highlight w:val="none"/>
        </w:rPr>
      </w:pPr>
      <w:r>
        <w:rPr>
          <w:rFonts w:hint="eastAsia" w:ascii="仿宋" w:hAnsi="仿宋" w:eastAsia="仿宋" w:cs="仿宋"/>
          <w:sz w:val="24"/>
          <w:szCs w:val="24"/>
          <w:highlight w:val="none"/>
        </w:rPr>
        <w:t xml:space="preserve">1 ．地基基础工程和主体结构工程为设计文件规定的工程合理使用年限；</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 ．电气管线、给排水管道、设备安装工程为 </w:t>
      </w:r>
      <w:r>
        <w:rPr>
          <w:rFonts w:ascii="仿宋" w:hAnsi="仿宋" w:eastAsia="仿宋" w:cs="仿宋"/>
          <w:sz w:val="24"/>
          <w:szCs w:val="24"/>
          <w:highlight w:val="none"/>
        </w:rPr>
        <w:t xml:space="preserve">   </w:t>
      </w:r>
      <w:r>
        <w:rPr>
          <w:rFonts w:hint="eastAsia" w:ascii="仿宋" w:hAnsi="仿宋" w:eastAsia="仿宋" w:cs="仿宋"/>
          <w:sz w:val="24"/>
          <w:szCs w:val="24"/>
          <w:highlight w:val="none"/>
        </w:rPr>
        <w:t xml:space="preserve">年；</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 ．工程范围内给排水设施、道路等配套工程为 </w:t>
      </w:r>
      <w:r>
        <w:rPr>
          <w:rFonts w:ascii="仿宋" w:hAnsi="仿宋" w:eastAsia="仿宋" w:cs="仿宋"/>
          <w:sz w:val="24"/>
          <w:szCs w:val="24"/>
          <w:highlight w:val="none"/>
        </w:rPr>
        <w:t xml:space="preserve">   </w:t>
      </w:r>
      <w:r>
        <w:rPr>
          <w:rFonts w:hint="eastAsia" w:ascii="仿宋" w:hAnsi="仿宋" w:eastAsia="仿宋" w:cs="仿宋"/>
          <w:sz w:val="24"/>
          <w:szCs w:val="24"/>
          <w:highlight w:val="none"/>
        </w:rPr>
        <w:t xml:space="preserve">年；</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 . 绿化工程为  年。</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5 ．其他项目保修期限为 </w:t>
      </w:r>
      <w:r>
        <w:rPr>
          <w:rFonts w:ascii="仿宋" w:hAnsi="仿宋" w:eastAsia="仿宋" w:cs="仿宋"/>
          <w:sz w:val="24"/>
          <w:szCs w:val="24"/>
          <w:highlight w:val="none"/>
        </w:rPr>
        <w:t xml:space="preserve">  </w:t>
      </w:r>
      <w:r>
        <w:rPr>
          <w:rFonts w:hint="eastAsia" w:ascii="仿宋" w:hAnsi="仿宋" w:eastAsia="仿宋" w:cs="仿宋"/>
          <w:sz w:val="24"/>
          <w:szCs w:val="24"/>
          <w:highlight w:val="none"/>
        </w:rPr>
        <w:t xml:space="preserve">年。质量保修期自工程竣工验收合格之日起计算。</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三、缺陷责任期</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工程缺陷责任期为</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个月，缺陷责任期自工程通过竣工验收之日起计算。单位工程先于全部工程进行验收，单位工程缺陷责任期自单位工程验收合格之日起算。</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四、质量保修责任</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1．属于保修范围、内容的项目，承包人应当在接到保修通知之时起</w:t>
      </w:r>
      <w:r>
        <w:rPr>
          <w:rFonts w:ascii="仿宋" w:hAnsi="仿宋" w:eastAsia="仿宋" w:cs="仿宋"/>
          <w:sz w:val="24"/>
          <w:szCs w:val="24"/>
          <w:highlight w:val="none"/>
        </w:rPr>
        <w:t xml:space="preserve">6</w:t>
      </w:r>
      <w:r>
        <w:rPr>
          <w:rFonts w:hint="eastAsia" w:ascii="仿宋" w:hAnsi="仿宋" w:eastAsia="仿宋" w:cs="仿宋"/>
          <w:sz w:val="24"/>
          <w:szCs w:val="24"/>
          <w:highlight w:val="none"/>
        </w:rPr>
        <w:t xml:space="preserve">小时内派人保修。承包人不在约定期限内派人保修的，发包人可以委托他人修理。</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2．发生紧急事故需抢修的，承包人在接到事故通知后，应当立即到达事故现场抢修。</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4．质量保修完成后，由发包人组织验收。</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五、保修费用</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保修费用由造成质量缺陷的责任方承担。</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六、双方约定的其他工程质量保修事项：</w:t>
      </w:r>
      <w:r>
        <w:rPr>
          <w:rFonts w:hint="eastAsia" w:ascii="仿宋" w:hAnsi="仿宋" w:eastAsia="仿宋" w:cs="仿宋"/>
          <w:sz w:val="24"/>
          <w:szCs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2）如因承包人的责任，造成直接或间接损失，由承包人负责赔偿。</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工程质量保修书由发包人、承包人在工程竣工验收前共同签署，作为施工合同附件，其有效期限至保修期满。</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发包人(公章)：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承包人(公章)：</w:t>
      </w:r>
      <w:r>
        <w:rPr>
          <w:rFonts w:hint="eastAsia" w:ascii="仿宋" w:hAnsi="仿宋" w:eastAsia="仿宋" w:cs="仿宋"/>
          <w:sz w:val="24"/>
          <w:szCs w:val="24"/>
          <w:highlight w:val="none"/>
          <w:u w:val="singl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地  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法定代表人(签字)：</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法定代表人(签字)：</w:t>
      </w:r>
      <w:r>
        <w:rPr>
          <w:rFonts w:hint="eastAsia" w:ascii="仿宋" w:hAnsi="仿宋" w:eastAsia="仿宋" w:cs="仿宋"/>
          <w:sz w:val="24"/>
          <w:szCs w:val="24"/>
          <w:highlight w:val="none"/>
          <w:u w:val="singl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委托代理人(签字)：</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委托代理人(签字)：</w:t>
      </w:r>
      <w:r>
        <w:rPr>
          <w:rFonts w:hint="eastAsia" w:ascii="仿宋" w:hAnsi="仿宋" w:eastAsia="仿宋" w:cs="仿宋"/>
          <w:sz w:val="24"/>
          <w:szCs w:val="24"/>
          <w:highlight w:val="none"/>
          <w:u w:val="singl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电  话：</w:t>
      </w:r>
      <w:r>
        <w:rPr>
          <w:rFonts w:hint="eastAsia" w:ascii="仿宋" w:hAnsi="仿宋" w:eastAsia="仿宋" w:cs="仿宋"/>
          <w:sz w:val="24"/>
          <w:szCs w:val="24"/>
          <w:highlight w:val="none"/>
          <w:u w:val="singl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传  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传  真：</w:t>
      </w:r>
      <w:r>
        <w:rPr>
          <w:rFonts w:hint="eastAsia" w:ascii="仿宋" w:hAnsi="仿宋" w:eastAsia="仿宋" w:cs="仿宋"/>
          <w:sz w:val="24"/>
          <w:szCs w:val="24"/>
          <w:highlight w:val="none"/>
          <w:u w:val="singl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开户银行：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开户银行：</w:t>
      </w:r>
      <w:r>
        <w:rPr>
          <w:rFonts w:hint="eastAsia" w:ascii="仿宋" w:hAnsi="仿宋" w:eastAsia="仿宋" w:cs="仿宋"/>
          <w:sz w:val="24"/>
          <w:szCs w:val="24"/>
          <w:highlight w:val="none"/>
          <w:u w:val="singl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账  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账  号：</w:t>
      </w:r>
      <w:r>
        <w:rPr>
          <w:rFonts w:hint="eastAsia" w:ascii="仿宋" w:hAnsi="仿宋" w:eastAsia="仿宋" w:cs="仿宋"/>
          <w:sz w:val="24"/>
          <w:szCs w:val="24"/>
          <w:highlight w:val="none"/>
          <w:u w:val="single"/>
        </w:rPr>
        <w:t xml:space="preserve">              </w:t>
      </w:r>
      <w:r/>
    </w:p>
    <w:p>
      <w:pPr>
        <w:jc w:val="left"/>
        <w:spacing w:line="440" w:lineRule="exact"/>
        <w:rPr>
          <w:rFonts w:ascii="仿宋" w:hAnsi="仿宋" w:eastAsia="仿宋" w:cs="仿宋"/>
          <w:highlight w:val="none"/>
        </w:rPr>
      </w:pPr>
      <w:r>
        <w:rPr>
          <w:rFonts w:hint="eastAsia" w:ascii="仿宋" w:hAnsi="仿宋" w:eastAsia="仿宋" w:cs="仿宋"/>
          <w:sz w:val="24"/>
          <w:szCs w:val="24"/>
          <w:highlight w:val="none"/>
        </w:rPr>
        <w:t xml:space="preserve">邮政编码：                                    邮政编码：</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br w:type="page" w:clear="all"/>
      </w:r>
      <w:r>
        <w:rPr>
          <w:rFonts w:hint="eastAsia" w:ascii="仿宋" w:hAnsi="仿宋" w:eastAsia="仿宋" w:cs="仿宋"/>
          <w:highlight w:val="none"/>
        </w:rPr>
        <w:t xml:space="preserve">附件2：</w:t>
      </w:r>
      <w:r/>
    </w:p>
    <w:p>
      <w:pPr>
        <w:jc w:val="center"/>
        <w:spacing w:before="156" w:after="156" w:line="440" w:lineRule="exact"/>
        <w:rPr>
          <w:rFonts w:ascii="仿宋" w:hAnsi="仿宋" w:eastAsia="仿宋" w:cs="仿宋"/>
          <w:highlight w:val="none"/>
        </w:rPr>
      </w:pPr>
      <w:r>
        <w:rPr>
          <w:rFonts w:hint="eastAsia" w:ascii="仿宋" w:hAnsi="仿宋" w:eastAsia="仿宋" w:cs="仿宋"/>
          <w:highlight w:val="none"/>
        </w:rPr>
        <w:t xml:space="preserve">承包人用于本工程施工的机械设备表</w:t>
      </w:r>
      <w:r/>
    </w:p>
    <w:tbl>
      <w:tblPr>
        <w:tblStyle w:val="1051"/>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1"/>
        <w:gridCol w:w="1417"/>
        <w:gridCol w:w="849"/>
        <w:gridCol w:w="1057"/>
        <w:gridCol w:w="879"/>
        <w:gridCol w:w="1019"/>
        <w:gridCol w:w="1479"/>
        <w:gridCol w:w="1020"/>
        <w:gridCol w:w="921"/>
      </w:tblGrid>
      <w:tr>
        <w:trPr>
          <w:jc w:val="center"/>
        </w:trPr>
        <w:tc>
          <w:tcPr>
            <w:tcW w:w="1161"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序号</w:t>
            </w:r>
            <w:r/>
          </w:p>
        </w:tc>
        <w:tc>
          <w:tcPr>
            <w:tcW w:w="1417"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机械或设备名称</w:t>
            </w:r>
            <w:r/>
          </w:p>
        </w:tc>
        <w:tc>
          <w:tcPr>
            <w:tcW w:w="849"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规格型号</w:t>
            </w:r>
            <w:r/>
          </w:p>
        </w:tc>
        <w:tc>
          <w:tcPr>
            <w:tcW w:w="1057"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数量</w:t>
            </w:r>
            <w:r/>
          </w:p>
        </w:tc>
        <w:tc>
          <w:tcPr>
            <w:tcW w:w="879"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产地</w:t>
            </w:r>
            <w:r/>
          </w:p>
        </w:tc>
        <w:tc>
          <w:tcPr>
            <w:tcW w:w="1019"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制造年份</w:t>
            </w:r>
            <w:r/>
          </w:p>
        </w:tc>
        <w:tc>
          <w:tcPr>
            <w:tcW w:w="1479"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备注</w:t>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bl>
    <w:p>
      <w:pPr>
        <w:spacing w:line="440" w:lineRule="exact"/>
        <w:rPr>
          <w:rFonts w:ascii="仿宋" w:hAnsi="仿宋" w:eastAsia="仿宋" w:cs="仿宋"/>
          <w:highlight w:val="none"/>
        </w:rPr>
      </w:pPr>
      <w:r>
        <w:rPr>
          <w:rFonts w:ascii="仿宋" w:hAnsi="仿宋" w:eastAsia="仿宋" w:cs="仿宋"/>
          <w:highlight w:val="none"/>
        </w:rPr>
      </w:r>
      <w:r/>
    </w:p>
    <w:p>
      <w:pPr>
        <w:spacing w:line="440" w:lineRule="exact"/>
        <w:rPr>
          <w:rFonts w:ascii="仿宋" w:hAnsi="仿宋" w:eastAsia="仿宋" w:cs="仿宋"/>
          <w:highlight w:val="none"/>
        </w:rPr>
      </w:pPr>
      <w:r>
        <w:rPr>
          <w:rFonts w:hint="eastAsia" w:ascii="仿宋" w:hAnsi="仿宋" w:eastAsia="仿宋" w:cs="仿宋"/>
          <w:highlight w:val="none"/>
        </w:rPr>
        <w:t xml:space="preserve">附件3：</w:t>
      </w:r>
      <w:r/>
    </w:p>
    <w:p>
      <w:pPr>
        <w:jc w:val="center"/>
        <w:spacing w:before="156" w:after="156" w:line="440" w:lineRule="exact"/>
        <w:rPr>
          <w:rFonts w:ascii="仿宋" w:hAnsi="仿宋" w:eastAsia="仿宋" w:cs="仿宋"/>
          <w:highlight w:val="none"/>
        </w:rPr>
      </w:pPr>
      <w:r>
        <w:rPr>
          <w:rFonts w:hint="eastAsia" w:ascii="仿宋" w:hAnsi="仿宋" w:eastAsia="仿宋" w:cs="仿宋"/>
          <w:highlight w:val="none"/>
        </w:rPr>
        <w:t xml:space="preserve">承包人主要施工管理人员表</w:t>
      </w:r>
      <w:r/>
    </w:p>
    <w:tbl>
      <w:tblPr>
        <w:tblStyle w:val="1051"/>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名    称</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姓名</w:t>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职务</w:t>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职称</w:t>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主要资历、经验及承担过的项目</w:t>
            </w:r>
            <w:r/>
          </w:p>
        </w:tc>
      </w:tr>
      <w:tr>
        <w:trPr>
          <w:jc w:val="center"/>
        </w:trPr>
        <w:tc>
          <w:tcPr>
            <w:gridSpan w:val="5"/>
            <w:tcW w:w="9802"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一、总部人员</w:t>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项目主管</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其他人员</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gridSpan w:val="5"/>
            <w:tcW w:w="9802"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二、现场人员</w:t>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项目经理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项目副经理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技术负责人</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造价管理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质量管理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材料管理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计划管理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安全管理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vMerge w:val="restart"/>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其他人员</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bl>
    <w:p>
      <w:pPr>
        <w:pStyle w:val="1397"/>
        <w:ind w:left="0" w:right="0" w:firstLine="0"/>
        <w:widowControl w:val="off"/>
        <w:rPr>
          <w:rFonts w:ascii="仿宋" w:hAnsi="仿宋" w:eastAsia="仿宋" w:cs="仿宋"/>
          <w:sz w:val="21"/>
          <w:szCs w:val="21"/>
          <w:highlight w:val="none"/>
        </w:rPr>
      </w:pPr>
      <w:r>
        <w:rPr>
          <w:rFonts w:ascii="仿宋" w:hAnsi="仿宋" w:eastAsia="仿宋" w:cs="仿宋"/>
          <w:sz w:val="21"/>
          <w:szCs w:val="21"/>
          <w:highlight w:val="none"/>
        </w:rPr>
      </w:r>
      <w:r/>
    </w:p>
    <w:p>
      <w:pPr>
        <w:pStyle w:val="1263"/>
        <w:jc w:val="center"/>
        <w:spacing w:line="360" w:lineRule="auto"/>
        <w:rPr>
          <w:rStyle w:val="1305"/>
          <w:rFonts w:ascii="仿宋" w:hAnsi="仿宋" w:eastAsia="仿宋" w:cs="仿宋"/>
          <w:b/>
          <w:bCs/>
          <w:highlight w:val="none"/>
        </w:rPr>
      </w:pPr>
      <w:r>
        <w:rPr>
          <w:rStyle w:val="1305"/>
          <w:rFonts w:hint="eastAsia" w:ascii="仿宋" w:hAnsi="仿宋" w:eastAsia="仿宋" w:cs="仿宋"/>
          <w:b/>
          <w:bCs/>
          <w:sz w:val="28"/>
          <w:highlight w:val="none"/>
        </w:rPr>
        <w:t xml:space="preserve">8、承诺书</w:t>
      </w:r>
      <w:bookmarkEnd w:id="19"/>
      <w:r/>
      <w:r/>
    </w:p>
    <w:p>
      <w:pPr>
        <w:pStyle w:val="1263"/>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致</w:t>
      </w:r>
      <w:r>
        <w:rPr>
          <w:rStyle w:val="1305"/>
          <w:rFonts w:hint="eastAsia" w:ascii="仿宋" w:hAnsi="仿宋" w:eastAsia="仿宋" w:cs="仿宋"/>
          <w:sz w:val="24"/>
          <w:highlight w:val="none"/>
          <w:u w:val="single"/>
        </w:rPr>
        <w:t xml:space="preserve">徐州保平建设项目管理咨询有限公司</w:t>
      </w:r>
      <w:r>
        <w:rPr>
          <w:rStyle w:val="1305"/>
          <w:rFonts w:hint="eastAsia" w:ascii="仿宋" w:hAnsi="仿宋" w:eastAsia="仿宋" w:cs="仿宋"/>
          <w:sz w:val="24"/>
          <w:highlight w:val="none"/>
        </w:rPr>
        <w:t xml:space="preserve">：</w:t>
      </w:r>
      <w:r/>
    </w:p>
    <w:p>
      <w:pPr>
        <w:pStyle w:val="1263"/>
        <w:ind w:firstLine="480"/>
        <w:jc w:val="left"/>
        <w:spacing w:line="380" w:lineRule="exact"/>
        <w:widowControl w:val="off"/>
        <w:tabs>
          <w:tab w:val="right" w:pos="4153" w:leader="none"/>
          <w:tab w:val="left" w:pos="8306" w:leader="underscore"/>
        </w:tabs>
        <w:rPr>
          <w:rStyle w:val="1305"/>
          <w:rFonts w:ascii="仿宋" w:hAnsi="仿宋" w:eastAsia="仿宋" w:cs="仿宋"/>
          <w:sz w:val="24"/>
          <w:highlight w:val="none"/>
        </w:rPr>
      </w:pPr>
      <w:r>
        <w:rPr>
          <w:rStyle w:val="1305"/>
          <w:rFonts w:hint="eastAsia" w:ascii="仿宋" w:hAnsi="仿宋" w:eastAsia="仿宋" w:cs="仿宋"/>
          <w:sz w:val="24"/>
          <w:highlight w:val="none"/>
        </w:rPr>
        <w:t xml:space="preserve">根据贵方《磋商文件》（项目编号：）要求，本供应商正式提交以下首次响应文件。</w:t>
      </w:r>
      <w:r/>
    </w:p>
    <w:p>
      <w:pPr>
        <w:pStyle w:val="1263"/>
        <w:ind w:firstLine="480"/>
        <w:jc w:val="left"/>
        <w:spacing w:line="380" w:lineRule="exact"/>
        <w:widowControl w:val="off"/>
        <w:tabs>
          <w:tab w:val="right" w:pos="4153" w:leader="none"/>
          <w:tab w:val="left" w:pos="8306" w:leader="underscore"/>
        </w:tabs>
        <w:rPr>
          <w:rStyle w:val="1305"/>
          <w:rFonts w:ascii="仿宋" w:hAnsi="仿宋" w:eastAsia="仿宋" w:cs="仿宋"/>
          <w:sz w:val="24"/>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305"/>
          <w:rFonts w:hint="eastAsia" w:ascii="仿宋" w:hAnsi="仿宋" w:eastAsia="仿宋" w:cs="仿宋"/>
          <w:sz w:val="24"/>
          <w:highlight w:val="none"/>
        </w:rPr>
        <w:t xml:space="preserve">（1）承诺书； </w:t>
      </w:r>
      <w:r/>
    </w:p>
    <w:p>
      <w:pPr>
        <w:pStyle w:val="1263"/>
        <w:ind w:firstLine="480"/>
        <w:jc w:val="left"/>
        <w:spacing w:line="380" w:lineRule="exact"/>
        <w:widowControl w:val="off"/>
        <w:tabs>
          <w:tab w:val="right" w:pos="4153" w:leader="none"/>
          <w:tab w:val="left" w:pos="8306" w:leader="underscore"/>
        </w:tabs>
        <w:rPr>
          <w:rStyle w:val="1305"/>
          <w:rFonts w:ascii="仿宋" w:hAnsi="仿宋" w:eastAsia="仿宋" w:cs="仿宋"/>
          <w:sz w:val="24"/>
          <w:highlight w:val="none"/>
        </w:rPr>
      </w:pPr>
      <w:r>
        <w:rPr>
          <w:rStyle w:val="1305"/>
          <w:rFonts w:hint="eastAsia" w:ascii="仿宋" w:hAnsi="仿宋" w:eastAsia="仿宋" w:cs="仿宋"/>
          <w:sz w:val="24"/>
          <w:highlight w:val="none"/>
        </w:rPr>
        <w:t xml:space="preserve">（2）磋商报价表； </w:t>
      </w:r>
      <w:r/>
    </w:p>
    <w:p>
      <w:pPr>
        <w:pStyle w:val="1263"/>
        <w:ind w:firstLine="480"/>
        <w:jc w:val="left"/>
        <w:spacing w:line="380" w:lineRule="exact"/>
        <w:widowControl w:val="off"/>
        <w:tabs>
          <w:tab w:val="right" w:pos="4153" w:leader="none"/>
          <w:tab w:val="left" w:pos="8306" w:leader="underscore"/>
        </w:tabs>
        <w:rPr>
          <w:rStyle w:val="1305"/>
          <w:rFonts w:ascii="仿宋" w:hAnsi="仿宋" w:eastAsia="仿宋" w:cs="仿宋"/>
          <w:sz w:val="24"/>
          <w:highlight w:val="none"/>
        </w:rPr>
      </w:pPr>
      <w:r>
        <w:rPr>
          <w:rStyle w:val="1305"/>
          <w:rFonts w:hint="eastAsia" w:ascii="仿宋" w:hAnsi="仿宋" w:eastAsia="仿宋" w:cs="仿宋"/>
          <w:sz w:val="24"/>
          <w:highlight w:val="none"/>
        </w:rPr>
        <w:t xml:space="preserve">（3）偏离表；</w:t>
      </w:r>
      <w:r/>
    </w:p>
    <w:p>
      <w:pPr>
        <w:pStyle w:val="1263"/>
        <w:ind w:firstLine="480"/>
        <w:jc w:val="left"/>
        <w:spacing w:line="380" w:lineRule="exact"/>
        <w:widowControl w:val="off"/>
        <w:tabs>
          <w:tab w:val="right" w:pos="4153" w:leader="none"/>
          <w:tab w:val="left" w:pos="8306" w:leader="underscore"/>
        </w:tabs>
        <w:rPr>
          <w:rStyle w:val="1305"/>
          <w:rFonts w:ascii="仿宋" w:hAnsi="仿宋" w:eastAsia="仿宋" w:cs="仿宋"/>
          <w:sz w:val="24"/>
          <w:highlight w:val="none"/>
        </w:rPr>
      </w:pPr>
      <w:r>
        <w:rPr>
          <w:rStyle w:val="1305"/>
          <w:rFonts w:hint="eastAsia" w:ascii="仿宋" w:hAnsi="仿宋" w:eastAsia="仿宋" w:cs="仿宋"/>
          <w:sz w:val="24"/>
          <w:highlight w:val="none"/>
        </w:rPr>
        <w:t xml:space="preserve">（4）磋商文件要求提供的其他响应文件。</w:t>
      </w:r>
      <w:r/>
    </w:p>
    <w:p>
      <w:pPr>
        <w:pStyle w:val="1263"/>
        <w:ind w:firstLine="480"/>
        <w:jc w:val="left"/>
        <w:spacing w:line="380" w:lineRule="exact"/>
        <w:widowControl w:val="off"/>
        <w:tabs>
          <w:tab w:val="right" w:pos="4153" w:leader="none"/>
          <w:tab w:val="left" w:pos="8306" w:leader="underscore"/>
        </w:tabs>
        <w:rPr>
          <w:rStyle w:val="1305"/>
          <w:rFonts w:ascii="仿宋" w:hAnsi="仿宋" w:eastAsia="仿宋" w:cs="仿宋"/>
          <w:sz w:val="24"/>
          <w:highlight w:val="none"/>
        </w:rPr>
      </w:pPr>
      <w:r>
        <w:rPr>
          <w:rStyle w:val="1305"/>
          <w:rFonts w:hint="eastAsia" w:ascii="仿宋" w:hAnsi="仿宋" w:eastAsia="仿宋" w:cs="仿宋"/>
          <w:sz w:val="24"/>
          <w:highlight w:val="none"/>
        </w:rPr>
        <w:t xml:space="preserve">我单位符合《中华人民共和国政府采购法》第二十二条的规定，符合本项目供应商资格要求。</w:t>
      </w:r>
      <w:r/>
    </w:p>
    <w:p>
      <w:pPr>
        <w:pStyle w:val="1263"/>
        <w:ind w:firstLine="480"/>
        <w:jc w:val="left"/>
        <w:spacing w:line="380" w:lineRule="exact"/>
        <w:widowControl w:val="off"/>
        <w:tabs>
          <w:tab w:val="right" w:pos="4153" w:leader="none"/>
          <w:tab w:val="left" w:pos="8306" w:leader="underscore"/>
        </w:tabs>
        <w:rPr>
          <w:rStyle w:val="1305"/>
          <w:rFonts w:ascii="仿宋" w:hAnsi="仿宋" w:eastAsia="仿宋" w:cs="仿宋"/>
          <w:sz w:val="24"/>
          <w:highlight w:val="none"/>
        </w:rPr>
      </w:pPr>
      <w:r>
        <w:rPr>
          <w:rStyle w:val="1305"/>
          <w:rFonts w:hint="eastAsia" w:ascii="仿宋" w:hAnsi="仿宋" w:eastAsia="仿宋" w:cs="仿宋"/>
          <w:sz w:val="24"/>
          <w:highlight w:val="none"/>
        </w:rPr>
        <w:t xml:space="preserve">我单位按照磋商文件的要求编制响应文件，并对其提交的响应文件的真实性、合法性承担法律责任。</w:t>
      </w:r>
      <w:r/>
    </w:p>
    <w:p>
      <w:pPr>
        <w:pStyle w:val="1263"/>
        <w:ind w:firstLine="48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供应商兹宣布同意如下： </w:t>
      </w:r>
      <w:r/>
    </w:p>
    <w:p>
      <w:pPr>
        <w:pStyle w:val="1263"/>
        <w:ind w:firstLine="480"/>
        <w:jc w:val="left"/>
        <w:spacing w:line="380" w:lineRule="exact"/>
        <w:widowControl w:val="off"/>
        <w:tabs>
          <w:tab w:val="right" w:pos="4153" w:leader="none"/>
          <w:tab w:val="left" w:pos="8306" w:leader="underscore"/>
        </w:tabs>
        <w:rPr>
          <w:rStyle w:val="1305"/>
          <w:rFonts w:ascii="仿宋" w:hAnsi="仿宋" w:eastAsia="仿宋" w:cs="仿宋"/>
          <w:sz w:val="24"/>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305"/>
          <w:rFonts w:hint="eastAsia" w:ascii="仿宋" w:hAnsi="仿宋" w:eastAsia="仿宋" w:cs="仿宋"/>
          <w:sz w:val="24"/>
          <w:highlight w:val="none"/>
        </w:rPr>
        <w:t xml:space="preserve">一、完全承担根据《磋商文件》规定完成合同的责任和义务（如有偏离，将全部填写在偏离表中）。</w:t>
      </w:r>
      <w:r/>
    </w:p>
    <w:p>
      <w:pPr>
        <w:pStyle w:val="1263"/>
        <w:ind w:firstLine="480"/>
        <w:jc w:val="left"/>
        <w:spacing w:line="380" w:lineRule="exact"/>
        <w:widowControl w:val="off"/>
        <w:tabs>
          <w:tab w:val="right" w:pos="4153" w:leader="none"/>
          <w:tab w:val="left" w:pos="8306" w:leader="underscore"/>
        </w:tabs>
        <w:rPr>
          <w:rStyle w:val="1305"/>
          <w:rFonts w:ascii="仿宋" w:hAnsi="仿宋" w:eastAsia="仿宋" w:cs="仿宋"/>
          <w:sz w:val="24"/>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305"/>
          <w:rFonts w:hint="eastAsia" w:ascii="仿宋" w:hAnsi="仿宋" w:eastAsia="仿宋" w:cs="仿宋"/>
          <w:sz w:val="24"/>
          <w:highlight w:val="none"/>
        </w:rPr>
        <w:t xml:space="preserve">二、保证所提供的响应文件及所有材料的真实、合法、有效，并对其负责。</w:t>
      </w:r>
      <w:r/>
    </w:p>
    <w:p>
      <w:pPr>
        <w:pStyle w:val="1263"/>
        <w:ind w:firstLine="48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三、已详细审核竞争性磋商文件（含竞争性磋商文件的澄清或者修改），本供应商完全理解并同意放弃对这方面不明及误解的权利。</w:t>
      </w:r>
      <w:r/>
    </w:p>
    <w:p>
      <w:pPr>
        <w:pStyle w:val="1263"/>
        <w:ind w:firstLine="48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四、所供货物保证符合国家有关产品质量、性能和安全标准，无权利瑕疵。</w:t>
      </w:r>
      <w:r/>
    </w:p>
    <w:p>
      <w:pPr>
        <w:pStyle w:val="1263"/>
        <w:ind w:firstLine="48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五、报价有效期为30个工作日。</w:t>
      </w:r>
      <w:r/>
    </w:p>
    <w:p>
      <w:pPr>
        <w:pStyle w:val="1263"/>
        <w:ind w:firstLine="48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六、同意向贵方提供贵方可能要求的与本次磋商采购有关的任何证据或资料。</w:t>
      </w:r>
      <w:r/>
    </w:p>
    <w:p>
      <w:pPr>
        <w:pStyle w:val="1263"/>
        <w:ind w:firstLine="48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七、完全理解贵方不一定要接受最低的报价或收到的任何报价。</w:t>
      </w:r>
      <w:r/>
    </w:p>
    <w:p>
      <w:pPr>
        <w:pStyle w:val="1263"/>
        <w:ind w:firstLine="48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八、徐州保平建设项目管理咨询有限公司有权将我单位本项目的《磋商报价表》和《分项价格表》予以公示，公示的方式由徐州保平建设项目管理咨询有限公司确定。</w:t>
      </w:r>
      <w:r/>
    </w:p>
    <w:p>
      <w:pPr>
        <w:pStyle w:val="1263"/>
        <w:ind w:firstLine="48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九、采购人有权对供应商的响应文件的真实性</w:t>
      </w:r>
      <w:r>
        <w:rPr>
          <w:rStyle w:val="1305"/>
          <w:rFonts w:hint="eastAsia" w:ascii="仿宋" w:hAnsi="仿宋" w:eastAsia="仿宋" w:cs="仿宋"/>
          <w:bCs/>
          <w:sz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305"/>
          <w:rFonts w:hint="eastAsia" w:ascii="仿宋" w:hAnsi="仿宋" w:eastAsia="仿宋" w:cs="仿宋"/>
          <w:sz w:val="24"/>
          <w:highlight w:val="none"/>
        </w:rPr>
        <w:t xml:space="preserve">。</w:t>
      </w:r>
      <w:r/>
    </w:p>
    <w:p>
      <w:pPr>
        <w:pStyle w:val="1263"/>
        <w:ind w:firstLine="48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十、供应商同意按照磋商文件的有关规定支付招标代理服务费。 </w:t>
      </w:r>
      <w:r/>
    </w:p>
    <w:p>
      <w:pPr>
        <w:pStyle w:val="1263"/>
        <w:ind w:firstLine="396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供应商（</w:t>
      </w:r>
      <w:r>
        <w:rPr>
          <w:rStyle w:val="1305"/>
          <w:rFonts w:hint="eastAsia" w:ascii="仿宋" w:hAnsi="仿宋" w:eastAsia="仿宋" w:cs="仿宋"/>
          <w:sz w:val="24"/>
          <w:szCs w:val="24"/>
          <w:highlight w:val="none"/>
        </w:rPr>
        <w:t xml:space="preserve">电子签章</w:t>
      </w:r>
      <w:r>
        <w:rPr>
          <w:rStyle w:val="1305"/>
          <w:rFonts w:hint="eastAsia" w:ascii="仿宋" w:hAnsi="仿宋" w:eastAsia="仿宋" w:cs="仿宋"/>
          <w:sz w:val="24"/>
          <w:highlight w:val="none"/>
        </w:rPr>
        <w:t xml:space="preserve">）：</w:t>
      </w:r>
      <w:r/>
    </w:p>
    <w:p>
      <w:pPr>
        <w:pStyle w:val="1263"/>
        <w:ind w:firstLine="396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法定代表人或授权代表（签字或盖章）：  </w:t>
      </w:r>
      <w:r/>
    </w:p>
    <w:p>
      <w:pPr>
        <w:pStyle w:val="1263"/>
        <w:ind w:firstLine="396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联系电话：</w:t>
      </w:r>
      <w:r/>
    </w:p>
    <w:p>
      <w:pPr>
        <w:pStyle w:val="1263"/>
        <w:ind w:firstLine="3960"/>
        <w:jc w:val="left"/>
        <w:spacing w:line="38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日期：</w:t>
      </w:r>
      <w:r/>
    </w:p>
    <w:p>
      <w:pPr>
        <w:pStyle w:val="1263"/>
        <w:ind w:firstLine="480"/>
        <w:jc w:val="left"/>
        <w:spacing w:line="288" w:lineRule="auto"/>
        <w:widowControl w:val="off"/>
        <w:rPr>
          <w:rStyle w:val="1305"/>
          <w:rFonts w:ascii="仿宋" w:hAnsi="仿宋" w:eastAsia="仿宋" w:cs="仿宋"/>
          <w:sz w:val="24"/>
          <w:highlight w:val="none"/>
        </w:rPr>
      </w:pPr>
      <w:r>
        <w:rPr>
          <w:rFonts w:hint="eastAsia" w:ascii="仿宋" w:hAnsi="仿宋" w:eastAsia="仿宋" w:cs="仿宋"/>
          <w:highlight w:val="none"/>
        </w:rPr>
        <w:br w:type="page" w:clear="all"/>
      </w:r>
      <w:r/>
    </w:p>
    <w:p>
      <w:pPr>
        <w:pStyle w:val="1272"/>
        <w:jc w:val="center"/>
        <w:keepLines w:val="0"/>
        <w:keepNext w:val="0"/>
        <w:widowControl w:val="off"/>
        <w:rPr>
          <w:rStyle w:val="1305"/>
          <w:rFonts w:ascii="仿宋" w:hAnsi="仿宋" w:eastAsia="仿宋" w:cs="仿宋"/>
          <w:sz w:val="28"/>
          <w:highlight w:val="none"/>
        </w:rPr>
      </w:pPr>
      <w:r/>
      <w:bookmarkStart w:id="20" w:name="_Toc7051"/>
      <w:r>
        <w:rPr>
          <w:rStyle w:val="1305"/>
          <w:rFonts w:hint="eastAsia" w:ascii="仿宋" w:hAnsi="仿宋" w:eastAsia="仿宋" w:cs="仿宋"/>
          <w:sz w:val="28"/>
          <w:highlight w:val="none"/>
        </w:rPr>
        <w:t xml:space="preserve">9、授权委托书</w:t>
      </w:r>
      <w:bookmarkEnd w:id="20"/>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委托人（全称）：</w:t>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地  址：</w:t>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法定代表人：              </w:t>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统一社会信用代码：</w:t>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受托人：                  先生（女士）</w:t>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身份证号：</w:t>
      </w:r>
      <w:r/>
    </w:p>
    <w:p>
      <w:pPr>
        <w:pStyle w:val="1263"/>
        <w:ind w:firstLine="480"/>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兹委托（            ）全权代表我企业（公司）参与</w:t>
      </w:r>
      <w:r>
        <w:rPr>
          <w:rStyle w:val="1305"/>
          <w:rFonts w:hint="eastAsia" w:ascii="仿宋" w:hAnsi="仿宋" w:eastAsia="仿宋" w:cs="仿宋"/>
          <w:sz w:val="24"/>
          <w:highlight w:val="none"/>
          <w:u w:val="single"/>
        </w:rPr>
        <w:t xml:space="preserve">交管支队车管所考试场地整修</w:t>
      </w:r>
      <w:r>
        <w:rPr>
          <w:rStyle w:val="1305"/>
          <w:rFonts w:hint="eastAsia" w:ascii="仿宋" w:hAnsi="仿宋" w:eastAsia="仿宋" w:cs="仿宋"/>
          <w:sz w:val="24"/>
          <w:highlight w:val="none"/>
        </w:rPr>
        <w:t xml:space="preserve"> [项目编号：]的磋商活动及签订合同。（         ）以我企业（公司）名义所为的行为及签署的文件，我企业（公司）均予以认可。有关法律责任均由我企业（公司）承担。（         ）无转委托权。委托期限自   年  月   日起至  年  月    日止。</w:t>
      </w:r>
      <w:r/>
    </w:p>
    <w:p>
      <w:pPr>
        <w:pStyle w:val="1263"/>
        <w:ind w:firstLine="4560"/>
        <w:jc w:val="left"/>
        <w:spacing w:line="360" w:lineRule="auto"/>
        <w:widowControl w:val="off"/>
        <w:rPr>
          <w:rStyle w:val="1305"/>
          <w:rFonts w:ascii="仿宋" w:hAnsi="仿宋" w:eastAsia="仿宋" w:cs="仿宋"/>
          <w:sz w:val="24"/>
          <w:highlight w:val="none"/>
        </w:rPr>
      </w:pPr>
      <w:r>
        <w:rPr>
          <w:rFonts w:ascii="仿宋" w:hAnsi="仿宋" w:eastAsia="仿宋" w:cs="仿宋"/>
          <w:sz w:val="24"/>
          <w:highlight w:val="none"/>
        </w:rPr>
      </w:r>
      <w:r/>
    </w:p>
    <w:p>
      <w:pPr>
        <w:pStyle w:val="1263"/>
        <w:ind w:firstLine="4560"/>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委托人（</w:t>
      </w:r>
      <w:r>
        <w:rPr>
          <w:rStyle w:val="1305"/>
          <w:rFonts w:hint="eastAsia" w:ascii="仿宋" w:hAnsi="仿宋" w:eastAsia="仿宋" w:cs="仿宋"/>
          <w:sz w:val="24"/>
          <w:szCs w:val="24"/>
          <w:highlight w:val="none"/>
        </w:rPr>
        <w:t xml:space="preserve">电子签章</w:t>
      </w:r>
      <w:r>
        <w:rPr>
          <w:rStyle w:val="1305"/>
          <w:rFonts w:hint="eastAsia" w:ascii="仿宋" w:hAnsi="仿宋" w:eastAsia="仿宋" w:cs="仿宋"/>
          <w:sz w:val="24"/>
          <w:highlight w:val="none"/>
        </w:rPr>
        <w:t xml:space="preserve">）：</w:t>
      </w:r>
      <w:r/>
    </w:p>
    <w:p>
      <w:pPr>
        <w:pStyle w:val="1263"/>
        <w:ind w:firstLine="4560"/>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法定代表人（签字或盖章）：</w:t>
      </w:r>
      <w:r/>
    </w:p>
    <w:p>
      <w:pPr>
        <w:pStyle w:val="1263"/>
        <w:ind w:firstLine="4560"/>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受托人（签字或盖章）：</w:t>
      </w:r>
      <w:r/>
    </w:p>
    <w:p>
      <w:pPr>
        <w:pStyle w:val="1263"/>
        <w:ind w:firstLine="4560"/>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日期：</w:t>
      </w:r>
      <w:r/>
    </w:p>
    <w:p>
      <w:pPr>
        <w:pStyle w:val="1263"/>
        <w:jc w:val="center"/>
        <w:spacing w:line="360" w:lineRule="auto"/>
        <w:widowControl w:val="off"/>
        <w:rPr>
          <w:rStyle w:val="1305"/>
          <w:rFonts w:ascii="仿宋" w:hAnsi="仿宋" w:eastAsia="仿宋" w:cs="仿宋"/>
          <w:sz w:val="24"/>
          <w:highlight w:val="none"/>
        </w:rPr>
      </w:pPr>
      <w:r>
        <w:rPr>
          <w:rFonts w:ascii="仿宋" w:hAnsi="仿宋" w:eastAsia="仿宋" w:cs="仿宋"/>
          <w:sz w:val="24"/>
          <w:highlight w:val="none"/>
        </w:rPr>
      </w:r>
      <w:r/>
    </w:p>
    <w:p>
      <w:pPr>
        <w:pStyle w:val="1263"/>
        <w:jc w:val="center"/>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(受托人身份证复印件附后)</w:t>
      </w:r>
      <w:r/>
    </w:p>
    <w:p>
      <w:pPr>
        <w:pStyle w:val="1263"/>
        <w:spacing w:line="360" w:lineRule="auto"/>
        <w:widowControl w:val="off"/>
        <w:rPr>
          <w:rStyle w:val="1305"/>
          <w:rFonts w:ascii="仿宋" w:hAnsi="仿宋" w:eastAsia="仿宋" w:cs="仿宋"/>
          <w:b/>
          <w:bCs/>
          <w:sz w:val="24"/>
          <w:highlight w:val="none"/>
        </w:rPr>
      </w:pPr>
      <w:r>
        <w:rPr>
          <w:rFonts w:ascii="仿宋" w:hAnsi="仿宋" w:eastAsia="仿宋" w:cs="仿宋"/>
          <w:b/>
          <w:bCs/>
          <w:sz w:val="24"/>
          <w:highlight w:val="none"/>
        </w:rPr>
      </w:r>
      <w:r/>
    </w:p>
    <w:p>
      <w:pPr>
        <w:pStyle w:val="1263"/>
        <w:jc w:val="center"/>
        <w:spacing w:line="360" w:lineRule="auto"/>
        <w:widowControl w:val="off"/>
        <w:rPr>
          <w:rStyle w:val="1305"/>
          <w:rFonts w:ascii="仿宋" w:hAnsi="仿宋" w:eastAsia="仿宋" w:cs="仿宋"/>
          <w:sz w:val="28"/>
          <w:highlight w:val="none"/>
        </w:rPr>
      </w:pPr>
      <w:r>
        <w:rPr>
          <w:rFonts w:ascii="仿宋" w:hAnsi="仿宋" w:eastAsia="仿宋" w:cs="仿宋"/>
          <w:sz w:val="28"/>
          <w:highlight w:val="none"/>
        </w:rPr>
      </w:r>
      <w:r/>
    </w:p>
    <w:p>
      <w:pPr>
        <w:pStyle w:val="1272"/>
        <w:jc w:val="center"/>
        <w:keepLines w:val="0"/>
        <w:keepNext w:val="0"/>
        <w:widowControl w:val="off"/>
        <w:rPr>
          <w:rStyle w:val="1305"/>
          <w:rFonts w:ascii="仿宋" w:hAnsi="仿宋" w:eastAsia="仿宋" w:cs="仿宋"/>
          <w:sz w:val="28"/>
          <w:highlight w:val="none"/>
        </w:rPr>
        <w:outlineLvl w:val="9"/>
      </w:pPr>
      <w:r>
        <w:rPr>
          <w:rFonts w:ascii="仿宋" w:hAnsi="仿宋" w:eastAsia="仿宋" w:cs="仿宋"/>
          <w:sz w:val="28"/>
          <w:highlight w:val="none"/>
        </w:rPr>
      </w:r>
      <w:r/>
    </w:p>
    <w:p>
      <w:pPr>
        <w:pStyle w:val="1272"/>
        <w:jc w:val="center"/>
        <w:keepLines w:val="0"/>
        <w:keepNext w:val="0"/>
        <w:widowControl w:val="off"/>
        <w:rPr>
          <w:rStyle w:val="1305"/>
          <w:rFonts w:ascii="仿宋" w:hAnsi="仿宋" w:eastAsia="仿宋" w:cs="仿宋"/>
          <w:sz w:val="28"/>
          <w:highlight w:val="none"/>
        </w:rPr>
      </w:pPr>
      <w:r>
        <w:rPr>
          <w:rStyle w:val="1305"/>
          <w:rFonts w:hint="eastAsia" w:ascii="仿宋" w:hAnsi="仿宋" w:eastAsia="仿宋" w:cs="仿宋"/>
          <w:sz w:val="28"/>
          <w:highlight w:val="none"/>
        </w:rPr>
        <w:br w:type="page" w:clear="all"/>
      </w:r>
      <w:bookmarkStart w:id="21" w:name="_Toc32003"/>
      <w:r>
        <w:rPr>
          <w:rStyle w:val="1305"/>
          <w:rFonts w:hint="eastAsia" w:ascii="仿宋" w:hAnsi="仿宋" w:eastAsia="仿宋" w:cs="仿宋"/>
          <w:sz w:val="28"/>
          <w:highlight w:val="none"/>
        </w:rPr>
        <w:t xml:space="preserve">10、中小企业声明函</w:t>
      </w:r>
      <w:bookmarkEnd w:id="21"/>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项目名称：交管支队车管所考试场地整修</w:t>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项目编号：</w:t>
      </w:r>
      <w:r>
        <w:rPr>
          <w:rStyle w:val="1305"/>
          <w:rFonts w:hint="eastAsia" w:ascii="仿宋" w:hAnsi="仿宋" w:eastAsia="仿宋" w:cs="仿宋"/>
          <w:sz w:val="24"/>
          <w:szCs w:val="24"/>
          <w:highlight w:val="none"/>
        </w:rPr>
        <w:t xml:space="preserve"> </w:t>
      </w:r>
      <w:r/>
    </w:p>
    <w:p>
      <w:pPr>
        <w:pStyle w:val="1263"/>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本公司郑重声明，根据《政府采购促进中小企业发展管理办法》（财库﹝2020﹞46号）的规定，本公司参加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采购活动，工程全部由符合政策要求的中小企业承接。相关企业的具体情况如下：</w:t>
      </w:r>
      <w:r/>
    </w:p>
    <w:p>
      <w:pPr>
        <w:pStyle w:val="1263"/>
        <w:ind w:firstLine="480"/>
        <w:spacing w:line="360" w:lineRule="auto"/>
        <w:widowControl w:val="off"/>
        <w:rPr>
          <w:rFonts w:ascii="仿宋" w:hAnsi="仿宋" w:eastAsia="仿宋" w:cs="仿宋"/>
          <w:spacing w:val="6"/>
          <w:sz w:val="24"/>
          <w:szCs w:val="24"/>
          <w:highlight w:val="none"/>
        </w:rPr>
      </w:pP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w:t>
      </w:r>
      <w:bookmarkStart w:id="22" w:name="_Hlk105228467"/>
      <w:r>
        <w:rPr>
          <w:rFonts w:hint="eastAsia" w:ascii="仿宋" w:hAnsi="仿宋" w:eastAsia="仿宋" w:cs="仿宋"/>
          <w:sz w:val="24"/>
          <w:szCs w:val="24"/>
          <w:highlight w:val="none"/>
          <w:u w:val="single"/>
        </w:rPr>
        <w:t xml:space="preserve">采购文件中明确的所属行业</w:t>
      </w:r>
      <w:bookmarkEnd w:id="22"/>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 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w:t>
      </w:r>
      <w:r>
        <w:rPr>
          <w:rFonts w:ascii="Wingdings 2" w:hAnsi="Wingdings 2" w:eastAsia="Wingdings 2" w:cs="Wingdings 2"/>
          <w:sz w:val="24"/>
          <w:szCs w:val="24"/>
          <w:highlight w:val="none"/>
          <w:u w:val="single"/>
        </w:rPr>
        <w:t xml:space="preserve">£</w:t>
      </w:r>
      <w:r>
        <w:rPr>
          <w:rFonts w:hint="eastAsia" w:ascii="仿宋" w:hAnsi="仿宋" w:eastAsia="仿宋" w:cs="仿宋"/>
          <w:sz w:val="24"/>
          <w:szCs w:val="24"/>
          <w:highlight w:val="none"/>
          <w:u w:val="single"/>
        </w:rPr>
        <w:t xml:space="preserve">中型企业、</w:t>
      </w:r>
      <w:r>
        <w:rPr>
          <w:rFonts w:ascii="Wingdings 2" w:hAnsi="Wingdings 2" w:eastAsia="Wingdings 2" w:cs="Wingdings 2"/>
          <w:sz w:val="24"/>
          <w:szCs w:val="24"/>
          <w:highlight w:val="none"/>
          <w:u w:val="single"/>
        </w:rPr>
        <w:t xml:space="preserve">£</w:t>
      </w:r>
      <w:r>
        <w:rPr>
          <w:rFonts w:hint="eastAsia" w:ascii="仿宋" w:hAnsi="仿宋" w:eastAsia="仿宋" w:cs="仿宋"/>
          <w:sz w:val="24"/>
          <w:szCs w:val="24"/>
          <w:highlight w:val="none"/>
          <w:u w:val="single"/>
        </w:rPr>
        <w:t xml:space="preserve">小型企业、</w:t>
      </w:r>
      <w:r>
        <w:rPr>
          <w:rFonts w:ascii="Wingdings 2" w:hAnsi="Wingdings 2" w:eastAsia="Wingdings 2" w:cs="Wingdings 2"/>
          <w:sz w:val="24"/>
          <w:szCs w:val="24"/>
          <w:highlight w:val="none"/>
          <w:u w:val="single"/>
        </w:rPr>
        <w:t xml:space="preserve">£</w:t>
      </w:r>
      <w:r>
        <w:rPr>
          <w:rFonts w:hint="eastAsia" w:ascii="仿宋" w:hAnsi="仿宋" w:eastAsia="仿宋" w:cs="仿宋"/>
          <w:sz w:val="24"/>
          <w:szCs w:val="24"/>
          <w:highlight w:val="none"/>
          <w:u w:val="single"/>
        </w:rPr>
        <w:t xml:space="preserve">微型企业</w:t>
      </w:r>
      <w:r>
        <w:rPr>
          <w:rFonts w:hint="eastAsia" w:ascii="仿宋" w:hAnsi="仿宋" w:eastAsia="仿宋" w:cs="仿宋"/>
          <w:b/>
          <w:sz w:val="24"/>
          <w:szCs w:val="24"/>
          <w:highlight w:val="none"/>
          <w:u w:val="single"/>
        </w:rPr>
        <w:t xml:space="preserve">，请勾选！</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w:t>
      </w:r>
      <w:r/>
    </w:p>
    <w:p>
      <w:pPr>
        <w:pStyle w:val="1263"/>
        <w:ind w:firstLine="482"/>
        <w:spacing w:line="360" w:lineRule="auto"/>
        <w:widowControl w:val="off"/>
        <w:rPr>
          <w:rFonts w:ascii="仿宋" w:hAnsi="仿宋" w:eastAsia="仿宋" w:cs="仿宋"/>
          <w:b/>
          <w:spacing w:val="6"/>
          <w:sz w:val="24"/>
          <w:szCs w:val="24"/>
          <w:highlight w:val="none"/>
        </w:rPr>
      </w:pPr>
      <w:r>
        <w:rPr>
          <w:rFonts w:hint="eastAsia" w:ascii="仿宋" w:hAnsi="仿宋" w:eastAsia="仿宋" w:cs="仿宋"/>
          <w:b/>
          <w:sz w:val="24"/>
          <w:szCs w:val="24"/>
          <w:highlight w:val="none"/>
        </w:rPr>
        <w:t xml:space="preserve">以上企业，不属于大企业的分支机构，不存在控股股东为大企业的情形，也不存在与大企业的负责人为同一人的情形。</w:t>
      </w:r>
      <w:r/>
    </w:p>
    <w:p>
      <w:pPr>
        <w:pStyle w:val="1263"/>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注：本项目采购属于</w:t>
      </w:r>
      <w:r>
        <w:rPr>
          <w:rFonts w:hint="eastAsia" w:ascii="仿宋" w:hAnsi="仿宋" w:eastAsia="仿宋" w:cs="仿宋"/>
          <w:sz w:val="24"/>
          <w:szCs w:val="24"/>
          <w:highlight w:val="none"/>
          <w:u w:val="single"/>
        </w:rPr>
        <w:t xml:space="preserve"> 建筑业 </w:t>
      </w:r>
      <w:r>
        <w:rPr>
          <w:rFonts w:hint="eastAsia" w:ascii="仿宋" w:hAnsi="仿宋" w:eastAsia="仿宋" w:cs="仿宋"/>
          <w:sz w:val="24"/>
          <w:szCs w:val="24"/>
          <w:highlight w:val="none"/>
        </w:rPr>
        <w:t xml:space="preserve">。</w:t>
      </w:r>
      <w:r/>
    </w:p>
    <w:p>
      <w:pPr>
        <w:pStyle w:val="1263"/>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pStyle w:val="1263"/>
        <w:ind w:firstLine="482"/>
        <w:jc w:val="left"/>
        <w:spacing w:line="360" w:lineRule="auto"/>
        <w:widowControl w:val="off"/>
        <w:rPr>
          <w:rFonts w:ascii="仿宋" w:hAnsi="仿宋" w:eastAsia="仿宋" w:cs="仿宋"/>
          <w:sz w:val="24"/>
          <w:szCs w:val="24"/>
          <w:highlight w:val="none"/>
        </w:rPr>
      </w:pPr>
      <w:r>
        <w:rPr>
          <w:rFonts w:hint="eastAsia" w:ascii="仿宋" w:hAnsi="仿宋" w:eastAsia="仿宋" w:cs="仿宋"/>
          <w:b/>
          <w:sz w:val="24"/>
          <w:szCs w:val="24"/>
          <w:highlight w:val="none"/>
        </w:rPr>
        <w:t xml:space="preserve">备注：从业人员、营业收入、资产总额填报上一年度数据，无上一年度数据的新成立企业可不填报</w:t>
      </w:r>
      <w:r>
        <w:rPr>
          <w:rFonts w:hint="eastAsia" w:ascii="仿宋" w:hAnsi="仿宋" w:eastAsia="仿宋" w:cs="仿宋"/>
          <w:sz w:val="24"/>
          <w:szCs w:val="24"/>
          <w:highlight w:val="none"/>
        </w:rPr>
        <w:t xml:space="preserve">。</w:t>
      </w:r>
      <w:r/>
    </w:p>
    <w:p>
      <w:pPr>
        <w:pStyle w:val="1263"/>
        <w:jc w:val="left"/>
        <w:spacing w:line="360" w:lineRule="auto"/>
        <w:widowControl w:val="off"/>
        <w:rPr>
          <w:rStyle w:val="1305"/>
          <w:rFonts w:ascii="仿宋" w:hAnsi="仿宋" w:eastAsia="仿宋" w:cs="仿宋"/>
          <w:sz w:val="24"/>
          <w:highlight w:val="none"/>
        </w:rPr>
      </w:pPr>
      <w:r>
        <w:rPr>
          <w:rFonts w:ascii="仿宋" w:hAnsi="仿宋" w:eastAsia="仿宋" w:cs="仿宋"/>
          <w:sz w:val="24"/>
          <w:highlight w:val="none"/>
        </w:rPr>
      </w:r>
      <w:r/>
    </w:p>
    <w:p>
      <w:pPr>
        <w:pStyle w:val="1263"/>
        <w:jc w:val="right"/>
        <w:spacing w:line="360" w:lineRule="auto"/>
        <w:widowControl w:val="off"/>
        <w:rPr>
          <w:rStyle w:val="1305"/>
          <w:rFonts w:ascii="仿宋" w:hAnsi="仿宋" w:eastAsia="仿宋" w:cs="仿宋"/>
          <w:sz w:val="24"/>
          <w:highlight w:val="none"/>
        </w:rPr>
      </w:pPr>
      <w:r>
        <w:rPr>
          <w:rFonts w:ascii="仿宋" w:hAnsi="仿宋" w:eastAsia="仿宋" w:cs="仿宋"/>
          <w:sz w:val="24"/>
          <w:highlight w:val="none"/>
        </w:rPr>
      </w:r>
      <w:r/>
    </w:p>
    <w:p>
      <w:pPr>
        <w:pStyle w:val="1263"/>
        <w:ind w:firstLine="3120"/>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    供应商：（</w:t>
      </w:r>
      <w:r>
        <w:rPr>
          <w:rStyle w:val="1305"/>
          <w:rFonts w:hint="eastAsia" w:ascii="仿宋" w:hAnsi="仿宋" w:eastAsia="仿宋" w:cs="仿宋"/>
          <w:sz w:val="24"/>
          <w:szCs w:val="24"/>
          <w:highlight w:val="none"/>
        </w:rPr>
        <w:t xml:space="preserve">电子签章</w:t>
      </w:r>
      <w:r>
        <w:rPr>
          <w:rStyle w:val="1305"/>
          <w:rFonts w:hint="eastAsia" w:ascii="仿宋" w:hAnsi="仿宋" w:eastAsia="仿宋" w:cs="仿宋"/>
          <w:sz w:val="24"/>
          <w:highlight w:val="none"/>
        </w:rPr>
        <w:t xml:space="preserve">）</w:t>
      </w:r>
      <w:r/>
    </w:p>
    <w:p>
      <w:pPr>
        <w:pStyle w:val="1263"/>
        <w:ind w:firstLine="480"/>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                          </w:t>
      </w:r>
      <w:r>
        <w:rPr>
          <w:rFonts w:hint="eastAsia" w:ascii="仿宋" w:hAnsi="仿宋" w:eastAsia="仿宋" w:cs="仿宋"/>
          <w:sz w:val="24"/>
          <w:szCs w:val="24"/>
          <w:highlight w:val="none"/>
        </w:rPr>
        <w:t xml:space="preserve">法定代表人或授权代表</w:t>
      </w:r>
      <w:r>
        <w:rPr>
          <w:rStyle w:val="1305"/>
          <w:rFonts w:hint="eastAsia" w:ascii="仿宋" w:hAnsi="仿宋" w:eastAsia="仿宋" w:cs="仿宋"/>
          <w:sz w:val="24"/>
          <w:highlight w:val="none"/>
        </w:rPr>
        <w:t xml:space="preserve">：（签字或盖章）  </w:t>
      </w:r>
      <w:r/>
    </w:p>
    <w:p>
      <w:pPr>
        <w:pStyle w:val="1263"/>
        <w:ind w:firstLine="3600"/>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日期：  </w:t>
      </w:r>
      <w:r/>
    </w:p>
    <w:p>
      <w:pPr>
        <w:pStyle w:val="1263"/>
        <w:jc w:val="center"/>
        <w:spacing w:line="360" w:lineRule="auto"/>
        <w:widowControl w:val="off"/>
        <w:rPr>
          <w:rFonts w:ascii="仿宋" w:hAnsi="仿宋" w:eastAsia="仿宋" w:cs="仿宋"/>
          <w:highlight w:val="none"/>
        </w:rPr>
        <w:sectPr>
          <w:headerReference w:type="default" r:id="rId13"/>
          <w:footerReference w:type="default" r:id="rId20"/>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highlight w:val="none"/>
        </w:rPr>
      </w:r>
      <w:r/>
    </w:p>
    <w:p>
      <w:pPr>
        <w:jc w:val="center"/>
        <w:spacing w:line="360" w:lineRule="auto"/>
        <w:rPr>
          <w:rStyle w:val="1305"/>
          <w:rFonts w:ascii="仿宋" w:hAnsi="仿宋" w:eastAsia="仿宋" w:cs="仿宋"/>
          <w:b/>
          <w:bCs/>
          <w:sz w:val="28"/>
          <w:szCs w:val="32"/>
          <w:highlight w:val="none"/>
        </w:rPr>
      </w:pPr>
      <w:r/>
      <w:bookmarkStart w:id="23" w:name="OLE_LINK11"/>
      <w:r/>
      <w:bookmarkStart w:id="24" w:name="OLE_LINK40"/>
      <w:r/>
      <w:bookmarkStart w:id="25" w:name="OLE_LINK41"/>
      <w:r/>
      <w:bookmarkStart w:id="26" w:name="OLE_LINK12"/>
      <w:r>
        <w:rPr>
          <w:rStyle w:val="1305"/>
          <w:rFonts w:hint="eastAsia" w:ascii="仿宋" w:hAnsi="仿宋" w:eastAsia="仿宋" w:cs="仿宋"/>
          <w:b/>
          <w:bCs/>
          <w:sz w:val="28"/>
          <w:szCs w:val="32"/>
          <w:highlight w:val="none"/>
        </w:rPr>
        <w:t xml:space="preserve">“中小企业声明函”查询渠道用微信搜索“中小企业规模类型自测小程序”。</w:t>
      </w:r>
      <w:bookmarkEnd w:id="23"/>
      <w:r/>
      <w:bookmarkEnd w:id="24"/>
      <w:r/>
      <w:bookmarkEnd w:id="25"/>
      <w:r/>
      <w:r/>
    </w:p>
    <w:p>
      <w:pPr>
        <w:pStyle w:val="1267"/>
        <w:jc w:val="center"/>
        <w:rPr>
          <w:rFonts w:ascii="仿宋" w:hAnsi="仿宋" w:eastAsia="仿宋" w:cs="仿宋"/>
          <w:highlight w:val="none"/>
        </w:rPr>
      </w:pPr>
      <w:r>
        <w:rPr>
          <w:rFonts w:hint="eastAsia" w:ascii="仿宋" w:hAnsi="仿宋" w:eastAsia="仿宋" w:cs="仿宋"/>
          <w:szCs w:val="28"/>
          <w:highlight w:val="none"/>
        </w:rPr>
        <mc:AlternateContent>
          <mc:Choice Requires="wpg">
            <w:drawing>
              <wp:inline xmlns:wp="http://schemas.openxmlformats.org/drawingml/2006/wordprocessingDrawing" distT="0" distB="0" distL="0" distR="0">
                <wp:extent cx="1846580" cy="3787140"/>
                <wp:effectExtent l="0" t="0" r="1270" b="381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r/>
                      </pic:nvPicPr>
                      <pic:blipFill>
                        <a:blip r:embed="rId29"/>
                        <a:stretch/>
                      </pic:blipFill>
                      <pic:spPr bwMode="auto">
                        <a:xfrm>
                          <a:off x="0" y="0"/>
                          <a:ext cx="1846580" cy="3787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45.4pt;height:298.2pt;mso-wrap-distance-left:0.0pt;mso-wrap-distance-top:0.0pt;mso-wrap-distance-right:0.0pt;mso-wrap-distance-bottom:0.0pt;" stroked="f">
                <v:path textboxrect="0,0,0,0"/>
                <v:imagedata r:id="rId29" o:title=""/>
              </v:shape>
            </w:pict>
          </mc:Fallback>
        </mc:AlternateContent>
      </w:r>
      <w:bookmarkEnd w:id="26"/>
      <w:r/>
      <w:r/>
    </w:p>
    <w:p>
      <w:pPr>
        <w:pStyle w:val="1294"/>
        <w:spacing w:before="0" w:beforeAutospacing="0" w:after="0" w:afterAutospacing="0" w:line="360" w:lineRule="auto"/>
        <w:widowControl w:val="off"/>
        <w:rPr>
          <w:rFonts w:ascii="仿宋" w:hAnsi="仿宋" w:eastAsia="仿宋" w:cs="仿宋"/>
          <w:sz w:val="30"/>
          <w:szCs w:val="30"/>
          <w:highlight w:val="none"/>
        </w:rPr>
        <w:sectPr>
          <w:headerReference w:type="default" r:id="rId14"/>
          <w:footerReference w:type="default" r:id="rId21"/>
          <w:footerReference w:type="even" r:id="rId22"/>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sz w:val="30"/>
          <w:szCs w:val="30"/>
          <w:highlight w:val="none"/>
        </w:rPr>
      </w:r>
      <w:r/>
    </w:p>
    <w:p>
      <w:pPr>
        <w:pStyle w:val="1263"/>
        <w:jc w:val="center"/>
        <w:spacing w:line="360" w:lineRule="auto"/>
        <w:widowControl w:val="off"/>
        <w:rPr>
          <w:rStyle w:val="1305"/>
          <w:rFonts w:ascii="仿宋" w:hAnsi="仿宋" w:eastAsia="仿宋" w:cs="仿宋"/>
          <w:sz w:val="28"/>
          <w:highlight w:val="none"/>
        </w:rPr>
      </w:pPr>
      <w:r>
        <w:rPr>
          <w:rStyle w:val="1305"/>
          <w:rFonts w:hint="eastAsia" w:ascii="仿宋" w:hAnsi="仿宋" w:eastAsia="仿宋" w:cs="仿宋"/>
          <w:b/>
          <w:bCs/>
          <w:sz w:val="28"/>
          <w:szCs w:val="32"/>
          <w:highlight w:val="none"/>
        </w:rPr>
        <w:t xml:space="preserve">11、残疾人福利性单位声明函</w:t>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项目名称：交管支队车管所考试场地整修</w:t>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项目编号：</w:t>
      </w:r>
      <w:r>
        <w:rPr>
          <w:rStyle w:val="1305"/>
          <w:rFonts w:hint="eastAsia" w:ascii="仿宋" w:hAnsi="仿宋" w:eastAsia="仿宋" w:cs="仿宋"/>
          <w:sz w:val="24"/>
          <w:szCs w:val="24"/>
          <w:highlight w:val="none"/>
        </w:rPr>
        <w:t xml:space="preserve"> </w:t>
      </w:r>
      <w:r/>
    </w:p>
    <w:p>
      <w:pPr>
        <w:pStyle w:val="1263"/>
        <w:ind w:firstLine="504"/>
        <w:jc w:val="left"/>
        <w:spacing w:line="360" w:lineRule="auto"/>
        <w:widowControl w:val="off"/>
        <w:rPr>
          <w:rStyle w:val="1305"/>
          <w:rFonts w:ascii="仿宋" w:hAnsi="仿宋" w:eastAsia="仿宋" w:cs="仿宋"/>
          <w:spacing w:val="6"/>
          <w:sz w:val="24"/>
          <w:highlight w:val="none"/>
        </w:rPr>
      </w:pPr>
      <w:r>
        <w:rPr>
          <w:rStyle w:val="1305"/>
          <w:rFonts w:hint="eastAsia" w:ascii="仿宋" w:hAnsi="仿宋" w:eastAsia="仿宋" w:cs="仿宋"/>
          <w:spacing w:val="6"/>
          <w:sz w:val="24"/>
          <w:highlight w:val="none"/>
        </w:rPr>
        <w:t xml:space="preserve">本单位郑重声明，根据《财政部民政部中国残疾人联合会关于促进残疾人就业政府采购政策的通知》（财库</w:t>
      </w:r>
      <w:r>
        <w:rPr>
          <w:rStyle w:val="1305"/>
          <w:rFonts w:hint="eastAsia" w:ascii="仿宋" w:hAnsi="仿宋" w:eastAsia="仿宋" w:cs="仿宋"/>
          <w:sz w:val="24"/>
          <w:highlight w:val="none"/>
        </w:rPr>
        <w:t xml:space="preserve">〔2017〕141</w:t>
      </w:r>
      <w:r>
        <w:rPr>
          <w:rStyle w:val="1305"/>
          <w:rFonts w:hint="eastAsia" w:ascii="仿宋" w:hAnsi="仿宋" w:eastAsia="仿宋" w:cs="仿宋"/>
          <w:spacing w:val="6"/>
          <w:sz w:val="24"/>
          <w:highlight w:val="none"/>
        </w:rPr>
        <w:t xml:space="preserve">号）的规定，本单位为符合条件的残疾人福利性单位，且本单位参加</w:t>
      </w:r>
      <w:r>
        <w:rPr>
          <w:rStyle w:val="1305"/>
          <w:rFonts w:hint="eastAsia" w:ascii="仿宋" w:hAnsi="仿宋" w:eastAsia="仿宋" w:cs="仿宋"/>
          <w:sz w:val="24"/>
          <w:highlight w:val="none"/>
        </w:rPr>
        <w:t xml:space="preserve">______</w:t>
      </w:r>
      <w:r>
        <w:rPr>
          <w:rStyle w:val="1305"/>
          <w:rFonts w:hint="eastAsia" w:ascii="仿宋" w:hAnsi="仿宋" w:eastAsia="仿宋" w:cs="仿宋"/>
          <w:spacing w:val="6"/>
          <w:sz w:val="24"/>
          <w:highlight w:val="none"/>
        </w:rPr>
        <w:t xml:space="preserve">单位的</w:t>
      </w:r>
      <w:r>
        <w:rPr>
          <w:rStyle w:val="1305"/>
          <w:rFonts w:hint="eastAsia" w:ascii="仿宋" w:hAnsi="仿宋" w:eastAsia="仿宋" w:cs="仿宋"/>
          <w:sz w:val="24"/>
          <w:highlight w:val="none"/>
        </w:rPr>
        <w:t xml:space="preserve">______</w:t>
      </w:r>
      <w:r>
        <w:rPr>
          <w:rStyle w:val="1305"/>
          <w:rFonts w:hint="eastAsia" w:ascii="仿宋" w:hAnsi="仿宋" w:eastAsia="仿宋" w:cs="仿宋"/>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263"/>
        <w:ind w:firstLine="504"/>
        <w:jc w:val="left"/>
        <w:spacing w:line="360" w:lineRule="auto"/>
        <w:widowControl w:val="off"/>
        <w:rPr>
          <w:rStyle w:val="1305"/>
          <w:rFonts w:ascii="仿宋" w:hAnsi="仿宋" w:eastAsia="仿宋" w:cs="仿宋"/>
          <w:spacing w:val="6"/>
          <w:sz w:val="24"/>
          <w:highlight w:val="none"/>
        </w:rPr>
      </w:pPr>
      <w:r>
        <w:rPr>
          <w:rStyle w:val="1305"/>
          <w:rFonts w:hint="eastAsia" w:ascii="仿宋" w:hAnsi="仿宋" w:eastAsia="仿宋" w:cs="仿宋"/>
          <w:spacing w:val="6"/>
          <w:sz w:val="24"/>
          <w:highlight w:val="none"/>
        </w:rPr>
        <w:t xml:space="preserve">本单位对上述声明的真实性负责。如有虚假，将依法承担相应责任。</w:t>
      </w:r>
      <w:r/>
    </w:p>
    <w:p>
      <w:pPr>
        <w:pStyle w:val="1263"/>
        <w:ind w:firstLine="504"/>
        <w:jc w:val="left"/>
        <w:spacing w:line="360" w:lineRule="auto"/>
        <w:widowControl w:val="off"/>
        <w:rPr>
          <w:rStyle w:val="1305"/>
          <w:rFonts w:ascii="仿宋" w:hAnsi="仿宋" w:eastAsia="仿宋" w:cs="仿宋"/>
          <w:spacing w:val="6"/>
          <w:sz w:val="24"/>
          <w:highlight w:val="none"/>
        </w:rPr>
      </w:pPr>
      <w:r>
        <w:rPr>
          <w:rFonts w:ascii="仿宋" w:hAnsi="仿宋" w:eastAsia="仿宋" w:cs="仿宋"/>
          <w:spacing w:val="6"/>
          <w:sz w:val="24"/>
          <w:highlight w:val="none"/>
        </w:rPr>
      </w:r>
      <w:r/>
    </w:p>
    <w:p>
      <w:pPr>
        <w:pStyle w:val="1263"/>
        <w:ind w:firstLine="504"/>
        <w:jc w:val="left"/>
        <w:spacing w:line="360" w:lineRule="auto"/>
        <w:widowControl w:val="off"/>
        <w:rPr>
          <w:rStyle w:val="1305"/>
          <w:rFonts w:ascii="仿宋" w:hAnsi="仿宋" w:eastAsia="仿宋" w:cs="仿宋"/>
          <w:spacing w:val="6"/>
          <w:sz w:val="24"/>
          <w:highlight w:val="none"/>
        </w:rPr>
      </w:pPr>
      <w:r>
        <w:rPr>
          <w:rFonts w:ascii="仿宋" w:hAnsi="仿宋" w:eastAsia="仿宋" w:cs="仿宋"/>
          <w:spacing w:val="6"/>
          <w:sz w:val="24"/>
          <w:highlight w:val="none"/>
        </w:rPr>
      </w:r>
      <w:r/>
    </w:p>
    <w:p>
      <w:pPr>
        <w:pStyle w:val="1263"/>
        <w:ind w:firstLine="4560"/>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供应商：（</w:t>
      </w:r>
      <w:r>
        <w:rPr>
          <w:rStyle w:val="1305"/>
          <w:rFonts w:hint="eastAsia" w:ascii="仿宋" w:hAnsi="仿宋" w:eastAsia="仿宋" w:cs="仿宋"/>
          <w:sz w:val="24"/>
          <w:szCs w:val="24"/>
          <w:highlight w:val="none"/>
        </w:rPr>
        <w:t xml:space="preserve">电子签章</w:t>
      </w:r>
      <w:r>
        <w:rPr>
          <w:rStyle w:val="1305"/>
          <w:rFonts w:hint="eastAsia" w:ascii="仿宋" w:hAnsi="仿宋" w:eastAsia="仿宋" w:cs="仿宋"/>
          <w:sz w:val="24"/>
          <w:highlight w:val="none"/>
        </w:rPr>
        <w:t xml:space="preserve">）</w:t>
      </w:r>
      <w:r/>
    </w:p>
    <w:p>
      <w:pPr>
        <w:pStyle w:val="1263"/>
        <w:ind w:firstLine="480"/>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                                  </w:t>
      </w:r>
      <w:r>
        <w:rPr>
          <w:rFonts w:hint="eastAsia" w:ascii="仿宋" w:hAnsi="仿宋" w:eastAsia="仿宋" w:cs="仿宋"/>
          <w:sz w:val="24"/>
          <w:szCs w:val="24"/>
          <w:highlight w:val="none"/>
        </w:rPr>
        <w:t xml:space="preserve">法定代表人或授权代表</w:t>
      </w:r>
      <w:r>
        <w:rPr>
          <w:rStyle w:val="1305"/>
          <w:rFonts w:hint="eastAsia" w:ascii="仿宋" w:hAnsi="仿宋" w:eastAsia="仿宋" w:cs="仿宋"/>
          <w:sz w:val="24"/>
          <w:highlight w:val="none"/>
        </w:rPr>
        <w:t xml:space="preserve">：（签字或盖章） </w:t>
      </w:r>
      <w:r/>
    </w:p>
    <w:p>
      <w:pPr>
        <w:pStyle w:val="1263"/>
        <w:ind w:firstLine="480"/>
        <w:jc w:val="left"/>
        <w:spacing w:line="360" w:lineRule="auto"/>
        <w:widowControl w:val="off"/>
        <w:rPr>
          <w:rFonts w:ascii="仿宋" w:hAnsi="仿宋" w:eastAsia="仿宋" w:cs="仿宋"/>
          <w:sz w:val="24"/>
          <w:highlight w:val="none"/>
        </w:rPr>
      </w:pPr>
      <w:r>
        <w:rPr>
          <w:rStyle w:val="1305"/>
          <w:rFonts w:hint="eastAsia" w:ascii="仿宋" w:hAnsi="仿宋" w:eastAsia="仿宋" w:cs="仿宋"/>
          <w:sz w:val="24"/>
          <w:highlight w:val="none"/>
        </w:rPr>
        <w:t xml:space="preserve">                                  日期：  </w:t>
      </w:r>
      <w:r/>
    </w:p>
    <w:p>
      <w:pPr>
        <w:pStyle w:val="1263"/>
        <w:jc w:val="center"/>
        <w:widowControl w:val="off"/>
        <w:rPr>
          <w:rStyle w:val="1305"/>
          <w:rFonts w:ascii="仿宋" w:hAnsi="仿宋" w:eastAsia="仿宋" w:cs="仿宋"/>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sz w:val="24"/>
          <w:szCs w:val="24"/>
          <w:highlight w:val="none"/>
        </w:rPr>
      </w:r>
      <w:r/>
    </w:p>
    <w:p>
      <w:pPr>
        <w:pStyle w:val="1272"/>
        <w:jc w:val="center"/>
        <w:keepLines w:val="0"/>
        <w:keepNext w:val="0"/>
        <w:spacing w:before="0" w:after="0" w:line="360" w:lineRule="auto"/>
        <w:widowControl w:val="off"/>
        <w:rPr>
          <w:rStyle w:val="1305"/>
          <w:rFonts w:ascii="仿宋" w:hAnsi="仿宋" w:eastAsia="仿宋" w:cs="仿宋"/>
          <w:sz w:val="28"/>
          <w:highlight w:val="none"/>
        </w:rPr>
      </w:pPr>
      <w:r/>
      <w:bookmarkStart w:id="27" w:name="_Toc5919"/>
      <w:r>
        <w:rPr>
          <w:rStyle w:val="1305"/>
          <w:rFonts w:hint="eastAsia" w:ascii="仿宋" w:hAnsi="仿宋" w:eastAsia="仿宋" w:cs="仿宋"/>
          <w:sz w:val="28"/>
          <w:highlight w:val="none"/>
        </w:rPr>
        <w:t xml:space="preserve">12、供应商参加政府采购活动前三年内在经营活动中</w:t>
      </w:r>
      <w:bookmarkEnd w:id="27"/>
      <w:r/>
      <w:r/>
    </w:p>
    <w:p>
      <w:pPr>
        <w:pStyle w:val="1272"/>
        <w:jc w:val="center"/>
        <w:keepLines w:val="0"/>
        <w:keepNext w:val="0"/>
        <w:spacing w:before="0" w:after="0" w:line="360" w:lineRule="auto"/>
        <w:widowControl w:val="off"/>
        <w:rPr>
          <w:rStyle w:val="1305"/>
          <w:rFonts w:ascii="仿宋" w:hAnsi="仿宋" w:eastAsia="仿宋" w:cs="仿宋"/>
          <w:sz w:val="28"/>
          <w:highlight w:val="none"/>
        </w:rPr>
        <w:outlineLvl w:val="9"/>
      </w:pPr>
      <w:r/>
      <w:bookmarkStart w:id="28" w:name="_Toc16176"/>
      <w:r>
        <w:rPr>
          <w:rStyle w:val="1305"/>
          <w:rFonts w:hint="eastAsia" w:ascii="仿宋" w:hAnsi="仿宋" w:eastAsia="仿宋" w:cs="仿宋"/>
          <w:sz w:val="28"/>
          <w:highlight w:val="none"/>
        </w:rPr>
        <w:t xml:space="preserve">没有重大违法记录的书面声明</w:t>
      </w:r>
      <w:bookmarkEnd w:id="28"/>
      <w:r/>
      <w:r/>
    </w:p>
    <w:p>
      <w:pPr>
        <w:pStyle w:val="1263"/>
        <w:jc w:val="left"/>
        <w:spacing w:line="360" w:lineRule="auto"/>
        <w:widowControl w:val="off"/>
        <w:rPr>
          <w:rStyle w:val="1305"/>
          <w:rFonts w:ascii="仿宋" w:hAnsi="仿宋" w:eastAsia="仿宋" w:cs="仿宋"/>
          <w:sz w:val="24"/>
          <w:highlight w:val="none"/>
        </w:rPr>
      </w:pPr>
      <w:r>
        <w:rPr>
          <w:rFonts w:ascii="仿宋" w:hAnsi="仿宋" w:eastAsia="仿宋" w:cs="仿宋"/>
          <w:sz w:val="24"/>
          <w:highlight w:val="none"/>
        </w:rPr>
      </w:r>
      <w:r/>
    </w:p>
    <w:p>
      <w:pPr>
        <w:pStyle w:val="1263"/>
        <w:ind w:firstLine="480"/>
        <w:jc w:val="left"/>
        <w:spacing w:line="48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我单位在参加</w:t>
      </w:r>
      <w:r>
        <w:rPr>
          <w:rStyle w:val="1305"/>
          <w:rFonts w:hint="eastAsia" w:ascii="仿宋" w:hAnsi="仿宋" w:eastAsia="仿宋" w:cs="仿宋"/>
          <w:sz w:val="24"/>
          <w:highlight w:val="none"/>
          <w:u w:val="single"/>
        </w:rPr>
        <w:t xml:space="preserve"> 交管支队车管所考试场地整修 </w:t>
      </w:r>
      <w:r>
        <w:rPr>
          <w:rStyle w:val="1305"/>
          <w:rFonts w:hint="eastAsia" w:ascii="仿宋" w:hAnsi="仿宋" w:eastAsia="仿宋" w:cs="仿宋"/>
          <w:sz w:val="24"/>
          <w:highlight w:val="none"/>
        </w:rPr>
        <w:t xml:space="preserve">[项目编号：  ]政府采购活动前三年内在经营活动中没有重大违法记录。重大违法记录是指因违法经营受到刑事处罚或者责令停产停业、吊销许可证或者执照、较大数额罚款等行政处罚。</w:t>
      </w:r>
      <w:r/>
    </w:p>
    <w:p>
      <w:pPr>
        <w:pStyle w:val="1263"/>
        <w:ind w:firstLine="720"/>
        <w:jc w:val="left"/>
        <w:spacing w:line="48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我单位对上述声明的真实性负责。如有虚假，将依法承担相应责任。</w:t>
      </w:r>
      <w:r/>
    </w:p>
    <w:p>
      <w:pPr>
        <w:pStyle w:val="1263"/>
        <w:jc w:val="left"/>
        <w:spacing w:line="360" w:lineRule="auto"/>
        <w:widowControl w:val="off"/>
        <w:rPr>
          <w:rStyle w:val="1305"/>
          <w:rFonts w:ascii="仿宋" w:hAnsi="仿宋" w:eastAsia="仿宋" w:cs="仿宋"/>
          <w:sz w:val="24"/>
          <w:highlight w:val="none"/>
        </w:rPr>
      </w:pPr>
      <w:r>
        <w:rPr>
          <w:rFonts w:ascii="仿宋" w:hAnsi="仿宋" w:eastAsia="仿宋" w:cs="仿宋"/>
          <w:sz w:val="24"/>
          <w:highlight w:val="none"/>
        </w:rPr>
      </w:r>
      <w:r/>
    </w:p>
    <w:p>
      <w:pPr>
        <w:pStyle w:val="1263"/>
        <w:jc w:val="left"/>
        <w:spacing w:line="360" w:lineRule="auto"/>
        <w:widowControl w:val="off"/>
        <w:rPr>
          <w:rStyle w:val="1305"/>
          <w:rFonts w:ascii="仿宋" w:hAnsi="仿宋" w:eastAsia="仿宋" w:cs="仿宋"/>
          <w:sz w:val="24"/>
          <w:highlight w:val="none"/>
        </w:rPr>
      </w:pPr>
      <w:r>
        <w:rPr>
          <w:rFonts w:ascii="仿宋" w:hAnsi="仿宋" w:eastAsia="仿宋" w:cs="仿宋"/>
          <w:sz w:val="24"/>
          <w:highlight w:val="none"/>
        </w:rPr>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                           供应商（</w:t>
      </w:r>
      <w:r>
        <w:rPr>
          <w:rStyle w:val="1305"/>
          <w:rFonts w:hint="eastAsia" w:ascii="仿宋" w:hAnsi="仿宋" w:eastAsia="仿宋" w:cs="仿宋"/>
          <w:sz w:val="24"/>
          <w:szCs w:val="24"/>
          <w:highlight w:val="none"/>
        </w:rPr>
        <w:t xml:space="preserve">电子签章</w:t>
      </w:r>
      <w:r>
        <w:rPr>
          <w:rStyle w:val="1305"/>
          <w:rFonts w:hint="eastAsia" w:ascii="仿宋" w:hAnsi="仿宋" w:eastAsia="仿宋" w:cs="仿宋"/>
          <w:sz w:val="24"/>
          <w:highlight w:val="none"/>
        </w:rPr>
        <w:t xml:space="preserve">）：</w:t>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                           </w:t>
      </w:r>
      <w:r>
        <w:rPr>
          <w:rFonts w:hint="eastAsia" w:ascii="仿宋" w:hAnsi="仿宋" w:eastAsia="仿宋" w:cs="仿宋"/>
          <w:sz w:val="24"/>
          <w:szCs w:val="24"/>
          <w:highlight w:val="none"/>
        </w:rPr>
        <w:t xml:space="preserve">法定代表人或授权代表</w:t>
      </w:r>
      <w:r>
        <w:rPr>
          <w:rStyle w:val="1305"/>
          <w:rFonts w:hint="eastAsia" w:ascii="仿宋" w:hAnsi="仿宋" w:eastAsia="仿宋" w:cs="仿宋"/>
          <w:sz w:val="24"/>
          <w:highlight w:val="none"/>
        </w:rPr>
        <w:t xml:space="preserve">（签字或盖章）：  </w:t>
      </w:r>
      <w:r/>
    </w:p>
    <w:p>
      <w:pPr>
        <w:pStyle w:val="1263"/>
        <w:jc w:val="left"/>
        <w:spacing w:line="360" w:lineRule="auto"/>
        <w:widowControl w:val="off"/>
        <w:rPr>
          <w:rFonts w:ascii="仿宋" w:hAnsi="仿宋" w:eastAsia="仿宋" w:cs="仿宋"/>
          <w:sz w:val="24"/>
          <w:highlight w:val="none"/>
        </w:rPr>
      </w:pPr>
      <w:r>
        <w:rPr>
          <w:rStyle w:val="1305"/>
          <w:rFonts w:hint="eastAsia" w:ascii="仿宋" w:hAnsi="仿宋" w:eastAsia="仿宋" w:cs="仿宋"/>
          <w:sz w:val="24"/>
          <w:highlight w:val="none"/>
        </w:rPr>
        <w:t xml:space="preserve">                           日期： </w:t>
      </w:r>
      <w:r/>
    </w:p>
    <w:p>
      <w:pPr>
        <w:pStyle w:val="1263"/>
        <w:jc w:val="left"/>
        <w:spacing w:line="360" w:lineRule="auto"/>
        <w:widowControl w:val="off"/>
        <w:rPr>
          <w:rStyle w:val="1305"/>
          <w:rFonts w:ascii="仿宋" w:hAnsi="仿宋" w:eastAsia="仿宋" w:cs="仿宋"/>
          <w:sz w:val="24"/>
          <w:highlight w:val="none"/>
        </w:rPr>
      </w:pPr>
      <w:r>
        <w:rPr>
          <w:rFonts w:ascii="仿宋" w:hAnsi="仿宋" w:eastAsia="仿宋" w:cs="仿宋"/>
          <w:sz w:val="24"/>
          <w:highlight w:val="none"/>
        </w:rPr>
      </w:r>
      <w:r/>
    </w:p>
    <w:p>
      <w:pPr>
        <w:pStyle w:val="1272"/>
        <w:jc w:val="center"/>
        <w:keepLines w:val="0"/>
        <w:keepNext w:val="0"/>
        <w:spacing w:before="0" w:after="0" w:line="360" w:lineRule="auto"/>
        <w:widowControl w:val="off"/>
        <w:rPr>
          <w:rStyle w:val="1305"/>
          <w:rFonts w:ascii="仿宋" w:hAnsi="仿宋" w:eastAsia="仿宋" w:cs="仿宋"/>
          <w:sz w:val="28"/>
          <w:highlight w:val="none"/>
        </w:rPr>
      </w:pPr>
      <w:r>
        <w:rPr>
          <w:rStyle w:val="1305"/>
          <w:rFonts w:hint="eastAsia" w:ascii="仿宋" w:hAnsi="仿宋" w:eastAsia="仿宋" w:cs="仿宋"/>
          <w:sz w:val="28"/>
          <w:szCs w:val="28"/>
          <w:highlight w:val="none"/>
        </w:rPr>
        <w:br w:type="page" w:clear="all"/>
      </w:r>
      <w:bookmarkStart w:id="29" w:name="_Toc3582"/>
      <w:r>
        <w:rPr>
          <w:rStyle w:val="1305"/>
          <w:rFonts w:hint="eastAsia" w:ascii="仿宋" w:hAnsi="仿宋" w:eastAsia="仿宋" w:cs="仿宋"/>
          <w:sz w:val="28"/>
          <w:highlight w:val="none"/>
        </w:rPr>
        <w:t xml:space="preserve">13、具备履行合同所必需的设备和专业技术能力的书面声明</w:t>
      </w:r>
      <w:bookmarkEnd w:id="29"/>
      <w:r/>
      <w:r/>
    </w:p>
    <w:p>
      <w:pPr>
        <w:pStyle w:val="1272"/>
        <w:jc w:val="center"/>
        <w:keepLines w:val="0"/>
        <w:keepNext w:val="0"/>
        <w:spacing w:before="0" w:after="0" w:line="360" w:lineRule="auto"/>
        <w:widowControl w:val="off"/>
        <w:rPr>
          <w:rStyle w:val="1305"/>
          <w:rFonts w:ascii="仿宋" w:hAnsi="仿宋" w:eastAsia="仿宋" w:cs="仿宋"/>
          <w:sz w:val="28"/>
          <w:szCs w:val="28"/>
          <w:highlight w:val="none"/>
        </w:rPr>
        <w:outlineLvl w:val="9"/>
      </w:pPr>
      <w:r/>
      <w:bookmarkStart w:id="30" w:name="_Toc3584"/>
      <w:r>
        <w:rPr>
          <w:rStyle w:val="1305"/>
          <w:rFonts w:hint="eastAsia" w:ascii="仿宋" w:hAnsi="仿宋" w:eastAsia="仿宋" w:cs="仿宋"/>
          <w:sz w:val="28"/>
          <w:highlight w:val="none"/>
        </w:rPr>
        <w:t xml:space="preserve">（附证明材料复印件）</w:t>
      </w:r>
      <w:bookmarkEnd w:id="30"/>
      <w:r/>
      <w:r/>
    </w:p>
    <w:p>
      <w:pPr>
        <w:pStyle w:val="1263"/>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项目名称：</w:t>
      </w:r>
      <w:r>
        <w:rPr>
          <w:rStyle w:val="1305"/>
          <w:rFonts w:hint="eastAsia" w:ascii="仿宋" w:hAnsi="仿宋" w:eastAsia="仿宋" w:cs="仿宋"/>
          <w:sz w:val="24"/>
          <w:szCs w:val="21"/>
          <w:highlight w:val="none"/>
        </w:rPr>
        <w:t xml:space="preserve">交管支队车管所考试场地整修</w:t>
      </w:r>
      <w:r/>
    </w:p>
    <w:p>
      <w:pPr>
        <w:pStyle w:val="1263"/>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项目编号：</w:t>
      </w:r>
      <w:r>
        <w:rPr>
          <w:rStyle w:val="1305"/>
          <w:rFonts w:hint="eastAsia" w:ascii="仿宋" w:hAnsi="仿宋" w:eastAsia="仿宋" w:cs="仿宋"/>
          <w:sz w:val="24"/>
          <w:szCs w:val="24"/>
          <w:highlight w:val="none"/>
        </w:rPr>
        <w:t xml:space="preserve"> </w:t>
      </w:r>
      <w:r/>
    </w:p>
    <w:p>
      <w:pPr>
        <w:pStyle w:val="1263"/>
        <w:ind w:firstLine="480"/>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供应商郑重声明：供应商具备履行合同（项目名称</w:t>
      </w:r>
      <w:r>
        <w:rPr>
          <w:rStyle w:val="1305"/>
          <w:rFonts w:hint="eastAsia" w:ascii="仿宋" w:hAnsi="仿宋" w:eastAsia="仿宋" w:cs="仿宋"/>
          <w:sz w:val="24"/>
          <w:highlight w:val="none"/>
          <w:u w:val="single"/>
        </w:rPr>
        <w:t xml:space="preserve">：</w:t>
      </w:r>
      <w:r>
        <w:rPr>
          <w:rStyle w:val="1305"/>
          <w:rFonts w:hint="eastAsia" w:ascii="仿宋" w:hAnsi="仿宋" w:eastAsia="仿宋" w:cs="仿宋"/>
          <w:sz w:val="24"/>
          <w:szCs w:val="21"/>
          <w:highlight w:val="none"/>
          <w:u w:val="single"/>
        </w:rPr>
        <w:t xml:space="preserve">交管支队车管所考试场地整修</w:t>
      </w:r>
      <w:r>
        <w:rPr>
          <w:rStyle w:val="1305"/>
          <w:rFonts w:hint="eastAsia" w:ascii="仿宋" w:hAnsi="仿宋" w:eastAsia="仿宋" w:cs="仿宋"/>
          <w:sz w:val="24"/>
          <w:highlight w:val="none"/>
        </w:rPr>
        <w:t xml:space="preserve">，项目编号：所必需的设备和专业技术能力，具体为：</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设备：</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1、                           （证明材料复印件附后）</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2、                           （证明材料复印件附后）</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3、                           （证明材料复印件附后）</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专业技术能力：</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1、                           （证明材料复印件附后）</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2、                           （证明材料复印件附后）</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3、                           （证明材料复印件附后）</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特此声明。</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供应商人对上述声明的真实性负责。如有虚假，将依法承担相应责任。</w:t>
      </w:r>
      <w:r/>
    </w:p>
    <w:p>
      <w:pPr>
        <w:pStyle w:val="1263"/>
        <w:ind w:firstLine="972"/>
        <w:jc w:val="left"/>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 </w:t>
      </w:r>
      <w:r/>
    </w:p>
    <w:p>
      <w:pPr>
        <w:pStyle w:val="1263"/>
        <w:ind w:firstLine="3600"/>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供应商（</w:t>
      </w:r>
      <w:r>
        <w:rPr>
          <w:rStyle w:val="1305"/>
          <w:rFonts w:hint="eastAsia" w:ascii="仿宋" w:hAnsi="仿宋" w:eastAsia="仿宋" w:cs="仿宋"/>
          <w:sz w:val="24"/>
          <w:szCs w:val="24"/>
          <w:highlight w:val="none"/>
        </w:rPr>
        <w:t xml:space="preserve">电子签章</w:t>
      </w:r>
      <w:r>
        <w:rPr>
          <w:rStyle w:val="1305"/>
          <w:rFonts w:hint="eastAsia" w:ascii="仿宋" w:hAnsi="仿宋" w:eastAsia="仿宋" w:cs="仿宋"/>
          <w:sz w:val="24"/>
          <w:highlight w:val="none"/>
        </w:rPr>
        <w:t xml:space="preserve">）：</w:t>
      </w:r>
      <w:r/>
    </w:p>
    <w:p>
      <w:pPr>
        <w:pStyle w:val="1263"/>
        <w:jc w:val="left"/>
        <w:spacing w:line="360" w:lineRule="auto"/>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                              法定代表人或授权代表（签字或盖章）：  </w:t>
      </w:r>
      <w:r/>
    </w:p>
    <w:p>
      <w:pPr>
        <w:pStyle w:val="1263"/>
        <w:ind w:firstLine="3600"/>
        <w:spacing w:line="400" w:lineRule="exact"/>
        <w:widowControl w:val="off"/>
        <w:rPr>
          <w:rStyle w:val="1305"/>
          <w:rFonts w:ascii="仿宋" w:hAnsi="仿宋" w:eastAsia="仿宋" w:cs="仿宋"/>
          <w:sz w:val="24"/>
          <w:highlight w:val="none"/>
        </w:rPr>
      </w:pPr>
      <w:r>
        <w:rPr>
          <w:rStyle w:val="1305"/>
          <w:rFonts w:hint="eastAsia" w:ascii="仿宋" w:hAnsi="仿宋" w:eastAsia="仿宋" w:cs="仿宋"/>
          <w:sz w:val="24"/>
          <w:highlight w:val="none"/>
        </w:rPr>
        <w:t xml:space="preserve">日期：</w:t>
      </w:r>
      <w:r/>
    </w:p>
    <w:p>
      <w:pPr>
        <w:pStyle w:val="1263"/>
        <w:jc w:val="center"/>
        <w:spacing w:line="400" w:lineRule="exact"/>
        <w:widowControl w:val="off"/>
        <w:rPr>
          <w:rStyle w:val="1305"/>
          <w:rFonts w:ascii="仿宋" w:hAnsi="仿宋" w:eastAsia="仿宋" w:cs="仿宋"/>
          <w:sz w:val="28"/>
          <w:szCs w:val="28"/>
          <w:highlight w:val="none"/>
        </w:rPr>
      </w:pPr>
      <w:r>
        <w:rPr>
          <w:rFonts w:ascii="仿宋" w:hAnsi="仿宋" w:eastAsia="仿宋" w:cs="仿宋"/>
          <w:sz w:val="28"/>
          <w:szCs w:val="28"/>
          <w:highlight w:val="none"/>
        </w:rPr>
      </w:r>
      <w:r/>
    </w:p>
    <w:p>
      <w:pPr>
        <w:pStyle w:val="1272"/>
        <w:jc w:val="center"/>
        <w:keepLines w:val="0"/>
        <w:keepNext w:val="0"/>
        <w:widowControl w:val="off"/>
        <w:rPr>
          <w:rStyle w:val="1305"/>
          <w:rFonts w:ascii="仿宋" w:hAnsi="仿宋" w:eastAsia="仿宋" w:cs="仿宋"/>
          <w:sz w:val="28"/>
          <w:highlight w:val="none"/>
        </w:rPr>
        <w:outlineLvl w:val="9"/>
      </w:pPr>
      <w:r>
        <w:rPr>
          <w:rStyle w:val="1305"/>
          <w:rFonts w:hint="eastAsia" w:ascii="仿宋" w:hAnsi="仿宋" w:eastAsia="仿宋" w:cs="仿宋"/>
          <w:sz w:val="28"/>
          <w:highlight w:val="none"/>
        </w:rPr>
        <w:t xml:space="preserve">       </w:t>
      </w:r>
      <w:r/>
    </w:p>
    <w:p>
      <w:pPr>
        <w:pStyle w:val="1272"/>
        <w:jc w:val="center"/>
        <w:keepLines w:val="0"/>
        <w:keepNext w:val="0"/>
        <w:spacing w:before="0" w:after="0" w:line="360" w:lineRule="auto"/>
        <w:widowControl w:val="off"/>
        <w:rPr>
          <w:rStyle w:val="1305"/>
          <w:rFonts w:ascii="仿宋" w:hAnsi="仿宋" w:eastAsia="仿宋" w:cs="仿宋"/>
          <w:sz w:val="28"/>
          <w:highlight w:val="none"/>
        </w:rPr>
      </w:pPr>
      <w:r>
        <w:rPr>
          <w:rStyle w:val="1305"/>
          <w:rFonts w:hint="eastAsia" w:ascii="仿宋" w:hAnsi="仿宋" w:eastAsia="仿宋" w:cs="仿宋"/>
          <w:sz w:val="28"/>
          <w:highlight w:val="none"/>
        </w:rPr>
        <w:br w:type="page" w:clear="all"/>
      </w:r>
      <w:bookmarkStart w:id="31" w:name="_Toc19152"/>
      <w:r>
        <w:rPr>
          <w:rStyle w:val="1305"/>
          <w:rFonts w:hint="eastAsia" w:ascii="仿宋" w:hAnsi="仿宋" w:eastAsia="仿宋" w:cs="仿宋"/>
          <w:sz w:val="28"/>
          <w:highlight w:val="none"/>
        </w:rPr>
        <w:t xml:space="preserve">14、预付款保函支付条款模板</w:t>
      </w:r>
      <w:bookmarkEnd w:id="31"/>
      <w:r/>
      <w:r/>
    </w:p>
    <w:p>
      <w:pPr>
        <w:pStyle w:val="1272"/>
        <w:jc w:val="center"/>
        <w:keepLines w:val="0"/>
        <w:keepNext w:val="0"/>
        <w:spacing w:before="0" w:after="0" w:line="360" w:lineRule="auto"/>
        <w:widowControl w:val="off"/>
        <w:rPr>
          <w:rFonts w:ascii="仿宋" w:hAnsi="仿宋" w:eastAsia="仿宋" w:cs="仿宋"/>
          <w:sz w:val="24"/>
          <w:szCs w:val="24"/>
          <w:highlight w:val="none"/>
        </w:rPr>
        <w:outlineLvl w:val="9"/>
      </w:pPr>
      <w:r/>
      <w:bookmarkStart w:id="32" w:name="_Toc5088"/>
      <w:r>
        <w:rPr>
          <w:rFonts w:hint="eastAsia" w:ascii="仿宋" w:hAnsi="仿宋" w:eastAsia="仿宋" w:cs="仿宋"/>
          <w:sz w:val="24"/>
          <w:szCs w:val="24"/>
          <w:highlight w:val="none"/>
        </w:rPr>
        <w:t xml:space="preserve">符合条件一：提交预付款保函的</w:t>
      </w:r>
      <w:bookmarkEnd w:id="32"/>
      <w:r/>
      <w:r/>
    </w:p>
    <w:p>
      <w:pPr>
        <w:pStyle w:val="1263"/>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（1）合同签订且乙方向甲方出具预付款保函后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w:t>
      </w:r>
      <w:r/>
    </w:p>
    <w:p>
      <w:pPr>
        <w:pStyle w:val="1263"/>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乙方需提交的支付文件：乙方出具的全额正式发票。</w:t>
      </w:r>
      <w:r/>
    </w:p>
    <w:p>
      <w:pPr>
        <w:pStyle w:val="1263"/>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（2）验收合格后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 。 </w:t>
      </w:r>
      <w:r/>
    </w:p>
    <w:p>
      <w:pPr>
        <w:pStyle w:val="1263"/>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1263"/>
        <w:jc w:val="left"/>
        <w:spacing w:line="360"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符合条件二：不提交预付款保函的</w:t>
      </w:r>
      <w:r/>
    </w:p>
    <w:p>
      <w:pPr>
        <w:pStyle w:val="1263"/>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（1）合同签订后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w:t>
      </w:r>
      <w:r/>
    </w:p>
    <w:p>
      <w:pPr>
        <w:pStyle w:val="1263"/>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乙方需提交的支付文件：乙方出具的全额正式发票。</w:t>
      </w:r>
      <w:r/>
    </w:p>
    <w:p>
      <w:pPr>
        <w:pStyle w:val="1263"/>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（2）验收合格后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w:t>
      </w:r>
      <w:r/>
    </w:p>
    <w:p>
      <w:pPr>
        <w:pStyle w:val="1263"/>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1263"/>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注： </w:t>
      </w:r>
      <w:r/>
    </w:p>
    <w:p>
      <w:pPr>
        <w:pStyle w:val="1263"/>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1、付款条件一中，出具预付款保函后支付的合同款应当与保函金额一致。</w:t>
      </w:r>
      <w:r/>
    </w:p>
    <w:p>
      <w:pPr>
        <w:pStyle w:val="1263"/>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2、付款条件二中，预付款比例设定应符合《关于做好政府采购支持企业发展有关事项的通知》(苏财购〔2020〕52号)要求。</w:t>
      </w:r>
      <w:r/>
    </w:p>
    <w:p>
      <w:pPr>
        <w:pStyle w:val="1264"/>
        <w:ind w:left="0" w:firstLine="0"/>
        <w:jc w:val="center"/>
        <w:spacing w:after="0" w:line="360" w:lineRule="auto"/>
        <w:widowControl w:val="off"/>
        <w:rPr>
          <w:rStyle w:val="1305"/>
          <w:rFonts w:ascii="仿宋" w:hAnsi="仿宋" w:eastAsia="仿宋" w:cs="仿宋"/>
          <w:bCs/>
          <w:color w:val="auto"/>
          <w:sz w:val="28"/>
          <w:highlight w:val="none"/>
        </w:rPr>
        <w:outlineLvl w:val="0"/>
      </w:pPr>
      <w:r>
        <w:rPr>
          <w:rStyle w:val="1305"/>
          <w:rFonts w:hint="eastAsia" w:ascii="仿宋" w:hAnsi="仿宋" w:eastAsia="仿宋" w:cs="仿宋"/>
          <w:b/>
          <w:color w:val="auto"/>
          <w:sz w:val="32"/>
          <w:highlight w:val="none"/>
        </w:rPr>
        <w:br w:type="page" w:clear="all"/>
      </w:r>
      <w:bookmarkStart w:id="33" w:name="_Toc13017"/>
      <w:r>
        <w:rPr>
          <w:rStyle w:val="1305"/>
          <w:rFonts w:hint="eastAsia" w:ascii="仿宋" w:hAnsi="仿宋" w:eastAsia="仿宋" w:cs="仿宋"/>
          <w:color w:val="auto"/>
          <w:sz w:val="28"/>
          <w:szCs w:val="28"/>
          <w:highlight w:val="none"/>
        </w:rPr>
        <w:t xml:space="preserve">15 代理服务收费标准</w:t>
      </w:r>
      <w:bookmarkEnd w:id="33"/>
      <w:r/>
      <w:r/>
    </w:p>
    <w:p>
      <w:pPr>
        <w:spacing w:line="312" w:lineRule="auto"/>
        <w:rPr>
          <w:rFonts w:ascii="仿宋" w:hAnsi="仿宋" w:eastAsia="仿宋" w:cs="仿宋"/>
          <w:sz w:val="24"/>
          <w:szCs w:val="24"/>
          <w:highlight w:val="none"/>
        </w:rPr>
      </w:pPr>
      <w:r>
        <w:rPr>
          <w:rFonts w:ascii="仿宋" w:hAnsi="仿宋" w:eastAsia="仿宋" w:cs="仿宋"/>
          <w:sz w:val="24"/>
          <w:szCs w:val="24"/>
          <w:highlight w:val="none"/>
        </w:rPr>
      </w:r>
      <w:r/>
    </w:p>
    <w:tbl>
      <w:tblPr>
        <w:tblStyle w:val="1051"/>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34" w:name="OLE_LINK13"/>
            <w:r>
              <w:rPr>
                <w:rFonts w:hint="eastAsia" w:ascii="宋体" w:hAnsi="宋体" w:cs="宋体"/>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0.005%</w:t>
            </w:r>
            <w:r/>
          </w:p>
        </w:tc>
      </w:tr>
    </w:tbl>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说明：</w:t>
      </w:r>
      <w:r/>
    </w:p>
    <w:p>
      <w:pPr>
        <w:spacing w:line="360" w:lineRule="auto"/>
        <w:rPr>
          <w:rFonts w:ascii="宋体" w:hAnsi="宋体" w:cs="宋体"/>
          <w:sz w:val="24"/>
          <w:highlight w:val="none"/>
        </w:rPr>
      </w:pPr>
      <w:r>
        <w:rPr>
          <w:rFonts w:hint="eastAsia" w:ascii="宋体" w:hAnsi="宋体" w:cs="宋体"/>
          <w:sz w:val="24"/>
          <w:highlight w:val="none"/>
        </w:rPr>
        <w:t xml:space="preserve">1、按上表计算的收费为代理服务全过程的收费金额。各社会代理机构不再收取采购文件制作售卖费用。</w:t>
      </w:r>
      <w:r/>
    </w:p>
    <w:p>
      <w:pPr>
        <w:spacing w:line="360" w:lineRule="auto"/>
        <w:rPr>
          <w:rFonts w:ascii="宋体" w:hAnsi="宋体" w:cs="宋体"/>
          <w:sz w:val="24"/>
          <w:highlight w:val="none"/>
        </w:rPr>
      </w:pPr>
      <w:r>
        <w:rPr>
          <w:rFonts w:hint="eastAsia" w:ascii="宋体" w:hAnsi="宋体" w:cs="宋体"/>
          <w:sz w:val="24"/>
          <w:highlight w:val="none"/>
        </w:rPr>
        <w:t xml:space="preserve">2、代理服务费按差额定率累进法计算。</w:t>
      </w:r>
      <w:r/>
    </w:p>
    <w:p>
      <w:pPr>
        <w:spacing w:line="360" w:lineRule="auto"/>
        <w:rPr>
          <w:rFonts w:ascii="宋体" w:hAnsi="宋体" w:cs="宋体"/>
          <w:sz w:val="24"/>
          <w:highlight w:val="none"/>
        </w:rPr>
      </w:pPr>
      <w:r>
        <w:rPr>
          <w:rFonts w:hint="eastAsia" w:ascii="宋体" w:hAnsi="宋体" w:cs="宋体"/>
          <w:sz w:val="24"/>
          <w:highlight w:val="none"/>
        </w:rPr>
        <w:t xml:space="preserve">3、代理服务费基准金额（按差额定率累进法计算的）=中标金额（按差额定率累进法计算的）*费率（%）</w:t>
      </w:r>
      <w:r/>
    </w:p>
    <w:p>
      <w:pPr>
        <w:spacing w:line="360" w:lineRule="auto"/>
        <w:rPr>
          <w:rFonts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p>
    <w:p>
      <w:pPr>
        <w:spacing w:line="360" w:lineRule="auto"/>
        <w:rPr>
          <w:rFonts w:ascii="宋体" w:hAnsi="宋体" w:cs="宋体"/>
          <w:sz w:val="24"/>
          <w:highlight w:val="none"/>
        </w:rPr>
      </w:pPr>
      <w:r>
        <w:rPr>
          <w:rFonts w:hint="eastAsia" w:ascii="宋体" w:hAnsi="宋体" w:cs="宋体"/>
          <w:sz w:val="24"/>
          <w:highlight w:val="none"/>
        </w:rPr>
        <w:t xml:space="preserve">5、定点类等无金额或事先不能计算出价格总额的项目，按中标（成交）金额100万元计算服务费。</w:t>
      </w:r>
      <w:r/>
    </w:p>
    <w:p>
      <w:pPr>
        <w:spacing w:line="360" w:lineRule="auto"/>
        <w:rPr>
          <w:rFonts w:ascii="宋体" w:hAnsi="宋体" w:cs="宋体"/>
          <w:sz w:val="24"/>
          <w:highlight w:val="none"/>
        </w:rPr>
      </w:pPr>
      <w:r>
        <w:rPr>
          <w:rFonts w:hint="eastAsia" w:ascii="宋体" w:hAnsi="宋体" w:cs="宋体"/>
          <w:sz w:val="24"/>
          <w:highlight w:val="none"/>
        </w:rPr>
        <w:t xml:space="preserve">6、有分包（分标段）项目按总项目中标（成交）金额收费。</w:t>
      </w:r>
      <w:r/>
    </w:p>
    <w:p>
      <w:pPr>
        <w:spacing w:line="360" w:lineRule="auto"/>
        <w:rPr>
          <w:rFonts w:ascii="宋体" w:hAnsi="宋体" w:cs="宋体"/>
          <w:sz w:val="24"/>
          <w:highlight w:val="none"/>
        </w:rPr>
      </w:pPr>
      <w:r>
        <w:rPr>
          <w:rFonts w:hint="eastAsia" w:ascii="宋体" w:hAnsi="宋体" w:cs="宋体"/>
          <w:sz w:val="24"/>
          <w:highlight w:val="none"/>
        </w:rPr>
        <w:t xml:space="preserve">7、以上价格为协会指导价，双方可根据项目难易程度和优质优价原则协商确定。</w:t>
      </w:r>
      <w:bookmarkEnd w:id="34"/>
      <w:r/>
      <w:r/>
    </w:p>
    <w:p>
      <w:pPr>
        <w:pStyle w:val="1263"/>
        <w:ind w:firstLine="505"/>
        <w:jc w:val="left"/>
        <w:spacing w:line="360" w:lineRule="auto"/>
        <w:widowControl w:val="off"/>
        <w:rPr>
          <w:rFonts w:ascii="仿宋" w:hAnsi="仿宋" w:eastAsia="仿宋" w:cs="仿宋"/>
          <w:spacing w:val="6"/>
          <w:sz w:val="21"/>
          <w:szCs w:val="16"/>
          <w:highlight w:val="none"/>
        </w:rPr>
      </w:pPr>
      <w:r>
        <w:rPr>
          <w:rFonts w:ascii="仿宋" w:hAnsi="仿宋" w:eastAsia="仿宋" w:cs="仿宋"/>
          <w:spacing w:val="6"/>
          <w:sz w:val="21"/>
          <w:szCs w:val="16"/>
          <w:highlight w:val="none"/>
        </w:rPr>
      </w:r>
      <w:r/>
    </w:p>
    <w:p>
      <w:pPr>
        <w:pStyle w:val="1281"/>
        <w:widowControl w:val="off"/>
        <w:rPr>
          <w:rFonts w:ascii="仿宋" w:hAnsi="仿宋" w:eastAsia="仿宋" w:cs="仿宋"/>
          <w:b/>
          <w:bCs/>
          <w:sz w:val="28"/>
          <w:szCs w:val="28"/>
          <w:highlight w:val="none"/>
        </w:rPr>
      </w:pPr>
      <w:r>
        <w:rPr>
          <w:rFonts w:ascii="仿宋" w:hAnsi="仿宋" w:eastAsia="仿宋" w:cs="仿宋"/>
          <w:b/>
          <w:bCs/>
          <w:sz w:val="28"/>
          <w:szCs w:val="28"/>
          <w:highlight w:val="none"/>
        </w:rPr>
      </w:r>
      <w:r/>
    </w:p>
    <w:p>
      <w:pPr>
        <w:pStyle w:val="1281"/>
        <w:ind w:firstLine="562"/>
        <w:jc w:val="center"/>
        <w:widowControl w:val="off"/>
        <w:rPr>
          <w:rFonts w:ascii="仿宋" w:hAnsi="仿宋" w:eastAsia="仿宋" w:cs="仿宋"/>
          <w:b/>
          <w:bCs/>
          <w:sz w:val="24"/>
          <w:szCs w:val="24"/>
          <w:highlight w:val="none"/>
        </w:rPr>
      </w:pPr>
      <w:r>
        <w:rPr>
          <w:rFonts w:hint="eastAsia" w:ascii="仿宋" w:hAnsi="仿宋" w:eastAsia="仿宋" w:cs="仿宋"/>
          <w:b/>
          <w:bCs/>
          <w:sz w:val="28"/>
          <w:szCs w:val="28"/>
          <w:highlight w:val="none"/>
        </w:rPr>
        <w:t xml:space="preserve">（以下无正文）</w:t>
      </w:r>
      <w:r/>
    </w:p>
    <w:sectPr>
      <w:headerReference w:type="default" r:id="rId15"/>
      <w:footerReference w:type="default" r:id="rId23"/>
      <w:footerReference w:type="first" r:id="rId24"/>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libri Light">
    <w:panose1 w:val="020F0302020204030204"/>
  </w:font>
  <w:font w:name="Cambria">
    <w:panose1 w:val="02040503050406030204"/>
  </w:font>
  <w:font w:name="黑体">
    <w:panose1 w:val="02010609060101010101"/>
  </w:font>
  <w:font w:name="仿宋_GB2312">
    <w:panose1 w:val="02010609060101010101"/>
  </w:font>
  <w:font w:name="Calibri">
    <w:panose1 w:val="020F0502020204030204"/>
  </w:font>
  <w:font w:name="长城仿宋">
    <w:panose1 w:val="020B0503020202020204"/>
  </w:font>
  <w:font w:name="Arial">
    <w:panose1 w:val="020B0604020202020204"/>
  </w:font>
  <w:font w:name="隶书">
    <w:panose1 w:val="02010509060101010101"/>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24</w:t>
    </w:r>
    <w:r>
      <w:rPr>
        <w:rFonts w:ascii="Times New Roman" w:hAnsi="Times New Roman"/>
        <w:lang w:val="zh-CN"/>
      </w:rPr>
      <w:fldChar w:fldCharType="end"/>
    </w:r>
    <w:r/>
  </w:p>
  <w:p>
    <w:pPr>
      <w:pStyle w:val="1065"/>
      <w:rPr>
        <w:rFonts w:ascii="Times New Roman" w:hAnsi="Times New Roman"/>
      </w:rPr>
    </w:pPr>
    <w:r>
      <w:rPr>
        <w:rFonts w:ascii="Times New Roman" w:hAnsi="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enter" w:pos="4873"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2954655</wp:posOffset>
              </wp:positionH>
              <wp:positionV relativeFrom="paragraph">
                <wp:posOffset>-7620</wp:posOffset>
              </wp:positionV>
              <wp:extent cx="207010" cy="162560"/>
              <wp:effectExtent l="6350" t="6350" r="6350" b="635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07179" cy="162780"/>
                      </a:xfrm>
                      <a:prstGeom prst="rect">
                        <a:avLst/>
                      </a:prstGeom>
                      <a:noFill/>
                      <a:ln>
                        <a:noFill/>
                      </a:ln>
                    </wps:spPr>
                    <wps:txbx>
                      <w:txbxContent>
                        <w:p>
                          <w:pPr>
                            <w:pStyle w:val="1065"/>
                          </w:pPr>
                          <w:r>
                            <w:fldChar w:fldCharType="begin"/>
                          </w:r>
                          <w:r>
                            <w:instrText xml:space="preserve"> PAGE  \* MERGEFORMAT </w:instrText>
                          </w:r>
                          <w:r>
                            <w:fldChar w:fldCharType="separate"/>
                          </w:r>
                          <w:r>
                            <w:t xml:space="preserve">57</w:t>
                          </w:r>
                          <w:r>
                            <w:fldChar w:fldCharType="end"/>
                          </w:r>
                          <w:r/>
                        </w:p>
                      </w:txbxContent>
                    </wps:txbx>
                    <wps:bodyPr wrap="square" lIns="0" tIns="0" rIns="0" bIns="0">
                      <a:noAutofit/>
                    </wps:bodyPr>
                  </wps:wsp>
                </a:graphicData>
              </a:graphic>
            </wp:anchor>
          </w:drawing>
        </mc:Choice>
        <mc:Fallback>
          <w:pict>
            <v:shape id="shape 1" o:spid="_x0000_s1" o:spt="202" type="#_x0000_t202" style="position:absolute;z-index:251666432;o:allowoverlap:true;o:allowincell:true;mso-position-horizontal-relative:margin;margin-left:232.6pt;mso-position-horizontal:absolute;mso-position-vertical-relative:text;margin-top:-0.6pt;mso-position-vertical:absolute;width:16.3pt;height:12.8pt;mso-wrap-distance-left:9.0pt;mso-wrap-distance-top:0.0pt;mso-wrap-distance-right:9.0pt;mso-wrap-distance-bottom:0.0pt;visibility:visible;" filled="f" stroked="f">
              <v:textbox inset="0,0,0,0">
                <w:txbxContent>
                  <w:p>
                    <w:pPr>
                      <w:pStyle w:val="1065"/>
                    </w:pPr>
                    <w:r>
                      <w:fldChar w:fldCharType="begin"/>
                    </w:r>
                    <w:r>
                      <w:instrText xml:space="preserve"> PAGE  \* MERGEFORMAT </w:instrText>
                    </w:r>
                    <w:r>
                      <w:fldChar w:fldCharType="separate"/>
                    </w:r>
                    <w:r>
                      <w:t xml:space="preserve">57</w:t>
                    </w:r>
                    <w:r>
                      <w:fldChar w:fldCharType="end"/>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jc w:val="right"/>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28270" cy="162560"/>
              <wp:effectExtent l="6350" t="6350" r="6350" b="6350"/>
              <wp:wrapNone/>
              <wp:docPr id="3" name="文本框 7"/>
              <wp:cNvGraphicFramePr/>
              <a:graphic xmlns:a="http://schemas.openxmlformats.org/drawingml/2006/main">
                <a:graphicData uri="http://schemas.microsoft.com/office/word/2010/wordprocessingShape">
                  <wps:wsp>
                    <wps:cNvPr id="0" name=""/>
                    <wps:cNvSpPr txBox="1"/>
                    <wps:spPr bwMode="auto">
                      <a:xfrm flipH="1">
                        <a:off x="0" y="0"/>
                        <a:ext cx="128256" cy="162780"/>
                      </a:xfrm>
                      <a:prstGeom prst="rect">
                        <a:avLst/>
                      </a:prstGeom>
                      <a:noFill/>
                      <a:ln>
                        <a:noFill/>
                      </a:ln>
                    </wps:spPr>
                    <wps:txbx>
                      <w:txbxContent>
                        <w:p>
                          <w:pPr>
                            <w:pStyle w:val="1065"/>
                          </w:pPr>
                          <w:r>
                            <w:fldChar w:fldCharType="begin"/>
                          </w:r>
                          <w:r>
                            <w:instrText xml:space="preserve"> PAGE  \* MERGEFORMAT </w:instrText>
                          </w:r>
                          <w:r>
                            <w:fldChar w:fldCharType="separate"/>
                          </w:r>
                          <w:r>
                            <w:t xml:space="preserve">27</w:t>
                          </w:r>
                          <w:r>
                            <w:fldChar w:fldCharType="end"/>
                          </w:r>
                          <w:r/>
                        </w:p>
                      </w:txbxContent>
                    </wps:txbx>
                    <wps:bodyPr wrap="square" lIns="0" tIns="0" rIns="0" bIns="0">
                      <a:no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0.1pt;height:12.8pt;mso-wrap-distance-left:9.0pt;mso-wrap-distance-top:0.0pt;mso-wrap-distance-right:9.0pt;mso-wrap-distance-bottom:0.0pt;flip:x;visibility:visible;" filled="f" stroked="f">
              <v:textbox inset="0,0,0,0">
                <w:txbxContent>
                  <w:p>
                    <w:pPr>
                      <w:pStyle w:val="106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7330" cy="162560"/>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7628" cy="162780"/>
                      </a:xfrm>
                      <a:prstGeom prst="rect">
                        <a:avLst/>
                      </a:prstGeom>
                      <a:noFill/>
                      <a:ln>
                        <a:noFill/>
                      </a:ln>
                    </wps:spPr>
                    <wps:txbx>
                      <w:txbxContent>
                        <w:p>
                          <w:pPr>
                            <w:pStyle w:val="1065"/>
                          </w:pPr>
                          <w:r>
                            <w:fldChar w:fldCharType="begin"/>
                          </w:r>
                          <w:r>
                            <w:instrText xml:space="preserve"> PAGE  \* MERGEFORMAT </w:instrText>
                          </w:r>
                          <w:r>
                            <w:fldChar w:fldCharType="separate"/>
                          </w:r>
                          <w:r>
                            <w:t xml:space="preserve">64</w:t>
                          </w:r>
                          <w:r>
                            <w:fldChar w:fldCharType="end"/>
                          </w:r>
                          <w:r/>
                        </w:p>
                      </w:txbxContent>
                    </wps:txbx>
                    <wps:bodyPr wrap="square" lIns="0" tIns="0" rIns="0" bIns="0">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7.9pt;height:12.8pt;mso-wrap-distance-left:9.0pt;mso-wrap-distance-top:0.0pt;mso-wrap-distance-right:9.0pt;mso-wrap-distance-bottom:0.0pt;visibility:visible;" filled="f" stroked="f">
              <v:textbox inset="0,0,0,0">
                <w:txbxContent>
                  <w:p>
                    <w:pPr>
                      <w:pStyle w:val="1065"/>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ind w:right="360"/>
      <w:tabs>
        <w:tab w:val="clear" w:pos="4153" w:leader="none"/>
        <w:tab w:val="center" w:pos="487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7330" cy="162560"/>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27628" cy="162780"/>
                      </a:xfrm>
                      <a:prstGeom prst="rect">
                        <a:avLst/>
                      </a:prstGeom>
                      <a:noFill/>
                      <a:ln>
                        <a:noFill/>
                      </a:ln>
                    </wps:spPr>
                    <wps:txbx>
                      <w:txbxContent>
                        <w:p>
                          <w:pPr>
                            <w:pStyle w:val="1065"/>
                          </w:pPr>
                          <w:r>
                            <w:fldChar w:fldCharType="begin"/>
                          </w:r>
                          <w:r>
                            <w:instrText xml:space="preserve"> PAGE  \* MERGEFORMAT </w:instrText>
                          </w:r>
                          <w:r>
                            <w:fldChar w:fldCharType="separate"/>
                          </w:r>
                          <w:r>
                            <w:t xml:space="preserve">66</w:t>
                          </w:r>
                          <w:r>
                            <w:fldChar w:fldCharType="end"/>
                          </w:r>
                          <w:r/>
                        </w:p>
                      </w:txbxContent>
                    </wps:txbx>
                    <wps:bodyPr wrap="square" lIns="0" tIns="0" rIns="0" bIns="0">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7.9pt;height:12.8pt;mso-wrap-distance-left:9.0pt;mso-wrap-distance-top:0.0pt;mso-wrap-distance-right:9.0pt;mso-wrap-distance-bottom:0.0pt;visibility:visible;" filled="f" stroked="f">
              <v:textbox inset="0,0,0,0">
                <w:txbxContent>
                  <w:p>
                    <w:pPr>
                      <w:pStyle w:val="1065"/>
                    </w:pPr>
                    <w:r>
                      <w:fldChar w:fldCharType="begin"/>
                    </w:r>
                    <w:r>
                      <w:instrText xml:space="preserve"> PAGE  \* MERGEFORMAT </w:instrText>
                    </w:r>
                    <w:r>
                      <w:fldChar w:fldCharType="separate"/>
                    </w:r>
                    <w:r>
                      <w:t xml:space="preserve">66</w:t>
                    </w:r>
                    <w:r>
                      <w:fldChar w:fldCharType="end"/>
                    </w:r>
                    <w:r/>
                  </w:p>
                </w:txbxContent>
              </v:textbox>
            </v:shape>
          </w:pict>
        </mc:Fallback>
      </mc:AlternateContent>
    </w:r>
    <w:r>
      <w:tab/>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7"/>
      <w:tabs>
        <w:tab w:val="center" w:pos="4153" w:leader="none"/>
        <w:tab w:val="right" w:pos="8306" w:leader="none"/>
      </w:tabs>
      <w:rPr>
        <w:rStyle w:val="1301"/>
      </w:rPr>
      <w:framePr w:wrap="around" w:vAnchor="text" w:hAnchor="margin" w:xAlign="right" w:y="1"/>
    </w:pPr>
    <w:r>
      <w:fldChar w:fldCharType="begin"/>
    </w:r>
    <w:r>
      <w:rPr>
        <w:rStyle w:val="1301"/>
      </w:rPr>
      <w:instrText xml:space="preserve">PAGE  </w:instrText>
    </w:r>
    <w:r>
      <w:fldChar w:fldCharType="separate"/>
    </w:r>
    <w:r>
      <w:rPr>
        <w:rStyle w:val="1301"/>
      </w:rPr>
      <w:t xml:space="preserve">19</w:t>
    </w:r>
    <w:r>
      <w:fldChar w:fldCharType="end"/>
    </w:r>
    <w:r/>
  </w:p>
  <w:p>
    <w:pPr>
      <w:pStyle w:val="1287"/>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jc w:val="right"/>
      <w:tabs>
        <w:tab w:val="right" w:pos="4153" w:leader="none"/>
        <w:tab w:val="left" w:pos="8306" w:leader="underscore"/>
      </w:tabs>
      <w:rPr>
        <w:rStyle w:val="1305"/>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19710" cy="162560"/>
              <wp:effectExtent l="6350" t="6350" r="6350" b="635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219690" cy="162780"/>
                      </a:xfrm>
                      <a:prstGeom prst="rect">
                        <a:avLst/>
                      </a:prstGeom>
                      <a:noFill/>
                      <a:ln>
                        <a:noFill/>
                      </a:ln>
                    </wps:spPr>
                    <wps:txbx>
                      <w:txbxContent>
                        <w:p>
                          <w:pPr>
                            <w:pStyle w:val="1065"/>
                          </w:pPr>
                          <w:r>
                            <w:fldChar w:fldCharType="begin"/>
                          </w:r>
                          <w:r>
                            <w:instrText xml:space="preserve"> PAGE  \* MERGEFORMAT </w:instrText>
                          </w:r>
                          <w:r>
                            <w:fldChar w:fldCharType="separate"/>
                          </w:r>
                          <w:r>
                            <w:t xml:space="preserve">70</w:t>
                          </w:r>
                          <w:r>
                            <w:fldChar w:fldCharType="end"/>
                          </w:r>
                          <w:r/>
                        </w:p>
                      </w:txbxContent>
                    </wps:txbx>
                    <wps:bodyPr wrap="square" lIns="0" tIns="0" rIns="0" bIns="0">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7.3pt;height:12.8pt;mso-wrap-distance-left:9.0pt;mso-wrap-distance-top:0.0pt;mso-wrap-distance-right:9.0pt;mso-wrap-distance-bottom:0.0pt;visibility:visible;" filled="f" stroked="f">
              <v:textbox inset="0,0,0,0">
                <w:txbxContent>
                  <w:p>
                    <w:pPr>
                      <w:pStyle w:val="1065"/>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p>
    <w:pPr>
      <w:pStyle w:val="1263"/>
      <w:rPr>
        <w:rStyle w:val="1305"/>
        <w:rFonts w:ascii="隶书" w:eastAsia="隶书"/>
        <w:b/>
        <w:i/>
        <w:sz w:val="18"/>
      </w:rPr>
    </w:pPr>
    <w:r>
      <w:rPr>
        <w:rFonts w:ascii="隶书" w:eastAsia="隶书"/>
        <w:b/>
        <w:i/>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27330" cy="162560"/>
              <wp:effectExtent l="6350" t="6350" r="6350" b="635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227628" cy="162780"/>
                      </a:xfrm>
                      <a:prstGeom prst="rect">
                        <a:avLst/>
                      </a:prstGeom>
                      <a:noFill/>
                      <a:ln>
                        <a:noFill/>
                      </a:ln>
                    </wps:spPr>
                    <wps:txbx>
                      <w:txbxContent>
                        <w:p>
                          <w:pPr>
                            <w:pStyle w:val="1065"/>
                          </w:pPr>
                          <w:r>
                            <w:fldChar w:fldCharType="begin"/>
                          </w:r>
                          <w:r>
                            <w:instrText xml:space="preserve"> PAGE  \* MERGEFORMAT </w:instrText>
                          </w:r>
                          <w:r>
                            <w:fldChar w:fldCharType="separate"/>
                          </w:r>
                          <w:r>
                            <w:t xml:space="preserve">67</w:t>
                          </w:r>
                          <w:r>
                            <w:fldChar w:fldCharType="end"/>
                          </w:r>
                          <w:r/>
                        </w:p>
                      </w:txbxContent>
                    </wps:txbx>
                    <wps:bodyPr wrap="square" lIns="0" tIns="0" rIns="0" bIns="0">
                      <a:no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7.9pt;height:12.8pt;mso-wrap-distance-left:9.0pt;mso-wrap-distance-top:0.0pt;mso-wrap-distance-right:9.0pt;mso-wrap-distance-bottom:0.0pt;visibility:visible;" filled="f" stroked="f">
              <v:textbox inset="0,0,0,0">
                <w:txbxContent>
                  <w:p>
                    <w:pPr>
                      <w:pStyle w:val="1065"/>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rPr>
      <w:t xml:space="preserve">交管支队车管所考试场地整修竞争性磋商文件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rPr>
      <w:t xml:space="preserve">交管支队车管所考试场地整修竞争性磋商文件</w:t>
    </w:r>
    <w:r/>
  </w:p>
  <w:p>
    <w:pPr>
      <w:pStyle w:val="106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rPr>
      <w:t xml:space="preserve">交管支队车管所考试场地整修竞争性磋商文件</w:t>
    </w:r>
    <w:r/>
  </w:p>
  <w:p>
    <w:pPr>
      <w:ind w:firstLine="174"/>
      <w:jc w:val="left"/>
      <w:rPr>
        <w:rFonts w:ascii="Times New Roman" w:hAnsi="Times New Roman"/>
        <w:sz w:val="20"/>
        <w:szCs w:val="20"/>
      </w:rPr>
    </w:pPr>
    <w:r>
      <w:rPr>
        <w:rFonts w:ascii="Times New Roman" w:hAnsi="Times New Roman"/>
        <w:sz w:val="20"/>
        <w:szCs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rPr>
      <w:t xml:space="preserve">交管支队车管所考试场地整修竞争性磋商文件</w:t>
    </w:r>
    <w:r/>
  </w:p>
  <w:p>
    <w:pPr>
      <w:pStyle w:val="1289"/>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jc w:val="center"/>
      <w:tabs>
        <w:tab w:val="right" w:pos="4153" w:leader="none"/>
        <w:tab w:val="left" w:pos="8306" w:leader="underscore"/>
      </w:tabs>
      <w:rPr>
        <w:rStyle w:val="1305"/>
        <w:sz w:val="18"/>
      </w:rPr>
    </w:pPr>
    <w:r>
      <w:rPr>
        <w:sz w:val="18"/>
      </w:rPr>
    </w:r>
    <w:r/>
  </w:p>
  <w:p>
    <w:pPr>
      <w:pStyle w:val="1066"/>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rPr>
      <w:t xml:space="preserve">交管支队车管所考试场地整修竞争性磋商文件</w:t>
    </w:r>
    <w:r/>
  </w:p>
  <w:p>
    <w:pPr>
      <w:pStyle w:val="1263"/>
      <w:rPr>
        <w:rStyle w:val="1305"/>
        <w:sz w:val="18"/>
      </w:rPr>
    </w:pPr>
    <w:r>
      <w:rPr>
        <w:sz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rPr>
      <w:t xml:space="preserve">交管支队车管所考试场地整修竞争性磋商文件</w:t>
    </w:r>
    <w:r/>
  </w:p>
  <w:p>
    <w:pPr>
      <w:pStyle w:val="1289"/>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rPr>
      <w:t xml:space="preserve">交管支队车管所考试场地整修竞争性磋商文件</w:t>
    </w:r>
    <w:r/>
  </w:p>
  <w:p>
    <w:pPr>
      <w:pStyle w:val="1263"/>
      <w:jc w:val="center"/>
      <w:tabs>
        <w:tab w:val="right" w:pos="4153" w:leader="none"/>
        <w:tab w:val="left" w:pos="8306" w:leader="underscore"/>
      </w:tabs>
      <w:rPr>
        <w:rStyle w:val="1305"/>
        <w:sz w:val="18"/>
      </w:rPr>
    </w:pPr>
    <w:r>
      <w:rPr>
        <w:sz w:val="18"/>
      </w:rPr>
    </w:r>
    <w:r/>
  </w:p>
  <w:p>
    <w:pPr>
      <w:pStyle w:val="1263"/>
      <w:rPr>
        <w:rStyle w:val="1305"/>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1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26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20">
    <w:name w:val="Plain Table 1"/>
    <w:basedOn w:val="10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1">
    <w:name w:val="Plain Table 2"/>
    <w:basedOn w:val="10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2">
    <w:name w:val="Plain Table 3"/>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3">
    <w:name w:val="Plain Table 4"/>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4">
    <w:name w:val="Plain Table 5"/>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5">
    <w:name w:val="Grid Table 1 Light"/>
    <w:basedOn w:val="10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6">
    <w:name w:val="Grid Table 2"/>
    <w:basedOn w:val="10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7">
    <w:name w:val="Grid Table 3"/>
    <w:basedOn w:val="10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4"/>
    <w:basedOn w:val="10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9">
    <w:name w:val="Grid Table 5 Dark"/>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0">
    <w:name w:val="Grid Table 6 Colorful"/>
    <w:basedOn w:val="10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1">
    <w:name w:val="Grid Table 7 Colorful"/>
    <w:basedOn w:val="10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2">
    <w:name w:val="List Table 1 Light"/>
    <w:basedOn w:val="10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name w:val="List Table 2"/>
    <w:basedOn w:val="10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4">
    <w:name w:val="List Table 3"/>
    <w:basedOn w:val="10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5">
    <w:name w:val="List Table 4"/>
    <w:basedOn w:val="10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6">
    <w:name w:val="List Table 5 Dark"/>
    <w:basedOn w:val="10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6 Colorful"/>
    <w:basedOn w:val="10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8">
    <w:name w:val="List Table 7 Colorful"/>
    <w:basedOn w:val="10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39">
    <w:name w:val="TOC Heading"/>
    <w:uiPriority w:val="39"/>
    <w:unhideWhenUsed/>
  </w:style>
  <w:style w:type="paragraph" w:styleId="1040" w:default="1">
    <w:name w:val="Normal"/>
    <w:next w:val="1052"/>
    <w:uiPriority w:val="0"/>
    <w:qFormat/>
    <w:pPr>
      <w:jc w:val="both"/>
    </w:pPr>
    <w:rPr>
      <w:rFonts w:ascii="Calibri" w:hAnsi="Calibri" w:eastAsia="宋体" w:cs="Times New Roman"/>
      <w:sz w:val="21"/>
      <w:szCs w:val="21"/>
      <w:lang w:val="en-US" w:eastAsia="zh-CN" w:bidi="ar-SA"/>
    </w:rPr>
  </w:style>
  <w:style w:type="paragraph" w:styleId="1041">
    <w:name w:val="Heading 1"/>
    <w:basedOn w:val="1040"/>
    <w:next w:val="1040"/>
    <w:link w:val="1135"/>
    <w:uiPriority w:val="9"/>
    <w:qFormat/>
    <w:pPr>
      <w:keepLines/>
      <w:keepNext/>
      <w:spacing w:before="480" w:after="200"/>
      <w:outlineLvl w:val="0"/>
    </w:pPr>
    <w:rPr>
      <w:rFonts w:ascii="Arial" w:hAnsi="Arial" w:eastAsia="Arial" w:cs="Arial"/>
      <w:sz w:val="40"/>
      <w:szCs w:val="40"/>
    </w:rPr>
  </w:style>
  <w:style w:type="paragraph" w:styleId="1042">
    <w:name w:val="Heading 2"/>
    <w:basedOn w:val="1040"/>
    <w:next w:val="1040"/>
    <w:link w:val="1136"/>
    <w:uiPriority w:val="9"/>
    <w:unhideWhenUsed/>
    <w:qFormat/>
    <w:pPr>
      <w:keepLines/>
      <w:keepNext/>
      <w:spacing w:before="360" w:after="200"/>
      <w:outlineLvl w:val="1"/>
    </w:pPr>
    <w:rPr>
      <w:rFonts w:ascii="Arial" w:hAnsi="Arial" w:eastAsia="Arial" w:cs="Arial"/>
      <w:sz w:val="34"/>
    </w:rPr>
  </w:style>
  <w:style w:type="paragraph" w:styleId="1043">
    <w:name w:val="Heading 3"/>
    <w:basedOn w:val="1040"/>
    <w:next w:val="1040"/>
    <w:link w:val="1137"/>
    <w:uiPriority w:val="9"/>
    <w:unhideWhenUsed/>
    <w:qFormat/>
    <w:pPr>
      <w:keepLines/>
      <w:keepNext/>
      <w:spacing w:before="320" w:after="200"/>
      <w:outlineLvl w:val="2"/>
    </w:pPr>
    <w:rPr>
      <w:rFonts w:ascii="Arial" w:hAnsi="Arial" w:eastAsia="Arial" w:cs="Arial"/>
      <w:sz w:val="30"/>
      <w:szCs w:val="30"/>
    </w:rPr>
  </w:style>
  <w:style w:type="paragraph" w:styleId="1044">
    <w:name w:val="Heading 4"/>
    <w:basedOn w:val="1040"/>
    <w:next w:val="1040"/>
    <w:link w:val="1138"/>
    <w:uiPriority w:val="9"/>
    <w:unhideWhenUsed/>
    <w:qFormat/>
    <w:pPr>
      <w:keepLines/>
      <w:keepNext/>
      <w:spacing w:before="320" w:after="200"/>
      <w:outlineLvl w:val="3"/>
    </w:pPr>
    <w:rPr>
      <w:rFonts w:ascii="Arial" w:hAnsi="Arial" w:eastAsia="Arial" w:cs="Arial"/>
      <w:b/>
      <w:bCs/>
      <w:sz w:val="26"/>
      <w:szCs w:val="26"/>
    </w:rPr>
  </w:style>
  <w:style w:type="paragraph" w:styleId="1045">
    <w:name w:val="Heading 5"/>
    <w:basedOn w:val="1040"/>
    <w:next w:val="1040"/>
    <w:link w:val="1139"/>
    <w:uiPriority w:val="9"/>
    <w:unhideWhenUsed/>
    <w:qFormat/>
    <w:pPr>
      <w:keepLines/>
      <w:keepNext/>
      <w:spacing w:before="320" w:after="200"/>
      <w:outlineLvl w:val="4"/>
    </w:pPr>
    <w:rPr>
      <w:rFonts w:ascii="Arial" w:hAnsi="Arial" w:eastAsia="Arial" w:cs="Arial"/>
      <w:b/>
      <w:bCs/>
      <w:sz w:val="24"/>
      <w:szCs w:val="24"/>
    </w:rPr>
  </w:style>
  <w:style w:type="paragraph" w:styleId="1046">
    <w:name w:val="Heading 6"/>
    <w:basedOn w:val="1040"/>
    <w:next w:val="1040"/>
    <w:link w:val="1140"/>
    <w:uiPriority w:val="9"/>
    <w:unhideWhenUsed/>
    <w:qFormat/>
    <w:pPr>
      <w:keepLines/>
      <w:keepNext/>
      <w:spacing w:before="320" w:after="200"/>
      <w:outlineLvl w:val="5"/>
    </w:pPr>
    <w:rPr>
      <w:rFonts w:ascii="Arial" w:hAnsi="Arial" w:eastAsia="Arial" w:cs="Arial"/>
      <w:b/>
      <w:bCs/>
      <w:sz w:val="22"/>
      <w:szCs w:val="22"/>
    </w:rPr>
  </w:style>
  <w:style w:type="paragraph" w:styleId="1047">
    <w:name w:val="Heading 7"/>
    <w:basedOn w:val="1040"/>
    <w:next w:val="1040"/>
    <w:link w:val="1141"/>
    <w:uiPriority w:val="9"/>
    <w:unhideWhenUsed/>
    <w:qFormat/>
    <w:pPr>
      <w:keepLines/>
      <w:keepNext/>
      <w:spacing w:before="320" w:after="200"/>
      <w:outlineLvl w:val="6"/>
    </w:pPr>
    <w:rPr>
      <w:rFonts w:ascii="Arial" w:hAnsi="Arial" w:eastAsia="Arial" w:cs="Arial"/>
      <w:b/>
      <w:bCs/>
      <w:i/>
      <w:iCs/>
      <w:sz w:val="22"/>
      <w:szCs w:val="22"/>
    </w:rPr>
  </w:style>
  <w:style w:type="paragraph" w:styleId="1048">
    <w:name w:val="Heading 8"/>
    <w:basedOn w:val="1040"/>
    <w:next w:val="1040"/>
    <w:link w:val="1142"/>
    <w:uiPriority w:val="9"/>
    <w:unhideWhenUsed/>
    <w:qFormat/>
    <w:pPr>
      <w:keepLines/>
      <w:keepNext/>
      <w:spacing w:before="320" w:after="200"/>
      <w:outlineLvl w:val="7"/>
    </w:pPr>
    <w:rPr>
      <w:rFonts w:ascii="Arial" w:hAnsi="Arial" w:eastAsia="Arial" w:cs="Arial"/>
      <w:i/>
      <w:iCs/>
      <w:sz w:val="22"/>
      <w:szCs w:val="22"/>
    </w:rPr>
  </w:style>
  <w:style w:type="paragraph" w:styleId="1049">
    <w:name w:val="Heading 9"/>
    <w:basedOn w:val="1040"/>
    <w:next w:val="1040"/>
    <w:link w:val="1143"/>
    <w:uiPriority w:val="9"/>
    <w:unhideWhenUsed/>
    <w:qFormat/>
    <w:pPr>
      <w:keepLines/>
      <w:keepNext/>
      <w:spacing w:before="320" w:after="200"/>
      <w:outlineLvl w:val="8"/>
    </w:pPr>
    <w:rPr>
      <w:rFonts w:ascii="Arial" w:hAnsi="Arial" w:eastAsia="Arial" w:cs="Arial"/>
      <w:i/>
      <w:iCs/>
    </w:rPr>
  </w:style>
  <w:style w:type="character" w:styleId="1050" w:default="1">
    <w:name w:val="Default Paragraph Font"/>
    <w:uiPriority w:val="1"/>
    <w:semiHidden/>
    <w:unhideWhenUsed/>
    <w:qFormat/>
  </w:style>
  <w:style w:type="table" w:styleId="1051" w:default="1">
    <w:name w:val="Normal Table"/>
    <w:uiPriority w:val="99"/>
    <w:semiHidden/>
    <w:unhideWhenUsed/>
    <w:qFormat/>
    <w:tblPr>
      <w:tblCellMar>
        <w:left w:w="108" w:type="dxa"/>
        <w:top w:w="0" w:type="dxa"/>
        <w:right w:w="108" w:type="dxa"/>
        <w:bottom w:w="0" w:type="dxa"/>
      </w:tblCellMar>
    </w:tblPr>
  </w:style>
  <w:style w:type="paragraph" w:styleId="1052">
    <w:name w:val="Block Text"/>
    <w:basedOn w:val="1040"/>
    <w:next w:val="1040"/>
    <w:uiPriority w:val="0"/>
    <w:qFormat/>
    <w:pPr>
      <w:ind w:left="256" w:right="6" w:firstLine="624"/>
    </w:pPr>
    <w:rPr>
      <w:rFonts w:eastAsia="仿宋_GB2312"/>
      <w:sz w:val="28"/>
      <w:szCs w:val="20"/>
    </w:rPr>
  </w:style>
  <w:style w:type="paragraph" w:styleId="1053">
    <w:name w:val="toc 7"/>
    <w:basedOn w:val="1040"/>
    <w:next w:val="1040"/>
    <w:uiPriority w:val="39"/>
    <w:unhideWhenUsed/>
    <w:qFormat/>
    <w:pPr>
      <w:ind w:left="1701"/>
      <w:spacing w:after="57"/>
    </w:pPr>
  </w:style>
  <w:style w:type="paragraph" w:styleId="1054">
    <w:name w:val="Normal Indent"/>
    <w:basedOn w:val="1040"/>
    <w:uiPriority w:val="99"/>
    <w:qFormat/>
    <w:pPr>
      <w:ind w:firstLine="420"/>
      <w:jc w:val="left"/>
    </w:pPr>
    <w:rPr>
      <w:sz w:val="20"/>
    </w:rPr>
  </w:style>
  <w:style w:type="paragraph" w:styleId="1055">
    <w:name w:val="Caption"/>
    <w:basedOn w:val="1040"/>
    <w:next w:val="1040"/>
    <w:uiPriority w:val="35"/>
    <w:semiHidden/>
    <w:unhideWhenUsed/>
    <w:qFormat/>
    <w:pPr>
      <w:spacing w:line="276" w:lineRule="auto"/>
    </w:pPr>
    <w:rPr>
      <w:b/>
      <w:bCs/>
      <w:color w:val="4f81bd"/>
      <w:sz w:val="18"/>
      <w:szCs w:val="18"/>
    </w:rPr>
  </w:style>
  <w:style w:type="paragraph" w:styleId="1056">
    <w:name w:val="annotation text"/>
    <w:basedOn w:val="1040"/>
    <w:link w:val="1407"/>
    <w:uiPriority w:val="99"/>
    <w:semiHidden/>
    <w:unhideWhenUsed/>
    <w:qFormat/>
    <w:pPr>
      <w:jc w:val="left"/>
    </w:pPr>
  </w:style>
  <w:style w:type="paragraph" w:styleId="1057">
    <w:name w:val="Body Text"/>
    <w:basedOn w:val="1040"/>
    <w:link w:val="1409"/>
    <w:uiPriority w:val="0"/>
    <w:qFormat/>
    <w:pPr>
      <w:jc w:val="left"/>
      <w:spacing w:after="120"/>
    </w:pPr>
    <w:rPr>
      <w:rFonts w:ascii="Times New Roman" w:hAnsi="Times New Roman"/>
      <w:sz w:val="20"/>
      <w:szCs w:val="20"/>
    </w:rPr>
  </w:style>
  <w:style w:type="paragraph" w:styleId="1058">
    <w:name w:val="Body Text Indent"/>
    <w:basedOn w:val="1040"/>
    <w:next w:val="1059"/>
    <w:link w:val="1412"/>
    <w:uiPriority w:val="0"/>
    <w:qFormat/>
    <w:pPr>
      <w:ind w:left="420"/>
      <w:spacing w:after="120"/>
    </w:pPr>
  </w:style>
  <w:style w:type="paragraph" w:styleId="1059">
    <w:name w:val="envelope return"/>
    <w:basedOn w:val="1040"/>
    <w:uiPriority w:val="0"/>
    <w:qFormat/>
    <w:rPr>
      <w:rFonts w:ascii="Arial" w:hAnsi="Arial"/>
    </w:rPr>
  </w:style>
  <w:style w:type="paragraph" w:styleId="1060">
    <w:name w:val="toc 5"/>
    <w:basedOn w:val="1040"/>
    <w:next w:val="1040"/>
    <w:uiPriority w:val="39"/>
    <w:unhideWhenUsed/>
    <w:qFormat/>
    <w:pPr>
      <w:ind w:left="1134"/>
      <w:spacing w:after="57"/>
    </w:pPr>
  </w:style>
  <w:style w:type="paragraph" w:styleId="1061">
    <w:name w:val="toc 3"/>
    <w:basedOn w:val="1040"/>
    <w:next w:val="1040"/>
    <w:uiPriority w:val="39"/>
    <w:unhideWhenUsed/>
    <w:qFormat/>
    <w:pPr>
      <w:ind w:left="567"/>
      <w:spacing w:after="57"/>
    </w:pPr>
  </w:style>
  <w:style w:type="paragraph" w:styleId="1062">
    <w:name w:val="toc 8"/>
    <w:basedOn w:val="1040"/>
    <w:next w:val="1040"/>
    <w:uiPriority w:val="39"/>
    <w:unhideWhenUsed/>
    <w:qFormat/>
    <w:pPr>
      <w:ind w:left="1984"/>
      <w:spacing w:after="57"/>
    </w:pPr>
  </w:style>
  <w:style w:type="paragraph" w:styleId="1063">
    <w:name w:val="endnote text"/>
    <w:basedOn w:val="1040"/>
    <w:link w:val="1261"/>
    <w:uiPriority w:val="99"/>
    <w:semiHidden/>
    <w:unhideWhenUsed/>
    <w:qFormat/>
    <w:rPr>
      <w:sz w:val="20"/>
    </w:rPr>
  </w:style>
  <w:style w:type="paragraph" w:styleId="1064">
    <w:name w:val="Balloon Text"/>
    <w:basedOn w:val="1040"/>
    <w:link w:val="1410"/>
    <w:uiPriority w:val="99"/>
    <w:semiHidden/>
    <w:unhideWhenUsed/>
    <w:qFormat/>
    <w:rPr>
      <w:sz w:val="18"/>
      <w:szCs w:val="18"/>
    </w:rPr>
  </w:style>
  <w:style w:type="paragraph" w:styleId="1065">
    <w:name w:val="Footer"/>
    <w:basedOn w:val="1040"/>
    <w:link w:val="1153"/>
    <w:uiPriority w:val="99"/>
    <w:unhideWhenUsed/>
    <w:qFormat/>
    <w:pPr>
      <w:tabs>
        <w:tab w:val="center" w:pos="7143" w:leader="none"/>
        <w:tab w:val="right" w:pos="14287" w:leader="none"/>
      </w:tabs>
    </w:pPr>
  </w:style>
  <w:style w:type="paragraph" w:styleId="1066">
    <w:name w:val="Header"/>
    <w:basedOn w:val="1040"/>
    <w:link w:val="1151"/>
    <w:uiPriority w:val="99"/>
    <w:unhideWhenUsed/>
    <w:qFormat/>
    <w:pPr>
      <w:tabs>
        <w:tab w:val="center" w:pos="7143" w:leader="none"/>
        <w:tab w:val="right" w:pos="14287" w:leader="none"/>
      </w:tabs>
    </w:pPr>
  </w:style>
  <w:style w:type="paragraph" w:styleId="1067">
    <w:name w:val="toc 1"/>
    <w:basedOn w:val="1040"/>
    <w:next w:val="1040"/>
    <w:uiPriority w:val="39"/>
    <w:unhideWhenUsed/>
    <w:qFormat/>
    <w:pPr>
      <w:spacing w:after="57"/>
    </w:pPr>
  </w:style>
  <w:style w:type="paragraph" w:styleId="1068">
    <w:name w:val="toc 4"/>
    <w:basedOn w:val="1040"/>
    <w:next w:val="1040"/>
    <w:uiPriority w:val="39"/>
    <w:unhideWhenUsed/>
    <w:qFormat/>
    <w:pPr>
      <w:ind w:left="850"/>
      <w:spacing w:after="57"/>
    </w:pPr>
  </w:style>
  <w:style w:type="paragraph" w:styleId="1069">
    <w:name w:val="Subtitle"/>
    <w:basedOn w:val="1040"/>
    <w:next w:val="1040"/>
    <w:link w:val="1146"/>
    <w:uiPriority w:val="11"/>
    <w:qFormat/>
    <w:pPr>
      <w:spacing w:before="200" w:after="200"/>
    </w:pPr>
    <w:rPr>
      <w:sz w:val="24"/>
      <w:szCs w:val="24"/>
    </w:rPr>
  </w:style>
  <w:style w:type="paragraph" w:styleId="1070">
    <w:name w:val="footnote text"/>
    <w:basedOn w:val="1040"/>
    <w:link w:val="1260"/>
    <w:uiPriority w:val="99"/>
    <w:semiHidden/>
    <w:unhideWhenUsed/>
    <w:qFormat/>
    <w:pPr>
      <w:spacing w:after="40"/>
    </w:pPr>
    <w:rPr>
      <w:sz w:val="18"/>
    </w:rPr>
  </w:style>
  <w:style w:type="paragraph" w:styleId="1071">
    <w:name w:val="toc 6"/>
    <w:basedOn w:val="1040"/>
    <w:next w:val="1040"/>
    <w:uiPriority w:val="39"/>
    <w:unhideWhenUsed/>
    <w:qFormat/>
    <w:pPr>
      <w:ind w:left="1417"/>
      <w:spacing w:after="57"/>
    </w:pPr>
  </w:style>
  <w:style w:type="paragraph" w:styleId="1072">
    <w:name w:val="table of figures"/>
    <w:basedOn w:val="1040"/>
    <w:next w:val="1040"/>
    <w:uiPriority w:val="99"/>
    <w:unhideWhenUsed/>
    <w:qFormat/>
  </w:style>
  <w:style w:type="paragraph" w:styleId="1073">
    <w:name w:val="toc 2"/>
    <w:basedOn w:val="1040"/>
    <w:next w:val="1040"/>
    <w:uiPriority w:val="39"/>
    <w:unhideWhenUsed/>
    <w:qFormat/>
    <w:pPr>
      <w:ind w:left="283"/>
      <w:spacing w:after="57"/>
    </w:pPr>
  </w:style>
  <w:style w:type="paragraph" w:styleId="1074">
    <w:name w:val="toc 9"/>
    <w:basedOn w:val="1040"/>
    <w:next w:val="1040"/>
    <w:uiPriority w:val="39"/>
    <w:unhideWhenUsed/>
    <w:qFormat/>
    <w:pPr>
      <w:ind w:left="2268"/>
      <w:spacing w:after="57"/>
    </w:pPr>
  </w:style>
  <w:style w:type="paragraph" w:styleId="1075">
    <w:name w:val="Normal (Web)"/>
    <w:basedOn w:val="1040"/>
    <w:uiPriority w:val="99"/>
    <w:semiHidden/>
    <w:unhideWhenUsed/>
    <w:qFormat/>
    <w:rPr>
      <w:rFonts w:ascii="Times New Roman" w:hAnsi="Times New Roman"/>
      <w:sz w:val="24"/>
      <w:szCs w:val="24"/>
    </w:rPr>
  </w:style>
  <w:style w:type="paragraph" w:styleId="1076">
    <w:name w:val="Title"/>
    <w:basedOn w:val="1040"/>
    <w:next w:val="1040"/>
    <w:link w:val="1145"/>
    <w:uiPriority w:val="10"/>
    <w:qFormat/>
    <w:pPr>
      <w:contextualSpacing/>
      <w:spacing w:before="300" w:after="200"/>
    </w:pPr>
    <w:rPr>
      <w:sz w:val="48"/>
      <w:szCs w:val="48"/>
    </w:rPr>
  </w:style>
  <w:style w:type="paragraph" w:styleId="1077">
    <w:name w:val="annotation subject"/>
    <w:basedOn w:val="1056"/>
    <w:next w:val="1056"/>
    <w:link w:val="1406"/>
    <w:uiPriority w:val="0"/>
    <w:qFormat/>
    <w:rPr>
      <w:rFonts w:ascii="Times New Roman" w:hAnsi="Times New Roman"/>
      <w:b/>
      <w:bCs/>
      <w:sz w:val="24"/>
      <w:szCs w:val="24"/>
    </w:rPr>
  </w:style>
  <w:style w:type="table" w:styleId="107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9">
    <w:name w:val="endnote reference"/>
    <w:uiPriority w:val="99"/>
    <w:semiHidden/>
    <w:unhideWhenUsed/>
    <w:qFormat/>
    <w:rPr>
      <w:vertAlign w:val="superscript"/>
    </w:rPr>
  </w:style>
  <w:style w:type="character" w:styleId="1080">
    <w:name w:val="Hyperlink"/>
    <w:uiPriority w:val="99"/>
    <w:unhideWhenUsed/>
    <w:qFormat/>
    <w:rPr>
      <w:color w:val="0000ff"/>
      <w:u w:val="single"/>
    </w:rPr>
  </w:style>
  <w:style w:type="character" w:styleId="1081">
    <w:name w:val="annotation reference"/>
    <w:basedOn w:val="1050"/>
    <w:uiPriority w:val="99"/>
    <w:semiHidden/>
    <w:unhideWhenUsed/>
    <w:qFormat/>
    <w:rPr>
      <w:sz w:val="21"/>
      <w:szCs w:val="21"/>
    </w:rPr>
  </w:style>
  <w:style w:type="character" w:styleId="1082">
    <w:name w:val="footnote reference"/>
    <w:uiPriority w:val="99"/>
    <w:unhideWhenUsed/>
    <w:qFormat/>
    <w:rPr>
      <w:vertAlign w:val="superscript"/>
    </w:rPr>
  </w:style>
  <w:style w:type="paragraph" w:styleId="1083" w:customStyle="1">
    <w:name w:val="脚注文本11"/>
    <w:basedOn w:val="1040"/>
    <w:next w:val="1084"/>
    <w:uiPriority w:val="0"/>
    <w:unhideWhenUsed/>
    <w:qFormat/>
    <w:pPr>
      <w:spacing w:after="40"/>
    </w:pPr>
    <w:rPr>
      <w:sz w:val="18"/>
    </w:rPr>
  </w:style>
  <w:style w:type="paragraph" w:styleId="1084" w:customStyle="1">
    <w:name w:val="索引 511"/>
    <w:basedOn w:val="1040"/>
    <w:next w:val="1040"/>
    <w:uiPriority w:val="0"/>
    <w:qFormat/>
    <w:pPr>
      <w:ind w:left="798"/>
      <w:jc w:val="left"/>
    </w:pPr>
  </w:style>
  <w:style w:type="paragraph" w:styleId="1085" w:customStyle="1">
    <w:name w:val="目录 112"/>
    <w:basedOn w:val="1040"/>
    <w:next w:val="1040"/>
    <w:uiPriority w:val="39"/>
    <w:unhideWhenUsed/>
    <w:qFormat/>
    <w:pPr>
      <w:spacing w:after="57"/>
    </w:pPr>
  </w:style>
  <w:style w:type="paragraph" w:styleId="1086" w:customStyle="1">
    <w:name w:val="一级条标题"/>
    <w:basedOn w:val="1087"/>
    <w:next w:val="10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7" w:customStyle="1">
    <w:name w:val="章标题"/>
    <w:next w:val="104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8" w:customStyle="1">
    <w:name w:val="段"/>
    <w:basedOn w:val="1089"/>
    <w:next w:val="1040"/>
    <w:uiPriority w:val="0"/>
    <w:qFormat/>
    <w:pPr>
      <w:ind w:firstLine="200"/>
    </w:pPr>
  </w:style>
  <w:style w:type="paragraph" w:styleId="1089" w:customStyle="1">
    <w:name w:val="正文1"/>
    <w:basedOn w:val="1090"/>
    <w:next w:val="1092"/>
    <w:uiPriority w:val="0"/>
    <w:qFormat/>
    <w:pPr>
      <w:spacing w:line="360" w:lineRule="atLeast"/>
    </w:pPr>
    <w:rPr>
      <w:rFonts w:ascii="宋体"/>
      <w:sz w:val="24"/>
    </w:rPr>
  </w:style>
  <w:style w:type="paragraph" w:styleId="1090" w:customStyle="1">
    <w:name w:val="正文12"/>
    <w:next w:val="1091"/>
    <w:uiPriority w:val="0"/>
    <w:qFormat/>
    <w:pPr>
      <w:spacing w:after="200" w:line="276" w:lineRule="auto"/>
    </w:pPr>
    <w:rPr>
      <w:rFonts w:ascii="Times New Roman" w:hAnsi="Times New Roman" w:eastAsia="宋体" w:cs="Times New Roman"/>
      <w:color w:val="0563c1"/>
      <w:u w:val="single"/>
      <w:lang w:val="en-US" w:eastAsia="zh-CN" w:bidi="ar-SA"/>
    </w:rPr>
  </w:style>
  <w:style w:type="paragraph" w:styleId="1091" w:customStyle="1">
    <w:name w:val="正文文本111"/>
    <w:next w:val="1090"/>
    <w:uiPriority w:val="0"/>
    <w:qFormat/>
    <w:pPr>
      <w:spacing w:after="200" w:line="276" w:lineRule="auto"/>
    </w:pPr>
    <w:rPr>
      <w:rFonts w:ascii="Times New Roman" w:hAnsi="Times New Roman" w:eastAsia="宋体" w:cs="Times New Roman"/>
      <w:color w:val="0563c1"/>
      <w:u w:val="single"/>
      <w:lang w:val="en-US" w:eastAsia="zh-CN" w:bidi="ar-SA"/>
    </w:rPr>
  </w:style>
  <w:style w:type="paragraph" w:styleId="1092" w:customStyle="1">
    <w:name w:val="正文文本1"/>
    <w:basedOn w:val="1089"/>
    <w:next w:val="1040"/>
    <w:uiPriority w:val="0"/>
    <w:qFormat/>
    <w:rPr>
      <w:rFonts w:eastAsia="黑体"/>
      <w:b/>
      <w:bCs/>
      <w:spacing w:val="20"/>
      <w:sz w:val="56"/>
    </w:rPr>
  </w:style>
  <w:style w:type="paragraph" w:styleId="1093" w:customStyle="1">
    <w:name w:val="脚注文本1"/>
    <w:basedOn w:val="1090"/>
    <w:next w:val="1094"/>
    <w:uiPriority w:val="0"/>
    <w:qFormat/>
    <w:rPr>
      <w:sz w:val="18"/>
      <w:szCs w:val="18"/>
    </w:rPr>
  </w:style>
  <w:style w:type="paragraph" w:styleId="1094" w:customStyle="1">
    <w:name w:val="索引 51"/>
    <w:basedOn w:val="1090"/>
    <w:next w:val="1089"/>
    <w:uiPriority w:val="0"/>
    <w:qFormat/>
    <w:pPr>
      <w:ind w:left="798"/>
    </w:pPr>
  </w:style>
  <w:style w:type="paragraph" w:styleId="1095"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1096" w:customStyle="1">
    <w:name w:val="索引 41"/>
    <w:basedOn w:val="1089"/>
    <w:next w:val="1089"/>
    <w:uiPriority w:val="0"/>
    <w:unhideWhenUsed/>
    <w:qFormat/>
    <w:pPr>
      <w:ind w:left="600"/>
      <w:jc w:val="both"/>
    </w:pPr>
    <w:rPr>
      <w:rFonts w:ascii="Calibri"/>
      <w:sz w:val="22"/>
    </w:rPr>
  </w:style>
  <w:style w:type="table" w:styleId="1097" w:customStyle="1">
    <w:name w:val="无格式表格 11"/>
    <w:basedOn w:val="105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8" w:customStyle="1">
    <w:name w:val="无格式表格 21"/>
    <w:basedOn w:val="105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9" w:customStyle="1">
    <w:name w:val="无格式表格 31"/>
    <w:basedOn w:val="1051"/>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0" w:customStyle="1">
    <w:name w:val="无格式表格 41"/>
    <w:basedOn w:val="1051"/>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1" w:customStyle="1">
    <w:name w:val="无格式表格 51"/>
    <w:basedOn w:val="1051"/>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2" w:customStyle="1">
    <w:name w:val="网格表 1 浅色1"/>
    <w:basedOn w:val="105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03" w:customStyle="1">
    <w:name w:val="网格表 21"/>
    <w:basedOn w:val="105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04" w:customStyle="1">
    <w:name w:val="网格表 31"/>
    <w:basedOn w:val="105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网格表 41"/>
    <w:basedOn w:val="105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06" w:customStyle="1">
    <w:name w:val="网格表 5 深色1"/>
    <w:basedOn w:val="10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07" w:customStyle="1">
    <w:name w:val="网格表 6 彩色1"/>
    <w:basedOn w:val="105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08" w:customStyle="1">
    <w:name w:val="网格表 7 彩色1"/>
    <w:basedOn w:val="105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09" w:customStyle="1">
    <w:name w:val="清单表 1 浅色1"/>
    <w:basedOn w:val="1051"/>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10" w:customStyle="1">
    <w:name w:val="清单表 21"/>
    <w:basedOn w:val="105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11" w:customStyle="1">
    <w:name w:val="清单表 31"/>
    <w:basedOn w:val="105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2" w:customStyle="1">
    <w:name w:val="清单表 41"/>
    <w:basedOn w:val="105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3" w:customStyle="1">
    <w:name w:val="清单表 5 深色1"/>
    <w:basedOn w:val="105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14" w:customStyle="1">
    <w:name w:val="清单表 6 彩色1"/>
    <w:basedOn w:val="105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15" w:customStyle="1">
    <w:name w:val="清单表 7 彩色1"/>
    <w:basedOn w:val="1051"/>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116" w:customStyle="1">
    <w:name w:val="TOC 标题1"/>
    <w:uiPriority w:val="39"/>
    <w:unhideWhenUsed/>
    <w:qFormat/>
    <w:rPr>
      <w:rFonts w:ascii="Times New Roman" w:hAnsi="Times New Roman" w:eastAsia="宋体" w:cs="Times New Roman"/>
      <w:lang w:val="en-US" w:eastAsia="zh-CN" w:bidi="ar-SA"/>
    </w:rPr>
  </w:style>
  <w:style w:type="character" w:styleId="1117" w:customStyle="1">
    <w:name w:val="Heading 1 Char"/>
    <w:uiPriority w:val="9"/>
    <w:qFormat/>
    <w:rPr>
      <w:rFonts w:ascii="Arial" w:hAnsi="Arial" w:eastAsia="Arial" w:cs="Arial"/>
      <w:sz w:val="40"/>
      <w:szCs w:val="40"/>
    </w:rPr>
  </w:style>
  <w:style w:type="character" w:styleId="1118" w:customStyle="1">
    <w:name w:val="Heading 2 Char"/>
    <w:uiPriority w:val="9"/>
    <w:qFormat/>
    <w:rPr>
      <w:rFonts w:ascii="Arial" w:hAnsi="Arial" w:eastAsia="Arial" w:cs="Arial"/>
      <w:sz w:val="34"/>
    </w:rPr>
  </w:style>
  <w:style w:type="character" w:styleId="1119" w:customStyle="1">
    <w:name w:val="Heading 3 Char"/>
    <w:uiPriority w:val="9"/>
    <w:qFormat/>
    <w:rPr>
      <w:rFonts w:ascii="Arial" w:hAnsi="Arial" w:eastAsia="Arial" w:cs="Arial"/>
      <w:sz w:val="30"/>
      <w:szCs w:val="30"/>
    </w:rPr>
  </w:style>
  <w:style w:type="character" w:styleId="1120" w:customStyle="1">
    <w:name w:val="Heading 4 Char"/>
    <w:uiPriority w:val="9"/>
    <w:qFormat/>
    <w:rPr>
      <w:rFonts w:ascii="Arial" w:hAnsi="Arial" w:eastAsia="Arial" w:cs="Arial"/>
      <w:b/>
      <w:bCs/>
      <w:sz w:val="26"/>
      <w:szCs w:val="26"/>
    </w:rPr>
  </w:style>
  <w:style w:type="character" w:styleId="1121" w:customStyle="1">
    <w:name w:val="Heading 5 Char"/>
    <w:uiPriority w:val="9"/>
    <w:qFormat/>
    <w:rPr>
      <w:rFonts w:ascii="Arial" w:hAnsi="Arial" w:eastAsia="Arial" w:cs="Arial"/>
      <w:b/>
      <w:bCs/>
      <w:sz w:val="24"/>
      <w:szCs w:val="24"/>
    </w:rPr>
  </w:style>
  <w:style w:type="character" w:styleId="1122" w:customStyle="1">
    <w:name w:val="Heading 6 Char"/>
    <w:uiPriority w:val="9"/>
    <w:qFormat/>
    <w:rPr>
      <w:rFonts w:ascii="Arial" w:hAnsi="Arial" w:eastAsia="Arial" w:cs="Arial"/>
      <w:b/>
      <w:bCs/>
      <w:sz w:val="22"/>
      <w:szCs w:val="22"/>
    </w:rPr>
  </w:style>
  <w:style w:type="character" w:styleId="1123" w:customStyle="1">
    <w:name w:val="Heading 7 Char"/>
    <w:uiPriority w:val="9"/>
    <w:qFormat/>
    <w:rPr>
      <w:rFonts w:ascii="Arial" w:hAnsi="Arial" w:eastAsia="Arial" w:cs="Arial"/>
      <w:b/>
      <w:bCs/>
      <w:i/>
      <w:iCs/>
      <w:sz w:val="22"/>
      <w:szCs w:val="22"/>
    </w:rPr>
  </w:style>
  <w:style w:type="character" w:styleId="1124" w:customStyle="1">
    <w:name w:val="Heading 8 Char"/>
    <w:uiPriority w:val="9"/>
    <w:qFormat/>
    <w:rPr>
      <w:rFonts w:ascii="Arial" w:hAnsi="Arial" w:eastAsia="Arial" w:cs="Arial"/>
      <w:i/>
      <w:iCs/>
      <w:sz w:val="22"/>
      <w:szCs w:val="22"/>
    </w:rPr>
  </w:style>
  <w:style w:type="character" w:styleId="1125" w:customStyle="1">
    <w:name w:val="Heading 9 Char"/>
    <w:uiPriority w:val="9"/>
    <w:qFormat/>
    <w:rPr>
      <w:rFonts w:ascii="Arial" w:hAnsi="Arial" w:eastAsia="Arial" w:cs="Arial"/>
      <w:i/>
      <w:iCs/>
      <w:sz w:val="21"/>
      <w:szCs w:val="21"/>
    </w:rPr>
  </w:style>
  <w:style w:type="character" w:styleId="1126" w:customStyle="1">
    <w:name w:val="Title Char"/>
    <w:uiPriority w:val="10"/>
    <w:qFormat/>
    <w:rPr>
      <w:sz w:val="48"/>
      <w:szCs w:val="48"/>
    </w:rPr>
  </w:style>
  <w:style w:type="character" w:styleId="1127" w:customStyle="1">
    <w:name w:val="Subtitle Char"/>
    <w:uiPriority w:val="11"/>
    <w:qFormat/>
    <w:rPr>
      <w:sz w:val="24"/>
      <w:szCs w:val="24"/>
    </w:rPr>
  </w:style>
  <w:style w:type="character" w:styleId="1128" w:customStyle="1">
    <w:name w:val="Quote Char"/>
    <w:uiPriority w:val="29"/>
    <w:qFormat/>
    <w:rPr>
      <w:i/>
    </w:rPr>
  </w:style>
  <w:style w:type="character" w:styleId="1129" w:customStyle="1">
    <w:name w:val="Intense Quote Char"/>
    <w:uiPriority w:val="30"/>
    <w:qFormat/>
    <w:rPr>
      <w:i/>
    </w:rPr>
  </w:style>
  <w:style w:type="character" w:styleId="1130" w:customStyle="1">
    <w:name w:val="Header Char"/>
    <w:basedOn w:val="1050"/>
    <w:uiPriority w:val="99"/>
    <w:qFormat/>
  </w:style>
  <w:style w:type="character" w:styleId="1131" w:customStyle="1">
    <w:name w:val="Caption Char"/>
    <w:uiPriority w:val="99"/>
    <w:qFormat/>
  </w:style>
  <w:style w:type="character" w:styleId="1132" w:customStyle="1">
    <w:name w:val="Footnote Text Char"/>
    <w:uiPriority w:val="99"/>
    <w:qFormat/>
    <w:rPr>
      <w:sz w:val="18"/>
    </w:rPr>
  </w:style>
  <w:style w:type="character" w:styleId="1133" w:customStyle="1">
    <w:name w:val="Endnote Text Char"/>
    <w:uiPriority w:val="99"/>
    <w:qFormat/>
    <w:rPr>
      <w:sz w:val="20"/>
    </w:rPr>
  </w:style>
  <w:style w:type="paragraph" w:styleId="1134" w:customStyle="1">
    <w:name w:val="TOC 标题111"/>
    <w:uiPriority w:val="39"/>
    <w:unhideWhenUsed/>
    <w:qFormat/>
    <w:rPr>
      <w:rFonts w:ascii="Times New Roman" w:hAnsi="Times New Roman" w:eastAsia="宋体" w:cs="Times New Roman"/>
      <w:lang w:val="en-US" w:eastAsia="zh-CN" w:bidi="ar-SA"/>
    </w:rPr>
  </w:style>
  <w:style w:type="character" w:styleId="1135" w:customStyle="1">
    <w:name w:val="标题 1 字符"/>
    <w:link w:val="1041"/>
    <w:uiPriority w:val="9"/>
    <w:qFormat/>
    <w:rPr>
      <w:rFonts w:ascii="Arial" w:hAnsi="Arial" w:eastAsia="Arial" w:cs="Arial"/>
      <w:sz w:val="40"/>
      <w:szCs w:val="40"/>
    </w:rPr>
  </w:style>
  <w:style w:type="character" w:styleId="1136" w:customStyle="1">
    <w:name w:val="标题 2 字符"/>
    <w:link w:val="1042"/>
    <w:uiPriority w:val="9"/>
    <w:qFormat/>
    <w:rPr>
      <w:rFonts w:ascii="Arial" w:hAnsi="Arial" w:eastAsia="Arial" w:cs="Arial"/>
      <w:sz w:val="34"/>
    </w:rPr>
  </w:style>
  <w:style w:type="character" w:styleId="1137" w:customStyle="1">
    <w:name w:val="标题 3 字符"/>
    <w:link w:val="1043"/>
    <w:uiPriority w:val="9"/>
    <w:qFormat/>
    <w:rPr>
      <w:rFonts w:ascii="Arial" w:hAnsi="Arial" w:eastAsia="Arial" w:cs="Arial"/>
      <w:sz w:val="30"/>
      <w:szCs w:val="30"/>
    </w:rPr>
  </w:style>
  <w:style w:type="character" w:styleId="1138" w:customStyle="1">
    <w:name w:val="标题 4 字符"/>
    <w:link w:val="1044"/>
    <w:uiPriority w:val="9"/>
    <w:qFormat/>
    <w:rPr>
      <w:rFonts w:ascii="Arial" w:hAnsi="Arial" w:eastAsia="Arial" w:cs="Arial"/>
      <w:b/>
      <w:bCs/>
      <w:sz w:val="26"/>
      <w:szCs w:val="26"/>
    </w:rPr>
  </w:style>
  <w:style w:type="character" w:styleId="1139" w:customStyle="1">
    <w:name w:val="标题 5 字符"/>
    <w:link w:val="1045"/>
    <w:uiPriority w:val="9"/>
    <w:qFormat/>
    <w:rPr>
      <w:rFonts w:ascii="Arial" w:hAnsi="Arial" w:eastAsia="Arial" w:cs="Arial"/>
      <w:b/>
      <w:bCs/>
      <w:sz w:val="24"/>
      <w:szCs w:val="24"/>
    </w:rPr>
  </w:style>
  <w:style w:type="character" w:styleId="1140" w:customStyle="1">
    <w:name w:val="标题 6 字符"/>
    <w:link w:val="1046"/>
    <w:uiPriority w:val="9"/>
    <w:qFormat/>
    <w:rPr>
      <w:rFonts w:ascii="Arial" w:hAnsi="Arial" w:eastAsia="Arial" w:cs="Arial"/>
      <w:b/>
      <w:bCs/>
      <w:sz w:val="22"/>
      <w:szCs w:val="22"/>
    </w:rPr>
  </w:style>
  <w:style w:type="character" w:styleId="1141" w:customStyle="1">
    <w:name w:val="标题 7 字符"/>
    <w:link w:val="1047"/>
    <w:uiPriority w:val="9"/>
    <w:qFormat/>
    <w:rPr>
      <w:rFonts w:ascii="Arial" w:hAnsi="Arial" w:eastAsia="Arial" w:cs="Arial"/>
      <w:b/>
      <w:bCs/>
      <w:i/>
      <w:iCs/>
      <w:sz w:val="22"/>
      <w:szCs w:val="22"/>
    </w:rPr>
  </w:style>
  <w:style w:type="character" w:styleId="1142" w:customStyle="1">
    <w:name w:val="标题 8 字符"/>
    <w:link w:val="1048"/>
    <w:uiPriority w:val="9"/>
    <w:qFormat/>
    <w:rPr>
      <w:rFonts w:ascii="Arial" w:hAnsi="Arial" w:eastAsia="Arial" w:cs="Arial"/>
      <w:i/>
      <w:iCs/>
      <w:sz w:val="22"/>
      <w:szCs w:val="22"/>
    </w:rPr>
  </w:style>
  <w:style w:type="character" w:styleId="1143" w:customStyle="1">
    <w:name w:val="标题 9 字符"/>
    <w:link w:val="1049"/>
    <w:uiPriority w:val="9"/>
    <w:qFormat/>
    <w:rPr>
      <w:rFonts w:ascii="Arial" w:hAnsi="Arial" w:eastAsia="Arial" w:cs="Arial"/>
      <w:i/>
      <w:iCs/>
      <w:sz w:val="21"/>
      <w:szCs w:val="21"/>
    </w:rPr>
  </w:style>
  <w:style w:type="paragraph" w:styleId="1144">
    <w:name w:val="No Spacing"/>
    <w:uiPriority w:val="1"/>
    <w:qFormat/>
    <w:rPr>
      <w:rFonts w:ascii="Times New Roman" w:hAnsi="Times New Roman" w:eastAsia="宋体" w:cs="Times New Roman"/>
      <w:lang w:val="en-US" w:eastAsia="zh-CN" w:bidi="ar-SA"/>
    </w:rPr>
  </w:style>
  <w:style w:type="character" w:styleId="1145" w:customStyle="1">
    <w:name w:val="标题 字符"/>
    <w:link w:val="1076"/>
    <w:uiPriority w:val="10"/>
    <w:qFormat/>
    <w:rPr>
      <w:sz w:val="48"/>
      <w:szCs w:val="48"/>
    </w:rPr>
  </w:style>
  <w:style w:type="character" w:styleId="1146" w:customStyle="1">
    <w:name w:val="副标题 字符"/>
    <w:link w:val="1069"/>
    <w:uiPriority w:val="11"/>
    <w:qFormat/>
    <w:rPr>
      <w:sz w:val="24"/>
      <w:szCs w:val="24"/>
    </w:rPr>
  </w:style>
  <w:style w:type="paragraph" w:styleId="1147">
    <w:name w:val="Quote"/>
    <w:basedOn w:val="1040"/>
    <w:next w:val="1040"/>
    <w:link w:val="1148"/>
    <w:uiPriority w:val="29"/>
    <w:qFormat/>
    <w:pPr>
      <w:ind w:left="720" w:right="720"/>
    </w:pPr>
    <w:rPr>
      <w:i/>
    </w:rPr>
  </w:style>
  <w:style w:type="character" w:styleId="1148" w:customStyle="1">
    <w:name w:val="引用 字符"/>
    <w:link w:val="1147"/>
    <w:uiPriority w:val="29"/>
    <w:qFormat/>
    <w:rPr>
      <w:i/>
    </w:rPr>
  </w:style>
  <w:style w:type="paragraph" w:styleId="1149">
    <w:name w:val="Intense Quote"/>
    <w:basedOn w:val="1040"/>
    <w:next w:val="1040"/>
    <w:link w:val="11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0" w:customStyle="1">
    <w:name w:val="明显引用 字符"/>
    <w:link w:val="1149"/>
    <w:uiPriority w:val="30"/>
    <w:qFormat/>
    <w:rPr>
      <w:i/>
    </w:rPr>
  </w:style>
  <w:style w:type="character" w:styleId="1151" w:customStyle="1">
    <w:name w:val="页眉 字符"/>
    <w:link w:val="1066"/>
    <w:uiPriority w:val="99"/>
    <w:qFormat/>
  </w:style>
  <w:style w:type="character" w:styleId="1152" w:customStyle="1">
    <w:name w:val="Footer Char"/>
    <w:uiPriority w:val="99"/>
    <w:qFormat/>
  </w:style>
  <w:style w:type="character" w:styleId="1153" w:customStyle="1">
    <w:name w:val="页脚 字符"/>
    <w:link w:val="1065"/>
    <w:uiPriority w:val="99"/>
    <w:qFormat/>
  </w:style>
  <w:style w:type="table" w:styleId="11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5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5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5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5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5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6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6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6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6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6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7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7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7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7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7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8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8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8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8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9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9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9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9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9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9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97" w:customStyle="1">
    <w:name w:val="List Table 1 Light - Accent 1"/>
    <w:uiPriority w:val="99"/>
    <w:qFormat/>
    <w:tblPr>
      <w:tblCellMar>
        <w:left w:w="0" w:type="dxa"/>
        <w:top w:w="0" w:type="dxa"/>
        <w:right w:w="0" w:type="dxa"/>
        <w:bottom w:w="0" w:type="dxa"/>
      </w:tblCellMar>
    </w:tblPr>
  </w:style>
  <w:style w:type="table" w:styleId="1198" w:customStyle="1">
    <w:name w:val="List Table 1 Light - Accent 2"/>
    <w:uiPriority w:val="99"/>
    <w:qFormat/>
    <w:tblPr>
      <w:tblCellMar>
        <w:left w:w="0" w:type="dxa"/>
        <w:top w:w="0" w:type="dxa"/>
        <w:right w:w="0" w:type="dxa"/>
        <w:bottom w:w="0" w:type="dxa"/>
      </w:tblCellMar>
    </w:tblPr>
  </w:style>
  <w:style w:type="table" w:styleId="1199" w:customStyle="1">
    <w:name w:val="List Table 1 Light - Accent 3"/>
    <w:uiPriority w:val="99"/>
    <w:qFormat/>
    <w:tblPr>
      <w:tblCellMar>
        <w:left w:w="0" w:type="dxa"/>
        <w:top w:w="0" w:type="dxa"/>
        <w:right w:w="0" w:type="dxa"/>
        <w:bottom w:w="0" w:type="dxa"/>
      </w:tblCellMar>
    </w:tblPr>
  </w:style>
  <w:style w:type="table" w:styleId="1200" w:customStyle="1">
    <w:name w:val="List Table 1 Light - Accent 4"/>
    <w:uiPriority w:val="99"/>
    <w:qFormat/>
    <w:tblPr>
      <w:tblCellMar>
        <w:left w:w="0" w:type="dxa"/>
        <w:top w:w="0" w:type="dxa"/>
        <w:right w:w="0" w:type="dxa"/>
        <w:bottom w:w="0" w:type="dxa"/>
      </w:tblCellMar>
    </w:tblPr>
  </w:style>
  <w:style w:type="table" w:styleId="1201" w:customStyle="1">
    <w:name w:val="List Table 1 Light - Accent 5"/>
    <w:uiPriority w:val="99"/>
    <w:qFormat/>
    <w:tblPr>
      <w:tblCellMar>
        <w:left w:w="0" w:type="dxa"/>
        <w:top w:w="0" w:type="dxa"/>
        <w:right w:w="0" w:type="dxa"/>
        <w:bottom w:w="0" w:type="dxa"/>
      </w:tblCellMar>
    </w:tblPr>
  </w:style>
  <w:style w:type="table" w:styleId="1202" w:customStyle="1">
    <w:name w:val="List Table 1 Light - Accent 6"/>
    <w:uiPriority w:val="99"/>
    <w:qFormat/>
    <w:tblPr>
      <w:tblCellMar>
        <w:left w:w="0" w:type="dxa"/>
        <w:top w:w="0" w:type="dxa"/>
        <w:right w:w="0" w:type="dxa"/>
        <w:bottom w:w="0" w:type="dxa"/>
      </w:tblCellMar>
    </w:tblPr>
  </w:style>
  <w:style w:type="table" w:styleId="120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0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0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0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0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0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0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1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1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1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1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1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1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1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1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1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2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2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2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2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2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2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2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3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3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3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3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3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3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3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3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3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39" w:customStyle="1">
    <w:name w:val="Lined - Accent"/>
    <w:uiPriority w:val="99"/>
    <w:qFormat/>
    <w:rPr>
      <w:color w:val="404040"/>
    </w:rPr>
    <w:tblPr>
      <w:tblCellMar>
        <w:left w:w="0" w:type="dxa"/>
        <w:top w:w="0" w:type="dxa"/>
        <w:right w:w="0" w:type="dxa"/>
        <w:bottom w:w="0" w:type="dxa"/>
      </w:tblCellMar>
    </w:tblPr>
  </w:style>
  <w:style w:type="table" w:styleId="1240" w:customStyle="1">
    <w:name w:val="Lined - Accent 1"/>
    <w:uiPriority w:val="99"/>
    <w:qFormat/>
    <w:rPr>
      <w:color w:val="404040"/>
    </w:rPr>
    <w:tblPr>
      <w:tblCellMar>
        <w:left w:w="0" w:type="dxa"/>
        <w:top w:w="0" w:type="dxa"/>
        <w:right w:w="0" w:type="dxa"/>
        <w:bottom w:w="0" w:type="dxa"/>
      </w:tblCellMar>
    </w:tblPr>
  </w:style>
  <w:style w:type="table" w:styleId="1241" w:customStyle="1">
    <w:name w:val="Lined - Accent 2"/>
    <w:uiPriority w:val="99"/>
    <w:qFormat/>
    <w:rPr>
      <w:color w:val="404040"/>
    </w:rPr>
    <w:tblPr>
      <w:tblCellMar>
        <w:left w:w="0" w:type="dxa"/>
        <w:top w:w="0" w:type="dxa"/>
        <w:right w:w="0" w:type="dxa"/>
        <w:bottom w:w="0" w:type="dxa"/>
      </w:tblCellMar>
    </w:tblPr>
  </w:style>
  <w:style w:type="table" w:styleId="1242" w:customStyle="1">
    <w:name w:val="Lined - Accent 3"/>
    <w:uiPriority w:val="99"/>
    <w:qFormat/>
    <w:rPr>
      <w:color w:val="404040"/>
    </w:rPr>
    <w:tblPr>
      <w:tblCellMar>
        <w:left w:w="0" w:type="dxa"/>
        <w:top w:w="0" w:type="dxa"/>
        <w:right w:w="0" w:type="dxa"/>
        <w:bottom w:w="0" w:type="dxa"/>
      </w:tblCellMar>
    </w:tblPr>
  </w:style>
  <w:style w:type="table" w:styleId="1243" w:customStyle="1">
    <w:name w:val="Lined - Accent 4"/>
    <w:uiPriority w:val="99"/>
    <w:qFormat/>
    <w:rPr>
      <w:color w:val="404040"/>
    </w:rPr>
    <w:tblPr>
      <w:tblCellMar>
        <w:left w:w="0" w:type="dxa"/>
        <w:top w:w="0" w:type="dxa"/>
        <w:right w:w="0" w:type="dxa"/>
        <w:bottom w:w="0" w:type="dxa"/>
      </w:tblCellMar>
    </w:tblPr>
  </w:style>
  <w:style w:type="table" w:styleId="1244" w:customStyle="1">
    <w:name w:val="Lined - Accent 5"/>
    <w:uiPriority w:val="99"/>
    <w:qFormat/>
    <w:rPr>
      <w:color w:val="404040"/>
    </w:rPr>
    <w:tblPr>
      <w:tblCellMar>
        <w:left w:w="0" w:type="dxa"/>
        <w:top w:w="0" w:type="dxa"/>
        <w:right w:w="0" w:type="dxa"/>
        <w:bottom w:w="0" w:type="dxa"/>
      </w:tblCellMar>
    </w:tblPr>
  </w:style>
  <w:style w:type="table" w:styleId="1245" w:customStyle="1">
    <w:name w:val="Lined - Accent 6"/>
    <w:uiPriority w:val="99"/>
    <w:qFormat/>
    <w:rPr>
      <w:color w:val="404040"/>
    </w:rPr>
    <w:tblPr>
      <w:tblCellMar>
        <w:left w:w="0" w:type="dxa"/>
        <w:top w:w="0" w:type="dxa"/>
        <w:right w:w="0" w:type="dxa"/>
        <w:bottom w:w="0" w:type="dxa"/>
      </w:tblCellMar>
    </w:tblPr>
  </w:style>
  <w:style w:type="table" w:styleId="124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47"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4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4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5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5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5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5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60" w:customStyle="1">
    <w:name w:val="脚注文本 字符"/>
    <w:link w:val="1070"/>
    <w:uiPriority w:val="99"/>
    <w:qFormat/>
    <w:rPr>
      <w:sz w:val="18"/>
    </w:rPr>
  </w:style>
  <w:style w:type="character" w:styleId="1261" w:customStyle="1">
    <w:name w:val="尾注文本 字符"/>
    <w:link w:val="1063"/>
    <w:uiPriority w:val="99"/>
    <w:qFormat/>
    <w:rPr>
      <w:sz w:val="20"/>
    </w:rPr>
  </w:style>
  <w:style w:type="paragraph" w:styleId="1262" w:customStyle="1">
    <w:name w:val="TOC 标题11"/>
    <w:uiPriority w:val="39"/>
    <w:unhideWhenUsed/>
    <w:qFormat/>
    <w:rPr>
      <w:rFonts w:ascii="Times New Roman" w:hAnsi="Times New Roman" w:eastAsia="宋体" w:cs="Times New Roman"/>
      <w:lang w:val="en-US" w:eastAsia="zh-CN" w:bidi="ar-SA"/>
    </w:rPr>
  </w:style>
  <w:style w:type="paragraph" w:styleId="1263" w:customStyle="1">
    <w:name w:val="正文11"/>
    <w:next w:val="1264"/>
    <w:link w:val="1388"/>
    <w:uiPriority w:val="0"/>
    <w:qFormat/>
    <w:pPr>
      <w:jc w:val="both"/>
    </w:pPr>
    <w:rPr>
      <w:rFonts w:ascii="Times New Roman" w:hAnsi="Times New Roman" w:eastAsia="宋体" w:cs="Times New Roman"/>
      <w:lang w:val="en-US" w:eastAsia="zh-CN" w:bidi="ar-SA"/>
    </w:rPr>
  </w:style>
  <w:style w:type="paragraph" w:styleId="1264" w:customStyle="1">
    <w:name w:val="正文首行缩进 21"/>
    <w:basedOn w:val="1265"/>
    <w:next w:val="1040"/>
    <w:uiPriority w:val="0"/>
    <w:qFormat/>
    <w:pPr>
      <w:ind w:firstLine="420"/>
    </w:pPr>
    <w:rPr>
      <w:rFonts w:ascii="仿宋_GB2312" w:eastAsia="仿宋_GB2312"/>
      <w:color w:val="ff6600"/>
      <w:sz w:val="21"/>
    </w:rPr>
  </w:style>
  <w:style w:type="paragraph" w:styleId="1265" w:customStyle="1">
    <w:name w:val="正文文本缩进1"/>
    <w:basedOn w:val="1263"/>
    <w:next w:val="1266"/>
    <w:uiPriority w:val="0"/>
    <w:qFormat/>
    <w:pPr>
      <w:ind w:left="420"/>
      <w:spacing w:after="120"/>
    </w:pPr>
  </w:style>
  <w:style w:type="paragraph" w:styleId="1266" w:customStyle="1">
    <w:name w:val="寄信人地址1"/>
    <w:basedOn w:val="1263"/>
    <w:uiPriority w:val="0"/>
    <w:qFormat/>
    <w:rPr>
      <w:rFonts w:ascii="Arial" w:hAnsi="Arial"/>
    </w:rPr>
  </w:style>
  <w:style w:type="paragraph" w:styleId="1267" w:customStyle="1">
    <w:name w:val="文本块1"/>
    <w:basedOn w:val="1263"/>
    <w:next w:val="1268"/>
    <w:uiPriority w:val="0"/>
    <w:qFormat/>
    <w:pPr>
      <w:ind w:left="256" w:right="6" w:firstLine="624"/>
    </w:pPr>
    <w:rPr>
      <w:rFonts w:eastAsia="仿宋_GB2312"/>
      <w:sz w:val="28"/>
    </w:rPr>
  </w:style>
  <w:style w:type="paragraph" w:styleId="1268" w:customStyle="1">
    <w:name w:val="标题 41"/>
    <w:basedOn w:val="1263"/>
    <w:next w:val="1263"/>
    <w:uiPriority w:val="0"/>
    <w:qFormat/>
    <w:pPr>
      <w:keepLines/>
      <w:keepNext/>
      <w:spacing w:line="360" w:lineRule="auto"/>
      <w:outlineLvl w:val="3"/>
    </w:pPr>
    <w:rPr>
      <w:rFonts w:ascii="Arial" w:hAnsi="Arial"/>
      <w:b/>
      <w:bCs/>
      <w:sz w:val="21"/>
      <w:szCs w:val="28"/>
    </w:rPr>
  </w:style>
  <w:style w:type="paragraph" w:styleId="1269" w:customStyle="1">
    <w:name w:val="标题 21"/>
    <w:basedOn w:val="1090"/>
    <w:next w:val="126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270" w:customStyle="1">
    <w:name w:val="正文111"/>
    <w:next w:val="1265"/>
    <w:uiPriority w:val="0"/>
    <w:qFormat/>
    <w:pPr>
      <w:jc w:val="both"/>
      <w:widowControl w:val="off"/>
    </w:pPr>
    <w:rPr>
      <w:rFonts w:ascii="Times New Roman" w:hAnsi="Times New Roman" w:eastAsia="宋体" w:cs="Times New Roman"/>
      <w:sz w:val="21"/>
      <w:szCs w:val="24"/>
      <w:lang w:val="en-US" w:eastAsia="zh-CN" w:bidi="ar-SA"/>
    </w:rPr>
  </w:style>
  <w:style w:type="paragraph" w:styleId="1271" w:customStyle="1">
    <w:name w:val="标题 11"/>
    <w:basedOn w:val="1263"/>
    <w:next w:val="1263"/>
    <w:link w:val="1276"/>
    <w:uiPriority w:val="0"/>
    <w:qFormat/>
    <w:pPr>
      <w:keepLines/>
      <w:keepNext/>
      <w:spacing w:before="340" w:after="330" w:line="578" w:lineRule="auto"/>
      <w:outlineLvl w:val="0"/>
    </w:pPr>
    <w:rPr>
      <w:b/>
      <w:bCs/>
      <w:sz w:val="44"/>
      <w:szCs w:val="44"/>
    </w:rPr>
  </w:style>
  <w:style w:type="paragraph" w:styleId="1272" w:customStyle="1">
    <w:name w:val="标题 211"/>
    <w:basedOn w:val="1263"/>
    <w:next w:val="1263"/>
    <w:link w:val="1277"/>
    <w:uiPriority w:val="0"/>
    <w:qFormat/>
    <w:pPr>
      <w:keepLines/>
      <w:keepNext/>
      <w:spacing w:before="260" w:after="260" w:line="416" w:lineRule="auto"/>
      <w:outlineLvl w:val="1"/>
    </w:pPr>
    <w:rPr>
      <w:rFonts w:ascii="Calibri Light" w:hAnsi="Calibri Light"/>
      <w:b/>
      <w:bCs/>
      <w:sz w:val="32"/>
      <w:szCs w:val="32"/>
    </w:rPr>
  </w:style>
  <w:style w:type="paragraph" w:styleId="1273" w:customStyle="1">
    <w:name w:val="标题 31"/>
    <w:basedOn w:val="1263"/>
    <w:next w:val="1263"/>
    <w:uiPriority w:val="0"/>
    <w:qFormat/>
    <w:pPr>
      <w:keepLines/>
      <w:keepNext/>
      <w:spacing w:line="360" w:lineRule="auto"/>
      <w:outlineLvl w:val="2"/>
    </w:pPr>
    <w:rPr>
      <w:rFonts w:eastAsia="黑体"/>
      <w:b/>
      <w:bCs/>
      <w:sz w:val="21"/>
      <w:szCs w:val="32"/>
    </w:rPr>
  </w:style>
  <w:style w:type="character" w:styleId="1274" w:customStyle="1">
    <w:name w:val="默认段落字体1"/>
    <w:uiPriority w:val="0"/>
    <w:qFormat/>
  </w:style>
  <w:style w:type="table" w:styleId="1275" w:customStyle="1">
    <w:name w:val="普通表格1"/>
    <w:uiPriority w:val="0"/>
    <w:qFormat/>
    <w:tblPr>
      <w:tblCellMar>
        <w:left w:w="0" w:type="dxa"/>
        <w:top w:w="0" w:type="dxa"/>
        <w:right w:w="0" w:type="dxa"/>
        <w:bottom w:w="0" w:type="dxa"/>
      </w:tblCellMar>
    </w:tblPr>
  </w:style>
  <w:style w:type="character" w:styleId="1276" w:customStyle="1">
    <w:name w:val="标题 1 Char"/>
    <w:link w:val="1271"/>
    <w:uiPriority w:val="0"/>
    <w:qFormat/>
    <w:rPr>
      <w:b/>
      <w:bCs/>
      <w:sz w:val="44"/>
      <w:szCs w:val="44"/>
    </w:rPr>
  </w:style>
  <w:style w:type="character" w:styleId="1277" w:customStyle="1">
    <w:name w:val="标题 2 Char"/>
    <w:link w:val="1272"/>
    <w:uiPriority w:val="0"/>
    <w:qFormat/>
    <w:rPr>
      <w:rFonts w:ascii="Calibri Light" w:hAnsi="Calibri Light" w:eastAsia="宋体"/>
      <w:b/>
      <w:bCs/>
      <w:sz w:val="32"/>
      <w:szCs w:val="32"/>
    </w:rPr>
  </w:style>
  <w:style w:type="paragraph" w:styleId="1278" w:customStyle="1">
    <w:name w:val="正文缩进1"/>
    <w:basedOn w:val="1263"/>
    <w:uiPriority w:val="0"/>
    <w:qFormat/>
    <w:pPr>
      <w:ind w:firstLine="420"/>
    </w:pPr>
    <w:rPr>
      <w:sz w:val="21"/>
      <w:szCs w:val="21"/>
    </w:rPr>
  </w:style>
  <w:style w:type="paragraph" w:styleId="1279" w:customStyle="1">
    <w:name w:val="批注文字1"/>
    <w:basedOn w:val="1263"/>
    <w:link w:val="1280"/>
    <w:uiPriority w:val="0"/>
    <w:semiHidden/>
    <w:qFormat/>
    <w:pPr>
      <w:jc w:val="left"/>
    </w:pPr>
    <w:rPr>
      <w:sz w:val="21"/>
    </w:rPr>
  </w:style>
  <w:style w:type="character" w:styleId="1280" w:customStyle="1">
    <w:name w:val="批注文字 Char"/>
    <w:link w:val="1279"/>
    <w:uiPriority w:val="0"/>
    <w:semiHidden/>
    <w:qFormat/>
    <w:rPr>
      <w:sz w:val="21"/>
    </w:rPr>
  </w:style>
  <w:style w:type="paragraph" w:styleId="1281" w:customStyle="1">
    <w:name w:val="正文文本11"/>
    <w:basedOn w:val="1263"/>
    <w:next w:val="1263"/>
    <w:link w:val="1282"/>
    <w:uiPriority w:val="0"/>
    <w:qFormat/>
    <w:pPr>
      <w:spacing w:after="120"/>
    </w:pPr>
  </w:style>
  <w:style w:type="character" w:styleId="1282" w:customStyle="1">
    <w:name w:val="正文文本 Char"/>
    <w:link w:val="1281"/>
    <w:uiPriority w:val="0"/>
    <w:qFormat/>
  </w:style>
  <w:style w:type="paragraph" w:styleId="1283" w:customStyle="1">
    <w:name w:val="日期1"/>
    <w:basedOn w:val="1263"/>
    <w:next w:val="1263"/>
    <w:link w:val="1284"/>
    <w:uiPriority w:val="0"/>
    <w:qFormat/>
    <w:pPr>
      <w:ind w:left="100"/>
    </w:pPr>
  </w:style>
  <w:style w:type="character" w:styleId="1284" w:customStyle="1">
    <w:name w:val="日期 Char"/>
    <w:link w:val="1283"/>
    <w:uiPriority w:val="0"/>
    <w:semiHidden/>
    <w:qFormat/>
    <w:rPr>
      <w:sz w:val="20"/>
    </w:rPr>
  </w:style>
  <w:style w:type="paragraph" w:styleId="1285" w:customStyle="1">
    <w:name w:val="批注框文本1"/>
    <w:basedOn w:val="1263"/>
    <w:link w:val="1286"/>
    <w:uiPriority w:val="0"/>
    <w:qFormat/>
    <w:rPr>
      <w:sz w:val="18"/>
      <w:szCs w:val="18"/>
    </w:rPr>
  </w:style>
  <w:style w:type="character" w:styleId="1286" w:customStyle="1">
    <w:name w:val="批注框文本 Char"/>
    <w:link w:val="1285"/>
    <w:uiPriority w:val="0"/>
    <w:semiHidden/>
    <w:qFormat/>
    <w:rPr>
      <w:sz w:val="18"/>
      <w:szCs w:val="18"/>
    </w:rPr>
  </w:style>
  <w:style w:type="paragraph" w:styleId="1287" w:customStyle="1">
    <w:name w:val="页脚1"/>
    <w:basedOn w:val="1263"/>
    <w:link w:val="1288"/>
    <w:uiPriority w:val="0"/>
    <w:qFormat/>
    <w:pPr>
      <w:jc w:val="left"/>
      <w:tabs>
        <w:tab w:val="right" w:pos="4153" w:leader="none"/>
        <w:tab w:val="left" w:pos="8306" w:leader="underscore"/>
      </w:tabs>
    </w:pPr>
    <w:rPr>
      <w:sz w:val="18"/>
    </w:rPr>
  </w:style>
  <w:style w:type="character" w:styleId="1288" w:customStyle="1">
    <w:name w:val="页脚 Char"/>
    <w:link w:val="1287"/>
    <w:uiPriority w:val="0"/>
    <w:qFormat/>
    <w:rPr>
      <w:sz w:val="18"/>
    </w:rPr>
  </w:style>
  <w:style w:type="paragraph" w:styleId="1289" w:customStyle="1">
    <w:name w:val="页眉1"/>
    <w:basedOn w:val="1263"/>
    <w:link w:val="1290"/>
    <w:uiPriority w:val="0"/>
    <w:qFormat/>
    <w:pPr>
      <w:jc w:val="center"/>
      <w:tabs>
        <w:tab w:val="right" w:pos="4153" w:leader="none"/>
        <w:tab w:val="left" w:pos="8306" w:leader="underscore"/>
      </w:tabs>
      <w:pBdr>
        <w:bottom w:val="single" w:color="000000" w:sz="6" w:space="1"/>
      </w:pBdr>
    </w:pPr>
    <w:rPr>
      <w:sz w:val="18"/>
      <w:szCs w:val="18"/>
    </w:rPr>
  </w:style>
  <w:style w:type="character" w:styleId="1290" w:customStyle="1">
    <w:name w:val="页眉 Char"/>
    <w:link w:val="1289"/>
    <w:uiPriority w:val="0"/>
    <w:qFormat/>
    <w:rPr>
      <w:sz w:val="18"/>
      <w:szCs w:val="18"/>
    </w:rPr>
  </w:style>
  <w:style w:type="paragraph" w:styleId="1291" w:customStyle="1">
    <w:name w:val="目录 11"/>
    <w:basedOn w:val="1263"/>
    <w:next w:val="1263"/>
    <w:uiPriority w:val="0"/>
    <w:qFormat/>
  </w:style>
  <w:style w:type="paragraph" w:styleId="1292" w:customStyle="1">
    <w:name w:val="副标题1"/>
    <w:basedOn w:val="1263"/>
    <w:next w:val="1263"/>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293" w:customStyle="1">
    <w:name w:val="目录 21"/>
    <w:basedOn w:val="1263"/>
    <w:next w:val="1263"/>
    <w:uiPriority w:val="0"/>
    <w:qFormat/>
    <w:pPr>
      <w:ind w:left="420"/>
    </w:pPr>
  </w:style>
  <w:style w:type="paragraph" w:styleId="1294" w:customStyle="1">
    <w:name w:val="普通(网站)1"/>
    <w:basedOn w:val="1263"/>
    <w:uiPriority w:val="0"/>
    <w:qFormat/>
    <w:pPr>
      <w:jc w:val="left"/>
      <w:spacing w:before="100" w:beforeAutospacing="1" w:after="100" w:afterAutospacing="1"/>
    </w:pPr>
    <w:rPr>
      <w:rFonts w:ascii="宋体" w:hAnsi="宋体"/>
      <w:sz w:val="24"/>
      <w:szCs w:val="24"/>
    </w:rPr>
  </w:style>
  <w:style w:type="paragraph" w:styleId="1295" w:customStyle="1">
    <w:name w:val="批注主题1"/>
    <w:basedOn w:val="1279"/>
    <w:next w:val="1279"/>
    <w:link w:val="1296"/>
    <w:uiPriority w:val="0"/>
    <w:qFormat/>
    <w:rPr>
      <w:b/>
      <w:bCs/>
    </w:rPr>
  </w:style>
  <w:style w:type="character" w:styleId="1296" w:customStyle="1">
    <w:name w:val="批注主题 Char"/>
    <w:link w:val="1295"/>
    <w:uiPriority w:val="0"/>
    <w:semiHidden/>
    <w:qFormat/>
    <w:rPr>
      <w:b/>
      <w:bCs/>
      <w:sz w:val="21"/>
    </w:rPr>
  </w:style>
  <w:style w:type="paragraph" w:styleId="1297" w:customStyle="1">
    <w:name w:val="正文首行缩进1"/>
    <w:basedOn w:val="1281"/>
    <w:link w:val="1298"/>
    <w:uiPriority w:val="0"/>
    <w:qFormat/>
    <w:pPr>
      <w:ind w:firstLine="420"/>
      <w:widowControl w:val="off"/>
    </w:pPr>
    <w:rPr>
      <w:sz w:val="21"/>
    </w:rPr>
  </w:style>
  <w:style w:type="character" w:styleId="1298" w:customStyle="1">
    <w:name w:val="正文首行缩进 Char"/>
    <w:link w:val="1297"/>
    <w:uiPriority w:val="0"/>
    <w:qFormat/>
    <w:rPr>
      <w:sz w:val="21"/>
    </w:rPr>
  </w:style>
  <w:style w:type="table" w:styleId="1299" w:customStyle="1">
    <w:name w:val="网格型1"/>
    <w:basedOn w:val="1275"/>
    <w:uiPriority w:val="0"/>
    <w:qFormat/>
    <w:pPr>
      <w:jc w:val="both"/>
      <w:widowControl w:val="off"/>
    </w:pPr>
    <w:tblPr/>
  </w:style>
  <w:style w:type="character" w:styleId="1300" w:customStyle="1">
    <w:name w:val="要点1"/>
    <w:uiPriority w:val="0"/>
    <w:qFormat/>
    <w:rPr>
      <w:b/>
      <w:sz w:val="21"/>
    </w:rPr>
  </w:style>
  <w:style w:type="character" w:styleId="1301" w:customStyle="1">
    <w:name w:val="页码1"/>
    <w:uiPriority w:val="0"/>
    <w:qFormat/>
  </w:style>
  <w:style w:type="character" w:styleId="1302" w:customStyle="1">
    <w:name w:val="强调1"/>
    <w:uiPriority w:val="0"/>
    <w:qFormat/>
    <w:rPr>
      <w:i/>
      <w:sz w:val="20"/>
    </w:rPr>
  </w:style>
  <w:style w:type="character" w:styleId="1303" w:customStyle="1">
    <w:name w:val="超链接1"/>
    <w:uiPriority w:val="0"/>
    <w:qFormat/>
    <w:rPr>
      <w:color w:val="0000ff"/>
      <w:sz w:val="20"/>
      <w:u w:val="single"/>
    </w:rPr>
  </w:style>
  <w:style w:type="character" w:styleId="1304" w:customStyle="1">
    <w:name w:val="批注引用1"/>
    <w:uiPriority w:val="0"/>
    <w:qFormat/>
    <w:rPr>
      <w:sz w:val="21"/>
      <w:szCs w:val="21"/>
    </w:rPr>
  </w:style>
  <w:style w:type="character" w:styleId="1305" w:customStyle="1">
    <w:name w:val="NormalCharacter"/>
    <w:uiPriority w:val="0"/>
    <w:semiHidden/>
    <w:qFormat/>
    <w:rPr>
      <w:lang w:val="en-US" w:eastAsia="zh-CN" w:bidi="ar-SA"/>
    </w:rPr>
  </w:style>
  <w:style w:type="character" w:styleId="1306" w:customStyle="1">
    <w:name w:val="UserStyle_19"/>
    <w:uiPriority w:val="0"/>
    <w:qFormat/>
    <w:rPr>
      <w:b/>
      <w:sz w:val="20"/>
    </w:rPr>
  </w:style>
  <w:style w:type="character" w:styleId="1307" w:customStyle="1">
    <w:name w:val="263"/>
    <w:uiPriority w:val="0"/>
    <w:qFormat/>
    <w:rPr>
      <w:b/>
      <w:color w:val="c0504d"/>
      <w:sz w:val="20"/>
      <w:u w:val="single"/>
    </w:rPr>
  </w:style>
  <w:style w:type="character" w:styleId="1308" w:customStyle="1">
    <w:name w:val="UserStyle_47"/>
    <w:uiPriority w:val="0"/>
    <w:qFormat/>
    <w:rPr>
      <w:sz w:val="20"/>
    </w:rPr>
  </w:style>
  <w:style w:type="character" w:styleId="1309" w:customStyle="1">
    <w:name w:val="UserStyle_43"/>
    <w:uiPriority w:val="0"/>
    <w:qFormat/>
    <w:rPr>
      <w:sz w:val="20"/>
    </w:rPr>
  </w:style>
  <w:style w:type="character" w:styleId="1310" w:customStyle="1">
    <w:name w:val="UserStyle_37"/>
    <w:uiPriority w:val="0"/>
    <w:qFormat/>
    <w:rPr>
      <w:b/>
      <w:sz w:val="20"/>
    </w:rPr>
  </w:style>
  <w:style w:type="character" w:styleId="1311" w:customStyle="1">
    <w:name w:val="UserStyle_70"/>
    <w:uiPriority w:val="0"/>
    <w:qFormat/>
    <w:rPr>
      <w:sz w:val="20"/>
    </w:rPr>
  </w:style>
  <w:style w:type="character" w:styleId="1312" w:customStyle="1">
    <w:name w:val="UserStyle_55"/>
    <w:uiPriority w:val="0"/>
    <w:qFormat/>
    <w:rPr>
      <w:sz w:val="20"/>
    </w:rPr>
  </w:style>
  <w:style w:type="character" w:styleId="1313" w:customStyle="1">
    <w:name w:val="UserStyle_0"/>
    <w:link w:val="1314"/>
    <w:uiPriority w:val="0"/>
    <w:semiHidden/>
    <w:qFormat/>
    <w:rPr>
      <w:rFonts w:ascii="Courier New" w:hAnsi="Courier New"/>
      <w:sz w:val="20"/>
    </w:rPr>
  </w:style>
  <w:style w:type="paragraph" w:styleId="1314" w:customStyle="1">
    <w:name w:val="HtmlPre"/>
    <w:basedOn w:val="1263"/>
    <w:link w:val="1313"/>
    <w:uiPriority w:val="0"/>
    <w:qFormat/>
    <w:rPr>
      <w:rFonts w:ascii="Courier New" w:hAnsi="Courier New"/>
    </w:rPr>
  </w:style>
  <w:style w:type="character" w:styleId="1315" w:customStyle="1">
    <w:name w:val="UserStyle_18"/>
    <w:uiPriority w:val="0"/>
    <w:semiHidden/>
    <w:qFormat/>
    <w:rPr>
      <w:sz w:val="20"/>
    </w:rPr>
  </w:style>
  <w:style w:type="character" w:styleId="1316" w:customStyle="1">
    <w:name w:val="UserStyle_56"/>
    <w:uiPriority w:val="0"/>
    <w:qFormat/>
    <w:rPr>
      <w:sz w:val="20"/>
    </w:rPr>
  </w:style>
  <w:style w:type="character" w:styleId="1317" w:customStyle="1">
    <w:name w:val="262"/>
    <w:uiPriority w:val="0"/>
    <w:qFormat/>
    <w:rPr>
      <w:color w:val="c0504d"/>
      <w:sz w:val="20"/>
      <w:u w:val="single"/>
    </w:rPr>
  </w:style>
  <w:style w:type="character" w:styleId="1318" w:customStyle="1">
    <w:name w:val="UserStyle_46"/>
    <w:uiPriority w:val="0"/>
    <w:qFormat/>
    <w:rPr>
      <w:sz w:val="20"/>
    </w:rPr>
  </w:style>
  <w:style w:type="character" w:styleId="1319" w:customStyle="1">
    <w:name w:val="UserStyle_74"/>
    <w:uiPriority w:val="0"/>
    <w:qFormat/>
    <w:rPr>
      <w:b/>
      <w:sz w:val="20"/>
    </w:rPr>
  </w:style>
  <w:style w:type="character" w:styleId="1320" w:customStyle="1">
    <w:name w:val="UserStyle_71"/>
    <w:uiPriority w:val="0"/>
    <w:qFormat/>
    <w:rPr>
      <w:sz w:val="20"/>
    </w:rPr>
  </w:style>
  <w:style w:type="character" w:styleId="1321" w:customStyle="1">
    <w:name w:val="UserStyle_72"/>
    <w:uiPriority w:val="0"/>
    <w:qFormat/>
    <w:rPr>
      <w:sz w:val="20"/>
    </w:rPr>
  </w:style>
  <w:style w:type="character" w:styleId="1322" w:customStyle="1">
    <w:name w:val="UserStyle_7"/>
    <w:uiPriority w:val="0"/>
    <w:qFormat/>
    <w:rPr>
      <w:i/>
      <w:sz w:val="20"/>
    </w:rPr>
  </w:style>
  <w:style w:type="character" w:styleId="1323" w:customStyle="1">
    <w:name w:val="UserStyle_68"/>
    <w:uiPriority w:val="0"/>
    <w:qFormat/>
    <w:rPr>
      <w:sz w:val="20"/>
    </w:rPr>
  </w:style>
  <w:style w:type="character" w:styleId="1324" w:customStyle="1">
    <w:name w:val="UserStyle_25"/>
    <w:uiPriority w:val="0"/>
    <w:qFormat/>
    <w:rPr>
      <w:sz w:val="20"/>
    </w:rPr>
  </w:style>
  <w:style w:type="character" w:styleId="1325" w:customStyle="1">
    <w:name w:val="UserStyle_66"/>
    <w:uiPriority w:val="0"/>
    <w:qFormat/>
    <w:rPr>
      <w:sz w:val="20"/>
    </w:rPr>
  </w:style>
  <w:style w:type="character" w:styleId="1326" w:customStyle="1">
    <w:name w:val="UserStyle_38"/>
    <w:uiPriority w:val="0"/>
    <w:qFormat/>
    <w:rPr>
      <w:sz w:val="20"/>
    </w:rPr>
  </w:style>
  <w:style w:type="character" w:styleId="1327" w:customStyle="1">
    <w:name w:val="UserStyle_17"/>
    <w:uiPriority w:val="0"/>
    <w:qFormat/>
    <w:rPr>
      <w:sz w:val="20"/>
    </w:rPr>
  </w:style>
  <w:style w:type="character" w:styleId="1328" w:customStyle="1">
    <w:name w:val="UserStyle_33"/>
    <w:uiPriority w:val="0"/>
    <w:qFormat/>
    <w:rPr>
      <w:sz w:val="20"/>
    </w:rPr>
  </w:style>
  <w:style w:type="character" w:styleId="1329" w:customStyle="1">
    <w:name w:val="UserStyle_45"/>
    <w:uiPriority w:val="0"/>
    <w:qFormat/>
    <w:rPr>
      <w:b/>
      <w:sz w:val="20"/>
    </w:rPr>
  </w:style>
  <w:style w:type="character" w:styleId="1330" w:customStyle="1">
    <w:name w:val="UserStyle_57"/>
    <w:uiPriority w:val="0"/>
    <w:qFormat/>
    <w:rPr>
      <w:sz w:val="20"/>
    </w:rPr>
  </w:style>
  <w:style w:type="character" w:styleId="1331" w:customStyle="1">
    <w:name w:val="UserStyle_63"/>
    <w:uiPriority w:val="0"/>
    <w:qFormat/>
    <w:rPr>
      <w:sz w:val="20"/>
    </w:rPr>
  </w:style>
  <w:style w:type="character" w:styleId="1332" w:customStyle="1">
    <w:name w:val="UserStyle_75"/>
    <w:uiPriority w:val="0"/>
    <w:qFormat/>
    <w:rPr>
      <w:sz w:val="20"/>
    </w:rPr>
  </w:style>
  <w:style w:type="character" w:styleId="1333" w:customStyle="1">
    <w:name w:val="UserStyle_23"/>
    <w:uiPriority w:val="0"/>
    <w:qFormat/>
    <w:rPr>
      <w:color w:val="000000"/>
      <w:sz w:val="20"/>
    </w:rPr>
  </w:style>
  <w:style w:type="character" w:styleId="1334" w:customStyle="1">
    <w:name w:val="UserStyle_65"/>
    <w:uiPriority w:val="0"/>
    <w:qFormat/>
    <w:rPr>
      <w:sz w:val="20"/>
    </w:rPr>
  </w:style>
  <w:style w:type="character" w:styleId="1335" w:customStyle="1">
    <w:name w:val="UserStyle_24"/>
    <w:uiPriority w:val="0"/>
    <w:qFormat/>
    <w:rPr>
      <w:sz w:val="20"/>
    </w:rPr>
  </w:style>
  <w:style w:type="character" w:styleId="1336" w:customStyle="1">
    <w:name w:val="UserStyle_50"/>
    <w:uiPriority w:val="0"/>
    <w:qFormat/>
    <w:rPr>
      <w:sz w:val="20"/>
    </w:rPr>
  </w:style>
  <w:style w:type="character" w:styleId="1337" w:customStyle="1">
    <w:name w:val="UserStyle_44"/>
    <w:uiPriority w:val="0"/>
    <w:qFormat/>
    <w:rPr>
      <w:b/>
      <w:sz w:val="20"/>
    </w:rPr>
  </w:style>
  <w:style w:type="character" w:styleId="1338" w:customStyle="1">
    <w:name w:val="UserStyle_51"/>
    <w:uiPriority w:val="0"/>
    <w:qFormat/>
    <w:rPr>
      <w:sz w:val="20"/>
    </w:rPr>
  </w:style>
  <w:style w:type="character" w:styleId="1339" w:customStyle="1">
    <w:name w:val="UserStyle_4"/>
    <w:uiPriority w:val="0"/>
    <w:qFormat/>
    <w:rPr>
      <w:sz w:val="20"/>
    </w:rPr>
  </w:style>
  <w:style w:type="character" w:styleId="1340" w:customStyle="1">
    <w:name w:val="UserStyle_52"/>
    <w:uiPriority w:val="0"/>
    <w:semiHidden/>
    <w:qFormat/>
    <w:rPr>
      <w:sz w:val="20"/>
    </w:rPr>
  </w:style>
  <w:style w:type="character" w:styleId="1341" w:customStyle="1">
    <w:name w:val="UserStyle_3"/>
    <w:uiPriority w:val="0"/>
    <w:qFormat/>
    <w:rPr>
      <w:sz w:val="20"/>
    </w:rPr>
  </w:style>
  <w:style w:type="character" w:styleId="1342" w:customStyle="1">
    <w:name w:val="UserStyle_67"/>
    <w:uiPriority w:val="0"/>
    <w:qFormat/>
    <w:rPr>
      <w:b/>
      <w:sz w:val="20"/>
    </w:rPr>
  </w:style>
  <w:style w:type="character" w:styleId="1343" w:customStyle="1">
    <w:name w:val="UserStyle_61"/>
    <w:uiPriority w:val="0"/>
    <w:qFormat/>
    <w:rPr>
      <w:b/>
      <w:sz w:val="20"/>
    </w:rPr>
  </w:style>
  <w:style w:type="character" w:styleId="1344" w:customStyle="1">
    <w:name w:val="UserStyle_36"/>
    <w:uiPriority w:val="0"/>
    <w:qFormat/>
    <w:rPr>
      <w:b/>
      <w:sz w:val="20"/>
    </w:rPr>
  </w:style>
  <w:style w:type="character" w:styleId="1345" w:customStyle="1">
    <w:name w:val="260"/>
    <w:uiPriority w:val="0"/>
    <w:qFormat/>
    <w:rPr>
      <w:i/>
      <w:color w:val="000000"/>
      <w:sz w:val="21"/>
    </w:rPr>
  </w:style>
  <w:style w:type="character" w:styleId="1346" w:customStyle="1">
    <w:name w:val="PageNumber"/>
    <w:uiPriority w:val="0"/>
    <w:qFormat/>
    <w:rPr>
      <w:sz w:val="20"/>
    </w:rPr>
  </w:style>
  <w:style w:type="character" w:styleId="1347" w:customStyle="1">
    <w:name w:val="UserStyle_1"/>
    <w:uiPriority w:val="0"/>
    <w:qFormat/>
    <w:rPr>
      <w:sz w:val="20"/>
    </w:rPr>
  </w:style>
  <w:style w:type="character" w:styleId="1348" w:customStyle="1">
    <w:name w:val="UserStyle_64"/>
    <w:uiPriority w:val="0"/>
    <w:qFormat/>
    <w:rPr>
      <w:sz w:val="20"/>
    </w:rPr>
  </w:style>
  <w:style w:type="character" w:styleId="1349" w:customStyle="1">
    <w:name w:val="UserStyle_21"/>
    <w:uiPriority w:val="0"/>
    <w:qFormat/>
    <w:rPr>
      <w:sz w:val="20"/>
    </w:rPr>
  </w:style>
  <w:style w:type="character" w:styleId="1350" w:customStyle="1">
    <w:name w:val="UserStyle_9"/>
    <w:uiPriority w:val="0"/>
    <w:qFormat/>
    <w:rPr>
      <w:sz w:val="20"/>
    </w:rPr>
  </w:style>
  <w:style w:type="character" w:styleId="1351" w:customStyle="1">
    <w:name w:val="UserStyle_40"/>
    <w:uiPriority w:val="0"/>
    <w:qFormat/>
    <w:rPr>
      <w:b/>
      <w:sz w:val="20"/>
    </w:rPr>
  </w:style>
  <w:style w:type="character" w:styleId="1352" w:customStyle="1">
    <w:name w:val="UserStyle_73"/>
    <w:uiPriority w:val="0"/>
    <w:qFormat/>
    <w:rPr>
      <w:sz w:val="20"/>
    </w:rPr>
  </w:style>
  <w:style w:type="character" w:styleId="1353" w:customStyle="1">
    <w:name w:val="UserStyle_30"/>
    <w:uiPriority w:val="0"/>
    <w:qFormat/>
    <w:rPr>
      <w:sz w:val="20"/>
    </w:rPr>
  </w:style>
  <w:style w:type="character" w:styleId="1354" w:customStyle="1">
    <w:name w:val="UserStyle_69"/>
    <w:uiPriority w:val="0"/>
    <w:qFormat/>
    <w:rPr>
      <w:b/>
      <w:sz w:val="20"/>
    </w:rPr>
  </w:style>
  <w:style w:type="character" w:styleId="1355" w:customStyle="1">
    <w:name w:val="UserStyle_13"/>
    <w:uiPriority w:val="0"/>
    <w:qFormat/>
    <w:rPr>
      <w:b/>
      <w:sz w:val="20"/>
    </w:rPr>
  </w:style>
  <w:style w:type="character" w:styleId="1356" w:customStyle="1">
    <w:name w:val="UserStyle_14"/>
    <w:uiPriority w:val="0"/>
    <w:semiHidden/>
    <w:qFormat/>
    <w:rPr>
      <w:sz w:val="20"/>
    </w:rPr>
  </w:style>
  <w:style w:type="character" w:styleId="1357" w:customStyle="1">
    <w:name w:val="UserStyle_22"/>
    <w:uiPriority w:val="0"/>
    <w:qFormat/>
    <w:rPr>
      <w:color w:val="0000ff"/>
      <w:sz w:val="20"/>
      <w:u w:val="single"/>
    </w:rPr>
  </w:style>
  <w:style w:type="character" w:styleId="1358" w:customStyle="1">
    <w:name w:val="UserStyle_8"/>
    <w:uiPriority w:val="0"/>
    <w:qFormat/>
    <w:rPr>
      <w:sz w:val="20"/>
    </w:rPr>
  </w:style>
  <w:style w:type="character" w:styleId="1359" w:customStyle="1">
    <w:name w:val="UserStyle_6"/>
    <w:uiPriority w:val="0"/>
    <w:qFormat/>
    <w:rPr>
      <w:b/>
      <w:sz w:val="20"/>
    </w:rPr>
  </w:style>
  <w:style w:type="character" w:styleId="1360" w:customStyle="1">
    <w:name w:val="UserStyle_62"/>
    <w:uiPriority w:val="0"/>
    <w:qFormat/>
    <w:rPr>
      <w:color w:val="ffff00"/>
      <w:sz w:val="20"/>
    </w:rPr>
  </w:style>
  <w:style w:type="character" w:styleId="1361" w:customStyle="1">
    <w:name w:val="UserStyle_48"/>
    <w:uiPriority w:val="0"/>
    <w:qFormat/>
    <w:rPr>
      <w:sz w:val="20"/>
    </w:rPr>
  </w:style>
  <w:style w:type="character" w:styleId="1362" w:customStyle="1">
    <w:name w:val="UserStyle_15"/>
    <w:uiPriority w:val="0"/>
    <w:qFormat/>
    <w:rPr>
      <w:b/>
      <w:sz w:val="20"/>
    </w:rPr>
  </w:style>
  <w:style w:type="character" w:styleId="1363" w:customStyle="1">
    <w:name w:val="UserStyle_49"/>
    <w:uiPriority w:val="0"/>
    <w:qFormat/>
    <w:rPr>
      <w:sz w:val="20"/>
    </w:rPr>
  </w:style>
  <w:style w:type="character" w:styleId="1364" w:customStyle="1">
    <w:name w:val="UserStyle_11"/>
    <w:uiPriority w:val="0"/>
    <w:qFormat/>
    <w:rPr>
      <w:sz w:val="20"/>
    </w:rPr>
  </w:style>
  <w:style w:type="character" w:styleId="1365" w:customStyle="1">
    <w:name w:val="UserStyle_34"/>
    <w:uiPriority w:val="0"/>
    <w:qFormat/>
    <w:rPr>
      <w:b/>
      <w:sz w:val="20"/>
    </w:rPr>
  </w:style>
  <w:style w:type="character" w:styleId="1366" w:customStyle="1">
    <w:name w:val="UserStyle_29"/>
    <w:uiPriority w:val="0"/>
    <w:qFormat/>
    <w:rPr>
      <w:sz w:val="20"/>
    </w:rPr>
  </w:style>
  <w:style w:type="character" w:styleId="1367" w:customStyle="1">
    <w:name w:val="UserStyle_42"/>
    <w:uiPriority w:val="0"/>
    <w:qFormat/>
    <w:rPr>
      <w:sz w:val="20"/>
    </w:rPr>
  </w:style>
  <w:style w:type="character" w:styleId="1368" w:customStyle="1">
    <w:name w:val="UserStyle_39"/>
    <w:uiPriority w:val="0"/>
    <w:qFormat/>
    <w:rPr>
      <w:sz w:val="20"/>
    </w:rPr>
  </w:style>
  <w:style w:type="character" w:styleId="1369" w:customStyle="1">
    <w:name w:val="UserStyle_35"/>
    <w:uiPriority w:val="0"/>
    <w:qFormat/>
    <w:rPr>
      <w:sz w:val="20"/>
    </w:rPr>
  </w:style>
  <w:style w:type="character" w:styleId="1370" w:customStyle="1">
    <w:name w:val="UserStyle_5"/>
    <w:uiPriority w:val="0"/>
    <w:qFormat/>
    <w:rPr>
      <w:sz w:val="20"/>
    </w:rPr>
  </w:style>
  <w:style w:type="character" w:styleId="1371" w:customStyle="1">
    <w:name w:val="UserStyle_26"/>
    <w:uiPriority w:val="0"/>
    <w:qFormat/>
    <w:rPr>
      <w:sz w:val="20"/>
    </w:rPr>
  </w:style>
  <w:style w:type="character" w:styleId="1372" w:customStyle="1">
    <w:name w:val="264"/>
    <w:uiPriority w:val="0"/>
    <w:qFormat/>
    <w:rPr>
      <w:b/>
      <w:i/>
      <w:sz w:val="21"/>
    </w:rPr>
  </w:style>
  <w:style w:type="character" w:styleId="1373" w:customStyle="1">
    <w:name w:val="UserStyle_76"/>
    <w:uiPriority w:val="0"/>
    <w:qFormat/>
    <w:rPr>
      <w:b/>
      <w:sz w:val="20"/>
    </w:rPr>
  </w:style>
  <w:style w:type="character" w:styleId="1374" w:customStyle="1">
    <w:name w:val="UserStyle_10"/>
    <w:uiPriority w:val="0"/>
    <w:qFormat/>
    <w:rPr>
      <w:b/>
      <w:sz w:val="20"/>
    </w:rPr>
  </w:style>
  <w:style w:type="character" w:styleId="1375" w:customStyle="1">
    <w:name w:val="UserStyle_32"/>
    <w:uiPriority w:val="0"/>
    <w:qFormat/>
    <w:rPr>
      <w:i/>
      <w:sz w:val="20"/>
    </w:rPr>
  </w:style>
  <w:style w:type="character" w:styleId="1376" w:customStyle="1">
    <w:name w:val="UserStyle_53"/>
    <w:uiPriority w:val="0"/>
    <w:qFormat/>
    <w:rPr>
      <w:sz w:val="20"/>
    </w:rPr>
  </w:style>
  <w:style w:type="character" w:styleId="1377" w:customStyle="1">
    <w:name w:val="UserStyle_2"/>
    <w:uiPriority w:val="0"/>
    <w:qFormat/>
    <w:rPr>
      <w:sz w:val="20"/>
    </w:rPr>
  </w:style>
  <w:style w:type="character" w:styleId="1378" w:customStyle="1">
    <w:name w:val="UserStyle_58"/>
    <w:uiPriority w:val="0"/>
    <w:qFormat/>
    <w:rPr>
      <w:sz w:val="20"/>
    </w:rPr>
  </w:style>
  <w:style w:type="character" w:styleId="1379" w:customStyle="1">
    <w:name w:val="UserStyle_60"/>
    <w:uiPriority w:val="0"/>
    <w:qFormat/>
    <w:rPr>
      <w:sz w:val="20"/>
    </w:rPr>
  </w:style>
  <w:style w:type="character" w:styleId="1380" w:customStyle="1">
    <w:name w:val="UserStyle_54"/>
    <w:uiPriority w:val="0"/>
    <w:qFormat/>
    <w:rPr>
      <w:b/>
      <w:sz w:val="20"/>
    </w:rPr>
  </w:style>
  <w:style w:type="character" w:styleId="1381" w:customStyle="1">
    <w:name w:val="UserStyle_16"/>
    <w:uiPriority w:val="0"/>
    <w:qFormat/>
    <w:rPr>
      <w:sz w:val="20"/>
    </w:rPr>
  </w:style>
  <w:style w:type="character" w:styleId="1382" w:customStyle="1">
    <w:name w:val="UserStyle_59"/>
    <w:uiPriority w:val="0"/>
    <w:qFormat/>
    <w:rPr>
      <w:b/>
      <w:sz w:val="20"/>
    </w:rPr>
  </w:style>
  <w:style w:type="character" w:styleId="1383" w:customStyle="1">
    <w:name w:val="UserStyle_20"/>
    <w:uiPriority w:val="0"/>
    <w:semiHidden/>
    <w:qFormat/>
    <w:rPr>
      <w:sz w:val="20"/>
    </w:rPr>
  </w:style>
  <w:style w:type="character" w:styleId="1384" w:customStyle="1">
    <w:name w:val="UserStyle_31"/>
    <w:uiPriority w:val="0"/>
    <w:qFormat/>
    <w:rPr>
      <w:b/>
      <w:sz w:val="20"/>
    </w:rPr>
  </w:style>
  <w:style w:type="character" w:styleId="1385" w:customStyle="1">
    <w:name w:val="AnnotationReference"/>
    <w:uiPriority w:val="0"/>
    <w:qFormat/>
    <w:rPr>
      <w:sz w:val="20"/>
    </w:rPr>
  </w:style>
  <w:style w:type="character" w:styleId="1386" w:customStyle="1">
    <w:name w:val="UserStyle_12"/>
    <w:uiPriority w:val="0"/>
    <w:qFormat/>
    <w:rPr>
      <w:sz w:val="20"/>
    </w:rPr>
  </w:style>
  <w:style w:type="character" w:styleId="1387" w:customStyle="1">
    <w:name w:val="261"/>
    <w:uiPriority w:val="0"/>
    <w:qFormat/>
    <w:rPr>
      <w:i/>
      <w:color w:val="000000"/>
      <w:sz w:val="21"/>
    </w:rPr>
  </w:style>
  <w:style w:type="character" w:styleId="1388" w:customStyle="1">
    <w:name w:val="UserStyle_41"/>
    <w:link w:val="1263"/>
    <w:uiPriority w:val="0"/>
    <w:qFormat/>
    <w:rPr>
      <w:sz w:val="20"/>
    </w:rPr>
  </w:style>
  <w:style w:type="paragraph" w:styleId="1389">
    <w:name w:val="List Paragraph"/>
    <w:basedOn w:val="1263"/>
    <w:uiPriority w:val="0"/>
    <w:qFormat/>
    <w:pPr>
      <w:ind w:left="533" w:firstLine="600"/>
      <w:jc w:val="left"/>
      <w:spacing w:before="136"/>
      <w:widowControl w:val="off"/>
    </w:pPr>
    <w:rPr>
      <w:rFonts w:ascii="仿宋" w:hAnsi="仿宋" w:eastAsia="仿宋"/>
      <w:sz w:val="22"/>
      <w:szCs w:val="22"/>
    </w:rPr>
  </w:style>
  <w:style w:type="paragraph" w:styleId="1390" w:customStyle="1">
    <w:name w:val="179"/>
    <w:basedOn w:val="1263"/>
    <w:uiPriority w:val="0"/>
    <w:qFormat/>
    <w:pPr>
      <w:ind w:firstLine="420"/>
    </w:pPr>
    <w:rPr>
      <w:sz w:val="21"/>
      <w:szCs w:val="22"/>
    </w:rPr>
  </w:style>
  <w:style w:type="paragraph" w:styleId="1391" w:customStyle="1">
    <w:name w:val="列出段落1"/>
    <w:basedOn w:val="1263"/>
    <w:uiPriority w:val="0"/>
    <w:qFormat/>
    <w:pPr>
      <w:ind w:firstLine="420"/>
      <w:widowControl w:val="off"/>
    </w:pPr>
    <w:rPr>
      <w:sz w:val="21"/>
      <w:szCs w:val="24"/>
    </w:rPr>
  </w:style>
  <w:style w:type="paragraph" w:styleId="1392"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393" w:customStyle="1">
    <w:name w:val="UserStyle_77"/>
    <w:basedOn w:val="1263"/>
    <w:uiPriority w:val="0"/>
    <w:qFormat/>
    <w:pPr>
      <w:ind w:firstLine="420"/>
      <w:spacing w:line="520" w:lineRule="exact"/>
    </w:pPr>
    <w:rPr>
      <w:color w:val="000000"/>
      <w:sz w:val="24"/>
      <w:szCs w:val="24"/>
    </w:rPr>
  </w:style>
  <w:style w:type="paragraph" w:styleId="1394"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395" w:customStyle="1">
    <w:name w:val="HtmlNormal"/>
    <w:basedOn w:val="1263"/>
    <w:uiPriority w:val="0"/>
    <w:qFormat/>
    <w:rPr>
      <w:sz w:val="24"/>
      <w:szCs w:val="24"/>
    </w:rPr>
  </w:style>
  <w:style w:type="paragraph" w:styleId="1396" w:customStyle="1">
    <w:name w:val="Table Paragraph"/>
    <w:basedOn w:val="1263"/>
    <w:uiPriority w:val="0"/>
    <w:qFormat/>
    <w:pPr>
      <w:jc w:val="left"/>
      <w:widowControl w:val="off"/>
    </w:pPr>
    <w:rPr>
      <w:rFonts w:ascii="仿宋" w:hAnsi="仿宋" w:eastAsia="仿宋"/>
      <w:sz w:val="22"/>
      <w:szCs w:val="22"/>
    </w:rPr>
  </w:style>
  <w:style w:type="paragraph" w:styleId="1397" w:customStyle="1">
    <w:name w:val="BlockQuote"/>
    <w:basedOn w:val="1263"/>
    <w:uiPriority w:val="0"/>
    <w:qFormat/>
    <w:pPr>
      <w:ind w:left="256" w:right="6" w:firstLine="624"/>
    </w:pPr>
    <w:rPr>
      <w:rFonts w:eastAsia="仿宋_GB2312"/>
      <w:sz w:val="28"/>
    </w:rPr>
  </w:style>
  <w:style w:type="table" w:styleId="1398" w:customStyle="1">
    <w:name w:val="TableNormal"/>
    <w:uiPriority w:val="0"/>
    <w:semiHidden/>
    <w:qFormat/>
    <w:tblPr>
      <w:tblCellMar>
        <w:left w:w="0" w:type="dxa"/>
        <w:top w:w="0" w:type="dxa"/>
        <w:right w:w="0" w:type="dxa"/>
        <w:bottom w:w="0" w:type="dxa"/>
      </w:tblCellMar>
    </w:tblPr>
  </w:style>
  <w:style w:type="paragraph" w:styleId="1399" w:customStyle="1">
    <w:name w:val="TOC 标题2"/>
    <w:basedOn w:val="1271"/>
    <w:next w:val="1263"/>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40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401" w:customStyle="1">
    <w:name w:val="小标题 1"/>
    <w:basedOn w:val="1263"/>
    <w:uiPriority w:val="0"/>
    <w:qFormat/>
    <w:pPr>
      <w:spacing w:line="360" w:lineRule="atLeast"/>
      <w:widowControl w:val="off"/>
    </w:pPr>
    <w:rPr>
      <w:rFonts w:ascii="文鼎粗黑" w:eastAsia="文鼎粗黑"/>
      <w:sz w:val="22"/>
    </w:rPr>
  </w:style>
  <w:style w:type="paragraph" w:styleId="1402" w:customStyle="1">
    <w:name w:val="文档正文"/>
    <w:basedOn w:val="1263"/>
    <w:uiPriority w:val="0"/>
    <w:qFormat/>
    <w:pPr>
      <w:ind w:firstLine="567"/>
      <w:spacing w:line="312" w:lineRule="atLeast"/>
      <w:widowControl w:val="off"/>
    </w:pPr>
    <w:rPr>
      <w:rFonts w:ascii="长城仿宋" w:eastAsia="长城仿宋"/>
      <w:sz w:val="28"/>
    </w:rPr>
  </w:style>
  <w:style w:type="paragraph" w:styleId="1403" w:customStyle="1">
    <w:name w:val="[Normal]"/>
    <w:uiPriority w:val="0"/>
    <w:qFormat/>
    <w:rPr>
      <w:rFonts w:ascii="方正仿宋简体" w:hAnsi="方正仿宋简体" w:eastAsia="方正仿宋简体" w:cs="Times New Roman"/>
      <w:sz w:val="24"/>
      <w:szCs w:val="22"/>
      <w:lang w:val="zh-CN" w:eastAsia="zh-CN" w:bidi="ar-SA"/>
    </w:rPr>
  </w:style>
  <w:style w:type="paragraph" w:styleId="1404" w:customStyle="1">
    <w:name w:val="Body text|1"/>
    <w:basedOn w:val="1263"/>
    <w:uiPriority w:val="0"/>
    <w:qFormat/>
    <w:pPr>
      <w:ind w:firstLine="360"/>
      <w:spacing w:line="425" w:lineRule="auto"/>
      <w:widowControl w:val="off"/>
    </w:pPr>
    <w:rPr>
      <w:rFonts w:ascii="宋体" w:hAnsi="宋体"/>
      <w:sz w:val="18"/>
      <w:szCs w:val="18"/>
      <w:lang w:val="zh-TW" w:eastAsia="zh-TW" w:bidi="zh-TW"/>
    </w:rPr>
  </w:style>
  <w:style w:type="character" w:styleId="1405" w:customStyle="1">
    <w:name w:val="未处理的提及1"/>
    <w:uiPriority w:val="99"/>
    <w:semiHidden/>
    <w:unhideWhenUsed/>
    <w:qFormat/>
    <w:rPr>
      <w:color w:val="605e5c"/>
      <w:shd w:val="clear" w:color="auto" w:fill="e1dfdd"/>
    </w:rPr>
  </w:style>
  <w:style w:type="character" w:styleId="1406" w:customStyle="1">
    <w:name w:val="批注主题 字符"/>
    <w:link w:val="1077"/>
    <w:uiPriority w:val="0"/>
    <w:qFormat/>
    <w:rPr>
      <w:b/>
      <w:bCs/>
      <w:sz w:val="21"/>
      <w:szCs w:val="24"/>
    </w:rPr>
  </w:style>
  <w:style w:type="character" w:styleId="1407" w:customStyle="1">
    <w:name w:val="批注文字 字符"/>
    <w:link w:val="1056"/>
    <w:uiPriority w:val="99"/>
    <w:semiHidden/>
    <w:qFormat/>
    <w:rPr>
      <w:rFonts w:ascii="Calibri" w:hAnsi="Calibri"/>
      <w:sz w:val="21"/>
      <w:szCs w:val="21"/>
    </w:rPr>
  </w:style>
  <w:style w:type="character" w:styleId="1408" w:customStyle="1">
    <w:name w:val="批注主题 字符1"/>
    <w:uiPriority w:val="99"/>
    <w:semiHidden/>
    <w:qFormat/>
    <w:rPr>
      <w:rFonts w:ascii="Calibri" w:hAnsi="Calibri"/>
      <w:b/>
      <w:bCs/>
      <w:sz w:val="21"/>
      <w:szCs w:val="21"/>
    </w:rPr>
  </w:style>
  <w:style w:type="character" w:styleId="1409" w:customStyle="1">
    <w:name w:val="正文文本 字符"/>
    <w:basedOn w:val="1050"/>
    <w:link w:val="1057"/>
    <w:uiPriority w:val="0"/>
    <w:qFormat/>
  </w:style>
  <w:style w:type="character" w:styleId="1410" w:customStyle="1">
    <w:name w:val="批注框文本 字符"/>
    <w:link w:val="1064"/>
    <w:uiPriority w:val="99"/>
    <w:semiHidden/>
    <w:qFormat/>
    <w:rPr>
      <w:rFonts w:ascii="Calibri" w:hAnsi="Calibri"/>
      <w:sz w:val="18"/>
      <w:szCs w:val="18"/>
    </w:rPr>
  </w:style>
  <w:style w:type="paragraph" w:styleId="1411" w:customStyle="1">
    <w:name w:val="标题 212"/>
    <w:basedOn w:val="1089"/>
    <w:next w:val="1089"/>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412" w:customStyle="1">
    <w:name w:val="正文文本缩进 字符"/>
    <w:link w:val="1058"/>
    <w:uiPriority w:val="0"/>
    <w:qFormat/>
    <w:rPr>
      <w:rFonts w:ascii="Calibri" w:hAnsi="Calibri"/>
      <w:sz w:val="21"/>
      <w:szCs w:val="21"/>
    </w:rPr>
  </w:style>
  <w:style w:type="table" w:styleId="1413"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14"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5"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6"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17" w:customStyle="1">
    <w:name w:val="无格式表格 311"/>
    <w:uiPriority w:val="99"/>
    <w:qFormat/>
    <w:tblPr>
      <w:tblCellMar>
        <w:left w:w="0" w:type="dxa"/>
        <w:top w:w="0" w:type="dxa"/>
        <w:right w:w="0" w:type="dxa"/>
        <w:bottom w:w="0" w:type="dxa"/>
      </w:tblCellMar>
    </w:tblPr>
  </w:style>
  <w:style w:type="table" w:styleId="1418" w:customStyle="1">
    <w:name w:val="无格式表格 411"/>
    <w:uiPriority w:val="99"/>
    <w:qFormat/>
    <w:tblPr>
      <w:tblCellMar>
        <w:left w:w="0" w:type="dxa"/>
        <w:top w:w="0" w:type="dxa"/>
        <w:right w:w="0" w:type="dxa"/>
        <w:bottom w:w="0" w:type="dxa"/>
      </w:tblCellMar>
    </w:tblPr>
  </w:style>
  <w:style w:type="table" w:styleId="1419" w:customStyle="1">
    <w:name w:val="无格式表格 511"/>
    <w:uiPriority w:val="99"/>
    <w:qFormat/>
    <w:tblPr>
      <w:tblCellMar>
        <w:left w:w="0" w:type="dxa"/>
        <w:top w:w="0" w:type="dxa"/>
        <w:right w:w="0" w:type="dxa"/>
        <w:bottom w:w="0" w:type="dxa"/>
      </w:tblCellMar>
    </w:tblPr>
  </w:style>
  <w:style w:type="table" w:styleId="1420"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21"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22"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23"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24"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25"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26"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27"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28"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29"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0"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1"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2"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33"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34"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35"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6"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7"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8"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9"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40"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41"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42"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4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44"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45"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4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47"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48"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4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0"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1"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3"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4"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5"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56"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57"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58"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59"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0"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61"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62"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63"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64"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65"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6"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7"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68"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69" w:customStyle="1">
    <w:name w:val="清单表 1 浅色11"/>
    <w:uiPriority w:val="99"/>
    <w:qFormat/>
    <w:tblPr>
      <w:tblCellMar>
        <w:left w:w="0" w:type="dxa"/>
        <w:top w:w="0" w:type="dxa"/>
        <w:right w:w="0" w:type="dxa"/>
        <w:bottom w:w="0" w:type="dxa"/>
      </w:tblCellMar>
    </w:tblPr>
  </w:style>
  <w:style w:type="table" w:styleId="1470" w:customStyle="1">
    <w:name w:val="List Table 1 Light - Accent 11"/>
    <w:uiPriority w:val="99"/>
    <w:qFormat/>
    <w:tblPr>
      <w:tblCellMar>
        <w:left w:w="0" w:type="dxa"/>
        <w:top w:w="0" w:type="dxa"/>
        <w:right w:w="0" w:type="dxa"/>
        <w:bottom w:w="0" w:type="dxa"/>
      </w:tblCellMar>
    </w:tblPr>
  </w:style>
  <w:style w:type="table" w:styleId="1471" w:customStyle="1">
    <w:name w:val="List Table 1 Light - Accent 21"/>
    <w:uiPriority w:val="99"/>
    <w:qFormat/>
    <w:tblPr>
      <w:tblCellMar>
        <w:left w:w="0" w:type="dxa"/>
        <w:top w:w="0" w:type="dxa"/>
        <w:right w:w="0" w:type="dxa"/>
        <w:bottom w:w="0" w:type="dxa"/>
      </w:tblCellMar>
    </w:tblPr>
  </w:style>
  <w:style w:type="table" w:styleId="1472" w:customStyle="1">
    <w:name w:val="List Table 1 Light - Accent 31"/>
    <w:uiPriority w:val="99"/>
    <w:qFormat/>
    <w:tblPr>
      <w:tblCellMar>
        <w:left w:w="0" w:type="dxa"/>
        <w:top w:w="0" w:type="dxa"/>
        <w:right w:w="0" w:type="dxa"/>
        <w:bottom w:w="0" w:type="dxa"/>
      </w:tblCellMar>
    </w:tblPr>
  </w:style>
  <w:style w:type="table" w:styleId="1473" w:customStyle="1">
    <w:name w:val="List Table 1 Light - Accent 41"/>
    <w:uiPriority w:val="99"/>
    <w:qFormat/>
    <w:tblPr>
      <w:tblCellMar>
        <w:left w:w="0" w:type="dxa"/>
        <w:top w:w="0" w:type="dxa"/>
        <w:right w:w="0" w:type="dxa"/>
        <w:bottom w:w="0" w:type="dxa"/>
      </w:tblCellMar>
    </w:tblPr>
  </w:style>
  <w:style w:type="table" w:styleId="1474" w:customStyle="1">
    <w:name w:val="List Table 1 Light - Accent 51"/>
    <w:uiPriority w:val="99"/>
    <w:qFormat/>
    <w:tblPr>
      <w:tblCellMar>
        <w:left w:w="0" w:type="dxa"/>
        <w:top w:w="0" w:type="dxa"/>
        <w:right w:w="0" w:type="dxa"/>
        <w:bottom w:w="0" w:type="dxa"/>
      </w:tblCellMar>
    </w:tblPr>
  </w:style>
  <w:style w:type="table" w:styleId="1475" w:customStyle="1">
    <w:name w:val="List Table 1 Light - Accent 61"/>
    <w:uiPriority w:val="99"/>
    <w:qFormat/>
    <w:tblPr>
      <w:tblCellMar>
        <w:left w:w="0" w:type="dxa"/>
        <w:top w:w="0" w:type="dxa"/>
        <w:right w:w="0" w:type="dxa"/>
        <w:bottom w:w="0" w:type="dxa"/>
      </w:tblCellMar>
    </w:tblPr>
  </w:style>
  <w:style w:type="table" w:styleId="1476"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77"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78"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79"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80"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81"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82"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83"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8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8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8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8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8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8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90"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91"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92"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93"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94"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95"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96"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97"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98"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99"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00"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01"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02"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03"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04"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05"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06"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07"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08"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09"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10"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511"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512"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513"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514"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515"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516"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517"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518" w:customStyle="1">
    <w:name w:val="Lined - Accent 11"/>
    <w:uiPriority w:val="99"/>
    <w:qFormat/>
    <w:rPr>
      <w:color w:val="404040"/>
    </w:rPr>
    <w:tblPr>
      <w:tblCellMar>
        <w:left w:w="0" w:type="dxa"/>
        <w:top w:w="0" w:type="dxa"/>
        <w:right w:w="0" w:type="dxa"/>
        <w:bottom w:w="0" w:type="dxa"/>
      </w:tblCellMar>
    </w:tblPr>
  </w:style>
  <w:style w:type="table" w:styleId="1519" w:customStyle="1">
    <w:name w:val="Lined - Accent 21"/>
    <w:uiPriority w:val="99"/>
    <w:qFormat/>
    <w:rPr>
      <w:color w:val="404040"/>
    </w:rPr>
    <w:tblPr>
      <w:tblCellMar>
        <w:left w:w="0" w:type="dxa"/>
        <w:top w:w="0" w:type="dxa"/>
        <w:right w:w="0" w:type="dxa"/>
        <w:bottom w:w="0" w:type="dxa"/>
      </w:tblCellMar>
    </w:tblPr>
  </w:style>
  <w:style w:type="table" w:styleId="1520" w:customStyle="1">
    <w:name w:val="Lined - Accent 31"/>
    <w:uiPriority w:val="99"/>
    <w:qFormat/>
    <w:rPr>
      <w:color w:val="404040"/>
    </w:rPr>
    <w:tblPr>
      <w:tblCellMar>
        <w:left w:w="0" w:type="dxa"/>
        <w:top w:w="0" w:type="dxa"/>
        <w:right w:w="0" w:type="dxa"/>
        <w:bottom w:w="0" w:type="dxa"/>
      </w:tblCellMar>
    </w:tblPr>
  </w:style>
  <w:style w:type="table" w:styleId="1521" w:customStyle="1">
    <w:name w:val="Lined - Accent 41"/>
    <w:uiPriority w:val="99"/>
    <w:qFormat/>
    <w:rPr>
      <w:color w:val="404040"/>
    </w:rPr>
    <w:tblPr>
      <w:tblCellMar>
        <w:left w:w="0" w:type="dxa"/>
        <w:top w:w="0" w:type="dxa"/>
        <w:right w:w="0" w:type="dxa"/>
        <w:bottom w:w="0" w:type="dxa"/>
      </w:tblCellMar>
    </w:tblPr>
  </w:style>
  <w:style w:type="table" w:styleId="1522" w:customStyle="1">
    <w:name w:val="Lined - Accent 51"/>
    <w:uiPriority w:val="99"/>
    <w:qFormat/>
    <w:rPr>
      <w:color w:val="404040"/>
    </w:rPr>
    <w:tblPr>
      <w:tblCellMar>
        <w:left w:w="0" w:type="dxa"/>
        <w:top w:w="0" w:type="dxa"/>
        <w:right w:w="0" w:type="dxa"/>
        <w:bottom w:w="0" w:type="dxa"/>
      </w:tblCellMar>
    </w:tblPr>
  </w:style>
  <w:style w:type="table" w:styleId="1523" w:customStyle="1">
    <w:name w:val="Lined - Accent 61"/>
    <w:uiPriority w:val="99"/>
    <w:qFormat/>
    <w:rPr>
      <w:color w:val="404040"/>
    </w:rPr>
    <w:tblPr>
      <w:tblCellMar>
        <w:left w:w="0" w:type="dxa"/>
        <w:top w:w="0" w:type="dxa"/>
        <w:right w:w="0" w:type="dxa"/>
        <w:bottom w:w="0" w:type="dxa"/>
      </w:tblCellMar>
    </w:tblPr>
  </w:style>
  <w:style w:type="table" w:styleId="1524"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25"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26"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27"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28"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29"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30"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31"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32"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33"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34"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35"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36"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37" w:customStyle="1">
    <w:name w:val="普通表格11"/>
    <w:uiPriority w:val="0"/>
    <w:qFormat/>
    <w:tblPr>
      <w:tblCellMar>
        <w:left w:w="0" w:type="dxa"/>
        <w:top w:w="0" w:type="dxa"/>
        <w:right w:w="0" w:type="dxa"/>
        <w:bottom w:w="0" w:type="dxa"/>
      </w:tblCellMar>
    </w:tblPr>
  </w:style>
  <w:style w:type="table" w:styleId="1538" w:customStyle="1">
    <w:name w:val="网格型11"/>
    <w:basedOn w:val="1275"/>
    <w:uiPriority w:val="0"/>
    <w:qFormat/>
    <w:pPr>
      <w:jc w:val="both"/>
      <w:widowControl w:val="off"/>
    </w:pPr>
    <w:tblPr/>
  </w:style>
  <w:style w:type="paragraph" w:styleId="1539" w:customStyle="1">
    <w:name w:val="列出段落2"/>
    <w:basedOn w:val="1263"/>
    <w:uiPriority w:val="0"/>
    <w:qFormat/>
    <w:pPr>
      <w:ind w:firstLine="420"/>
      <w:widowControl w:val="off"/>
    </w:pPr>
    <w:rPr>
      <w:sz w:val="21"/>
      <w:szCs w:val="24"/>
    </w:rPr>
  </w:style>
  <w:style w:type="table" w:styleId="1540" w:customStyle="1">
    <w:name w:val="TableNormal1"/>
    <w:uiPriority w:val="0"/>
    <w:semiHidden/>
    <w:qFormat/>
    <w:tblPr>
      <w:tblCellMar>
        <w:left w:w="0" w:type="dxa"/>
        <w:top w:w="0" w:type="dxa"/>
        <w:right w:w="0" w:type="dxa"/>
        <w:bottom w:w="0" w:type="dxa"/>
      </w:tblCellMar>
    </w:tblPr>
  </w:style>
  <w:style w:type="paragraph" w:styleId="1541" w:customStyle="1">
    <w:name w:val="_Style 11"/>
    <w:uiPriority w:val="1"/>
    <w:qFormat/>
    <w:pPr>
      <w:jc w:val="both"/>
      <w:widowControl w:val="off"/>
    </w:pPr>
    <w:rPr>
      <w:rFonts w:ascii="宋体" w:hAnsi="宋体" w:eastAsia="宋体" w:cs="宋体"/>
      <w:sz w:val="21"/>
      <w:szCs w:val="22"/>
      <w:lang w:val="en-US" w:eastAsia="zh-CN" w:bidi="ar-SA"/>
    </w:rPr>
  </w:style>
  <w:style w:type="paragraph" w:styleId="1542" w:customStyle="1">
    <w:name w:val="Table Text"/>
    <w:uiPriority w:val="0"/>
    <w:unhideWhenUsed/>
    <w:qFormat/>
    <w:pPr>
      <w:spacing w:before="80" w:after="80"/>
    </w:pPr>
    <w:rPr>
      <w:rFonts w:ascii="Times New Roman" w:hAnsi="Arial" w:eastAsia="Times New Roman" w:cs="Times New Roman"/>
      <w:sz w:val="18"/>
      <w:szCs w:val="18"/>
      <w:lang w:val="en-US" w:eastAsia="zh-CN" w:bidi="ar-SA"/>
    </w:rPr>
  </w:style>
  <w:style w:type="paragraph" w:styleId="1543" w:customStyle="1">
    <w:name w:val="标题1"/>
    <w:next w:val="1544"/>
    <w:uiPriority w:val="10"/>
    <w:qFormat/>
    <w:pPr>
      <w:contextualSpacing/>
      <w:spacing w:before="300"/>
    </w:pPr>
    <w:rPr>
      <w:rFonts w:ascii="Times New Roman" w:hAnsi="Times New Roman" w:eastAsia="宋体" w:cs="Times New Roman"/>
      <w:sz w:val="48"/>
      <w:szCs w:val="48"/>
      <w:lang w:val="en-US" w:eastAsia="zh-CN" w:bidi="ar-SA"/>
    </w:rPr>
  </w:style>
  <w:style w:type="paragraph" w:styleId="1544" w:customStyle="1">
    <w:name w:val="纯文本1"/>
    <w:uiPriority w:val="0"/>
    <w:qFormat/>
    <w:rPr>
      <w:rFonts w:ascii="宋体" w:hAnsi="Courier New" w:eastAsia="宋体" w:cs="Times New Roman"/>
      <w:sz w:val="21"/>
      <w:szCs w:val="21"/>
      <w:lang w:val="en-US" w:eastAsia="zh-CN" w:bidi="ar-SA"/>
    </w:rPr>
  </w:style>
  <w:style w:type="paragraph" w:styleId="1545" w:customStyle="1">
    <w:name w:val="列出段落11"/>
    <w:uiPriority w:val="0"/>
    <w:qFormat/>
    <w:pPr>
      <w:ind w:firstLine="420"/>
      <w:jc w:val="both"/>
      <w:widowControl w:val="off"/>
    </w:pPr>
    <w:rPr>
      <w:rFonts w:ascii="Times New Roman" w:hAnsi="Times New Roman" w:eastAsia="宋体" w:cs="Times New Roman"/>
      <w:sz w:val="21"/>
      <w:szCs w:val="24"/>
      <w:lang w:val="en-US" w:eastAsia="zh-CN" w:bidi="ar-SA"/>
    </w:rPr>
  </w:style>
  <w:style w:type="numbering" w:styleId="15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28" Type="http://schemas.openxmlformats.org/officeDocument/2006/relationships/customXml" Target="../customXml/item4.xml" /><Relationship Id="rId2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李旺旺</cp:lastModifiedBy>
  <cp:revision>39</cp:revision>
  <dcterms:created xsi:type="dcterms:W3CDTF">2022-12-08T06:37:00Z</dcterms:created>
  <dcterms:modified xsi:type="dcterms:W3CDTF">2026-06-02T02:08:16Z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AE50C18B3AE74DD982185696DB07C7F0_13</vt:lpwstr>
  </property>
  <property fmtid="{D5CDD505-2E9C-101B-9397-08002B2CF9AE}" pid="4" name="KSOTemplateDocerSaveRecord">
    <vt:lpwstr>eyJoZGlkIjoiYmQzZjE3NmJiMGI4ZDVkZDZmY2Q1MjczMmVhMjc4NGEiLCJ1c2VySWQiOiI1Mjk5MjUwODcifQ==</vt:lpwstr>
  </property>
</Properties>
</file>