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default" w:ascii="Times New Roman" w:hAnsi="Times New Roman" w:eastAsia="宋体"/>
          <w:b/>
          <w:color w:val="auto"/>
          <w:sz w:val="32"/>
          <w:szCs w:val="32"/>
          <w:highlight w:val="none"/>
          <w:lang w:val="en-US" w:eastAsia="zh-CN"/>
        </w:rPr>
      </w:pPr>
      <w:r>
        <w:rPr>
          <w:rFonts w:hint="default" w:ascii="Times New Roman" w:hAnsi="Times New Roman" w:eastAsia="宋体"/>
          <w:b/>
          <w:color w:val="auto"/>
          <w:sz w:val="32"/>
          <w:szCs w:val="32"/>
          <w:highlight w:val="none"/>
          <w:lang w:val="en-US" w:eastAsia="zh-CN"/>
        </w:rPr>
      </w:r>
      <w:r/>
    </w:p>
    <w:p>
      <w:pPr>
        <w:jc w:val="center"/>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spacing w:before="120" w:after="120"/>
        <w:rPr>
          <w:rFonts w:ascii="微软雅黑" w:hAnsi="Arial" w:eastAsia="微软雅黑"/>
          <w:bCs/>
          <w:color w:val="auto"/>
          <w:sz w:val="52"/>
          <w:szCs w:val="52"/>
          <w:highlight w:val="none"/>
        </w:rPr>
      </w:pPr>
      <w:r>
        <w:rPr>
          <w:rFonts w:hint="eastAsia" w:ascii="微软雅黑" w:hAnsi="Arial" w:eastAsia="微软雅黑"/>
          <w:bCs/>
          <w:color w:val="auto"/>
          <w:sz w:val="52"/>
          <w:szCs w:val="52"/>
          <w:highlight w:val="none"/>
        </w:rPr>
        <w:t xml:space="preserve">如皋市政府采购竞争性磋商文件</w:t>
      </w:r>
      <w:r/>
    </w:p>
    <w:p>
      <w:pPr>
        <w:jc w:val="center"/>
        <w:spacing w:before="120" w:after="120"/>
        <w:rPr>
          <w:rFonts w:hint="eastAsia" w:ascii="微软雅黑" w:hAnsi="Arial" w:eastAsia="微软雅黑"/>
          <w:bCs/>
          <w:color w:val="auto"/>
          <w:sz w:val="44"/>
          <w:szCs w:val="44"/>
          <w:highlight w:val="none"/>
          <w:lang w:eastAsia="zh-CN"/>
        </w:rPr>
      </w:pPr>
      <w:r>
        <w:rPr>
          <w:rFonts w:hint="eastAsia" w:ascii="微软雅黑" w:hAnsi="Arial" w:eastAsia="微软雅黑"/>
          <w:bCs/>
          <w:color w:val="auto"/>
          <w:sz w:val="44"/>
          <w:szCs w:val="44"/>
          <w:highlight w:val="none"/>
          <w:lang w:eastAsia="zh-CN"/>
        </w:rPr>
        <w:t xml:space="preserve">（</w:t>
      </w:r>
      <w:r>
        <w:rPr>
          <w:rFonts w:hint="eastAsia" w:ascii="微软雅黑" w:hAnsi="Arial" w:eastAsia="微软雅黑"/>
          <w:bCs/>
          <w:color w:val="auto"/>
          <w:sz w:val="44"/>
          <w:szCs w:val="44"/>
          <w:highlight w:val="none"/>
          <w:lang w:val="en-US" w:eastAsia="zh-CN"/>
        </w:rPr>
        <w:t xml:space="preserve">二次</w:t>
      </w:r>
      <w:r>
        <w:rPr>
          <w:rFonts w:hint="eastAsia" w:ascii="微软雅黑" w:hAnsi="Arial" w:eastAsia="微软雅黑"/>
          <w:bCs/>
          <w:color w:val="auto"/>
          <w:sz w:val="44"/>
          <w:szCs w:val="44"/>
          <w:highlight w:val="none"/>
          <w:lang w:eastAsia="zh-CN"/>
        </w:rPr>
        <w:t xml:space="preserve">）</w:t>
      </w:r>
      <w:r/>
    </w:p>
    <w:p>
      <w:pPr>
        <w:jc w:val="center"/>
        <w:spacing w:before="120" w:after="120"/>
        <w:rPr>
          <w:rFonts w:ascii="微软雅黑" w:hAnsi="Arial" w:eastAsia="微软雅黑"/>
          <w:bCs/>
          <w:color w:val="auto"/>
          <w:sz w:val="44"/>
          <w:szCs w:val="44"/>
          <w:highlight w:val="none"/>
        </w:rPr>
      </w:pPr>
      <w:r>
        <w:rPr>
          <w:rFonts w:ascii="微软雅黑" w:hAnsi="Arial" w:eastAsia="微软雅黑"/>
          <w:bCs/>
          <w:color w:val="auto"/>
          <w:sz w:val="44"/>
          <w:szCs w:val="44"/>
          <w:highlight w:val="none"/>
        </w:rPr>
      </w:r>
      <w:r/>
    </w:p>
    <w:p>
      <w:pPr>
        <w:ind w:firstLine="480"/>
        <w:jc w:val="center"/>
        <w:spacing w:before="120" w:after="120"/>
        <w:rPr>
          <w:rFonts w:ascii="Arial" w:hAnsi="Arial"/>
          <w:b/>
          <w:bCs/>
          <w:color w:val="auto"/>
          <w:sz w:val="32"/>
          <w:highlight w:val="none"/>
          <w:u w:val="single"/>
        </w:rPr>
      </w:pPr>
      <w:r>
        <w:rPr>
          <w:rFonts w:hint="eastAsia" w:ascii="Arial" w:hAnsi="Arial"/>
          <w:b/>
          <w:bCs/>
          <w:color w:val="auto"/>
          <w:sz w:val="32"/>
          <w:highlight w:val="none"/>
        </w:rPr>
        <w:t xml:space="preserve">       </w:t>
      </w:r>
      <w:r>
        <w:rPr>
          <w:rFonts w:ascii="Arial" w:hAnsi="Arial"/>
          <w:b/>
          <w:bCs/>
          <w:color w:val="auto"/>
          <w:sz w:val="32"/>
          <w:highlight w:val="none"/>
        </w:rPr>
        <w:t xml:space="preserve">项目名称：</w:t>
      </w:r>
      <w:r>
        <w:rPr>
          <w:rFonts w:hint="eastAsia" w:ascii="Arial" w:hAnsi="Arial"/>
          <w:b/>
          <w:bCs/>
          <w:color w:val="auto"/>
          <w:sz w:val="32"/>
          <w:highlight w:val="none"/>
        </w:rPr>
        <w:t xml:space="preserve">如皋港化工新材料产业园远程探测在线监测预警系统采购项目</w:t>
      </w:r>
      <w:r/>
    </w:p>
    <w:p>
      <w:pPr>
        <w:ind w:firstLine="480"/>
        <w:jc w:val="center"/>
        <w:spacing w:before="120" w:after="120"/>
        <w:rPr>
          <w:rFonts w:hint="eastAsia" w:ascii="宋体" w:hAnsi="宋体" w:eastAsia="宋体" w:cs="宋体"/>
          <w:b/>
          <w:bCs/>
          <w:color w:val="auto"/>
          <w:sz w:val="32"/>
          <w:highlight w:val="none"/>
          <w:u w:val="single"/>
          <w:lang w:eastAsia="zh-CN"/>
        </w:rPr>
      </w:pPr>
      <w:r>
        <w:rPr>
          <w:rFonts w:hint="eastAsia" w:ascii="宋体" w:hAnsi="宋体" w:eastAsia="宋体" w:cs="宋体"/>
          <w:b/>
          <w:bCs/>
          <w:color w:val="auto"/>
          <w:sz w:val="32"/>
          <w:highlight w:val="none"/>
        </w:rPr>
        <w:t xml:space="preserve">项目编号：</w:t>
      </w:r>
      <w:r>
        <w:rPr>
          <w:rFonts w:hint="eastAsia" w:ascii="宋体" w:hAnsi="宋体" w:cs="宋体"/>
          <w:b/>
          <w:bCs/>
          <w:color w:val="auto"/>
          <w:sz w:val="32"/>
          <w:highlight w:val="none"/>
          <w:lang w:eastAsia="zh-CN"/>
        </w:rPr>
        <w:t xml:space="preserve">JSZC-320682-JSHS-C2026-0017</w:t>
      </w:r>
      <w:r/>
    </w:p>
    <w:p>
      <w:pPr>
        <w:jc w:val="center"/>
        <w:spacing w:before="120" w:after="120"/>
        <w:rPr>
          <w:rFonts w:ascii="Arial" w:hAnsi="Arial"/>
          <w:b/>
          <w:bCs/>
          <w:color w:val="auto"/>
          <w:sz w:val="32"/>
          <w:highlight w:val="none"/>
        </w:rPr>
      </w:pPr>
      <w:r>
        <w:rPr>
          <w:rFonts w:ascii="Arial" w:hAnsi="Arial"/>
          <w:b/>
          <w:bCs/>
          <w:color w:val="auto"/>
          <w:sz w:val="32"/>
          <w:highlight w:val="none"/>
        </w:rPr>
      </w:r>
      <w:r/>
    </w:p>
    <w:p>
      <w:pPr>
        <w:jc w:val="center"/>
        <w:spacing w:before="120" w:after="120"/>
        <w:rPr>
          <w:rFonts w:ascii="Arial" w:hAnsi="Arial"/>
          <w:b/>
          <w:bCs/>
          <w:color w:val="auto"/>
          <w:sz w:val="32"/>
          <w:highlight w:val="none"/>
        </w:rPr>
      </w:pPr>
      <w:r>
        <w:rPr>
          <w:rFonts w:ascii="Arial" w:hAnsi="Arial"/>
          <w:b/>
          <w:bCs/>
          <w:color w:val="auto"/>
          <w:sz w:val="32"/>
          <w:highlight w:val="none"/>
        </w:rPr>
      </w:r>
      <w:r/>
    </w:p>
    <w:p>
      <w:pPr>
        <w:jc w:val="center"/>
        <w:spacing w:before="120" w:after="120"/>
        <w:rPr>
          <w:rFonts w:ascii="Arial" w:hAnsi="Arial"/>
          <w:b/>
          <w:bCs/>
          <w:color w:val="auto"/>
          <w:sz w:val="32"/>
          <w:highlight w:val="none"/>
        </w:rPr>
      </w:pPr>
      <w:r/>
      <w:bookmarkStart w:id="84" w:name="_GoBack"/>
      <w:r/>
      <w:bookmarkEnd w:id="84"/>
      <w:r/>
      <w:r/>
    </w:p>
    <w:p>
      <w:pPr>
        <w:jc w:val="center"/>
        <w:spacing w:before="120" w:after="120"/>
        <w:rPr>
          <w:rFonts w:ascii="Arial" w:hAnsi="Arial"/>
          <w:b/>
          <w:bCs/>
          <w:color w:val="auto"/>
          <w:sz w:val="32"/>
          <w:highlight w:val="none"/>
        </w:rPr>
      </w:pPr>
      <w:r>
        <w:rPr>
          <w:rFonts w:ascii="Arial" w:hAnsi="Arial"/>
          <w:b/>
          <w:bCs/>
          <w:color w:val="auto"/>
          <w:sz w:val="32"/>
          <w:highlight w:val="none"/>
        </w:rPr>
      </w:r>
      <w:r/>
    </w:p>
    <w:p>
      <w:pPr>
        <w:jc w:val="center"/>
        <w:spacing w:before="120" w:after="120"/>
        <w:rPr>
          <w:rFonts w:ascii="Arial" w:hAnsi="Arial"/>
          <w:b/>
          <w:bCs/>
          <w:color w:val="auto"/>
          <w:sz w:val="32"/>
          <w:highlight w:val="none"/>
        </w:rPr>
      </w:pPr>
      <w:r>
        <w:rPr>
          <w:rFonts w:ascii="Arial" w:hAnsi="Arial"/>
          <w:b/>
          <w:bCs/>
          <w:color w:val="auto"/>
          <w:sz w:val="32"/>
          <w:highlight w:val="none"/>
        </w:rPr>
      </w:r>
      <w:r/>
    </w:p>
    <w:p>
      <w:pPr>
        <w:spacing w:before="120" w:after="120"/>
        <w:rPr>
          <w:rFonts w:ascii="Arial" w:hAnsi="Arial"/>
          <w:b/>
          <w:bCs/>
          <w:color w:val="auto"/>
          <w:sz w:val="32"/>
          <w:highlight w:val="none"/>
        </w:rPr>
      </w:pPr>
      <w:r>
        <w:rPr>
          <w:rFonts w:ascii="Arial" w:hAnsi="Arial"/>
          <w:b/>
          <w:bCs/>
          <w:color w:val="auto"/>
          <w:sz w:val="32"/>
          <w:highlight w:val="none"/>
        </w:rPr>
      </w:r>
      <w:r/>
    </w:p>
    <w:p>
      <w:pPr>
        <w:jc w:val="center"/>
        <w:spacing w:before="120" w:after="120"/>
        <w:rPr>
          <w:rFonts w:ascii="Arial" w:hAnsi="Arial"/>
          <w:b/>
          <w:bCs/>
          <w:color w:val="auto"/>
          <w:sz w:val="32"/>
          <w:highlight w:val="none"/>
        </w:rPr>
      </w:pPr>
      <w:r>
        <w:rPr>
          <w:rFonts w:ascii="Arial" w:hAnsi="Arial"/>
          <w:b/>
          <w:bCs/>
          <w:color w:val="auto"/>
          <w:sz w:val="32"/>
          <w:highlight w:val="none"/>
        </w:rPr>
      </w:r>
      <w:r/>
    </w:p>
    <w:p>
      <w:pPr>
        <w:jc w:val="center"/>
        <w:spacing w:before="120" w:after="120"/>
        <w:rPr>
          <w:rFonts w:ascii="Arial" w:hAnsi="Arial"/>
          <w:b/>
          <w:bCs/>
          <w:color w:val="auto"/>
          <w:sz w:val="32"/>
          <w:highlight w:val="none"/>
        </w:rPr>
      </w:pPr>
      <w:r>
        <w:rPr>
          <w:rFonts w:ascii="Arial" w:hAnsi="Arial"/>
          <w:b/>
          <w:bCs/>
          <w:color w:val="auto"/>
          <w:sz w:val="32"/>
          <w:highlight w:val="none"/>
        </w:rPr>
      </w:r>
      <w:r/>
    </w:p>
    <w:p>
      <w:pPr>
        <w:ind w:firstLine="851"/>
        <w:jc w:val="left"/>
        <w:spacing w:before="120" w:after="120"/>
        <w:rPr>
          <w:rFonts w:hint="eastAsia" w:ascii="Arial" w:hAnsi="Arial"/>
          <w:b/>
          <w:bCs/>
          <w:color w:val="auto"/>
          <w:sz w:val="32"/>
          <w:highlight w:val="none"/>
          <w:u w:val="single"/>
        </w:rPr>
      </w:pPr>
      <w:r>
        <w:rPr>
          <w:rFonts w:hint="eastAsia" w:ascii="Arial" w:hAnsi="Arial"/>
          <w:b/>
          <w:bCs/>
          <w:color w:val="auto"/>
          <w:sz w:val="32"/>
          <w:highlight w:val="none"/>
        </w:rPr>
        <w:t xml:space="preserve">采购人名称：如皋市长江镇人民政府</w:t>
      </w:r>
      <w:r/>
    </w:p>
    <w:p>
      <w:pPr>
        <w:ind w:firstLine="851"/>
        <w:jc w:val="left"/>
        <w:spacing w:before="120" w:after="120"/>
        <w:rPr>
          <w:rFonts w:hint="eastAsia" w:ascii="Arial" w:hAnsi="Arial"/>
          <w:b/>
          <w:bCs/>
          <w:color w:val="auto"/>
          <w:sz w:val="32"/>
          <w:highlight w:val="none"/>
          <w:u w:val="single"/>
        </w:rPr>
      </w:pPr>
      <w:r>
        <w:rPr>
          <w:rFonts w:hint="eastAsia" w:ascii="Arial" w:hAnsi="Arial"/>
          <w:b/>
          <w:bCs/>
          <w:color w:val="auto"/>
          <w:sz w:val="32"/>
          <w:highlight w:val="none"/>
        </w:rPr>
        <w:t xml:space="preserve">采购代理机构名称：江苏海审工程咨询有限公司</w:t>
      </w:r>
      <w:r/>
    </w:p>
    <w:p>
      <w:pPr>
        <w:jc w:val="center"/>
        <w:spacing w:before="120" w:after="120"/>
        <w:rPr>
          <w:rFonts w:ascii="微软雅黑" w:hAnsi="Arial" w:eastAsia="微软雅黑"/>
          <w:bCs/>
          <w:color w:val="auto"/>
          <w:sz w:val="32"/>
          <w:szCs w:val="32"/>
          <w:highlight w:val="none"/>
        </w:rPr>
      </w:pPr>
      <w:r>
        <w:rPr>
          <w:rFonts w:hint="eastAsia" w:ascii="Arial" w:hAnsi="Arial"/>
          <w:b/>
          <w:bCs/>
          <w:color w:val="auto"/>
          <w:sz w:val="32"/>
          <w:highlight w:val="none"/>
        </w:rPr>
        <w:t xml:space="preserve">2026年</w:t>
      </w:r>
      <w:r>
        <w:rPr>
          <w:rFonts w:hint="eastAsia" w:ascii="Arial" w:hAnsi="Arial"/>
          <w:b/>
          <w:bCs/>
          <w:color w:val="auto"/>
          <w:sz w:val="32"/>
          <w:highlight w:val="none"/>
          <w:lang w:val="en-US" w:eastAsia="zh-CN"/>
        </w:rPr>
        <w:t xml:space="preserve">05</w:t>
      </w:r>
      <w:r>
        <w:rPr>
          <w:rFonts w:hint="eastAsia" w:ascii="Arial" w:hAnsi="Arial"/>
          <w:b/>
          <w:bCs/>
          <w:color w:val="auto"/>
          <w:sz w:val="32"/>
          <w:highlight w:val="none"/>
        </w:rPr>
        <w:t xml:space="preserve">月</w:t>
      </w:r>
      <w:r>
        <w:rPr>
          <w:rFonts w:hint="eastAsia" w:ascii="Arial" w:hAnsi="Arial"/>
          <w:b/>
          <w:bCs/>
          <w:color w:val="auto"/>
          <w:sz w:val="32"/>
          <w:highlight w:val="none"/>
          <w:lang w:val="en-US" w:eastAsia="zh-CN"/>
        </w:rPr>
        <w:t xml:space="preserve">21</w:t>
      </w:r>
      <w:r>
        <w:rPr>
          <w:rFonts w:hint="eastAsia" w:ascii="Arial" w:hAnsi="Arial"/>
          <w:b/>
          <w:bCs/>
          <w:color w:val="auto"/>
          <w:sz w:val="32"/>
          <w:highlight w:val="none"/>
        </w:rPr>
        <w:t xml:space="preserve">日</w:t>
      </w:r>
      <w:r>
        <w:rPr>
          <w:rFonts w:ascii="Arial" w:hAnsi="Arial"/>
          <w:b/>
          <w:bCs/>
          <w:color w:val="auto"/>
          <w:sz w:val="32"/>
          <w:highlight w:val="none"/>
        </w:rPr>
        <w:br w:type="page" w:clear="all"/>
      </w:r>
      <w:r>
        <w:rPr>
          <w:rFonts w:hint="eastAsia" w:ascii="微软雅黑" w:hAnsi="Arial" w:eastAsia="微软雅黑"/>
          <w:bCs/>
          <w:color w:val="auto"/>
          <w:sz w:val="32"/>
          <w:szCs w:val="32"/>
          <w:highlight w:val="none"/>
        </w:rPr>
        <w:t xml:space="preserve">目   录</w:t>
      </w:r>
      <w:r/>
    </w:p>
    <w:p>
      <w:pPr>
        <w:spacing w:line="500" w:lineRule="exact"/>
        <w:tabs>
          <w:tab w:val="right" w:pos="9354" w:leader="dot"/>
        </w:tabs>
        <w:rPr>
          <w:rFonts w:hint="eastAsia" w:ascii="黑体" w:hAnsi="黑体" w:eastAsia="黑体" w:cs="黑体"/>
          <w:color w:val="auto"/>
          <w:sz w:val="24"/>
          <w:highlight w:val="none"/>
        </w:rPr>
      </w:pPr>
      <w:r>
        <w:rPr>
          <w:rFonts w:hint="eastAsia" w:ascii="黑体" w:hAnsi="黑体" w:eastAsia="黑体" w:cs="黑体"/>
          <w:bCs/>
          <w:color w:val="auto"/>
          <w:sz w:val="24"/>
          <w:highlight w:val="none"/>
        </w:rPr>
        <w:fldChar w:fldCharType="begin"/>
      </w:r>
      <w:r>
        <w:rPr>
          <w:rFonts w:hint="eastAsia" w:ascii="黑体" w:hAnsi="黑体" w:eastAsia="黑体" w:cs="黑体"/>
          <w:bCs/>
          <w:color w:val="auto"/>
          <w:sz w:val="24"/>
          <w:highlight w:val="none"/>
        </w:rPr>
        <w:instrText xml:space="preserve">TOC \o "1-2" \h \u </w:instrText>
      </w:r>
      <w:r>
        <w:rPr>
          <w:rFonts w:hint="eastAsia" w:ascii="黑体" w:hAnsi="黑体" w:eastAsia="黑体" w:cs="黑体"/>
          <w:bCs/>
          <w:color w:val="auto"/>
          <w:sz w:val="24"/>
          <w:highlight w:val="none"/>
        </w:rPr>
        <w:fldChar w:fldCharType="separate"/>
      </w:r>
      <w:r>
        <w:rPr>
          <w:color w:val="auto"/>
          <w:highlight w:val="none"/>
        </w:rPr>
        <w:fldChar w:fldCharType="begin"/>
      </w:r>
      <w:r>
        <w:rPr>
          <w:color w:val="auto"/>
          <w:highlight w:val="none"/>
        </w:rPr>
        <w:instrText xml:space="preserve"> HYPERLINK \l "_Toc29574" </w:instrText>
      </w:r>
      <w:r>
        <w:rPr>
          <w:color w:val="auto"/>
          <w:highlight w:val="none"/>
        </w:rPr>
        <w:fldChar w:fldCharType="separate"/>
      </w:r>
      <w:r>
        <w:rPr>
          <w:rFonts w:hint="eastAsia" w:ascii="黑体" w:hAnsi="黑体" w:eastAsia="黑体" w:cs="黑体"/>
          <w:bCs/>
          <w:color w:val="auto"/>
          <w:sz w:val="24"/>
          <w:highlight w:val="none"/>
        </w:rPr>
        <w:t xml:space="preserve">第1章 竞争性磋商公告</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_Toc29574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"_Toc1699" </w:instrText>
      </w:r>
      <w:r>
        <w:rPr>
          <w:color w:val="auto"/>
          <w:highlight w:val="none"/>
        </w:rPr>
        <w:fldChar w:fldCharType="separate"/>
      </w:r>
      <w:r>
        <w:rPr>
          <w:rFonts w:hint="eastAsia" w:ascii="黑体" w:hAnsi="黑体" w:eastAsia="黑体" w:cs="黑体"/>
          <w:color w:val="auto"/>
          <w:sz w:val="24"/>
          <w:highlight w:val="none"/>
        </w:rPr>
        <w:t xml:space="preserve">一、项目基本情况</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_Toc1699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"_Toc31534" </w:instrText>
      </w:r>
      <w:r>
        <w:rPr>
          <w:color w:val="auto"/>
          <w:highlight w:val="none"/>
        </w:rPr>
        <w:fldChar w:fldCharType="separate"/>
      </w:r>
      <w:r>
        <w:rPr>
          <w:rFonts w:hint="eastAsia" w:ascii="黑体" w:hAnsi="黑体" w:eastAsia="黑体" w:cs="黑体"/>
          <w:color w:val="auto"/>
          <w:sz w:val="24"/>
          <w:highlight w:val="none"/>
        </w:rPr>
        <w:t xml:space="preserve">二、响应人的资格要求：</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_Toc31534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"_Toc28508" </w:instrText>
      </w:r>
      <w:r>
        <w:rPr>
          <w:color w:val="auto"/>
          <w:highlight w:val="none"/>
        </w:rPr>
        <w:fldChar w:fldCharType="separate"/>
      </w:r>
      <w:r>
        <w:rPr>
          <w:rFonts w:hint="eastAsia" w:ascii="黑体" w:hAnsi="黑体" w:eastAsia="黑体" w:cs="黑体"/>
          <w:color w:val="auto"/>
          <w:sz w:val="24"/>
          <w:highlight w:val="none"/>
        </w:rPr>
        <w:t xml:space="preserve">三、获取竞争性磋商文件</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_Toc28508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5</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"_Toc19217" </w:instrText>
      </w:r>
      <w:r>
        <w:rPr>
          <w:color w:val="auto"/>
          <w:highlight w:val="none"/>
        </w:rPr>
        <w:fldChar w:fldCharType="separate"/>
      </w:r>
      <w:r>
        <w:rPr>
          <w:rFonts w:hint="eastAsia" w:ascii="黑体" w:hAnsi="黑体" w:eastAsia="黑体" w:cs="黑体"/>
          <w:color w:val="auto"/>
          <w:sz w:val="24"/>
          <w:highlight w:val="none"/>
        </w:rPr>
        <w:t xml:space="preserve">四、竞争性磋商响应文件提交和开启</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_Toc19217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5</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"_Toc17952" </w:instrText>
      </w:r>
      <w:r>
        <w:rPr>
          <w:color w:val="auto"/>
          <w:highlight w:val="none"/>
        </w:rPr>
        <w:fldChar w:fldCharType="separate"/>
      </w:r>
      <w:r>
        <w:rPr>
          <w:rFonts w:hint="eastAsia" w:ascii="黑体" w:hAnsi="黑体" w:eastAsia="黑体" w:cs="黑体"/>
          <w:color w:val="auto"/>
          <w:sz w:val="24"/>
          <w:highlight w:val="none"/>
        </w:rPr>
        <w:t xml:space="preserve">五、公告期限</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_Toc17952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6</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"_Toc17820" </w:instrText>
      </w:r>
      <w:r>
        <w:rPr>
          <w:color w:val="auto"/>
          <w:highlight w:val="none"/>
        </w:rPr>
        <w:fldChar w:fldCharType="separate"/>
      </w:r>
      <w:r>
        <w:rPr>
          <w:rFonts w:hint="eastAsia" w:ascii="黑体" w:hAnsi="黑体" w:eastAsia="黑体" w:cs="黑体"/>
          <w:color w:val="auto"/>
          <w:sz w:val="24"/>
          <w:highlight w:val="none"/>
        </w:rPr>
        <w:t xml:space="preserve">六、其他补充事宜</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_Toc17820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6</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"_Toc25502" </w:instrText>
      </w:r>
      <w:r>
        <w:rPr>
          <w:color w:val="auto"/>
          <w:highlight w:val="none"/>
        </w:rPr>
        <w:fldChar w:fldCharType="separate"/>
      </w:r>
      <w:r>
        <w:rPr>
          <w:rFonts w:hint="eastAsia" w:ascii="黑体" w:hAnsi="黑体" w:eastAsia="黑体" w:cs="黑体"/>
          <w:color w:val="auto"/>
          <w:sz w:val="24"/>
          <w:highlight w:val="none"/>
        </w:rPr>
        <w:t xml:space="preserve">七、凡对本次采购提出询问，请按以下方式联系。</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_Toc25502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6</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"_Toc10472" </w:instrText>
      </w:r>
      <w:r>
        <w:rPr>
          <w:color w:val="auto"/>
          <w:highlight w:val="none"/>
        </w:rPr>
        <w:fldChar w:fldCharType="separate"/>
      </w:r>
      <w:r>
        <w:rPr>
          <w:rFonts w:hint="eastAsia" w:ascii="黑体" w:hAnsi="黑体" w:eastAsia="黑体" w:cs="黑体"/>
          <w:bCs/>
          <w:color w:val="auto"/>
          <w:sz w:val="24"/>
          <w:highlight w:val="none"/>
        </w:rPr>
        <w:t xml:space="preserve">第2章 磋商须知</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_Toc10472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"_Toc23817" </w:instrText>
      </w:r>
      <w:r>
        <w:rPr>
          <w:color w:val="auto"/>
          <w:highlight w:val="none"/>
        </w:rPr>
        <w:fldChar w:fldCharType="separate"/>
      </w:r>
      <w:r>
        <w:rPr>
          <w:rFonts w:hint="eastAsia" w:ascii="黑体" w:hAnsi="黑体" w:eastAsia="黑体" w:cs="黑体"/>
          <w:color w:val="auto"/>
          <w:sz w:val="24"/>
          <w:highlight w:val="none"/>
        </w:rPr>
        <w:t xml:space="preserve">1. 参加磋商费用</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_Toc23817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"_Toc20180" </w:instrText>
      </w:r>
      <w:r>
        <w:rPr>
          <w:color w:val="auto"/>
          <w:highlight w:val="none"/>
        </w:rPr>
        <w:fldChar w:fldCharType="separate"/>
      </w:r>
      <w:r>
        <w:rPr>
          <w:rFonts w:hint="eastAsia" w:ascii="黑体" w:hAnsi="黑体" w:eastAsia="黑体" w:cs="黑体"/>
          <w:color w:val="auto"/>
          <w:sz w:val="24"/>
          <w:highlight w:val="none"/>
        </w:rPr>
        <w:t xml:space="preserve">2. 磋商文件的约束力</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_Toc20180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"_Toc16476" </w:instrText>
      </w:r>
      <w:r>
        <w:rPr>
          <w:color w:val="auto"/>
          <w:highlight w:val="none"/>
        </w:rPr>
        <w:fldChar w:fldCharType="separate"/>
      </w:r>
      <w:r>
        <w:rPr>
          <w:rFonts w:hint="eastAsia" w:ascii="黑体" w:hAnsi="黑体" w:eastAsia="黑体" w:cs="黑体"/>
          <w:color w:val="auto"/>
          <w:sz w:val="24"/>
          <w:highlight w:val="none"/>
        </w:rPr>
        <w:t xml:space="preserve">3.响应文件编制</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_Toc16476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"_Toc702" </w:instrText>
      </w:r>
      <w:r>
        <w:rPr>
          <w:color w:val="auto"/>
          <w:highlight w:val="none"/>
        </w:rPr>
        <w:fldChar w:fldCharType="separate"/>
      </w:r>
      <w:r>
        <w:rPr>
          <w:rFonts w:hint="eastAsia" w:ascii="黑体" w:hAnsi="黑体" w:eastAsia="黑体" w:cs="黑体"/>
          <w:color w:val="auto"/>
          <w:sz w:val="24"/>
          <w:highlight w:val="none"/>
        </w:rPr>
        <w:t xml:space="preserve">4.响应文件提交、撤回和修改</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_Toc702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9</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"_Toc29592" </w:instrText>
      </w:r>
      <w:r>
        <w:rPr>
          <w:color w:val="auto"/>
          <w:highlight w:val="none"/>
        </w:rPr>
        <w:fldChar w:fldCharType="separate"/>
      </w:r>
      <w:r>
        <w:rPr>
          <w:rFonts w:hint="eastAsia" w:ascii="黑体" w:hAnsi="黑体" w:eastAsia="黑体" w:cs="黑体"/>
          <w:color w:val="auto"/>
          <w:sz w:val="24"/>
          <w:highlight w:val="none"/>
        </w:rPr>
        <w:t xml:space="preserve">5. 磋商</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_Toc29592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9</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"_Toc16952" </w:instrText>
      </w:r>
      <w:r>
        <w:rPr>
          <w:color w:val="auto"/>
          <w:highlight w:val="none"/>
        </w:rPr>
        <w:fldChar w:fldCharType="separate"/>
      </w:r>
      <w:r>
        <w:rPr>
          <w:rFonts w:hint="eastAsia" w:ascii="黑体" w:hAnsi="黑体" w:eastAsia="黑体" w:cs="黑体"/>
          <w:bCs/>
          <w:color w:val="auto"/>
          <w:sz w:val="24"/>
          <w:highlight w:val="none"/>
        </w:rPr>
        <w:t xml:space="preserve">6.成交和合同</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_Toc16952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12</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"_Toc22335" </w:instrText>
      </w:r>
      <w:r>
        <w:rPr>
          <w:color w:val="auto"/>
          <w:highlight w:val="none"/>
        </w:rPr>
        <w:fldChar w:fldCharType="separate"/>
      </w:r>
      <w:r>
        <w:rPr>
          <w:rFonts w:hint="eastAsia" w:ascii="黑体" w:hAnsi="黑体" w:eastAsia="黑体" w:cs="黑体"/>
          <w:bCs/>
          <w:color w:val="auto"/>
          <w:sz w:val="24"/>
          <w:highlight w:val="none"/>
        </w:rPr>
        <w:t xml:space="preserve">7.政府采购政策功能落实</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_Toc22335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13</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"_Toc10282" </w:instrText>
      </w:r>
      <w:r>
        <w:rPr>
          <w:color w:val="auto"/>
          <w:highlight w:val="none"/>
        </w:rPr>
        <w:fldChar w:fldCharType="separate"/>
      </w:r>
      <w:r>
        <w:rPr>
          <w:rFonts w:hint="eastAsia" w:ascii="黑体" w:hAnsi="黑体" w:eastAsia="黑体" w:cs="黑体"/>
          <w:bCs/>
          <w:color w:val="auto"/>
          <w:sz w:val="24"/>
          <w:highlight w:val="none"/>
        </w:rPr>
        <w:t xml:space="preserve">8.无效响应和磋商活动终止</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_Toc10282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"_Toc3412" </w:instrText>
      </w:r>
      <w:r>
        <w:rPr>
          <w:color w:val="auto"/>
          <w:highlight w:val="none"/>
        </w:rPr>
        <w:fldChar w:fldCharType="separate"/>
      </w:r>
      <w:r>
        <w:rPr>
          <w:rFonts w:hint="eastAsia" w:ascii="黑体" w:hAnsi="黑体" w:eastAsia="黑体" w:cs="黑体"/>
          <w:color w:val="auto"/>
          <w:sz w:val="24"/>
          <w:highlight w:val="none"/>
        </w:rPr>
        <w:t xml:space="preserve">9. 询问、质疑和投诉</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_Toc3412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21</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"_Toc32322" </w:instrText>
      </w:r>
      <w:r>
        <w:rPr>
          <w:color w:val="auto"/>
          <w:highlight w:val="none"/>
        </w:rPr>
        <w:fldChar w:fldCharType="separate"/>
      </w:r>
      <w:r>
        <w:rPr>
          <w:rFonts w:hint="eastAsia" w:ascii="黑体" w:hAnsi="黑体" w:eastAsia="黑体" w:cs="黑体"/>
          <w:color w:val="auto"/>
          <w:sz w:val="24"/>
          <w:highlight w:val="none"/>
        </w:rPr>
        <w:t xml:space="preserve">10. 政府采购合同信用融资扶持政策</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_Toc32322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25</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"_Toc4518" </w:instrText>
      </w:r>
      <w:r>
        <w:rPr>
          <w:color w:val="auto"/>
          <w:highlight w:val="none"/>
        </w:rPr>
        <w:fldChar w:fldCharType="separate"/>
      </w:r>
      <w:r>
        <w:rPr>
          <w:rFonts w:hint="eastAsia" w:ascii="黑体" w:hAnsi="黑体" w:eastAsia="黑体" w:cs="黑体"/>
          <w:color w:val="auto"/>
          <w:sz w:val="24"/>
          <w:highlight w:val="none"/>
        </w:rPr>
        <w:t xml:space="preserve">11. 采购代理服务费</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_Toc4518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26</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"_Toc3744" </w:instrText>
      </w:r>
      <w:r>
        <w:rPr>
          <w:color w:val="auto"/>
          <w:highlight w:val="none"/>
        </w:rPr>
        <w:fldChar w:fldCharType="separate"/>
      </w:r>
      <w:r>
        <w:rPr>
          <w:rFonts w:hint="eastAsia" w:ascii="黑体" w:hAnsi="黑体" w:eastAsia="黑体" w:cs="黑体"/>
          <w:bCs/>
          <w:color w:val="auto"/>
          <w:sz w:val="24"/>
          <w:highlight w:val="none"/>
        </w:rPr>
        <w:t xml:space="preserve">第3章 采购需求</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_Toc3744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"_Toc30004" </w:instrText>
      </w:r>
      <w:r>
        <w:rPr>
          <w:color w:val="auto"/>
          <w:highlight w:val="none"/>
        </w:rPr>
        <w:fldChar w:fldCharType="separate"/>
      </w:r>
      <w:r>
        <w:rPr>
          <w:rFonts w:hint="eastAsia" w:ascii="黑体" w:hAnsi="黑体" w:eastAsia="黑体" w:cs="黑体"/>
          <w:color w:val="auto"/>
          <w:sz w:val="24"/>
          <w:highlight w:val="none"/>
        </w:rPr>
        <w:t xml:space="preserve">一、 项目简介</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_Toc30004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"_Toc24604" </w:instrText>
      </w:r>
      <w:r>
        <w:rPr>
          <w:color w:val="auto"/>
          <w:highlight w:val="none"/>
        </w:rPr>
        <w:fldChar w:fldCharType="separate"/>
      </w:r>
      <w:r>
        <w:rPr>
          <w:rFonts w:hint="eastAsia" w:ascii="黑体" w:hAnsi="黑体" w:eastAsia="黑体" w:cs="黑体"/>
          <w:color w:val="auto"/>
          <w:sz w:val="24"/>
          <w:highlight w:val="none"/>
        </w:rPr>
        <w:t xml:space="preserve">二、采购内容</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_Toc24604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"_Toc24043" </w:instrText>
      </w:r>
      <w:r>
        <w:rPr>
          <w:color w:val="auto"/>
          <w:highlight w:val="none"/>
        </w:rPr>
        <w:fldChar w:fldCharType="separate"/>
      </w:r>
      <w:r>
        <w:rPr>
          <w:rFonts w:hint="eastAsia" w:ascii="黑体" w:hAnsi="黑体" w:eastAsia="黑体" w:cs="黑体"/>
          <w:color w:val="auto"/>
          <w:sz w:val="24"/>
          <w:highlight w:val="none"/>
        </w:rPr>
        <w:t xml:space="preserve">三、基本服务要求</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_Toc24043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"_Toc6560" </w:instrText>
      </w:r>
      <w:r>
        <w:rPr>
          <w:color w:val="auto"/>
          <w:highlight w:val="none"/>
        </w:rPr>
        <w:fldChar w:fldCharType="separate"/>
      </w:r>
      <w:r>
        <w:rPr>
          <w:rFonts w:hint="eastAsia" w:ascii="黑体" w:hAnsi="黑体" w:eastAsia="黑体" w:cs="黑体"/>
          <w:color w:val="auto"/>
          <w:sz w:val="24"/>
          <w:highlight w:val="none"/>
        </w:rPr>
        <w:t xml:space="preserve">四、服务标准</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_Toc6560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27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"_Toc13575" </w:instrText>
      </w:r>
      <w:r>
        <w:rPr>
          <w:color w:val="auto"/>
          <w:highlight w:val="none"/>
        </w:rPr>
        <w:fldChar w:fldCharType="separate"/>
      </w:r>
      <w:r>
        <w:rPr>
          <w:rFonts w:hint="eastAsia" w:ascii="黑体" w:hAnsi="黑体" w:eastAsia="黑体" w:cs="黑体"/>
          <w:color w:val="auto"/>
          <w:sz w:val="24"/>
          <w:highlight w:val="none"/>
        </w:rPr>
        <w:t xml:space="preserve">五、服务期限和地点</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_Toc13575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39</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"_Toc28010" </w:instrText>
      </w:r>
      <w:r>
        <w:rPr>
          <w:color w:val="auto"/>
          <w:highlight w:val="none"/>
        </w:rPr>
        <w:fldChar w:fldCharType="separate"/>
      </w:r>
      <w:r>
        <w:rPr>
          <w:rFonts w:hint="eastAsia" w:ascii="黑体" w:hAnsi="黑体" w:eastAsia="黑体" w:cs="黑体"/>
          <w:color w:val="auto"/>
          <w:sz w:val="24"/>
          <w:highlight w:val="none"/>
        </w:rPr>
        <w:t xml:space="preserve">六、考核方案</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_Toc28010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"_Toc488" </w:instrText>
      </w:r>
      <w:r>
        <w:rPr>
          <w:color w:val="auto"/>
          <w:highlight w:val="none"/>
        </w:rPr>
        <w:fldChar w:fldCharType="separate"/>
      </w:r>
      <w:r>
        <w:rPr>
          <w:rFonts w:hint="eastAsia" w:ascii="黑体" w:hAnsi="黑体" w:eastAsia="黑体" w:cs="黑体"/>
          <w:color w:val="auto"/>
          <w:sz w:val="24"/>
          <w:highlight w:val="none"/>
        </w:rPr>
        <w:t xml:space="preserve">七、付款方式</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_Toc488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"_Toc13101" </w:instrText>
      </w:r>
      <w:r>
        <w:rPr>
          <w:color w:val="auto"/>
          <w:highlight w:val="none"/>
        </w:rPr>
        <w:fldChar w:fldCharType="separate"/>
      </w:r>
      <w:r>
        <w:rPr>
          <w:rFonts w:hint="eastAsia" w:ascii="黑体" w:hAnsi="黑体" w:eastAsia="黑体" w:cs="黑体"/>
          <w:color w:val="auto"/>
          <w:sz w:val="24"/>
          <w:highlight w:val="none"/>
        </w:rPr>
        <w:t xml:space="preserve">八、磋商过程中可能会实质性变动的内容</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_Toc13101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"_Toc7187" </w:instrText>
      </w:r>
      <w:r>
        <w:rPr>
          <w:color w:val="auto"/>
          <w:highlight w:val="none"/>
        </w:rPr>
        <w:fldChar w:fldCharType="separate"/>
      </w:r>
      <w:r>
        <w:rPr>
          <w:rFonts w:hint="eastAsia" w:ascii="黑体" w:hAnsi="黑体" w:eastAsia="黑体" w:cs="黑体"/>
          <w:color w:val="auto"/>
          <w:sz w:val="24"/>
          <w:highlight w:val="none"/>
        </w:rPr>
        <w:t xml:space="preserve">九、报价要求</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_Toc7187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"_Toc20586" </w:instrText>
      </w:r>
      <w:r>
        <w:rPr>
          <w:color w:val="auto"/>
          <w:highlight w:val="none"/>
        </w:rPr>
        <w:fldChar w:fldCharType="separate"/>
      </w:r>
      <w:r>
        <w:rPr>
          <w:rFonts w:hint="eastAsia" w:ascii="黑体" w:hAnsi="黑体" w:eastAsia="黑体" w:cs="黑体"/>
          <w:color w:val="auto"/>
          <w:sz w:val="24"/>
          <w:highlight w:val="none"/>
        </w:rPr>
        <w:t xml:space="preserve">十、其他要求</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_Toc20586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41</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"_Toc30393" </w:instrText>
      </w:r>
      <w:r>
        <w:rPr>
          <w:color w:val="auto"/>
          <w:highlight w:val="none"/>
        </w:rPr>
        <w:fldChar w:fldCharType="separate"/>
      </w:r>
      <w:r>
        <w:rPr>
          <w:rFonts w:hint="eastAsia" w:ascii="黑体" w:hAnsi="黑体" w:eastAsia="黑体" w:cs="黑体"/>
          <w:bCs/>
          <w:color w:val="auto"/>
          <w:sz w:val="24"/>
          <w:highlight w:val="none"/>
        </w:rPr>
        <w:t xml:space="preserve">第4章 合同文本</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_Toc30393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42</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"_Toc18561" </w:instrText>
      </w:r>
      <w:r>
        <w:rPr>
          <w:color w:val="auto"/>
          <w:highlight w:val="none"/>
        </w:rPr>
        <w:fldChar w:fldCharType="separate"/>
      </w:r>
      <w:r>
        <w:rPr>
          <w:rFonts w:hint="eastAsia" w:ascii="黑体" w:hAnsi="黑体" w:eastAsia="黑体" w:cs="黑体"/>
          <w:bCs/>
          <w:color w:val="auto"/>
          <w:sz w:val="24"/>
          <w:highlight w:val="none"/>
        </w:rPr>
        <w:t xml:space="preserve">第5章 评审标准和方法</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_Toc18561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42</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"_Toc6397" </w:instrText>
      </w:r>
      <w:r>
        <w:rPr>
          <w:color w:val="auto"/>
          <w:highlight w:val="none"/>
        </w:rPr>
        <w:fldChar w:fldCharType="separate"/>
      </w:r>
      <w:r>
        <w:rPr>
          <w:rFonts w:hint="eastAsia" w:ascii="黑体" w:hAnsi="黑体" w:eastAsia="黑体" w:cs="黑体"/>
          <w:bCs/>
          <w:color w:val="auto"/>
          <w:sz w:val="24"/>
          <w:highlight w:val="none"/>
        </w:rPr>
        <w:t xml:space="preserve">第6章 竞争性磋商响应文件组成</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_Toc6397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48</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"_Toc23104" </w:instrText>
      </w:r>
      <w:r>
        <w:rPr>
          <w:color w:val="auto"/>
          <w:highlight w:val="none"/>
        </w:rPr>
        <w:fldChar w:fldCharType="separate"/>
      </w:r>
      <w:r>
        <w:rPr>
          <w:rFonts w:hint="eastAsia" w:ascii="黑体" w:hAnsi="黑体" w:eastAsia="黑体" w:cs="黑体"/>
          <w:color w:val="auto"/>
          <w:sz w:val="24"/>
          <w:highlight w:val="none"/>
        </w:rPr>
        <w:t xml:space="preserve">一、资格证明文件</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_Toc23104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49</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hint="eastAsia" w:ascii="黑体" w:hAnsi="黑体" w:eastAsia="黑体" w:cs="黑体"/>
          <w:color w:val="auto"/>
          <w:sz w:val="24"/>
          <w:highlight w:val="none"/>
        </w:rPr>
      </w:pPr>
      <w:r>
        <w:rPr>
          <w:color w:val="auto"/>
          <w:highlight w:val="none"/>
        </w:rPr>
        <w:fldChar w:fldCharType="begin"/>
      </w:r>
      <w:r>
        <w:rPr>
          <w:color w:val="auto"/>
          <w:highlight w:val="none"/>
        </w:rPr>
        <w:instrText xml:space="preserve"> HYPERLINK \l "_Toc12740" </w:instrText>
      </w:r>
      <w:r>
        <w:rPr>
          <w:color w:val="auto"/>
          <w:highlight w:val="none"/>
        </w:rPr>
        <w:fldChar w:fldCharType="separate"/>
      </w:r>
      <w:r>
        <w:rPr>
          <w:rFonts w:hint="eastAsia" w:ascii="黑体" w:hAnsi="黑体" w:eastAsia="黑体" w:cs="黑体"/>
          <w:color w:val="auto"/>
          <w:sz w:val="24"/>
          <w:highlight w:val="none"/>
        </w:rPr>
        <w:t xml:space="preserve">二、商务技术文件</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_Toc12740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57</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ind w:left="420"/>
        <w:spacing w:line="500" w:lineRule="exact"/>
        <w:tabs>
          <w:tab w:val="right" w:pos="9354" w:leader="dot"/>
        </w:tabs>
        <w:rPr>
          <w:rFonts w:ascii="Times New Roman" w:hAnsi="Times New Roman"/>
          <w:color w:val="auto"/>
          <w:highlight w:val="none"/>
        </w:rPr>
      </w:pPr>
      <w:r>
        <w:rPr>
          <w:color w:val="auto"/>
          <w:highlight w:val="none"/>
        </w:rPr>
        <w:fldChar w:fldCharType="begin"/>
      </w:r>
      <w:r>
        <w:rPr>
          <w:color w:val="auto"/>
          <w:highlight w:val="none"/>
        </w:rPr>
        <w:instrText xml:space="preserve"> HYPERLINK \l "_Toc32511" </w:instrText>
      </w:r>
      <w:r>
        <w:rPr>
          <w:color w:val="auto"/>
          <w:highlight w:val="none"/>
        </w:rPr>
        <w:fldChar w:fldCharType="separate"/>
      </w:r>
      <w:r>
        <w:rPr>
          <w:rFonts w:hint="eastAsia" w:ascii="黑体" w:hAnsi="黑体" w:eastAsia="黑体" w:cs="黑体"/>
          <w:color w:val="auto"/>
          <w:sz w:val="24"/>
          <w:highlight w:val="none"/>
        </w:rPr>
        <w:t xml:space="preserve">三、报价文件</w:t>
      </w:r>
      <w:r>
        <w:rPr>
          <w:rFonts w:hint="eastAsia" w:ascii="黑体" w:hAnsi="黑体" w:eastAsia="黑体" w:cs="黑体"/>
          <w:color w:val="auto"/>
          <w:sz w:val="24"/>
          <w:highlight w:val="none"/>
        </w:rPr>
        <w:tab/>
      </w:r>
      <w:r>
        <w:rPr>
          <w:rFonts w:hint="eastAsia" w:ascii="黑体" w:hAnsi="黑体" w:eastAsia="黑体" w:cs="黑体"/>
          <w:color w:val="auto"/>
          <w:sz w:val="24"/>
          <w:highlight w:val="none"/>
        </w:rPr>
        <w:fldChar w:fldCharType="begin"/>
      </w:r>
      <w:r>
        <w:rPr>
          <w:rFonts w:hint="eastAsia" w:ascii="黑体" w:hAnsi="黑体" w:eastAsia="黑体" w:cs="黑体"/>
          <w:color w:val="auto"/>
          <w:sz w:val="24"/>
          <w:highlight w:val="none"/>
        </w:rPr>
        <w:instrText xml:space="preserve"> PAGEREF _Toc32511 \h </w:instrText>
      </w:r>
      <w:r>
        <w:rPr>
          <w:rFonts w:hint="eastAsia" w:ascii="黑体" w:hAnsi="黑体" w:eastAsia="黑体" w:cs="黑体"/>
          <w:color w:val="auto"/>
          <w:sz w:val="24"/>
          <w:highlight w:val="none"/>
        </w:rPr>
        <w:fldChar w:fldCharType="separate"/>
      </w:r>
      <w:r>
        <w:rPr>
          <w:rFonts w:hint="eastAsia" w:ascii="黑体" w:hAnsi="黑体" w:eastAsia="黑体" w:cs="黑体"/>
          <w:color w:val="auto"/>
          <w:sz w:val="24"/>
          <w:highlight w:val="none"/>
        </w:rPr>
        <w:t xml:space="preserve">60</w:t>
      </w:r>
      <w:r>
        <w:rPr>
          <w:rFonts w:hint="eastAsia" w:ascii="黑体" w:hAnsi="黑体" w:eastAsia="黑体" w:cs="黑体"/>
          <w:color w:val="auto"/>
          <w:sz w:val="24"/>
          <w:highlight w:val="none"/>
        </w:rPr>
        <w:fldChar w:fldCharType="end"/>
      </w:r>
      <w:r>
        <w:rPr>
          <w:rFonts w:hint="eastAsia" w:ascii="黑体" w:hAnsi="黑体" w:eastAsia="黑体" w:cs="黑体"/>
          <w:color w:val="auto"/>
          <w:sz w:val="24"/>
          <w:highlight w:val="none"/>
        </w:rPr>
        <w:fldChar w:fldCharType="end"/>
      </w:r>
      <w:r/>
    </w:p>
    <w:p>
      <w:pPr>
        <w:jc w:val="center"/>
        <w:spacing w:before="120" w:after="120" w:line="500" w:lineRule="exact"/>
        <w:rPr>
          <w:rFonts w:ascii="黑体" w:hAnsi="黑体" w:eastAsia="黑体" w:cs="黑体"/>
          <w:bCs/>
          <w:color w:val="auto"/>
          <w:sz w:val="24"/>
          <w:highlight w:val="none"/>
        </w:rPr>
      </w:pPr>
      <w:r>
        <w:rPr>
          <w:rFonts w:hint="eastAsia" w:ascii="黑体" w:hAnsi="黑体" w:eastAsia="黑体" w:cs="黑体"/>
          <w:bCs/>
          <w:color w:val="auto"/>
          <w:sz w:val="24"/>
          <w:highlight w:val="none"/>
        </w:rPr>
        <w:fldChar w:fldCharType="end"/>
      </w:r>
      <w:r/>
    </w:p>
    <w:p>
      <w:pPr>
        <w:jc w:val="center"/>
        <w:rPr>
          <w:rFonts w:ascii="微软雅黑" w:eastAsia="微软雅黑"/>
          <w:bCs/>
          <w:color w:val="auto"/>
          <w:sz w:val="32"/>
          <w:szCs w:val="32"/>
          <w:highlight w:val="none"/>
        </w:rPr>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outlineLvl w:val="0"/>
      </w:pPr>
      <w:r>
        <w:rPr>
          <w:rFonts w:ascii="微软雅黑" w:eastAsia="微软雅黑"/>
          <w:bCs/>
          <w:color w:val="auto"/>
          <w:sz w:val="32"/>
          <w:szCs w:val="32"/>
          <w:highlight w:val="none"/>
        </w:rPr>
      </w:r>
      <w:r/>
    </w:p>
    <w:p>
      <w:pPr>
        <w:jc w:val="center"/>
        <w:spacing w:before="120" w:after="120"/>
        <w:rPr>
          <w:rFonts w:hint="eastAsia" w:ascii="微软雅黑" w:hAnsi="Arial" w:eastAsia="微软雅黑"/>
          <w:bCs/>
          <w:color w:val="auto"/>
          <w:sz w:val="32"/>
          <w:szCs w:val="32"/>
          <w:highlight w:val="none"/>
          <w:lang w:eastAsia="zh-CN"/>
        </w:rPr>
        <w:outlineLvl w:val="0"/>
      </w:pPr>
      <w:r/>
      <w:bookmarkStart w:id="0" w:name="_Toc29574"/>
      <w:r>
        <w:rPr>
          <w:rFonts w:hint="eastAsia" w:ascii="微软雅黑" w:hAnsi="Arial" w:eastAsia="微软雅黑"/>
          <w:bCs/>
          <w:color w:val="auto"/>
          <w:sz w:val="32"/>
          <w:szCs w:val="32"/>
          <w:highlight w:val="none"/>
        </w:rPr>
        <w:t xml:space="preserve">第1章 竞争性磋商公告</w:t>
      </w:r>
      <w:bookmarkEnd w:id="0"/>
      <w:r>
        <w:rPr>
          <w:rFonts w:hint="eastAsia" w:ascii="微软雅黑" w:hAnsi="Arial" w:eastAsia="微软雅黑"/>
          <w:bCs/>
          <w:color w:val="auto"/>
          <w:sz w:val="32"/>
          <w:szCs w:val="32"/>
          <w:highlight w:val="none"/>
          <w:lang w:eastAsia="zh-CN"/>
        </w:rPr>
        <w:t xml:space="preserve">（</w:t>
      </w:r>
      <w:r>
        <w:rPr>
          <w:rFonts w:hint="eastAsia" w:ascii="微软雅黑" w:hAnsi="Arial" w:eastAsia="微软雅黑"/>
          <w:bCs/>
          <w:color w:val="auto"/>
          <w:sz w:val="32"/>
          <w:szCs w:val="32"/>
          <w:highlight w:val="none"/>
          <w:lang w:val="en-US" w:eastAsia="zh-CN"/>
        </w:rPr>
        <w:t xml:space="preserve">二次</w:t>
      </w:r>
      <w:r>
        <w:rPr>
          <w:rFonts w:hint="eastAsia" w:ascii="微软雅黑" w:hAnsi="Arial" w:eastAsia="微软雅黑"/>
          <w:bCs/>
          <w:color w:val="auto"/>
          <w:sz w:val="32"/>
          <w:szCs w:val="32"/>
          <w:highlight w:val="none"/>
          <w:lang w:eastAsia="zh-CN"/>
        </w:rPr>
        <w:t xml:space="preserve">）</w:t>
      </w:r>
      <w:r/>
    </w:p>
    <w:p>
      <w:pPr>
        <w:ind w:firstLine="560"/>
        <w:jc w:val="left"/>
        <w:spacing w:line="500" w:lineRule="exact"/>
        <w:widowControl/>
        <w:rPr>
          <w:rFonts w:ascii="黑体" w:hAnsi="黑体" w:eastAsia="黑体"/>
          <w:color w:val="auto"/>
          <w:sz w:val="28"/>
          <w:szCs w:val="28"/>
          <w:highlight w:val="none"/>
        </w:rPr>
        <w:outlineLvl w:val="1"/>
      </w:pPr>
      <w:r/>
      <w:bookmarkStart w:id="1" w:name="_Toc35393629"/>
      <w:r/>
      <w:bookmarkStart w:id="2" w:name="_Toc28359012"/>
      <w:r/>
      <w:bookmarkStart w:id="3" w:name="_Toc35393798"/>
      <w:r/>
      <w:bookmarkStart w:id="4" w:name="_Toc1699"/>
      <w:r/>
      <w:bookmarkStart w:id="5" w:name="_Toc28359089"/>
      <w:r/>
      <w:bookmarkStart w:id="6" w:name="OLE_LINK2"/>
      <w:r>
        <w:rPr>
          <w:rFonts w:hint="eastAsia" w:ascii="黑体" w:hAnsi="黑体" w:eastAsia="黑体"/>
          <w:color w:val="auto"/>
          <w:sz w:val="28"/>
          <w:szCs w:val="28"/>
          <w:highlight w:val="none"/>
        </w:rPr>
        <w:t xml:space="preserve">一、项目基本情况</w:t>
      </w:r>
      <w:bookmarkEnd w:id="1"/>
      <w:r/>
      <w:bookmarkEnd w:id="2"/>
      <w:r/>
      <w:bookmarkEnd w:id="3"/>
      <w:r/>
      <w:bookmarkEnd w:id="4"/>
      <w:r/>
      <w:bookmarkEnd w:id="5"/>
      <w:r/>
      <w:r/>
    </w:p>
    <w:p>
      <w:pPr>
        <w:ind w:firstLine="560"/>
        <w:spacing w:line="500" w:lineRule="exact"/>
        <w:rPr>
          <w:rFonts w:ascii="仿宋" w:hAnsi="仿宋" w:eastAsia="仿宋"/>
          <w:color w:val="auto"/>
          <w:sz w:val="24"/>
          <w:szCs w:val="24"/>
          <w:highlight w:val="none"/>
        </w:rPr>
      </w:pPr>
      <w:r>
        <w:rPr>
          <w:rFonts w:hint="eastAsia" w:ascii="仿宋" w:hAnsi="仿宋" w:eastAsia="仿宋"/>
          <w:color w:val="auto"/>
          <w:sz w:val="28"/>
          <w:szCs w:val="28"/>
          <w:highlight w:val="none"/>
        </w:rPr>
        <w:t xml:space="preserve">1.项目名称：</w:t>
      </w:r>
      <w:r>
        <w:rPr>
          <w:rFonts w:hint="eastAsia" w:ascii="仿宋" w:hAnsi="仿宋" w:eastAsia="仿宋"/>
          <w:color w:val="auto"/>
          <w:sz w:val="24"/>
          <w:szCs w:val="24"/>
          <w:highlight w:val="none"/>
        </w:rPr>
        <w:t xml:space="preserve">如皋港化工新材料产业园远程探测在线监测预警系统采购项目</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2.项目编号：</w:t>
      </w:r>
      <w:r>
        <w:rPr>
          <w:rFonts w:hint="eastAsia" w:ascii="仿宋" w:hAnsi="仿宋" w:eastAsia="仿宋"/>
          <w:color w:val="auto"/>
          <w:sz w:val="28"/>
          <w:szCs w:val="28"/>
          <w:highlight w:val="none"/>
          <w:lang w:eastAsia="zh-CN"/>
        </w:rPr>
        <w:t xml:space="preserve">JSZC-320682-JSHS-C2026-0017</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3.预算金额：人民币300万元</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4.最高限价：人民币260万元，报价超过最高限价视为无效响应。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w:t>
      </w:r>
      <w:r>
        <w:rPr>
          <w:rFonts w:hint="eastAsia" w:ascii="仿宋" w:hAnsi="仿宋" w:eastAsia="仿宋" w:cs="仿宋"/>
          <w:color w:val="auto"/>
          <w:sz w:val="28"/>
          <w:szCs w:val="28"/>
          <w:highlight w:val="none"/>
        </w:rPr>
        <w:t xml:space="preserve">本项目拟对如皋港化工新材料材料产业园范围内重大危险源、重点监管危险化学品企业以及涉及的毒性气体提供远程探测预警服务，实现园区安全生产风险全域覆盖、实时感知与精准预警，构建“智能监控-风险预警-闭环处置”的一体化安全风险监测预警体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具体</w:t>
      </w:r>
      <w:r>
        <w:rPr>
          <w:rFonts w:hint="eastAsia" w:ascii="仿宋" w:hAnsi="仿宋" w:eastAsia="仿宋"/>
          <w:color w:val="auto"/>
          <w:sz w:val="28"/>
          <w:szCs w:val="28"/>
          <w:highlight w:val="none"/>
        </w:rPr>
        <w:t xml:space="preserve">详见第3章。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6.合同履行期限：合同签订后</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0日内完成供货、安装、调试及联网。</w:t>
      </w:r>
      <w:r/>
    </w:p>
    <w:p>
      <w:pPr>
        <w:ind w:firstLine="560"/>
        <w:spacing w:line="500" w:lineRule="exact"/>
        <w:rPr>
          <w:rFonts w:hint="eastAsia"/>
          <w:color w:val="auto"/>
        </w:rPr>
      </w:pPr>
      <w:r>
        <w:rPr>
          <w:rFonts w:hint="eastAsia" w:ascii="仿宋" w:hAnsi="仿宋" w:eastAsia="仿宋" w:cs="Times New Roman"/>
          <w:color w:val="auto"/>
          <w:sz w:val="28"/>
          <w:szCs w:val="28"/>
          <w:highlight w:val="none"/>
        </w:rPr>
        <w:t xml:space="preserve">7.本项目是否接受进口产品</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.本项目是否专门面向中小企业采购：是。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.项目类型：货物。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.项目所属行业：工业</w:t>
      </w:r>
      <w:r>
        <w:rPr>
          <w:rFonts w:ascii="仿宋" w:hAnsi="仿宋" w:eastAsia="仿宋"/>
          <w:color w:val="auto"/>
          <w:sz w:val="28"/>
          <w:szCs w:val="28"/>
          <w:highlight w:val="none"/>
        </w:rPr>
        <w:t xml:space="preserve">。</w:t>
      </w:r>
      <w:r/>
    </w:p>
    <w:p>
      <w:pPr>
        <w:ind w:firstLine="560"/>
        <w:jc w:val="left"/>
        <w:spacing w:line="500" w:lineRule="exact"/>
        <w:widowControl/>
        <w:rPr>
          <w:rFonts w:ascii="黑体" w:hAnsi="黑体" w:eastAsia="黑体"/>
          <w:color w:val="auto"/>
          <w:sz w:val="28"/>
          <w:szCs w:val="28"/>
          <w:highlight w:val="none"/>
        </w:rPr>
        <w:outlineLvl w:val="1"/>
      </w:pPr>
      <w:r/>
      <w:bookmarkStart w:id="7" w:name="_Toc31534"/>
      <w:r/>
      <w:bookmarkStart w:id="8" w:name="_Toc28359090"/>
      <w:r/>
      <w:bookmarkStart w:id="9" w:name="_Toc28359013"/>
      <w:r/>
      <w:bookmarkStart w:id="10" w:name="_Toc35393799"/>
      <w:r/>
      <w:bookmarkStart w:id="11" w:name="_Toc35393630"/>
      <w:r>
        <w:rPr>
          <w:rFonts w:hint="eastAsia" w:ascii="黑体" w:hAnsi="黑体" w:eastAsia="黑体"/>
          <w:color w:val="auto"/>
          <w:sz w:val="28"/>
          <w:szCs w:val="28"/>
          <w:highlight w:val="none"/>
        </w:rPr>
        <w:t xml:space="preserve">二、响应人的资格要求：</w:t>
      </w:r>
      <w:bookmarkEnd w:id="7"/>
      <w:r/>
      <w:bookmarkEnd w:id="8"/>
      <w:r/>
      <w:bookmarkEnd w:id="9"/>
      <w:r/>
      <w:bookmarkEnd w:id="10"/>
      <w:r/>
      <w:bookmarkEnd w:id="11"/>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ind w:firstLine="560"/>
        <w:jc w:val="left"/>
        <w:spacing w:line="500" w:lineRule="exact"/>
        <w:shd w:val="clear" w:color="auto" w:fill="ffffff"/>
        <w:widowControl/>
        <w:rPr>
          <w:rFonts w:ascii="仿宋" w:hAnsi="仿宋" w:eastAsia="仿宋"/>
          <w:color w:val="auto"/>
          <w:sz w:val="28"/>
          <w:szCs w:val="28"/>
          <w:highlight w:val="none"/>
        </w:rPr>
      </w:pPr>
      <w:r/>
      <w:bookmarkStart w:id="12" w:name="_Toc28359091"/>
      <w:r/>
      <w:bookmarkStart w:id="13" w:name="_Toc28359014"/>
      <w:r>
        <w:rPr>
          <w:rFonts w:hint="eastAsia" w:ascii="仿宋" w:hAnsi="仿宋" w:eastAsia="仿宋"/>
          <w:color w:val="auto"/>
          <w:sz w:val="28"/>
          <w:szCs w:val="28"/>
          <w:highlight w:val="none"/>
        </w:rPr>
        <w:t xml:space="preserve">（1）具有独立承担民事责任的能力;</w:t>
      </w:r>
      <w:r/>
    </w:p>
    <w:p>
      <w:pPr>
        <w:ind w:firstLine="560"/>
        <w:jc w:val="left"/>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（2）具有良好的商业信誉和健全的财务会计制度;</w:t>
      </w:r>
      <w:r/>
    </w:p>
    <w:p>
      <w:pPr>
        <w:ind w:firstLine="560"/>
        <w:jc w:val="left"/>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（3）具有履行合同所必需的设备和专业技术能力;</w:t>
      </w:r>
      <w:r/>
    </w:p>
    <w:p>
      <w:pPr>
        <w:ind w:firstLine="560"/>
        <w:jc w:val="left"/>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（4）有依法缴纳税收和社会保障资金的良好记录;</w:t>
      </w:r>
      <w:r/>
    </w:p>
    <w:p>
      <w:pPr>
        <w:ind w:firstLine="560"/>
        <w:jc w:val="left"/>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（5）参加政府采购活动前三年内，在经营活动中没有重大违法记录;</w:t>
      </w:r>
      <w:r/>
    </w:p>
    <w:p>
      <w:pPr>
        <w:ind w:firstLine="560"/>
        <w:jc w:val="left"/>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ind w:firstLine="482"/>
        <w:jc w:val="left"/>
        <w:spacing w:line="500" w:lineRule="exact"/>
        <w:shd w:val="clear" w:color="auto" w:fill="ffffff"/>
        <w:widowControl/>
        <w:rPr>
          <w:rFonts w:ascii="仿宋" w:hAnsi="仿宋" w:eastAsia="仿宋"/>
          <w:color w:val="auto"/>
          <w:sz w:val="28"/>
          <w:szCs w:val="28"/>
          <w:highlight w:val="none"/>
        </w:rPr>
      </w:pP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1）提供《中小企业声明函》、《残疾人福利性单位声明函》或监狱和省级以上监狱管理局、戒毒管理局（含新疆生产建设兵团）出具的属于监狱企业的证明文件。</w:t>
      </w:r>
      <w:r>
        <w:rPr>
          <w:rFonts w:hint="eastAsia" w:ascii="仿宋" w:hAnsi="仿宋" w:eastAsia="仿宋"/>
          <w:b/>
          <w:bCs/>
          <w:color w:val="auto"/>
          <w:sz w:val="28"/>
          <w:szCs w:val="28"/>
          <w:highlight w:val="none"/>
          <w:lang w:val="en-US" w:eastAsia="zh-CN"/>
        </w:rPr>
        <w:t xml:space="preserve">本项目为</w:t>
      </w:r>
      <w:r>
        <w:rPr>
          <w:rFonts w:hint="eastAsia" w:ascii="仿宋" w:hAnsi="仿宋" w:eastAsia="仿宋"/>
          <w:b/>
          <w:bCs/>
          <w:color w:val="auto"/>
          <w:sz w:val="28"/>
          <w:szCs w:val="28"/>
          <w:highlight w:val="none"/>
        </w:rPr>
        <w:t xml:space="preserve">专门面向中小企业采购的项目，不提供的，按无效响应处理；</w:t>
      </w:r>
      <w:r>
        <w:rPr>
          <w:rFonts w:hint="eastAsia" w:ascii="仿宋" w:hAnsi="仿宋" w:eastAsia="仿宋"/>
          <w:color w:val="auto"/>
          <w:sz w:val="28"/>
          <w:szCs w:val="28"/>
          <w:highlight w:val="none"/>
        </w:rPr>
        <w:t xml:space="preserve">对于非专门面向中小企业采购的项目，</w:t>
      </w:r>
      <w:r>
        <w:rPr>
          <w:rFonts w:ascii="仿宋" w:hAnsi="仿宋" w:eastAsia="仿宋"/>
          <w:color w:val="auto"/>
          <w:sz w:val="28"/>
          <w:szCs w:val="28"/>
          <w:highlight w:val="none"/>
        </w:rPr>
        <w:t xml:space="preserve">供应商</w:t>
      </w:r>
      <w:r>
        <w:rPr>
          <w:rFonts w:hint="eastAsia" w:ascii="仿宋" w:hAnsi="仿宋" w:eastAsia="仿宋"/>
          <w:color w:val="auto"/>
          <w:sz w:val="28"/>
          <w:szCs w:val="28"/>
          <w:highlight w:val="none"/>
        </w:rPr>
        <w:t xml:space="preserve">属于</w:t>
      </w:r>
      <w:r>
        <w:rPr>
          <w:rFonts w:ascii="仿宋" w:hAnsi="仿宋" w:eastAsia="仿宋"/>
          <w:color w:val="auto"/>
          <w:sz w:val="28"/>
          <w:szCs w:val="28"/>
          <w:highlight w:val="none"/>
        </w:rPr>
        <w:t xml:space="preserve">小微企业</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监狱企业</w:t>
      </w:r>
      <w:r>
        <w:rPr>
          <w:rFonts w:hint="eastAsia" w:ascii="仿宋" w:hAnsi="仿宋" w:eastAsia="仿宋"/>
          <w:color w:val="auto"/>
          <w:sz w:val="28"/>
          <w:szCs w:val="28"/>
          <w:highlight w:val="none"/>
        </w:rPr>
        <w:t xml:space="preserve">或者</w:t>
      </w:r>
      <w:r>
        <w:rPr>
          <w:rFonts w:ascii="仿宋" w:hAnsi="仿宋" w:eastAsia="仿宋"/>
          <w:color w:val="auto"/>
          <w:sz w:val="28"/>
          <w:szCs w:val="28"/>
          <w:highlight w:val="none"/>
        </w:rPr>
        <w:t xml:space="preserve">残疾人福利性单位的</w:t>
      </w:r>
      <w:r>
        <w:rPr>
          <w:rFonts w:hint="eastAsia" w:ascii="仿宋" w:hAnsi="仿宋" w:eastAsia="仿宋"/>
          <w:color w:val="auto"/>
          <w:sz w:val="28"/>
          <w:szCs w:val="28"/>
          <w:highlight w:val="none"/>
        </w:rPr>
        <w:t xml:space="preserve">，享受价格扣除优惠。</w:t>
      </w:r>
      <w:r/>
    </w:p>
    <w:p>
      <w:pPr>
        <w:ind w:firstLine="482"/>
        <w:jc w:val="left"/>
        <w:spacing w:line="500" w:lineRule="exact"/>
        <w:shd w:val="clear" w:color="auto" w:fill="ffffff"/>
        <w:widowControl/>
        <w:rPr>
          <w:rFonts w:ascii="仿宋" w:hAnsi="仿宋" w:eastAsia="仿宋" w:cs="宋体"/>
          <w:iCs/>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s="宋体"/>
          <w:iCs/>
          <w:color w:val="auto"/>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iCs/>
          <w:color w:val="auto"/>
          <w:sz w:val="28"/>
          <w:szCs w:val="28"/>
          <w:highlight w:val="none"/>
        </w:rPr>
        <w:t xml:space="preserve">。</w:t>
      </w:r>
      <w:r/>
    </w:p>
    <w:p>
      <w:pPr>
        <w:ind w:firstLine="482"/>
        <w:jc w:val="left"/>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s="宋体"/>
          <w:iCs/>
          <w:color w:val="auto"/>
          <w:sz w:val="28"/>
          <w:szCs w:val="28"/>
          <w:highlight w:val="none"/>
        </w:rPr>
        <w:t xml:space="preserve">（3）</w:t>
      </w:r>
      <w:r>
        <w:rPr>
          <w:rFonts w:hint="eastAsia" w:ascii="仿宋" w:hAnsi="仿宋" w:eastAsia="仿宋"/>
          <w:iCs/>
          <w:color w:val="auto"/>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cs="宋体"/>
          <w:iCs/>
          <w:color w:val="auto"/>
          <w:sz w:val="28"/>
          <w:szCs w:val="28"/>
          <w:highlight w:val="none"/>
        </w:rPr>
        <w:t xml:space="preserve">,以及全国认证认可信息公共服务平台查询截图</w:t>
      </w:r>
      <w:r>
        <w:rPr>
          <w:rFonts w:hint="eastAsia" w:ascii="仿宋" w:hAnsi="仿宋" w:eastAsia="仿宋"/>
          <w:i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b/>
          <w:bCs/>
          <w:color w:val="auto"/>
          <w:sz w:val="28"/>
          <w:szCs w:val="28"/>
          <w:highlight w:val="none"/>
        </w:rPr>
        <w:t xml:space="preserve">响应供应商须提供承诺函，格式自拟。不提供视为无效响应。</w:t>
      </w:r>
      <w:r/>
    </w:p>
    <w:p>
      <w:pPr>
        <w:ind w:firstLine="567"/>
        <w:jc w:val="left"/>
        <w:spacing w:line="500" w:lineRule="exact"/>
        <w:shd w:val="clear" w:color="auto" w:fill="ffffff"/>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 本项目的特定资格要求：</w:t>
      </w:r>
      <w:r/>
    </w:p>
    <w:p>
      <w:pPr>
        <w:ind w:firstLine="567"/>
        <w:jc w:val="left"/>
        <w:spacing w:line="500" w:lineRule="exact"/>
        <w:shd w:val="clear" w:color="auto" w:fill="ffffff"/>
        <w:widowControl/>
        <w:rPr>
          <w:rFonts w:ascii="仿宋" w:hAnsi="仿宋" w:eastAsia="仿宋" w:cs="宋体"/>
          <w:iCs/>
          <w:color w:val="auto"/>
          <w:sz w:val="28"/>
          <w:szCs w:val="28"/>
          <w:highlight w:val="none"/>
        </w:rPr>
      </w:pPr>
      <w:r>
        <w:rPr>
          <w:rFonts w:hint="eastAsia" w:ascii="仿宋" w:hAnsi="仿宋" w:eastAsia="仿宋" w:cs="仿宋"/>
          <w:b/>
          <w:bCs/>
          <w:color w:val="auto"/>
          <w:sz w:val="28"/>
          <w:szCs w:val="28"/>
          <w:highlight w:val="none"/>
          <w:shd w:val="clear" w:color="auto" w:fill="ffffff"/>
        </w:rPr>
        <w:t xml:space="preserve">本项目需供应商提供所投主要产品《关于符合本国产品标准的声明函》，格式见附件。</w:t>
      </w:r>
      <w:r/>
    </w:p>
    <w:p>
      <w:pPr>
        <w:ind w:firstLine="567"/>
        <w:jc w:val="left"/>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s="宋体"/>
          <w:iCs/>
          <w:color w:val="auto"/>
          <w:sz w:val="28"/>
          <w:szCs w:val="28"/>
          <w:highlight w:val="none"/>
        </w:rPr>
        <w:t xml:space="preserve">5.</w:t>
      </w:r>
      <w:r>
        <w:rPr>
          <w:rFonts w:hint="eastAsia" w:ascii="仿宋" w:hAnsi="仿宋" w:eastAsia="仿宋" w:cs="宋体"/>
          <w:color w:val="auto"/>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cs="宋体"/>
          <w:iCs/>
          <w:color w:val="auto"/>
          <w:sz w:val="28"/>
          <w:szCs w:val="28"/>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ind w:firstLine="560"/>
        <w:jc w:val="left"/>
        <w:spacing w:line="500" w:lineRule="exact"/>
        <w:widowControl/>
        <w:rPr>
          <w:rFonts w:ascii="黑体" w:hAnsi="黑体" w:eastAsia="黑体"/>
          <w:color w:val="auto"/>
          <w:sz w:val="28"/>
          <w:szCs w:val="28"/>
          <w:highlight w:val="none"/>
        </w:rPr>
        <w:outlineLvl w:val="1"/>
      </w:pPr>
      <w:r/>
      <w:bookmarkStart w:id="14" w:name="_Toc35393800"/>
      <w:r/>
      <w:bookmarkStart w:id="15" w:name="_Toc35393631"/>
      <w:r/>
      <w:bookmarkStart w:id="16" w:name="_Toc28508"/>
      <w:r>
        <w:rPr>
          <w:rFonts w:hint="eastAsia" w:ascii="黑体" w:hAnsi="黑体" w:eastAsia="黑体"/>
          <w:color w:val="auto"/>
          <w:sz w:val="28"/>
          <w:szCs w:val="28"/>
          <w:highlight w:val="none"/>
        </w:rPr>
        <w:t xml:space="preserve">三、获取竞争性磋商文件</w:t>
      </w:r>
      <w:bookmarkEnd w:id="12"/>
      <w:r/>
      <w:bookmarkEnd w:id="13"/>
      <w:r/>
      <w:bookmarkEnd w:id="14"/>
      <w:r/>
      <w:bookmarkEnd w:id="15"/>
      <w:r/>
      <w:bookmarkEnd w:id="16"/>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时间：公告发布之日起5个工作日内</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3.方式：</w:t>
      </w:r>
      <w:r>
        <w:rPr>
          <w:rFonts w:hint="eastAsia" w:ascii="仿宋" w:hAnsi="仿宋" w:eastAsia="仿宋" w:cs="仿宋"/>
          <w:color w:val="auto"/>
          <w:sz w:val="30"/>
          <w:highlight w:val="none"/>
        </w:rPr>
        <w:t xml:space="preserve">本项目采用“苏采云”系统网上注册登记方式，具体详见《江苏省政府采购管理交易系统（苏采云）投标人操作手册》。</w:t>
      </w:r>
      <w:r/>
    </w:p>
    <w:p>
      <w:pPr>
        <w:ind w:firstLine="560"/>
        <w:jc w:val="left"/>
        <w:spacing w:line="500" w:lineRule="exact"/>
        <w:widowControl/>
        <w:rPr>
          <w:rFonts w:ascii="黑体" w:hAnsi="黑体" w:eastAsia="黑体"/>
          <w:color w:val="auto"/>
          <w:sz w:val="28"/>
          <w:szCs w:val="28"/>
          <w:highlight w:val="none"/>
        </w:rPr>
        <w:outlineLvl w:val="1"/>
      </w:pPr>
      <w:r/>
      <w:bookmarkStart w:id="17" w:name="_Toc35393632"/>
      <w:r/>
      <w:bookmarkStart w:id="18" w:name="_Toc28359015"/>
      <w:r/>
      <w:bookmarkStart w:id="19" w:name="_Toc28359092"/>
      <w:r/>
      <w:bookmarkStart w:id="20" w:name="_Toc35393801"/>
      <w:r/>
      <w:bookmarkStart w:id="21" w:name="_Toc19217"/>
      <w:r>
        <w:rPr>
          <w:rFonts w:hint="eastAsia" w:ascii="黑体" w:hAnsi="黑体" w:eastAsia="黑体"/>
          <w:color w:val="auto"/>
          <w:sz w:val="28"/>
          <w:szCs w:val="28"/>
          <w:highlight w:val="none"/>
        </w:rPr>
        <w:t xml:space="preserve">四、</w:t>
      </w:r>
      <w:bookmarkEnd w:id="17"/>
      <w:r/>
      <w:bookmarkEnd w:id="18"/>
      <w:r/>
      <w:bookmarkEnd w:id="19"/>
      <w:r/>
      <w:bookmarkEnd w:id="20"/>
      <w:r>
        <w:rPr>
          <w:rFonts w:hint="eastAsia" w:ascii="黑体" w:hAnsi="黑体" w:eastAsia="黑体"/>
          <w:color w:val="auto"/>
          <w:sz w:val="28"/>
          <w:szCs w:val="28"/>
          <w:highlight w:val="none"/>
        </w:rPr>
        <w:t xml:space="preserve">竞争性磋商响应文件提交和开启</w:t>
      </w:r>
      <w:bookmarkEnd w:id="21"/>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截止时间：2026</w:t>
      </w:r>
      <w:r>
        <w:rPr>
          <w:rFonts w:hint="eastAsia" w:ascii="仿宋" w:hAnsi="仿宋" w:eastAsia="仿宋"/>
          <w:bCs/>
          <w:color w:val="auto"/>
          <w:sz w:val="28"/>
          <w:szCs w:val="28"/>
          <w:highlight w:val="none"/>
        </w:rPr>
        <w:t xml:space="preserve">年0</w:t>
      </w:r>
      <w:r>
        <w:rPr>
          <w:rFonts w:hint="eastAsia" w:ascii="仿宋" w:hAnsi="仿宋" w:eastAsia="仿宋"/>
          <w:bCs/>
          <w:color w:val="auto"/>
          <w:sz w:val="28"/>
          <w:szCs w:val="28"/>
          <w:highlight w:val="none"/>
          <w:lang w:val="en-US" w:eastAsia="zh-CN"/>
        </w:rPr>
        <w:t xml:space="preserve">6</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01</w:t>
      </w:r>
      <w:r>
        <w:rPr>
          <w:rFonts w:hint="eastAsia" w:ascii="仿宋" w:hAnsi="仿宋" w:eastAsia="仿宋"/>
          <w:bCs/>
          <w:color w:val="auto"/>
          <w:sz w:val="28"/>
          <w:szCs w:val="28"/>
          <w:highlight w:val="none"/>
        </w:rPr>
        <w:t xml:space="preserve">日09点00分（北京时间）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开启时间：2026</w:t>
      </w:r>
      <w:r>
        <w:rPr>
          <w:rFonts w:hint="eastAsia" w:ascii="仿宋" w:hAnsi="仿宋" w:eastAsia="仿宋"/>
          <w:bCs/>
          <w:color w:val="auto"/>
          <w:sz w:val="28"/>
          <w:szCs w:val="28"/>
          <w:highlight w:val="none"/>
        </w:rPr>
        <w:t xml:space="preserve">年0</w:t>
      </w:r>
      <w:r>
        <w:rPr>
          <w:rFonts w:hint="eastAsia" w:ascii="仿宋" w:hAnsi="仿宋" w:eastAsia="仿宋"/>
          <w:bCs/>
          <w:color w:val="auto"/>
          <w:sz w:val="28"/>
          <w:szCs w:val="28"/>
          <w:highlight w:val="none"/>
          <w:lang w:val="en-US" w:eastAsia="zh-CN"/>
        </w:rPr>
        <w:t xml:space="preserve">6</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01</w:t>
      </w:r>
      <w:r>
        <w:rPr>
          <w:rFonts w:hint="eastAsia" w:ascii="仿宋" w:hAnsi="仿宋" w:eastAsia="仿宋"/>
          <w:bCs/>
          <w:color w:val="auto"/>
          <w:sz w:val="28"/>
          <w:szCs w:val="28"/>
          <w:highlight w:val="none"/>
        </w:rPr>
        <w:t xml:space="preserve">日09点00分（北京时间）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ind w:firstLine="560"/>
        <w:jc w:val="left"/>
        <w:spacing w:line="500" w:lineRule="exact"/>
        <w:widowControl/>
        <w:rPr>
          <w:rFonts w:ascii="黑体" w:hAnsi="黑体" w:eastAsia="黑体"/>
          <w:color w:val="auto"/>
          <w:sz w:val="28"/>
          <w:szCs w:val="28"/>
          <w:highlight w:val="none"/>
        </w:rPr>
        <w:outlineLvl w:val="1"/>
      </w:pPr>
      <w:r/>
      <w:bookmarkStart w:id="22" w:name="_Toc28359094"/>
      <w:r/>
      <w:bookmarkStart w:id="23" w:name="_Toc35393634"/>
      <w:r/>
      <w:bookmarkStart w:id="24" w:name="_Toc35393803"/>
      <w:r/>
      <w:bookmarkStart w:id="25" w:name="_Toc17952"/>
      <w:r/>
      <w:bookmarkStart w:id="26" w:name="_Toc28359017"/>
      <w:r>
        <w:rPr>
          <w:rFonts w:hint="eastAsia" w:ascii="黑体" w:hAnsi="黑体" w:eastAsia="黑体"/>
          <w:color w:val="auto"/>
          <w:sz w:val="28"/>
          <w:szCs w:val="28"/>
          <w:highlight w:val="none"/>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w:t>
      </w:r>
      <w:r>
        <w:rPr>
          <w:rFonts w:hint="eastAsia" w:ascii="仿宋" w:hAnsi="仿宋" w:eastAsia="仿宋" w:cs="宋体"/>
          <w:color w:val="auto"/>
          <w:sz w:val="28"/>
          <w:szCs w:val="28"/>
          <w:highlight w:val="none"/>
          <w:lang w:val="en-US" w:eastAsia="zh-CN"/>
        </w:rPr>
        <w:t xml:space="preserve">3</w:t>
      </w:r>
      <w:r>
        <w:rPr>
          <w:rFonts w:hint="eastAsia" w:ascii="仿宋" w:hAnsi="仿宋" w:eastAsia="仿宋" w:cs="宋体"/>
          <w:color w:val="auto"/>
          <w:sz w:val="28"/>
          <w:szCs w:val="28"/>
          <w:highlight w:val="none"/>
        </w:rPr>
        <w:t xml:space="preserve">个工作日。</w:t>
      </w:r>
      <w:r/>
    </w:p>
    <w:p>
      <w:pPr>
        <w:ind w:firstLine="560"/>
        <w:jc w:val="left"/>
        <w:spacing w:line="500" w:lineRule="exact"/>
        <w:widowControl/>
        <w:rPr>
          <w:rFonts w:ascii="黑体" w:hAnsi="黑体" w:eastAsia="黑体"/>
          <w:color w:val="auto"/>
          <w:sz w:val="28"/>
          <w:szCs w:val="28"/>
          <w:highlight w:val="none"/>
        </w:rPr>
        <w:outlineLvl w:val="1"/>
      </w:pPr>
      <w:r/>
      <w:bookmarkStart w:id="27" w:name="_Toc35393804"/>
      <w:r/>
      <w:bookmarkStart w:id="28" w:name="_Toc35393635"/>
      <w:r/>
      <w:bookmarkStart w:id="29" w:name="_Toc17820"/>
      <w:r>
        <w:rPr>
          <w:rFonts w:hint="eastAsia" w:ascii="黑体" w:hAnsi="黑体" w:eastAsia="黑体"/>
          <w:color w:val="auto"/>
          <w:sz w:val="28"/>
          <w:szCs w:val="28"/>
          <w:highlight w:val="none"/>
        </w:rPr>
        <w:t xml:space="preserve">六、其他补充事宜</w:t>
      </w:r>
      <w:bookmarkEnd w:id="27"/>
      <w:r/>
      <w:bookmarkEnd w:id="28"/>
      <w:r/>
      <w:bookmarkEnd w:id="29"/>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w:t>
      </w:r>
      <w:r>
        <w:rPr>
          <w:rFonts w:hint="eastAsia" w:ascii="仿宋" w:hAnsi="仿宋" w:eastAsia="仿宋"/>
          <w:bCs/>
          <w:color w:val="auto"/>
          <w:sz w:val="28"/>
          <w:szCs w:val="28"/>
          <w:highlight w:val="none"/>
        </w:rPr>
        <w:t xml:space="preserve">《江苏省政府采购管理交易系统（苏采云）供应商操作指南》</w:t>
      </w:r>
      <w:r>
        <w:rPr>
          <w:rFonts w:hint="eastAsia" w:ascii="仿宋" w:hAnsi="仿宋" w:eastAsia="仿宋"/>
          <w:color w:val="auto"/>
          <w:sz w:val="28"/>
          <w:szCs w:val="28"/>
          <w:highlight w:val="none"/>
        </w:rPr>
        <w:t xml:space="preserve">，特别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Fonts w:ascii="仿宋" w:hAnsi="仿宋" w:eastAsia="仿宋" w:cs="宋体"/>
          <w:bCs/>
          <w:color w:val="auto"/>
          <w:sz w:val="28"/>
          <w:szCs w:val="28"/>
          <w:highlight w:val="none"/>
          <w:u w:val="single"/>
        </w:rPr>
        <w:t xml:space="preserve">http://jsxcmm.com/help/gys.html</w:t>
      </w:r>
      <w:r>
        <w:rPr>
          <w:rFonts w:ascii="仿宋" w:hAnsi="仿宋" w:eastAsia="仿宋" w:cs="宋体"/>
          <w:bCs/>
          <w:color w:val="auto"/>
          <w:sz w:val="28"/>
          <w:szCs w:val="28"/>
          <w:highlight w:val="none"/>
          <w:u w:val="singl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b/>
          <w:color w:val="auto"/>
          <w:sz w:val="28"/>
          <w:szCs w:val="28"/>
          <w:highlight w:val="none"/>
        </w:rPr>
      </w:pPr>
      <w:r>
        <w:rPr>
          <w:rFonts w:hint="eastAsia" w:ascii="仿宋" w:hAnsi="仿宋" w:eastAsia="仿宋" w:cs="宋体"/>
          <w:color w:val="auto"/>
          <w:sz w:val="28"/>
          <w:szCs w:val="28"/>
          <w:highlight w:val="none"/>
        </w:rPr>
        <w:t xml:space="preserve">2. 磋商</w:t>
      </w:r>
      <w:r>
        <w:rPr>
          <w:rFonts w:ascii="仿宋" w:hAnsi="仿宋" w:eastAsia="仿宋" w:cs="宋体"/>
          <w:color w:val="auto"/>
          <w:sz w:val="28"/>
          <w:szCs w:val="28"/>
          <w:highlight w:val="none"/>
        </w:rPr>
        <w:t xml:space="preserve">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rPr>
          <w:rFonts w:hint="eastAsia" w:ascii="仿宋" w:hAnsi="仿宋" w:eastAsia="仿宋" w:cs="宋体"/>
          <w:color w:val="auto"/>
          <w:sz w:val="28"/>
          <w:szCs w:val="28"/>
          <w:highlight w:val="none"/>
        </w:rPr>
        <w:t xml:space="preserve">。</w:t>
      </w:r>
      <w:r/>
    </w:p>
    <w:p>
      <w:pPr>
        <w:ind w:firstLine="560"/>
        <w:jc w:val="left"/>
        <w:spacing w:line="500" w:lineRule="exact"/>
        <w:widowControl/>
        <w:rPr>
          <w:rFonts w:ascii="黑体" w:hAnsi="黑体" w:eastAsia="黑体"/>
          <w:color w:val="auto"/>
          <w:sz w:val="28"/>
          <w:szCs w:val="28"/>
          <w:highlight w:val="none"/>
        </w:rPr>
        <w:outlineLvl w:val="1"/>
      </w:pPr>
      <w:r/>
      <w:bookmarkStart w:id="30" w:name="_Toc25502"/>
      <w:r/>
      <w:bookmarkStart w:id="31" w:name="_Toc28359095"/>
      <w:r/>
      <w:bookmarkStart w:id="32" w:name="_Toc28359018"/>
      <w:r/>
      <w:bookmarkStart w:id="33" w:name="_Toc35393636"/>
      <w:r/>
      <w:bookmarkStart w:id="34" w:name="_Toc35393805"/>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30"/>
      <w:r/>
      <w:bookmarkEnd w:id="31"/>
      <w:r/>
      <w:bookmarkEnd w:id="32"/>
      <w:r/>
      <w:bookmarkEnd w:id="33"/>
      <w:r/>
      <w:bookmarkEnd w:id="34"/>
      <w:r/>
      <w:r/>
    </w:p>
    <w:p>
      <w:pPr>
        <w:ind w:firstLine="540"/>
        <w:spacing w:line="500" w:lineRule="exact"/>
        <w:rPr>
          <w:rFonts w:ascii="仿宋" w:hAnsi="仿宋" w:eastAsia="仿宋" w:cs="宋体"/>
          <w:color w:val="auto"/>
          <w:sz w:val="28"/>
          <w:szCs w:val="28"/>
          <w:highlight w:val="none"/>
        </w:rPr>
      </w:pPr>
      <w:r/>
      <w:bookmarkStart w:id="35" w:name="_Toc28359019"/>
      <w:r/>
      <w:bookmarkStart w:id="36" w:name="_Toc35393637"/>
      <w:r/>
      <w:bookmarkStart w:id="37" w:name="_Toc28359096"/>
      <w:r/>
      <w:bookmarkStart w:id="38" w:name="_Toc35393806"/>
      <w:r>
        <w:rPr>
          <w:rFonts w:hint="eastAsia" w:ascii="仿宋" w:hAnsi="仿宋" w:eastAsia="仿宋" w:cs="宋体"/>
          <w:color w:val="auto"/>
          <w:sz w:val="28"/>
          <w:szCs w:val="28"/>
          <w:highlight w:val="none"/>
        </w:rPr>
        <w:t xml:space="preserve">1. 采购人信息</w:t>
      </w:r>
      <w:bookmarkEnd w:id="35"/>
      <w:r/>
      <w:bookmarkEnd w:id="36"/>
      <w:r/>
      <w:bookmarkEnd w:id="37"/>
      <w:r/>
      <w:bookmarkEnd w:id="38"/>
      <w:r/>
      <w:r/>
    </w:p>
    <w:p>
      <w:pPr>
        <w:ind w:left="1129" w:hanging="35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名    称：如皋市长江镇人民政府</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址：如皋市长江镇</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项目经办人姓名：缪阳洋</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项目经办人联系方式：15062749909</w:t>
      </w:r>
      <w:r/>
    </w:p>
    <w:p>
      <w:pPr>
        <w:ind w:firstLine="540"/>
        <w:spacing w:line="500" w:lineRule="exact"/>
        <w:rPr>
          <w:rFonts w:ascii="仿宋" w:hAnsi="仿宋" w:eastAsia="仿宋" w:cs="宋体"/>
          <w:color w:val="auto"/>
          <w:sz w:val="28"/>
          <w:szCs w:val="28"/>
          <w:highlight w:val="none"/>
        </w:rPr>
      </w:pPr>
      <w:r/>
      <w:bookmarkStart w:id="39" w:name="_Toc28359020"/>
      <w:r/>
      <w:bookmarkStart w:id="40" w:name="_Toc28359097"/>
      <w:r/>
      <w:bookmarkStart w:id="41" w:name="_Toc35393638"/>
      <w:r/>
      <w:bookmarkStart w:id="42" w:name="_Toc35393807"/>
      <w:r>
        <w:rPr>
          <w:rFonts w:hint="eastAsia" w:ascii="仿宋" w:hAnsi="仿宋" w:eastAsia="仿宋" w:cs="宋体"/>
          <w:color w:val="auto"/>
          <w:sz w:val="28"/>
          <w:szCs w:val="28"/>
          <w:highlight w:val="none"/>
        </w:rPr>
        <w:t xml:space="preserve">2. 采购代理机构信息</w:t>
      </w:r>
      <w:bookmarkEnd w:id="39"/>
      <w:r/>
      <w:bookmarkEnd w:id="40"/>
      <w:r/>
      <w:bookmarkEnd w:id="41"/>
      <w:r/>
      <w:bookmarkEnd w:id="42"/>
      <w:r/>
      <w:r/>
    </w:p>
    <w:p>
      <w:pPr>
        <w:ind w:firstLine="84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名    称：江苏海审工程咨询有限公司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址：如皋市大司马南路惠政新村A区综合楼三楼</w:t>
      </w:r>
      <w:r/>
    </w:p>
    <w:p>
      <w:pPr>
        <w:ind w:firstLine="84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项目经办人姓名：李洪霞</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项目经办人联系方式：18921637230</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1.办理政采贷和履约保函（保险）告知函</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2.磋商</w:t>
      </w:r>
      <w:r>
        <w:rPr>
          <w:rFonts w:ascii="仿宋" w:hAnsi="仿宋" w:eastAsia="仿宋"/>
          <w:b/>
          <w:color w:val="auto"/>
          <w:sz w:val="28"/>
          <w:szCs w:val="28"/>
          <w:highlight w:val="none"/>
        </w:rPr>
        <w:t xml:space="preserve">文件</w:t>
      </w:r>
      <w:r/>
    </w:p>
    <w:p>
      <w:pPr>
        <w:jc w:val="left"/>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jc w:val="center"/>
        <w:spacing w:before="120" w:after="120"/>
        <w:rPr>
          <w:rFonts w:ascii="仿宋" w:hAnsi="仿宋" w:eastAsia="仿宋"/>
          <w:b/>
          <w:color w:val="auto"/>
          <w:sz w:val="28"/>
          <w:szCs w:val="28"/>
          <w:highlight w:val="none"/>
        </w:rPr>
        <w:outlineLvl w:val="0"/>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rPr>
          <w:rFonts w:ascii="仿宋" w:hAnsi="仿宋" w:eastAsia="仿宋"/>
          <w:b/>
          <w:color w:val="auto"/>
          <w:sz w:val="28"/>
          <w:szCs w:val="28"/>
          <w:highlight w:val="none"/>
        </w:rPr>
      </w:pPr>
      <w:r>
        <w:rPr>
          <w:rFonts w:ascii="仿宋" w:hAnsi="仿宋" w:eastAsia="仿宋"/>
          <w:b/>
          <w:color w:val="auto"/>
          <w:sz w:val="28"/>
          <w:szCs w:val="28"/>
          <w:highlight w:val="none"/>
        </w:rPr>
      </w:r>
      <w:r/>
    </w:p>
    <w:p>
      <w:pPr>
        <w:jc w:val="center"/>
        <w:rPr>
          <w:rFonts w:ascii="微软雅黑" w:hAnsi="Arial" w:eastAsia="微软雅黑"/>
          <w:bCs/>
          <w:color w:val="auto"/>
          <w:sz w:val="32"/>
          <w:szCs w:val="32"/>
          <w:highlight w:val="none"/>
        </w:rPr>
      </w:pPr>
      <w:r>
        <w:rPr>
          <w:rFonts w:ascii="仿宋" w:hAnsi="仿宋" w:eastAsia="仿宋"/>
          <w:b/>
          <w:color w:val="auto"/>
          <w:sz w:val="28"/>
          <w:szCs w:val="28"/>
          <w:highlight w:val="none"/>
        </w:rPr>
        <w:br w:type="page" w:clear="all"/>
      </w:r>
      <w:bookmarkStart w:id="43" w:name="_Toc10472"/>
      <w:r>
        <w:rPr>
          <w:rFonts w:hint="eastAsia" w:ascii="微软雅黑" w:hAnsi="Arial" w:eastAsia="微软雅黑"/>
          <w:bCs/>
          <w:color w:val="auto"/>
          <w:sz w:val="32"/>
          <w:szCs w:val="32"/>
          <w:highlight w:val="none"/>
        </w:rPr>
        <w:t xml:space="preserve">第2章 磋商须知</w:t>
      </w:r>
      <w:bookmarkEnd w:id="43"/>
      <w:r/>
      <w:r/>
    </w:p>
    <w:p>
      <w:pPr>
        <w:ind w:firstLine="548"/>
        <w:spacing w:line="500" w:lineRule="exact"/>
        <w:rPr>
          <w:rFonts w:ascii="黑体" w:hAnsi="黑体" w:eastAsia="黑体"/>
          <w:color w:val="auto"/>
          <w:sz w:val="28"/>
          <w:szCs w:val="28"/>
          <w:highlight w:val="none"/>
        </w:rPr>
        <w:outlineLvl w:val="1"/>
      </w:pPr>
      <w:r/>
      <w:bookmarkStart w:id="44" w:name="_Toc23817"/>
      <w:r>
        <w:rPr>
          <w:rFonts w:hint="eastAsia" w:ascii="黑体" w:hAnsi="黑体" w:eastAsia="黑体"/>
          <w:color w:val="auto"/>
          <w:sz w:val="28"/>
          <w:szCs w:val="28"/>
          <w:highlight w:val="none"/>
        </w:rPr>
        <w:t xml:space="preserve">1. 参加磋商费用</w:t>
      </w:r>
      <w:bookmarkEnd w:id="44"/>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color w:val="auto"/>
          <w:sz w:val="28"/>
          <w:szCs w:val="28"/>
          <w:highlight w:val="none"/>
        </w:rPr>
        <w:outlineLvl w:val="1"/>
      </w:pPr>
      <w:r/>
      <w:bookmarkStart w:id="45" w:name="_Toc20180"/>
      <w:r>
        <w:rPr>
          <w:rFonts w:hint="eastAsia" w:ascii="黑体" w:hAnsi="黑体" w:eastAsia="黑体"/>
          <w:color w:val="auto"/>
          <w:sz w:val="28"/>
          <w:szCs w:val="28"/>
          <w:highlight w:val="none"/>
        </w:rPr>
        <w:t xml:space="preserve">2. 磋商文件的约束力</w:t>
      </w:r>
      <w:bookmarkEnd w:id="45"/>
      <w:r/>
      <w:r/>
    </w:p>
    <w:p>
      <w:pPr>
        <w:ind w:left="120" w:firstLine="55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color w:val="auto"/>
          <w:sz w:val="28"/>
          <w:szCs w:val="28"/>
          <w:highlight w:val="none"/>
        </w:rPr>
        <w:outlineLvl w:val="1"/>
      </w:pPr>
      <w:r/>
      <w:bookmarkStart w:id="46" w:name="_Toc16476"/>
      <w:r>
        <w:rPr>
          <w:rFonts w:hint="eastAsia" w:ascii="黑体" w:hAnsi="黑体" w:eastAsia="黑体"/>
          <w:color w:val="auto"/>
          <w:sz w:val="28"/>
          <w:szCs w:val="28"/>
          <w:highlight w:val="none"/>
        </w:rPr>
        <w:t xml:space="preserve">3.响应文件编制</w:t>
      </w:r>
      <w:bookmarkEnd w:id="46"/>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47" w:name="_Toc702"/>
      <w:r>
        <w:rPr>
          <w:rFonts w:hint="eastAsia" w:ascii="黑体" w:hAnsi="黑体" w:eastAsia="黑体"/>
          <w:color w:val="auto"/>
          <w:sz w:val="28"/>
          <w:szCs w:val="28"/>
          <w:highlight w:val="none"/>
        </w:rPr>
        <w:t xml:space="preserve">4.响应文件提交、撤回和修改</w:t>
      </w:r>
      <w:bookmarkEnd w:id="47"/>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对CA证书妥善保管，如被他人盗用投标，因此带来的后果均由供应商自行承担。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供应商可在响应文件提交截止时间前，撤回其电子响应文件，具体操作方法见《江苏省政府采购管理交易系统（苏采云）供应商操作指南》。供应商撤回电子响应文件的，则认为其不再参与本项目磋商活动。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响应文件的有效期：从提交响应文件截止日起90天。</w:t>
      </w:r>
      <w:r/>
    </w:p>
    <w:p>
      <w:pPr>
        <w:ind w:firstLine="560"/>
        <w:spacing w:line="500" w:lineRule="exact"/>
        <w:tabs>
          <w:tab w:val="left" w:pos="900" w:leader="none"/>
        </w:tabs>
        <w:rPr>
          <w:rFonts w:ascii="仿宋" w:hAnsi="仿宋" w:eastAsia="仿宋"/>
          <w:color w:val="auto"/>
          <w:sz w:val="28"/>
          <w:szCs w:val="28"/>
          <w:highlight w:val="none"/>
        </w:rPr>
        <w:outlineLvl w:val="1"/>
      </w:pPr>
      <w:r/>
      <w:bookmarkStart w:id="48" w:name="_Toc29592"/>
      <w:r>
        <w:rPr>
          <w:rFonts w:hint="eastAsia" w:ascii="黑体" w:hAnsi="黑体" w:eastAsia="黑体"/>
          <w:color w:val="auto"/>
          <w:sz w:val="28"/>
          <w:szCs w:val="28"/>
          <w:highlight w:val="none"/>
        </w:rPr>
        <w:t xml:space="preserve">5. 磋商</w:t>
      </w:r>
      <w:bookmarkEnd w:id="4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 采购人或者代理机构将在竞争性磋商公告中规定的时间和地点组织竞争性磋商活动。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w:t>
      </w:r>
      <w:bookmarkStart w:id="49" w:name="OLE_LINK19"/>
      <w:r>
        <w:rPr>
          <w:rFonts w:hint="eastAsia" w:ascii="仿宋" w:hAnsi="仿宋" w:eastAsia="仿宋"/>
          <w:bCs/>
          <w:color w:val="auto"/>
          <w:sz w:val="28"/>
          <w:szCs w:val="28"/>
          <w:highlight w:val="none"/>
        </w:rPr>
        <w:t xml:space="preserve">时间</w:t>
      </w:r>
      <w:bookmarkEnd w:id="49"/>
      <w:r>
        <w:rPr>
          <w:rFonts w:hint="eastAsia" w:ascii="仿宋" w:hAnsi="仿宋" w:eastAsia="仿宋"/>
          <w:bCs/>
          <w:color w:val="auto"/>
          <w:sz w:val="28"/>
          <w:szCs w:val="28"/>
          <w:highlight w:val="none"/>
        </w:rPr>
        <w:t xml:space="preserve">内未能解密、解密失败或解密超时，视为响应供应商撤销其响应文件，系统内响应文件将被退回。</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磋商小组对响应文件的有效性、完整性和响应程度进行审查。磋商小组审查分为资格审查、符合性审查和综合评审。响应供应商未通过资格审查、符合性审查的，告知其具体原因。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接到澄清要求的供应商，应在磋商小组规定的时间内做出澄清，澄清的内容作为响应文件的补充部分，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供应商在评审全过程中应保持通讯畅通，并安排专人与采购人或采购代理机构及磋商小组联系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 有下列情形之一的，视为供应商串通，其响应无效：</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5.14.1不同供应商的响应文件由同一单位或者个人编制；</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5.14.2不同供应商的电子响应文件由同一台电子设备编制、打包、加密或者上传；</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5.14.3 不同供应商的响应文件由同一供应商的电子设备打印、复印；</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5.14.4不同供应商的响应报价用同一个预算编制软件密码锁制作或者出自同一供应商的电子文档；</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5.14.5不同供应商从同一个单位或者同一个自然人的互联网协议地址下载竞争性磋商文件、上传响应文件；</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5.14.6 不同供应商的响应文件异常一致或者响应报价呈规律性差异；</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5.14.7 不同供应商委托同一单位或者个人办理磋商事宜；</w:t>
      </w:r>
      <w:r/>
    </w:p>
    <w:p>
      <w:pPr>
        <w:ind w:firstLine="57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5.14.8不同供应商的响应文件载明的项目管理成员或者联系人员为同一人；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5.14.9不同供应商的磋商保证金虽然经由供应商自己的基本账户转出，但所需资金来自同一单位或者个人的账户。</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5.15出现下列情形之一的，磋商小组应当启动异常低价响应审查程序： </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5.15.1.响应报价低于全部通过符合性审查供应商响应报价平均值50%的，即响应报价&lt;全部通过符合性审查供应商响应报价平均值×50%；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5.15.2.响应报价低于通过符合性审查的次低报价供应商响应报价50%的，即响应报价&lt;通过符合性审查的次低报价供应商响应报价×50%；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5.15.3.响应报价低于采购项目最高限价45%的，即响应报价&lt;采购项目最高限价×45%；</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5.15.4.磋商小组基于专业判断，认为供应商报价过低，有可能影响产品质量或者不能诚信履约的其他情形。</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jc w:val="left"/>
        <w:rPr>
          <w:rFonts w:ascii="Times New Roman" w:hAnsi="Times New Roman"/>
          <w:color w:val="auto"/>
          <w:sz w:val="18"/>
          <w:szCs w:val="18"/>
          <w:highlight w:val="none"/>
        </w:rPr>
      </w:pPr>
      <w:r>
        <w:rPr>
          <w:rFonts w:ascii="Times New Roman" w:hAnsi="Times New Roman"/>
          <w:color w:val="auto"/>
          <w:sz w:val="18"/>
          <w:szCs w:val="18"/>
          <w:highlight w:val="none"/>
        </w:rPr>
      </w:r>
      <w:r/>
    </w:p>
    <w:p>
      <w:pPr>
        <w:ind w:firstLine="560"/>
        <w:spacing w:line="500" w:lineRule="exact"/>
        <w:rPr>
          <w:rFonts w:ascii="黑体" w:hAnsi="黑体" w:eastAsia="黑体"/>
          <w:bCs/>
          <w:color w:val="auto"/>
          <w:sz w:val="28"/>
          <w:szCs w:val="28"/>
          <w:highlight w:val="none"/>
        </w:rPr>
        <w:outlineLvl w:val="1"/>
      </w:pPr>
      <w:r/>
      <w:bookmarkStart w:id="50" w:name="_Toc16952"/>
      <w:r>
        <w:rPr>
          <w:rFonts w:hint="eastAsia" w:ascii="黑体" w:hAnsi="黑体" w:eastAsia="黑体"/>
          <w:bCs/>
          <w:color w:val="auto"/>
          <w:sz w:val="28"/>
          <w:szCs w:val="28"/>
          <w:highlight w:val="none"/>
        </w:rPr>
        <w:t xml:space="preserve">6.成交和合同</w:t>
      </w:r>
      <w:bookmarkEnd w:id="50"/>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color w:val="auto"/>
          <w:sz w:val="28"/>
          <w:szCs w:val="28"/>
          <w:highlight w:val="none"/>
        </w:rPr>
        <w:outlineLvl w:val="1"/>
      </w:pPr>
      <w:r/>
      <w:bookmarkStart w:id="51" w:name="_Toc22335"/>
      <w:r>
        <w:rPr>
          <w:rFonts w:hint="eastAsia" w:ascii="黑体" w:hAnsi="黑体" w:eastAsia="黑体"/>
          <w:bCs/>
          <w:color w:val="auto"/>
          <w:sz w:val="28"/>
          <w:szCs w:val="28"/>
          <w:highlight w:val="none"/>
        </w:rPr>
        <w:t xml:space="preserve">7.政府采购政策功能落实</w:t>
      </w:r>
      <w:bookmarkEnd w:id="51"/>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7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59"/>
        <w:gridCol w:w="1673"/>
        <w:gridCol w:w="790"/>
        <w:gridCol w:w="2116"/>
        <w:gridCol w:w="1818"/>
        <w:gridCol w:w="1198"/>
      </w:tblGrid>
      <w:tr>
        <w:trPr>
          <w:cantSplit/>
          <w:jc w:val="center"/>
          <w:tblHeader/>
        </w:trPr>
        <w:tc>
          <w:tcPr>
            <w:tcW w:w="1954"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500≤Y&lt;20000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50≤Y&lt;500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工业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300≤X&lt;1000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20≤X&lt;300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2000≤Y&lt;40000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300≤Y&lt;2000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6000≤Y&lt;80000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300≤Y&lt;6000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5000≤Z &lt;80000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300≤Z &lt;5000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20≤X&lt;200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5≤X&lt;20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5000≤Y&lt;50000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1000≤Y&lt;5000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50≤X&lt;300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10≤X&lt;50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500≤Y&lt;20000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100≤Y&lt;500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300≤X&lt;1000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20≤X&lt;300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3000≤Y&lt;30000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200≤Y&lt;3000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100≤X&lt;200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20≤X&lt;100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1000≤Y&lt;30000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100≤Y&lt;1000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300≤X&lt;1000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20≤X&lt;300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2000≤Y&lt;30000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100≤Y&lt;2000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100≤X&lt;300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10≤X&lt;100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2000≤Y&lt;10000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100≤Y&lt;2000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100≤X&lt;300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10≤X&lt;100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2000≤Y&lt;10000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100≤Y&lt;2000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100≤X&lt;2000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10≤X&lt;100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1000≤Y&lt;100000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100≤Y&lt;1000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100≤X&lt;300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10≤X&lt;100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1000≤Y&lt;10000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50≤Y&lt;1000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1000≤Y&lt;200000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100≤Y&lt;1000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5000≤Z &lt;10000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2000≤Z &lt;5000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300≤X&lt;1000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100≤X&lt;300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1000≤Y&lt;5000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500≤Y&lt;1000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100≤X&lt;300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10≤X&lt;100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8000≤Z &lt;120000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100≤Z &lt;8000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100≤X&lt;300</w:t>
            </w:r>
            <w:r/>
          </w:p>
        </w:tc>
        <w:tc>
          <w:tcPr>
            <w:tcW w:w="1572"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10≤X&lt;100</w:t>
            </w:r>
            <w:r/>
          </w:p>
        </w:tc>
        <w:tc>
          <w:tcPr>
            <w:tcW w:w="1036" w:type="dxa"/>
            <w:vAlign w:val="center"/>
            <w:textDirection w:val="lrTb"/>
            <w:noWrap w:val="false"/>
          </w:tcPr>
          <w:p>
            <w:pPr>
              <w:jc w:val="center"/>
              <w:spacing w:line="500" w:lineRule="exact"/>
              <w:rPr>
                <w:rFonts w:ascii="Times New Roman" w:hAnsi="Times New Roman" w:eastAsia="仿宋"/>
                <w:color w:val="auto"/>
                <w:highlight w:val="none"/>
              </w:rPr>
            </w:pPr>
            <w:r>
              <w:rPr>
                <w:rFonts w:ascii="Times New Roman" w:hAnsi="Times New Roman"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7.7 根据《江苏省政府采购供应商监督管理暂行办法》的规定，诚信记录分每减10分，给予本项目总分值2%的扣分，扣分最多不超过本项目总分值6%。</w:t>
      </w:r>
      <w:r/>
    </w:p>
    <w:p>
      <w:pPr>
        <w:ind w:firstLine="560"/>
        <w:spacing w:line="500" w:lineRule="exact"/>
        <w:rPr>
          <w:rFonts w:ascii="Times New Roman" w:hAnsi="Times New Roman" w:eastAsia="仿宋"/>
          <w:color w:val="auto"/>
          <w:sz w:val="28"/>
          <w:highlight w:val="none"/>
        </w:rPr>
      </w:pPr>
      <w:r>
        <w:rPr>
          <w:rFonts w:hint="eastAsia" w:ascii="仿宋" w:hAnsi="仿宋" w:eastAsia="仿宋"/>
          <w:color w:val="auto"/>
          <w:sz w:val="28"/>
          <w:szCs w:val="28"/>
          <w:highlight w:val="none"/>
        </w:rPr>
        <w:t xml:space="preserve">7.8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响应时须提供相应使用低VOCs 含量的有效证明材料，否则不得分）。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7.9 商品包装环保要求：应当按《关于印发〈商品包装政府采购需求标准（试行）〉、〈快递包装政府采购需求标准（试行）〉的通知》（财办库〔2020〕123号）文件执行。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（1）商品包装层数不得超过 3 层，空隙率不大于 40%；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（2）商品包装尽可能使用单一材质的包装材料，如因功能需求必需使用不同材质，不同材质间应便于分离；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（3）商品包装中铅、汞、镉、六价铬的总含量应不大于100mg/kg；</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（4）商品包装印刷使用的油墨中挥发性有机化合物(VOCs)含量应不大于 5%（以重量计）；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（5）塑料材质商品包装上呈现的印刷颜色不得超过 6 色；</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（6）纸质商品包装应使用 75%以上的可再生纤维原料生产；</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（7）木质商品包装的原料应来源于可持续性森林。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（响应时供应商提供承诺函，承诺函需对以上要求逐一作出响应。采购人在必要时可要求中标供应商在履约验收环节出具检测报告。）</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2.快递包装环保要求：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（1）快递包装中重金属（铅、汞、镉、六价铬）总量应不大于 100mg/kg；</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（2）快递包装印刷使用的油墨中不应添加邻苯二甲酸酯，其挥发性有机化合物(VOCs)含量应不大于5%（以重量计）；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（3）快递包装中使用纸基材的包装材料，纸基材中的有机氯的含量应不大于 150 mg/kg；</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（5）快递中使用的塑料包装袋不得使用聚氯乙烯作为原料，且原料应为单一材质制成，生物分解率大于60%；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（6）快递中使用的充气类填充物不得使用聚氯乙烯作为原料，且原料为单一材质制成，生物分解率大于60%；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（7）快递中使用的集装袋应为单一材质制成，其重复使用次数应不小于 80 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（8）快递中应使用幅宽不大于45mm 的生物降解胶带；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（9）快递包装中不得使用溶剂型胶粘剂；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（11）快递应使用电子面单；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（12）直接使用商品包装作为快递包装的商品，其商品包装满足《商品包装政府采购需求标准（试行）》即可；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（13）快递包装产品质量和封装方式应符合相关国家或行业标准技术指标要求。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（响应时供应商提供承诺函，承诺函需对以上要求逐一作出响应。采购人在必要时可要求中标供应商在履约验收环节出具检测报告。）</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7.10 绿色数据中心（如有）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（1）采购数据中心相关设备、运维服务，应当有利于节约能源、环境保护和资源循环利用。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（3）成交供应商未按合同约定提供设备或服务的，采购人依法追究其违约责任。对供应商提供虚假材料谋取中标、成交的，依法由相关部门予以处理。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7.11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 绿色低碳管理目标和服务要求：在物业、合同能源管理等服务类采购项目中，要强化绿色低碳管理目标和服务要求，促进绿色产品和服务推广应用。</w:t>
      </w:r>
      <w:r/>
    </w:p>
    <w:p>
      <w:pPr>
        <w:ind w:firstLine="560"/>
        <w:spacing w:line="500" w:lineRule="exact"/>
        <w:rPr>
          <w:rFonts w:ascii="黑体" w:hAnsi="黑体" w:eastAsia="黑体"/>
          <w:bCs/>
          <w:color w:val="auto"/>
          <w:sz w:val="28"/>
          <w:szCs w:val="28"/>
          <w:highlight w:val="none"/>
        </w:rPr>
        <w:outlineLvl w:val="1"/>
      </w:pPr>
      <w:r/>
      <w:bookmarkStart w:id="52" w:name="_Toc10282"/>
      <w:r>
        <w:rPr>
          <w:rFonts w:hint="eastAsia" w:ascii="黑体" w:hAnsi="黑体" w:eastAsia="黑体"/>
          <w:bCs/>
          <w:color w:val="auto"/>
          <w:sz w:val="28"/>
          <w:szCs w:val="28"/>
          <w:highlight w:val="none"/>
        </w:rPr>
        <w:t xml:space="preserve">8.无效响应和磋商活动终止</w:t>
      </w:r>
      <w:bookmarkEnd w:id="52"/>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不具备竞争性磋商文件中规定的资格要求的。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最后报价超过了采购预算或最高限价的。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不符合法律、法规和竞争性磋商文件中规定的其他实质性要求的。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响应文件含有采购人不能接受的附加条件的。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响应文件未按照磋商文件要求加盖电子签章。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供应商在系统规定的时间内未成功解密电子响应文件的。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未完整上传响应文件电子文档的,或上传的文件打不开的。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8.1.12其他法律、法规及本磋商文件规定的属无效响应的情形。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出现下列情形之一的，本次竞争性磋商采购活动将被终止：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w:t>
      </w:r>
      <w:r>
        <w:rPr>
          <w:rFonts w:hint="eastAsia" w:ascii="仿宋" w:hAnsi="仿宋" w:eastAsia="仿宋"/>
          <w:color w:val="auto"/>
          <w:sz w:val="28"/>
          <w:szCs w:val="28"/>
          <w:highlight w:val="none"/>
        </w:rPr>
        <w:t xml:space="preserve">磋商</w:t>
      </w:r>
      <w:r>
        <w:rPr>
          <w:rFonts w:ascii="仿宋" w:hAnsi="仿宋" w:eastAsia="仿宋"/>
          <w:color w:val="auto"/>
          <w:sz w:val="28"/>
          <w:szCs w:val="28"/>
          <w:highlight w:val="none"/>
        </w:rPr>
        <w:t xml:space="preserve">采购方式适用情形的；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8.2.4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8.2.5 因重大变故，采购任务取消的。</w:t>
      </w:r>
      <w:r/>
    </w:p>
    <w:p>
      <w:pPr>
        <w:ind w:firstLine="560"/>
        <w:spacing w:line="500" w:lineRule="exact"/>
        <w:rPr>
          <w:rFonts w:ascii="黑体" w:hAnsi="黑体" w:eastAsia="黑体"/>
          <w:color w:val="auto"/>
          <w:sz w:val="28"/>
          <w:szCs w:val="28"/>
          <w:highlight w:val="none"/>
        </w:rPr>
        <w:outlineLvl w:val="1"/>
      </w:pPr>
      <w:r/>
      <w:bookmarkStart w:id="53" w:name="_Toc3412"/>
      <w:r>
        <w:rPr>
          <w:rFonts w:hint="eastAsia" w:ascii="黑体" w:hAnsi="黑体" w:eastAsia="黑体"/>
          <w:color w:val="auto"/>
          <w:sz w:val="28"/>
          <w:szCs w:val="28"/>
          <w:highlight w:val="none"/>
        </w:rPr>
        <w:t xml:space="preserve">9. 询问、质疑和投诉</w:t>
      </w:r>
      <w:bookmarkEnd w:id="53"/>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磋商文件</w:t>
      </w:r>
      <w:r>
        <w:rPr>
          <w:rFonts w:ascii="仿宋" w:hAnsi="仿宋" w:eastAsia="仿宋"/>
          <w:color w:val="auto"/>
          <w:sz w:val="28"/>
          <w:szCs w:val="28"/>
          <w:highlight w:val="none"/>
        </w:rPr>
        <w:t xml:space="preserve">提出质疑的，为收到</w:t>
      </w:r>
      <w:r>
        <w:rPr>
          <w:rFonts w:hint="eastAsia" w:ascii="仿宋" w:hAnsi="仿宋" w:eastAsia="仿宋"/>
          <w:color w:val="auto"/>
          <w:sz w:val="28"/>
          <w:szCs w:val="28"/>
          <w:highlight w:val="none"/>
        </w:rPr>
        <w:t xml:space="preserve">磋商文件</w:t>
      </w:r>
      <w:r>
        <w:rPr>
          <w:rFonts w:ascii="仿宋" w:hAnsi="仿宋" w:eastAsia="仿宋"/>
          <w:color w:val="auto"/>
          <w:sz w:val="28"/>
          <w:szCs w:val="28"/>
          <w:highlight w:val="none"/>
        </w:rPr>
        <w:t xml:space="preserve">之日或者</w:t>
      </w:r>
      <w:r>
        <w:rPr>
          <w:rFonts w:hint="eastAsia" w:ascii="仿宋" w:hAnsi="仿宋" w:eastAsia="仿宋"/>
          <w:color w:val="auto"/>
          <w:sz w:val="28"/>
          <w:szCs w:val="28"/>
          <w:highlight w:val="none"/>
        </w:rPr>
        <w:t xml:space="preserve">磋商文件</w:t>
      </w:r>
      <w:r>
        <w:rPr>
          <w:rFonts w:ascii="仿宋" w:hAnsi="仿宋" w:eastAsia="仿宋"/>
          <w:color w:val="auto"/>
          <w:sz w:val="28"/>
          <w:szCs w:val="28"/>
          <w:highlight w:val="none"/>
        </w:rPr>
        <w:t xml:space="preserve">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磋商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，见磋商文件第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未参加磋商活动的供应商或在磋商活动中自身权益未受到损害的供应商所提出的质疑。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供应商组成联合体参加磋商活动，联合体中任何一方或多方未按要求签字、盖章、加盖公章的质疑。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spacing w:line="50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w:t>
      </w:r>
      <w:r/>
    </w:p>
    <w:p>
      <w:pPr>
        <w:spacing w:line="500" w:lineRule="exact"/>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500" w:lineRule="exact"/>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500" w:lineRule="exact"/>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50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500" w:lineRule="exact"/>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500" w:lineRule="exact"/>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50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spacing w:line="500" w:lineRule="exact"/>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pPr>
      <w:r>
        <w:rPr>
          <w:rFonts w:hint="eastAsia" w:ascii="仿宋_GB2312" w:hAnsi="Times New Roman"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A座710室，联系电话0513-87623860）。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spacing w:line="500" w:lineRule="exact"/>
        <w:rPr>
          <w:rFonts w:ascii="宋体" w:hAnsi="宋体"/>
          <w:b/>
          <w:color w:val="auto"/>
          <w:sz w:val="32"/>
          <w:szCs w:val="32"/>
          <w:highlight w:val="none"/>
        </w:rPr>
      </w:pPr>
      <w:r>
        <w:rPr>
          <w:rFonts w:hint="eastAsia" w:ascii="宋体" w:hAnsi="宋体"/>
          <w:b/>
          <w:color w:val="auto"/>
          <w:sz w:val="32"/>
          <w:szCs w:val="32"/>
          <w:highlight w:val="none"/>
        </w:rPr>
        <w:t xml:space="preserve">投诉书</w:t>
      </w:r>
      <w:r/>
    </w:p>
    <w:p>
      <w:pPr>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一、投诉相关主体基本情况</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投诉人：</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地     址：邮编：</w:t>
      </w:r>
      <w:r/>
    </w:p>
    <w:p>
      <w:pPr>
        <w:jc w:val="left"/>
        <w:spacing w:line="500" w:lineRule="exact"/>
        <w:tabs>
          <w:tab w:val="left" w:pos="6510" w:leader="none"/>
        </w:tabs>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法定代表人/主要负责人：联系电话：</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授权代表：联系电话：</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地     址：邮编：</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被投诉人1：</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地     址：邮编：</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联系人：联系电话：</w:t>
      </w:r>
      <w:r/>
    </w:p>
    <w:p>
      <w:pPr>
        <w:spacing w:line="500" w:lineRule="exact"/>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被投诉人2</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相关供应商：</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地     址：邮编：</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联系人：联系电话：</w:t>
      </w:r>
      <w:r/>
    </w:p>
    <w:p>
      <w:pPr>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二、投诉项目基本情况</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采购项目名称：</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采购项目编号：包号：</w:t>
      </w:r>
      <w:r/>
    </w:p>
    <w:p>
      <w:pPr>
        <w:spacing w:line="500" w:lineRule="exact"/>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采购人名称：</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代理机构名称：</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采购文件公告:</w:t>
      </w:r>
      <w:r>
        <w:rPr>
          <w:rFonts w:hint="eastAsia" w:ascii="仿宋_GB2312" w:hAnsi="Times New Roman" w:eastAsia="仿宋_GB2312"/>
          <w:color w:val="auto"/>
          <w:sz w:val="28"/>
          <w:szCs w:val="28"/>
          <w:highlight w:val="none"/>
          <w:u w:val="single"/>
        </w:rPr>
        <w:t xml:space="preserve">是/否 </w:t>
      </w:r>
      <w:r>
        <w:rPr>
          <w:rFonts w:hint="eastAsia" w:ascii="仿宋_GB2312" w:hAnsi="Times New Roman" w:eastAsia="仿宋_GB2312"/>
          <w:color w:val="auto"/>
          <w:sz w:val="28"/>
          <w:szCs w:val="28"/>
          <w:highlight w:val="none"/>
        </w:rPr>
        <w:t xml:space="preserve">公告期限：</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采购结果公告:</w:t>
      </w:r>
      <w:r>
        <w:rPr>
          <w:rFonts w:hint="eastAsia" w:ascii="仿宋_GB2312" w:hAnsi="Times New Roman" w:eastAsia="仿宋_GB2312"/>
          <w:color w:val="auto"/>
          <w:sz w:val="28"/>
          <w:szCs w:val="28"/>
          <w:highlight w:val="none"/>
          <w:u w:val="single"/>
        </w:rPr>
        <w:t xml:space="preserve">是/否 </w:t>
      </w:r>
      <w:r>
        <w:rPr>
          <w:rFonts w:hint="eastAsia" w:ascii="仿宋_GB2312" w:hAnsi="Times New Roman" w:eastAsia="仿宋_GB2312"/>
          <w:color w:val="auto"/>
          <w:sz w:val="28"/>
          <w:szCs w:val="28"/>
          <w:highlight w:val="none"/>
        </w:rPr>
        <w:t xml:space="preserve">公告期限：</w:t>
      </w:r>
      <w:r/>
    </w:p>
    <w:p>
      <w:pPr>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三、质疑基本情况</w:t>
      </w:r>
      <w:r/>
    </w:p>
    <w:p>
      <w:pPr>
        <w:ind w:firstLine="560"/>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投诉人于年月日,向提出质疑，质疑事项为：</w:t>
      </w:r>
      <w:r/>
    </w:p>
    <w:p>
      <w:pPr>
        <w:spacing w:line="500" w:lineRule="exact"/>
        <w:rPr>
          <w:rFonts w:ascii="仿宋_GB2312" w:hAnsi="Times New Roman" w:eastAsia="仿宋_GB2312"/>
          <w:color w:val="auto"/>
          <w:sz w:val="28"/>
          <w:szCs w:val="28"/>
          <w:highlight w:val="none"/>
          <w:u w:val="single"/>
        </w:rPr>
      </w:pPr>
      <w:r>
        <w:rPr>
          <w:rFonts w:ascii="仿宋_GB2312" w:hAnsi="Times New Roman" w:eastAsia="仿宋_GB2312"/>
          <w:color w:val="auto"/>
          <w:sz w:val="28"/>
          <w:szCs w:val="28"/>
          <w:highlight w:val="none"/>
          <w:u w:val="single"/>
        </w:rPr>
      </w:r>
      <w:r/>
    </w:p>
    <w:p>
      <w:pPr>
        <w:ind w:firstLine="420"/>
        <w:spacing w:line="500" w:lineRule="exact"/>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u w:val="single"/>
        </w:rPr>
        <w:t xml:space="preserve">采购人/代理机构</w:t>
      </w:r>
      <w:r>
        <w:rPr>
          <w:rFonts w:hint="eastAsia" w:ascii="仿宋_GB2312" w:hAnsi="Times New Roman" w:eastAsia="仿宋_GB2312"/>
          <w:color w:val="auto"/>
          <w:sz w:val="28"/>
          <w:szCs w:val="28"/>
          <w:highlight w:val="none"/>
        </w:rPr>
        <w:t xml:space="preserve">于年月日,就质疑事项作出了答复/没有在法定期限内作出答复。</w:t>
      </w:r>
      <w:r/>
    </w:p>
    <w:p>
      <w:pPr>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四、投诉事项具体内容</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投诉事项 1：</w:t>
      </w:r>
      <w:r/>
    </w:p>
    <w:p>
      <w:pPr>
        <w:spacing w:line="500" w:lineRule="exact"/>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事实依据：</w:t>
      </w:r>
      <w:r/>
    </w:p>
    <w:p>
      <w:pPr>
        <w:spacing w:line="500" w:lineRule="exact"/>
        <w:rPr>
          <w:rFonts w:ascii="仿宋_GB2312" w:hAnsi="Times New Roman" w:eastAsia="仿宋_GB2312"/>
          <w:color w:val="auto"/>
          <w:sz w:val="28"/>
          <w:szCs w:val="28"/>
          <w:highlight w:val="none"/>
          <w:u w:val="single"/>
        </w:rPr>
      </w:pPr>
      <w:r>
        <w:rPr>
          <w:rFonts w:ascii="仿宋_GB2312" w:hAnsi="Times New Roman" w:eastAsia="仿宋_GB2312"/>
          <w:color w:val="auto"/>
          <w:sz w:val="28"/>
          <w:szCs w:val="28"/>
          <w:highlight w:val="none"/>
          <w:u w:val="single"/>
        </w:rPr>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法律依据：</w:t>
      </w:r>
      <w:r/>
    </w:p>
    <w:p>
      <w:pPr>
        <w:spacing w:line="500" w:lineRule="exact"/>
        <w:rPr>
          <w:rFonts w:ascii="仿宋_GB2312" w:hAnsi="Times New Roman" w:eastAsia="仿宋_GB2312"/>
          <w:color w:val="auto"/>
          <w:sz w:val="28"/>
          <w:szCs w:val="28"/>
          <w:highlight w:val="none"/>
          <w:u w:val="single"/>
        </w:rPr>
      </w:pPr>
      <w:r>
        <w:rPr>
          <w:rFonts w:ascii="仿宋_GB2312" w:hAnsi="Times New Roman" w:eastAsia="仿宋_GB2312"/>
          <w:color w:val="auto"/>
          <w:sz w:val="28"/>
          <w:szCs w:val="28"/>
          <w:highlight w:val="none"/>
          <w:u w:val="single"/>
        </w:rPr>
      </w:r>
      <w:r/>
    </w:p>
    <w:p>
      <w:pPr>
        <w:spacing w:line="500" w:lineRule="exact"/>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投诉事项2</w:t>
      </w:r>
      <w:r/>
    </w:p>
    <w:p>
      <w:pPr>
        <w:spacing w:line="500" w:lineRule="exact"/>
        <w:rPr>
          <w:rFonts w:ascii="仿宋_GB2312" w:hAnsi="Times New Roman" w:eastAsia="仿宋_GB2312"/>
          <w:color w:val="auto"/>
          <w:sz w:val="28"/>
          <w:szCs w:val="28"/>
          <w:highlight w:val="none"/>
          <w:u w:val="single"/>
        </w:rPr>
      </w:pPr>
      <w:r>
        <w:rPr>
          <w:rFonts w:hint="eastAsia" w:ascii="仿宋_GB2312" w:hAnsi="Times New Roman" w:eastAsia="仿宋_GB2312"/>
          <w:color w:val="auto"/>
          <w:sz w:val="28"/>
          <w:szCs w:val="28"/>
          <w:highlight w:val="none"/>
        </w:rPr>
        <w:t xml:space="preserve">……</w:t>
      </w:r>
      <w:r/>
    </w:p>
    <w:p>
      <w:pPr>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五、与投诉事项相关的投诉请求</w:t>
      </w:r>
      <w:r/>
    </w:p>
    <w:p>
      <w:pPr>
        <w:spacing w:line="500" w:lineRule="exact"/>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请求：</w:t>
      </w:r>
      <w:r/>
    </w:p>
    <w:p>
      <w:pPr>
        <w:spacing w:line="500" w:lineRule="exact"/>
        <w:rPr>
          <w:rFonts w:ascii="仿宋_GB2312" w:hAnsi="Times New Roman" w:eastAsia="仿宋_GB2312"/>
          <w:color w:val="auto"/>
          <w:sz w:val="28"/>
          <w:szCs w:val="28"/>
          <w:highlight w:val="none"/>
          <w:u w:val="single"/>
        </w:rPr>
      </w:pPr>
      <w:r>
        <w:rPr>
          <w:rFonts w:ascii="仿宋_GB2312" w:hAnsi="Times New Roman" w:eastAsia="仿宋_GB2312"/>
          <w:color w:val="auto"/>
          <w:sz w:val="28"/>
          <w:szCs w:val="28"/>
          <w:highlight w:val="none"/>
          <w:u w:val="single"/>
        </w:rPr>
      </w:r>
      <w:r/>
    </w:p>
    <w:p>
      <w:pPr>
        <w:spacing w:line="500" w:lineRule="exact"/>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_GB2312" w:hAnsi="Times New Roman" w:eastAsia="仿宋_GB2312"/>
          <w:color w:val="auto"/>
          <w:sz w:val="28"/>
          <w:szCs w:val="28"/>
          <w:highlight w:val="none"/>
        </w:rPr>
        <w:t xml:space="preserve">日期：    </w:t>
      </w:r>
      <w:r/>
    </w:p>
    <w:p>
      <w:pPr>
        <w:ind w:firstLine="560"/>
        <w:jc w:val="left"/>
        <w:spacing w:line="500" w:lineRule="exact"/>
        <w:rPr>
          <w:rFonts w:ascii="仿宋" w:hAnsi="仿宋" w:eastAsia="仿宋"/>
          <w:color w:val="auto"/>
          <w:sz w:val="28"/>
          <w:szCs w:val="28"/>
          <w:highlight w:val="none"/>
        </w:rPr>
        <w:outlineLvl w:val="1"/>
      </w:pPr>
      <w:r/>
      <w:bookmarkStart w:id="54" w:name="_Toc32322"/>
      <w:r>
        <w:rPr>
          <w:rFonts w:hint="eastAsia" w:ascii="黑体" w:hAnsi="黑体" w:eastAsia="黑体"/>
          <w:color w:val="auto"/>
          <w:sz w:val="28"/>
          <w:szCs w:val="28"/>
          <w:highlight w:val="none"/>
        </w:rPr>
        <w:t xml:space="preserve">10. 政府采购合同信用融资扶持政策</w:t>
      </w:r>
      <w:bookmarkEnd w:id="54"/>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outlineLvl w:val="1"/>
      </w:pPr>
      <w:r/>
      <w:bookmarkStart w:id="55" w:name="_Toc4518"/>
      <w:r>
        <w:rPr>
          <w:rFonts w:hint="eastAsia" w:ascii="黑体" w:hAnsi="黑体" w:eastAsia="黑体"/>
          <w:color w:val="auto"/>
          <w:sz w:val="28"/>
          <w:szCs w:val="28"/>
          <w:highlight w:val="none"/>
        </w:rPr>
        <w:t xml:space="preserve">11. 采购代理服务费</w:t>
      </w:r>
      <w:bookmarkEnd w:id="55"/>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11.1采购代理服务费收取标准：采购代理服务费以成交价为基数，采用差额定率累进法（50万元（含）以</w:t>
      </w:r>
      <w:r>
        <w:rPr>
          <w:rFonts w:hint="eastAsia" w:ascii="仿宋" w:hAnsi="仿宋" w:eastAsia="仿宋"/>
          <w:color w:val="auto"/>
          <w:sz w:val="28"/>
          <w:szCs w:val="28"/>
          <w:highlight w:val="none"/>
        </w:rPr>
        <w:t xml:space="preserve">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70%，不足叁仟按叁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 采购代理机构账户信息：</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11.3.1收款单位名称为：江苏海审工程咨询有限公司如皋分公司；</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11.3.2账户号码：32050164723600011305；</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11.3.3开户行：</w:t>
      </w:r>
      <w:bookmarkEnd w:id="6"/>
      <w:r>
        <w:rPr>
          <w:rFonts w:hint="eastAsia" w:ascii="仿宋" w:hAnsi="仿宋" w:eastAsia="仿宋"/>
          <w:color w:val="auto"/>
          <w:sz w:val="28"/>
          <w:szCs w:val="28"/>
          <w:highlight w:val="none"/>
          <w:lang w:val="en-US" w:eastAsia="zh-CN"/>
        </w:rPr>
        <w:t xml:space="preserve">中国建设银行股份有限公司如皋支行</w:t>
      </w:r>
      <w:r/>
    </w:p>
    <w:p>
      <w:pPr>
        <w:jc w:val="center"/>
        <w:spacing w:before="120" w:after="120"/>
        <w:rPr>
          <w:rFonts w:ascii="微软雅黑" w:hAnsi="Arial" w:eastAsia="微软雅黑"/>
          <w:bCs/>
          <w:color w:val="auto"/>
          <w:sz w:val="32"/>
          <w:szCs w:val="32"/>
          <w:highlight w:val="none"/>
        </w:rPr>
        <w:outlineLvl w:val="0"/>
      </w:pPr>
      <w:r>
        <w:rPr>
          <w:rFonts w:ascii="微软雅黑" w:hAnsi="Arial" w:eastAsia="微软雅黑"/>
          <w:bCs/>
          <w:color w:val="auto"/>
          <w:sz w:val="32"/>
          <w:szCs w:val="32"/>
          <w:highlight w:val="none"/>
        </w:rPr>
        <w:br w:type="page" w:clear="all"/>
      </w:r>
      <w:bookmarkStart w:id="56" w:name="_Toc3744"/>
      <w:r>
        <w:rPr>
          <w:rFonts w:hint="eastAsia" w:ascii="微软雅黑" w:hAnsi="Arial" w:eastAsia="微软雅黑"/>
          <w:bCs/>
          <w:color w:val="auto"/>
          <w:sz w:val="32"/>
          <w:szCs w:val="32"/>
          <w:highlight w:val="none"/>
        </w:rPr>
        <w:t xml:space="preserve">第3章 采购需求</w:t>
      </w:r>
      <w:bookmarkEnd w:id="56"/>
      <w:r/>
      <w:r/>
    </w:p>
    <w:p>
      <w:pPr>
        <w:ind w:firstLine="562"/>
        <w:jc w:val="left"/>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供应商在制作</w:t>
      </w:r>
      <w:r>
        <w:rPr>
          <w:rFonts w:hint="eastAsia" w:ascii="仿宋" w:hAnsi="仿宋" w:eastAsia="仿宋"/>
          <w:b/>
          <w:bCs/>
          <w:color w:val="auto"/>
          <w:sz w:val="28"/>
          <w:szCs w:val="28"/>
          <w:highlight w:val="none"/>
        </w:rPr>
        <w:t xml:space="preserve">响应</w:t>
      </w:r>
      <w:r>
        <w:rPr>
          <w:rFonts w:ascii="仿宋" w:hAnsi="仿宋" w:eastAsia="仿宋"/>
          <w:b/>
          <w:bCs/>
          <w:color w:val="auto"/>
          <w:sz w:val="28"/>
          <w:szCs w:val="28"/>
          <w:highlight w:val="none"/>
        </w:rPr>
        <w:t xml:space="preserve">文件时仔细研究</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需求说明。</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微软雅黑" w:hAnsi="Times New Roman" w:eastAsia="微软雅黑"/>
          <w:bCs/>
          <w:color w:val="auto"/>
          <w:sz w:val="32"/>
          <w:szCs w:val="32"/>
          <w:highlight w:val="none"/>
        </w:rPr>
      </w:pPr>
      <w:r>
        <w:rPr>
          <w:rFonts w:hint="eastAsia" w:ascii="仿宋" w:hAnsi="仿宋" w:eastAsia="仿宋"/>
          <w:b/>
          <w:bCs/>
          <w:color w:val="auto"/>
          <w:sz w:val="28"/>
          <w:szCs w:val="28"/>
          <w:highlight w:val="none"/>
        </w:rPr>
        <w:t xml:space="preserve">供</w:t>
      </w:r>
      <w:r>
        <w:rPr>
          <w:rFonts w:ascii="仿宋" w:hAnsi="仿宋" w:eastAsia="仿宋"/>
          <w:b/>
          <w:bCs/>
          <w:color w:val="auto"/>
          <w:sz w:val="28"/>
          <w:szCs w:val="28"/>
          <w:highlight w:val="none"/>
        </w:rPr>
        <w:t xml:space="preserve">应商不能简单照搬照抄</w:t>
      </w:r>
      <w:r>
        <w:rPr>
          <w:rFonts w:hint="eastAsia" w:ascii="仿宋" w:hAnsi="仿宋" w:eastAsia="仿宋"/>
          <w:b/>
          <w:bCs/>
          <w:color w:val="auto"/>
          <w:sz w:val="28"/>
          <w:szCs w:val="28"/>
          <w:highlight w:val="none"/>
        </w:rPr>
        <w:t xml:space="preserve">磋商</w:t>
      </w:r>
      <w:r>
        <w:rPr>
          <w:rFonts w:ascii="仿宋" w:hAnsi="仿宋" w:eastAsia="仿宋"/>
          <w:b/>
          <w:bCs/>
          <w:color w:val="auto"/>
          <w:sz w:val="28"/>
          <w:szCs w:val="28"/>
          <w:highlight w:val="none"/>
        </w:rPr>
        <w:t xml:space="preserve">文件项目需求说明中的技术、商务要求，必须作实事求是的响应。如响应供应商提供的货物和服务同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numPr>
          <w:ilvl w:val="0"/>
          <w:numId w:val="1"/>
        </w:numPr>
        <w:ind w:firstLine="560"/>
        <w:spacing w:line="500" w:lineRule="exact"/>
        <w:rPr>
          <w:rFonts w:ascii="黑体" w:hAnsi="黑体" w:eastAsia="黑体"/>
          <w:color w:val="auto"/>
          <w:sz w:val="28"/>
          <w:szCs w:val="28"/>
          <w:highlight w:val="none"/>
        </w:rPr>
        <w:outlineLvl w:val="1"/>
      </w:pPr>
      <w:r/>
      <w:bookmarkStart w:id="57" w:name="_Toc30004"/>
      <w:r>
        <w:rPr>
          <w:rFonts w:hint="eastAsia" w:ascii="黑体" w:hAnsi="黑体" w:eastAsia="黑体"/>
          <w:color w:val="auto"/>
          <w:sz w:val="28"/>
          <w:szCs w:val="28"/>
          <w:highlight w:val="none"/>
        </w:rPr>
        <w:t xml:space="preserve">项目简介</w:t>
      </w:r>
      <w:bookmarkEnd w:id="57"/>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拟对如皋港化工新材料材料产业园范围内重大危险源、重点监管危险化学品企业以及涉及的毒性气体提供远程探测预警服务，实现园区安全生产风险全域覆盖、实时感知与精准预警，构建“智能监控-风险预警-闭环处置”的一体化安全风险监测预警体系。</w:t>
      </w:r>
      <w:r/>
    </w:p>
    <w:p>
      <w:pPr>
        <w:ind w:firstLine="560"/>
        <w:spacing w:line="500" w:lineRule="exact"/>
        <w:rPr>
          <w:color w:val="auto"/>
          <w:highlight w:val="none"/>
        </w:rPr>
      </w:pPr>
      <w:r>
        <w:rPr>
          <w:rFonts w:hint="eastAsia" w:ascii="仿宋" w:hAnsi="仿宋" w:eastAsia="仿宋" w:cs="仿宋"/>
          <w:color w:val="auto"/>
          <w:sz w:val="28"/>
          <w:szCs w:val="28"/>
          <w:highlight w:val="none"/>
        </w:rPr>
        <w:t xml:space="preserve">根据《化工园区安全风险排查治理导则》以及园区安全风险排查工作要求，化工园区应“对具有毒性气体、液态易燃气体、一级重大危险源的核心控制区采用远程探测在线监测预警”。系统应具备远距离、大范围、不间断光谱视频实时采集功能，具备危险气体泄漏实时感知与识别功能；可监测显示气体泄漏点位置、泄漏浓度分布等；自动触发报警动作，监控室及设备现场发出报警信号，平台系统推送相关报警消息。</w:t>
      </w:r>
      <w:r/>
    </w:p>
    <w:p>
      <w:pPr>
        <w:ind w:firstLine="560"/>
        <w:spacing w:line="500" w:lineRule="exact"/>
        <w:rPr>
          <w:rFonts w:ascii="黑体" w:hAnsi="黑体" w:eastAsia="黑体"/>
          <w:color w:val="auto"/>
          <w:sz w:val="28"/>
          <w:szCs w:val="28"/>
          <w:highlight w:val="none"/>
        </w:rPr>
        <w:outlineLvl w:val="1"/>
      </w:pPr>
      <w:r/>
      <w:bookmarkStart w:id="58" w:name="_Toc24604"/>
      <w:r>
        <w:rPr>
          <w:rFonts w:hint="eastAsia" w:ascii="黑体" w:hAnsi="黑体" w:eastAsia="黑体"/>
          <w:color w:val="auto"/>
          <w:sz w:val="28"/>
          <w:szCs w:val="28"/>
          <w:highlight w:val="none"/>
        </w:rPr>
        <w:t xml:space="preserve">二、采购内容</w:t>
      </w:r>
      <w:bookmarkEnd w:id="58"/>
      <w:r/>
      <w:r/>
    </w:p>
    <w:p>
      <w:pPr>
        <w:ind w:left="420" w:firstLine="560"/>
        <w:spacing w:after="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如港河为界，拟在东西片区分别建设1台傅里叶红外光谱分析技术的远程探测设备，可对区内毒性气体、液态易燃气体、一级重大危险源的核心控制区实时监测和预警，共2台。对于氯气等不适用红外远程速扫的化学品，需另设单点式气体传感器进行补充监测，集成于预警平台中。</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（1）傅里叶红外光谱仪，2套；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（2）其他配套组件，2套；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（3）云台，2套；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（4）光谱仪配套软件，2套；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（5）辅材（支架、线缆、控制箱等），2套；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（6）避雷装置，2套；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（7）单点式气体传感器，≥1套；（按需）</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核心产品为：傅里叶红外光谱气体分析仪</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sectPr>
          <w:footerReference w:type="default" r:id="rId12"/>
          <w:footnotePr/>
          <w:endnotePr/>
          <w:type w:val="nextPage"/>
          <w:pgSz w:w="11906" w:h="16838" w:orient="portrait"/>
          <w:pgMar w:top="1134" w:right="1134" w:bottom="1134" w:left="1134" w:header="851" w:footer="992" w:gutter="0"/>
          <w:cols w:num="1" w:sep="0" w:space="720" w:equalWidth="1"/>
          <w:docGrid w:linePitch="360"/>
        </w:sectPr>
      </w:pPr>
      <w:r>
        <w:rPr>
          <w:rFonts w:hint="eastAsia" w:ascii="仿宋" w:hAnsi="仿宋" w:eastAsia="仿宋" w:cs="仿宋"/>
          <w:color w:val="auto"/>
          <w:sz w:val="24"/>
          <w:highlight w:val="none"/>
        </w:rPr>
      </w:r>
      <w:r/>
    </w:p>
    <w:p>
      <w:pPr>
        <w:ind w:firstLine="480"/>
        <w:spacing w:line="360" w:lineRule="auto"/>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t xml:space="preserve">（2）设备参数</w:t>
      </w:r>
      <w:r/>
    </w:p>
    <w:tbl>
      <w:tblPr>
        <w:tblStyle w:val="787"/>
        <w:tblW w:w="4592" w:type="pct"/>
        <w:jc w:val="center"/>
        <w:tblLayout w:type="fixed"/>
        <w:tblCellMar>
          <w:left w:w="108" w:type="dxa"/>
          <w:top w:w="0" w:type="dxa"/>
          <w:right w:w="108" w:type="dxa"/>
          <w:bottom w:w="0" w:type="dxa"/>
        </w:tblCellMar>
        <w:tblLook w:val="04A0" w:firstRow="1" w:lastRow="0" w:firstColumn="1" w:lastColumn="0" w:noHBand="0" w:noVBand="1"/>
      </w:tblPr>
      <w:tblGrid>
        <w:gridCol w:w="751"/>
        <w:gridCol w:w="1799"/>
        <w:gridCol w:w="1241"/>
        <w:gridCol w:w="698"/>
        <w:gridCol w:w="7452"/>
        <w:gridCol w:w="1638"/>
      </w:tblGrid>
      <w:tr>
        <w:trPr>
          <w:jc w:val="center"/>
          <w:trHeight w:val="677"/>
        </w:trPr>
        <w:tc>
          <w:tcPr>
            <w:shd w:val="clear" w:color="auto" w:fill="fee796"/>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shd w:val="clear" w:color="auto" w:fill="fee796"/>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w:t>
            </w:r>
            <w:r/>
          </w:p>
        </w:tc>
        <w:tc>
          <w:tcPr>
            <w:shd w:val="clear" w:color="auto" w:fill="fee796"/>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shd w:val="clear" w:color="auto" w:fill="fee796"/>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shd w:val="clear" w:color="auto" w:fill="fee796"/>
            <w:tcBorders>
              <w:top w:val="single" w:color="000000" w:sz="4" w:space="0"/>
              <w:left w:val="single" w:color="000000" w:sz="4" w:space="0"/>
              <w:bottom w:val="single" w:color="000000" w:sz="4" w:space="0"/>
              <w:right w:val="single" w:color="000000" w:sz="4" w:space="0"/>
            </w:tcBorders>
            <w:tcW w:w="2742"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参数</w:t>
            </w:r>
            <w:r/>
          </w:p>
        </w:tc>
        <w:tc>
          <w:tcPr>
            <w:shd w:val="clear" w:color="auto" w:fill="fee796"/>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jc w:val="center"/>
          <w:trHeight w:val="444"/>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傅里叶红外光谱仪</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2742" w:type="pct"/>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1、技术原理:采用被动式傅里叶红外光谱遥感检测技术。</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2、检测半径≥3km。</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3、检测速度≥11幅光谱图/s(4cm-1)。</w:t>
            </w:r>
            <w:r/>
          </w:p>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4、检测气体种类≥400种，包括本园区以上所列无机物和有机物，以及化学战剂等。【烃类（甲烷、乙烯、丙烯、卤代烃等）、醇类（乙醇、异丙醇等）、醛类（甲醛等）、酮类（丙酮等）、酯类（乙酸甲酯、乙酸乙酯等）、酸类（醋酸等）、酚类（苯酚等）、苯系物（苯、甲苯、二甲苯等）、氨类（氨气等）、硫化物（二氧化硫、硫化氢等）、臭氧等】</w:t>
            </w:r>
            <w:r/>
          </w:p>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5、检出限：氨气≤1ppm.m、乙烯≤3ppm.m、乙炔≤5ppm.m、1，3-丁二烯≤5ppm.m。</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6、报警响应时间≤4s。</w:t>
            </w:r>
            <w:r/>
          </w:p>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u w:val="none"/>
                <w:lang w:val="en-US" w:eastAsia="zh-CN" w:bidi="ar"/>
              </w:rPr>
              <w:t xml:space="preserve">7、检测气体种类支持个性化定制。</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u w:val="none"/>
                <w:lang w:val="en-US" w:eastAsia="zh-CN" w:bidi="ar"/>
              </w:rPr>
              <w:t xml:space="preserve">8、光学镜片：</w:t>
            </w:r>
            <w:r>
              <w:rPr>
                <w:rFonts w:hint="eastAsia" w:ascii="仿宋" w:hAnsi="仿宋" w:eastAsia="仿宋" w:cs="仿宋"/>
                <w:color w:val="auto"/>
                <w:sz w:val="24"/>
                <w:szCs w:val="24"/>
                <w:highlight w:val="none"/>
                <w:lang w:val="en-US" w:eastAsia="zh-CN"/>
              </w:rPr>
              <w:t xml:space="preserve">全封闭防水防尘。</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9、具有红外光谱光路、可见相机光路。</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10、红外光谱分辨率1、2、4、8、16cm-1可调。</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11、辅助相机可见光及红外热像分辨率≥640X512。</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12、校准系统：内置高精度黑体校准系统，</w:t>
            </w:r>
            <w:r>
              <w:rPr>
                <w:rFonts w:hint="eastAsia" w:ascii="仿宋" w:hAnsi="仿宋" w:eastAsia="仿宋" w:cs="仿宋"/>
                <w:color w:val="auto"/>
                <w:sz w:val="24"/>
                <w:szCs w:val="24"/>
                <w:highlight w:val="none"/>
              </w:rPr>
              <w:t xml:space="preserve">温度精度0.1℃，温度范围</w:t>
            </w:r>
            <w:r>
              <w:rPr>
                <w:rFonts w:hint="eastAsia" w:ascii="仿宋" w:hAnsi="仿宋" w:eastAsia="仿宋" w:cs="仿宋"/>
                <w:color w:val="auto"/>
                <w:sz w:val="24"/>
                <w:szCs w:val="24"/>
                <w:highlight w:val="none"/>
                <w:lang w:eastAsia="zh-CN"/>
              </w:rPr>
              <w:t xml:space="preserve">为</w:t>
            </w:r>
            <w:r>
              <w:rPr>
                <w:rFonts w:hint="eastAsia" w:ascii="仿宋" w:hAnsi="仿宋" w:eastAsia="仿宋" w:cs="仿宋"/>
                <w:color w:val="auto"/>
                <w:sz w:val="24"/>
                <w:szCs w:val="24"/>
                <w:highlight w:val="none"/>
              </w:rPr>
              <w:t xml:space="preserve">环温～100℃</w:t>
            </w:r>
            <w:r>
              <w:rPr>
                <w:rFonts w:hint="eastAsia" w:ascii="仿宋" w:hAnsi="仿宋" w:eastAsia="仿宋" w:cs="仿宋"/>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13、防水等级≥IP65。</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14、</w:t>
            </w:r>
            <w:r>
              <w:rPr>
                <w:rFonts w:hint="eastAsia" w:ascii="仿宋" w:hAnsi="仿宋" w:eastAsia="仿宋" w:cs="仿宋"/>
                <w:color w:val="auto"/>
                <w:sz w:val="24"/>
                <w:szCs w:val="24"/>
                <w:highlight w:val="none"/>
                <w:lang w:val="en-US" w:eastAsia="zh-CN"/>
              </w:rPr>
              <w:t xml:space="preserve">工作温度：-20℃～+55℃。</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15、供电方式为交流电。电压：220VAC±10%</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包含：云台设备、防爆箱、视频存储。</w:t>
            </w:r>
            <w:r>
              <w:rPr>
                <w:rFonts w:hint="eastAsia" w:ascii="仿宋" w:hAnsi="仿宋" w:eastAsia="仿宋" w:cs="仿宋"/>
                <w:color w:val="auto"/>
                <w:sz w:val="24"/>
                <w:highlight w:val="none"/>
                <w:lang w:val="en-US" w:eastAsia="zh-CN"/>
              </w:rPr>
              <w:t xml:space="preserve">不少于3</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运维期</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质保</w:t>
            </w:r>
            <w:r>
              <w:rPr>
                <w:rFonts w:hint="eastAsia" w:ascii="仿宋" w:hAnsi="仿宋" w:eastAsia="仿宋" w:cs="仿宋"/>
                <w:color w:val="auto"/>
                <w:sz w:val="24"/>
                <w:highlight w:val="none"/>
                <w:lang w:val="en-US" w:eastAsia="zh-CN"/>
              </w:rPr>
              <w:t xml:space="preserve">期</w:t>
            </w:r>
            <w:r>
              <w:rPr>
                <w:rFonts w:hint="eastAsia" w:ascii="仿宋" w:hAnsi="仿宋" w:eastAsia="仿宋" w:cs="仿宋"/>
                <w:color w:val="auto"/>
                <w:sz w:val="24"/>
                <w:highlight w:val="none"/>
                <w:lang w:eastAsia="zh-CN"/>
              </w:rPr>
              <w:t xml:space="preserve">）</w:t>
            </w:r>
            <w:r/>
          </w:p>
        </w:tc>
      </w:tr>
      <w:tr>
        <w:trPr>
          <w:jc w:val="center"/>
          <w:trHeight w:val="205"/>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其他配套组件</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2742" w:type="pct"/>
            <w:vAlign w:val="center"/>
            <w:textDirection w:val="lrTb"/>
            <w:noWrap/>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控制箱。包括但不限于漏电保护器、空气开关、工业级交换机（上/下行端口速率≥百兆；端口数量≥4个电口）、新国标插线板（≥3位5孔，插孔电流≥10A）、防盗锁、风扇、隔板、接地铜排等多个配套组件，支持挂墙、挂杆安装，自配安装配件）</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2、探测器：制冷机深冷，制冷温度＜80K。</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云台</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2742" w:type="pct"/>
            <w:vAlign w:val="center"/>
            <w:textDirection w:val="lrTb"/>
            <w:noWrap/>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1、云台检测范围：水平0～360°连续旋转，俯仰-30°~+45°大范围扫描。</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2、速率水平0.01°~20°/s，俯仰0.01°~10°/s。</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配套软件</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2742" w:type="pct"/>
            <w:vAlign w:val="center"/>
            <w:textDirection w:val="lrTb"/>
            <w:noWrap/>
          </w:tcPr>
          <w:p>
            <w:pP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rPr>
              <w:t xml:space="preserve">配套设备控制软件和远程信息传输分析软件</w:t>
            </w:r>
            <w:r>
              <w:rPr>
                <w:rFonts w:hint="eastAsia" w:ascii="仿宋" w:hAnsi="仿宋" w:eastAsia="仿宋" w:cs="仿宋"/>
                <w:color w:val="auto"/>
                <w:sz w:val="24"/>
                <w:highlight w:val="none"/>
                <w:shd w:val="clear" w:color="auto" w:fill="ffffff"/>
              </w:rPr>
              <w:t xml:space="preserve">，可生成实时浓度数据、报警记录、气体分布云图图像、扫描日志、设备状态信息等；</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自动保护：系统应具有仪器基本参数贮存，断电自动保护与来电自动恢复功能。</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分析软件：分析软件具备化学气体红外成像及气体云团动态扩散效果展示，多种类气体同时快速识别，可实现泄漏源的精确定位，超标气体的预警，化学气体浓度半定量计算，形成化学气体红外光谱特征数据库，可根据现场情况预设多种监测方案；</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数据分析：含定性、定量分析。基于化学计量学算法，根据红外光谱，定性鉴别、定量分析目标区域的多种气体浓度分布；基于深度神经网络算法，自动扣除水峰和二氧化碳干扰，干扰抑制效果达90%以上；</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监测模式：系统应可选择连续监测、定次监测、定时监测、远程触发监测或人工手动监测模式；</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可远程控制在线分析系统，设置仪器的工作状态，调整分析方案、仪器工作状态等参数，必要时能提醒配件需更换。</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辅材</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2742" w:type="pct"/>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支架、线缆、光缆等，100M网络专线</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避雷装置</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2742" w:type="pct"/>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防雷器（保护对象：网络信号+电源）</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防电磁干扰。</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单点式气体传感器</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大于等于1</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2742" w:type="pct"/>
            <w:vAlign w:val="center"/>
            <w:textDirection w:val="lrTb"/>
            <w:noWrap/>
          </w:tcPr>
          <w:p>
            <w:pPr>
              <w:jc w:val="both"/>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探测Cl</w:t>
            </w:r>
            <w:r>
              <w:rPr>
                <w:rFonts w:hint="eastAsia" w:ascii="仿宋" w:hAnsi="仿宋" w:eastAsia="仿宋" w:cs="仿宋"/>
                <w:color w:val="auto"/>
                <w:sz w:val="24"/>
                <w:highlight w:val="none"/>
                <w:vertAlign w:val="subscript"/>
              </w:rPr>
              <w:t xml:space="preserve">2</w:t>
            </w:r>
            <w:r>
              <w:rPr>
                <w:rFonts w:hint="eastAsia" w:ascii="仿宋" w:hAnsi="仿宋" w:eastAsia="仿宋" w:cs="仿宋"/>
                <w:color w:val="auto"/>
                <w:sz w:val="24"/>
                <w:highlight w:val="none"/>
              </w:rPr>
              <w:t xml:space="preserve">及其他红外光谱仪探测不到的气体</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firstLine="480"/>
        <w:spacing w:line="360" w:lineRule="auto"/>
        <w:rPr>
          <w:rFonts w:hint="eastAsia" w:ascii="仿宋" w:hAnsi="仿宋" w:eastAsia="仿宋" w:cs="仿宋"/>
          <w:b/>
          <w:bCs/>
          <w:color w:val="auto"/>
          <w:sz w:val="24"/>
          <w:highlight w:val="none"/>
        </w:rPr>
        <w:sectPr>
          <w:footnotePr/>
          <w:endnotePr/>
          <w:type w:val="nextPage"/>
          <w:pgSz w:w="16838" w:h="11906" w:orient="landscape"/>
          <w:pgMar w:top="1134" w:right="1134" w:bottom="1134" w:left="1134" w:header="851" w:footer="992" w:gutter="0"/>
          <w:cols w:num="1" w:sep="0" w:space="720" w:equalWidth="1"/>
          <w:docGrid w:linePitch="360"/>
        </w:sectPr>
      </w:pPr>
      <w:r>
        <w:rPr>
          <w:rFonts w:hint="eastAsia" w:ascii="仿宋" w:hAnsi="仿宋" w:eastAsia="仿宋" w:cs="仿宋"/>
          <w:b/>
          <w:bCs/>
          <w:color w:val="auto"/>
          <w:sz w:val="24"/>
          <w:highlight w:val="none"/>
        </w:rPr>
      </w:r>
      <w:r/>
    </w:p>
    <w:p>
      <w:pPr>
        <w:pStyle w:val="95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560"/>
        <w:spacing w:line="500" w:lineRule="exact"/>
        <w:rPr>
          <w:rFonts w:ascii="Times New Roman" w:hAnsi="Times New Roman" w:eastAsia="方正仿宋_GBK" w:cs="方正仿宋_GBK"/>
          <w:color w:val="auto"/>
          <w:highlight w:val="none"/>
        </w:rPr>
        <w:outlineLvl w:val="1"/>
      </w:pPr>
      <w:r/>
      <w:bookmarkStart w:id="59" w:name="_Toc24043"/>
      <w:r>
        <w:rPr>
          <w:rFonts w:hint="eastAsia" w:ascii="黑体" w:hAnsi="黑体" w:eastAsia="黑体"/>
          <w:color w:val="auto"/>
          <w:sz w:val="28"/>
          <w:szCs w:val="28"/>
          <w:highlight w:val="none"/>
        </w:rPr>
        <w:t xml:space="preserve">三、</w:t>
      </w:r>
      <w:bookmarkEnd w:id="59"/>
      <w:r>
        <w:rPr>
          <w:rFonts w:hint="eastAsia" w:ascii="黑体" w:hAnsi="黑体" w:eastAsia="黑体"/>
          <w:color w:val="auto"/>
          <w:sz w:val="28"/>
          <w:szCs w:val="28"/>
          <w:highlight w:val="none"/>
        </w:rPr>
        <w:t xml:space="preserve">园区基本信息</w:t>
      </w:r>
      <w:r/>
    </w:p>
    <w:p>
      <w:pPr>
        <w:ind w:firstLine="560"/>
        <w:spacing w:line="500" w:lineRule="exact"/>
        <w:rPr>
          <w:rFonts w:hint="eastAsia" w:ascii="仿宋" w:hAnsi="仿宋" w:eastAsia="仿宋" w:cs="仿宋"/>
          <w:color w:val="auto"/>
          <w:sz w:val="28"/>
          <w:szCs w:val="28"/>
          <w:highlight w:val="none"/>
        </w:rPr>
      </w:pPr>
      <w:r/>
      <w:bookmarkStart w:id="60" w:name="_Toc6560"/>
      <w:r>
        <w:rPr>
          <w:rFonts w:hint="eastAsia" w:ascii="仿宋" w:hAnsi="仿宋" w:eastAsia="仿宋" w:cs="仿宋"/>
          <w:color w:val="auto"/>
          <w:sz w:val="28"/>
          <w:szCs w:val="28"/>
          <w:highlight w:val="none"/>
        </w:rPr>
        <w:t xml:space="preserve">3、园区基本信息</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（1）地理信息</w:t>
      </w:r>
      <w:r/>
    </w:p>
    <w:p>
      <w:pPr>
        <w:pStyle w:val="958"/>
        <w:jc w:val="both"/>
        <w:rPr>
          <w:rFonts w:hint="eastAsia" w:ascii="宋体" w:hAnsi="宋体" w:cs="宋体"/>
          <w:color w:val="auto"/>
          <w:sz w:val="22"/>
          <w:szCs w:val="22"/>
          <w:highlight w:val="none"/>
        </w:rPr>
      </w:pPr>
      <w:r>
        <w:rPr>
          <w:rFonts w:hint="eastAsia" w:ascii="Times New Roman" w:hAnsi="Times New Roman"/>
          <w:b/>
          <w:bCs/>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451485</wp:posOffset>
                </wp:positionH>
                <wp:positionV relativeFrom="page">
                  <wp:posOffset>2693035</wp:posOffset>
                </wp:positionV>
                <wp:extent cx="5089525" cy="3323590"/>
                <wp:effectExtent l="0" t="0" r="15875" b="10160"/>
                <wp:wrapTopAndBottom/>
                <wp:docPr id="4" name="图片 7" descr="494c84d3c4a848b96ed61e8fab96a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494c84d3c4a848b96ed61e8fab96a431"/>
                        <pic:cNvPicPr>
                          <a:picLocks noChangeAspect="1"/>
                        </pic:cNvPicPr>
                        <pic:nvPr/>
                      </pic:nvPicPr>
                      <pic:blipFill>
                        <a:blip r:embed="rId15"/>
                        <a:stretch/>
                      </pic:blipFill>
                      <pic:spPr bwMode="auto">
                        <a:xfrm>
                          <a:off x="893445" y="791845"/>
                          <a:ext cx="5089525" cy="3323590"/>
                        </a:xfrm>
                        <a:prstGeom prst="rect">
                          <a:avLst/>
                        </a:prstGeom>
                        <a:noFill/>
                        <a:ln w="9525" cmpd="sng">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35.5pt;mso-position-horizontal:absolute;mso-position-vertical-relative:page;margin-top:212.0pt;mso-position-vertical:absolute;width:400.8pt;height:261.7pt;mso-wrap-distance-left:9.0pt;mso-wrap-distance-top:0.0pt;mso-wrap-distance-right:9.0pt;mso-wrap-distance-bottom:0.0pt;" stroked="f" strokeweight="0.75pt">
                <v:path textboxrect="0,0,0,0"/>
                <w10:wrap type="topAndBottom"/>
                <v:imagedata r:id="rId15" o:title=""/>
              </v:shape>
            </w:pict>
          </mc:Fallback>
        </mc:AlternateContent>
      </w:r>
      <w:r/>
    </w:p>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园区四至范围</w:t>
      </w:r>
      <w:r/>
    </w:p>
    <w:p>
      <w:pPr>
        <w:pStyle w:val="958"/>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958"/>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rPr>
          <w:rFonts w:hint="eastAsia"/>
          <w:color w:val="auto"/>
          <w:highlight w:val="none"/>
        </w:rPr>
      </w:pPr>
      <w:r>
        <w:rPr>
          <w:rFonts w:hint="eastAsia"/>
          <w:color w:val="auto"/>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958"/>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rPr>
          <w:rFonts w:hint="eastAsia"/>
          <w:color w:val="auto"/>
          <w:highlight w:val="none"/>
        </w:rPr>
      </w:pPr>
      <w:r>
        <w:rPr>
          <w:rFonts w:hint="eastAsia"/>
          <w:color w:val="auto"/>
          <w:highlight w:val="none"/>
        </w:rPr>
      </w:r>
      <w:r/>
    </w:p>
    <w:p>
      <w:pPr>
        <w:pStyle w:val="95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5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500" w:lineRule="exact"/>
        <w:rPr>
          <w:rFonts w:hint="eastAsia" w:eastAsia="仿宋"/>
          <w:color w:val="auto"/>
          <w:highlight w:val="none"/>
          <w:lang w:eastAsia="zh-CN"/>
        </w:rPr>
      </w:pPr>
      <w:r>
        <w:rPr>
          <w:rFonts w:hint="eastAsia" w:ascii="仿宋" w:hAnsi="仿宋" w:eastAsia="仿宋" w:cs="仿宋"/>
          <w:color w:val="auto"/>
          <w:sz w:val="28"/>
          <w:szCs w:val="28"/>
          <w:highlight w:val="none"/>
        </w:rPr>
        <w:t xml:space="preserve">如皋港化工新材料产业园卫星图见下</w:t>
      </w:r>
      <w:r>
        <w:rPr>
          <w:rFonts w:hint="eastAsia" w:ascii="仿宋" w:hAnsi="仿宋" w:eastAsia="仿宋" w:cs="仿宋"/>
          <w:color w:val="auto"/>
          <w:sz w:val="28"/>
          <w:szCs w:val="28"/>
          <w:highlight w:val="none"/>
          <w:lang w:eastAsia="zh-CN"/>
        </w:rPr>
        <w:t xml:space="preserve">：</w:t>
      </w:r>
      <w:r/>
    </w:p>
    <w:p>
      <w:pPr>
        <w:rPr>
          <w:rFonts w:hint="eastAsia"/>
          <w:color w:val="auto"/>
          <w:highlight w:val="none"/>
        </w:rPr>
      </w:pPr>
      <w:r>
        <w:rPr>
          <w:rFonts w:hint="eastAsia"/>
          <w:color w:val="auto"/>
          <w:highlight w:val="none"/>
        </w:rPr>
      </w:r>
      <w:r/>
    </w:p>
    <w:p>
      <w:pPr>
        <w:ind w:firstLine="480"/>
        <w:spacing w:line="360" w:lineRule="auto"/>
        <w:rPr>
          <w:rFonts w:ascii="Times New Roman" w:hAnsi="Times New Roman"/>
          <w:color w:val="auto"/>
          <w:szCs w:val="20"/>
          <w:highlight w:val="none"/>
        </w:rPr>
      </w:pPr>
      <w:r>
        <w:rPr>
          <w:rFonts w:ascii="Times New Roman" w:hAnsi="Times New Roman"/>
          <w:color w:val="auto"/>
          <w:szCs w:val="20"/>
          <w:highlight w:val="none"/>
        </w:rPr>
        <mc:AlternateContent>
          <mc:Choice Requires="wpg">
            <w:drawing>
              <wp:inline xmlns:wp="http://schemas.openxmlformats.org/drawingml/2006/wordprocessingDrawing" distT="0" distB="0" distL="0" distR="0">
                <wp:extent cx="5170170" cy="3832860"/>
                <wp:effectExtent l="0" t="0" r="11430" b="1524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rcRect l="11606" t="5486" r="26787" b="13447"/>
                        <a:stretch/>
                      </pic:blipFill>
                      <pic:spPr bwMode="auto">
                        <a:xfrm>
                          <a:off x="0" y="0"/>
                          <a:ext cx="5170170" cy="383286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7.1pt;height:301.8pt;mso-wrap-distance-left:0.0pt;mso-wrap-distance-top:0.0pt;mso-wrap-distance-right:0.0pt;mso-wrap-distance-bottom:0.0pt;" stroked="f" strokeweight="0.75pt">
                <v:path textboxrect="0,0,0,0"/>
                <v:imagedata r:id="rId16" o:title=""/>
              </v:shape>
            </w:pict>
          </mc:Fallback>
        </mc:AlternateContent>
      </w:r>
      <w:r/>
    </w:p>
    <w:p>
      <w:pPr>
        <w:ind w:firstLine="480"/>
        <w:jc w:val="center"/>
        <w:spacing w:line="360" w:lineRule="auto"/>
        <w:rPr>
          <w:rFonts w:hint="eastAsia" w:ascii="Times New Roman" w:hAnsi="Times New Roman"/>
          <w:color w:val="auto"/>
          <w:szCs w:val="20"/>
          <w:highlight w:val="none"/>
        </w:rPr>
      </w:pPr>
      <w:r>
        <w:rPr>
          <w:rFonts w:hint="eastAsia" w:ascii="Times New Roman" w:hAnsi="Times New Roman"/>
          <w:color w:val="auto"/>
          <w:szCs w:val="20"/>
          <w:highlight w:val="none"/>
        </w:rPr>
        <w:t xml:space="preserve">西片区企业分布</w:t>
      </w:r>
      <w:r/>
    </w:p>
    <w:p>
      <w:pPr>
        <w:ind w:firstLine="480"/>
        <w:spacing w:line="360" w:lineRule="auto"/>
        <w:rPr>
          <w:rFonts w:ascii="Times New Roman" w:hAnsi="Times New Roman"/>
          <w:color w:val="auto"/>
          <w:szCs w:val="20"/>
          <w:highlight w:val="none"/>
        </w:rPr>
      </w:pPr>
      <w:r>
        <w:rPr>
          <w:rFonts w:ascii="Times New Roman" w:hAnsi="Times New Roman"/>
          <w:color w:val="auto"/>
          <w:szCs w:val="20"/>
          <w:highlight w:val="none"/>
        </w:rPr>
        <mc:AlternateContent>
          <mc:Choice Requires="wpg">
            <w:drawing>
              <wp:inline xmlns:wp="http://schemas.openxmlformats.org/drawingml/2006/wordprocessingDrawing" distT="0" distB="0" distL="0" distR="0">
                <wp:extent cx="5171440" cy="3868420"/>
                <wp:effectExtent l="0" t="0" r="10160" b="1778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rcRect l="12355" t="6963" r="26662" b="11876"/>
                        <a:stretch/>
                      </pic:blipFill>
                      <pic:spPr bwMode="auto">
                        <a:xfrm>
                          <a:off x="0" y="0"/>
                          <a:ext cx="5171440" cy="38684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7.2pt;height:304.6pt;mso-wrap-distance-left:0.0pt;mso-wrap-distance-top:0.0pt;mso-wrap-distance-right:0.0pt;mso-wrap-distance-bottom:0.0pt;" stroked="f" strokeweight="0.75pt">
                <v:path textboxrect="0,0,0,0"/>
                <v:imagedata r:id="rId17" o:title=""/>
              </v:shape>
            </w:pict>
          </mc:Fallback>
        </mc:AlternateContent>
      </w:r>
      <w:r/>
    </w:p>
    <w:p>
      <w:pPr>
        <w:ind w:firstLine="480"/>
        <w:jc w:val="center"/>
        <w:spacing w:line="360" w:lineRule="auto"/>
        <w:rPr>
          <w:rFonts w:hint="eastAsia" w:ascii="Times New Roman" w:hAnsi="Times New Roman"/>
          <w:color w:val="auto"/>
          <w:szCs w:val="20"/>
          <w:highlight w:val="none"/>
        </w:rPr>
      </w:pPr>
      <w:r>
        <w:rPr>
          <w:rFonts w:hint="eastAsia" w:ascii="Times New Roman" w:hAnsi="Times New Roman"/>
          <w:color w:val="auto"/>
          <w:szCs w:val="20"/>
          <w:highlight w:val="none"/>
        </w:rPr>
        <w:t xml:space="preserve">东片区企业分布</w:t>
      </w:r>
      <w:r/>
    </w:p>
    <w:p>
      <w:pPr>
        <w:ind w:firstLine="480"/>
        <w:jc w:val="center"/>
        <w:spacing w:line="360" w:lineRule="auto"/>
        <w:rPr>
          <w:rFonts w:hint="eastAsia" w:ascii="Times New Roman" w:hAnsi="Times New Roman"/>
          <w:color w:val="auto"/>
          <w:szCs w:val="20"/>
          <w:highlight w:val="none"/>
        </w:rPr>
      </w:pPr>
      <w:r>
        <w:rPr>
          <w:rFonts w:hint="eastAsia" w:ascii="Times New Roman" w:hAnsi="Times New Roman"/>
          <w:color w:val="auto"/>
          <w:szCs w:val="20"/>
          <w:highlight w:val="none"/>
        </w:rPr>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（2）重大危险源</w: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inline xmlns:wp="http://schemas.openxmlformats.org/drawingml/2006/wordprocessingDrawing" distT="0" distB="0" distL="0" distR="0">
                <wp:extent cx="5454650" cy="3816985"/>
                <wp:effectExtent l="19050" t="0" r="0" b="0"/>
                <wp:docPr id="7" name="图片 10" descr="5ce5b8c89735161f070e2e99cb7cc2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descr="5ce5b8c89735161f070e2e99cb7cc2e8"/>
                        <pic:cNvPicPr>
                          <a:picLocks noChangeAspect="1"/>
                        </pic:cNvPicPr>
                        <pic:nvPr/>
                      </pic:nvPicPr>
                      <pic:blipFill>
                        <a:blip r:embed="rId18"/>
                        <a:stretch/>
                      </pic:blipFill>
                      <pic:spPr bwMode="auto">
                        <a:xfrm>
                          <a:off x="0" y="0"/>
                          <a:ext cx="5454650" cy="3816985"/>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9.5pt;height:300.6pt;mso-wrap-distance-left:0.0pt;mso-wrap-distance-top:0.0pt;mso-wrap-distance-right:0.0pt;mso-wrap-distance-bottom:0.0pt;" stroked="f" strokeweight="0.75pt">
                <v:path textboxrect="0,0,0,0"/>
                <v:imagedata r:id="rId18" o:title=""/>
              </v:shape>
            </w:pict>
          </mc:Fallback>
        </mc:AlternateContent>
      </w:r>
      <w:r/>
    </w:p>
    <w:p>
      <w:pPr>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（3）危险化学品</w:t>
      </w:r>
      <w:r/>
    </w:p>
    <w:p>
      <w:pPr>
        <w:jc w:val="center"/>
        <w:spacing w:line="360" w:lineRule="auto"/>
        <w:rPr>
          <w:rFonts w:hint="eastAsia" w:ascii="Times New Roman" w:hAnsi="Times New Roman" w:eastAsia="Arial"/>
          <w:color w:val="auto"/>
          <w:szCs w:val="20"/>
          <w:highlight w:val="none"/>
        </w:rPr>
      </w:pPr>
      <w:r>
        <w:rPr>
          <w:rFonts w:hint="eastAsia" w:ascii="Times New Roman" w:hAnsi="Times New Roman" w:eastAsia="Arial"/>
          <w:color w:val="auto"/>
          <w:szCs w:val="20"/>
          <w:highlight w:val="none"/>
        </w:rPr>
        <mc:AlternateContent>
          <mc:Choice Requires="wpg">
            <w:drawing>
              <wp:inline xmlns:wp="http://schemas.openxmlformats.org/drawingml/2006/wordprocessingDrawing" distT="0" distB="0" distL="0" distR="0">
                <wp:extent cx="5160010" cy="4234180"/>
                <wp:effectExtent l="0" t="0" r="2540" b="13970"/>
                <wp:docPr id="8" name="图片 11" descr="68f6c722efa547f6f6bbe147c8ecf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1" descr="68f6c722efa547f6f6bbe147c8ecf780"/>
                        <pic:cNvPicPr>
                          <a:picLocks noChangeAspect="1"/>
                        </pic:cNvPicPr>
                        <pic:nvPr/>
                      </pic:nvPicPr>
                      <pic:blipFill>
                        <a:blip r:embed="rId19"/>
                        <a:stretch/>
                      </pic:blipFill>
                      <pic:spPr bwMode="auto">
                        <a:xfrm>
                          <a:off x="0" y="0"/>
                          <a:ext cx="5160010" cy="42341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6.3pt;height:333.4pt;mso-wrap-distance-left:0.0pt;mso-wrap-distance-top:0.0pt;mso-wrap-distance-right:0.0pt;mso-wrap-distance-bottom:0.0pt;" stroked="f" strokeweight="0.75pt">
                <v:path textboxrect="0,0,0,0"/>
                <v:imagedata r:id="rId19" o:title=""/>
              </v:shape>
            </w:pict>
          </mc:Fallback>
        </mc:AlternateContent>
      </w:r>
      <w:r>
        <w:rPr>
          <w:rFonts w:hint="eastAsia" w:ascii="Times New Roman" w:hAnsi="Times New Roman" w:eastAsia="Arial"/>
          <w:color w:val="auto"/>
          <w:szCs w:val="20"/>
          <w:highlight w:val="none"/>
        </w:rPr>
        <mc:AlternateContent>
          <mc:Choice Requires="wpg">
            <w:drawing>
              <wp:inline xmlns:wp="http://schemas.openxmlformats.org/drawingml/2006/wordprocessingDrawing" distT="0" distB="0" distL="0" distR="0">
                <wp:extent cx="5168900" cy="2115185"/>
                <wp:effectExtent l="0" t="0" r="12700" b="18415"/>
                <wp:docPr id="9" name="图片 12" descr="e029d5d9d60d482dbc525e66da4efb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2" descr="e029d5d9d60d482dbc525e66da4efb53"/>
                        <pic:cNvPicPr>
                          <a:picLocks noChangeAspect="1"/>
                        </pic:cNvPicPr>
                        <pic:nvPr/>
                      </pic:nvPicPr>
                      <pic:blipFill>
                        <a:blip r:embed="rId20"/>
                        <a:stretch/>
                      </pic:blipFill>
                      <pic:spPr bwMode="auto">
                        <a:xfrm>
                          <a:off x="0" y="0"/>
                          <a:ext cx="5168900" cy="2115185"/>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07.0pt;height:166.5pt;mso-wrap-distance-left:0.0pt;mso-wrap-distance-top:0.0pt;mso-wrap-distance-right:0.0pt;mso-wrap-distance-bottom:0.0pt;" stroked="f" strokeweight="0.75pt">
                <v:path textboxrect="0,0,0,0"/>
                <v:imagedata r:id="rId20" o:title=""/>
              </v:shape>
            </w:pict>
          </mc:Fallback>
        </mc:AlternateConten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（4）毒性气体</w:t>
      </w:r>
      <w:r/>
    </w:p>
    <w:p>
      <w:pPr>
        <w:ind w:firstLine="480"/>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经统计，如皋港化工新材料产业园储存氯、氨、氯化氢3种毒性气体，共48.65t。这些气体有强烈的毒害、窒息、灼伤、刺激等作用：氨气具有易燃易爆性，氯气具有氧化性和腐蚀性，氯化氢具有腐蚀性质。</w:t>
      </w:r>
      <w:r/>
    </w:p>
    <w:p>
      <w:pPr>
        <w:jc w:val="center"/>
        <w:spacing w:line="2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spacing w:line="2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spacing w:line="2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spacing w:line="2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表4.1-3 化工园储存毒性气体情况</w:t>
      </w:r>
      <w:r/>
    </w:p>
    <w:tbl>
      <w:tblPr>
        <w:tblStyle w:val="787"/>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78"/>
        <w:gridCol w:w="3839"/>
        <w:gridCol w:w="1887"/>
        <w:gridCol w:w="1949"/>
      </w:tblGrid>
      <w:tr>
        <w:trPr>
          <w:jc w:val="center"/>
          <w:trHeight w:val="289"/>
          <w:tblHeader/>
        </w:trPr>
        <w:tc>
          <w:tcPr>
            <w:tcMar>
              <w:left w:w="12" w:type="dxa"/>
              <w:top w:w="12" w:type="dxa"/>
              <w:right w:w="12" w:type="dxa"/>
            </w:tcMar>
            <w:tcW w:w="127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Mar>
              <w:left w:w="12" w:type="dxa"/>
              <w:top w:w="12" w:type="dxa"/>
              <w:right w:w="12" w:type="dxa"/>
            </w:tcMar>
            <w:tcW w:w="3839"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w:t>
            </w:r>
            <w:r/>
          </w:p>
        </w:tc>
        <w:tc>
          <w:tcPr>
            <w:tcMar>
              <w:left w:w="12" w:type="dxa"/>
              <w:top w:w="12" w:type="dxa"/>
              <w:right w:w="12" w:type="dxa"/>
            </w:tcMar>
            <w:tcW w:w="188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总存量/t</w:t>
            </w:r>
            <w:r/>
          </w:p>
        </w:tc>
        <w:tc>
          <w:tcPr>
            <w:tcMar>
              <w:left w:w="12" w:type="dxa"/>
              <w:top w:w="12" w:type="dxa"/>
              <w:right w:w="12" w:type="dxa"/>
            </w:tcMar>
            <w:tcW w:w="1949"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占比</w:t>
            </w:r>
            <w:r/>
          </w:p>
        </w:tc>
      </w:tr>
      <w:tr>
        <w:trPr>
          <w:jc w:val="center"/>
          <w:trHeight w:val="289"/>
        </w:trPr>
        <w:tc>
          <w:tcPr>
            <w:tcMar>
              <w:left w:w="12" w:type="dxa"/>
              <w:top w:w="12" w:type="dxa"/>
              <w:right w:w="12" w:type="dxa"/>
            </w:tcMar>
            <w:tcW w:w="127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Mar>
              <w:left w:w="12" w:type="dxa"/>
              <w:top w:w="12" w:type="dxa"/>
              <w:right w:w="12" w:type="dxa"/>
            </w:tcMar>
            <w:tcW w:w="3839"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液氯</w:t>
            </w:r>
            <w:r/>
          </w:p>
        </w:tc>
        <w:tc>
          <w:tcPr>
            <w:tcMar>
              <w:left w:w="12" w:type="dxa"/>
              <w:top w:w="12" w:type="dxa"/>
              <w:right w:w="12" w:type="dxa"/>
            </w:tcMar>
            <w:tcW w:w="188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30.45</w:t>
            </w:r>
            <w:r/>
          </w:p>
        </w:tc>
        <w:tc>
          <w:tcPr>
            <w:tcMar>
              <w:left w:w="12" w:type="dxa"/>
              <w:top w:w="12" w:type="dxa"/>
              <w:right w:w="12" w:type="dxa"/>
            </w:tcMar>
            <w:tcW w:w="1949"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62.59%</w:t>
            </w:r>
            <w:r/>
          </w:p>
        </w:tc>
      </w:tr>
      <w:tr>
        <w:trPr>
          <w:jc w:val="center"/>
          <w:trHeight w:val="289"/>
        </w:trPr>
        <w:tc>
          <w:tcPr>
            <w:tcMar>
              <w:left w:w="12" w:type="dxa"/>
              <w:top w:w="12" w:type="dxa"/>
              <w:right w:w="12" w:type="dxa"/>
            </w:tcMar>
            <w:tcW w:w="127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Mar>
              <w:left w:w="12" w:type="dxa"/>
              <w:top w:w="12" w:type="dxa"/>
              <w:right w:w="12" w:type="dxa"/>
            </w:tcMar>
            <w:tcW w:w="3839"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氨</w:t>
            </w:r>
            <w:r/>
          </w:p>
        </w:tc>
        <w:tc>
          <w:tcPr>
            <w:tcMar>
              <w:left w:w="12" w:type="dxa"/>
              <w:top w:w="12" w:type="dxa"/>
              <w:right w:w="12" w:type="dxa"/>
            </w:tcMar>
            <w:tcW w:w="188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13.2</w:t>
            </w:r>
            <w:r/>
          </w:p>
        </w:tc>
        <w:tc>
          <w:tcPr>
            <w:tcMar>
              <w:left w:w="12" w:type="dxa"/>
              <w:top w:w="12" w:type="dxa"/>
              <w:right w:w="12" w:type="dxa"/>
            </w:tcMar>
            <w:tcW w:w="1949"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27.13%</w:t>
            </w:r>
            <w:r/>
          </w:p>
        </w:tc>
      </w:tr>
      <w:tr>
        <w:trPr>
          <w:jc w:val="center"/>
          <w:trHeight w:val="289"/>
        </w:trPr>
        <w:tc>
          <w:tcPr>
            <w:tcMar>
              <w:left w:w="12" w:type="dxa"/>
              <w:top w:w="12" w:type="dxa"/>
              <w:right w:w="12" w:type="dxa"/>
            </w:tcMar>
            <w:tcW w:w="127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Mar>
              <w:left w:w="12" w:type="dxa"/>
              <w:top w:w="12" w:type="dxa"/>
              <w:right w:w="12" w:type="dxa"/>
            </w:tcMar>
            <w:tcW w:w="3839"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氯化氢</w:t>
            </w:r>
            <w:r/>
          </w:p>
        </w:tc>
        <w:tc>
          <w:tcPr>
            <w:tcMar>
              <w:left w:w="12" w:type="dxa"/>
              <w:top w:w="12" w:type="dxa"/>
              <w:right w:w="12" w:type="dxa"/>
            </w:tcMar>
            <w:tcW w:w="188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Mar>
              <w:left w:w="12" w:type="dxa"/>
              <w:top w:w="12" w:type="dxa"/>
              <w:right w:w="12" w:type="dxa"/>
            </w:tcMar>
            <w:tcW w:w="1949"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10.27%</w:t>
            </w:r>
            <w:r/>
          </w:p>
        </w:tc>
      </w:tr>
      <w:tr>
        <w:trPr>
          <w:jc w:val="center"/>
          <w:trHeight w:val="289"/>
        </w:trPr>
        <w:tc>
          <w:tcPr>
            <w:tcW w:w="1278"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83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88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sum(C2:C4)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48.65</w:t>
            </w:r>
            <w:r>
              <w:rPr>
                <w:rFonts w:hint="eastAsia" w:ascii="仿宋" w:hAnsi="仿宋" w:eastAsia="仿宋" w:cs="仿宋"/>
                <w:color w:val="auto"/>
                <w:sz w:val="24"/>
                <w:highlight w:val="none"/>
              </w:rPr>
              <w:fldChar w:fldCharType="end"/>
            </w:r>
            <w:r/>
          </w:p>
        </w:tc>
        <w:tc>
          <w:tcPr>
            <w:tcW w:w="1949"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firstLine="480"/>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其他有毒有害气体（含重点监管危险化学品）</w:t>
      </w:r>
      <w:r/>
    </w:p>
    <w:tbl>
      <w:tblPr>
        <w:tblStyle w:val="787"/>
        <w:tblW w:w="0" w:type="auto"/>
        <w:tblInd w:w="100" w:type="dxa"/>
        <w:tblLayout w:type="autofit"/>
        <w:tblCellMar>
          <w:left w:w="108" w:type="dxa"/>
          <w:top w:w="0" w:type="dxa"/>
          <w:right w:w="108" w:type="dxa"/>
          <w:bottom w:w="0" w:type="dxa"/>
        </w:tblCellMar>
        <w:tblLook w:val="04A0" w:firstRow="1" w:lastRow="0" w:firstColumn="1" w:lastColumn="0" w:noHBand="0" w:noVBand="1"/>
      </w:tblPr>
      <w:tblGrid>
        <w:gridCol w:w="809"/>
        <w:gridCol w:w="1811"/>
        <w:gridCol w:w="6850"/>
      </w:tblGrid>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气体名称</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危险特性</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涉及企业及关联产品</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硫化氢</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剧毒、易燃</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德源（中国）高科有限公司（脂肪醇、脂肪酸生产过程副产）</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磷化氢</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剧毒、易燃</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南通意特化工有限公司（次磷酸钙、亚磷酸钙生产）</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氯甲烷</w:t>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毒性、易燃</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江苏新瑞药业有限公司（医药原料）；</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储存环节（易燃气体类）</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甲醛</w:t>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毒性、刺激性</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南通百川化工有限公司（绝缘树脂生产）；</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南通宏智化工物流有限公司（储存）</w:t>
            </w:r>
            <w:r/>
          </w:p>
        </w:tc>
      </w:tr>
      <w:tr>
        <w:trPr>
          <w:trHeight w:val="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三氯甲烷</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毒性、致癌性</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江苏宝众宝达药业股份有限公司（医药合成原料，重点监管危险化学品）</w:t>
            </w:r>
            <w:r/>
          </w:p>
        </w:tc>
      </w:tr>
      <w:tr>
        <w:trPr>
          <w:trHeight w:val="5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二氧化硫</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毒性、刺激性</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江苏阳恒化工有限公司（三氧化硫生产副产，重点监管危险化学品）</w:t>
            </w:r>
            <w:r/>
          </w:p>
        </w:tc>
      </w:tr>
      <w:tr>
        <w:trPr>
          <w:trHeight w:val="55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三氧化硫</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毒性、强腐蚀性</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江苏阳恒化工有限公司（生产产品，重点监管危险化学品）</w:t>
            </w:r>
            <w:r/>
          </w:p>
        </w:tc>
      </w:tr>
      <w:tr>
        <w:trPr>
          <w:trHeight w:val="82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硝基苯蒸气</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毒性、致癌性</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江苏宝众宝达药业股份有限公司（医药合成原料）；</w:t>
            </w:r>
            <w:r/>
          </w:p>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南通天泽化工有限公司（硝化工艺中间产物）</w:t>
            </w:r>
            <w:r/>
          </w:p>
        </w:tc>
      </w:tr>
      <w:tr>
        <w:trPr>
          <w:trHeight w:val="82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苯胺蒸气</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毒性、刺激性</w:t>
            </w:r>
            <w:r/>
          </w:p>
        </w:tc>
        <w:tc>
          <w:tcPr>
            <w:tcBorders>
              <w:top w:val="single" w:color="000000" w:sz="4" w:space="0"/>
              <w:left w:val="single" w:color="000000" w:sz="4" w:space="0"/>
              <w:bottom w:val="single" w:color="000000" w:sz="4" w:space="0"/>
              <w:right w:val="single" w:color="000000" w:sz="4" w:space="0"/>
            </w:tcBorders>
            <w:tcW w:w="6850"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南通百川化工有限公司（原料，重点监管危险化学品）；南通宏智化工物流有限公司（储存）</w:t>
            </w:r>
            <w:r/>
          </w:p>
        </w:tc>
      </w:tr>
    </w:tbl>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（5）易燃气体</w:t>
      </w:r>
      <w:r/>
    </w:p>
    <w:p>
      <w:pPr>
        <w:ind w:firstLine="480"/>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经统计，如皋港化工新材料产业园内储存的易燃气体有7种，共34.026t，</w:t>
      </w:r>
      <w:r/>
    </w:p>
    <w:p>
      <w:pPr>
        <w:jc w:val="center"/>
        <w:spacing w:line="2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表4.1-1 如皋港化工新材料产业园储存的易燃气体数量</w:t>
      </w:r>
      <w:r/>
    </w:p>
    <w:tbl>
      <w:tblPr>
        <w:tblStyle w:val="787"/>
        <w:tblW w:w="905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63"/>
        <w:gridCol w:w="3684"/>
        <w:gridCol w:w="1938"/>
        <w:gridCol w:w="2067"/>
      </w:tblGrid>
      <w:tr>
        <w:trPr>
          <w:jc w:val="center"/>
          <w:trHeight w:val="288"/>
        </w:trPr>
        <w:tc>
          <w:tcPr>
            <w:tcMar>
              <w:left w:w="12" w:type="dxa"/>
              <w:top w:w="12" w:type="dxa"/>
              <w:right w:w="12" w:type="dxa"/>
            </w:tcMar>
            <w:tcW w:w="1363"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序号</w:t>
            </w:r>
            <w:r/>
          </w:p>
        </w:tc>
        <w:tc>
          <w:tcPr>
            <w:tcMar>
              <w:left w:w="12" w:type="dxa"/>
              <w:top w:w="12" w:type="dxa"/>
              <w:right w:w="12" w:type="dxa"/>
            </w:tcMar>
            <w:tcW w:w="3684"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名称</w:t>
            </w:r>
            <w:r/>
          </w:p>
        </w:tc>
        <w:tc>
          <w:tcPr>
            <w:tcMar>
              <w:left w:w="12" w:type="dxa"/>
              <w:top w:w="12" w:type="dxa"/>
              <w:right w:w="12" w:type="dxa"/>
            </w:tcMar>
            <w:tcW w:w="1938"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总存量/t</w:t>
            </w:r>
            <w:r/>
          </w:p>
        </w:tc>
        <w:tc>
          <w:tcPr>
            <w:tcMar>
              <w:left w:w="12" w:type="dxa"/>
              <w:top w:w="12" w:type="dxa"/>
              <w:right w:w="12" w:type="dxa"/>
            </w:tcMar>
            <w:tcW w:w="2067" w:type="dxa"/>
            <w:vAlign w:val="center"/>
            <w:textDirection w:val="lrTb"/>
            <w:noWrap w:val="false"/>
          </w:tcPr>
          <w:p>
            <w:pPr>
              <w:jc w:val="cente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占比</w:t>
            </w:r>
            <w:r/>
          </w:p>
        </w:tc>
      </w:tr>
      <w:tr>
        <w:trPr>
          <w:jc w:val="center"/>
          <w:trHeight w:val="303"/>
        </w:trPr>
        <w:tc>
          <w:tcPr>
            <w:tcMar>
              <w:left w:w="12" w:type="dxa"/>
              <w:top w:w="12" w:type="dxa"/>
              <w:right w:w="12" w:type="dxa"/>
            </w:tcMar>
            <w:tcW w:w="1363"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Mar>
              <w:left w:w="12" w:type="dxa"/>
              <w:top w:w="12" w:type="dxa"/>
              <w:right w:w="12" w:type="dxa"/>
            </w:tcMar>
            <w:tcW w:w="3684"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氨</w:t>
            </w:r>
            <w:r/>
          </w:p>
        </w:tc>
        <w:tc>
          <w:tcPr>
            <w:tcMar>
              <w:left w:w="12" w:type="dxa"/>
              <w:top w:w="12" w:type="dxa"/>
              <w:right w:w="12" w:type="dxa"/>
            </w:tcMar>
            <w:tcW w:w="193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13.2</w:t>
            </w:r>
            <w:r/>
          </w:p>
        </w:tc>
        <w:tc>
          <w:tcPr>
            <w:tcMar>
              <w:left w:w="12" w:type="dxa"/>
              <w:top w:w="12" w:type="dxa"/>
              <w:right w:w="12" w:type="dxa"/>
            </w:tcMar>
            <w:tcW w:w="2067"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38.79%</w:t>
            </w:r>
            <w:r/>
          </w:p>
        </w:tc>
      </w:tr>
      <w:tr>
        <w:trPr>
          <w:jc w:val="center"/>
          <w:trHeight w:val="288"/>
        </w:trPr>
        <w:tc>
          <w:tcPr>
            <w:tcMar>
              <w:left w:w="12" w:type="dxa"/>
              <w:top w:w="12" w:type="dxa"/>
              <w:right w:w="12" w:type="dxa"/>
            </w:tcMar>
            <w:tcW w:w="1363"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Mar>
              <w:left w:w="12" w:type="dxa"/>
              <w:top w:w="12" w:type="dxa"/>
              <w:right w:w="12" w:type="dxa"/>
            </w:tcMar>
            <w:tcW w:w="3684"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甲醚</w:t>
            </w:r>
            <w:r/>
          </w:p>
        </w:tc>
        <w:tc>
          <w:tcPr>
            <w:tcMar>
              <w:left w:w="12" w:type="dxa"/>
              <w:top w:w="12" w:type="dxa"/>
              <w:right w:w="12" w:type="dxa"/>
            </w:tcMar>
            <w:tcW w:w="193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Mar>
              <w:left w:w="12" w:type="dxa"/>
              <w:top w:w="12" w:type="dxa"/>
              <w:right w:w="12" w:type="dxa"/>
            </w:tcMar>
            <w:tcW w:w="2067"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29.39%</w:t>
            </w:r>
            <w:r/>
          </w:p>
        </w:tc>
      </w:tr>
      <w:tr>
        <w:trPr>
          <w:jc w:val="center"/>
          <w:trHeight w:val="288"/>
        </w:trPr>
        <w:tc>
          <w:tcPr>
            <w:tcMar>
              <w:left w:w="12" w:type="dxa"/>
              <w:top w:w="12" w:type="dxa"/>
              <w:right w:w="12" w:type="dxa"/>
            </w:tcMar>
            <w:tcW w:w="1363"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Mar>
              <w:left w:w="12" w:type="dxa"/>
              <w:top w:w="12" w:type="dxa"/>
              <w:right w:w="12" w:type="dxa"/>
            </w:tcMar>
            <w:tcW w:w="3684"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氯甲烷</w:t>
            </w:r>
            <w:r/>
          </w:p>
        </w:tc>
        <w:tc>
          <w:tcPr>
            <w:tcMar>
              <w:left w:w="12" w:type="dxa"/>
              <w:top w:w="12" w:type="dxa"/>
              <w:right w:w="12" w:type="dxa"/>
            </w:tcMar>
            <w:tcW w:w="193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Mar>
              <w:left w:w="12" w:type="dxa"/>
              <w:top w:w="12" w:type="dxa"/>
              <w:right w:w="12" w:type="dxa"/>
            </w:tcMar>
            <w:tcW w:w="2067"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14.69%</w:t>
            </w:r>
            <w:r/>
          </w:p>
        </w:tc>
      </w:tr>
      <w:tr>
        <w:trPr>
          <w:jc w:val="center"/>
          <w:trHeight w:val="288"/>
        </w:trPr>
        <w:tc>
          <w:tcPr>
            <w:tcMar>
              <w:left w:w="12" w:type="dxa"/>
              <w:top w:w="12" w:type="dxa"/>
              <w:right w:w="12" w:type="dxa"/>
            </w:tcMar>
            <w:tcW w:w="1363"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Mar>
              <w:left w:w="12" w:type="dxa"/>
              <w:top w:w="12" w:type="dxa"/>
              <w:right w:w="12" w:type="dxa"/>
            </w:tcMar>
            <w:tcW w:w="3684"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丙烷</w:t>
            </w:r>
            <w:r/>
          </w:p>
        </w:tc>
        <w:tc>
          <w:tcPr>
            <w:tcMar>
              <w:left w:w="12" w:type="dxa"/>
              <w:top w:w="12" w:type="dxa"/>
              <w:right w:w="12" w:type="dxa"/>
            </w:tcMar>
            <w:tcW w:w="193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Mar>
              <w:left w:w="12" w:type="dxa"/>
              <w:top w:w="12" w:type="dxa"/>
              <w:right w:w="12" w:type="dxa"/>
            </w:tcMar>
            <w:tcW w:w="2067"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5.88%</w:t>
            </w:r>
            <w:r/>
          </w:p>
        </w:tc>
      </w:tr>
      <w:tr>
        <w:trPr>
          <w:jc w:val="center"/>
          <w:trHeight w:val="288"/>
        </w:trPr>
        <w:tc>
          <w:tcPr>
            <w:tcMar>
              <w:left w:w="12" w:type="dxa"/>
              <w:top w:w="12" w:type="dxa"/>
              <w:right w:w="12" w:type="dxa"/>
            </w:tcMar>
            <w:tcW w:w="1363"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Mar>
              <w:left w:w="12" w:type="dxa"/>
              <w:top w:w="12" w:type="dxa"/>
              <w:right w:w="12" w:type="dxa"/>
            </w:tcMar>
            <w:tcW w:w="3684"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二甲胺</w:t>
            </w:r>
            <w:r/>
          </w:p>
        </w:tc>
        <w:tc>
          <w:tcPr>
            <w:tcMar>
              <w:left w:w="12" w:type="dxa"/>
              <w:top w:w="12" w:type="dxa"/>
              <w:right w:w="12" w:type="dxa"/>
            </w:tcMar>
            <w:tcW w:w="193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Mar>
              <w:left w:w="12" w:type="dxa"/>
              <w:top w:w="12" w:type="dxa"/>
              <w:right w:w="12" w:type="dxa"/>
            </w:tcMar>
            <w:tcW w:w="2067"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5.88%</w:t>
            </w:r>
            <w:r/>
          </w:p>
        </w:tc>
      </w:tr>
      <w:tr>
        <w:trPr>
          <w:jc w:val="center"/>
          <w:trHeight w:val="288"/>
        </w:trPr>
        <w:tc>
          <w:tcPr>
            <w:tcMar>
              <w:left w:w="12" w:type="dxa"/>
              <w:top w:w="12" w:type="dxa"/>
              <w:right w:w="12" w:type="dxa"/>
            </w:tcMar>
            <w:tcW w:w="1363"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Mar>
              <w:left w:w="12" w:type="dxa"/>
              <w:top w:w="12" w:type="dxa"/>
              <w:right w:w="12" w:type="dxa"/>
            </w:tcMar>
            <w:tcW w:w="3684"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氢气</w:t>
            </w:r>
            <w:r/>
          </w:p>
        </w:tc>
        <w:tc>
          <w:tcPr>
            <w:tcMar>
              <w:left w:w="12" w:type="dxa"/>
              <w:top w:w="12" w:type="dxa"/>
              <w:right w:w="12" w:type="dxa"/>
            </w:tcMar>
            <w:tcW w:w="193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sum(B94:B96)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1.586</w:t>
            </w:r>
            <w:r>
              <w:rPr>
                <w:rFonts w:hint="eastAsia" w:ascii="仿宋" w:hAnsi="仿宋" w:eastAsia="仿宋" w:cs="仿宋"/>
                <w:color w:val="auto"/>
                <w:sz w:val="24"/>
                <w:highlight w:val="none"/>
              </w:rPr>
              <w:fldChar w:fldCharType="end"/>
            </w:r>
            <w:r/>
          </w:p>
        </w:tc>
        <w:tc>
          <w:tcPr>
            <w:tcMar>
              <w:left w:w="12" w:type="dxa"/>
              <w:top w:w="12" w:type="dxa"/>
              <w:right w:w="12" w:type="dxa"/>
            </w:tcMar>
            <w:tcW w:w="2067"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4.66%</w:t>
            </w:r>
            <w:r/>
          </w:p>
        </w:tc>
      </w:tr>
      <w:tr>
        <w:trPr>
          <w:jc w:val="center"/>
          <w:trHeight w:val="288"/>
        </w:trPr>
        <w:tc>
          <w:tcPr>
            <w:tcMar>
              <w:left w:w="12" w:type="dxa"/>
              <w:top w:w="12" w:type="dxa"/>
              <w:right w:w="12" w:type="dxa"/>
            </w:tcMar>
            <w:tcW w:w="1363"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Mar>
              <w:left w:w="12" w:type="dxa"/>
              <w:top w:w="12" w:type="dxa"/>
              <w:right w:w="12" w:type="dxa"/>
            </w:tcMar>
            <w:tcW w:w="3684"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乙炔</w:t>
            </w:r>
            <w:r/>
          </w:p>
        </w:tc>
        <w:tc>
          <w:tcPr>
            <w:tcMar>
              <w:left w:w="12" w:type="dxa"/>
              <w:top w:w="12" w:type="dxa"/>
              <w:right w:w="12" w:type="dxa"/>
            </w:tcMar>
            <w:tcW w:w="1938"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0.24</w:t>
            </w:r>
            <w:r/>
          </w:p>
        </w:tc>
        <w:tc>
          <w:tcPr>
            <w:tcMar>
              <w:left w:w="12" w:type="dxa"/>
              <w:top w:w="12" w:type="dxa"/>
              <w:right w:w="12" w:type="dxa"/>
            </w:tcMar>
            <w:tcW w:w="2067"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0.71%</w:t>
            </w:r>
            <w:r/>
          </w:p>
        </w:tc>
      </w:tr>
      <w:tr>
        <w:trPr>
          <w:jc w:val="center"/>
          <w:trHeight w:val="288"/>
        </w:trPr>
        <w:tc>
          <w:tcPr>
            <w:tcW w:w="1363"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684"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总计</w:t>
            </w:r>
            <w:r/>
          </w:p>
        </w:tc>
        <w:tc>
          <w:tcPr>
            <w:tcW w:w="1938"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sum(C2:C7)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34.026</w:t>
            </w:r>
            <w:r>
              <w:rPr>
                <w:rFonts w:hint="eastAsia" w:ascii="仿宋" w:hAnsi="仿宋" w:eastAsia="仿宋" w:cs="仿宋"/>
                <w:color w:val="auto"/>
                <w:sz w:val="24"/>
                <w:highlight w:val="none"/>
              </w:rPr>
              <w:fldChar w:fldCharType="end"/>
            </w:r>
            <w:r/>
          </w:p>
        </w:tc>
        <w:tc>
          <w:tcPr>
            <w:tcW w:w="2067"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r>
    </w:tbl>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bookmarkStart w:id="61" w:name="_Toc1363"/>
      <w:r>
        <w:rPr>
          <w:rFonts w:hint="eastAsia" w:ascii="仿宋" w:hAnsi="仿宋" w:eastAsia="仿宋" w:cs="仿宋"/>
          <w:color w:val="auto"/>
          <w:sz w:val="24"/>
          <w:highlight w:val="none"/>
        </w:rPr>
        <w:t xml:space="preserve">（6）易燃液体</w:t>
      </w:r>
      <w:bookmarkEnd w:id="61"/>
      <w:r/>
      <w:r/>
    </w:p>
    <w:p>
      <w:pPr>
        <w:ind w:firstLine="480"/>
        <w:spacing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经统计，如皋港化工新材料产业园储存的易燃液体有118种，共609895.63t，其中对柴油储存量最大，占总量的55.52%。</w:t>
      </w:r>
      <w:r/>
    </w:p>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表4.1-4 如皋港化工新材料产业园企业储存的易燃液体情况</w:t>
      </w:r>
      <w:r/>
    </w:p>
    <w:tbl>
      <w:tblPr>
        <w:tblStyle w:val="78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77"/>
        <w:gridCol w:w="3702"/>
        <w:gridCol w:w="2160"/>
        <w:gridCol w:w="1841"/>
      </w:tblGrid>
      <w:tr>
        <w:trPr>
          <w:jc w:val="center"/>
          <w:trHeight w:val="90"/>
        </w:trPr>
        <w:tc>
          <w:tcPr>
            <w:tcMar>
              <w:left w:w="12" w:type="dxa"/>
              <w:top w:w="12" w:type="dxa"/>
              <w:right w:w="12" w:type="dxa"/>
            </w:tcMar>
            <w:tcW w:w="1077"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Mar>
              <w:left w:w="12" w:type="dxa"/>
              <w:top w:w="12" w:type="dxa"/>
              <w:right w:w="12" w:type="dxa"/>
            </w:tcMar>
            <w:tcW w:w="3702"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    称</w:t>
            </w:r>
            <w:r/>
          </w:p>
        </w:tc>
        <w:tc>
          <w:tcPr>
            <w:tcMar>
              <w:left w:w="12" w:type="dxa"/>
              <w:top w:w="12" w:type="dxa"/>
              <w:right w:w="12" w:type="dxa"/>
            </w:tcMar>
            <w:tcW w:w="2160"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总存量/t</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占 比</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柴油</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sum(B209:B215)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338599.365</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55.52%</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汽油</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sum(A22:A45)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139614</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22.90%</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甲醇</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sum(B161:B173)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81544.82</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13.40%</w:t>
            </w:r>
            <w:r/>
          </w:p>
        </w:tc>
      </w:tr>
      <w:tr>
        <w:trPr>
          <w:jc w:val="center"/>
          <w:trHeight w:val="90"/>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Mar>
              <w:left w:w="12" w:type="dxa"/>
              <w:top w:w="12" w:type="dxa"/>
              <w:right w:w="12" w:type="dxa"/>
            </w:tcMar>
            <w:tcW w:w="3702"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乙酸[含量&gt;80%]</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sum(B33:B36)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7976.5</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正丁醇</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sum(B9:B11)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4255</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0.70%</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乙酸乙酯</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sum(B27:B30)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3696</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0.61%</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乙酸正丁酯</w:t>
            </w:r>
            <w:r/>
          </w:p>
        </w:tc>
        <w:tc>
          <w:tcPr>
            <w:tcMar>
              <w:left w:w="12" w:type="dxa"/>
              <w:top w:w="12" w:type="dxa"/>
              <w:right w:w="12" w:type="dxa"/>
            </w:tcMar>
            <w:tcW w:w="2160"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sum(B23:B24)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3530</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0.58%</w:t>
            </w:r>
            <w:r/>
          </w:p>
        </w:tc>
      </w:tr>
      <w:tr>
        <w:trPr>
          <w:jc w:val="center"/>
          <w:trHeight w:val="90"/>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乙酸正丙酯</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sum(B24:B26)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2990</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0.50%</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乙酸异丙酯</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2970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0.49%</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环氧丙烷</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2820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0.46%</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正丁醛</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2040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0.33%</w:t>
            </w:r>
            <w:r/>
          </w:p>
        </w:tc>
      </w:tr>
      <w:tr>
        <w:trPr>
          <w:jc w:val="center"/>
          <w:trHeight w:val="289"/>
        </w:trPr>
        <w:tc>
          <w:tcPr>
            <w:shd w:val="clear" w:color="auto" w:fill="auto"/>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Mar>
              <w:left w:w="12" w:type="dxa"/>
              <w:top w:w="12" w:type="dxa"/>
              <w:right w:w="12" w:type="dxa"/>
            </w:tcMar>
            <w:tcW w:w="3702"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2-戊酮</w:t>
            </w:r>
            <w:r/>
          </w:p>
        </w:tc>
        <w:tc>
          <w:tcPr>
            <w:shd w:val="solid" w:color="ffffff" w:fill="auto"/>
            <w:tcMar>
              <w:left w:w="12" w:type="dxa"/>
              <w:top w:w="12" w:type="dxa"/>
              <w:right w:w="12" w:type="dxa"/>
            </w:tcMar>
            <w:tcW w:w="2160"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sum(B1:B2)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1806.782</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0.30%</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w:t>
            </w:r>
            <w:r/>
          </w:p>
        </w:tc>
        <w:tc>
          <w:tcPr>
            <w:tcMar>
              <w:left w:w="12" w:type="dxa"/>
              <w:top w:w="12" w:type="dxa"/>
              <w:right w:w="12" w:type="dxa"/>
            </w:tcMar>
            <w:tcW w:w="3702"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丙烯酸[稳定的]</w:t>
            </w:r>
            <w:r/>
          </w:p>
        </w:tc>
        <w:tc>
          <w:tcPr>
            <w:tcMar>
              <w:left w:w="12" w:type="dxa"/>
              <w:top w:w="12" w:type="dxa"/>
              <w:right w:w="12" w:type="dxa"/>
            </w:tcMar>
            <w:tcW w:w="2160"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sum(B218:B220)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1631.3</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0.27%</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异丙醇（2-丙醇）</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sum(B18:B21)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1460</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0.24%</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环己烷</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sum(B171:B173)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1386</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0.23%</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正丙醇</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1360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0.22%</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聚酯1绝缘树脂（</w:t>
            </w:r>
            <w:r>
              <w:rPr>
                <w:rFonts w:hint="eastAsia" w:ascii="仿宋" w:hAnsi="仿宋" w:eastAsia="仿宋" w:cs="仿宋"/>
                <w:color w:val="auto"/>
                <w:sz w:val="24"/>
                <w:highlight w:val="none"/>
              </w:rPr>
              <w:t xml:space="preserve">2828</w:t>
            </w:r>
            <w:r>
              <w:rPr>
                <w:rFonts w:hint="eastAsia" w:ascii="仿宋" w:hAnsi="仿宋" w:eastAsia="仿宋" w:cs="仿宋"/>
                <w:color w:val="auto"/>
                <w:sz w:val="24"/>
                <w:highlight w:val="none"/>
                <w:lang w:val="zh-CN"/>
              </w:rPr>
              <w:t xml:space="preserve">）</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1350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0.22%</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聚氨酯2绝缘树脂（</w:t>
            </w:r>
            <w:r>
              <w:rPr>
                <w:rFonts w:hint="eastAsia" w:ascii="仿宋" w:hAnsi="仿宋" w:eastAsia="仿宋" w:cs="仿宋"/>
                <w:color w:val="auto"/>
                <w:sz w:val="24"/>
                <w:highlight w:val="none"/>
              </w:rPr>
              <w:t xml:space="preserve">2828</w:t>
            </w:r>
            <w:r>
              <w:rPr>
                <w:rFonts w:hint="eastAsia" w:ascii="仿宋" w:hAnsi="仿宋" w:eastAsia="仿宋" w:cs="仿宋"/>
                <w:color w:val="auto"/>
                <w:sz w:val="24"/>
                <w:highlight w:val="none"/>
                <w:lang w:val="zh-CN"/>
              </w:rPr>
              <w:t xml:space="preserve">）</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900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0.15%</w:t>
            </w:r>
            <w:r/>
          </w:p>
        </w:tc>
      </w:tr>
      <w:tr>
        <w:trPr>
          <w:jc w:val="center"/>
          <w:trHeight w:val="289"/>
        </w:trPr>
        <w:tc>
          <w:tcPr>
            <w:shd w:val="clear" w:color="auto" w:fill="auto"/>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19</w:t>
            </w:r>
            <w:r/>
          </w:p>
        </w:tc>
        <w:tc>
          <w:tcPr>
            <w:shd w:val="clear" w:color="auto" w:fill="auto"/>
            <w:tcMar>
              <w:left w:w="12" w:type="dxa"/>
              <w:top w:w="12" w:type="dxa"/>
              <w:right w:w="12" w:type="dxa"/>
            </w:tcMar>
            <w:tcW w:w="3702"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环戊烷</w:t>
            </w:r>
            <w:r/>
          </w:p>
        </w:tc>
        <w:tc>
          <w:tcPr>
            <w:shd w:val="solid" w:color="ffffff" w:fill="auto"/>
            <w:tcMar>
              <w:left w:w="12" w:type="dxa"/>
              <w:top w:w="12" w:type="dxa"/>
              <w:right w:w="12" w:type="dxa"/>
            </w:tcMar>
            <w:tcW w:w="2160"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746.128 </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0.12%</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Mar>
              <w:left w:w="12" w:type="dxa"/>
              <w:top w:w="12" w:type="dxa"/>
              <w:right w:w="12" w:type="dxa"/>
            </w:tcMar>
            <w:tcW w:w="3702"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乙酸酐</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sum(B31:B33)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582</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0.10%</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w:t>
            </w:r>
            <w:r/>
          </w:p>
        </w:tc>
        <w:tc>
          <w:tcPr>
            <w:tcMar>
              <w:left w:w="12" w:type="dxa"/>
              <w:top w:w="12" w:type="dxa"/>
              <w:right w:w="12" w:type="dxa"/>
            </w:tcMar>
            <w:tcW w:w="3702"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丙烯酸丁酯 [稳定的]</w:t>
            </w:r>
            <w:r/>
          </w:p>
        </w:tc>
        <w:tc>
          <w:tcPr>
            <w:tcMar>
              <w:left w:w="12" w:type="dxa"/>
              <w:top w:w="12" w:type="dxa"/>
              <w:right w:w="12" w:type="dxa"/>
            </w:tcMar>
            <w:tcW w:w="2160"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550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0.09%</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w:t>
            </w:r>
            <w:r/>
          </w:p>
        </w:tc>
        <w:tc>
          <w:tcPr>
            <w:tcMar>
              <w:left w:w="12" w:type="dxa"/>
              <w:top w:w="12" w:type="dxa"/>
              <w:right w:w="12" w:type="dxa"/>
            </w:tcMar>
            <w:tcW w:w="3702"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涂料、粘合剂等（含易燃液体的）</w:t>
            </w:r>
            <w:r/>
          </w:p>
        </w:tc>
        <w:tc>
          <w:tcPr>
            <w:tcMar>
              <w:left w:w="12" w:type="dxa"/>
              <w:top w:w="12" w:type="dxa"/>
              <w:right w:w="12" w:type="dxa"/>
            </w:tcMar>
            <w:tcW w:w="2160" w:type="dxa"/>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0.08%</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聚酰胺酰亚胺绝缘树脂（</w:t>
            </w:r>
            <w:r>
              <w:rPr>
                <w:rFonts w:hint="eastAsia" w:ascii="仿宋" w:hAnsi="仿宋" w:eastAsia="仿宋" w:cs="仿宋"/>
                <w:color w:val="auto"/>
                <w:sz w:val="24"/>
                <w:highlight w:val="none"/>
              </w:rPr>
              <w:t xml:space="preserve">2828</w:t>
            </w:r>
            <w:r>
              <w:rPr>
                <w:rFonts w:hint="eastAsia" w:ascii="仿宋" w:hAnsi="仿宋" w:eastAsia="仿宋" w:cs="仿宋"/>
                <w:color w:val="auto"/>
                <w:sz w:val="24"/>
                <w:highlight w:val="none"/>
                <w:lang w:val="zh-CN"/>
              </w:rPr>
              <w:t xml:space="preserve">）</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450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0.07%</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24</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甲苯</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sum(B163:B168)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414.6</w:t>
            </w:r>
            <w:r>
              <w:rPr>
                <w:rFonts w:hint="eastAsia" w:ascii="仿宋" w:hAnsi="仿宋" w:eastAsia="仿宋" w:cs="仿宋"/>
                <w:color w:val="auto"/>
                <w:sz w:val="24"/>
                <w:highlight w:val="none"/>
              </w:rPr>
              <w:fldChar w:fldCharType="end"/>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0.07%</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缩醛绝缘树脂（</w:t>
            </w:r>
            <w:r>
              <w:rPr>
                <w:rFonts w:hint="eastAsia" w:ascii="仿宋" w:hAnsi="仿宋" w:eastAsia="仿宋" w:cs="仿宋"/>
                <w:color w:val="auto"/>
                <w:sz w:val="24"/>
                <w:highlight w:val="none"/>
              </w:rPr>
              <w:t xml:space="preserve">2828</w:t>
            </w:r>
            <w:r>
              <w:rPr>
                <w:rFonts w:hint="eastAsia" w:ascii="仿宋" w:hAnsi="仿宋" w:eastAsia="仿宋" w:cs="仿宋"/>
                <w:color w:val="auto"/>
                <w:sz w:val="24"/>
                <w:highlight w:val="none"/>
                <w:lang w:val="zh-CN"/>
              </w:rPr>
              <w:t xml:space="preserve">）</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0.04%</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聚酰亚胺绝缘树脂（</w:t>
            </w:r>
            <w:r>
              <w:rPr>
                <w:rFonts w:hint="eastAsia" w:ascii="仿宋" w:hAnsi="仿宋" w:eastAsia="仿宋" w:cs="仿宋"/>
                <w:color w:val="auto"/>
                <w:sz w:val="24"/>
                <w:highlight w:val="none"/>
              </w:rPr>
              <w:t xml:space="preserve">2828</w:t>
            </w:r>
            <w:r>
              <w:rPr>
                <w:rFonts w:hint="eastAsia" w:ascii="仿宋" w:hAnsi="仿宋" w:eastAsia="仿宋" w:cs="仿宋"/>
                <w:color w:val="auto"/>
                <w:sz w:val="24"/>
                <w:highlight w:val="none"/>
                <w:lang w:val="zh-CN"/>
              </w:rPr>
              <w:t xml:space="preserve">）</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0.04%</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聚酰胺绝缘树脂（</w:t>
            </w:r>
            <w:r>
              <w:rPr>
                <w:rFonts w:hint="eastAsia" w:ascii="仿宋" w:hAnsi="仿宋" w:eastAsia="仿宋" w:cs="仿宋"/>
                <w:color w:val="auto"/>
                <w:sz w:val="24"/>
                <w:highlight w:val="none"/>
              </w:rPr>
              <w:t xml:space="preserve">2828</w:t>
            </w:r>
            <w:r>
              <w:rPr>
                <w:rFonts w:hint="eastAsia" w:ascii="仿宋" w:hAnsi="仿宋" w:eastAsia="仿宋" w:cs="仿宋"/>
                <w:color w:val="auto"/>
                <w:sz w:val="24"/>
                <w:highlight w:val="none"/>
                <w:lang w:val="zh-CN"/>
              </w:rPr>
              <w:t xml:space="preserve">）</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270</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0.04%</w:t>
            </w:r>
            <w:r/>
          </w:p>
        </w:tc>
      </w:tr>
      <w:tr>
        <w:trPr>
          <w:jc w:val="center"/>
          <w:trHeight w:val="289"/>
        </w:trPr>
        <w:tc>
          <w:tcPr>
            <w:tcMar>
              <w:left w:w="12" w:type="dxa"/>
              <w:top w:w="12" w:type="dxa"/>
              <w:right w:w="12" w:type="dxa"/>
            </w:tcMar>
            <w:tcW w:w="1077" w:type="dxa"/>
            <w:vAlign w:val="center"/>
            <w:textDirection w:val="lrTb"/>
            <w:noWrap/>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28</w:t>
            </w:r>
            <w:r/>
          </w:p>
        </w:tc>
        <w:tc>
          <w:tcPr>
            <w:tcMar>
              <w:left w:w="12" w:type="dxa"/>
              <w:top w:w="12" w:type="dxa"/>
              <w:right w:w="12" w:type="dxa"/>
            </w:tcMar>
            <w:tcW w:w="3702"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原乙酸三甲酯</w:t>
            </w:r>
            <w:r/>
          </w:p>
        </w:tc>
        <w:tc>
          <w:tcPr>
            <w:tcMar>
              <w:left w:w="12" w:type="dxa"/>
              <w:top w:w="12" w:type="dxa"/>
              <w:right w:w="12" w:type="dxa"/>
            </w:tcMar>
            <w:tcW w:w="2160"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268</w:t>
            </w:r>
            <w:r/>
          </w:p>
        </w:tc>
        <w:tc>
          <w:tcPr>
            <w:tcMar>
              <w:left w:w="12" w:type="dxa"/>
              <w:top w:w="12" w:type="dxa"/>
              <w:right w:w="12" w:type="dxa"/>
            </w:tcMar>
            <w:tcW w:w="1841" w:type="dxa"/>
            <w:vAlign w:val="center"/>
            <w:textDirection w:val="lrTb"/>
            <w:noWrap/>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0.04%</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29</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乙二胺（1，2-乙二胺）</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0.04%</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N，N-二甲基甲酰胺（DMF）</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sum(B240:B243)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229.8</w:t>
            </w:r>
            <w:r>
              <w:rPr>
                <w:rFonts w:hint="eastAsia" w:ascii="仿宋" w:hAnsi="仿宋" w:eastAsia="仿宋" w:cs="仿宋"/>
                <w:color w:val="auto"/>
                <w:sz w:val="24"/>
                <w:highlight w:val="none"/>
              </w:rPr>
              <w:fldChar w:fldCharType="end"/>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0.04%</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乙醇[无水]</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sum(B40:B45)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221.98</w:t>
            </w:r>
            <w:r>
              <w:rPr>
                <w:rFonts w:hint="eastAsia" w:ascii="仿宋" w:hAnsi="仿宋" w:eastAsia="仿宋" w:cs="仿宋"/>
                <w:color w:val="auto"/>
                <w:sz w:val="24"/>
                <w:highlight w:val="none"/>
              </w:rPr>
              <w:fldChar w:fldCharType="end"/>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0.04%</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丙烯酸酯类胶黏剂（油性）</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0.03%</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乙腈</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135</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乙醇（95%）</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128</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正己烷</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126</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36</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均三甲苯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125</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37</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硝基苯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38</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氯苯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64"/>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39</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聚酯3绝缘树脂（</w:t>
            </w:r>
            <w:r>
              <w:rPr>
                <w:rFonts w:hint="eastAsia" w:ascii="仿宋" w:hAnsi="仿宋" w:eastAsia="仿宋" w:cs="仿宋"/>
                <w:color w:val="auto"/>
                <w:sz w:val="24"/>
                <w:highlight w:val="none"/>
              </w:rPr>
              <w:t xml:space="preserve">2828</w:t>
            </w:r>
            <w:r>
              <w:rPr>
                <w:rFonts w:hint="eastAsia" w:ascii="仿宋" w:hAnsi="仿宋" w:eastAsia="仿宋" w:cs="仿宋"/>
                <w:color w:val="auto"/>
                <w:sz w:val="24"/>
                <w:highlight w:val="none"/>
                <w:lang w:val="zh-CN"/>
              </w:rPr>
              <w:t xml:space="preserve">）</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聚氨酯1绝缘树脂（</w:t>
            </w:r>
            <w:r>
              <w:rPr>
                <w:rFonts w:hint="eastAsia" w:ascii="仿宋" w:hAnsi="仿宋" w:eastAsia="仿宋" w:cs="仿宋"/>
                <w:color w:val="auto"/>
                <w:sz w:val="24"/>
                <w:highlight w:val="none"/>
              </w:rPr>
              <w:t xml:space="preserve">2828</w:t>
            </w:r>
            <w:r>
              <w:rPr>
                <w:rFonts w:hint="eastAsia" w:ascii="仿宋" w:hAnsi="仿宋" w:eastAsia="仿宋" w:cs="仿宋"/>
                <w:color w:val="auto"/>
                <w:sz w:val="24"/>
                <w:highlight w:val="none"/>
                <w:lang w:val="zh-CN"/>
              </w:rPr>
              <w:t xml:space="preserve">）</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41</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异丁酸异丁酯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丙酸正丁酯</w:t>
            </w:r>
            <w:r/>
          </w:p>
        </w:tc>
        <w:tc>
          <w:tcPr>
            <w:tcW w:w="2160" w:type="dxa"/>
            <w:textDirection w:val="lrTb"/>
            <w:noWrap w:val="false"/>
          </w:tcPr>
          <w:p>
            <w:p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43</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吡咯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44</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4-甲基吡啶</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45</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3-甲基吡啶</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46</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3，5-二甲基吡啶</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47</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3，4-环氧环己基甲基-3，4-环氧环己基羧酸酯（含一级易燃溶剂乙醇或二甲苯或丁酮）</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48</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2-甲基吡啶</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49</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2，6 - 二甲基吡啶</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乙酸乙烯酯[稳定的]</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95</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51</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甲醇钠甲醇溶液</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93</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0.02%</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52</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乙二醇单甲醚</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53</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苯乙烯[稳定的]</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54</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二甲苯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84</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55</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正丙苯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56</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异丁醇</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57</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一甲胺溶液</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58</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环己酮</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59</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叔丁醇（2-甲基-2-丙醇）</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79</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丙二胺</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76</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甲基丙烯酸甲酯[稳定的]</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68</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丙酮</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67</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酚醛树脂</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66</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64</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丙烯酸甲酯[稳定的]</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60.8</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65</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乙酸正戊酯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66</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氯乙酸甲酯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67</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环戊酮</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68</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苯甲醚</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69</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3-甲基-1-丁醇</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70</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2-羟基丙酸乙酯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2-甲基-1-丁醇</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1-戊醇</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w:t>
            </w:r>
            <w:r/>
          </w:p>
        </w:tc>
        <w:tc>
          <w:tcPr>
            <w:tcW w:w="1841"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0.01%</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氯丁烷</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54</w:t>
            </w:r>
            <w:r/>
          </w:p>
        </w:tc>
        <w:tc>
          <w:tcPr>
            <w:tcW w:w="1841" w:type="dxa"/>
            <w:vAlign w:val="center"/>
            <w:vMerge w:val="restart"/>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0.14%</w:t>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2-甲基四氢呋喃</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54</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75</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丁酮</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52.5</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76</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乙酸甲酯</w:t>
            </w:r>
            <w:r/>
          </w:p>
        </w:tc>
        <w:tc>
          <w:tcPr>
            <w:tcW w:w="2160" w:type="dxa"/>
            <w:textDirection w:val="lrTb"/>
            <w:noWrap w:val="false"/>
          </w:tcPr>
          <w:p>
            <w:p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50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77</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糠醛</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78</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二异丁胺</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79</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丙烯酸乙酯[稳定的]</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80</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丙二醇乙醚</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N，N-二乙基乙醇胺</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82</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5-甲基-2-己酮</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83</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2-庚酮</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84</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碳酸二乙酯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45.5</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85</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溶剂油[闭杯闪点≤60℃]</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45</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86</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碳酸二甲酯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87</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乙酰氯</w:t>
            </w:r>
            <w:r/>
          </w:p>
        </w:tc>
        <w:tc>
          <w:tcPr>
            <w:tcW w:w="2160" w:type="dxa"/>
            <w:vAlign w:val="center"/>
            <w:textDirection w:val="lrTb"/>
            <w:noWrap w:val="false"/>
          </w:tcPr>
          <w:p>
            <w:p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40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88</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十氢化萘</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89</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二氯乙烷</w:t>
            </w:r>
            <w:r>
              <w:rPr>
                <w:rFonts w:hint="eastAsia" w:ascii="仿宋" w:hAnsi="仿宋" w:eastAsia="仿宋" w:cs="仿宋"/>
                <w:color w:val="auto"/>
                <w:sz w:val="24"/>
                <w:highlight w:val="none"/>
              </w:rPr>
              <w:tab/>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90</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乙醛</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35.25</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乙酸仲丁酯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92</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家居清洁护理类气雾剂</w:t>
            </w:r>
            <w:r/>
          </w:p>
        </w:tc>
        <w:tc>
          <w:tcPr>
            <w:tcW w:w="2160" w:type="dxa"/>
            <w:textDirection w:val="lrTb"/>
            <w:noWrap w:val="false"/>
          </w:tcPr>
          <w:p>
            <w:p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30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90"/>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93</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甲基异丁基酮</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20.4</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94</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双丙酮醇</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95</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石脑油</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96</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硼酸三异丙酯</w:t>
            </w:r>
            <w:r/>
          </w:p>
        </w:tc>
        <w:tc>
          <w:tcPr>
            <w:tcW w:w="2160" w:type="dxa"/>
            <w:vAlign w:val="center"/>
            <w:textDirection w:val="lrTb"/>
            <w:noWrap w:val="false"/>
          </w:tcPr>
          <w:p>
            <w:pP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20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97</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57"/>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98</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硼酸三甲酯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99</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氯甲酸甲酯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正丙胺</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异丙醚</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102</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乙酸异丁酯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103</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乙醇溶液</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104</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甲酸正丁酯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105</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甲酸异丁酯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106</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甲酸乙酯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107</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环己胺</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108</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丙酸乙酯</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109</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N，N-二甲基异丙醇胺</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110</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1，2-二氯丙烷</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a-甲基苯乙烯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5.4</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氟苯（氟代苯）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w:t>
            </w:r>
            <w:r/>
          </w:p>
        </w:tc>
        <w:tc>
          <w:tcPr>
            <w:tcW w:w="3702"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丙烯腈</w:t>
            </w:r>
            <w:r/>
          </w:p>
        </w:tc>
        <w:tc>
          <w:tcPr>
            <w:tcW w:w="2160" w:type="dxa"/>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114</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乙烯基甲苯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115</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三甲基苯基氢氧化铵甲醇溶液</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116</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丁醚</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117</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1，3-丙二胺</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118</w:t>
            </w:r>
            <w:r/>
          </w:p>
        </w:tc>
        <w:tc>
          <w:tcPr>
            <w:tcW w:w="3702"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甲基丙烯酸丁酯</w:t>
            </w:r>
            <w:r/>
          </w:p>
        </w:tc>
        <w:tc>
          <w:tcPr>
            <w:tcW w:w="216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0.5</w:t>
            </w:r>
            <w:r/>
          </w:p>
        </w:tc>
        <w:tc>
          <w:tcPr>
            <w:tcW w:w="1841" w:type="dxa"/>
            <w:vAlign w:val="center"/>
            <w:vMerge w:val="continue"/>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289"/>
        </w:trPr>
        <w:tc>
          <w:tcPr>
            <w:tcW w:w="1077"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702"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合计</w:t>
            </w:r>
            <w:r/>
          </w:p>
        </w:tc>
        <w:tc>
          <w:tcPr>
            <w:tcW w:w="216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 sum(C2:C119) \* MERGEFORMAT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 xml:space="preserve">609895.625</w:t>
            </w:r>
            <w:r>
              <w:rPr>
                <w:rFonts w:hint="eastAsia" w:ascii="仿宋" w:hAnsi="仿宋" w:eastAsia="仿宋" w:cs="仿宋"/>
                <w:color w:val="auto"/>
                <w:sz w:val="24"/>
                <w:highlight w:val="none"/>
              </w:rPr>
              <w:fldChar w:fldCharType="end"/>
            </w:r>
            <w:r/>
          </w:p>
        </w:tc>
        <w:tc>
          <w:tcPr>
            <w:tcW w:w="1841"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r>
    </w:tbl>
    <w:p>
      <w:pPr>
        <w:ind w:firstLine="480"/>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注：上述重大危险源、重点监管的危化品、毒性气体、易燃液体、易燃气体等仅作为参考，具体以园区及企业安评报告为准。如项目建设过程中或建成后安评报告发生变动，成交供应商必须根据安评报告，</w:t>
      </w:r>
      <w:r>
        <w:rPr>
          <w:rFonts w:hint="eastAsia" w:ascii="仿宋" w:hAnsi="仿宋" w:eastAsia="仿宋" w:cs="仿宋"/>
          <w:b/>
          <w:bCs/>
          <w:color w:val="auto"/>
          <w:sz w:val="24"/>
          <w:highlight w:val="none"/>
        </w:rPr>
        <w:t xml:space="preserve">同步更新</w:t>
      </w:r>
      <w:r>
        <w:rPr>
          <w:rFonts w:hint="eastAsia" w:ascii="仿宋" w:hAnsi="仿宋" w:eastAsia="仿宋" w:cs="仿宋"/>
          <w:color w:val="auto"/>
          <w:sz w:val="24"/>
          <w:highlight w:val="none"/>
        </w:rPr>
        <w:t xml:space="preserve">远程探测监控对象及范围。</w:t>
      </w:r>
      <w:r/>
    </w:p>
    <w:p>
      <w:pPr>
        <w:ind w:left="42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四、质量标准</w:t>
      </w:r>
      <w:bookmarkEnd w:id="60"/>
      <w:r/>
      <w:r/>
    </w:p>
    <w:p>
      <w:pPr>
        <w:ind w:firstLine="560"/>
        <w:spacing w:line="500" w:lineRule="exact"/>
        <w:rPr>
          <w:rFonts w:hint="eastAsia" w:ascii="仿宋" w:hAnsi="仿宋" w:eastAsia="仿宋"/>
          <w:color w:val="auto"/>
          <w:sz w:val="28"/>
          <w:szCs w:val="28"/>
          <w:highlight w:val="none"/>
        </w:rPr>
      </w:pPr>
      <w:r/>
      <w:bookmarkStart w:id="62" w:name="_Hlk40719223"/>
      <w:r/>
      <w:bookmarkStart w:id="63" w:name="_Toc13575"/>
      <w:r>
        <w:rPr>
          <w:rFonts w:hint="eastAsia" w:ascii="仿宋" w:hAnsi="仿宋" w:eastAsia="仿宋"/>
          <w:color w:val="auto"/>
          <w:sz w:val="28"/>
          <w:szCs w:val="28"/>
          <w:highlight w:val="none"/>
        </w:rPr>
        <w:t xml:space="preserve">（一）响应供应商不能简单照搬磋商文件提供的需求，必须按磋商文件技术规格逐项作出实质性应答，如照搬照抄项目需求中的技术的，中标后成交人在同采购人签订合同和履约环节中不得提出异议，一切后果和损失由成交人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成交人应保证货物是全新、未使用过的原厂合格产品，并完全符合磋商文件规定的质量、规格和参数的要求。验收过程中发现产品不符合上述要求的，将视作不合格产品，采购人有权终止合同，造成的一切损失由成交人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（三）成交人应保证提供的产品不得侵犯第三方专利权、商标权和设计权、版权等。否则，成交人应负全部责任，并承担由此引起的一切后果。</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（四）成交人应保证其货物在正确安装、正常使用下，在其使用寿命期内应具有满意的性能。</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（五）成交人应采取必要的安全措施保证货物的运输及安装的安全，并承担货物的运输及安装过程中产生的风险。</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（八）成交人必须保证所提供的产品符合国家相应质量要求，供货时必须随产品提供出厂材料，包括但不限于检验报告（复印件）、产品合格证（原件）等。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（七）成交人所供货物最终验收后，成交人应对由于设计、工艺或材料的缺陷而发生的任何不足或故障负责，并承担由此引起的一切后果。</w:t>
      </w:r>
      <w:bookmarkEnd w:id="62"/>
      <w:r/>
      <w:r/>
    </w:p>
    <w:p>
      <w:pPr>
        <w:ind w:firstLine="560"/>
        <w:spacing w:line="500" w:lineRule="exact"/>
        <w:rPr>
          <w:rFonts w:hint="eastAsia" w:ascii="黑体" w:hAnsi="黑体" w:eastAsia="黑体"/>
          <w:color w:val="auto"/>
          <w:sz w:val="28"/>
          <w:szCs w:val="28"/>
          <w:highlight w:val="none"/>
        </w:rPr>
      </w:pPr>
      <w:r>
        <w:rPr>
          <w:rFonts w:hint="eastAsia" w:ascii="仿宋" w:hAnsi="仿宋" w:eastAsia="仿宋"/>
          <w:color w:val="auto"/>
          <w:sz w:val="28"/>
          <w:szCs w:val="28"/>
          <w:highlight w:val="none"/>
        </w:rPr>
        <w:t xml:space="preserve">（八）在项目采购或实施过程中，如国家标准修改，应按照新国家标准实施；如本磋商文件规定高于国家标准，无论新旧标准，均按本磋商文件规定实施；如本磋商文件规定低于国家标准，无论新旧标准，均按国家标准规定实施。如本磋商文件内有内容相互矛盾，以高标准高要求的为准。以上有关风险等由供应商自行考虑并承担。</w:t>
      </w:r>
      <w:bookmarkEnd w:id="63"/>
      <w:r/>
      <w:r/>
    </w:p>
    <w:p>
      <w:pPr>
        <w:ind w:firstLine="560"/>
        <w:spacing w:line="500" w:lineRule="exact"/>
        <w:rPr>
          <w:rFonts w:hint="eastAsia" w:ascii="黑体" w:hAnsi="黑体" w:eastAsia="黑体"/>
          <w:color w:val="auto"/>
          <w:sz w:val="28"/>
          <w:szCs w:val="28"/>
          <w:highlight w:val="none"/>
        </w:rPr>
        <w:outlineLvl w:val="1"/>
      </w:pPr>
      <w:r/>
      <w:bookmarkStart w:id="64" w:name="_Toc7909"/>
      <w:r/>
      <w:bookmarkStart w:id="65" w:name="_Toc31783"/>
      <w:r>
        <w:rPr>
          <w:rFonts w:hint="eastAsia" w:ascii="黑体" w:hAnsi="黑体" w:eastAsia="黑体"/>
          <w:color w:val="auto"/>
          <w:sz w:val="28"/>
          <w:szCs w:val="28"/>
          <w:highlight w:val="none"/>
        </w:rPr>
        <w:t xml:space="preserve">五、交货期限和地点</w:t>
      </w:r>
      <w:bookmarkEnd w:id="64"/>
      <w:r/>
      <w:bookmarkEnd w:id="65"/>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合同签订后</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0日内完成供货、安装、调试及联网。免费运维期（质保期）至少3年</w:t>
      </w:r>
      <w:r>
        <w:rPr>
          <w:rFonts w:hint="eastAsia" w:ascii="仿宋" w:hAnsi="仿宋" w:eastAsia="仿宋"/>
          <w:color w:val="auto"/>
          <w:sz w:val="28"/>
          <w:szCs w:val="28"/>
          <w:highlight w:val="none"/>
          <w:lang w:eastAsia="zh-CN"/>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地点：如皋港化工新材料产业园。</w:t>
      </w:r>
      <w:r/>
    </w:p>
    <w:p>
      <w:pPr>
        <w:ind w:firstLine="560"/>
        <w:spacing w:line="500" w:lineRule="exact"/>
        <w:rPr>
          <w:rFonts w:hint="eastAsia" w:ascii="黑体" w:hAnsi="黑体" w:eastAsia="黑体"/>
          <w:color w:val="auto"/>
          <w:sz w:val="28"/>
          <w:szCs w:val="28"/>
          <w:highlight w:val="none"/>
        </w:rPr>
        <w:outlineLvl w:val="1"/>
      </w:pPr>
      <w:r/>
      <w:bookmarkStart w:id="66" w:name="_Toc28010"/>
      <w:r>
        <w:rPr>
          <w:rFonts w:hint="eastAsia" w:ascii="黑体" w:hAnsi="黑体" w:eastAsia="黑体"/>
          <w:color w:val="auto"/>
          <w:sz w:val="28"/>
          <w:szCs w:val="28"/>
          <w:highlight w:val="none"/>
        </w:rPr>
        <w:t xml:space="preserve">六、</w:t>
      </w:r>
      <w:bookmarkEnd w:id="66"/>
      <w:r>
        <w:rPr>
          <w:rFonts w:hint="eastAsia" w:ascii="黑体" w:hAnsi="黑体" w:eastAsia="黑体"/>
          <w:color w:val="auto"/>
          <w:sz w:val="28"/>
          <w:szCs w:val="28"/>
          <w:highlight w:val="none"/>
        </w:rPr>
        <w:t xml:space="preserve">验收标准</w:t>
      </w:r>
      <w:r/>
    </w:p>
    <w:p>
      <w:pPr>
        <w:ind w:firstLine="560"/>
        <w:spacing w:line="500" w:lineRule="exact"/>
        <w:rPr>
          <w:rFonts w:hint="eastAsia" w:ascii="仿宋" w:hAnsi="仿宋" w:eastAsia="仿宋"/>
          <w:color w:val="auto"/>
          <w:sz w:val="28"/>
          <w:szCs w:val="28"/>
          <w:highlight w:val="none"/>
        </w:rPr>
      </w:pPr>
      <w:r/>
      <w:bookmarkStart w:id="67" w:name="_Toc488"/>
      <w:r>
        <w:rPr>
          <w:rFonts w:hint="eastAsia" w:ascii="仿宋" w:hAnsi="仿宋" w:eastAsia="仿宋"/>
          <w:color w:val="auto"/>
          <w:sz w:val="28"/>
          <w:szCs w:val="28"/>
          <w:highlight w:val="none"/>
        </w:rPr>
        <w:t xml:space="preserve">采购人根据国家有关规定、磋商文件、响应文件以及合同约定的内容组织验收，具体验收办法详见《江苏省政府采购履约验收管理办法》。</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七、付款方式</w:t>
      </w:r>
      <w:bookmarkEnd w:id="67"/>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供应商完成供货安装调试运行正常一个月后，采购人组织相关专家进行初步验收，验收合格后支付合同款项的50%；完成省级相关部门组织的安全复核，履约验收合格后支付合同款项余款。每次</w:t>
      </w:r>
      <w:r>
        <w:rPr>
          <w:rFonts w:hint="eastAsia" w:ascii="仿宋" w:hAnsi="仿宋" w:eastAsia="仿宋"/>
          <w:color w:val="auto"/>
          <w:sz w:val="28"/>
          <w:szCs w:val="28"/>
          <w:highlight w:val="none"/>
          <w:lang w:val="zh-CN"/>
        </w:rPr>
        <w:t xml:space="preserve">支付前，成交人均应出具在税务部门开具的正式税票。</w:t>
      </w:r>
      <w:r/>
    </w:p>
    <w:p>
      <w:pPr>
        <w:ind w:firstLine="560"/>
        <w:spacing w:line="500" w:lineRule="exact"/>
        <w:rPr>
          <w:rFonts w:ascii="仿宋" w:hAnsi="仿宋" w:eastAsia="仿宋"/>
          <w:color w:val="auto"/>
          <w:sz w:val="28"/>
          <w:szCs w:val="28"/>
          <w:highlight w:val="none"/>
        </w:rPr>
        <w:outlineLvl w:val="1"/>
      </w:pPr>
      <w:r/>
      <w:bookmarkStart w:id="68" w:name="_Toc13101"/>
      <w:r>
        <w:rPr>
          <w:rFonts w:hint="eastAsia" w:ascii="黑体" w:hAnsi="黑体" w:eastAsia="黑体"/>
          <w:color w:val="auto"/>
          <w:sz w:val="28"/>
          <w:szCs w:val="28"/>
          <w:highlight w:val="none"/>
        </w:rPr>
        <w:t xml:space="preserve">八、磋商过程中可能会实质性变动的内容</w:t>
      </w:r>
      <w:bookmarkEnd w:id="6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采购需求中的技术、服务要求以及合同草案条款，但不得变动磋商文件中的其他内容。</w:t>
      </w:r>
      <w:r/>
    </w:p>
    <w:p>
      <w:pPr>
        <w:ind w:firstLine="560"/>
        <w:spacing w:line="500" w:lineRule="exact"/>
        <w:rPr>
          <w:rFonts w:ascii="黑体" w:hAnsi="黑体" w:eastAsia="黑体"/>
          <w:color w:val="auto"/>
          <w:sz w:val="28"/>
          <w:szCs w:val="28"/>
          <w:highlight w:val="none"/>
        </w:rPr>
        <w:outlineLvl w:val="1"/>
      </w:pPr>
      <w:r/>
      <w:bookmarkStart w:id="69" w:name="_Toc7187"/>
      <w:r>
        <w:rPr>
          <w:rFonts w:hint="eastAsia" w:ascii="黑体" w:hAnsi="黑体" w:eastAsia="黑体"/>
          <w:color w:val="auto"/>
          <w:sz w:val="28"/>
          <w:szCs w:val="28"/>
          <w:highlight w:val="none"/>
        </w:rPr>
        <w:t xml:space="preserve">九、报价要求</w:t>
      </w:r>
      <w:bookmarkEnd w:id="69"/>
      <w:r/>
      <w:r/>
    </w:p>
    <w:p>
      <w:pPr>
        <w:contextualSpacing/>
        <w:ind w:firstLine="560"/>
        <w:spacing w:line="500" w:lineRule="exact"/>
        <w:widowControl/>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本项目为总价报价。</w:t>
      </w:r>
      <w:r>
        <w:rPr>
          <w:rFonts w:hint="eastAsia" w:ascii="仿宋" w:hAnsi="仿宋" w:eastAsia="仿宋"/>
          <w:color w:val="auto"/>
          <w:sz w:val="28"/>
          <w:szCs w:val="28"/>
          <w:highlight w:val="none"/>
        </w:rPr>
        <w:t xml:space="preserve">响应报价应包含设备购买、安装、调试、运维期的所有相关含税费用（包括但不限于铁塔租赁费、登高意外保险费、网费、电费、人工费、差旅费、伙食费、住宿费、设备费、管理</w:t>
      </w:r>
      <w:r>
        <w:rPr>
          <w:rFonts w:hint="eastAsia" w:ascii="仿宋" w:hAnsi="仿宋" w:eastAsia="仿宋"/>
          <w:color w:val="auto"/>
          <w:sz w:val="28"/>
          <w:szCs w:val="28"/>
          <w:highlight w:val="none"/>
        </w:rPr>
        <w:t xml:space="preserve">费、利润、税金等全部费用），以及结合本项目实际情况，与服务成果相关的踏勘、会议、评审、咨询、验收、资料收集装订、政策性文件规定及合同包含的所有风险、责任等所有费用。成交后不允许擅自改变服务内容、质量标准、期限与追加项目预算。凡供应商在报价中未列明但又为本次采购所必备的项目或遗漏项目，采购人将一律视为已包括在其报价中，在合同执行中将不予考虑。响应供应商应对竞争性磋商文件内的全部内容进行报价，竞争性磋商文件未列明，而供应商认为其他必需的费用也需列入报价。在合同实施时，采购方将不予支付成交供应商任何其他增项费用。</w:t>
      </w:r>
      <w:r/>
    </w:p>
    <w:p>
      <w:pPr>
        <w:ind w:firstLine="560"/>
        <w:spacing w:line="500" w:lineRule="exact"/>
        <w:rPr>
          <w:rFonts w:hint="eastAsia" w:ascii="Times New Roman" w:hAnsi="Times New Roman"/>
          <w:color w:val="auto"/>
          <w:highlight w:val="none"/>
        </w:rPr>
        <w:outlineLvl w:val="1"/>
      </w:pPr>
      <w:r/>
      <w:bookmarkStart w:id="70" w:name="_Toc25572"/>
      <w:r/>
      <w:bookmarkStart w:id="71" w:name="_Toc20586"/>
      <w:r>
        <w:rPr>
          <w:rFonts w:hint="eastAsia" w:ascii="黑体" w:hAnsi="黑体" w:eastAsia="黑体"/>
          <w:color w:val="auto"/>
          <w:sz w:val="28"/>
          <w:szCs w:val="28"/>
          <w:highlight w:val="none"/>
        </w:rPr>
        <w:t xml:space="preserve">十、其他要求</w:t>
      </w:r>
      <w:bookmarkEnd w:id="70"/>
      <w:r/>
      <w:bookmarkEnd w:id="71"/>
      <w:r/>
      <w:r/>
    </w:p>
    <w:p>
      <w:pPr>
        <w:contextualSpacing/>
        <w:ind w:firstLine="560"/>
        <w:spacing w:line="500" w:lineRule="exact"/>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运维期内须12~20个月更换制冷机1次，其他配件按照使用需求在3个日历天内及时更换。</w:t>
      </w:r>
      <w:r/>
    </w:p>
    <w:p>
      <w:pPr>
        <w:contextualSpacing/>
        <w:ind w:firstLine="560"/>
        <w:spacing w:line="500" w:lineRule="exact"/>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如3年内如遇安评报告变更或上级</w:t>
      </w:r>
      <w:r>
        <w:rPr>
          <w:rFonts w:hint="eastAsia" w:ascii="仿宋" w:hAnsi="仿宋" w:eastAsia="仿宋"/>
          <w:color w:val="auto"/>
          <w:sz w:val="28"/>
          <w:szCs w:val="28"/>
          <w:highlight w:val="none"/>
          <w:lang w:eastAsia="zh-CN"/>
        </w:rPr>
        <w:t xml:space="preserve">安全检查</w:t>
      </w:r>
      <w:r>
        <w:rPr>
          <w:rFonts w:hint="eastAsia" w:ascii="仿宋" w:hAnsi="仿宋" w:eastAsia="仿宋"/>
          <w:color w:val="auto"/>
          <w:sz w:val="28"/>
          <w:szCs w:val="28"/>
          <w:highlight w:val="none"/>
        </w:rPr>
        <w:t xml:space="preserve">提出新的要求，成交供应商需无条件配合调整红外设备位置、探测距离、云台探测角度、探测速率等参数；因新项目入驻，而红外覆盖不够精准需另行购买单点式气体探测仪的，成交供应商需无条件购入单点式气体探测仪并联网到园区智慧平台。</w:t>
      </w:r>
      <w:r/>
    </w:p>
    <w:p>
      <w:pPr>
        <w:contextualSpacing/>
        <w:ind w:firstLine="560"/>
        <w:spacing w:line="500" w:lineRule="exact"/>
        <w:widowControl/>
        <w:rPr>
          <w:rFonts w:ascii="Times New Roman" w:hAnsi="Times New Roman"/>
          <w:color w:val="auto"/>
          <w:sz w:val="24"/>
          <w:highlight w:val="none"/>
        </w:rPr>
      </w:pPr>
      <w:r>
        <w:rPr>
          <w:rFonts w:hint="eastAsia" w:ascii="仿宋" w:hAnsi="仿宋" w:eastAsia="仿宋"/>
          <w:color w:val="auto"/>
          <w:sz w:val="28"/>
          <w:szCs w:val="28"/>
          <w:highlight w:val="none"/>
        </w:rPr>
        <w:t xml:space="preserve">成交供应商应及时关注如皋天气情况，自货物到达之日起至运维期结束，如遇极端天气，成交供应商应提前采取措施对设备进行防护，否则相关损失由供应商自行承担。</w:t>
      </w:r>
      <w:r/>
    </w:p>
    <w:p>
      <w:pPr>
        <w:jc w:val="center"/>
        <w:spacing w:before="120" w:after="120"/>
        <w:rPr>
          <w:rFonts w:ascii="微软雅黑" w:hAnsi="Arial" w:eastAsia="微软雅黑"/>
          <w:bCs/>
          <w:color w:val="auto"/>
          <w:sz w:val="32"/>
          <w:szCs w:val="32"/>
          <w:highlight w:val="none"/>
        </w:rPr>
        <w:outlineLvl w:val="0"/>
      </w:pPr>
      <w:r>
        <w:rPr>
          <w:rFonts w:ascii="微软雅黑" w:hAnsi="Arial" w:eastAsia="微软雅黑"/>
          <w:bCs/>
          <w:color w:val="auto"/>
          <w:sz w:val="32"/>
          <w:szCs w:val="32"/>
          <w:highlight w:val="none"/>
        </w:rPr>
        <w:br w:type="page" w:clear="all"/>
      </w:r>
      <w:bookmarkStart w:id="72" w:name="_Toc30393"/>
      <w:r>
        <w:rPr>
          <w:rFonts w:hint="eastAsia" w:ascii="微软雅黑" w:hAnsi="Arial" w:eastAsia="微软雅黑"/>
          <w:bCs/>
          <w:color w:val="auto"/>
          <w:sz w:val="32"/>
          <w:szCs w:val="32"/>
          <w:highlight w:val="none"/>
        </w:rPr>
        <w:t xml:space="preserve">第4章 合同文本</w:t>
      </w:r>
      <w:bookmarkEnd w:id="72"/>
      <w:r/>
      <w:r/>
    </w:p>
    <w:p>
      <w:pPr>
        <w:jc w:val="center"/>
        <w:spacing w:before="19"/>
        <w:widowControl/>
        <w:rPr>
          <w:rFonts w:hint="eastAsia" w:ascii="仿宋" w:hAnsi="仿宋" w:eastAsia="仿宋" w:cs="仿宋"/>
          <w:color w:val="auto"/>
          <w:sz w:val="24"/>
          <w:highlight w:val="none"/>
        </w:rPr>
      </w:pPr>
      <w:r/>
      <w:bookmarkStart w:id="73" w:name="_Toc18561"/>
      <w:r>
        <w:rPr>
          <w:rFonts w:hint="eastAsia" w:ascii="仿宋" w:hAnsi="仿宋" w:eastAsia="仿宋" w:cs="仿宋"/>
          <w:color w:val="auto"/>
          <w:sz w:val="24"/>
          <w:highlight w:val="none"/>
        </w:rPr>
        <w:t xml:space="preserve">如皋市政府采购合同</w:t>
      </w:r>
      <w:r/>
    </w:p>
    <w:p>
      <w:pPr>
        <w:spacing w:before="19"/>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 :  </w:t>
      </w:r>
      <w:r/>
    </w:p>
    <w:p>
      <w:pPr>
        <w:spacing w:before="19"/>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 : </w:t>
      </w:r>
      <w:r/>
    </w:p>
    <w:p>
      <w:pPr>
        <w:ind w:firstLine="480"/>
        <w:spacing w:before="19"/>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皋市长江镇人民政府）的（如皋港化工新材料产业园远程探测在线监测预警系统采购项目）委托（江苏海审工程咨询有限公司）进行了政府采购。按照评委会评审推荐、甲方确定乙方为中标单位。现甲乙双方协商同意签订本合同。</w:t>
      </w:r>
      <w:r/>
    </w:p>
    <w:p>
      <w:pPr>
        <w:ind w:left="426"/>
        <w:spacing w:before="19"/>
        <w:widowControl/>
        <w:rPr>
          <w:rFonts w:hint="eastAsia" w:ascii="仿宋" w:hAnsi="仿宋" w:eastAsia="仿宋"/>
          <w:color w:val="auto"/>
          <w:sz w:val="24"/>
          <w:highlight w:val="none"/>
        </w:rPr>
      </w:pPr>
      <w:r>
        <w:rPr>
          <w:rFonts w:hint="eastAsia" w:ascii="仿宋" w:hAnsi="仿宋" w:eastAsia="仿宋"/>
          <w:b/>
          <w:color w:val="auto"/>
          <w:sz w:val="24"/>
          <w:highlight w:val="none"/>
        </w:rPr>
        <w:t xml:space="preserve">一、货物及其数量如下表</w:t>
      </w:r>
      <w:r>
        <w:rPr>
          <w:rFonts w:hint="eastAsia" w:ascii="仿宋" w:hAnsi="仿宋" w:eastAsia="仿宋"/>
          <w:color w:val="auto"/>
          <w:sz w:val="24"/>
          <w:highlight w:val="none"/>
        </w:rPr>
        <w:t xml:space="preserve">：</w:t>
      </w:r>
      <w:r/>
    </w:p>
    <w:tbl>
      <w:tblPr>
        <w:tblStyle w:val="78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
        <w:gridCol w:w="2010"/>
        <w:gridCol w:w="1050"/>
        <w:gridCol w:w="1140"/>
        <w:gridCol w:w="1440"/>
        <w:gridCol w:w="570"/>
        <w:gridCol w:w="596"/>
        <w:gridCol w:w="1146"/>
        <w:gridCol w:w="1018"/>
      </w:tblGrid>
      <w:tr>
        <w:trPr>
          <w:cantSplit/>
          <w:trHeight w:val="908"/>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品牌和型号</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单价</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单项</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合计价</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cantSplit/>
          <w:trHeight w:val="608"/>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8" w:type="dxa"/>
            <w:vAlign w:val="center"/>
            <w:vMerge w:val="restart"/>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8" w:type="dxa"/>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8" w:type="dxa"/>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8" w:type="dxa"/>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59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8" w:type="dxa"/>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gridSpan w:val="7"/>
            <w:tcBorders>
              <w:top w:val="single" w:color="auto" w:sz="4" w:space="0"/>
              <w:left w:val="single" w:color="auto" w:sz="4" w:space="0"/>
              <w:bottom w:val="single" w:color="auto" w:sz="4" w:space="0"/>
              <w:right w:val="single" w:color="auto" w:sz="4" w:space="0"/>
            </w:tcBorders>
            <w:tcW w:w="739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总 计：大写</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8"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left="426"/>
        <w:spacing w:before="19"/>
        <w:widowControl/>
        <w:rPr>
          <w:rFonts w:hint="eastAsia" w:ascii="仿宋" w:hAnsi="仿宋" w:eastAsia="仿宋"/>
          <w:color w:val="auto"/>
          <w:sz w:val="24"/>
          <w:highlight w:val="none"/>
        </w:rPr>
      </w:pPr>
      <w:r>
        <w:rPr>
          <w:rFonts w:hint="eastAsia" w:ascii="仿宋" w:hAnsi="仿宋" w:eastAsia="仿宋"/>
          <w:color w:val="auto"/>
          <w:sz w:val="24"/>
          <w:highlight w:val="none"/>
        </w:rPr>
      </w:r>
      <w:r/>
    </w:p>
    <w:p>
      <w:pPr>
        <w:ind w:left="426"/>
        <w:spacing w:before="19"/>
        <w:widowControl/>
        <w:rPr>
          <w:rFonts w:hint="eastAsia" w:ascii="仿宋" w:hAnsi="仿宋" w:eastAsia="仿宋"/>
          <w:color w:val="auto"/>
          <w:sz w:val="24"/>
          <w:highlight w:val="none"/>
        </w:rPr>
      </w:pPr>
      <w:r>
        <w:rPr>
          <w:rFonts w:hint="eastAsia" w:ascii="仿宋" w:hAnsi="仿宋" w:eastAsia="仿宋"/>
          <w:b/>
          <w:color w:val="auto"/>
          <w:sz w:val="24"/>
          <w:highlight w:val="none"/>
        </w:rPr>
        <w:t xml:space="preserve">二、交货时间</w:t>
      </w:r>
      <w:r>
        <w:rPr>
          <w:rFonts w:hint="eastAsia" w:ascii="仿宋" w:hAnsi="仿宋" w:eastAsia="仿宋"/>
          <w:color w:val="auto"/>
          <w:sz w:val="24"/>
          <w:highlight w:val="none"/>
        </w:rPr>
        <w:t xml:space="preserve">：合同签订后</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0日内完成供货、安装、调试及联网；</w:t>
      </w:r>
      <w:r/>
    </w:p>
    <w:p>
      <w:pPr>
        <w:ind w:left="426"/>
        <w:spacing w:before="19"/>
        <w:widowControl/>
        <w:rPr>
          <w:rFonts w:hint="eastAsia" w:ascii="仿宋" w:hAnsi="仿宋" w:eastAsia="仿宋" w:cs="仿宋"/>
          <w:color w:val="auto"/>
          <w:sz w:val="24"/>
          <w:highlight w:val="none"/>
        </w:rPr>
      </w:pPr>
      <w:r>
        <w:rPr>
          <w:rFonts w:hint="eastAsia" w:ascii="仿宋" w:hAnsi="仿宋" w:eastAsia="仿宋"/>
          <w:b/>
          <w:color w:val="auto"/>
          <w:sz w:val="24"/>
          <w:highlight w:val="none"/>
        </w:rPr>
        <w:t xml:space="preserve">三、运维期</w:t>
      </w:r>
      <w:r>
        <w:rPr>
          <w:rFonts w:hint="eastAsia" w:ascii="仿宋" w:hAnsi="仿宋" w:eastAsia="仿宋"/>
          <w:b/>
          <w:color w:val="auto"/>
          <w:sz w:val="24"/>
          <w:highlight w:val="none"/>
          <w:lang w:eastAsia="zh-CN"/>
        </w:rPr>
        <w:t xml:space="preserve">（</w:t>
      </w:r>
      <w:r>
        <w:rPr>
          <w:rFonts w:hint="eastAsia" w:ascii="仿宋" w:hAnsi="仿宋" w:eastAsia="仿宋"/>
          <w:b/>
          <w:color w:val="auto"/>
          <w:sz w:val="24"/>
          <w:highlight w:val="none"/>
          <w:lang w:val="en-US" w:eastAsia="zh-CN"/>
        </w:rPr>
        <w:t xml:space="preserve">质保期</w:t>
      </w:r>
      <w:r>
        <w:rPr>
          <w:rFonts w:hint="eastAsia" w:ascii="仿宋" w:hAnsi="仿宋" w:eastAsia="仿宋"/>
          <w:b/>
          <w:color w:val="auto"/>
          <w:sz w:val="24"/>
          <w:highlight w:val="none"/>
          <w:lang w:eastAsia="zh-CN"/>
        </w:rPr>
        <w:t xml:space="preserve">）</w:t>
      </w:r>
      <w:r>
        <w:rPr>
          <w:rFonts w:hint="eastAsia" w:ascii="仿宋" w:hAnsi="仿宋" w:eastAsia="仿宋"/>
          <w:color w:val="auto"/>
          <w:sz w:val="24"/>
          <w:highlight w:val="none"/>
        </w:rPr>
        <w:t xml:space="preserve">：</w:t>
      </w:r>
      <w:r>
        <w:rPr>
          <w:rFonts w:hint="eastAsia" w:ascii="仿宋" w:hAnsi="仿宋" w:eastAsia="仿宋" w:cs="仿宋"/>
          <w:color w:val="auto"/>
          <w:sz w:val="24"/>
          <w:highlight w:val="none"/>
        </w:rPr>
        <w:t xml:space="preserve">自项目达到采购人服务要求（通过省级安全复核）起</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年免费运维</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质保</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p>
    <w:p>
      <w:pPr>
        <w:ind w:left="426"/>
        <w:spacing w:before="19"/>
        <w:widowControl/>
        <w:rPr>
          <w:rFonts w:hint="eastAsia" w:ascii="仿宋" w:hAnsi="仿宋" w:eastAsia="仿宋"/>
          <w:color w:val="auto"/>
          <w:sz w:val="24"/>
          <w:highlight w:val="none"/>
        </w:rPr>
      </w:pPr>
      <w:r>
        <w:rPr>
          <w:rFonts w:hint="eastAsia" w:ascii="仿宋" w:hAnsi="仿宋" w:eastAsia="仿宋"/>
          <w:b/>
          <w:color w:val="auto"/>
          <w:sz w:val="24"/>
          <w:highlight w:val="none"/>
        </w:rPr>
        <w:t xml:space="preserve">四、交货地点</w:t>
      </w:r>
      <w:r>
        <w:rPr>
          <w:rFonts w:hint="eastAsia" w:ascii="仿宋" w:hAnsi="仿宋" w:eastAsia="仿宋"/>
          <w:color w:val="auto"/>
          <w:sz w:val="24"/>
          <w:highlight w:val="none"/>
        </w:rPr>
        <w:t xml:space="preserve">：如皋市长江镇如皋港化工新材料产业园</w:t>
      </w:r>
      <w:r/>
    </w:p>
    <w:p>
      <w:pPr>
        <w:ind w:left="426"/>
        <w:spacing w:before="19"/>
        <w:widowControl/>
        <w:rPr>
          <w:rFonts w:hint="eastAsia" w:ascii="仿宋" w:hAnsi="仿宋" w:eastAsia="仿宋"/>
          <w:bCs/>
          <w:color w:val="auto"/>
          <w:sz w:val="24"/>
          <w:highlight w:val="none"/>
        </w:rPr>
      </w:pPr>
      <w:r>
        <w:rPr>
          <w:rFonts w:hint="eastAsia" w:ascii="仿宋" w:hAnsi="仿宋" w:eastAsia="仿宋"/>
          <w:b/>
          <w:color w:val="auto"/>
          <w:sz w:val="24"/>
          <w:highlight w:val="none"/>
        </w:rPr>
        <w:t xml:space="preserve">五、付款：</w:t>
      </w:r>
      <w:r>
        <w:rPr>
          <w:rFonts w:hint="eastAsia" w:ascii="仿宋" w:hAnsi="仿宋" w:eastAsia="仿宋"/>
          <w:bCs/>
          <w:color w:val="auto"/>
          <w:sz w:val="24"/>
          <w:highlight w:val="none"/>
        </w:rPr>
        <w:t xml:space="preserve">供应商完成供货安装调试运行正常一个月后，采购人组织相关专家进行初步验收，验收合格后支付合同款项的50%；完成省级相关部门组织的安全复核，履约验收合格后支付合同款项余款。每次</w:t>
      </w:r>
      <w:r>
        <w:rPr>
          <w:rFonts w:hint="eastAsia" w:ascii="仿宋" w:hAnsi="仿宋" w:eastAsia="仿宋"/>
          <w:bCs/>
          <w:color w:val="auto"/>
          <w:sz w:val="24"/>
          <w:highlight w:val="none"/>
          <w:lang w:val="zh-CN"/>
        </w:rPr>
        <w:t xml:space="preserve">支付前，成交人均应出具在税务部门开具的正式税票。</w:t>
      </w:r>
      <w:r/>
    </w:p>
    <w:p>
      <w:pPr>
        <w:ind w:left="426"/>
        <w:spacing w:before="19"/>
        <w:widowControl/>
        <w:rPr>
          <w:rFonts w:hint="eastAsia" w:ascii="仿宋" w:hAnsi="仿宋" w:eastAsia="仿宋"/>
          <w:b/>
          <w:color w:val="auto"/>
          <w:sz w:val="24"/>
          <w:highlight w:val="none"/>
        </w:rPr>
      </w:pPr>
      <w:r>
        <w:rPr>
          <w:rFonts w:hint="eastAsia" w:ascii="仿宋" w:hAnsi="仿宋" w:eastAsia="仿宋"/>
          <w:b/>
          <w:color w:val="auto"/>
          <w:sz w:val="24"/>
          <w:highlight w:val="none"/>
        </w:rPr>
        <w:t xml:space="preserve">六、合同纠纷处理：</w:t>
      </w:r>
      <w:r>
        <w:rPr>
          <w:rFonts w:hint="eastAsia" w:ascii="仿宋" w:hAnsi="仿宋" w:eastAsia="仿宋"/>
          <w:color w:val="auto"/>
          <w:sz w:val="24"/>
          <w:highlight w:val="none"/>
        </w:rPr>
        <w:t xml:space="preserve">本合同执行过程中发生纠纷，由甲方和乙方协商处理。</w:t>
      </w:r>
      <w:r/>
    </w:p>
    <w:p>
      <w:pPr>
        <w:ind w:left="426"/>
        <w:spacing w:before="19"/>
        <w:widowControl/>
        <w:rPr>
          <w:rFonts w:hint="eastAsia" w:ascii="仿宋" w:hAnsi="仿宋" w:eastAsia="仿宋"/>
          <w:b/>
          <w:color w:val="auto"/>
          <w:sz w:val="24"/>
          <w:highlight w:val="none"/>
        </w:rPr>
      </w:pPr>
      <w:r>
        <w:rPr>
          <w:rFonts w:hint="eastAsia" w:ascii="仿宋" w:hAnsi="仿宋" w:eastAsia="仿宋"/>
          <w:b/>
          <w:color w:val="auto"/>
          <w:sz w:val="24"/>
          <w:highlight w:val="none"/>
        </w:rPr>
        <w:t xml:space="preserve">七、合同生效：</w:t>
      </w:r>
      <w:r>
        <w:rPr>
          <w:rFonts w:hint="eastAsia" w:ascii="仿宋" w:hAnsi="仿宋" w:eastAsia="仿宋"/>
          <w:color w:val="auto"/>
          <w:sz w:val="24"/>
          <w:highlight w:val="none"/>
        </w:rPr>
        <w:t xml:space="preserve">本合同由甲乙双方签字盖章后生效。</w:t>
      </w:r>
      <w:r/>
    </w:p>
    <w:p>
      <w:pPr>
        <w:ind w:left="426"/>
        <w:spacing w:before="19"/>
        <w:widowControl/>
        <w:rPr>
          <w:rFonts w:hint="eastAsia" w:ascii="仿宋" w:hAnsi="仿宋" w:eastAsia="仿宋"/>
          <w:b/>
          <w:color w:val="auto"/>
          <w:sz w:val="24"/>
          <w:highlight w:val="none"/>
        </w:rPr>
      </w:pPr>
      <w:r>
        <w:rPr>
          <w:rFonts w:hint="eastAsia" w:ascii="仿宋" w:hAnsi="仿宋" w:eastAsia="仿宋"/>
          <w:b/>
          <w:color w:val="auto"/>
          <w:sz w:val="24"/>
          <w:highlight w:val="none"/>
        </w:rPr>
        <w:t xml:space="preserve">八、组成本合同的文件包括：</w:t>
      </w:r>
      <w:r/>
    </w:p>
    <w:p>
      <w:pPr>
        <w:ind w:firstLine="480"/>
        <w:spacing w:before="19"/>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1.本合同专用条款；</w:t>
      </w:r>
      <w:r/>
    </w:p>
    <w:p>
      <w:pPr>
        <w:ind w:firstLine="480"/>
        <w:spacing w:before="19"/>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2、甲乙双方商定的其他必要文件。</w:t>
      </w:r>
      <w:r/>
    </w:p>
    <w:p>
      <w:pPr>
        <w:spacing w:before="19"/>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上述合同文件内容互为补充，如有不明确，由甲方负责解释。</w:t>
      </w:r>
      <w:r/>
    </w:p>
    <w:p>
      <w:pPr>
        <w:spacing w:before="19"/>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本合同一式两份，甲方持一份，乙方持一份。</w:t>
      </w:r>
      <w:r/>
    </w:p>
    <w:tbl>
      <w:tblPr>
        <w:tblStyle w:val="78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W w:w="4261" w:type="dxa"/>
            <w:textDirection w:val="lrTb"/>
            <w:noWrap w:val="false"/>
          </w:tcPr>
          <w:p>
            <w:pPr>
              <w:spacing w:before="19"/>
              <w:widowControl/>
              <w:rPr>
                <w:rFonts w:hint="eastAsia" w:ascii="仿宋" w:hAnsi="仿宋" w:eastAsia="仿宋"/>
                <w:b/>
                <w:color w:val="auto"/>
                <w:sz w:val="24"/>
                <w:highlight w:val="none"/>
                <w:u w:val="single"/>
              </w:rPr>
            </w:pPr>
            <w:r>
              <w:rPr>
                <w:rFonts w:hint="eastAsia" w:ascii="仿宋" w:hAnsi="仿宋" w:eastAsia="仿宋"/>
                <w:b/>
                <w:color w:val="auto"/>
                <w:sz w:val="24"/>
                <w:highlight w:val="none"/>
              </w:rPr>
              <w:t xml:space="preserve">甲方（公章）： </w:t>
            </w:r>
            <w:r/>
          </w:p>
          <w:p>
            <w:pPr>
              <w:spacing w:before="19"/>
              <w:widowControl/>
              <w:rPr>
                <w:rFonts w:hint="eastAsia" w:ascii="仿宋" w:hAnsi="仿宋" w:eastAsia="仿宋"/>
                <w:b/>
                <w:color w:val="auto"/>
                <w:sz w:val="24"/>
                <w:highlight w:val="none"/>
                <w:u w:val="single"/>
              </w:rPr>
            </w:pPr>
            <w:r>
              <w:rPr>
                <w:rFonts w:hint="eastAsia" w:ascii="仿宋" w:hAnsi="仿宋" w:eastAsia="仿宋"/>
                <w:color w:val="auto"/>
                <w:sz w:val="24"/>
                <w:highlight w:val="none"/>
              </w:rPr>
              <w:t xml:space="preserve">地址：</w:t>
            </w:r>
            <w:r/>
          </w:p>
          <w:p>
            <w:pPr>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法定代表人（授权人）：</w:t>
            </w:r>
            <w:r/>
          </w:p>
          <w:p>
            <w:pPr>
              <w:jc w:val="right"/>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u w:val="single"/>
              </w:rPr>
            </w:r>
            <w:r/>
          </w:p>
          <w:p>
            <w:pPr>
              <w:jc w:val="right"/>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u w:val="single"/>
              </w:rPr>
            </w:r>
            <w:r/>
          </w:p>
          <w:p>
            <w:pPr>
              <w:jc w:val="right"/>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u w:val="single"/>
              </w:rPr>
            </w:r>
            <w:r/>
          </w:p>
          <w:p>
            <w:pPr>
              <w:spacing w:before="19"/>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年月日</w:t>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spacing w:before="19"/>
              <w:widowControl/>
              <w:rPr>
                <w:rFonts w:hint="eastAsia" w:ascii="仿宋" w:hAnsi="仿宋" w:eastAsia="仿宋"/>
                <w:b/>
                <w:color w:val="auto"/>
                <w:sz w:val="24"/>
                <w:highlight w:val="none"/>
                <w:u w:val="single"/>
              </w:rPr>
            </w:pPr>
            <w:r>
              <w:rPr>
                <w:rFonts w:hint="eastAsia" w:ascii="仿宋" w:hAnsi="仿宋" w:eastAsia="仿宋"/>
                <w:b/>
                <w:color w:val="auto"/>
                <w:sz w:val="24"/>
                <w:highlight w:val="none"/>
              </w:rPr>
              <w:t xml:space="preserve">乙方（公章）：</w:t>
            </w:r>
            <w:r/>
          </w:p>
          <w:p>
            <w:pPr>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地址：</w:t>
            </w:r>
            <w:r/>
          </w:p>
          <w:p>
            <w:pPr>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法定代表人（授权人）：</w:t>
            </w:r>
            <w:r/>
          </w:p>
          <w:p>
            <w:pPr>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户名：</w:t>
            </w:r>
            <w:r/>
          </w:p>
          <w:p>
            <w:pPr>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开户银行：</w:t>
            </w:r>
            <w:r/>
          </w:p>
          <w:p>
            <w:pPr>
              <w:spacing w:before="19"/>
              <w:widowControl/>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账号：</w:t>
            </w:r>
            <w:r/>
          </w:p>
          <w:p>
            <w:pPr>
              <w:spacing w:before="19"/>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年月日</w:t>
            </w:r>
            <w:r/>
          </w:p>
        </w:tc>
      </w:tr>
    </w:tbl>
    <w:p>
      <w:pPr>
        <w:jc w:val="right"/>
        <w:spacing w:before="19"/>
        <w:widowControl/>
        <w:rPr>
          <w:rFonts w:hint="eastAsia" w:ascii="仿宋" w:hAnsi="仿宋" w:eastAsia="仿宋"/>
          <w:color w:val="auto"/>
          <w:sz w:val="24"/>
          <w:highlight w:val="none"/>
        </w:rPr>
      </w:pPr>
      <w:r>
        <w:rPr>
          <w:rFonts w:hint="eastAsia" w:ascii="仿宋" w:hAnsi="仿宋" w:eastAsia="仿宋"/>
          <w:color w:val="auto"/>
          <w:sz w:val="24"/>
          <w:highlight w:val="none"/>
        </w:rPr>
      </w:r>
      <w:r/>
    </w:p>
    <w:p>
      <w:pPr>
        <w:rPr>
          <w:rFonts w:hint="eastAsia" w:ascii="仿宋" w:hAnsi="仿宋" w:eastAsia="仿宋"/>
          <w:b/>
          <w:color w:val="auto"/>
          <w:sz w:val="24"/>
          <w:highlight w:val="none"/>
          <w:u w:val="single"/>
        </w:rPr>
      </w:pPr>
      <w:r>
        <w:rPr>
          <w:rFonts w:hint="eastAsia" w:ascii="仿宋" w:hAnsi="仿宋" w:eastAsia="仿宋"/>
          <w:b/>
          <w:color w:val="auto"/>
          <w:sz w:val="24"/>
          <w:highlight w:val="none"/>
          <w:u w:val="single"/>
        </w:rPr>
      </w:r>
      <w:r/>
    </w:p>
    <w:p>
      <w:pPr>
        <w:jc w:val="center"/>
        <w:spacing w:before="19"/>
        <w:widowControl/>
        <w:rPr>
          <w:rFonts w:hint="eastAsia" w:ascii="仿宋" w:hAnsi="仿宋" w:eastAsia="仿宋"/>
          <w:color w:val="auto"/>
          <w:sz w:val="24"/>
          <w:highlight w:val="none"/>
        </w:rPr>
      </w:pPr>
      <w:r>
        <w:rPr>
          <w:rFonts w:hint="eastAsia" w:ascii="仿宋" w:hAnsi="仿宋" w:eastAsia="仿宋"/>
          <w:b/>
          <w:color w:val="auto"/>
          <w:sz w:val="24"/>
          <w:highlight w:val="none"/>
          <w:u w:val="single"/>
        </w:rPr>
        <w:t xml:space="preserve">合同专用条款</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第一条 供货及知识产权</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乙方应按照招标文件规定及投标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r/>
    </w:p>
    <w:p>
      <w:pPr>
        <w:ind w:firstLine="482"/>
        <w:rPr>
          <w:rFonts w:hint="eastAsia" w:ascii="仿宋" w:hAnsi="仿宋" w:eastAsia="仿宋"/>
          <w:color w:val="auto"/>
          <w:sz w:val="24"/>
          <w:highlight w:val="none"/>
        </w:rPr>
      </w:pPr>
      <w:r>
        <w:rPr>
          <w:rFonts w:hint="eastAsia" w:ascii="仿宋" w:hAnsi="仿宋" w:eastAsia="仿宋"/>
          <w:b/>
          <w:color w:val="auto"/>
          <w:sz w:val="24"/>
          <w:highlight w:val="none"/>
        </w:rPr>
        <w:t xml:space="preserve">第二条 合同总价款    </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第三条 质量保证期内的技术支持与售后服务</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1.所提供产品应包含不少于年的整机（含全部部件）免费上门保修服务，质量保证期从设备安装验收合格开始计算。</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2.在质量保证期内厂商应自行处理保修凭证问题，采购人不负责提供产品的保修卡、发票等保修凭证。</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3.应针对本项目指定专人作为售后联系人，7*8小时负责协调产品销售以及售后问题。</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4.应在质量保证期内，免费故障报修电话为7*24小时，故障报修响应时间应在60分钟内。故障修复时间应在24小时内提供上门服务并修复。此款“修复”，是指从发现设备或系统发生故障并通知有关中标供应商后，经过相应的技术服务使设备或系统继续正常提供系统服务，才视为“修复”。</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5.在质量保证期内，未能在规定时间内修复情况下主动提供免费备机服务。</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6.在质量保证期内更换的任何配件，须为原设备厂家生产的；并且保证替代的零配件是新的未使用过和未经修复的。</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 提供的产品若有设计缺陷，应主动召回。</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8. 在质量保证期内，供应商应提供每年度技术巡检服务，巡检内容应包含：对设备使用状况的调查、升级软件、为机器除尘，故障预防</w:t>
      </w:r>
      <w:r>
        <w:rPr>
          <w:rFonts w:hint="eastAsia" w:ascii="仿宋" w:hAnsi="仿宋" w:eastAsia="仿宋"/>
          <w:color w:val="auto"/>
          <w:sz w:val="24"/>
          <w:highlight w:val="none"/>
          <w:lang w:eastAsia="zh-CN"/>
        </w:rPr>
        <w:t xml:space="preserve">等</w:t>
      </w:r>
      <w:r>
        <w:rPr>
          <w:rFonts w:hint="eastAsia" w:ascii="仿宋" w:hAnsi="仿宋" w:eastAsia="仿宋"/>
          <w:color w:val="auto"/>
          <w:sz w:val="24"/>
          <w:highlight w:val="none"/>
        </w:rPr>
        <w:t xml:space="preserve">工作</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并向采购人提供巡检记录以及巡检报告。</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9.软件免费维护和升级服务的内容，供应商可根据自身情况，提供相应的软件服务方案。</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10.损坏的信息存储介质不得收回，应免费由用户保留。</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第四条 质量保证期外的技术支持与服务</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按乙方投标文件执行。</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第五条 交货和验收</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1.乙方应按照本合同规定的时间、地点和方式向甲方交付货物。</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2.乙方交付的货物应当完全符合本合同所规定的货物、数量和规格要求。 乙方提供的货物不符合合同规定的，甲方有权拒收货物，由此引起的风险，由乙方承担。</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甲方应当在到货后五日内对货物进行验收，验收包括：型号、规格、数量、外观质量、以及货物包装是否完好，安装调试是否合格。所提供货物的装箱清单、用户手册、原厂保修卡、随机资料及配件、随机工具等是否齐全。验收合格后甲方应在验收记录上签字盖章。</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第六条 货款支付</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供应商完成供货安装调试运行正常一个月后，采购人组织相关专家进行初步验收，验收合格后支付合同款项的50%；完成省级相关部门组织的安全复核，履约验收合格后支付合同款项余款。每次</w:t>
      </w:r>
      <w:r>
        <w:rPr>
          <w:rFonts w:hint="eastAsia" w:ascii="仿宋" w:hAnsi="仿宋" w:eastAsia="仿宋"/>
          <w:color w:val="auto"/>
          <w:sz w:val="24"/>
          <w:highlight w:val="none"/>
          <w:lang w:val="zh-CN"/>
        </w:rPr>
        <w:t xml:space="preserve">支付前，成交人均应出具在税务部门开具的正式税票。</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第七条 违约责任</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1.甲方无正当理由拒收货物、拒付货物款的，由甲方向乙方偿付合同总价的5%违约金。</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2.甲方未按合同规定的期限向乙方支付货款的，每逾期1天甲方向乙方偿付欠款总额的5‰滞纳金，但累计滞纳金总额不超过欠款总额的5% 。</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3.如乙方不能交付货物，乙方应向甲方支付合同总价5％的违约金。</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4.乙方逾期交付货物的，每逾期1天，乙方向甲方偿付逾期交货部分货款总额的5‰的滞纳金。如乙方逾期交货达10天，甲方有权解除合同，解除合同的通知自到达乙方时生效。</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5.乙方所交付的货物品种、型号、规格不符合合同规定的，甲方有权拒收。甲方拒收的，乙方应向甲方支付货款总额5%的违约金。</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7.乙方未按本合同的规定和服务承诺提供服务的，应按合同总价款的3%向甲方承担违约责任，且甲方有权向上级财政监管部门汇报。</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8.运维期内须12~20个月更换制冷机1次，其他配件按照使用需求在3个日历天内及时更换。</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第八条 合同的变更和终止</w:t>
      </w:r>
      <w:r/>
    </w:p>
    <w:p>
      <w:pPr>
        <w:ind w:firstLine="480"/>
        <w:jc w:val="left"/>
        <w:rPr>
          <w:rFonts w:hint="eastAsia" w:ascii="仿宋" w:hAnsi="仿宋" w:eastAsia="仿宋"/>
          <w:color w:val="auto"/>
          <w:sz w:val="24"/>
          <w:highlight w:val="none"/>
        </w:rPr>
      </w:pPr>
      <w:r>
        <w:rPr>
          <w:rFonts w:hint="eastAsia" w:ascii="仿宋" w:hAnsi="仿宋" w:eastAsia="仿宋"/>
          <w:color w:val="auto"/>
          <w:sz w:val="24"/>
          <w:highlight w:val="none"/>
        </w:rPr>
        <w:t xml:space="preserve">除《中华人民共和国政府采购法》第四十九条、第五十条第二款规定的情形外，本合同一经签订，甲乙双方不得擅自变更、中止或终止合同。</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第十三条 合同的转让</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乙方不得擅自部分或全部转让其应履行的合同义务。</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第十四条 争议的解决</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2"/>
        <w:rPr>
          <w:rFonts w:hint="eastAsia" w:ascii="仿宋" w:hAnsi="仿宋" w:eastAsia="仿宋"/>
          <w:b/>
          <w:color w:val="auto"/>
          <w:sz w:val="24"/>
          <w:highlight w:val="none"/>
        </w:rPr>
      </w:pPr>
      <w:r>
        <w:rPr>
          <w:rFonts w:hint="eastAsia" w:ascii="仿宋" w:hAnsi="仿宋" w:eastAsia="仿宋"/>
          <w:b/>
          <w:color w:val="auto"/>
          <w:sz w:val="24"/>
          <w:highlight w:val="none"/>
        </w:rPr>
        <w:t xml:space="preserve">第十五条 合同生效及其他</w:t>
      </w:r>
      <w:r/>
    </w:p>
    <w:p>
      <w:pPr>
        <w:ind w:firstLine="480"/>
        <w:rPr>
          <w:rFonts w:hint="eastAsia" w:ascii="仿宋" w:hAnsi="仿宋" w:eastAsia="仿宋"/>
          <w:color w:val="auto"/>
          <w:sz w:val="24"/>
          <w:highlight w:val="none"/>
        </w:rPr>
        <w:outlineLvl w:val="0"/>
      </w:pPr>
      <w:r/>
      <w:bookmarkStart w:id="74" w:name="_Toc28315"/>
      <w:r/>
      <w:bookmarkStart w:id="75" w:name="_Toc17884"/>
      <w:r/>
      <w:bookmarkStart w:id="76" w:name="_Toc2422"/>
      <w:r>
        <w:rPr>
          <w:rFonts w:hint="eastAsia" w:ascii="仿宋" w:hAnsi="仿宋" w:eastAsia="仿宋"/>
          <w:color w:val="auto"/>
          <w:sz w:val="24"/>
          <w:highlight w:val="none"/>
        </w:rPr>
        <w:t xml:space="preserve">1.本合同自签订之日起生效。</w:t>
      </w:r>
      <w:bookmarkEnd w:id="74"/>
      <w:r/>
      <w:bookmarkEnd w:id="75"/>
      <w:r/>
      <w:bookmarkEnd w:id="76"/>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br w:type="page" w:clear="all"/>
      </w:r>
      <w:r/>
    </w:p>
    <w:p>
      <w:pPr>
        <w:jc w:val="center"/>
        <w:spacing w:before="120" w:after="120"/>
        <w:rPr>
          <w:rFonts w:ascii="Arial" w:hAnsi="Arial"/>
          <w:b/>
          <w:color w:val="auto"/>
          <w:sz w:val="24"/>
          <w:highlight w:val="none"/>
        </w:rPr>
        <w:outlineLvl w:val="0"/>
      </w:pPr>
      <w:r>
        <w:rPr>
          <w:rFonts w:hint="eastAsia" w:ascii="微软雅黑" w:hAnsi="Arial" w:eastAsia="微软雅黑"/>
          <w:bCs/>
          <w:color w:val="auto"/>
          <w:sz w:val="32"/>
          <w:szCs w:val="32"/>
          <w:highlight w:val="none"/>
        </w:rPr>
        <w:t xml:space="preserve">第5章 评审标准和方法</w:t>
      </w:r>
      <w:bookmarkEnd w:id="73"/>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最后报价得分=(评审基准价／最后报价)×价格分分值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磋商过程中，不得去掉报价中的最高报价和最低报价。因落实政府采购政策进行价格调整的，以调整后的价格计算评审基准价和最后报价。</w:t>
      </w:r>
      <w:r/>
    </w:p>
    <w:p>
      <w:pPr>
        <w:numPr>
          <w:ilvl w:val="0"/>
          <w:numId w:val="2"/>
        </w:num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评分表</w:t>
      </w:r>
      <w:r/>
    </w:p>
    <w:tbl>
      <w:tblPr>
        <w:tblStyle w:val="80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903"/>
        <w:gridCol w:w="658"/>
        <w:gridCol w:w="6617"/>
        <w:gridCol w:w="673"/>
      </w:tblGrid>
      <w:tr>
        <w:trPr>
          <w:jc w:val="center"/>
          <w:trHeight w:val="6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jc w:val="cente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tcPr>
          <w:p>
            <w:pPr>
              <w:jc w:val="cente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jc w:val="cente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7" w:type="dxa"/>
            <w:vAlign w:val="center"/>
            <w:textDirection w:val="lrTb"/>
            <w:noWrap/>
          </w:tcPr>
          <w:p>
            <w:pPr>
              <w:jc w:val="cente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jc w:val="cente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备注</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jc w:val="center"/>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jc w:val="center"/>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管理水平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7" w:type="dxa"/>
            <w:vAlign w:val="center"/>
            <w:textDirection w:val="lrTb"/>
            <w:noWrap w:val="false"/>
          </w:tcPr>
          <w:p>
            <w:pPr>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供应商具备ISO9001质量管理体系认证、ISO20000-1信息技术服务管理体系认证、ISO14001环境管理体系认证、ISO45001职业健康安全认证。每有一个证书得1分，</w:t>
            </w:r>
            <w:r>
              <w:rPr>
                <w:rFonts w:hint="eastAsia" w:ascii="仿宋" w:hAnsi="仿宋" w:eastAsia="仿宋" w:cs="仿宋"/>
                <w:b/>
                <w:bCs/>
                <w:color w:val="auto"/>
                <w:sz w:val="24"/>
                <w:highlight w:val="none"/>
              </w:rPr>
              <w:t xml:space="preserve">最高得4分。</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提供有效期内的认证证书</w:t>
            </w:r>
            <w:r>
              <w:rPr>
                <w:rFonts w:hint="eastAsia" w:ascii="仿宋" w:hAnsi="仿宋" w:eastAsia="仿宋" w:cs="仿宋"/>
                <w:b/>
                <w:bCs/>
                <w:color w:val="auto"/>
                <w:spacing w:val="-4"/>
                <w:sz w:val="24"/>
                <w:highlight w:val="none"/>
              </w:rPr>
              <w:t xml:space="preserve">原件扫描件</w:t>
            </w:r>
            <w:r>
              <w:rPr>
                <w:rFonts w:hint="eastAsia" w:ascii="仿宋" w:hAnsi="仿宋" w:eastAsia="仿宋" w:cs="仿宋"/>
                <w:b/>
                <w:bCs/>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jc w:val="center"/>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spacing w:line="259" w:lineRule="atLeast"/>
              <w:rPr>
                <w:rFonts w:hint="eastAsia" w:ascii="仿宋" w:hAnsi="仿宋" w:eastAsia="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highlight w:val="none"/>
              </w:rPr>
              <w:t xml:space="preserve">人员</w:t>
            </w:r>
            <w:r/>
          </w:p>
          <w:p>
            <w:pPr>
              <w:spacing w:line="259" w:lineRule="atLeast"/>
              <w:rPr>
                <w:rFonts w:hint="eastAsia" w:ascii="仿宋" w:hAnsi="仿宋" w:eastAsia="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highlight w:val="none"/>
              </w:rPr>
              <w:t xml:space="preserve">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spacing w:line="259" w:lineRule="atLeas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7" w:type="dxa"/>
            <w:vAlign w:val="center"/>
            <w:textDirection w:val="lrTb"/>
            <w:noWrap w:val="false"/>
          </w:tcPr>
          <w:p>
            <w:pPr>
              <w:jc w:val="left"/>
              <w:spacing w:line="32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供应商配备相关硬件工程师</w:t>
            </w:r>
            <w:r>
              <w:rPr>
                <w:rFonts w:hint="eastAsia" w:ascii="仿宋" w:hAnsi="仿宋" w:eastAsia="仿宋" w:cs="仿宋"/>
                <w:color w:val="auto"/>
                <w:sz w:val="24"/>
                <w:highlight w:val="none"/>
                <w:lang w:eastAsia="zh-CN"/>
              </w:rPr>
              <w:t xml:space="preserve">（或计算机类工程师</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lang w:eastAsia="zh-CN"/>
              </w:rPr>
              <w:t xml:space="preserve">电子工程师）</w:t>
            </w:r>
            <w:r>
              <w:rPr>
                <w:rFonts w:hint="eastAsia" w:ascii="仿宋" w:hAnsi="仿宋" w:eastAsia="仿宋" w:cs="仿宋"/>
                <w:color w:val="auto"/>
                <w:sz w:val="24"/>
                <w:highlight w:val="none"/>
              </w:rPr>
              <w:t xml:space="preserve">、电气工程师</w:t>
            </w:r>
            <w:r>
              <w:rPr>
                <w:rFonts w:hint="eastAsia" w:ascii="仿宋" w:hAnsi="仿宋" w:eastAsia="仿宋" w:cs="仿宋"/>
                <w:color w:val="auto"/>
                <w:sz w:val="24"/>
                <w:highlight w:val="none"/>
                <w:lang w:eastAsia="zh-CN"/>
              </w:rPr>
              <w:t xml:space="preserve">（或电力工程师</w:t>
            </w:r>
            <w:r>
              <w:rPr>
                <w:rFonts w:hint="eastAsia" w:ascii="仿宋" w:hAnsi="仿宋" w:eastAsia="仿宋" w:cs="仿宋"/>
                <w:color w:val="auto"/>
                <w:sz w:val="24"/>
                <w:highlight w:val="none"/>
                <w:lang w:val="en-US" w:eastAsia="zh-CN"/>
              </w:rPr>
              <w:t xml:space="preserve">/自动化工程师/控制工程师</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、软件工程师</w:t>
            </w:r>
            <w:r>
              <w:rPr>
                <w:rFonts w:hint="eastAsia" w:ascii="仿宋" w:hAnsi="仿宋" w:eastAsia="仿宋" w:cs="仿宋"/>
                <w:color w:val="auto"/>
                <w:sz w:val="24"/>
                <w:highlight w:val="none"/>
                <w:lang w:eastAsia="zh-CN"/>
              </w:rPr>
              <w:t xml:space="preserve">（或开发工程师</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lang w:eastAsia="zh-CN"/>
              </w:rPr>
              <w:t xml:space="preserve">数据工程师</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lang w:eastAsia="zh-CN"/>
              </w:rPr>
              <w:t xml:space="preserve">算法工程师）</w:t>
            </w:r>
            <w:r>
              <w:rPr>
                <w:rFonts w:hint="eastAsia" w:ascii="仿宋" w:hAnsi="仿宋" w:eastAsia="仿宋" w:cs="仿宋"/>
                <w:color w:val="auto"/>
                <w:sz w:val="24"/>
                <w:highlight w:val="none"/>
              </w:rPr>
              <w:t xml:space="preserve">、网络工程师</w:t>
            </w:r>
            <w:r>
              <w:rPr>
                <w:rFonts w:hint="eastAsia" w:ascii="仿宋" w:hAnsi="仿宋" w:eastAsia="仿宋" w:cs="仿宋"/>
                <w:color w:val="auto"/>
                <w:sz w:val="24"/>
                <w:highlight w:val="none"/>
                <w:lang w:eastAsia="zh-CN"/>
              </w:rPr>
              <w:t xml:space="preserve">（系统工程师</w:t>
            </w:r>
            <w:r>
              <w:rPr>
                <w:rFonts w:hint="eastAsia" w:ascii="仿宋" w:hAnsi="仿宋" w:eastAsia="仿宋" w:cs="仿宋"/>
                <w:color w:val="auto"/>
                <w:sz w:val="24"/>
                <w:highlight w:val="none"/>
                <w:lang w:val="en-US" w:eastAsia="zh-CN"/>
              </w:rPr>
              <w:t xml:space="preserve">/通信工程师</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每个专业有1人</w:t>
            </w:r>
            <w:r>
              <w:rPr>
                <w:rFonts w:hint="eastAsia" w:ascii="仿宋" w:hAnsi="仿宋" w:eastAsia="仿宋" w:cs="仿宋"/>
                <w:color w:val="auto"/>
                <w:sz w:val="24"/>
                <w:highlight w:val="none"/>
              </w:rPr>
              <w:t xml:space="preserve">得2分，</w:t>
            </w:r>
            <w:r>
              <w:rPr>
                <w:rFonts w:hint="eastAsia" w:ascii="仿宋" w:hAnsi="仿宋" w:eastAsia="仿宋" w:cs="仿宋"/>
                <w:color w:val="auto"/>
                <w:sz w:val="24"/>
                <w:highlight w:val="none"/>
                <w:lang w:val="en-US" w:eastAsia="zh-CN"/>
              </w:rPr>
              <w:t xml:space="preserve">相同专业多人按1人给分；</w:t>
            </w:r>
            <w:r>
              <w:rPr>
                <w:rFonts w:hint="eastAsia" w:ascii="仿宋" w:hAnsi="仿宋" w:eastAsia="仿宋" w:cs="仿宋"/>
                <w:b/>
                <w:bCs/>
                <w:color w:val="auto"/>
                <w:sz w:val="24"/>
                <w:highlight w:val="none"/>
              </w:rPr>
              <w:t xml:space="preserve">最高</w:t>
            </w:r>
            <w:r>
              <w:rPr>
                <w:rFonts w:hint="eastAsia" w:ascii="仿宋" w:hAnsi="仿宋" w:eastAsia="仿宋" w:cs="仿宋"/>
                <w:b/>
                <w:bCs/>
                <w:color w:val="auto"/>
                <w:sz w:val="24"/>
                <w:highlight w:val="none"/>
                <w:lang w:val="en-US" w:eastAsia="zh-CN"/>
              </w:rPr>
              <w:t xml:space="preserve">得</w:t>
            </w:r>
            <w:r>
              <w:rPr>
                <w:rFonts w:hint="eastAsia" w:ascii="仿宋" w:hAnsi="仿宋" w:eastAsia="仿宋" w:cs="仿宋"/>
                <w:b/>
                <w:bCs/>
                <w:color w:val="auto"/>
                <w:sz w:val="24"/>
                <w:highlight w:val="none"/>
              </w:rPr>
              <w:t xml:space="preserve">8分。</w:t>
            </w:r>
            <w:r/>
          </w:p>
          <w:p>
            <w:pPr>
              <w:pStyle w:val="958"/>
              <w:jc w:val="both"/>
              <w:rPr>
                <w:rFonts w:hint="eastAsia"/>
                <w:color w:val="auto"/>
                <w:highlight w:val="none"/>
              </w:rPr>
            </w:pPr>
            <w:r>
              <w:rPr>
                <w:rFonts w:hint="eastAsia" w:ascii="仿宋" w:hAnsi="仿宋" w:eastAsia="仿宋" w:cs="仿宋"/>
                <w:b/>
                <w:bCs/>
                <w:color w:val="auto"/>
                <w:sz w:val="24"/>
                <w:highlight w:val="none"/>
              </w:rPr>
              <w:t xml:space="preserve">提供有效期的</w:t>
            </w:r>
            <w:r>
              <w:rPr>
                <w:rFonts w:hint="eastAsia" w:ascii="仿宋" w:hAnsi="仿宋" w:eastAsia="仿宋" w:cs="仿宋"/>
                <w:b/>
                <w:bCs/>
                <w:color w:val="auto"/>
                <w:sz w:val="24"/>
                <w:highlight w:val="none"/>
                <w:lang w:val="en-US" w:eastAsia="zh-CN"/>
              </w:rPr>
              <w:t xml:space="preserve">工程师</w:t>
            </w:r>
            <w:r>
              <w:rPr>
                <w:rFonts w:hint="eastAsia" w:ascii="仿宋" w:hAnsi="仿宋" w:eastAsia="仿宋" w:cs="仿宋"/>
                <w:b/>
                <w:bCs/>
                <w:color w:val="auto"/>
                <w:sz w:val="24"/>
                <w:highlight w:val="none"/>
              </w:rPr>
              <w:t xml:space="preserve">证书</w:t>
            </w:r>
            <w:r>
              <w:rPr>
                <w:rFonts w:hint="eastAsia" w:ascii="仿宋" w:hAnsi="仿宋" w:eastAsia="仿宋" w:cs="仿宋"/>
                <w:b/>
                <w:bCs/>
                <w:color w:val="auto"/>
                <w:spacing w:val="-4"/>
                <w:sz w:val="24"/>
                <w:highlight w:val="none"/>
              </w:rPr>
              <w:t xml:space="preserve">原件扫描件</w:t>
            </w:r>
            <w:r>
              <w:rPr>
                <w:rFonts w:hint="eastAsia" w:ascii="仿宋" w:hAnsi="仿宋" w:eastAsia="仿宋" w:cs="仿宋"/>
                <w:b/>
                <w:bCs/>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r>
      <w:tr>
        <w:trPr>
          <w:jc w:val="cente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jc w:val="center"/>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tcPr>
          <w:p>
            <w:pPr>
              <w:jc w:val="center"/>
              <w:rPr>
                <w:rFonts w:hint="eastAsia" w:ascii="仿宋" w:hAnsi="仿宋" w:eastAsia="仿宋" w:cs="仿宋"/>
                <w:bCs/>
                <w:color w:val="auto"/>
                <w:sz w:val="24"/>
                <w:highlight w:val="none"/>
              </w:rPr>
            </w:pPr>
            <w:r>
              <w:rPr>
                <w:rFonts w:hint="eastAsia" w:ascii="仿宋" w:hAnsi="仿宋" w:eastAsia="仿宋"/>
                <w:color w:val="auto"/>
                <w:sz w:val="24"/>
                <w:highlight w:val="none"/>
              </w:rPr>
              <w:t xml:space="preserve">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rPr>
                <w:rFonts w:hint="eastAsia" w:ascii="仿宋" w:hAnsi="仿宋" w:eastAsia="仿宋" w:cs="仿宋"/>
                <w:bCs/>
                <w:color w:val="auto"/>
                <w:sz w:val="24"/>
                <w:highlight w:val="none"/>
                <w:lang w:eastAsia="zh-CN"/>
              </w:rPr>
            </w:pPr>
            <w:r>
              <w:rPr>
                <w:rFonts w:hint="eastAsia" w:ascii="仿宋" w:hAnsi="仿宋" w:eastAsia="仿宋"/>
                <w:color w:val="auto"/>
                <w:sz w:val="24"/>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7" w:type="dxa"/>
            <w:vAlign w:val="center"/>
            <w:textDirection w:val="lrTb"/>
            <w:noWrap w:val="false"/>
          </w:tcPr>
          <w:p>
            <w:pPr>
              <w:jc w:val="left"/>
              <w:spacing w:line="3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提供针对本项目的培训方案，方案内容包括但不限于</w:t>
            </w:r>
            <w:r/>
          </w:p>
          <w:p>
            <w:pPr>
              <w:jc w:val="left"/>
              <w:spacing w:line="3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①人员操作培训</w:t>
            </w:r>
            <w:r>
              <w:rPr>
                <w:rFonts w:hint="eastAsia" w:ascii="仿宋" w:hAnsi="仿宋" w:eastAsia="仿宋" w:cs="仿宋"/>
                <w:color w:val="auto"/>
                <w:sz w:val="24"/>
                <w:highlight w:val="none"/>
                <w:lang w:eastAsia="zh-CN"/>
              </w:rPr>
              <w:t xml:space="preserve">；</w:t>
            </w:r>
            <w:r/>
          </w:p>
          <w:p>
            <w:pPr>
              <w:jc w:val="left"/>
              <w:spacing w:line="3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②产品应用培训</w:t>
            </w:r>
            <w:r>
              <w:rPr>
                <w:rFonts w:hint="eastAsia" w:ascii="仿宋" w:hAnsi="仿宋" w:eastAsia="仿宋" w:cs="仿宋"/>
                <w:color w:val="auto"/>
                <w:sz w:val="24"/>
                <w:highlight w:val="none"/>
                <w:lang w:eastAsia="zh-CN"/>
              </w:rPr>
              <w:t xml:space="preserve">；</w:t>
            </w:r>
            <w:r/>
          </w:p>
          <w:p>
            <w:pPr>
              <w:jc w:val="left"/>
              <w:spacing w:line="3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③维修保养培训</w:t>
            </w:r>
            <w:r>
              <w:rPr>
                <w:rFonts w:hint="eastAsia" w:ascii="仿宋" w:hAnsi="仿宋" w:eastAsia="仿宋" w:cs="仿宋"/>
                <w:color w:val="auto"/>
                <w:sz w:val="24"/>
                <w:highlight w:val="none"/>
                <w:lang w:eastAsia="zh-CN"/>
              </w:rPr>
              <w:t xml:space="preserve">；</w:t>
            </w:r>
            <w:r/>
          </w:p>
          <w:p>
            <w:pPr>
              <w:jc w:val="left"/>
              <w:spacing w:line="32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④安全生产培训</w:t>
            </w:r>
            <w:r>
              <w:rPr>
                <w:rFonts w:hint="eastAsia" w:ascii="仿宋" w:hAnsi="仿宋" w:eastAsia="仿宋" w:cs="仿宋"/>
                <w:color w:val="auto"/>
                <w:sz w:val="24"/>
                <w:highlight w:val="none"/>
                <w:lang w:eastAsia="zh-CN"/>
              </w:rPr>
              <w:t xml:space="preserve">；</w:t>
            </w:r>
            <w:r/>
          </w:p>
          <w:p>
            <w:pPr>
              <w:jc w:val="left"/>
              <w:spacing w:line="32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上述4方面内容中每缺少一项内容</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分，每有一处需求分析内容存在缺陷或不足的扣0.5分，扣完为止。</w:t>
            </w:r>
            <w:r/>
          </w:p>
          <w:p>
            <w:pPr>
              <w:ind w:firstLine="482"/>
              <w:jc w:val="left"/>
              <w:spacing w:line="32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本项最高得</w:t>
            </w:r>
            <w:r>
              <w:rPr>
                <w:rFonts w:hint="eastAsia" w:ascii="仿宋" w:hAnsi="仿宋" w:eastAsia="仿宋" w:cs="仿宋"/>
                <w:b/>
                <w:bCs/>
                <w:color w:val="auto"/>
                <w:sz w:val="24"/>
                <w:highlight w:val="none"/>
                <w:lang w:val="en-US" w:eastAsia="zh-CN"/>
              </w:rPr>
              <w:t xml:space="preserve">8</w:t>
            </w:r>
            <w:r>
              <w:rPr>
                <w:rFonts w:hint="eastAsia" w:ascii="仿宋" w:hAnsi="仿宋" w:eastAsia="仿宋" w:cs="仿宋"/>
                <w:b/>
                <w:bCs/>
                <w:color w:val="auto"/>
                <w:sz w:val="24"/>
                <w:highlight w:val="none"/>
              </w:rPr>
              <w:t xml:space="preserve">分。</w:t>
            </w:r>
            <w:r/>
          </w:p>
          <w:p>
            <w:pPr>
              <w:jc w:val="left"/>
              <w:spacing w:line="32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r>
      <w:tr>
        <w:trPr>
          <w:jc w:val="cente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firstLine="24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tcPr>
          <w:p>
            <w:pPr>
              <w:jc w:val="center"/>
              <w:rPr>
                <w:rFonts w:hint="eastAsia" w:ascii="仿宋" w:hAnsi="仿宋" w:eastAsia="仿宋"/>
                <w:color w:val="auto"/>
                <w:sz w:val="24"/>
                <w:highlight w:val="none"/>
              </w:rPr>
            </w:pPr>
            <w:r>
              <w:rPr>
                <w:rFonts w:hint="eastAsia" w:ascii="仿宋" w:hAnsi="仿宋" w:eastAsia="仿宋" w:cs="仿宋"/>
                <w:color w:val="auto"/>
                <w:sz w:val="24"/>
                <w:highlight w:val="none"/>
                <w:lang w:val="en-US" w:eastAsia="zh-CN"/>
              </w:rPr>
              <w:t xml:space="preserve">运维期（</w:t>
            </w:r>
            <w:r>
              <w:rPr>
                <w:rFonts w:hint="eastAsia" w:ascii="仿宋" w:hAnsi="仿宋" w:eastAsia="仿宋" w:cs="仿宋"/>
                <w:color w:val="auto"/>
                <w:sz w:val="24"/>
                <w:highlight w:val="none"/>
              </w:rPr>
              <w:t xml:space="preserve">质保期</w:t>
            </w:r>
            <w:r>
              <w:rPr>
                <w:rFonts w:hint="eastAsia" w:ascii="仿宋" w:hAnsi="仿宋" w:eastAsia="仿宋" w:cs="仿宋"/>
                <w:color w:val="auto"/>
                <w:sz w:val="24"/>
                <w:highlight w:val="none"/>
                <w:lang w:val="en-US" w:eastAsia="zh-CN"/>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7" w:type="dxa"/>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关于</w:t>
            </w:r>
            <w:r>
              <w:rPr>
                <w:rFonts w:hint="eastAsia" w:ascii="仿宋" w:hAnsi="仿宋" w:eastAsia="仿宋" w:cs="仿宋"/>
                <w:color w:val="auto"/>
                <w:sz w:val="24"/>
                <w:highlight w:val="none"/>
                <w:lang w:val="en-US" w:eastAsia="zh-CN"/>
              </w:rPr>
              <w:t xml:space="preserve">运维期（</w:t>
            </w:r>
            <w:r>
              <w:rPr>
                <w:rFonts w:hint="eastAsia" w:ascii="仿宋" w:hAnsi="仿宋" w:eastAsia="仿宋" w:cs="仿宋"/>
                <w:color w:val="auto"/>
                <w:sz w:val="24"/>
                <w:highlight w:val="none"/>
              </w:rPr>
              <w:t xml:space="preserve">质保期</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的承诺：在满足采购文件</w:t>
            </w:r>
            <w:r>
              <w:rPr>
                <w:rFonts w:hint="eastAsia" w:ascii="仿宋" w:hAnsi="仿宋" w:eastAsia="仿宋" w:cs="仿宋"/>
                <w:color w:val="auto"/>
                <w:sz w:val="24"/>
                <w:highlight w:val="none"/>
                <w:lang w:val="en-US" w:eastAsia="zh-CN"/>
              </w:rPr>
              <w:t xml:space="preserve">运维期（</w:t>
            </w:r>
            <w:r>
              <w:rPr>
                <w:rFonts w:hint="eastAsia" w:ascii="仿宋" w:hAnsi="仿宋" w:eastAsia="仿宋" w:cs="仿宋"/>
                <w:color w:val="auto"/>
                <w:sz w:val="24"/>
                <w:highlight w:val="none"/>
              </w:rPr>
              <w:t xml:space="preserve">质保期</w:t>
            </w:r>
            <w:r>
              <w:rPr>
                <w:rFonts w:hint="eastAsia" w:ascii="仿宋" w:hAnsi="仿宋" w:eastAsia="仿宋" w:cs="仿宋"/>
                <w:color w:val="auto"/>
                <w:sz w:val="24"/>
                <w:highlight w:val="none"/>
                <w:lang w:val="en-US" w:eastAsia="zh-CN"/>
              </w:rPr>
              <w:t xml:space="preserve">3年）</w:t>
            </w:r>
            <w:r>
              <w:rPr>
                <w:rFonts w:hint="eastAsia" w:ascii="仿宋" w:hAnsi="仿宋" w:eastAsia="仿宋" w:cs="仿宋"/>
                <w:color w:val="auto"/>
                <w:sz w:val="24"/>
                <w:highlight w:val="none"/>
              </w:rPr>
              <w:t xml:space="preserve">要求前提下，每延长一年质保得2分，最多得4分。</w:t>
            </w:r>
            <w:r/>
          </w:p>
          <w:p>
            <w:pPr>
              <w:widowControl/>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提供承诺函（格式自拟），不提供不得分。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r>
      <w:tr>
        <w:trPr>
          <w:jc w:val="center"/>
          <w:trHeight w:val="1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firstLine="24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tcPr>
          <w:p>
            <w:pPr>
              <w:rPr>
                <w:rFonts w:hint="eastAsia"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类似项目业 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7" w:type="dxa"/>
            <w:vAlign w:val="center"/>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2022年1月1日以来响应供应商承担过类似项目业绩的（时间以合同签订日期为准），每提供1个业绩得4分，最高得16分。</w:t>
            </w:r>
            <w:r/>
          </w:p>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提供</w:t>
            </w:r>
            <w:r>
              <w:rPr>
                <w:rFonts w:hint="eastAsia" w:ascii="仿宋" w:hAnsi="仿宋" w:eastAsia="仿宋" w:cs="仿宋"/>
                <w:b/>
                <w:bCs/>
                <w:color w:val="auto"/>
                <w:sz w:val="24"/>
                <w:highlight w:val="none"/>
                <w:lang w:val="en-US" w:eastAsia="zh-CN"/>
              </w:rPr>
              <w:t xml:space="preserve">有效</w:t>
            </w:r>
            <w:r>
              <w:rPr>
                <w:rFonts w:hint="eastAsia" w:ascii="仿宋" w:hAnsi="仿宋" w:eastAsia="仿宋" w:cs="仿宋"/>
                <w:b/>
                <w:bCs/>
                <w:color w:val="auto"/>
                <w:sz w:val="24"/>
                <w:highlight w:val="none"/>
              </w:rPr>
              <w:t xml:space="preserve">的合同及结算发票扫描件，不提供或提供不全不得分。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tc>
      </w:tr>
      <w:tr>
        <w:trPr>
          <w:jc w:val="center"/>
          <w:trHeight w:val="1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firstLine="24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rPr>
                <w:rFonts w:hint="eastAsia"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r>
            <w:r/>
          </w:p>
          <w:p>
            <w:pPr>
              <w:rPr>
                <w:rFonts w:hint="eastAsia"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r>
            <w:r/>
          </w:p>
          <w:p>
            <w:pPr>
              <w:rPr>
                <w:rFonts w:hint="eastAsia"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价 格</w:t>
            </w:r>
            <w:r/>
          </w:p>
          <w:p>
            <w:pPr>
              <w:pStyle w:val="958"/>
              <w:rPr>
                <w:rFonts w:hint="eastAsia" w:eastAsia="仿宋"/>
                <w:color w:val="auto"/>
                <w:highlight w:val="none"/>
                <w:lang w:eastAsia="zh-CN"/>
              </w:rPr>
            </w:pPr>
            <w:r>
              <w:rPr>
                <w:rFonts w:hint="eastAsia" w:eastAsia="仿宋"/>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rPr>
                <w:rFonts w:hint="default" w:ascii="仿宋" w:hAnsi="仿宋" w:eastAsia="仿宋" w:cs="仿宋"/>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lang w:val="en-US" w:eastAsia="zh-CN"/>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7" w:type="dxa"/>
            <w:vAlign w:val="center"/>
            <w:textDirection w:val="lrTb"/>
            <w:noWrap w:val="false"/>
          </w:tcPr>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价格分应当采用低价优先法计算，即满足磋商文件要求且投标价格最低的投标报价为评标基准价，其价格分为满分。其他投标人的价格分统一按照下列公式计算：</w:t>
            </w:r>
            <w:r/>
          </w:p>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投标报价得分=（评标基准价／投标报价）×价格分分值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1.上述响应文件中所提供的相关证书等证明材料如有有效期的均须在有效期内。</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2.上述响应文件中所提供的相关合同业绩、证明等必须与原件一致。采购结束后，在确认采购结果之前，采购人将对成交供应商响应文件中所提供的证明文件进行核实，如发现不一致，则另行确定成交结果。</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3.本项目商务技术评分标准中须提供的相关得分佐证材料较多，响应供应商需有序放置于相应响应文件中，并注明如评分点 1，评分点 2……，条理清晰，对重点部分着重标注标识，便于评委检索。若因错放，漏放造成的不得分情况由响应供应商自行承担。</w:t>
      </w:r>
      <w:r/>
    </w:p>
    <w:p>
      <w:pPr>
        <w:ind w:firstLine="880"/>
        <w:rPr>
          <w:rFonts w:ascii="仿宋" w:hAnsi="仿宋" w:eastAsia="仿宋"/>
          <w:color w:val="auto"/>
          <w:sz w:val="28"/>
          <w:szCs w:val="28"/>
          <w:highlight w:val="none"/>
        </w:rPr>
      </w:pPr>
      <w:r>
        <w:rPr>
          <w:rFonts w:ascii="微软雅黑" w:hAnsi="Times New Roman" w:eastAsia="微软雅黑"/>
          <w:bCs/>
          <w:color w:val="auto"/>
          <w:sz w:val="44"/>
          <w:szCs w:val="28"/>
          <w:highlight w:val="none"/>
        </w:rPr>
        <w:br w:type="page" w:clear="all"/>
      </w:r>
      <w:r/>
    </w:p>
    <w:p>
      <w:pPr>
        <w:jc w:val="center"/>
        <w:spacing w:before="120" w:after="120"/>
        <w:rPr>
          <w:rFonts w:ascii="微软雅黑" w:hAnsi="Arial" w:eastAsia="微软雅黑"/>
          <w:bCs/>
          <w:color w:val="auto"/>
          <w:sz w:val="32"/>
          <w:szCs w:val="32"/>
          <w:highlight w:val="none"/>
        </w:rPr>
        <w:outlineLvl w:val="0"/>
      </w:pPr>
      <w:r/>
      <w:bookmarkStart w:id="77" w:name="_Toc6397"/>
      <w:r>
        <w:rPr>
          <w:rFonts w:hint="eastAsia" w:ascii="微软雅黑" w:hAnsi="Arial" w:eastAsia="微软雅黑"/>
          <w:bCs/>
          <w:color w:val="auto"/>
          <w:sz w:val="32"/>
          <w:szCs w:val="32"/>
          <w:highlight w:val="none"/>
        </w:rPr>
        <w:t xml:space="preserve">第6章 竞争性磋商响应文件组成</w:t>
      </w:r>
      <w:bookmarkEnd w:id="77"/>
      <w:r/>
      <w:r/>
    </w:p>
    <w:p>
      <w:pPr>
        <w:jc w:val="center"/>
        <w:spacing w:before="120" w:after="120"/>
        <w:rPr>
          <w:rFonts w:ascii="微软雅黑" w:hAnsi="Arial" w:eastAsia="微软雅黑"/>
          <w:bCs/>
          <w:color w:val="auto"/>
          <w:sz w:val="32"/>
          <w:szCs w:val="32"/>
          <w:highlight w:val="none"/>
        </w:rPr>
      </w:pPr>
      <w:r>
        <w:rPr>
          <w:rFonts w:ascii="微软雅黑" w:hAnsi="Arial" w:eastAsia="微软雅黑"/>
          <w:bCs/>
          <w:color w:val="auto"/>
          <w:sz w:val="32"/>
          <w:szCs w:val="32"/>
          <w:highlight w:val="none"/>
        </w:rPr>
      </w:r>
      <w:r/>
    </w:p>
    <w:p>
      <w:pPr>
        <w:ind w:firstLine="880"/>
        <w:jc w:val="center"/>
        <w:rPr>
          <w:rFonts w:ascii="微软雅黑" w:hAnsi="仿宋" w:eastAsia="微软雅黑"/>
          <w:color w:val="auto"/>
          <w:sz w:val="44"/>
          <w:szCs w:val="44"/>
          <w:highlight w:val="none"/>
        </w:rPr>
      </w:pPr>
      <w:r>
        <w:rPr>
          <w:rFonts w:hint="eastAsia" w:ascii="微软雅黑" w:hAnsi="仿宋" w:eastAsia="微软雅黑"/>
          <w:color w:val="auto"/>
          <w:sz w:val="44"/>
          <w:szCs w:val="44"/>
          <w:highlight w:val="none"/>
        </w:rPr>
        <w:t xml:space="preserve">如皋市政府采购竞争性磋商响应文件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ascii="宋体" w:hAnsi="宋体"/>
          <w:b/>
          <w:color w:val="auto"/>
          <w:sz w:val="32"/>
          <w:szCs w:val="32"/>
          <w:highlight w:val="none"/>
        </w:rPr>
      </w:pPr>
      <w:r>
        <w:rPr>
          <w:rFonts w:hint="eastAsia" w:ascii="宋体" w:hAnsi="宋体"/>
          <w:b/>
          <w:color w:val="auto"/>
          <w:sz w:val="32"/>
          <w:szCs w:val="32"/>
          <w:highlight w:val="none"/>
        </w:rPr>
        <w:t xml:space="preserve">项目名称：</w:t>
      </w:r>
      <w:r/>
    </w:p>
    <w:p>
      <w:pPr>
        <w:ind w:firstLine="2072"/>
        <w:rPr>
          <w:rFonts w:ascii="宋体" w:hAnsi="宋体"/>
          <w:b/>
          <w:color w:val="auto"/>
          <w:sz w:val="32"/>
          <w:szCs w:val="32"/>
          <w:highlight w:val="none"/>
          <w:u w:val="single"/>
        </w:rPr>
      </w:pPr>
      <w:r>
        <w:rPr>
          <w:rFonts w:hint="eastAsia" w:ascii="宋体" w:hAnsi="宋体"/>
          <w:b/>
          <w:color w:val="auto"/>
          <w:sz w:val="32"/>
          <w:szCs w:val="32"/>
          <w:highlight w:val="none"/>
        </w:rPr>
        <w:t xml:space="preserve">项目编号：</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left"/>
        <w:spacing w:after="200"/>
        <w:widowControl/>
        <w:rPr>
          <w:rFonts w:ascii="文鼎CS楷体" w:hAnsi="Courier New" w:eastAsia="文鼎CS楷体"/>
          <w:b/>
          <w:bCs/>
          <w:color w:val="auto"/>
          <w:sz w:val="32"/>
          <w:szCs w:val="32"/>
          <w:highlight w:val="none"/>
        </w:rPr>
      </w:pPr>
      <w:r>
        <w:rPr>
          <w:rFonts w:ascii="文鼎CS楷体" w:hAnsi="Courier New" w:eastAsia="文鼎CS楷体"/>
          <w:b/>
          <w:bCs/>
          <w:color w:val="auto"/>
          <w:sz w:val="32"/>
          <w:szCs w:val="32"/>
          <w:highlight w:val="none"/>
        </w:rPr>
      </w:r>
      <w:r/>
    </w:p>
    <w:p>
      <w:pPr>
        <w:rPr>
          <w:rFonts w:ascii="Times New Roman" w:hAnsi="Times New Roman"/>
          <w:color w:val="auto"/>
          <w:sz w:val="32"/>
          <w:szCs w:val="32"/>
          <w:highlight w:val="none"/>
          <w:u w:val="single"/>
        </w:rPr>
      </w:pPr>
      <w:r>
        <w:rPr>
          <w:rFonts w:hint="eastAsia" w:ascii="Times New Roman" w:hAnsi="Times New Roman"/>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ascii="Times New Roman" w:hAnsi="Times New Roman"/>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宋体" w:hAnsi="宋体"/>
          <w:b/>
          <w:color w:val="auto"/>
          <w:sz w:val="24"/>
          <w:highlight w:val="none"/>
        </w:rPr>
      </w:pPr>
      <w:r>
        <w:rPr>
          <w:rFonts w:ascii="宋体" w:hAnsi="宋体"/>
          <w:b/>
          <w:color w:val="auto"/>
          <w:sz w:val="24"/>
          <w:highlight w:val="none"/>
        </w:rPr>
      </w:r>
      <w:r/>
    </w:p>
    <w:p>
      <w:pPr>
        <w:ind w:firstLine="560"/>
        <w:rPr>
          <w:rFonts w:hint="eastAsia" w:ascii="黑体" w:hAnsi="黑体" w:eastAsia="黑体"/>
          <w:color w:val="auto"/>
          <w:sz w:val="28"/>
          <w:szCs w:val="28"/>
          <w:highlight w:val="none"/>
        </w:rPr>
        <w:outlineLvl w:val="1"/>
      </w:pPr>
      <w:r/>
      <w:bookmarkStart w:id="78" w:name="_Toc23104"/>
      <w:r/>
      <w:r/>
    </w:p>
    <w:p>
      <w:pPr>
        <w:ind w:firstLine="560"/>
        <w:rPr>
          <w:rFonts w:ascii="仿宋" w:hAnsi="仿宋" w:eastAsia="仿宋"/>
          <w:color w:val="auto"/>
          <w:sz w:val="28"/>
          <w:szCs w:val="28"/>
          <w:highlight w:val="none"/>
        </w:rPr>
        <w:outlineLvl w:val="1"/>
      </w:pPr>
      <w:r>
        <w:rPr>
          <w:rFonts w:hint="eastAsia" w:ascii="黑体" w:hAnsi="黑体" w:eastAsia="黑体"/>
          <w:color w:val="auto"/>
          <w:sz w:val="28"/>
          <w:szCs w:val="28"/>
          <w:highlight w:val="none"/>
        </w:rPr>
        <w:t xml:space="preserve">一、资格证明文件</w:t>
      </w:r>
      <w:bookmarkEnd w:id="78"/>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微软雅黑" w:hAnsi="仿宋" w:eastAsia="微软雅黑"/>
          <w:color w:val="auto"/>
          <w:sz w:val="36"/>
          <w:szCs w:val="36"/>
          <w:highlight w:val="none"/>
        </w:rPr>
      </w:pPr>
      <w:r>
        <w:rPr>
          <w:rFonts w:hint="eastAsia" w:ascii="微软雅黑" w:hAnsi="仿宋" w:eastAsia="微软雅黑"/>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微软雅黑" w:hAnsi="仿宋" w:eastAsia="微软雅黑"/>
          <w:color w:val="auto"/>
          <w:sz w:val="36"/>
          <w:szCs w:val="36"/>
          <w:highlight w:val="none"/>
        </w:rPr>
      </w:pPr>
      <w:r>
        <w:rPr>
          <w:rFonts w:hint="eastAsia" w:ascii="微软雅黑" w:hAnsi="仿宋" w:eastAsia="微软雅黑"/>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）、“信用江苏”（</w:t>
      </w:r>
      <w:r>
        <w:rPr>
          <w:rFonts w:ascii="仿宋" w:hAnsi="仿宋" w:eastAsia="仿宋"/>
          <w:color w:val="auto"/>
          <w:sz w:val="28"/>
          <w:szCs w:val="28"/>
          <w:highlight w:val="none"/>
        </w:rPr>
        <w:t xml:space="preserve">www.jscredit.cn/index.htm</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numPr>
          <w:ilvl w:val="0"/>
          <w:numId w:val="3"/>
        </w:num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项目实施所必须的许可资质证明材料（如有）</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（七）法定代表人身份证明及身份证复印件</w:t>
      </w:r>
      <w:r/>
    </w:p>
    <w:p>
      <w:pPr>
        <w:ind w:firstLine="562"/>
        <w:jc w:val="center"/>
        <w:spacing w:before="50" w:after="156"/>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法定代表人身份证明</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单位性质：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成立时间：年月日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经营期限：</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姓名：     性别：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年龄：     职务：</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系（供应商名称）的法定代表人。 特此证明。 </w:t>
      </w:r>
      <w:r/>
    </w:p>
    <w:p>
      <w:pPr>
        <w:ind w:firstLine="560"/>
        <w:jc w:val="left"/>
        <w:spacing w:before="50" w:after="156"/>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w:t>
      </w:r>
      <w:r/>
    </w:p>
    <w:p>
      <w:pPr>
        <w:ind w:firstLine="560"/>
        <w:jc w:val="right"/>
        <w:spacing w:before="50" w:after="156"/>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righ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jc w:val="lef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日期：年 月日</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。（法定代表人参加磋商采购活动的，无需提供）</w:t>
      </w:r>
      <w:r/>
    </w:p>
    <w:p>
      <w:pPr>
        <w:jc w:val="center"/>
        <w:rPr>
          <w:rFonts w:ascii="微软雅黑" w:hAnsi="Times New Roman" w:eastAsia="微软雅黑"/>
          <w:i/>
          <w:color w:val="auto"/>
          <w:sz w:val="36"/>
          <w:szCs w:val="36"/>
          <w:highlight w:val="none"/>
        </w:rPr>
      </w:pPr>
      <w:r>
        <w:rPr>
          <w:rFonts w:hint="eastAsia" w:ascii="微软雅黑" w:hAnsi="Times New Roman" w:eastAsia="微软雅黑"/>
          <w:color w:val="auto"/>
          <w:sz w:val="36"/>
          <w:szCs w:val="36"/>
          <w:highlight w:val="none"/>
        </w:rPr>
        <w:t xml:space="preserve">法定代表人授权委托书</w:t>
      </w:r>
      <w:r/>
    </w:p>
    <w:p>
      <w:pPr>
        <w:ind w:firstLine="48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本授权书声明：_____________（供应商名称）授权________________（代理人的姓名）为我方就项目名称：____________项目编号:____________采购活动的合法代理人，以本公司名义全权处理一切与该项目采购有关的事务。</w:t>
      </w:r>
      <w:r/>
    </w:p>
    <w:p>
      <w:pPr>
        <w:ind w:firstLine="48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ind w:firstLine="480"/>
        <w:spacing w:line="500" w:lineRule="exact"/>
        <w:tabs>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spacing w:line="500" w:lineRule="exact"/>
        <w:tabs>
          <w:tab w:val="left" w:pos="360" w:leader="none"/>
        </w:tabs>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ind w:firstLine="48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ind w:firstLine="232"/>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ind w:firstLine="480"/>
        <w:spacing w:line="500" w:lineRule="exact"/>
        <w:tabs>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ind w:firstLine="48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ind w:firstLine="48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ind w:firstLine="480"/>
        <w:spacing w:line="500" w:lineRule="exact"/>
        <w:tabs>
          <w:tab w:val="left" w:pos="360" w:leader="none"/>
        </w:tabs>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12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ind w:firstLine="602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ind w:firstLine="480"/>
        <w:spacing w:line="500" w:lineRule="exact"/>
        <w:tabs>
          <w:tab w:val="left" w:pos="360" w:leader="none"/>
        </w:tabs>
        <w:rPr>
          <w:rFonts w:ascii="仿宋" w:hAnsi="仿宋" w:eastAsia="仿宋"/>
          <w:color w:val="auto"/>
          <w:sz w:val="28"/>
          <w:szCs w:val="28"/>
          <w:highlight w:val="none"/>
        </w:rPr>
      </w:pPr>
      <w:r/>
      <w:bookmarkStart w:id="79" w:name="_Hlt26955070"/>
      <w:r/>
      <w:bookmarkEnd w:id="79"/>
      <w:r/>
      <w:bookmarkStart w:id="80" w:name="_Hlt26671380"/>
      <w:r/>
      <w:bookmarkEnd w:id="80"/>
      <w:r/>
      <w:bookmarkStart w:id="81" w:name="_格式3__银行出具的资信证明"/>
      <w:r/>
      <w:bookmarkEnd w:id="81"/>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法定代表人身份证复印件</w:t>
      </w:r>
      <w:r/>
    </w:p>
    <w:p>
      <w:pPr>
        <w:ind w:firstLine="140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9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ind w:firstLine="420"/>
        <w:rPr>
          <w:rFonts w:ascii="宋体" w:hAnsi="宋体"/>
          <w:color w:val="auto"/>
          <w:sz w:val="24"/>
          <w:highlight w:val="none"/>
        </w:rPr>
      </w:pPr>
      <w:r>
        <w:rPr>
          <w:rFonts w:ascii="宋体" w:hAnsi="宋体"/>
          <w:color w:val="auto"/>
          <w:sz w:val="24"/>
          <w:highlight w:val="none"/>
        </w:rPr>
      </w:r>
      <w:r/>
    </w:p>
    <w:p>
      <w:pPr>
        <w:ind w:firstLine="480"/>
        <w:jc w:val="left"/>
        <w:spacing w:before="50"/>
        <w:rPr>
          <w:rFonts w:ascii="仿宋" w:hAnsi="仿宋" w:eastAsia="仿宋"/>
          <w:color w:val="auto"/>
          <w:sz w:val="24"/>
          <w:highlight w:val="none"/>
        </w:rPr>
      </w:pPr>
      <w:r>
        <w:rPr>
          <w:rFonts w:ascii="仿宋" w:hAnsi="仿宋" w:eastAsia="仿宋"/>
          <w:color w:val="auto"/>
          <w:sz w:val="24"/>
          <w:highlight w:val="none"/>
        </w:rPr>
      </w:r>
      <w:r/>
    </w:p>
    <w:p>
      <w:pPr>
        <w:ind w:firstLine="480"/>
        <w:jc w:val="left"/>
        <w:spacing w:before="50"/>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（九）</w:t>
      </w:r>
      <w:r>
        <w:rPr>
          <w:rFonts w:hint="eastAsia" w:ascii="仿宋" w:hAnsi="仿宋" w:eastAsia="仿宋" w:cs="Arial"/>
          <w:color w:val="auto"/>
          <w:sz w:val="28"/>
          <w:szCs w:val="28"/>
          <w:highlight w:val="none"/>
        </w:rPr>
        <w:t xml:space="preserve">磋商响应函</w:t>
      </w:r>
      <w:r/>
    </w:p>
    <w:p>
      <w:pPr>
        <w:jc w:val="center"/>
        <w:spacing w:before="50"/>
        <w:rPr>
          <w:rFonts w:ascii="微软雅黑" w:hAnsi="Times New Roman" w:eastAsia="微软雅黑"/>
          <w:color w:val="auto"/>
          <w:sz w:val="36"/>
          <w:szCs w:val="36"/>
          <w:highlight w:val="none"/>
        </w:rPr>
      </w:pPr>
      <w:r>
        <w:rPr>
          <w:rFonts w:hint="eastAsia" w:ascii="微软雅黑" w:hAnsi="Times New Roman" w:eastAsia="微软雅黑"/>
          <w:color w:val="auto"/>
          <w:sz w:val="36"/>
          <w:szCs w:val="36"/>
          <w:highlight w:val="none"/>
        </w:rPr>
        <w:t xml:space="preserve">竞争性磋商响应函</w:t>
      </w:r>
      <w:r/>
    </w:p>
    <w:p>
      <w:pPr>
        <w:spacing w:line="50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u w:val="single"/>
        </w:rPr>
        <w:t xml:space="preserve">如皋市长江镇人民政府</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color w:val="auto"/>
          <w:sz w:val="28"/>
          <w:szCs w:val="28"/>
          <w:highlight w:val="none"/>
          <w:u w:val="single"/>
        </w:rPr>
        <w:t xml:space="preserve">如皋港化工新材料产业园远程探测在线监测预警系统采购项目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eastAsia="zh-CN"/>
        </w:rPr>
        <w:t xml:space="preserve">JSZC-320682-JSHS-C2026-0017</w:t>
      </w:r>
      <w:r>
        <w:rPr>
          <w:rFonts w:hint="eastAsia" w:ascii="仿宋" w:hAnsi="仿宋" w:eastAsia="仿宋"/>
          <w:color w:val="auto"/>
          <w:sz w:val="28"/>
          <w:szCs w:val="28"/>
          <w:highlight w:val="none"/>
        </w:rPr>
        <w:t xml:space="preserve">）竞争性磋商文件，正式授权下述签字人_________ (姓名和职务)代表我方______________（供应商的名称），全权处理本次项目磋商采购的有关事宜。</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1.按磋商文件规定的各项要求，向买方提供所需货物、服务。</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7.遵守竞争性磋商文件中要求的收费项目和标准。</w:t>
      </w:r>
      <w:r/>
    </w:p>
    <w:p>
      <w:pPr>
        <w:ind w:firstLine="560"/>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8.与本次竞争性磋商活动有关的正式通讯地址为：</w:t>
      </w:r>
      <w:r/>
    </w:p>
    <w:p>
      <w:pPr>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spacing w:line="50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jc w:val="left"/>
        <w:widowControl/>
        <w:rPr>
          <w:rFonts w:eastAsia="等线"/>
          <w:color w:val="auto"/>
          <w:szCs w:val="22"/>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（十）中小企业声明函</w:t>
      </w:r>
      <w:r/>
    </w:p>
    <w:p>
      <w:pPr>
        <w:jc w:val="center"/>
        <w:spacing w:before="50"/>
        <w:rPr>
          <w:rFonts w:hint="eastAsia" w:ascii="微软雅黑" w:hAnsi="Times New Roman" w:eastAsia="微软雅黑"/>
          <w:color w:val="auto"/>
          <w:sz w:val="36"/>
          <w:szCs w:val="36"/>
          <w:highlight w:val="none"/>
        </w:rPr>
      </w:pPr>
      <w:r>
        <w:rPr>
          <w:rFonts w:hint="eastAsia" w:ascii="微软雅黑" w:hAnsi="Times New Roman" w:eastAsia="微软雅黑"/>
          <w:color w:val="auto"/>
          <w:sz w:val="36"/>
          <w:szCs w:val="36"/>
          <w:highlight w:val="none"/>
        </w:rPr>
        <w:t xml:space="preserve">中小企业声明函</w:t>
      </w:r>
      <w:r/>
    </w:p>
    <w:p>
      <w:pPr>
        <w:ind w:firstLine="64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本公司（联合体）郑重声明，根据《政府采购促进中小企业发展管理办法》（财库﹝2020﹞46 号）的规定，本公司（联合体）参加</w:t>
      </w:r>
      <w:r>
        <w:rPr>
          <w:rFonts w:hint="eastAsia" w:ascii="仿宋" w:hAnsi="仿宋" w:eastAsia="仿宋"/>
          <w:i/>
          <w:color w:val="auto"/>
          <w:sz w:val="28"/>
          <w:szCs w:val="28"/>
          <w:highlight w:val="none"/>
          <w:u w:val="single"/>
        </w:rPr>
        <w:t xml:space="preserve">（    ）</w:t>
      </w:r>
      <w:r>
        <w:rPr>
          <w:rFonts w:hint="eastAsia" w:ascii="仿宋" w:hAnsi="仿宋" w:eastAsia="仿宋"/>
          <w:color w:val="auto"/>
          <w:sz w:val="28"/>
          <w:szCs w:val="28"/>
          <w:highlight w:val="none"/>
        </w:rPr>
        <w:t xml:space="preserve"> 的</w:t>
      </w:r>
      <w:r>
        <w:rPr>
          <w:rFonts w:hint="eastAsia" w:ascii="仿宋" w:hAnsi="仿宋" w:eastAsia="仿宋"/>
          <w:i/>
          <w:color w:val="auto"/>
          <w:sz w:val="28"/>
          <w:szCs w:val="28"/>
          <w:highlight w:val="none"/>
          <w:u w:val="single"/>
        </w:rPr>
        <w:t xml:space="preserve">（   ）</w:t>
      </w:r>
      <w:r>
        <w:rPr>
          <w:rFonts w:hint="eastAsia" w:ascii="仿宋" w:hAnsi="仿宋" w:eastAsia="仿宋"/>
          <w:color w:val="auto"/>
          <w:sz w:val="28"/>
          <w:szCs w:val="28"/>
          <w:highlight w:val="none"/>
        </w:rPr>
        <w:t xml:space="preserve"> 采购活动，提供的货物全部由符合政策要求的中小企业制造。相关企业（含联合体中的中小企业、签订分包意向协议的中小企业）的具体情况如下：</w:t>
      </w:r>
      <w:r/>
    </w:p>
    <w:p>
      <w:pPr>
        <w:ind w:left="420" w:firstLine="560"/>
        <w:spacing w:after="120"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1.傅里叶红外光谱仪属于（工业行业）行业 ；制造商为 （企业名称） ，从业人员人，营业收入为万元，资产总额为万元，属于 （中型企业、小型企业、微型企业） </w:t>
      </w:r>
      <w:r/>
    </w:p>
    <w:p>
      <w:pPr>
        <w:ind w:left="420" w:firstLine="560"/>
        <w:spacing w:after="120"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2.其他配套组件，属于（工业行业）行业 ；制造商为 （企业名称） ，从业人员人，营业收入为万元，资产总额为万元，属于 （中型企业、小型企业、微型企业） </w:t>
      </w:r>
      <w:r/>
    </w:p>
    <w:p>
      <w:pPr>
        <w:ind w:left="420" w:firstLine="560"/>
        <w:spacing w:after="120"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3.云台，属于（工业行业）行业 ；制造商为 （企业名称） ，从业人员人，营业收入为万元，资产总额为万元，属于 （中型企业、小型企业、微型企业） </w:t>
      </w:r>
      <w:r/>
    </w:p>
    <w:p>
      <w:pPr>
        <w:ind w:left="420" w:firstLine="560"/>
        <w:spacing w:after="120"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4.配套软件，属于（工业行业）行业 ；制造商为 （企业名称） ，从业人员人，营业收入为万元，资产总额为万元，属于 （中型企业、小型企业、微型企业） </w:t>
      </w:r>
      <w:r/>
    </w:p>
    <w:p>
      <w:pPr>
        <w:ind w:left="420" w:firstLine="560"/>
        <w:spacing w:after="120"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5.辅材，属于（工业行业）行业 ；制造商为 （企业名称） ，从业人员人，营业收入为万元，资产总额为万元，属于 （中型企业、小型企业、微型企业） </w:t>
      </w:r>
      <w:r/>
    </w:p>
    <w:p>
      <w:pPr>
        <w:ind w:left="420" w:firstLine="560"/>
        <w:spacing w:after="120"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6.避雷装置，属于（工业行业）行业 ；制造商为 （企业名称） ，从业人员人，营业收入为万元，资产总额为万元，属于 （中型企业、小型企业、微型企业） </w:t>
      </w:r>
      <w:r/>
    </w:p>
    <w:p>
      <w:pPr>
        <w:ind w:left="420" w:firstLine="560"/>
        <w:spacing w:after="120"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7.单点式气体传感器，属于（工业行业）行业 ；制造商为 （企业名称） ，从业人员人，营业收入为万元，资产总额为万元，属于 （中型企业、小型企业、微型企业） </w:t>
      </w:r>
      <w:r/>
    </w:p>
    <w:p>
      <w:pPr>
        <w:pStyle w:val="958"/>
        <w:rPr>
          <w:rFonts w:hint="eastAsia"/>
          <w:color w:val="auto"/>
        </w:rPr>
      </w:pPr>
      <w:r>
        <w:rPr>
          <w:rFonts w:hint="eastAsia"/>
          <w:color w:val="auto"/>
        </w:rPr>
      </w:r>
      <w:r/>
    </w:p>
    <w:p>
      <w:pPr>
        <w:rPr>
          <w:rFonts w:hint="eastAsia" w:ascii="仿宋" w:hAnsi="仿宋" w:eastAsia="仿宋"/>
          <w:b/>
          <w:bCs w:val="0"/>
          <w:color w:val="auto"/>
          <w:sz w:val="28"/>
          <w:szCs w:val="28"/>
          <w:highlight w:val="none"/>
        </w:rPr>
      </w:pPr>
      <w:r>
        <w:rPr>
          <w:rFonts w:hint="eastAsia" w:ascii="仿宋" w:hAnsi="仿宋" w:eastAsia="仿宋"/>
          <w:b/>
          <w:bCs w:val="0"/>
          <w:color w:val="auto"/>
          <w:sz w:val="28"/>
          <w:szCs w:val="28"/>
          <w:highlight w:val="none"/>
        </w:rPr>
        <w:br w:type="page" w:clear="all"/>
      </w:r>
      <w:r/>
    </w:p>
    <w:p>
      <w:pPr>
        <w:jc w:val="left"/>
        <w:widowControl/>
        <w:rPr>
          <w:rFonts w:ascii="Times New Roman" w:hAnsi="Times New Roman"/>
          <w:b/>
          <w:bCs w:val="0"/>
          <w:color w:val="auto"/>
          <w:sz w:val="28"/>
          <w:szCs w:val="28"/>
          <w:highlight w:val="none"/>
        </w:rPr>
      </w:pPr>
      <w:r>
        <w:rPr>
          <w:rFonts w:hint="eastAsia" w:ascii="仿宋" w:hAnsi="仿宋" w:eastAsia="仿宋"/>
          <w:b/>
          <w:bCs w:val="0"/>
          <w:color w:val="auto"/>
          <w:sz w:val="28"/>
          <w:szCs w:val="28"/>
          <w:highlight w:val="none"/>
        </w:rPr>
        <w:t xml:space="preserve">（十一）其他资格证明材料</w:t>
      </w:r>
      <w:r/>
    </w:p>
    <w:p>
      <w:pPr>
        <w:ind w:firstLine="560"/>
        <w:jc w:val="left"/>
        <w:spacing w:before="50"/>
        <w:rPr>
          <w:rFonts w:ascii="Times New Roman" w:hAnsi="Times New Roman"/>
          <w:color w:val="auto"/>
          <w:sz w:val="28"/>
          <w:szCs w:val="28"/>
          <w:highlight w:val="none"/>
        </w:rPr>
      </w:pPr>
      <w:r>
        <w:rPr>
          <w:rFonts w:hint="eastAsia" w:ascii="仿宋" w:hAnsi="仿宋" w:eastAsia="仿宋"/>
          <w:color w:val="auto"/>
          <w:sz w:val="28"/>
          <w:szCs w:val="28"/>
          <w:highlight w:val="none"/>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b/>
          <w:bCs/>
          <w:color w:val="auto"/>
          <w:sz w:val="28"/>
          <w:szCs w:val="28"/>
          <w:highlight w:val="none"/>
        </w:rPr>
        <w:t xml:space="preserve">响应供应商须提供承诺函，格式自拟。不提供视为无效响应。</w:t>
      </w:r>
      <w:r/>
    </w:p>
    <w:p>
      <w:pPr>
        <w:ind w:firstLine="562"/>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82" w:name="_Toc12740"/>
      <w:r>
        <w:rPr>
          <w:rFonts w:hint="eastAsia" w:ascii="黑体" w:hAnsi="黑体" w:eastAsia="黑体"/>
          <w:color w:val="auto"/>
          <w:sz w:val="28"/>
          <w:szCs w:val="28"/>
          <w:highlight w:val="none"/>
        </w:rPr>
        <w:t xml:space="preserve">二、商务技术文件</w:t>
      </w:r>
      <w:bookmarkEnd w:id="82"/>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（一）评分索引表</w:t>
      </w:r>
      <w:r/>
    </w:p>
    <w:p>
      <w:pPr>
        <w:ind w:firstLine="641"/>
        <w:jc w:val="center"/>
        <w:rPr>
          <w:rFonts w:ascii="微软雅黑" w:hAnsi="宋体" w:eastAsia="微软雅黑"/>
          <w:color w:val="auto"/>
          <w:sz w:val="32"/>
          <w:szCs w:val="32"/>
          <w:highlight w:val="none"/>
        </w:rPr>
      </w:pPr>
      <w:r>
        <w:rPr>
          <w:rFonts w:hint="eastAsia" w:ascii="微软雅黑" w:hAnsi="宋体" w:eastAsia="微软雅黑"/>
          <w:color w:val="auto"/>
          <w:sz w:val="32"/>
          <w:szCs w:val="32"/>
          <w:highlight w:val="none"/>
        </w:rPr>
        <w:t xml:space="preserve">评分索引表</w:t>
      </w:r>
      <w:r/>
    </w:p>
    <w:p>
      <w:pPr>
        <w:ind w:firstLine="641"/>
        <w:jc w:val="center"/>
        <w:rPr>
          <w:rFonts w:ascii="仿宋" w:hAnsi="仿宋" w:eastAsia="仿宋"/>
          <w:color w:val="auto"/>
          <w:sz w:val="28"/>
          <w:szCs w:val="28"/>
          <w:highlight w:val="none"/>
        </w:rPr>
      </w:pPr>
      <w:r>
        <w:rPr>
          <w:rFonts w:hint="eastAsia" w:ascii="微软雅黑" w:hAnsi="宋体" w:eastAsia="微软雅黑"/>
          <w:color w:val="auto"/>
          <w:sz w:val="32"/>
          <w:szCs w:val="32"/>
          <w:highlight w:val="none"/>
        </w:rPr>
        <w:t xml:space="preserve">（线上评审无需提供）</w:t>
      </w:r>
      <w:r/>
    </w:p>
    <w:tbl>
      <w:tblPr>
        <w:tblStyle w:val="78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7</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420"/>
        <w:rPr>
          <w:rFonts w:ascii="仿宋" w:hAnsi="仿宋" w:eastAsia="仿宋"/>
          <w:bCs/>
          <w:color w:val="auto"/>
          <w:sz w:val="28"/>
          <w:szCs w:val="28"/>
          <w:highlight w:val="none"/>
        </w:rPr>
      </w:pPr>
      <w:r>
        <w:rPr>
          <w:rFonts w:hint="eastAsia" w:ascii="仿宋" w:hAnsi="仿宋" w:eastAsia="仿宋"/>
          <w:color w:val="auto"/>
          <w:szCs w:val="21"/>
          <w:highlight w:val="none"/>
        </w:rPr>
        <w:t xml:space="preserve">注：按照竞争性磋商文件要求详细填列，可增减行。</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numPr>
          <w:ilvl w:val="0"/>
          <w:numId w:val="4"/>
        </w:num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符合技术要求或者服务要求的相关证明材料</w:t>
      </w:r>
      <w:r/>
    </w:p>
    <w:p>
      <w:pPr>
        <w:jc w:val="center"/>
        <w:rPr>
          <w:rFonts w:hint="eastAsia" w:ascii="方正小标宋简体" w:hAnsi="宋体" w:eastAsia="方正小标宋简体" w:cs="Times New Roman"/>
          <w:color w:val="auto"/>
          <w:sz w:val="32"/>
          <w:szCs w:val="32"/>
          <w:highlight w:val="none"/>
        </w:rPr>
      </w:pPr>
      <w:r>
        <w:rPr>
          <w:rFonts w:hint="eastAsia" w:ascii="方正小标宋简体" w:hAnsi="宋体" w:eastAsia="方正小标宋简体" w:cs="Times New Roman"/>
          <w:color w:val="auto"/>
          <w:sz w:val="32"/>
          <w:szCs w:val="32"/>
          <w:highlight w:val="none"/>
        </w:rPr>
        <w:t xml:space="preserve">主要产品技术部分正负偏离表</w:t>
      </w:r>
      <w:r/>
    </w:p>
    <w:tbl>
      <w:tblPr>
        <w:tblStyle w:val="787"/>
        <w:tblW w:w="50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212"/>
        <w:gridCol w:w="4022"/>
        <w:gridCol w:w="1764"/>
        <w:gridCol w:w="1061"/>
        <w:gridCol w:w="958"/>
      </w:tblGrid>
      <w:tr>
        <w:trPr>
          <w:trHeight w:val="23"/>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022"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t xml:space="preserve">备注</w:t>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4"/>
                <w:highlight w:val="none"/>
              </w:rPr>
              <w:t xml:space="preserve">傅里叶红外光谱仪</w:t>
            </w:r>
            <w:r/>
          </w:p>
        </w:tc>
        <w:tc>
          <w:tcPr>
            <w:tcBorders>
              <w:top w:val="single" w:color="auto" w:sz="4" w:space="0"/>
              <w:left w:val="single" w:color="auto" w:sz="4" w:space="0"/>
              <w:bottom w:val="single" w:color="auto" w:sz="4" w:space="0"/>
              <w:right w:val="single" w:color="auto" w:sz="4" w:space="0"/>
            </w:tcBorders>
            <w:tcW w:w="4022" w:type="dxa"/>
            <w:vAlign w:val="top"/>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1、技术原理:采用被动式傅里叶红外光谱遥感检测技术。</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2、检测半径≥3km。</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3、检测速度≥11幅光谱图/s(4cm-1)。</w:t>
            </w:r>
            <w:r/>
          </w:p>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4、检测气体种类≥400种，包括本园区以上所列无机物和有机物，以及化学战剂等。【烃类（甲烷、乙烯、丙烯、卤代烃等）、醇类（乙醇、异丙醇等）、醛类（甲醛等）、酮类（丙酮等）、酯类（乙酸甲酯、乙酸乙酯等）、酸类（醋酸等）、酚类（苯酚等）、苯系物（苯、甲苯、二甲苯等）、氨类（氨气等）、硫化物（二氧化硫、硫化氢等）、臭氧等】</w:t>
            </w:r>
            <w:r/>
          </w:p>
          <w:p>
            <w:pPr>
              <w:jc w:val="left"/>
              <w:keepLines w:val="0"/>
              <w:keepNext w:val="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u w:val="none"/>
                <w:lang w:val="en-US" w:eastAsia="zh-CN" w:bidi="ar"/>
              </w:rPr>
              <w:t xml:space="preserve">5、检出限：氨气≤1ppm.m、乙烯≤3ppm.m、乙炔≤5ppm.m、1，3-丁二烯≤5ppm.m。</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6、报警响应时间≤4s。</w:t>
            </w:r>
            <w:r/>
          </w:p>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u w:val="none"/>
                <w:lang w:val="en-US" w:eastAsia="zh-CN" w:bidi="ar"/>
              </w:rPr>
              <w:t xml:space="preserve">7、检测气体种类支持个性化定制。</w:t>
            </w:r>
            <w:r/>
          </w:p>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4"/>
                <w:szCs w:val="24"/>
                <w:highlight w:val="none"/>
                <w:u w:val="none"/>
                <w:lang w:val="en-US" w:eastAsia="zh-CN" w:bidi="ar"/>
              </w:rPr>
              <w:t xml:space="preserve">8、光学镜片：</w:t>
            </w:r>
            <w:r>
              <w:rPr>
                <w:rFonts w:hint="eastAsia" w:ascii="仿宋" w:hAnsi="仿宋" w:eastAsia="仿宋" w:cs="仿宋"/>
                <w:color w:val="auto"/>
                <w:sz w:val="24"/>
                <w:szCs w:val="24"/>
                <w:highlight w:val="none"/>
                <w:lang w:val="en-US" w:eastAsia="zh-CN"/>
              </w:rPr>
              <w:t xml:space="preserve">全封闭防水防尘。</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9、具有红外光谱光路、可见相机光路。</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10、红外光谱分辨率1、2、4、8、16cm-1可调。</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11、辅助相机可见光及红外热像分辨率≥640X512。</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12、校准系统：内置高精度黑体校准系统，</w:t>
            </w:r>
            <w:r>
              <w:rPr>
                <w:rFonts w:hint="eastAsia" w:ascii="仿宋" w:hAnsi="仿宋" w:eastAsia="仿宋" w:cs="仿宋"/>
                <w:color w:val="auto"/>
                <w:sz w:val="24"/>
                <w:szCs w:val="24"/>
                <w:highlight w:val="none"/>
              </w:rPr>
              <w:t xml:space="preserve">温度精度0.1℃，温度范围</w:t>
            </w:r>
            <w:r>
              <w:rPr>
                <w:rFonts w:hint="eastAsia" w:ascii="仿宋" w:hAnsi="仿宋" w:eastAsia="仿宋" w:cs="仿宋"/>
                <w:color w:val="auto"/>
                <w:sz w:val="24"/>
                <w:szCs w:val="24"/>
                <w:highlight w:val="none"/>
                <w:lang w:eastAsia="zh-CN"/>
              </w:rPr>
              <w:t xml:space="preserve">为</w:t>
            </w:r>
            <w:r>
              <w:rPr>
                <w:rFonts w:hint="eastAsia" w:ascii="仿宋" w:hAnsi="仿宋" w:eastAsia="仿宋" w:cs="仿宋"/>
                <w:color w:val="auto"/>
                <w:sz w:val="24"/>
                <w:szCs w:val="24"/>
                <w:highlight w:val="none"/>
              </w:rPr>
              <w:t xml:space="preserve">环温～100℃</w:t>
            </w:r>
            <w:r>
              <w:rPr>
                <w:rFonts w:hint="eastAsia" w:ascii="仿宋" w:hAnsi="仿宋" w:eastAsia="仿宋" w:cs="仿宋"/>
                <w:color w:val="auto"/>
                <w:sz w:val="24"/>
                <w:szCs w:val="24"/>
                <w:highlight w:val="none"/>
                <w:u w:val="none"/>
                <w:lang w:val="en-US" w:eastAsia="zh-CN" w:bidi="ar"/>
              </w:rPr>
              <w:t xml:space="preserve">。</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13、防水等级≥IP65。</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14、</w:t>
            </w:r>
            <w:r>
              <w:rPr>
                <w:rFonts w:hint="eastAsia" w:ascii="仿宋" w:hAnsi="仿宋" w:eastAsia="仿宋" w:cs="仿宋"/>
                <w:color w:val="auto"/>
                <w:sz w:val="24"/>
                <w:szCs w:val="24"/>
                <w:highlight w:val="none"/>
                <w:lang w:val="en-US" w:eastAsia="zh-CN"/>
              </w:rPr>
              <w:t xml:space="preserve">工作温度：-20℃～+55℃。</w:t>
            </w:r>
            <w:r>
              <w:rPr>
                <w:rFonts w:hint="eastAsia" w:ascii="仿宋" w:hAnsi="仿宋" w:eastAsia="仿宋" w:cs="仿宋"/>
                <w:color w:val="auto"/>
                <w:sz w:val="24"/>
                <w:szCs w:val="24"/>
                <w:highlight w:val="none"/>
                <w:u w:val="none"/>
                <w:lang w:val="en-US" w:eastAsia="zh-CN" w:bidi="ar"/>
              </w:rPr>
              <w:br/>
            </w:r>
            <w:r>
              <w:rPr>
                <w:rFonts w:hint="eastAsia" w:ascii="仿宋" w:hAnsi="仿宋" w:eastAsia="仿宋" w:cs="仿宋"/>
                <w:color w:val="auto"/>
                <w:sz w:val="24"/>
                <w:szCs w:val="24"/>
                <w:highlight w:val="none"/>
                <w:u w:val="none"/>
                <w:lang w:val="en-US" w:eastAsia="zh-CN" w:bidi="ar"/>
              </w:rPr>
              <w:t xml:space="preserve">15、供电方式为交流电。电压：220VAC±10%</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4"/>
                <w:highlight w:val="none"/>
              </w:rPr>
              <w:t xml:space="preserve">其他配套组件</w:t>
            </w:r>
            <w:r/>
          </w:p>
        </w:tc>
        <w:tc>
          <w:tcPr>
            <w:tcBorders>
              <w:top w:val="single" w:color="auto" w:sz="4" w:space="0"/>
              <w:left w:val="single" w:color="auto" w:sz="4" w:space="0"/>
              <w:bottom w:val="single" w:color="auto" w:sz="4" w:space="0"/>
              <w:right w:val="single" w:color="auto" w:sz="4" w:space="0"/>
            </w:tcBorders>
            <w:tcW w:w="4022" w:type="dxa"/>
            <w:vAlign w:val="top"/>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控制箱。包括但不限于漏电保护器、空气开关、工业级交换机（上/下行端口速率≥百兆；端口数量≥4个电口）、新国标插线板（≥3位5孔，插孔电流≥10A）、防盗锁、风扇、隔板、接地铜排等多个配套组件，支持挂墙、挂杆安装，自配安装配件）</w:t>
            </w:r>
            <w:r/>
          </w:p>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4"/>
                <w:highlight w:val="none"/>
              </w:rPr>
              <w:t xml:space="preserve">2、探测器：制冷机深冷，制冷温度＜80K。</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4"/>
                <w:highlight w:val="none"/>
              </w:rPr>
              <w:t xml:space="preserve">云台</w:t>
            </w:r>
            <w:r/>
          </w:p>
        </w:tc>
        <w:tc>
          <w:tcPr>
            <w:tcBorders>
              <w:top w:val="single" w:color="auto" w:sz="4" w:space="0"/>
              <w:left w:val="single" w:color="auto" w:sz="4" w:space="0"/>
              <w:bottom w:val="single" w:color="auto" w:sz="4" w:space="0"/>
              <w:right w:val="single" w:color="auto" w:sz="4" w:space="0"/>
            </w:tcBorders>
            <w:tcW w:w="4022" w:type="dxa"/>
            <w:vAlign w:val="top"/>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1、云台检测范围：水平0～360°连续旋转，俯仰-30°~+45°大范围扫描。</w:t>
            </w:r>
            <w:r/>
          </w:p>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4"/>
                <w:highlight w:val="none"/>
              </w:rPr>
              <w:t xml:space="preserve">2、速率水平0.01°~20°/s，俯仰0.01°~10°/s。</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4"/>
                <w:highlight w:val="none"/>
              </w:rPr>
              <w:t xml:space="preserve">配套软件</w:t>
            </w:r>
            <w:r/>
          </w:p>
        </w:tc>
        <w:tc>
          <w:tcPr>
            <w:tcBorders>
              <w:top w:val="single" w:color="auto" w:sz="4" w:space="0"/>
              <w:left w:val="single" w:color="auto" w:sz="4" w:space="0"/>
              <w:bottom w:val="single" w:color="auto" w:sz="4" w:space="0"/>
              <w:right w:val="single" w:color="auto" w:sz="4" w:space="0"/>
            </w:tcBorders>
            <w:tcW w:w="4022" w:type="dxa"/>
            <w:vAlign w:val="top"/>
            <w:textDirection w:val="lrTb"/>
            <w:noWrap w:val="false"/>
          </w:tcPr>
          <w:p>
            <w:pP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rPr>
              <w:t xml:space="preserve">配套设备控制软件和远程信息传输分析软件</w:t>
            </w:r>
            <w:r>
              <w:rPr>
                <w:rFonts w:hint="eastAsia" w:ascii="仿宋" w:hAnsi="仿宋" w:eastAsia="仿宋" w:cs="仿宋"/>
                <w:color w:val="auto"/>
                <w:sz w:val="24"/>
                <w:highlight w:val="none"/>
                <w:shd w:val="clear" w:color="auto" w:fill="ffffff"/>
              </w:rPr>
              <w:t xml:space="preserve">，可生成实时浓度数据、报警记录、气体分布云图图像、扫描日志、设备状态信息等；</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自动保护：系统应具有仪器基本参数贮存，断电自动保护与来电自动恢复功能。</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分析软件：分析软件具备化学气体红外成像及气体云团动态扩散效果展示，多种类气体同时快速识别，可实现泄漏源的精确定位，超标气体的预警，化学气体浓度半定量计算，形成化学气体红外光谱特征数据库，可根据现场情况预设多种监测方案；</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数据分析：含定性、定量分析。基于化学计量学算法，根据红外光谱，定性鉴别、定量分析目标区域的多种气体浓度分布；基于深度神经网络算法，自动扣除水峰和二氧化碳干扰，干扰抑制效果达90%以上；</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监测模式：系统应可选择连续监测、定次监测、定时监测、远程触发监测或人工手动监测模式；</w:t>
            </w:r>
            <w:r/>
          </w:p>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4"/>
                <w:highlight w:val="none"/>
              </w:rPr>
              <w:t xml:space="preserve">可远程控制在线分析系统，设置仪器的工作状态，调整分析方案、仪器工作状态等参数，必要时能提醒配件需更换。</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4"/>
                <w:highlight w:val="none"/>
              </w:rPr>
              <w:t xml:space="preserve">辅材</w:t>
            </w:r>
            <w:r/>
          </w:p>
        </w:tc>
        <w:tc>
          <w:tcPr>
            <w:tcBorders>
              <w:top w:val="single" w:color="auto" w:sz="4" w:space="0"/>
              <w:left w:val="single" w:color="auto" w:sz="4" w:space="0"/>
              <w:bottom w:val="single" w:color="auto" w:sz="4" w:space="0"/>
              <w:right w:val="single" w:color="auto" w:sz="4" w:space="0"/>
            </w:tcBorders>
            <w:tcW w:w="4022"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4"/>
                <w:highlight w:val="none"/>
              </w:rPr>
              <w:t xml:space="preserve">支架、线缆、光缆等，100M网络专线</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4"/>
                <w:highlight w:val="none"/>
              </w:rPr>
              <w:t xml:space="preserve">避雷装置</w:t>
            </w:r>
            <w:r/>
          </w:p>
        </w:tc>
        <w:tc>
          <w:tcPr>
            <w:tcBorders>
              <w:top w:val="single" w:color="auto" w:sz="4" w:space="0"/>
              <w:left w:val="single" w:color="auto" w:sz="4" w:space="0"/>
              <w:bottom w:val="single" w:color="auto" w:sz="4" w:space="0"/>
              <w:right w:val="single" w:color="auto" w:sz="4" w:space="0"/>
            </w:tcBorders>
            <w:tcW w:w="4022" w:type="dxa"/>
            <w:vAlign w:val="top"/>
            <w:textDirection w:val="lrTb"/>
            <w:noWrap w:val="false"/>
          </w:tcPr>
          <w:p>
            <w:pPr>
              <w:jc w:val="left"/>
              <w:widowControl/>
              <w:rPr>
                <w:rFonts w:hint="eastAsia" w:ascii="仿宋" w:hAnsi="仿宋" w:eastAsia="仿宋" w:cs="仿宋"/>
                <w:color w:val="auto"/>
                <w:sz w:val="21"/>
                <w:szCs w:val="24"/>
                <w:highlight w:val="none"/>
              </w:rPr>
            </w:pPr>
            <w:r>
              <w:rPr>
                <w:rFonts w:hint="eastAsia" w:ascii="仿宋" w:hAnsi="仿宋" w:eastAsia="仿宋" w:cs="仿宋"/>
                <w:color w:val="auto"/>
                <w:sz w:val="24"/>
                <w:highlight w:val="none"/>
              </w:rPr>
              <w:t xml:space="preserve">防雷器（保护对象：网络信号+电源）防电磁干扰。</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r>
      <w:tr>
        <w:trPr>
          <w:trHeight w:val="23"/>
        </w:trPr>
        <w:tc>
          <w:tcPr>
            <w:tcBorders>
              <w:top w:val="single" w:color="auto" w:sz="4" w:space="0"/>
              <w:left w:val="single" w:color="auto" w:sz="4" w:space="0"/>
              <w:bottom w:val="single" w:color="auto" w:sz="4" w:space="0"/>
              <w:right w:val="single" w:color="auto" w:sz="4" w:space="0"/>
            </w:tcBorders>
            <w:tcW w:w="569"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212"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4"/>
                <w:highlight w:val="none"/>
              </w:rPr>
              <w:t xml:space="preserve">单点式气体传感器</w:t>
            </w:r>
            <w:r/>
          </w:p>
        </w:tc>
        <w:tc>
          <w:tcPr>
            <w:tcBorders>
              <w:top w:val="single" w:color="auto" w:sz="4" w:space="0"/>
              <w:left w:val="single" w:color="auto" w:sz="4" w:space="0"/>
              <w:bottom w:val="single" w:color="auto" w:sz="4" w:space="0"/>
              <w:right w:val="single" w:color="auto" w:sz="4" w:space="0"/>
            </w:tcBorders>
            <w:tcW w:w="4022"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4"/>
                <w:highlight w:val="none"/>
              </w:rPr>
              <w:t xml:space="preserve">探测Cl</w:t>
            </w:r>
            <w:r>
              <w:rPr>
                <w:rFonts w:hint="eastAsia" w:ascii="仿宋" w:hAnsi="仿宋" w:eastAsia="仿宋" w:cs="仿宋"/>
                <w:color w:val="auto"/>
                <w:sz w:val="24"/>
                <w:highlight w:val="none"/>
                <w:vertAlign w:val="subscript"/>
              </w:rPr>
              <w:t xml:space="preserve">2</w:t>
            </w:r>
            <w:r>
              <w:rPr>
                <w:rFonts w:hint="eastAsia" w:ascii="仿宋" w:hAnsi="仿宋" w:eastAsia="仿宋" w:cs="仿宋"/>
                <w:color w:val="auto"/>
                <w:sz w:val="24"/>
                <w:highlight w:val="none"/>
              </w:rPr>
              <w:t xml:space="preserve">及其他红外光谱仪探测不到的气体</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1061"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1"/>
                <w:szCs w:val="24"/>
                <w:highlight w:val="none"/>
              </w:rPr>
              <w:suppressLineNumbers w:val="0"/>
            </w:pPr>
            <w:r>
              <w:rPr>
                <w:rFonts w:hint="eastAsia" w:ascii="仿宋" w:hAnsi="仿宋" w:eastAsia="仿宋" w:cs="仿宋"/>
                <w:color w:val="auto"/>
                <w:sz w:val="21"/>
                <w:szCs w:val="24"/>
                <w:highlight w:val="none"/>
              </w:rPr>
            </w:r>
            <w:r/>
          </w:p>
        </w:tc>
      </w:tr>
    </w:tbl>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（三）商务部分正负偏离表</w:t>
      </w:r>
      <w:r/>
    </w:p>
    <w:p>
      <w:pPr>
        <w:jc w:val="center"/>
        <w:rPr>
          <w:rFonts w:ascii="微软雅黑" w:hAnsi="宋体" w:eastAsia="微软雅黑"/>
          <w:color w:val="auto"/>
          <w:sz w:val="32"/>
          <w:szCs w:val="32"/>
          <w:highlight w:val="none"/>
        </w:rPr>
      </w:pPr>
      <w:r>
        <w:rPr>
          <w:rFonts w:hint="eastAsia" w:ascii="微软雅黑" w:hAnsi="宋体" w:eastAsia="微软雅黑"/>
          <w:color w:val="auto"/>
          <w:sz w:val="32"/>
          <w:szCs w:val="32"/>
          <w:highlight w:val="none"/>
        </w:rPr>
        <w:t xml:space="preserve">商务部分正负偏离表</w:t>
      </w:r>
      <w:r/>
    </w:p>
    <w:tbl>
      <w:tblPr>
        <w:tblStyle w:val="787"/>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1"/>
        <w:gridCol w:w="1096"/>
        <w:gridCol w:w="4348"/>
        <w:gridCol w:w="1167"/>
        <w:gridCol w:w="1366"/>
        <w:gridCol w:w="718"/>
      </w:tblGrid>
      <w:tr>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商务</w:t>
            </w:r>
            <w:r/>
          </w:p>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条款</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交货</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期限</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合同签订后</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0日内完成供货、安装、调试、联网。</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jc w:val="lef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1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地 点</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left"/>
              <w:rPr>
                <w:rFonts w:ascii="仿宋" w:hAnsi="仿宋" w:eastAsia="仿宋" w:cs="仿宋"/>
                <w:color w:val="auto"/>
                <w:sz w:val="24"/>
                <w:highlight w:val="none"/>
              </w:rPr>
            </w:pPr>
            <w:r>
              <w:rPr>
                <w:rFonts w:hint="eastAsia" w:ascii="仿宋" w:hAnsi="仿宋" w:eastAsia="仿宋"/>
                <w:color w:val="auto"/>
                <w:sz w:val="24"/>
                <w:highlight w:val="none"/>
              </w:rPr>
              <w:t xml:space="preserve">如皋市长江镇如皋港化工新材料产业园</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jc w:val="lef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1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标准</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满足第三章“项目需求”四、质量标准</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left="43"/>
              <w:jc w:val="lef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18"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验收</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标准</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采购人根据国家有关规定、磋商文件、响应文件以及合同约定的内容组织验收，具体验收办法详见《江苏省政府采购履约验收管理办法》。</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left="43"/>
              <w:jc w:val="lef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18"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付款</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方式</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供应商完成供货安装调试运行正常一个月后，采购人组织相关专家进行初步验收，验收合格后支付合同款项的50%；完成省级相关部门组织的安全复核，履约验收合格后支付合同款项余款。每次</w:t>
            </w:r>
            <w:r>
              <w:rPr>
                <w:rFonts w:hint="eastAsia" w:ascii="仿宋" w:hAnsi="仿宋" w:eastAsia="仿宋" w:cs="仿宋"/>
                <w:color w:val="auto"/>
                <w:sz w:val="24"/>
                <w:highlight w:val="none"/>
                <w:lang w:val="zh-CN"/>
              </w:rPr>
              <w:t xml:space="preserve">支付前，成交人均应出具在税务部门开具的正式税票。</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left="43"/>
              <w:jc w:val="lef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18"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805"/>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运维</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自项目达到采购人服务要求（通过省级安全复核）起</w:t>
            </w:r>
            <w:r>
              <w:rPr>
                <w:rFonts w:hint="eastAsia" w:ascii="仿宋" w:hAnsi="仿宋" w:eastAsia="仿宋" w:cs="仿宋"/>
                <w:color w:val="auto"/>
                <w:sz w:val="24"/>
                <w:highlight w:val="none"/>
                <w:lang w:val="en-US" w:eastAsia="zh-CN"/>
              </w:rPr>
              <w:t xml:space="preserve">不少于</w:t>
            </w:r>
            <w:r>
              <w:rPr>
                <w:rFonts w:hint="eastAsia" w:ascii="仿宋" w:hAnsi="仿宋" w:eastAsia="仿宋" w:cs="仿宋"/>
                <w:color w:val="auto"/>
                <w:sz w:val="24"/>
                <w:highlight w:val="none"/>
              </w:rPr>
              <w:t xml:space="preserve">3年免费运维</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left="43"/>
              <w:jc w:val="lef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18"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805"/>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本项目为总价报价。响应报价应包含与设备购买、安装、调试、运维的相关所有含税费用（含铁塔租赁费、登高意外保险费、网费、电费等）、人工费、差旅费、伙食费、住宿费、设备费、管理费</w:t>
            </w:r>
            <w:r>
              <w:rPr>
                <w:rFonts w:hint="eastAsia" w:ascii="仿宋" w:hAnsi="仿宋" w:eastAsia="仿宋" w:cs="仿宋"/>
                <w:color w:val="auto"/>
                <w:sz w:val="24"/>
                <w:highlight w:val="none"/>
              </w:rPr>
              <w:t xml:space="preserve">、利润、税金等全部费用，结合本项目实际情况并综合考虑与服务成果相关的踏勘、会议、评审、咨询、验收、资料收集装订、政策性文件规定及合同包含的所有风险、责任等所有费用。成交后不允许擅自改变服务内容、质量标准、期限与追加项目预算。凡供应商在报价中未列明但又为本次采购所必备的项目或遗漏项目，采购人将一律视为已包括在其报价中，在合同执行中将不予考虑。响应供应商应对竞争性磋商文件内的全部内容进行报价，竞争性磋商文件未列明，而供应商认为其他必需的费用也需列入报价。在合同实施时，采购方将不予支付成交供应商任何其他增项费用。</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left="43"/>
              <w:jc w:val="lef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18"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71" w:type="dxa"/>
            <w:vAlign w:val="center"/>
            <w:textDirection w:val="lrTb"/>
            <w:noWrap w:val="false"/>
          </w:tcPr>
          <w:p>
            <w:pPr>
              <w:ind w:firstLine="24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tcBorders>
              <w:top w:val="single" w:color="auto" w:sz="4" w:space="0"/>
              <w:left w:val="single" w:color="auto" w:sz="4" w:space="0"/>
              <w:right w:val="single" w:color="auto" w:sz="4" w:space="0"/>
            </w:tcBorders>
            <w:tcW w:w="1096"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w:t>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4349"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1.运维期内须12~20个月更换制冷机1次，其他配件按照使用需求在3个日历天内及时更换。</w:t>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2.如3年内如遇安评报告变更或上级安全检查提出新的要求，成交供应商需无条件配合调整红外设备位置、探测距离、云台探测角度、探测速率等参数；因新项目入驻，而红外覆盖不够精准需另行购买单点式气体探测仪的，成交供应商需无条件购入单点式气体探测仪并联网到园区智慧平台。3.成交供应商未按本采购项目的规定和服务承诺提供服务的，应按合同总价款的3%向采购方承担违约责任，且采购人有权向财政监管部门汇报。</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ind w:left="43"/>
              <w:jc w:val="lef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718" w:type="dxa"/>
            <w:textDirection w:val="lrTb"/>
            <w:noWrap w:val="false"/>
          </w:tcPr>
          <w:p>
            <w:pPr>
              <w:ind w:left="43"/>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olor w:val="auto"/>
          <w:szCs w:val="21"/>
          <w:highlight w:val="none"/>
        </w:rPr>
      </w:pPr>
      <w:r>
        <w:rPr>
          <w:rFonts w:hint="eastAsia" w:ascii="仿宋" w:hAnsi="仿宋" w:eastAsia="仿宋"/>
          <w:color w:val="auto"/>
          <w:szCs w:val="21"/>
          <w:highlight w:val="none"/>
        </w:rPr>
        <w:t xml:space="preserve">注：按照竞争性磋商文件要求详细填列，可增减行。</w:t>
      </w:r>
      <w:r/>
    </w:p>
    <w:p>
      <w:pPr>
        <w:rPr>
          <w:rFonts w:ascii="仿宋" w:hAnsi="仿宋" w:eastAsia="仿宋"/>
          <w:color w:val="auto"/>
          <w:sz w:val="24"/>
          <w:highlight w:val="none"/>
        </w:rPr>
      </w:pPr>
      <w:r>
        <w:rPr>
          <w:rFonts w:ascii="仿宋" w:hAnsi="仿宋" w:eastAsia="仿宋"/>
          <w:color w:val="auto"/>
          <w:sz w:val="24"/>
          <w:highlight w:val="none"/>
        </w:rPr>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（四）竞争性磋商文件规定提交的其他材料（如有）</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rPr>
          <w:rFonts w:ascii="黑体" w:hAnsi="黑体" w:eastAsia="黑体"/>
          <w:bCs/>
          <w:color w:val="auto"/>
          <w:sz w:val="28"/>
          <w:szCs w:val="28"/>
          <w:highlight w:val="none"/>
        </w:rPr>
        <w:outlineLvl w:val="1"/>
      </w:pPr>
      <w:r/>
      <w:bookmarkStart w:id="83" w:name="_Toc32511"/>
      <w:r>
        <w:rPr>
          <w:rFonts w:hint="eastAsia" w:ascii="黑体" w:hAnsi="黑体" w:eastAsia="黑体"/>
          <w:color w:val="auto"/>
          <w:sz w:val="28"/>
          <w:szCs w:val="28"/>
          <w:highlight w:val="none"/>
        </w:rPr>
        <w:t xml:space="preserve">三、报价文件</w:t>
      </w:r>
      <w:bookmarkEnd w:id="83"/>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（一）竞争性磋商响应报价表</w:t>
      </w:r>
      <w:r/>
    </w:p>
    <w:p>
      <w:pPr>
        <w:ind w:firstLine="3040"/>
        <w:rPr>
          <w:rFonts w:ascii="微软雅黑" w:hAnsi="宋体" w:eastAsia="微软雅黑"/>
          <w:color w:val="auto"/>
          <w:sz w:val="32"/>
          <w:szCs w:val="32"/>
          <w:highlight w:val="none"/>
        </w:rPr>
      </w:pPr>
      <w:r>
        <w:rPr>
          <w:rFonts w:hint="eastAsia" w:ascii="微软雅黑" w:hAnsi="宋体" w:eastAsia="微软雅黑"/>
          <w:color w:val="auto"/>
          <w:sz w:val="32"/>
          <w:szCs w:val="32"/>
          <w:highlight w:val="none"/>
        </w:rPr>
        <w:t xml:space="preserve">竞争性磋商响应报价表</w:t>
      </w:r>
      <w:r/>
    </w:p>
    <w:tbl>
      <w:tblPr>
        <w:tblStyle w:val="787"/>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竞争性磋商响应报价（元）</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color w:val="auto"/>
                <w:szCs w:val="21"/>
                <w:highlight w:val="none"/>
              </w:rPr>
            </w:pPr>
            <w:r>
              <w:rPr>
                <w:rFonts w:ascii="仿宋" w:hAnsi="仿宋" w:eastAsia="仿宋" w:cs="宋体"/>
                <w:color w:val="auto"/>
                <w:szCs w:val="21"/>
                <w:highlight w:val="none"/>
              </w:rPr>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（二）竞争性磋商响应报价明细表</w:t>
      </w:r>
      <w:r/>
    </w:p>
    <w:p>
      <w:pPr>
        <w:ind w:firstLine="3040"/>
        <w:rPr>
          <w:rFonts w:ascii="宋体" w:hAnsi="宋体"/>
          <w:color w:val="auto"/>
          <w:sz w:val="24"/>
          <w:highlight w:val="none"/>
        </w:rPr>
      </w:pPr>
      <w:r>
        <w:rPr>
          <w:rFonts w:hint="eastAsia" w:ascii="微软雅黑" w:hAnsi="宋体" w:eastAsia="微软雅黑"/>
          <w:color w:val="auto"/>
          <w:sz w:val="32"/>
          <w:szCs w:val="32"/>
          <w:highlight w:val="none"/>
        </w:rPr>
        <w:t xml:space="preserve">竞争性磋商响应报价明细表</w:t>
      </w:r>
      <w:r/>
    </w:p>
    <w:p>
      <w:pPr>
        <w:rPr>
          <w:rFonts w:ascii="宋体" w:hAnsi="宋体"/>
          <w:color w:val="auto"/>
          <w:highlight w:val="none"/>
        </w:rPr>
      </w:pPr>
      <w:r>
        <w:rPr>
          <w:rFonts w:ascii="宋体" w:hAnsi="宋体"/>
          <w:color w:val="auto"/>
          <w:highlight w:val="none"/>
        </w:rPr>
      </w:r>
      <w:r/>
    </w:p>
    <w:p>
      <w:pPr>
        <w:rPr>
          <w:rFonts w:ascii="仿宋" w:hAnsi="仿宋" w:eastAsia="仿宋"/>
          <w:color w:val="auto"/>
          <w:sz w:val="24"/>
          <w:highlight w:val="none"/>
        </w:rPr>
      </w:pPr>
      <w:r>
        <w:rPr>
          <w:rFonts w:hint="eastAsia" w:ascii="仿宋" w:hAnsi="仿宋" w:eastAsia="仿宋"/>
          <w:color w:val="auto"/>
          <w:sz w:val="24"/>
          <w:highlight w:val="none"/>
        </w:rPr>
        <w:t xml:space="preserve">项目名称： </w:t>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项目编号：                                      分包号：     </w:t>
      </w:r>
      <w:r/>
    </w:p>
    <w:p>
      <w:pPr>
        <w:rPr>
          <w:rFonts w:hint="eastAsia" w:ascii="仿宋" w:hAnsi="仿宋" w:eastAsia="仿宋"/>
          <w:color w:val="auto"/>
          <w:sz w:val="24"/>
          <w:highlight w:val="none"/>
        </w:rPr>
      </w:pPr>
      <w:r>
        <w:rPr>
          <w:rFonts w:hint="eastAsia" w:ascii="仿宋" w:hAnsi="仿宋" w:eastAsia="仿宋"/>
          <w:color w:val="auto"/>
          <w:sz w:val="24"/>
          <w:highlight w:val="none"/>
        </w:rPr>
      </w:r>
      <w:r/>
    </w:p>
    <w:tbl>
      <w:tblPr>
        <w:tblStyle w:val="78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769"/>
        <w:gridCol w:w="1050"/>
        <w:gridCol w:w="1140"/>
        <w:gridCol w:w="1440"/>
        <w:gridCol w:w="570"/>
        <w:gridCol w:w="596"/>
        <w:gridCol w:w="1146"/>
        <w:gridCol w:w="1019"/>
      </w:tblGrid>
      <w:tr>
        <w:trPr>
          <w:cantSplit/>
          <w:trHeight w:val="908"/>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品牌和型号</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单项</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cantSplit/>
          <w:trHeight w:val="608"/>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09"/>
        </w:trPr>
        <w:tc>
          <w:tcPr>
            <w:gridSpan w:val="7"/>
            <w:tcBorders>
              <w:top w:val="single" w:color="auto" w:sz="4" w:space="0"/>
              <w:left w:val="single" w:color="auto" w:sz="4" w:space="0"/>
              <w:bottom w:val="single" w:color="auto" w:sz="4" w:space="0"/>
              <w:right w:val="single" w:color="auto" w:sz="4" w:space="0"/>
            </w:tcBorders>
            <w:tcW w:w="7399"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总 计：大写              小写：</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rPr>
          <w:rFonts w:hint="eastAsia" w:ascii="仿宋" w:hAnsi="仿宋" w:eastAsia="仿宋"/>
          <w:color w:val="auto"/>
          <w:sz w:val="24"/>
          <w:highlight w:val="none"/>
        </w:rPr>
      </w:pPr>
      <w:r>
        <w:rPr>
          <w:rFonts w:hint="eastAsia" w:ascii="仿宋" w:hAnsi="仿宋" w:eastAsia="仿宋"/>
          <w:color w:val="auto"/>
          <w:sz w:val="24"/>
          <w:highlight w:val="none"/>
        </w:rPr>
      </w:r>
      <w:r/>
    </w:p>
    <w:p>
      <w:pPr>
        <w:rPr>
          <w:rFonts w:hint="eastAsia" w:ascii="仿宋" w:hAnsi="仿宋" w:eastAsia="仿宋"/>
          <w:color w:val="auto"/>
          <w:szCs w:val="21"/>
          <w:highlight w:val="none"/>
        </w:rPr>
      </w:pPr>
      <w:r>
        <w:rPr>
          <w:rFonts w:hint="eastAsia" w:ascii="仿宋" w:hAnsi="仿宋" w:eastAsia="仿宋"/>
          <w:color w:val="auto"/>
          <w:szCs w:val="21"/>
          <w:highlight w:val="none"/>
        </w:rPr>
      </w:r>
      <w:r/>
    </w:p>
    <w:p>
      <w:pPr>
        <w:rPr>
          <w:rFonts w:hint="eastAsia" w:ascii="仿宋" w:hAnsi="仿宋" w:eastAsia="仿宋"/>
          <w:b/>
          <w:color w:val="auto"/>
          <w:szCs w:val="21"/>
          <w:highlight w:val="none"/>
        </w:rPr>
      </w:pPr>
      <w:r>
        <w:rPr>
          <w:rFonts w:hint="eastAsia" w:ascii="仿宋" w:hAnsi="仿宋" w:eastAsia="仿宋"/>
          <w:color w:val="auto"/>
          <w:szCs w:val="21"/>
          <w:highlight w:val="none"/>
        </w:rPr>
        <w:t xml:space="preserve">注：</w:t>
      </w:r>
      <w:r/>
    </w:p>
    <w:p>
      <w:pPr>
        <w:rPr>
          <w:rFonts w:hint="eastAsia" w:ascii="仿宋" w:hAnsi="仿宋" w:eastAsia="仿宋"/>
          <w:color w:val="auto"/>
          <w:szCs w:val="21"/>
          <w:highlight w:val="none"/>
        </w:rPr>
      </w:pPr>
      <w:r>
        <w:rPr>
          <w:rFonts w:hint="eastAsia" w:ascii="仿宋" w:hAnsi="仿宋" w:eastAsia="仿宋"/>
          <w:color w:val="auto"/>
          <w:szCs w:val="21"/>
          <w:highlight w:val="none"/>
        </w:rPr>
        <w:t xml:space="preserve">1.此表可以根据需要自行增减行数。</w:t>
      </w:r>
      <w:r/>
    </w:p>
    <w:p>
      <w:pPr>
        <w:rPr>
          <w:rFonts w:hint="eastAsia" w:ascii="仿宋" w:hAnsi="仿宋" w:eastAsia="仿宋"/>
          <w:color w:val="auto"/>
          <w:szCs w:val="21"/>
          <w:highlight w:val="none"/>
        </w:rPr>
      </w:pPr>
      <w:r>
        <w:rPr>
          <w:rFonts w:hint="eastAsia" w:ascii="仿宋" w:hAnsi="仿宋" w:eastAsia="仿宋"/>
          <w:color w:val="auto"/>
          <w:szCs w:val="21"/>
          <w:highlight w:val="none"/>
        </w:rPr>
        <w:t xml:space="preserve">2、项目如有分包，请各投标人按投报的分包分别列表。</w:t>
      </w:r>
      <w:r/>
    </w:p>
    <w:p>
      <w:pPr>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（三）</w:t>
      </w:r>
      <w:r>
        <w:rPr>
          <w:rFonts w:hint="eastAsia" w:ascii="仿宋" w:hAnsi="仿宋" w:eastAsia="仿宋" w:cs="Arial"/>
          <w:color w:val="auto"/>
          <w:sz w:val="28"/>
          <w:szCs w:val="28"/>
          <w:highlight w:val="none"/>
        </w:rPr>
        <w:t xml:space="preserve">残疾人福利性单位声明函</w:t>
      </w:r>
      <w:r/>
    </w:p>
    <w:p>
      <w:pPr>
        <w:ind w:left="420"/>
        <w:spacing w:line="500" w:lineRule="exact"/>
        <w:rPr>
          <w:rFonts w:ascii="仿宋" w:hAnsi="仿宋" w:eastAsia="仿宋" w:cs="Arial"/>
          <w:color w:val="auto"/>
          <w:sz w:val="28"/>
          <w:szCs w:val="28"/>
          <w:highlight w:val="none"/>
        </w:rPr>
      </w:pPr>
      <w:r>
        <w:rPr>
          <w:rFonts w:ascii="仿宋" w:hAnsi="仿宋" w:eastAsia="仿宋" w:cs="Arial"/>
          <w:color w:val="auto"/>
          <w:sz w:val="28"/>
          <w:szCs w:val="28"/>
          <w:highlight w:val="none"/>
        </w:rPr>
      </w:r>
      <w:r/>
    </w:p>
    <w:p>
      <w:pPr>
        <w:jc w:val="center"/>
        <w:rPr>
          <w:rFonts w:ascii="微软雅黑" w:hAnsi="Times New Roman" w:eastAsia="微软雅黑"/>
          <w:i/>
          <w:color w:val="auto"/>
          <w:sz w:val="36"/>
          <w:szCs w:val="36"/>
          <w:highlight w:val="none"/>
        </w:rPr>
      </w:pPr>
      <w:r>
        <w:rPr>
          <w:rFonts w:hint="eastAsia" w:ascii="微软雅黑" w:hAnsi="Times New Roman" w:eastAsia="微软雅黑"/>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rPr>
        <w:t xml:space="preserve">如皋市长江镇人民政府</w:t>
      </w:r>
      <w:r>
        <w:rPr>
          <w:rFonts w:hint="eastAsia" w:ascii="仿宋" w:hAnsi="仿宋" w:eastAsia="仿宋"/>
          <w:color w:val="auto"/>
          <w:sz w:val="28"/>
          <w:szCs w:val="28"/>
          <w:highlight w:val="none"/>
        </w:rPr>
        <w:t xml:space="preserve">单位的项目编号为</w:t>
      </w:r>
      <w:r>
        <w:rPr>
          <w:rFonts w:hint="eastAsia" w:ascii="仿宋" w:hAnsi="仿宋" w:eastAsia="仿宋"/>
          <w:color w:val="auto"/>
          <w:sz w:val="28"/>
          <w:szCs w:val="28"/>
          <w:highlight w:val="none"/>
          <w:u w:val="single"/>
          <w:lang w:eastAsia="zh-CN"/>
        </w:rPr>
        <w:t xml:space="preserve">JSZC-320682-JSHS-C2026-0017</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如皋港化工新材料产业园远程探测在线监测预警系统采购项目</w:t>
      </w:r>
      <w:r>
        <w:rPr>
          <w:rFonts w:hint="eastAsia" w:ascii="仿宋" w:hAnsi="仿宋" w:eastAsia="仿宋"/>
          <w:color w:val="auto"/>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注意：成交供应商提供的《中小企业声明函》、《残疾人福利性单位声明函》将随成交结果同时公告，接受社会监督。</w:t>
      </w:r>
      <w:r/>
    </w:p>
    <w:p>
      <w:pPr>
        <w:rPr>
          <w:rFonts w:ascii="仿宋" w:hAnsi="仿宋" w:eastAsia="仿宋"/>
          <w:b/>
          <w:color w:val="auto"/>
          <w:sz w:val="28"/>
          <w:szCs w:val="28"/>
          <w:highlight w:val="none"/>
        </w:rPr>
      </w:pPr>
      <w:r>
        <w:rPr>
          <w:rFonts w:ascii="仿宋" w:hAnsi="仿宋" w:eastAsia="仿宋"/>
          <w:b/>
          <w:color w:val="auto"/>
          <w:sz w:val="28"/>
          <w:szCs w:val="28"/>
          <w:highlight w:val="none"/>
        </w:rPr>
        <w:br w:type="page" w:clear="all"/>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w:t>
      </w:r>
      <w:r>
        <w:rPr>
          <w:rFonts w:ascii="仿宋" w:hAnsi="仿宋" w:eastAsia="仿宋"/>
          <w:bCs/>
          <w:color w:val="auto"/>
          <w:sz w:val="28"/>
          <w:szCs w:val="28"/>
          <w:highlight w:val="none"/>
        </w:rPr>
        <w:t xml:space="preserve">关于符合本国产品标准的声明函</w:t>
      </w:r>
      <w:r/>
    </w:p>
    <w:p>
      <w:pPr>
        <w:jc w:val="center"/>
        <w:rPr>
          <w:rFonts w:hint="eastAsia" w:ascii="微软雅黑" w:hAnsi="Times New Roman" w:eastAsia="微软雅黑"/>
          <w:color w:val="auto"/>
          <w:sz w:val="36"/>
          <w:szCs w:val="36"/>
          <w:highlight w:val="none"/>
        </w:rPr>
      </w:pPr>
      <w:r>
        <w:rPr>
          <w:rFonts w:hint="eastAsia" w:ascii="微软雅黑" w:hAnsi="Times New Roman" w:eastAsia="微软雅黑"/>
          <w:color w:val="auto"/>
          <w:sz w:val="36"/>
          <w:szCs w:val="36"/>
          <w:highlight w:val="none"/>
        </w:rPr>
        <w:t xml:space="preserve">关于符合本国产品标准的声明函</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b/>
          <w:bCs/>
          <w:color w:val="auto"/>
          <w:sz w:val="28"/>
          <w:szCs w:val="28"/>
          <w:highlight w:val="none"/>
          <w:u w:val="single"/>
        </w:rPr>
        <w:t xml:space="preserve">（傅里叶红外光谱仪）</w:t>
      </w:r>
      <w:r>
        <w:rPr>
          <w:rFonts w:hint="eastAsia" w:ascii="仿宋" w:hAnsi="仿宋" w:eastAsia="仿宋"/>
          <w:color w:val="auto"/>
          <w:sz w:val="28"/>
          <w:szCs w:val="28"/>
          <w:highlight w:val="none"/>
          <w:vertAlign w:val="superscript"/>
        </w:rPr>
        <w:t xml:space="preserve">1</w:t>
      </w:r>
      <w:r>
        <w:rPr>
          <w:rFonts w:hint="eastAsia" w:ascii="仿宋" w:hAnsi="仿宋" w:eastAsia="仿宋"/>
          <w:color w:val="auto"/>
          <w:sz w:val="28"/>
          <w:szCs w:val="28"/>
          <w:highlight w:val="none"/>
        </w:rPr>
        <w:t xml:space="preserve">，生产厂为（厂名）</w:t>
      </w:r>
      <w:r>
        <w:rPr>
          <w:rFonts w:hint="eastAsia" w:ascii="仿宋" w:hAnsi="仿宋" w:eastAsia="仿宋"/>
          <w:color w:val="auto"/>
          <w:sz w:val="28"/>
          <w:szCs w:val="28"/>
          <w:highlight w:val="none"/>
          <w:vertAlign w:val="superscript"/>
        </w:rPr>
        <w:t xml:space="preserve">2</w:t>
      </w:r>
      <w:r>
        <w:rPr>
          <w:rFonts w:hint="eastAsia" w:ascii="仿宋" w:hAnsi="仿宋" w:eastAsia="仿宋"/>
          <w:color w:val="auto"/>
          <w:sz w:val="28"/>
          <w:szCs w:val="28"/>
          <w:highlight w:val="none"/>
        </w:rPr>
        <w:t xml:space="preserve">，厂址为（生产厂址）。（产品名称1）的中国境内生产的组件成本占比≥（规定比例）</w:t>
      </w:r>
      <w:r>
        <w:rPr>
          <w:rFonts w:hint="eastAsia" w:ascii="仿宋" w:hAnsi="仿宋" w:eastAsia="仿宋"/>
          <w:color w:val="auto"/>
          <w:sz w:val="28"/>
          <w:szCs w:val="28"/>
          <w:highlight w:val="none"/>
          <w:vertAlign w:val="superscript"/>
        </w:rPr>
        <w:t xml:space="preserve">3</w:t>
      </w:r>
      <w:r>
        <w:rPr>
          <w:rFonts w:hint="eastAsia" w:ascii="仿宋" w:hAnsi="仿宋" w:eastAsia="仿宋"/>
          <w:color w:val="auto"/>
          <w:sz w:val="28"/>
          <w:szCs w:val="28"/>
          <w:highlight w:val="none"/>
        </w:rPr>
        <w:t xml:space="preserve">。（产品名称1）的（关键组件）</w:t>
      </w:r>
      <w:r>
        <w:rPr>
          <w:rFonts w:hint="eastAsia" w:ascii="仿宋" w:hAnsi="仿宋" w:eastAsia="仿宋"/>
          <w:color w:val="auto"/>
          <w:sz w:val="28"/>
          <w:szCs w:val="28"/>
          <w:highlight w:val="none"/>
          <w:vertAlign w:val="superscript"/>
        </w:rPr>
        <w:t xml:space="preserve">4</w:t>
      </w:r>
      <w:r>
        <w:rPr>
          <w:rFonts w:hint="eastAsia" w:ascii="仿宋" w:hAnsi="仿宋" w:eastAsia="仿宋"/>
          <w:color w:val="auto"/>
          <w:sz w:val="28"/>
          <w:szCs w:val="28"/>
          <w:highlight w:val="none"/>
        </w:rPr>
        <w:t xml:space="preserve">在中国境内生产。（产品名称1）的（关键工序）</w:t>
      </w:r>
      <w:r>
        <w:rPr>
          <w:rFonts w:hint="eastAsia" w:ascii="仿宋" w:hAnsi="仿宋" w:eastAsia="仿宋"/>
          <w:color w:val="auto"/>
          <w:sz w:val="28"/>
          <w:szCs w:val="28"/>
          <w:highlight w:val="none"/>
          <w:vertAlign w:val="superscript"/>
        </w:rPr>
        <w:t xml:space="preserve">5</w:t>
      </w:r>
      <w:r>
        <w:rPr>
          <w:rFonts w:hint="eastAsia" w:ascii="仿宋" w:hAnsi="仿宋" w:eastAsia="仿宋"/>
          <w:color w:val="auto"/>
          <w:sz w:val="28"/>
          <w:szCs w:val="28"/>
          <w:highlight w:val="none"/>
        </w:rPr>
        <w:t xml:space="preserve">在中国境内完成。</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b/>
          <w:bCs/>
          <w:color w:val="auto"/>
          <w:sz w:val="28"/>
          <w:szCs w:val="28"/>
          <w:highlight w:val="none"/>
          <w:u w:val="single"/>
        </w:rPr>
        <w:t xml:space="preserve">（其他配套组件）</w:t>
      </w:r>
      <w:r>
        <w:rPr>
          <w:rFonts w:hint="eastAsia" w:ascii="仿宋" w:hAnsi="仿宋" w:eastAsia="仿宋"/>
          <w:color w:val="auto"/>
          <w:sz w:val="28"/>
          <w:szCs w:val="28"/>
          <w:highlight w:val="none"/>
        </w:rPr>
        <w:t xml:space="preserve">，生产厂为（厂名），厂址为（生产厂址）。（产品名称2）的中国境内生产的组件成本占比≥（规定比例）。（产品名称2）的（关键组件）在中国境内生产。（产品名称2）的（关键工序）在中国境内完成。</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b/>
          <w:bCs/>
          <w:color w:val="auto"/>
          <w:sz w:val="28"/>
          <w:szCs w:val="28"/>
          <w:highlight w:val="none"/>
          <w:u w:val="single"/>
        </w:rPr>
        <w:t xml:space="preserve">.（云台）</w:t>
      </w:r>
      <w:r>
        <w:rPr>
          <w:rFonts w:hint="eastAsia" w:ascii="仿宋" w:hAnsi="仿宋" w:eastAsia="仿宋"/>
          <w:color w:val="auto"/>
          <w:sz w:val="28"/>
          <w:szCs w:val="28"/>
          <w:highlight w:val="none"/>
        </w:rPr>
        <w:t xml:space="preserve">，生产厂为（厂名），厂址为（生产厂址）。（产品名称2）的中国境内生产的组件成本占比≥（规定比例）。（产品名称2）的（关键组件）在中国境内生产。（产品名称2）的（关键工序）在中国境内完成。</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hint="eastAsia" w:ascii="仿宋" w:hAnsi="仿宋" w:eastAsia="仿宋"/>
          <w:b/>
          <w:bCs/>
          <w:color w:val="auto"/>
          <w:sz w:val="28"/>
          <w:szCs w:val="28"/>
          <w:highlight w:val="none"/>
          <w:u w:val="single"/>
        </w:rPr>
        <w:t xml:space="preserve">（配套软件）</w:t>
      </w:r>
      <w:r>
        <w:rPr>
          <w:rFonts w:hint="eastAsia" w:ascii="仿宋" w:hAnsi="仿宋" w:eastAsia="仿宋"/>
          <w:color w:val="auto"/>
          <w:sz w:val="28"/>
          <w:szCs w:val="28"/>
          <w:highlight w:val="none"/>
        </w:rPr>
        <w:t xml:space="preserve">，生产厂为（厂名），厂址为（生产厂址）。（产品名称2）的中国境内生产的组件成本占比≥（规定比例）。（产品名称2）的（关键组件）在中国境内生产。（产品名称2）的（关键工序）在中国境内完成。</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b/>
          <w:bCs/>
          <w:color w:val="auto"/>
          <w:sz w:val="28"/>
          <w:szCs w:val="28"/>
          <w:highlight w:val="none"/>
          <w:u w:val="single"/>
        </w:rPr>
        <w:t xml:space="preserve">（辅材）</w:t>
      </w:r>
      <w:r>
        <w:rPr>
          <w:rFonts w:hint="eastAsia" w:ascii="仿宋" w:hAnsi="仿宋" w:eastAsia="仿宋"/>
          <w:color w:val="auto"/>
          <w:sz w:val="28"/>
          <w:szCs w:val="28"/>
          <w:highlight w:val="none"/>
        </w:rPr>
        <w:t xml:space="preserve">，生产厂为（厂名），厂址为（生产厂址）。（产品名称2）的中国境内生产的组件成本占比≥（规定比例）。（产品名称2）的（关键组件）在中国境内生产。（产品名称2）的（关键工序）在中国境内完成。</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w:t>
      </w:r>
      <w:r>
        <w:rPr>
          <w:rFonts w:hint="eastAsia" w:ascii="仿宋" w:hAnsi="仿宋" w:eastAsia="仿宋"/>
          <w:b/>
          <w:bCs/>
          <w:color w:val="auto"/>
          <w:sz w:val="28"/>
          <w:szCs w:val="28"/>
          <w:highlight w:val="none"/>
          <w:u w:val="single"/>
        </w:rPr>
        <w:t xml:space="preserve">（避雷装置）</w:t>
      </w:r>
      <w:r>
        <w:rPr>
          <w:rFonts w:hint="eastAsia" w:ascii="仿宋" w:hAnsi="仿宋" w:eastAsia="仿宋"/>
          <w:color w:val="auto"/>
          <w:sz w:val="28"/>
          <w:szCs w:val="28"/>
          <w:highlight w:val="none"/>
        </w:rPr>
        <w:t xml:space="preserve">，生产厂为（厂名），厂址为（生产厂址）。（产品名称2）的中国境内生产的组件成本占比≥（规定比例）。（产品名称2）的（关键组件）在中国境内生产。（产品名称2）的（关键工序）在中国境内完成。</w:t>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w:t>
      </w:r>
      <w:r>
        <w:rPr>
          <w:rFonts w:hint="eastAsia" w:ascii="仿宋" w:hAnsi="仿宋" w:eastAsia="仿宋"/>
          <w:b/>
          <w:bCs/>
          <w:color w:val="auto"/>
          <w:sz w:val="28"/>
          <w:szCs w:val="28"/>
          <w:highlight w:val="none"/>
          <w:u w:val="single"/>
        </w:rPr>
        <w:t xml:space="preserve">（单点式气体传感器）</w:t>
      </w:r>
      <w:r>
        <w:rPr>
          <w:rFonts w:hint="eastAsia" w:ascii="仿宋" w:hAnsi="仿宋" w:eastAsia="仿宋"/>
          <w:color w:val="auto"/>
          <w:sz w:val="28"/>
          <w:szCs w:val="28"/>
          <w:highlight w:val="none"/>
        </w:rPr>
        <w:t xml:space="preserve">，生产厂为（厂名），厂址为（生产厂址）。（产品名称2）的中国境内生产的组件成本占比≥（规定比例）。（产品名称2）的（关键组件）在中国境内生产。（产品名称2）的（关键工序）在中国境内完成。</w:t>
      </w:r>
      <w:r/>
    </w:p>
    <w:p>
      <w:pPr>
        <w:ind w:firstLine="560"/>
        <w:spacing w:line="5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本公司（单位）对上述声明内容的真实性负责。如有虚假，愿承担相应法律责任。</w:t>
      </w:r>
      <w:r/>
    </w:p>
    <w:p>
      <w:pPr>
        <w:ind w:firstLine="560"/>
        <w:spacing w:line="540" w:lineRule="exact"/>
        <w:rPr>
          <w:rFonts w:hint="eastAsia" w:ascii="微软雅黑" w:hAnsi="微软雅黑" w:eastAsia="仿宋"/>
          <w:color w:val="auto"/>
          <w:sz w:val="28"/>
          <w:szCs w:val="28"/>
          <w:highlight w:val="none"/>
        </w:rPr>
      </w:pPr>
      <w:r>
        <w:rPr>
          <w:rFonts w:hint="eastAsia" w:ascii="微软雅黑" w:hAnsi="微软雅黑" w:eastAsia="仿宋"/>
          <w:color w:val="auto"/>
          <w:sz w:val="28"/>
          <w:szCs w:val="28"/>
          <w:highlight w:val="none"/>
        </w:rPr>
        <w:t xml:space="preserve"> </w:t>
      </w:r>
      <w:r/>
    </w:p>
    <w:p>
      <w:pPr>
        <w:ind w:firstLine="560"/>
        <w:spacing w:line="540" w:lineRule="exact"/>
        <w:rPr>
          <w:rFonts w:hint="eastAsia" w:ascii="微软雅黑" w:hAnsi="微软雅黑" w:eastAsia="仿宋"/>
          <w:color w:val="auto"/>
          <w:sz w:val="28"/>
          <w:szCs w:val="28"/>
          <w:highlight w:val="none"/>
        </w:rPr>
      </w:pPr>
      <w:r>
        <w:rPr>
          <w:rFonts w:hint="eastAsia" w:ascii="微软雅黑" w:hAnsi="微软雅黑" w:eastAsia="仿宋"/>
          <w:color w:val="auto"/>
          <w:sz w:val="28"/>
          <w:szCs w:val="28"/>
          <w:highlight w:val="none"/>
        </w:rPr>
      </w:r>
      <w:r/>
    </w:p>
    <w:p>
      <w:pPr>
        <w:ind w:firstLine="560"/>
        <w:spacing w:line="540" w:lineRule="exact"/>
        <w:rPr>
          <w:rFonts w:ascii="仿宋" w:hAnsi="仿宋" w:eastAsia="仿宋"/>
          <w:color w:val="auto"/>
          <w:sz w:val="28"/>
          <w:szCs w:val="28"/>
          <w:highlight w:val="none"/>
        </w:rPr>
      </w:pPr>
      <w:r>
        <w:rPr>
          <w:rFonts w:hint="eastAsia" w:ascii="仿宋" w:hAnsi="MS Gothic" w:eastAsia="MS Gothic" w:cs="MS Gothic"/>
          <w:color w:val="auto"/>
          <w:sz w:val="28"/>
          <w:szCs w:val="28"/>
          <w:highlight w:val="none"/>
        </w:rPr>
        <w:t xml:space="preserve">        </w:t>
      </w:r>
      <w:r>
        <w:rPr>
          <w:rFonts w:hint="eastAsia" w:ascii="仿宋" w:hAnsi="仿宋" w:eastAsia="仿宋"/>
          <w:color w:val="auto"/>
          <w:sz w:val="28"/>
          <w:szCs w:val="28"/>
          <w:highlight w:val="none"/>
        </w:rPr>
        <w:t xml:space="preserve">公司（单位）名称（盖章）：　</w:t>
      </w:r>
      <w:r/>
    </w:p>
    <w:p>
      <w:pPr>
        <w:jc w:val="center"/>
        <w:spacing w:line="540" w:lineRule="exact"/>
        <w:rPr>
          <w:rFonts w:ascii="仿宋" w:hAnsi="仿宋" w:eastAsia="仿宋"/>
          <w:color w:val="auto"/>
          <w:sz w:val="28"/>
          <w:szCs w:val="28"/>
          <w:highlight w:val="none"/>
        </w:rPr>
      </w:pPr>
      <w:r>
        <w:rPr>
          <w:rFonts w:hint="eastAsia" w:ascii="仿宋" w:hAnsi="MS Gothic" w:eastAsia="MS Gothic" w:cs="MS Gothic"/>
          <w:color w:val="auto"/>
          <w:sz w:val="28"/>
          <w:szCs w:val="28"/>
          <w:highlight w:val="none"/>
        </w:rPr>
        <w:t xml:space="preserve">       </w:t>
      </w:r>
      <w:r>
        <w:rPr>
          <w:rFonts w:hint="eastAsia" w:ascii="仿宋" w:hAnsi="仿宋" w:eastAsia="仿宋"/>
          <w:color w:val="auto"/>
          <w:sz w:val="28"/>
          <w:szCs w:val="28"/>
          <w:highlight w:val="none"/>
        </w:rPr>
        <w:t xml:space="preserve">日期：　</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4.该产品的关键组件要求实施前，“关键组件”栏可不填，下同。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5.该产品的关键工序要求实施前，“关键工序”栏可不填，下同。</w:t>
      </w:r>
      <w:r/>
    </w:p>
    <w:p>
      <w:pPr>
        <w:jc w:val="left"/>
        <w:rPr>
          <w:rFonts w:ascii="Times New Roman" w:hAnsi="Times New Roman"/>
          <w:color w:val="auto"/>
          <w:sz w:val="28"/>
          <w:szCs w:val="28"/>
          <w:highlight w:val="none"/>
        </w:rPr>
      </w:pPr>
      <w:r>
        <w:rPr>
          <w:rFonts w:ascii="Times New Roman" w:hAnsi="Times New Roman"/>
          <w:color w:val="auto"/>
          <w:sz w:val="28"/>
          <w:szCs w:val="28"/>
          <w:highlight w:val="none"/>
        </w:rPr>
      </w:r>
      <w:r/>
    </w:p>
    <w:p>
      <w:pPr>
        <w:rPr>
          <w:color w:val="auto"/>
          <w:highlight w:val="none"/>
        </w:rPr>
      </w:pPr>
      <w:r>
        <w:rPr>
          <w:color w:val="auto"/>
          <w:highlight w:val="none"/>
        </w:rPr>
      </w:r>
      <w:r/>
    </w:p>
    <w:sectPr>
      <w:footerReference w:type="default" r:id="rId13"/>
      <w:footnotePr/>
      <w:endnotePr/>
      <w:type w:val="nextPage"/>
      <w:pgSz w:w="11906" w:h="16838" w:orient="portrait"/>
      <w:pgMar w:top="1418" w:right="1134" w:bottom="1134" w:left="1418" w:header="851" w:footer="992" w:gutter="0"/>
      <w:pgNumType w:start="3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仿宋_GBK">
    <w:panose1 w:val="020B0503020202020204"/>
  </w:font>
  <w:font w:name="仿宋">
    <w:panose1 w:val="02010609060101010101"/>
  </w:font>
  <w:font w:name="等线">
    <w:panose1 w:val="02010600030101010101"/>
  </w:font>
  <w:font w:name="仿宋_GB2312">
    <w:panose1 w:val="02010609060101010101"/>
  </w:font>
  <w:font w:name="黑体">
    <w:panose1 w:val="02010609060101010101"/>
  </w:font>
  <w:font w:name="Wingdings">
    <w:panose1 w:val="05000000000000000000"/>
  </w:font>
  <w:font w:name="方正小标宋简体">
    <w:panose1 w:val="020B0503020202020204"/>
  </w:font>
  <w:font w:name="Courier New">
    <w:panose1 w:val="02070309020205020404"/>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文鼎CS楷体">
    <w:panose1 w:val="020B05030202020202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-76200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6.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framePr w:wrap="around" w:vAnchor="text" w:hAnchor="margin" w:xAlign="center" w:y="1"/>
    </w:pPr>
    <w:r>
      <w:rPr>
        <w:rFonts w:ascii="Times New Roman" w:hAnsi="Times New Roman"/>
        <w:sz w:val="18"/>
        <w:szCs w:val="18"/>
      </w:rPr>
      <w:fldChar w:fldCharType="begin"/>
    </w:r>
    <w:r>
      <w:rPr>
        <w:rFonts w:ascii="Times New Roman" w:hAnsi="Times New Roman"/>
      </w:rPr>
      <w:instrText xml:space="preserve">PAGE  </w:instrText>
    </w:r>
    <w:r>
      <w:rPr>
        <w:rFonts w:ascii="Times New Roman" w:hAnsi="Times New Roman"/>
        <w:sz w:val="18"/>
        <w:szCs w:val="18"/>
      </w:rPr>
      <w:fldChar w:fldCharType="end"/>
    </w:r>
    <w:r/>
  </w:p>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center"/>
      <w:tabs>
        <w:tab w:val="right" w:pos="8306" w:leader="none"/>
      </w:tabs>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-76200</wp:posOffset>
              </wp:positionV>
              <wp:extent cx="580390" cy="54229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580390" cy="5422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6.0pt;mso-position-vertical:absolute;width:45.7pt;height:42.7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-76200</wp:posOffset>
              </wp:positionV>
              <wp:extent cx="758190" cy="72644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758190" cy="726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6.0pt;mso-position-vertical:absolute;width:59.7pt;height:57.2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sz w:val="18"/>
        <w:szCs w:val="18"/>
      </w:rPr>
      <w:pBdr>
        <w:bottom w:val="single" w:color="auto" w:sz="6" w:space="1"/>
      </w:pBdr>
    </w:pPr>
    <w:r>
      <w:rPr>
        <w:rFonts w:hint="eastAsia" w:ascii="Times New Roman" w:hAnsi="Times New Roman"/>
        <w:sz w:val="18"/>
        <w:szCs w:val="18"/>
      </w:rPr>
      <w:t xml:space="preserve">如</w:t>
    </w:r>
    <w:r>
      <w:rPr>
        <w:rFonts w:ascii="Times New Roman" w:hAnsi="Times New Roman"/>
        <w:sz w:val="18"/>
        <w:szCs w:val="18"/>
      </w:rPr>
      <w:t xml:space="preserve">皋市政府采购</w:t>
    </w:r>
    <w:r>
      <w:rPr>
        <w:rFonts w:hint="eastAsia" w:ascii="Times New Roman" w:hAnsi="Times New Roman"/>
        <w:sz w:val="18"/>
        <w:szCs w:val="18"/>
      </w:rPr>
      <w:t xml:space="preserve">竞争性磋商</w:t>
    </w:r>
    <w:r>
      <w:rPr>
        <w:rFonts w:ascii="Times New Roman" w:hAnsi="Times New Roman"/>
        <w:sz w:val="18"/>
        <w:szCs w:val="18"/>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77">
    <w:name w:val="Heading 1"/>
    <w:basedOn w:val="776"/>
    <w:next w:val="776"/>
    <w:link w:val="810"/>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11"/>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12"/>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13"/>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14"/>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15"/>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17"/>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18"/>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0"/>
    <w:semiHidden/>
    <w:qFormat/>
  </w:style>
  <w:style w:type="table" w:styleId="787" w:default="1">
    <w:name w:val="Normal Table"/>
    <w:uiPriority w:val="0"/>
    <w:semiHidden/>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toc 5"/>
    <w:basedOn w:val="776"/>
    <w:next w:val="776"/>
    <w:uiPriority w:val="39"/>
    <w:unhideWhenUsed/>
    <w:qFormat/>
    <w:pPr>
      <w:ind w:left="1134" w:right="0" w:firstLine="0"/>
      <w:spacing w:after="57"/>
    </w:pPr>
  </w:style>
  <w:style w:type="paragraph" w:styleId="791">
    <w:name w:val="toc 3"/>
    <w:basedOn w:val="776"/>
    <w:next w:val="776"/>
    <w:uiPriority w:val="39"/>
    <w:unhideWhenUsed/>
    <w:qFormat/>
    <w:pPr>
      <w:ind w:left="567" w:right="0" w:firstLine="0"/>
      <w:spacing w:after="57"/>
    </w:pPr>
  </w:style>
  <w:style w:type="paragraph" w:styleId="792">
    <w:name w:val="toc 8"/>
    <w:basedOn w:val="776"/>
    <w:next w:val="776"/>
    <w:uiPriority w:val="39"/>
    <w:unhideWhenUsed/>
    <w:qFormat/>
    <w:pPr>
      <w:ind w:left="1984" w:right="0" w:firstLine="0"/>
      <w:spacing w:after="57"/>
    </w:pPr>
  </w:style>
  <w:style w:type="paragraph" w:styleId="793">
    <w:name w:val="endnote text"/>
    <w:basedOn w:val="776"/>
    <w:link w:val="956"/>
    <w:uiPriority w:val="99"/>
    <w:semiHidden/>
    <w:unhideWhenUsed/>
    <w:qFormat/>
    <w:pPr>
      <w:spacing w:after="0" w:line="240" w:lineRule="auto"/>
    </w:pPr>
    <w:rPr>
      <w:sz w:val="20"/>
    </w:rPr>
  </w:style>
  <w:style w:type="paragraph" w:styleId="794">
    <w:name w:val="Balloon Text"/>
    <w:basedOn w:val="776"/>
    <w:link w:val="960"/>
    <w:uiPriority w:val="0"/>
    <w:qFormat/>
    <w:rPr>
      <w:sz w:val="18"/>
      <w:szCs w:val="18"/>
    </w:rPr>
  </w:style>
  <w:style w:type="paragraph" w:styleId="795">
    <w:name w:val="Footer"/>
    <w:basedOn w:val="776"/>
    <w:uiPriority w:val="0"/>
    <w:qFormat/>
    <w:pPr>
      <w:jc w:val="left"/>
      <w:tabs>
        <w:tab w:val="center" w:pos="4153" w:leader="none"/>
        <w:tab w:val="right" w:pos="8306" w:leader="none"/>
      </w:tabs>
    </w:pPr>
    <w:rPr>
      <w:sz w:val="18"/>
    </w:rPr>
  </w:style>
  <w:style w:type="paragraph" w:styleId="796">
    <w:name w:val="Header"/>
    <w:basedOn w:val="776"/>
    <w:link w:val="959"/>
    <w:uiPriority w:val="0"/>
    <w:qFormat/>
    <w:pPr>
      <w:jc w:val="center"/>
      <w:tabs>
        <w:tab w:val="center" w:pos="4153" w:leader="none"/>
        <w:tab w:val="right" w:pos="8306" w:leader="none"/>
      </w:tabs>
      <w:pBdr>
        <w:bottom w:val="single" w:color="auto" w:sz="6" w:space="1"/>
      </w:pBdr>
    </w:pPr>
    <w:rPr>
      <w:sz w:val="18"/>
      <w:szCs w:val="18"/>
    </w:rPr>
  </w:style>
  <w:style w:type="paragraph" w:styleId="797">
    <w:name w:val="toc 1"/>
    <w:basedOn w:val="776"/>
    <w:next w:val="776"/>
    <w:uiPriority w:val="39"/>
    <w:unhideWhenUsed/>
    <w:qFormat/>
    <w:pPr>
      <w:ind w:left="0" w:right="0" w:firstLine="0"/>
      <w:spacing w:after="57"/>
    </w:pPr>
  </w:style>
  <w:style w:type="paragraph" w:styleId="798">
    <w:name w:val="toc 4"/>
    <w:basedOn w:val="776"/>
    <w:next w:val="776"/>
    <w:uiPriority w:val="39"/>
    <w:unhideWhenUsed/>
    <w:qFormat/>
    <w:pPr>
      <w:ind w:left="850" w:right="0" w:firstLine="0"/>
      <w:spacing w:after="57"/>
    </w:pPr>
  </w:style>
  <w:style w:type="paragraph" w:styleId="799">
    <w:name w:val="Subtitle"/>
    <w:basedOn w:val="776"/>
    <w:next w:val="776"/>
    <w:link w:val="822"/>
    <w:uiPriority w:val="11"/>
    <w:qFormat/>
    <w:pPr>
      <w:spacing w:before="200" w:after="200"/>
    </w:pPr>
    <w:rPr>
      <w:sz w:val="24"/>
      <w:szCs w:val="24"/>
    </w:rPr>
  </w:style>
  <w:style w:type="paragraph" w:styleId="800">
    <w:name w:val="footnote text"/>
    <w:basedOn w:val="776"/>
    <w:link w:val="955"/>
    <w:uiPriority w:val="99"/>
    <w:semiHidden/>
    <w:unhideWhenUsed/>
    <w:qFormat/>
    <w:pPr>
      <w:spacing w:after="40" w:line="240" w:lineRule="auto"/>
    </w:pPr>
    <w:rPr>
      <w:sz w:val="18"/>
    </w:rPr>
  </w:style>
  <w:style w:type="paragraph" w:styleId="801">
    <w:name w:val="toc 6"/>
    <w:basedOn w:val="776"/>
    <w:next w:val="776"/>
    <w:uiPriority w:val="39"/>
    <w:unhideWhenUsed/>
    <w:qFormat/>
    <w:pPr>
      <w:ind w:left="1417" w:right="0" w:firstLine="0"/>
      <w:spacing w:after="57"/>
    </w:pPr>
  </w:style>
  <w:style w:type="paragraph" w:styleId="802">
    <w:name w:val="table of figures"/>
    <w:basedOn w:val="776"/>
    <w:next w:val="776"/>
    <w:uiPriority w:val="99"/>
    <w:unhideWhenUsed/>
    <w:qFormat/>
    <w:pPr>
      <w:spacing w:after="0" w:afterAutospacing="0"/>
    </w:pPr>
  </w:style>
  <w:style w:type="paragraph" w:styleId="803">
    <w:name w:val="toc 2"/>
    <w:basedOn w:val="776"/>
    <w:next w:val="776"/>
    <w:uiPriority w:val="39"/>
    <w:unhideWhenUsed/>
    <w:qFormat/>
    <w:pPr>
      <w:ind w:left="283" w:right="0" w:firstLine="0"/>
      <w:spacing w:after="57"/>
    </w:pPr>
  </w:style>
  <w:style w:type="paragraph" w:styleId="804">
    <w:name w:val="toc 9"/>
    <w:basedOn w:val="776"/>
    <w:next w:val="776"/>
    <w:uiPriority w:val="39"/>
    <w:unhideWhenUsed/>
    <w:qFormat/>
    <w:pPr>
      <w:ind w:left="2268" w:right="0" w:firstLine="0"/>
      <w:spacing w:after="57"/>
    </w:pPr>
  </w:style>
  <w:style w:type="paragraph" w:styleId="805">
    <w:name w:val="Title"/>
    <w:basedOn w:val="776"/>
    <w:next w:val="776"/>
    <w:link w:val="821"/>
    <w:uiPriority w:val="10"/>
    <w:qFormat/>
    <w:pPr>
      <w:contextualSpacing/>
      <w:spacing w:before="300" w:after="200"/>
    </w:pPr>
    <w:rPr>
      <w:sz w:val="48"/>
      <w:szCs w:val="48"/>
    </w:rPr>
  </w:style>
  <w:style w:type="table" w:styleId="806">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endnote reference"/>
    <w:basedOn w:val="786"/>
    <w:uiPriority w:val="99"/>
    <w:semiHidden/>
    <w:unhideWhenUsed/>
    <w:qFormat/>
    <w:rPr>
      <w:vertAlign w:val="superscript"/>
    </w:rPr>
  </w:style>
  <w:style w:type="character" w:styleId="808">
    <w:name w:val="Hyperlink"/>
    <w:uiPriority w:val="99"/>
    <w:unhideWhenUsed/>
    <w:qFormat/>
    <w:rPr>
      <w:color w:val="0000ff" w:themeColor="hyperlink"/>
      <w:u w:val="single"/>
      <w14:textFill>
        <w14:solidFill>
          <w14:schemeClr w14:val="hlink"/>
        </w14:solidFill>
      </w14:textFill>
    </w:rPr>
  </w:style>
  <w:style w:type="character" w:styleId="809">
    <w:name w:val="footnote reference"/>
    <w:basedOn w:val="786"/>
    <w:uiPriority w:val="99"/>
    <w:unhideWhenUsed/>
    <w:qFormat/>
    <w:rPr>
      <w:vertAlign w:val="superscript"/>
    </w:rPr>
  </w:style>
  <w:style w:type="character" w:styleId="810" w:customStyle="1">
    <w:name w:val="Heading 1 Char"/>
    <w:basedOn w:val="786"/>
    <w:link w:val="777"/>
    <w:uiPriority w:val="9"/>
    <w:qFormat/>
    <w:rPr>
      <w:rFonts w:ascii="Arial" w:hAnsi="Arial" w:eastAsia="Arial" w:cs="Arial"/>
      <w:sz w:val="40"/>
      <w:szCs w:val="40"/>
    </w:rPr>
  </w:style>
  <w:style w:type="character" w:styleId="811" w:customStyle="1">
    <w:name w:val="Heading 2 Char"/>
    <w:basedOn w:val="786"/>
    <w:link w:val="778"/>
    <w:uiPriority w:val="9"/>
    <w:qFormat/>
    <w:rPr>
      <w:rFonts w:ascii="Arial" w:hAnsi="Arial" w:eastAsia="Arial" w:cs="Arial"/>
      <w:sz w:val="34"/>
    </w:rPr>
  </w:style>
  <w:style w:type="character" w:styleId="812" w:customStyle="1">
    <w:name w:val="Heading 3 Char"/>
    <w:basedOn w:val="786"/>
    <w:link w:val="779"/>
    <w:uiPriority w:val="9"/>
    <w:qFormat/>
    <w:rPr>
      <w:rFonts w:ascii="Arial" w:hAnsi="Arial" w:eastAsia="Arial" w:cs="Arial"/>
      <w:sz w:val="30"/>
      <w:szCs w:val="30"/>
    </w:rPr>
  </w:style>
  <w:style w:type="character" w:styleId="813" w:customStyle="1">
    <w:name w:val="Heading 4 Char"/>
    <w:basedOn w:val="786"/>
    <w:link w:val="780"/>
    <w:uiPriority w:val="9"/>
    <w:qFormat/>
    <w:rPr>
      <w:rFonts w:ascii="Arial" w:hAnsi="Arial" w:eastAsia="Arial" w:cs="Arial"/>
      <w:b/>
      <w:bCs/>
      <w:sz w:val="26"/>
      <w:szCs w:val="26"/>
    </w:rPr>
  </w:style>
  <w:style w:type="character" w:styleId="814" w:customStyle="1">
    <w:name w:val="Heading 5 Char"/>
    <w:basedOn w:val="786"/>
    <w:link w:val="781"/>
    <w:uiPriority w:val="9"/>
    <w:qFormat/>
    <w:rPr>
      <w:rFonts w:ascii="Arial" w:hAnsi="Arial" w:eastAsia="Arial" w:cs="Arial"/>
      <w:b/>
      <w:bCs/>
      <w:sz w:val="24"/>
      <w:szCs w:val="24"/>
    </w:rPr>
  </w:style>
  <w:style w:type="character" w:styleId="815" w:customStyle="1">
    <w:name w:val="Heading 6 Char"/>
    <w:basedOn w:val="786"/>
    <w:link w:val="782"/>
    <w:uiPriority w:val="9"/>
    <w:qFormat/>
    <w:rPr>
      <w:rFonts w:ascii="Arial" w:hAnsi="Arial" w:eastAsia="Arial" w:cs="Arial"/>
      <w:b/>
      <w:bCs/>
      <w:sz w:val="22"/>
      <w:szCs w:val="22"/>
    </w:rPr>
  </w:style>
  <w:style w:type="character" w:styleId="816" w:customStyle="1">
    <w:name w:val="Heading 7 Char"/>
    <w:basedOn w:val="786"/>
    <w:link w:val="783"/>
    <w:uiPriority w:val="9"/>
    <w:qFormat/>
    <w:rPr>
      <w:rFonts w:ascii="Arial" w:hAnsi="Arial" w:eastAsia="Arial" w:cs="Arial"/>
      <w:b/>
      <w:bCs/>
      <w:i/>
      <w:iCs/>
      <w:sz w:val="22"/>
      <w:szCs w:val="22"/>
    </w:rPr>
  </w:style>
  <w:style w:type="character" w:styleId="817" w:customStyle="1">
    <w:name w:val="Heading 8 Char"/>
    <w:basedOn w:val="786"/>
    <w:link w:val="784"/>
    <w:uiPriority w:val="9"/>
    <w:qFormat/>
    <w:rPr>
      <w:rFonts w:ascii="Arial" w:hAnsi="Arial" w:eastAsia="Arial" w:cs="Arial"/>
      <w:i/>
      <w:iCs/>
      <w:sz w:val="22"/>
      <w:szCs w:val="22"/>
    </w:rPr>
  </w:style>
  <w:style w:type="character" w:styleId="818" w:customStyle="1">
    <w:name w:val="Heading 9 Char"/>
    <w:basedOn w:val="786"/>
    <w:link w:val="785"/>
    <w:uiPriority w:val="9"/>
    <w:qFormat/>
    <w:rPr>
      <w:rFonts w:ascii="Arial" w:hAnsi="Arial" w:eastAsia="Arial" w:cs="Arial"/>
      <w:i/>
      <w:iCs/>
      <w:sz w:val="21"/>
      <w:szCs w:val="21"/>
    </w:rPr>
  </w:style>
  <w:style w:type="paragraph" w:styleId="819">
    <w:name w:val="List Paragraph"/>
    <w:basedOn w:val="776"/>
    <w:uiPriority w:val="34"/>
    <w:qFormat/>
    <w:pPr>
      <w:contextualSpacing/>
      <w:ind w:left="720"/>
    </w:pPr>
  </w:style>
  <w:style w:type="paragraph" w:styleId="820">
    <w:name w:val="No Spacing"/>
    <w:uiPriority w:val="1"/>
    <w:qFormat/>
    <w:pPr>
      <w:spacing w:before="0" w:after="0" w:line="240" w:lineRule="auto"/>
    </w:pPr>
    <w:rPr>
      <w:rFonts w:hint="default" w:ascii="Calibri" w:hAnsi="Calibri" w:eastAsia="宋体" w:cs="Times New Roman"/>
    </w:rPr>
  </w:style>
  <w:style w:type="character" w:styleId="821" w:customStyle="1">
    <w:name w:val="Title Char"/>
    <w:basedOn w:val="786"/>
    <w:link w:val="805"/>
    <w:uiPriority w:val="10"/>
    <w:qFormat/>
    <w:rPr>
      <w:sz w:val="48"/>
      <w:szCs w:val="48"/>
    </w:rPr>
  </w:style>
  <w:style w:type="character" w:styleId="822" w:customStyle="1">
    <w:name w:val="Subtitle Char"/>
    <w:basedOn w:val="786"/>
    <w:link w:val="799"/>
    <w:uiPriority w:val="11"/>
    <w:qFormat/>
    <w:rPr>
      <w:sz w:val="24"/>
      <w:szCs w:val="24"/>
    </w:rPr>
  </w:style>
  <w:style w:type="paragraph" w:styleId="823">
    <w:name w:val="Quote"/>
    <w:basedOn w:val="776"/>
    <w:next w:val="776"/>
    <w:link w:val="824"/>
    <w:uiPriority w:val="29"/>
    <w:qFormat/>
    <w:pPr>
      <w:ind w:left="720" w:right="720"/>
    </w:pPr>
    <w:rPr>
      <w:i/>
    </w:rPr>
  </w:style>
  <w:style w:type="character" w:styleId="824" w:customStyle="1">
    <w:name w:val="Quote Char"/>
    <w:link w:val="823"/>
    <w:uiPriority w:val="29"/>
    <w:qFormat/>
    <w:rPr>
      <w:i/>
    </w:rPr>
  </w:style>
  <w:style w:type="paragraph" w:styleId="825">
    <w:name w:val="Intense Quote"/>
    <w:basedOn w:val="776"/>
    <w:next w:val="776"/>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Intense Quote Char"/>
    <w:link w:val="825"/>
    <w:uiPriority w:val="30"/>
    <w:qFormat/>
    <w:rPr>
      <w:i/>
    </w:rPr>
  </w:style>
  <w:style w:type="character" w:styleId="827" w:customStyle="1">
    <w:name w:val="Header Char"/>
    <w:basedOn w:val="786"/>
    <w:uiPriority w:val="99"/>
    <w:qFormat/>
  </w:style>
  <w:style w:type="character" w:styleId="828" w:customStyle="1">
    <w:name w:val="Footer Char"/>
    <w:basedOn w:val="786"/>
    <w:uiPriority w:val="99"/>
    <w:qFormat/>
  </w:style>
  <w:style w:type="character" w:styleId="829" w:customStyle="1">
    <w:name w:val="Caption Char"/>
    <w:uiPriority w:val="99"/>
    <w:qFormat/>
  </w:style>
  <w:style w:type="table" w:styleId="830" w:customStyle="1">
    <w:name w:val="Table Grid Light"/>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Plain Table 1"/>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basedOn w:val="7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basedOn w:val="7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basedOn w:val="7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basedOn w:val="7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basedOn w:val="7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basedOn w:val="7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basedOn w:val="7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basedOn w:val="7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basedOn w:val="7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basedOn w:val="7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basedOn w:val="7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basedOn w:val="7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basedOn w:val="7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basedOn w:val="7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Grid Table 3"/>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basedOn w:val="7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7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basedOn w:val="7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basedOn w:val="7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basedOn w:val="7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basedOn w:val="7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basedOn w:val="7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basedOn w:val="7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Grid Table 5 Dark"/>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Grid Table 6 Colorful"/>
    <w:basedOn w:val="7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basedOn w:val="7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5" w:customStyle="1">
    <w:name w:val="Grid Table 6 Colorful - Accent 4"/>
    <w:basedOn w:val="7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basedOn w:val="7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7 Colorful"/>
    <w:basedOn w:val="7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basedOn w:val="7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basedOn w:val="7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basedOn w:val="7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basedOn w:val="7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basedOn w:val="7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basedOn w:val="7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w:basedOn w:val="7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basedOn w:val="7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basedOn w:val="7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basedOn w:val="7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basedOn w:val="7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basedOn w:val="7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basedOn w:val="7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List Table 2"/>
    <w:basedOn w:val="7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basedOn w:val="7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basedOn w:val="7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basedOn w:val="7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basedOn w:val="7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basedOn w:val="7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basedOn w:val="7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List Table 3"/>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basedOn w:val="7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basedOn w:val="7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basedOn w:val="7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basedOn w:val="7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basedOn w:val="7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basedOn w:val="7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List Table 4"/>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basedOn w:val="7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basedOn w:val="7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basedOn w:val="7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basedOn w:val="7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basedOn w:val="7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basedOn w:val="7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List Table 5 Dark"/>
    <w:basedOn w:val="7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basedOn w:val="7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basedOn w:val="7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basedOn w:val="7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basedOn w:val="7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basedOn w:val="7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basedOn w:val="7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basedOn w:val="7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basedOn w:val="7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2" w:customStyle="1">
    <w:name w:val="List Table 6 Colorful - Accent 2"/>
    <w:basedOn w:val="7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3" w:customStyle="1">
    <w:name w:val="List Table 6 Colorful - Accent 3"/>
    <w:basedOn w:val="7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4" w:customStyle="1">
    <w:name w:val="List Table 6 Colorful - Accent 4"/>
    <w:basedOn w:val="7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5" w:customStyle="1">
    <w:name w:val="List Table 6 Colorful - Accent 5"/>
    <w:basedOn w:val="7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6" w:customStyle="1">
    <w:name w:val="List Table 6 Colorful - Accent 6"/>
    <w:basedOn w:val="7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7" w:customStyle="1">
    <w:name w:val="List Table 7 Colorful"/>
    <w:basedOn w:val="7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basedOn w:val="7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basedOn w:val="7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basedOn w:val="7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basedOn w:val="7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basedOn w:val="7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basedOn w:val="7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basedOn w:val="7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basedOn w:val="7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basedOn w:val="7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basedOn w:val="7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basedOn w:val="7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basedOn w:val="7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basedOn w:val="7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basedOn w:val="7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basedOn w:val="7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Footnote Text Char"/>
    <w:link w:val="800"/>
    <w:uiPriority w:val="99"/>
    <w:qFormat/>
    <w:rPr>
      <w:sz w:val="18"/>
    </w:rPr>
  </w:style>
  <w:style w:type="character" w:styleId="956" w:customStyle="1">
    <w:name w:val="Endnote Text Char"/>
    <w:link w:val="793"/>
    <w:uiPriority w:val="99"/>
    <w:qFormat/>
    <w:rPr>
      <w:sz w:val="20"/>
    </w:rPr>
  </w:style>
  <w:style w:type="paragraph" w:styleId="957" w:customStyle="1">
    <w:name w:val="TOC Heading"/>
    <w:uiPriority w:val="39"/>
    <w:unhideWhenUsed/>
    <w:qFormat/>
    <w:rPr>
      <w:rFonts w:hint="default" w:ascii="Calibri" w:hAnsi="Calibri" w:eastAsia="宋体" w:cs="Times New Roman"/>
    </w:rPr>
  </w:style>
  <w:style w:type="paragraph" w:styleId="958" w:customStyle="1">
    <w:name w:val="标题 41"/>
    <w:basedOn w:val="776"/>
    <w:next w:val="776"/>
    <w:uiPriority w:val="0"/>
    <w:qFormat/>
    <w:pPr>
      <w:jc w:val="center"/>
      <w:keepNext/>
      <w:outlineLvl w:val="3"/>
    </w:pPr>
    <w:rPr>
      <w:rFonts w:eastAsia="新宋体"/>
      <w:sz w:val="30"/>
      <w:szCs w:val="21"/>
    </w:rPr>
  </w:style>
  <w:style w:type="character" w:styleId="959" w:customStyle="1">
    <w:name w:val="页眉 Char"/>
    <w:basedOn w:val="786"/>
    <w:link w:val="796"/>
    <w:uiPriority w:val="0"/>
    <w:qFormat/>
    <w:rPr>
      <w:sz w:val="18"/>
      <w:szCs w:val="18"/>
    </w:rPr>
  </w:style>
  <w:style w:type="character" w:styleId="960" w:customStyle="1">
    <w:name w:val="批注框文本 Char"/>
    <w:basedOn w:val="786"/>
    <w:link w:val="794"/>
    <w:uiPriority w:val="0"/>
    <w:qFormat/>
    <w:rPr>
      <w:sz w:val="18"/>
      <w:szCs w:val="18"/>
    </w:rPr>
  </w:style>
  <w:style w:type="numbering" w:styleId="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曹丽</cp:lastModifiedBy>
  <cp:revision>9</cp:revision>
  <dcterms:created xsi:type="dcterms:W3CDTF">2026-04-29T07:21:00Z</dcterms:created>
  <dcterms:modified xsi:type="dcterms:W3CDTF">2026-05-21T04:27:22Z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C61EAD6C93B047BFB263B454ADDC4D81_13</vt:lpwstr>
  </property>
  <property fmtid="{D5CDD505-2E9C-101B-9397-08002B2CF9AE}" pid="4" name="KSOTemplateDocerSaveRecord">
    <vt:lpwstr>eyJoZGlkIjoiY2IyZmNlNGUwMjg1MTQ0NDU2YmFjNDVhNmYzMGI5MTAiLCJ1c2VySWQiOiIzMTUwMDU5NDYifQ==</vt:lpwstr>
  </property>
</Properties>
</file>