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758"/>
      </w:pPr>
      <w:r/>
      <w:r/>
    </w:p>
    <w:p>
      <w:pPr>
        <w:pStyle w:val="758"/>
        <w:jc w:val="center"/>
        <w:rPr>
          <w:rFonts w:eastAsia="黑体"/>
        </w:rPr>
      </w:pPr>
      <w:r>
        <w:rPr>
          <w:rFonts w:hint="eastAsia" w:ascii="Arial" w:hAnsi="Arial" w:eastAsia="黑体" w:cs="Arial"/>
          <w:b/>
          <w:bCs/>
          <w:sz w:val="52"/>
          <w:szCs w:val="52"/>
        </w:rPr>
        <w:t xml:space="preserve">南京医科大学疫苗平台多模态生理参数采集系统采购项目</w:t>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pStyle w:val="713"/>
        <w:ind w:left="1260"/>
      </w:pPr>
      <w:r/>
      <w:r/>
    </w:p>
    <w:p>
      <w:pPr>
        <w:pStyle w:val="713"/>
        <w:ind w:left="1260"/>
      </w:pPr>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lang w:eastAsia="zh-CN"/>
        </w:rPr>
        <w:t xml:space="preserve">JSZC-320000-JCEC-G2026-0152</w:t>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713"/>
        <w:ind w:left="1260"/>
        <w:rPr>
          <w:rFonts w:ascii="Arial" w:hAnsi="Arial" w:cs="Arial"/>
          <w:sz w:val="32"/>
          <w:szCs w:val="32"/>
        </w:rPr>
      </w:pPr>
      <w:r>
        <w:rPr>
          <w:rFonts w:ascii="Arial" w:hAnsi="Arial" w:cs="Arial"/>
          <w:sz w:val="32"/>
          <w:szCs w:val="32"/>
        </w:rPr>
      </w:r>
      <w:r/>
    </w:p>
    <w:p>
      <w:pPr>
        <w:pStyle w:val="713"/>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采购人：南京医科大学</w:t>
      </w:r>
      <w:r/>
    </w:p>
    <w:p>
      <w:pPr>
        <w:jc w:val="center"/>
        <w:spacing w:line="360" w:lineRule="auto"/>
        <w:widowControl/>
        <w:rPr>
          <w:rFonts w:hint="eastAsia"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2026年5月</w:t>
      </w:r>
      <w:r/>
    </w:p>
    <w:p>
      <w:pPr>
        <w:jc w:val="center"/>
        <w:spacing w:line="360" w:lineRule="auto"/>
        <w:shd w:val="clear" w:color="auto" w:fill="ffffff"/>
        <w:widowControl/>
        <w:rPr>
          <w:rFonts w:ascii="Arial" w:hAnsi="Arial" w:cs="Arial"/>
          <w:b/>
          <w:sz w:val="32"/>
          <w:szCs w:val="32"/>
          <w:highlight w:val="yellow"/>
        </w:rPr>
      </w:pPr>
      <w:r>
        <w:rPr>
          <w:rFonts w:ascii="Arial" w:hAnsi="Arial" w:cs="Arial"/>
          <w:b/>
          <w:sz w:val="32"/>
          <w:szCs w:val="32"/>
          <w:highlight w:val="yellow"/>
        </w:rPr>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61"/>
        <w:jc w:val="center"/>
        <w:rPr>
          <w:rFonts w:ascii="Arial" w:hAnsi="Arial" w:cs="Arial"/>
          <w:color w:val="auto"/>
          <w:sz w:val="36"/>
          <w:szCs w:val="36"/>
        </w:rPr>
      </w:pPr>
      <w:r>
        <w:rPr>
          <w:rFonts w:ascii="Arial" w:hAnsi="宋体" w:cs="Arial"/>
          <w:color w:val="auto"/>
          <w:sz w:val="36"/>
          <w:szCs w:val="36"/>
          <w:lang w:val="zh-CN"/>
        </w:rPr>
        <w:t xml:space="preserve">目录</w:t>
      </w:r>
      <w:r/>
    </w:p>
    <w:p>
      <w:pPr>
        <w:pStyle w:val="724"/>
        <w:tabs>
          <w:tab w:val="right" w:pos="8296" w:leader="dot"/>
        </w:tabs>
        <w:rPr>
          <w:rFonts w:ascii="Arial" w:hAnsi="Arial" w:cs="Arial"/>
          <w:sz w:val="28"/>
          <w:szCs w:val="28"/>
        </w:rPr>
      </w:pPr>
      <w:r>
        <w:rPr>
          <w:rFonts w:ascii="Arial" w:hAnsi="Arial" w:cs="Arial"/>
          <w:sz w:val="28"/>
          <w:szCs w:val="28"/>
        </w:rPr>
      </w:r>
      <w:r/>
    </w:p>
    <w:p>
      <w:pPr>
        <w:pStyle w:val="724"/>
        <w:spacing w:line="480" w:lineRule="auto"/>
        <w:tabs>
          <w:tab w:val="right" w:pos="8299"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19</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23</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33</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4"/>
        <w:spacing w:line="480" w:lineRule="auto"/>
        <w:tabs>
          <w:tab w:val="right" w:pos="8299" w:leader="dot"/>
        </w:tabs>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40</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91"/>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38" w:name="_GoBack"/>
      <w:r/>
      <w:bookmarkEnd w:id="38"/>
      <w:r/>
      <w:bookmarkStart w:id="2" w:name="_Toc481057143"/>
      <w:r/>
      <w:r/>
    </w:p>
    <w:p>
      <w:pPr>
        <w:pStyle w:val="691"/>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7"/>
      <w:r/>
      <w:bookmarkStart w:id="6" w:name="OLE_LINK1"/>
      <w:r/>
      <w:bookmarkStart w:id="7" w:name="OLE_LINK6"/>
      <w:r/>
      <w:bookmarkStart w:id="8" w:name="OLE_LINK5"/>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4"/>
      <w:r/>
      <w:bookmarkStart w:id="12" w:name="OLE_LINK3"/>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rPr>
        <w:t xml:space="preserve">南京医科大学疫苗平台多模态生理参数采集系统采购项目 </w:t>
      </w:r>
      <w:r>
        <w:rPr>
          <w:rFonts w:ascii="Arial" w:hAnsi="Arial" w:cs="Arial"/>
          <w:spacing w:val="8"/>
          <w:szCs w:val="21"/>
        </w:rPr>
        <w:t xml:space="preserve">的潜在供应商应在</w:t>
      </w:r>
      <w:r>
        <w:rPr>
          <w:rFonts w:hint="eastAsia" w:ascii="宋体" w:hAnsi="宋体" w:cs="Arial"/>
          <w:szCs w:val="21"/>
          <w:u w:val="single"/>
        </w:rPr>
        <w:t xml:space="preserve">江苏政府采购网</w:t>
      </w:r>
      <w:r>
        <w:rPr>
          <w:rFonts w:ascii="Arial" w:hAnsi="Arial" w:cs="Arial"/>
          <w:spacing w:val="8"/>
          <w:szCs w:val="21"/>
        </w:rPr>
        <w:t xml:space="preserve">获取招标文件，并于</w:t>
      </w:r>
      <w:r>
        <w:rPr>
          <w:rFonts w:ascii="宋体" w:hAnsi="宋体" w:cs="Arial"/>
          <w:color w:val="auto"/>
          <w:szCs w:val="21"/>
          <w:u w:val="single"/>
        </w:rPr>
        <w:t xml:space="preserve">202</w:t>
      </w:r>
      <w:r>
        <w:rPr>
          <w:rFonts w:hint="eastAsia" w:ascii="宋体" w:hAnsi="宋体" w:cs="Arial"/>
          <w:color w:val="auto"/>
          <w:szCs w:val="21"/>
          <w:u w:val="single"/>
        </w:rPr>
        <w:t xml:space="preserve">6</w:t>
      </w:r>
      <w:r>
        <w:rPr>
          <w:rFonts w:ascii="宋体" w:hAnsi="宋体" w:cs="Arial"/>
          <w:color w:val="auto"/>
          <w:szCs w:val="21"/>
          <w:u w:val="single"/>
        </w:rPr>
        <w:t xml:space="preserve">年</w:t>
      </w:r>
      <w:r>
        <w:rPr>
          <w:rFonts w:hint="eastAsia" w:ascii="宋体" w:hAnsi="宋体" w:cs="Arial"/>
          <w:color w:val="auto"/>
          <w:szCs w:val="21"/>
          <w:u w:val="single"/>
          <w:lang w:val="en-US" w:eastAsia="zh-CN"/>
        </w:rPr>
        <w:t xml:space="preserve">6</w:t>
      </w:r>
      <w:r>
        <w:rPr>
          <w:rFonts w:ascii="宋体" w:hAnsi="宋体" w:cs="Arial"/>
          <w:color w:val="auto"/>
          <w:szCs w:val="21"/>
          <w:u w:val="single"/>
        </w:rPr>
        <w:t xml:space="preserve">月</w:t>
      </w:r>
      <w:r>
        <w:rPr>
          <w:rFonts w:hint="eastAsia" w:ascii="宋体" w:hAnsi="宋体" w:cs="Arial"/>
          <w:color w:val="auto"/>
          <w:szCs w:val="21"/>
          <w:u w:val="single"/>
          <w:lang w:val="en-US" w:eastAsia="zh-CN"/>
        </w:rPr>
        <w:t xml:space="preserve">15</w:t>
      </w:r>
      <w:r>
        <w:rPr>
          <w:rFonts w:ascii="宋体" w:hAnsi="宋体" w:cs="Arial"/>
          <w:color w:val="auto"/>
          <w:szCs w:val="21"/>
          <w:u w:val="single"/>
        </w:rPr>
        <w:t xml:space="preserve">日</w:t>
      </w:r>
      <w:r>
        <w:rPr>
          <w:rFonts w:hint="eastAsia" w:ascii="宋体" w:hAnsi="宋体" w:cs="Arial"/>
          <w:color w:val="auto"/>
          <w:szCs w:val="21"/>
          <w:u w:val="single"/>
        </w:rPr>
        <w:t xml:space="preserve">14</w:t>
      </w:r>
      <w:r>
        <w:rPr>
          <w:rFonts w:ascii="宋体" w:hAnsi="宋体" w:cs="Arial"/>
          <w:color w:val="auto"/>
          <w:szCs w:val="21"/>
          <w:u w:val="single"/>
        </w:rPr>
        <w:t xml:space="preserve">点</w:t>
      </w:r>
      <w:r>
        <w:rPr>
          <w:rFonts w:hint="eastAsia" w:ascii="宋体" w:hAnsi="宋体" w:cs="Arial"/>
          <w:color w:val="auto"/>
          <w:szCs w:val="21"/>
          <w:u w:val="single"/>
          <w:lang w:val="en-US" w:eastAsia="zh-CN"/>
        </w:rPr>
        <w:t xml:space="preserve">0</w:t>
      </w:r>
      <w:r>
        <w:rPr>
          <w:rFonts w:hint="eastAsia" w:ascii="宋体" w:hAnsi="宋体" w:cs="Arial"/>
          <w:color w:val="auto"/>
          <w:szCs w:val="21"/>
          <w:u w:val="single"/>
        </w:rPr>
        <w:t xml:space="preserve">0</w:t>
      </w:r>
      <w:r>
        <w:rPr>
          <w:rFonts w:ascii="宋体" w:hAnsi="宋体" w:cs="Arial"/>
          <w:color w:val="auto"/>
          <w:szCs w:val="21"/>
          <w:u w:val="single"/>
        </w:rPr>
        <w:t xml:space="preserve">分</w:t>
      </w:r>
      <w:r>
        <w:rPr>
          <w:rFonts w:ascii="Arial" w:hAnsi="Arial" w:cs="Arial"/>
          <w:spacing w:val="8"/>
          <w:szCs w:val="21"/>
        </w:rPr>
        <w:t xml:space="preserve">（北京时间）前递交投标文件。</w:t>
      </w:r>
      <w:r/>
    </w:p>
    <w:p>
      <w:pPr>
        <w:pStyle w:val="761"/>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Arial" w:hAnsi="Arial" w:cs="Arial"/>
          <w:spacing w:val="8"/>
          <w:szCs w:val="21"/>
          <w:lang w:eastAsia="zh-CN"/>
        </w:rPr>
        <w:t xml:space="preserve">JSZC-320000-JCEC-G2026-0152</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南京医科大学疫苗平台多模态生理参数采集系统采购项目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：人民币150.00万元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人民币150.00万元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南京医科大学为满足科研教学需要，需采购一套脑电、肌电和近红外脑成像组成的多模态生理信号同步采集系统。具体服务需求详见采购文件 第四章 采购需求。</w:t>
      </w:r>
      <w:r/>
    </w:p>
    <w:p>
      <w:pPr>
        <w:pStyle w:val="716"/>
        <w:ind w:firstLine="452"/>
        <w:spacing w:line="360" w:lineRule="auto"/>
        <w:rPr>
          <w:rFonts w:hint="eastAsia" w:ascii="宋体" w:hAnsi="宋体" w:cs="宋体"/>
          <w:color w:val="000000" w:themeColor="text1"/>
          <w:szCs w:val="21"/>
          <w14:textFill>
            <w14:solidFill>
              <w14:schemeClr w14:val="tx1"/>
            </w14:solidFill>
          </w14:textFill>
        </w:rPr>
      </w:pPr>
      <w:r>
        <w:rPr>
          <w:rFonts w:ascii="Arial" w:hAnsi="Arial" w:cs="Arial"/>
          <w:spacing w:val="8"/>
          <w:szCs w:val="21"/>
        </w:rPr>
        <w:t xml:space="preserve">1.6</w:t>
      </w:r>
      <w:r>
        <w:rPr>
          <w:rFonts w:hint="eastAsia" w:ascii="Arial" w:hAnsi="Arial" w:cs="Arial"/>
          <w:spacing w:val="8"/>
          <w:szCs w:val="21"/>
        </w:rPr>
        <w:t xml:space="preserve">合同履行期限：合同签订生效后，进口设备（免税）三个月内、国产设备及进口设备（非免税）一个月内全部设备、材料运抵现场，并安装、调试结束，验收合格，交付采购人使用。</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1.7本项目标的所属行业：工业。</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面向中小企业采购。</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1.9本项目</w:t>
      </w:r>
      <w:r>
        <w:rPr>
          <w:rFonts w:hint="eastAsia" w:ascii="Arial" w:hAnsi="Arial" w:cs="Arial"/>
          <w:b/>
          <w:bCs/>
          <w:spacing w:val="8"/>
          <w:szCs w:val="21"/>
          <w:lang w:val="en-US" w:eastAsia="zh-CN"/>
        </w:rPr>
        <w:t xml:space="preserve">不</w:t>
      </w:r>
      <w:r>
        <w:rPr>
          <w:rFonts w:hint="eastAsia" w:ascii="Arial" w:hAnsi="Arial" w:cs="Arial"/>
          <w:b/>
          <w:bCs/>
          <w:spacing w:val="8"/>
          <w:szCs w:val="21"/>
        </w:rPr>
        <w:t xml:space="preserve">接受</w:t>
      </w:r>
      <w:r>
        <w:rPr>
          <w:rFonts w:hint="eastAsia" w:ascii="Arial" w:hAnsi="Arial" w:cs="Arial"/>
          <w:spacing w:val="8"/>
          <w:szCs w:val="21"/>
        </w:rPr>
        <w:t xml:space="preserve">进口产品。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 </w:t>
      </w:r>
      <w:r/>
    </w:p>
    <w:p>
      <w:pPr>
        <w:ind w:firstLine="424"/>
        <w:spacing w:line="360" w:lineRule="auto"/>
      </w:pPr>
      <w:r>
        <w:rPr>
          <w:rFonts w:ascii="Arial" w:hAnsi="Arial" w:cs="Arial"/>
          <w:bCs/>
          <w:szCs w:val="21"/>
        </w:rPr>
        <w:t xml:space="preserve">（2）具有良好的商业信誉和健全的财务会计制度</w:t>
      </w:r>
      <w:r>
        <w:rPr>
          <w:rFonts w:hint="eastAsia" w:ascii="Arial" w:hAnsi="Arial" w:cs="Arial"/>
          <w:b/>
          <w:szCs w:val="21"/>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（4）有依法缴纳税收和社会保障资金的良好记录</w:t>
      </w:r>
      <w:r>
        <w:rPr>
          <w:rFonts w:ascii="Arial" w:hAnsi="Arial" w:cs="Arial"/>
          <w:b/>
          <w:szCs w:val="21"/>
        </w:rPr>
        <w:t xml:space="preserve">（提供</w:t>
      </w:r>
      <w:r>
        <w:rPr>
          <w:rFonts w:hint="eastAsia" w:ascii="Arial" w:hAnsi="Arial" w:cs="Arial"/>
          <w:b/>
          <w:szCs w:val="21"/>
        </w:rPr>
        <w:t xml:space="preserve">自投标截止时间前六个月内任意一个月份：①提供缴纳税收的凭证</w:t>
      </w:r>
      <w:r>
        <w:rPr>
          <w:rFonts w:ascii="Arial" w:hAnsi="Arial" w:cs="Arial"/>
          <w:b/>
          <w:szCs w:val="21"/>
        </w:rPr>
        <w:t xml:space="preserve">；</w:t>
      </w:r>
      <w:r>
        <w:rPr>
          <w:rFonts w:hint="eastAsia" w:ascii="Arial" w:hAnsi="Arial" w:cs="Arial"/>
          <w:b/>
          <w:szCs w:val="21"/>
        </w:rPr>
        <w:t xml:space="preserve">②</w:t>
      </w:r>
      <w:r>
        <w:rPr>
          <w:rFonts w:ascii="Arial" w:hAnsi="Arial" w:cs="Arial"/>
          <w:b/>
          <w:szCs w:val="21"/>
        </w:rPr>
        <w:t xml:space="preserve">提供缴纳社会保险的凭据</w:t>
      </w:r>
      <w:r>
        <w:rPr>
          <w:rFonts w:hint="eastAsia" w:ascii="Arial" w:hAnsi="Arial" w:cs="Arial"/>
          <w:b/>
          <w:szCs w:val="21"/>
        </w:rPr>
        <w:t xml:space="preserve">，依法享受免缴、缓缴的，提供证明材料</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原件</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Cs/>
          <w:szCs w:val="21"/>
        </w:rPr>
        <w:t xml:space="preserve">。</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2.2落实政府采购政策需满足的资格要求：</w:t>
      </w:r>
      <w:r>
        <w:rPr>
          <w:rFonts w:hint="eastAsia" w:ascii="Arial" w:hAnsi="Arial" w:cs="Arial"/>
          <w:b/>
          <w:bCs/>
          <w:spacing w:val="8"/>
          <w:szCs w:val="21"/>
        </w:rPr>
        <w:t xml:space="preserve">无。</w:t>
      </w:r>
      <w:r/>
    </w:p>
    <w:p>
      <w:pPr>
        <w:ind w:firstLine="454"/>
        <w:spacing w:line="360" w:lineRule="auto"/>
        <w:rPr>
          <w:rFonts w:ascii="Arial" w:hAnsi="Arial" w:cs="Arial"/>
          <w:b/>
          <w:spacing w:val="8"/>
          <w:szCs w:val="21"/>
        </w:rPr>
      </w:pPr>
      <w:r>
        <w:rPr>
          <w:rFonts w:ascii="Arial" w:hAnsi="Arial" w:cs="Arial"/>
          <w:b/>
          <w:spacing w:val="8"/>
          <w:szCs w:val="21"/>
        </w:rPr>
        <w:t xml:space="preserve">2.3采购人根据采购项目的特殊要求规定的特定条件，并提供符合特殊要求的证明材料或者情况说明：</w:t>
      </w:r>
      <w:r>
        <w:rPr>
          <w:rFonts w:hint="eastAsia" w:ascii="Arial" w:hAnsi="Arial" w:cs="Arial"/>
          <w:b/>
          <w:spacing w:val="8"/>
          <w:szCs w:val="21"/>
          <w:lang w:val="en-US" w:eastAsia="zh-CN"/>
        </w:rPr>
        <w:t xml:space="preserve">无</w:t>
      </w:r>
      <w:r>
        <w:rPr>
          <w:rFonts w:hint="eastAsia" w:ascii="Arial" w:hAnsi="Arial" w:cs="Arial"/>
          <w:b/>
          <w:spacing w:val="8"/>
          <w:szCs w:val="21"/>
        </w:rPr>
        <w:t xml:space="preserve">。</w:t>
      </w:r>
      <w:r/>
    </w:p>
    <w:p>
      <w:pPr>
        <w:ind w:firstLine="454"/>
        <w:spacing w:line="360" w:lineRule="auto"/>
        <w:rPr>
          <w:rFonts w:ascii="Arial" w:hAnsi="Arial" w:cs="Arial"/>
          <w:bCs/>
          <w:szCs w:val="21"/>
        </w:rPr>
      </w:pPr>
      <w:r>
        <w:rPr>
          <w:rFonts w:ascii="Arial" w:hAnsi="Arial" w:cs="Arial"/>
          <w:b/>
          <w:spacing w:val="8"/>
          <w:szCs w:val="21"/>
        </w:rPr>
        <w:t xml:space="preserve">2.4第2.1（5）条所称重大违法记录，</w:t>
      </w:r>
      <w:r>
        <w:rPr>
          <w:rFonts w:ascii="Arial" w:hAnsi="Arial" w:cs="Arial"/>
          <w:bCs/>
          <w:szCs w:val="21"/>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 </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四、提交投标文件开始时间</w:t>
      </w:r>
      <w:r>
        <w:rPr>
          <w:rFonts w:hint="eastAsia" w:ascii="Arial" w:hAnsi="Arial" w:cs="Arial"/>
          <w:b/>
          <w:spacing w:val="8"/>
          <w:sz w:val="24"/>
        </w:rPr>
        <w:t xml:space="preserve">、</w:t>
      </w:r>
      <w:r>
        <w:rPr>
          <w:rFonts w:ascii="Arial" w:hAnsi="Arial" w:cs="Arial"/>
          <w:b/>
          <w:spacing w:val="8"/>
          <w:sz w:val="24"/>
        </w:rPr>
        <w:t xml:space="preserve">截止时间、地点和开标时间</w:t>
      </w:r>
      <w:r>
        <w:rPr>
          <w:rFonts w:hint="eastAsia" w:ascii="Arial" w:hAnsi="Arial" w:cs="Arial"/>
          <w:b/>
          <w:spacing w:val="8"/>
          <w:sz w:val="24"/>
        </w:rPr>
        <w:t xml:space="preserve">、</w:t>
      </w:r>
      <w:r>
        <w:rPr>
          <w:rFonts w:ascii="Arial" w:hAnsi="Arial" w:cs="Arial"/>
          <w:b/>
          <w:spacing w:val="8"/>
          <w:sz w:val="24"/>
        </w:rPr>
        <w:t xml:space="preserve">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6</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15</w:t>
      </w:r>
      <w:r>
        <w:rPr>
          <w:rFonts w:hint="eastAsia" w:ascii="宋体" w:hAnsi="宋体" w:cs="宋体"/>
          <w:b/>
          <w:bCs/>
          <w:spacing w:val="8"/>
          <w:szCs w:val="21"/>
        </w:rPr>
        <w:t xml:space="preserve">日</w:t>
      </w:r>
      <w:r>
        <w:rPr>
          <w:rFonts w:hint="eastAsia" w:ascii="宋体" w:hAnsi="宋体" w:cs="宋体"/>
          <w:b/>
          <w:bCs/>
        </w:rPr>
        <w:t xml:space="preserve">14</w:t>
      </w:r>
      <w:r>
        <w:rPr>
          <w:rFonts w:hint="eastAsia" w:ascii="宋体" w:hAnsi="宋体" w:cs="宋体"/>
          <w:b/>
          <w:bCs/>
          <w:spacing w:val="8"/>
          <w:szCs w:val="21"/>
        </w:rPr>
        <w:t xml:space="preserve">点</w:t>
      </w:r>
      <w:r>
        <w:rPr>
          <w:rFonts w:hint="eastAsia" w:ascii="宋体" w:hAnsi="宋体" w:cs="宋体"/>
          <w:b/>
          <w:bCs/>
          <w:lang w:val="en-US" w:eastAsia="zh-CN"/>
        </w:rPr>
        <w:t xml:space="preserve">0</w:t>
      </w:r>
      <w:r>
        <w:rPr>
          <w:rFonts w:hint="eastAsia" w:ascii="宋体" w:hAnsi="宋体" w:cs="宋体"/>
          <w:b/>
          <w:bCs/>
        </w:rPr>
        <w:t xml:space="preserve">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732"/>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szCs w:val="21"/>
        </w:rPr>
      </w:pPr>
      <w:r>
        <w:rPr>
          <w:rFonts w:hint="eastAsia"/>
          <w:spacing w:val="15"/>
          <w:szCs w:val="21"/>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江苏政府采购网、中国政府采购网</w:t>
      </w:r>
      <w:r>
        <w:rPr>
          <w:rFonts w:hint="eastAsia" w:ascii="Arial" w:hAnsi="Arial" w:cs="Arial"/>
          <w:bCs/>
          <w:szCs w:val="21"/>
          <w:lang w:val="zh-CN"/>
        </w:rPr>
        <w:t xml:space="preserve">发布公告。</w:t>
      </w:r>
      <w:r/>
    </w:p>
    <w:p>
      <w:pPr>
        <w:ind w:firstLine="424"/>
        <w:spacing w:line="360" w:lineRule="auto"/>
        <w:rPr>
          <w:rFonts w:ascii="Arial" w:hAnsi="Arial" w:cs="Arial"/>
          <w:bCs/>
          <w:szCs w:val="21"/>
        </w:rPr>
      </w:pPr>
      <w:r>
        <w:rPr>
          <w:rFonts w:hint="eastAsia" w:ascii="Arial" w:hAnsi="Arial" w:cs="Arial"/>
          <w:bCs/>
          <w:szCs w:val="21"/>
        </w:rPr>
        <w:t xml:space="preserve">6.2勘察现场或答疑地点：无。</w:t>
      </w:r>
      <w:r/>
    </w:p>
    <w:p>
      <w:pPr>
        <w:ind w:firstLine="424"/>
        <w:spacing w:line="360" w:lineRule="auto"/>
        <w:rPr>
          <w:rFonts w:ascii="Arial" w:hAnsi="Arial" w:cs="Arial"/>
          <w:bCs/>
          <w:szCs w:val="21"/>
        </w:rPr>
      </w:pPr>
      <w:r>
        <w:rPr>
          <w:rFonts w:hint="eastAsia" w:ascii="Arial" w:hAnsi="Arial" w:cs="Arial"/>
          <w:bCs/>
          <w:szCs w:val="21"/>
        </w:rPr>
        <w:t xml:space="preserve">6.3获取招标文件方式补充：本项目采用网上注册登记方式。</w:t>
      </w:r>
      <w:r/>
    </w:p>
    <w:p>
      <w:pPr>
        <w:ind w:firstLine="424"/>
        <w:spacing w:line="360" w:lineRule="auto"/>
        <w:rPr>
          <w:rFonts w:ascii="Arial" w:hAnsi="Arial" w:cs="Arial"/>
          <w:bCs/>
          <w:szCs w:val="21"/>
        </w:rPr>
      </w:pPr>
      <w:r>
        <w:rPr>
          <w:rFonts w:hint="eastAsia" w:ascii="Arial" w:hAnsi="Arial" w:cs="Arial"/>
          <w:bCs/>
          <w:szCs w:val="21"/>
        </w:rPr>
        <w:t xml:space="preserve">①潜在供应商访问电子招标响应交易平台的网络地址和方法：</w:t>
      </w:r>
      <w:r/>
    </w:p>
    <w:p>
      <w:pPr>
        <w:ind w:firstLine="424"/>
        <w:spacing w:line="360" w:lineRule="auto"/>
        <w:rPr>
          <w:rFonts w:ascii="Arial" w:hAnsi="Arial" w:cs="Arial"/>
          <w:bCs/>
          <w:szCs w:val="21"/>
        </w:rPr>
      </w:pPr>
      <w:r>
        <w:rPr>
          <w:rFonts w:hint="eastAsia" w:ascii="Arial" w:hAnsi="Arial" w:cs="Arial"/>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ascii="Arial" w:hAnsi="Arial" w:cs="Arial"/>
          <w:bCs/>
          <w:szCs w:val="21"/>
        </w:rPr>
      </w:pPr>
      <w:r>
        <w:rPr>
          <w:rFonts w:hint="eastAsia" w:ascii="Arial" w:hAnsi="Arial" w:cs="Arial"/>
          <w:bCs/>
          <w:szCs w:val="21"/>
        </w:rPr>
        <w:t xml:space="preserve">②潜在供应商访问“苏采云”系统的网络地址和方法：“苏采云”系统的网址：http：//jszfcg.jsczt.cn/。</w:t>
      </w:r>
      <w:r/>
    </w:p>
    <w:p>
      <w:pPr>
        <w:ind w:firstLine="424"/>
        <w:spacing w:line="360" w:lineRule="auto"/>
        <w:rPr>
          <w:rFonts w:ascii="Arial" w:hAnsi="Arial" w:cs="Arial"/>
          <w:bCs/>
          <w:szCs w:val="21"/>
        </w:rPr>
      </w:pPr>
      <w:r>
        <w:rPr>
          <w:rFonts w:hint="eastAsia" w:ascii="Arial" w:hAnsi="Arial" w:cs="Arial"/>
          <w:bCs/>
          <w:szCs w:val="21"/>
        </w:rPr>
        <w:t xml:space="preserve">③“CA数字证书”的获取：</w:t>
      </w:r>
      <w:r/>
    </w:p>
    <w:p>
      <w:pPr>
        <w:ind w:firstLine="424"/>
        <w:spacing w:line="360" w:lineRule="auto"/>
        <w:rPr>
          <w:rFonts w:ascii="Arial" w:hAnsi="Arial" w:cs="Arial"/>
          <w:bCs/>
          <w:szCs w:val="21"/>
        </w:rPr>
      </w:pPr>
      <w:r>
        <w:rPr>
          <w:rFonts w:hint="eastAsia" w:ascii="Arial" w:hAnsi="Arial" w:cs="Arial"/>
          <w:bCs/>
          <w:szCs w:val="21"/>
        </w:rPr>
        <w:t xml:space="preserve">响应供应商需办理“CA 数字证书”，CA办理指南及“苏采云”操作手册可至江苏省政府采购网―办事指南-资料下载中心下载。</w:t>
      </w:r>
      <w:r/>
    </w:p>
    <w:p>
      <w:pPr>
        <w:ind w:firstLine="424"/>
        <w:spacing w:line="360" w:lineRule="auto"/>
        <w:rPr>
          <w:rFonts w:ascii="Arial" w:hAnsi="Arial" w:cs="Arial"/>
          <w:bCs/>
          <w:szCs w:val="21"/>
        </w:rPr>
      </w:pPr>
      <w:r>
        <w:rPr>
          <w:rFonts w:hint="eastAsia" w:ascii="Arial" w:hAnsi="Arial" w:cs="Arial"/>
          <w:bCs/>
          <w:szCs w:val="21"/>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ascii="Arial" w:hAnsi="Arial" w:cs="Arial"/>
          <w:bCs/>
          <w:szCs w:val="21"/>
        </w:rPr>
      </w:pPr>
      <w:r>
        <w:rPr>
          <w:rFonts w:hint="eastAsia" w:ascii="Arial" w:hAnsi="Arial" w:cs="Arial"/>
          <w:bCs/>
          <w:szCs w:val="21"/>
        </w:rPr>
        <w:t xml:space="preserve">④采购文件（后缀名为“.kedt”）、供应商操作手册及政府采购客户端工具可通过“苏采云”系统--已报名项目--报名详情页面内相应链接进行下载。</w:t>
      </w:r>
      <w:r/>
    </w:p>
    <w:p>
      <w:pPr>
        <w:ind w:firstLine="424"/>
        <w:spacing w:line="360" w:lineRule="auto"/>
        <w:rPr>
          <w:rFonts w:ascii="Arial" w:hAnsi="Arial" w:cs="Arial"/>
          <w:bCs/>
          <w:szCs w:val="21"/>
        </w:rPr>
      </w:pPr>
      <w:r>
        <w:rPr>
          <w:rFonts w:hint="eastAsia" w:ascii="Arial" w:hAnsi="Arial" w:cs="Arial"/>
          <w:bCs/>
          <w:szCs w:val="21"/>
        </w:rPr>
        <w:t xml:space="preserve">⑤采购人或采购代理机构将数据电文形式的采购文件加载至“苏采云”系统，供潜在供应商下载或者查阅。</w:t>
      </w:r>
      <w:r/>
    </w:p>
    <w:p>
      <w:pPr>
        <w:ind w:firstLine="424"/>
        <w:spacing w:line="360" w:lineRule="auto"/>
        <w:rPr>
          <w:rFonts w:ascii="Arial" w:hAnsi="Arial" w:cs="Arial"/>
          <w:bCs/>
          <w:szCs w:val="21"/>
        </w:rPr>
      </w:pPr>
      <w:r>
        <w:rPr>
          <w:rFonts w:hint="eastAsia" w:ascii="Arial" w:hAnsi="Arial" w:cs="Arial"/>
          <w:bCs/>
          <w:szCs w:val="21"/>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szCs w:val="21"/>
        </w:rPr>
      </w:pPr>
      <w:r>
        <w:rPr>
          <w:rFonts w:hint="eastAsia" w:ascii="Arial" w:hAnsi="Arial" w:cs="Arial"/>
          <w:bCs/>
          <w:szCs w:val="21"/>
        </w:rPr>
        <w:t xml:space="preserve">注：如潜在供应商未按上述要求操作，将自行承担所产生的风险。</w:t>
      </w:r>
      <w:r/>
    </w:p>
    <w:p>
      <w:pPr>
        <w:ind w:firstLine="424"/>
        <w:spacing w:line="360" w:lineRule="auto"/>
        <w:rPr>
          <w:rFonts w:ascii="Arial" w:hAnsi="Arial" w:cs="Arial"/>
          <w:bCs/>
          <w:szCs w:val="21"/>
        </w:rPr>
      </w:pPr>
      <w:r>
        <w:rPr>
          <w:rFonts w:ascii="Arial" w:hAnsi="Arial" w:cs="Arial"/>
          <w:bCs/>
          <w:szCs w:val="21"/>
        </w:rPr>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称：南京医科大学</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地址：南京市江宁区龙眠大道101号</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联系方式：</w:t>
      </w:r>
      <w:r>
        <w:rPr>
          <w:rFonts w:hint="eastAsia" w:ascii="Arial" w:hAnsi="Arial" w:cs="Arial"/>
          <w:bCs/>
          <w:szCs w:val="21"/>
        </w:rPr>
        <w:t xml:space="preserve">陈</w:t>
      </w:r>
      <w:r>
        <w:rPr>
          <w:rFonts w:hint="eastAsia" w:ascii="Arial" w:hAnsi="Arial" w:cs="Arial"/>
          <w:bCs/>
          <w:szCs w:val="21"/>
          <w:lang w:val="zh-CN"/>
        </w:rPr>
        <w:t xml:space="preserve">老师 </w:t>
      </w:r>
      <w:r>
        <w:rPr>
          <w:rFonts w:hint="eastAsia" w:ascii="Arial" w:hAnsi="Arial" w:cs="Arial"/>
          <w:bCs/>
          <w:szCs w:val="21"/>
        </w:rPr>
        <w:t xml:space="preserve">025-86868572</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称：江苏省设备成套股份有限公司</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　址：南京市鼓楼区清江南路18号鼓楼创新广场10楼100</w:t>
      </w:r>
      <w:r>
        <w:rPr>
          <w:rFonts w:hint="eastAsia" w:ascii="Arial" w:hAnsi="Arial" w:cs="Arial"/>
          <w:bCs/>
          <w:szCs w:val="21"/>
        </w:rPr>
        <w:t xml:space="preserve">1</w:t>
      </w:r>
      <w:r>
        <w:rPr>
          <w:rFonts w:hint="eastAsia" w:ascii="Arial" w:hAnsi="Arial" w:cs="Arial"/>
          <w:bCs/>
          <w:szCs w:val="21"/>
          <w:lang w:val="zh-CN"/>
        </w:rPr>
        <w:t xml:space="preserve">室</w:t>
      </w:r>
      <w:r/>
    </w:p>
    <w:p>
      <w:pPr>
        <w:ind w:firstLine="424"/>
        <w:spacing w:line="360" w:lineRule="auto"/>
        <w:rPr>
          <w:rFonts w:ascii="Arial" w:hAnsi="Arial" w:cs="Arial"/>
          <w:bCs/>
          <w:szCs w:val="21"/>
        </w:rPr>
      </w:pPr>
      <w:r>
        <w:rPr>
          <w:rFonts w:hint="eastAsia" w:ascii="Arial" w:hAnsi="Arial" w:cs="Arial"/>
          <w:bCs/>
          <w:szCs w:val="21"/>
          <w:lang w:val="zh-CN"/>
        </w:rPr>
        <w:t xml:space="preserve">联系方式：</w:t>
      </w:r>
      <w:r>
        <w:rPr>
          <w:rFonts w:hint="eastAsia" w:ascii="Arial" w:hAnsi="Arial" w:cs="Arial"/>
          <w:bCs/>
          <w:szCs w:val="21"/>
        </w:rPr>
        <w:t xml:space="preserve">古南明</w:t>
      </w:r>
      <w:r>
        <w:rPr>
          <w:rFonts w:hint="eastAsia" w:ascii="Arial" w:hAnsi="Arial" w:cs="Arial"/>
          <w:bCs/>
          <w:szCs w:val="21"/>
          <w:lang w:val="zh-CN"/>
        </w:rPr>
        <w:t xml:space="preserve"> 025-</w:t>
      </w:r>
      <w:r>
        <w:rPr>
          <w:rFonts w:hint="eastAsia" w:ascii="Arial" w:hAnsi="Arial" w:cs="Arial"/>
          <w:bCs/>
          <w:szCs w:val="21"/>
        </w:rPr>
        <w:t xml:space="preserve">83306855</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项目联系人：</w:t>
      </w:r>
      <w:r>
        <w:rPr>
          <w:rFonts w:hint="eastAsia" w:ascii="Arial" w:hAnsi="Arial" w:cs="Arial"/>
          <w:bCs/>
          <w:szCs w:val="21"/>
        </w:rPr>
        <w:t xml:space="preserve">古南明</w:t>
      </w:r>
      <w:r/>
    </w:p>
    <w:p>
      <w:pPr>
        <w:ind w:firstLine="424"/>
        <w:spacing w:line="360" w:lineRule="auto"/>
        <w:rPr>
          <w:rFonts w:ascii="Arial" w:hAnsi="Arial" w:cs="Arial"/>
          <w:bCs/>
          <w:szCs w:val="21"/>
        </w:rPr>
      </w:pPr>
      <w:r>
        <w:rPr>
          <w:rFonts w:hint="eastAsia" w:ascii="Arial" w:hAnsi="Arial" w:cs="Arial"/>
          <w:bCs/>
          <w:szCs w:val="21"/>
          <w:lang w:val="zh-CN"/>
        </w:rPr>
        <w:t xml:space="preserve">电　话： 025-</w:t>
      </w:r>
      <w:r>
        <w:rPr>
          <w:rFonts w:hint="eastAsia" w:ascii="Arial" w:hAnsi="Arial" w:cs="Arial"/>
          <w:bCs/>
          <w:szCs w:val="21"/>
        </w:rPr>
        <w:t xml:space="preserve">83306855</w:t>
      </w:r>
      <w:r/>
    </w:p>
    <w:p>
      <w:pPr>
        <w:ind w:firstLine="424"/>
        <w:spacing w:line="360" w:lineRule="auto"/>
        <w:rPr>
          <w:rFonts w:ascii="Arial" w:hAnsi="Arial" w:cs="Arial"/>
          <w:bCs/>
          <w:szCs w:val="21"/>
        </w:rPr>
      </w:pPr>
      <w:r>
        <w:rPr>
          <w:rFonts w:hint="eastAsia" w:ascii="Arial" w:hAnsi="Arial" w:cs="Arial"/>
          <w:bCs/>
          <w:szCs w:val="21"/>
        </w:rPr>
        <w:t xml:space="preserve">邮箱：gunm@jcec.cn</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691"/>
        <w:numPr>
          <w:ilvl w:val="0"/>
          <w:numId w:val="0"/>
        </w:numPr>
        <w:rPr>
          <w:rFonts w:ascii="Arial" w:hAnsi="Arial" w:cs="Arial"/>
        </w:rPr>
      </w:pPr>
      <w:r/>
      <w:bookmarkStart w:id="14" w:name="_Toc17613"/>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rPr>
        <w:t xml:space="preserve">标包</w:t>
      </w:r>
      <w:r>
        <w:rPr>
          <w:rFonts w:ascii="Arial" w:hAnsi="宋体" w:cs="Arial"/>
          <w:szCs w:val="21"/>
        </w:rPr>
        <w:t xml:space="preserve">。招标货物数量及技术要求中未分</w:t>
      </w:r>
      <w:r>
        <w:rPr>
          <w:rFonts w:hint="eastAsia" w:ascii="Arial" w:hAnsi="宋体" w:cs="Arial"/>
          <w:szCs w:val="21"/>
        </w:rPr>
        <w:t xml:space="preserve">标包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标包</w:t>
      </w:r>
      <w:r>
        <w:rPr>
          <w:rFonts w:ascii="Arial" w:hAnsi="宋体" w:cs="Arial"/>
          <w:szCs w:val="21"/>
        </w:rPr>
        <w:t xml:space="preserve">的，可以以</w:t>
      </w:r>
      <w:r>
        <w:rPr>
          <w:rFonts w:hint="eastAsia" w:ascii="Arial" w:hAnsi="宋体" w:cs="Arial"/>
          <w:szCs w:val="21"/>
        </w:rPr>
        <w:t xml:space="preserve">标包</w:t>
      </w:r>
      <w:r>
        <w:rPr>
          <w:rFonts w:ascii="Arial" w:hAnsi="宋体" w:cs="Arial"/>
          <w:szCs w:val="21"/>
        </w:rPr>
        <w:t xml:space="preserve">为单位投标。</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”）的技术条款必须在投标文件中提供技术支持资料（如彩页、手册、检测报告等</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hint="eastAsia"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84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4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4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widowControl/>
        <w:rPr>
          <w:rFonts w:hint="eastAsia"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 评标委员会</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22.1.1评标委员会负责具体评标事务，并独立履行下列职责：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（二）要求投标人对投标文件有关事项作出澄清或者说明；</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（三）对投标文件进行比较和评价；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  评标程序</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22.2.3澄清有关问题。</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评委会并非对每个投标人都做澄清要求。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（2）大写金额和小写金额不一致的，以大写金额为准；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（4）总价金额与按单价汇总金额不一致的，以单价金额计算结果为准。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 评标方法和标准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评审因素，包括价格、技术、商务等。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评标总得分＝F1×A1＋F2×A2＋……＋Fn×An</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F1、F2……Fn分别为各项评审因素的得分；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A1、A2、……An 分别为各项评审因素所占的权重(A1＋A2＋……＋An＝1)。</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23.5 所有投标文件不论中标与否，均不退回。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25、评标过程的保密性</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26.6 采购人与中标人应当根据合同的约定依法履行合同义务。</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七、质疑和投诉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27.3</w:t>
      </w:r>
      <w:r>
        <w:rPr>
          <w:rFonts w:ascii="SimSun" w:hAnsi="SimSun" w:eastAsia="SimSun" w:cs="SimSun"/>
          <w:b/>
          <w:color w:val="000000"/>
          <w:sz w:val="21"/>
        </w:rPr>
        <w:t xml:space="preserve">供应商认为采购文件、采购过程和中标结果使自己的合法权益受到损害的，可以在知道或者应知其权益受到损害之日起七个工作日内，以书面形式向采购人或采购代理机构提出质疑。</w:t>
      </w:r>
      <w:r>
        <w:rPr>
          <w:rFonts w:hint="eastAsia" w:ascii="Arial" w:hAnsi="Arial" w:cs="Arial"/>
          <w:b/>
          <w:bCs/>
          <w:szCs w:val="21"/>
        </w:rPr>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（一）供应商的姓名或者名称、地址、邮编、联系人及联系电话；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（二）质疑项目的名称、编号；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（四）事实依据（具体条款）；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（五）必要的法律依据（具体条款）；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（六）提出质疑的日期。</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27.5</w:t>
      </w:r>
      <w:r>
        <w:rPr>
          <w:rFonts w:hint="eastAsia" w:ascii="Arial" w:hAnsi="Arial" w:cs="Arial"/>
          <w:b/>
          <w:bCs/>
          <w:szCs w:val="21"/>
        </w:rPr>
      </w:r>
      <w:r>
        <w:rPr>
          <w:rFonts w:ascii="SimSun" w:hAnsi="SimSun" w:eastAsia="SimSun" w:cs="SimSun"/>
          <w:b/>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r>
        <w:rPr>
          <w:rFonts w:ascii="Arial" w:hAnsi="Arial" w:cs="Arial"/>
          <w:b/>
          <w:bCs/>
          <w:szCs w:val="21"/>
        </w:rP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ascii="Arial" w:hAnsi="Arial" w:cs="Arial"/>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Arial" w:hAnsi="Arial" w:cs="Arial"/>
        </w:rPr>
      </w:pPr>
      <w:r>
        <w:rPr>
          <w:rFonts w:hint="eastAsia" w:ascii="Arial" w:hAnsi="Arial" w:cs="Arial"/>
        </w:rPr>
        <w:br w:type="page" w:clear="all"/>
      </w:r>
      <w:r/>
    </w:p>
    <w:p>
      <w:pPr>
        <w:pStyle w:val="691"/>
        <w:numPr>
          <w:ilvl w:val="0"/>
          <w:numId w:val="0"/>
        </w:numPr>
        <w:rPr>
          <w:rFonts w:ascii="Arial" w:hAnsi="Arial" w:cs="Arial"/>
        </w:rPr>
      </w:pPr>
      <w:r/>
      <w:bookmarkStart w:id="18" w:name="_Toc9740"/>
      <w:r>
        <w:rPr>
          <w:rFonts w:hint="eastAsia" w:ascii="Arial" w:hAnsi="Arial" w:cs="Arial"/>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位。按评审后得分由高到低顺序排列，得分相同的，按投标报价由低到高顺序排列，得分且投标报价相同的，按</w:t>
      </w:r>
      <w:r>
        <w:rPr>
          <w:rFonts w:hint="eastAsia" w:ascii="Arial" w:hAnsi="Arial" w:cs="Arial"/>
          <w:b/>
          <w:bCs/>
        </w:rPr>
        <w:t xml:space="preserve">技术响应情况得分</w:t>
      </w:r>
      <w:r>
        <w:rPr>
          <w:rFonts w:hint="eastAsia" w:ascii="Arial" w:hAnsi="Arial" w:cs="Arial"/>
          <w:bCs/>
        </w:rPr>
        <w:t xml:space="preserve">高低</w:t>
      </w:r>
      <w:r>
        <w:rPr>
          <w:rFonts w:hint="eastAsia" w:ascii="Arial" w:hAnsi="Arial" w:cs="Arial"/>
        </w:rPr>
        <w:t xml:space="preserve">顺序排列，由评标委员会确定中标人。</w:t>
      </w:r>
      <w:r/>
    </w:p>
    <w:tbl>
      <w:tblPr>
        <w:tblStyle w:val="701"/>
        <w:tblW w:w="57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503"/>
        <w:gridCol w:w="6931"/>
        <w:gridCol w:w="717"/>
      </w:tblGrid>
      <w:tr>
        <w:trPr>
          <w:jc w:val="center"/>
          <w:trHeight w:val="20"/>
          <w:tblHeader/>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价格分采用低价优先法计算，即满足采购文件要求且报价最低的投标人的最终报价为评审基准价，其价格分为满分 30 分，其它投标人的价格分统一按照以下公式计算：</w:t>
            </w:r>
            <w:r/>
          </w:p>
          <w:p>
            <w:pPr>
              <w:spacing w:line="360" w:lineRule="auto"/>
              <w:rPr>
                <w:rFonts w:hint="eastAsia" w:ascii="宋体" w:hAnsi="宋体" w:cs="宋体"/>
                <w:szCs w:val="21"/>
              </w:rPr>
            </w:pPr>
            <w:r>
              <w:rPr>
                <w:rFonts w:hint="eastAsia" w:ascii="宋体" w:hAnsi="宋体" w:cs="宋体"/>
                <w:szCs w:val="21"/>
              </w:rPr>
              <w:t xml:space="preserve">报价得分=(评审基准价/该投标人的最终报价)× 30分。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30</w:t>
            </w:r>
            <w:r/>
          </w:p>
        </w:tc>
      </w:tr>
      <w:tr>
        <w:trPr>
          <w:jc w:val="center"/>
          <w:trHeight w:val="1745"/>
        </w:trPr>
        <w:tc>
          <w:tcPr>
            <w:tcBorders>
              <w:left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技术指标</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对招标文件具体项目需求的响应程度：全部响应即满足招标文件的技术指标、参数及服务要求的得34分，加“★”为实质性需求参数，有一项不满足视为无效投标，“▲”为重要参数，每一条不满足扣1分，其他参数每一条负偏离扣0.4分扣完为止。</w:t>
            </w:r>
            <w:r/>
          </w:p>
          <w:p>
            <w:pPr>
              <w:spacing w:line="360" w:lineRule="auto"/>
              <w:rPr>
                <w:rFonts w:hint="eastAsia" w:ascii="宋体" w:hAnsi="宋体" w:cs="宋体"/>
                <w:szCs w:val="21"/>
              </w:rPr>
            </w:pPr>
            <w:r>
              <w:rPr>
                <w:rFonts w:hint="eastAsia" w:ascii="宋体" w:hAnsi="宋体" w:cs="宋体"/>
                <w:b/>
                <w:bCs/>
                <w:szCs w:val="21"/>
              </w:rPr>
              <w:t xml:space="preserve">（评标委员会根据第六章投标文件格式【附件六 技术条款偏离表】进行评审，请供应商根据第三章项目需求中【二、技术指标及要求】的条款逐条响应，如实填列所投产品的技术指标和商务条款的响应内容并标注证明资料页码。所有对“★”和“▲”的技术参数响应需提供支撑资料</w:t>
            </w:r>
            <w:r>
              <w:rPr>
                <w:rFonts w:hint="eastAsia"/>
                <w:b/>
                <w:bCs/>
              </w:rPr>
              <w:t xml:space="preserve">（提供相关证明材料并加盖投标单位公章包括但不限于明确说明该技术内容的公开发行的产品彩页或产品说明书或第三方检测机构的检测报告等，自拟无效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 xml:space="preserve">），如未附有效支撑材料或者所附的支撑材料由评标委员会认为不能佐证技术指标的有效性的，则视为负偏离。）</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34</w:t>
            </w:r>
            <w:r/>
          </w:p>
        </w:tc>
      </w:tr>
      <w:tr>
        <w:trPr>
          <w:jc w:val="center"/>
          <w:trHeight w:val="90"/>
        </w:trPr>
        <w:tc>
          <w:tcPr>
            <w:tcBorders>
              <w:left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提供所投同类产品自2021年01月01日以来销售业绩</w:t>
            </w:r>
            <w:r>
              <w:rPr>
                <w:rFonts w:hint="eastAsia" w:ascii="宋体" w:hAnsi="宋体" w:cs="宋体"/>
                <w:b/>
                <w:bCs/>
                <w:szCs w:val="21"/>
              </w:rPr>
              <w:t xml:space="preserve">（须提供加盖公章的有效合同复印件和验收合格证明材料，时间以合同签订时间为准，原件备查），</w:t>
            </w:r>
            <w:r>
              <w:rPr>
                <w:rFonts w:hint="eastAsia" w:ascii="宋体" w:hAnsi="宋体" w:cs="宋体"/>
                <w:szCs w:val="21"/>
              </w:rPr>
              <w:t xml:space="preserve">每提供一份得2分，最多得6分，未提供或者提供不全不得分。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6</w:t>
            </w:r>
            <w:r/>
          </w:p>
        </w:tc>
      </w:tr>
      <w:tr>
        <w:trPr>
          <w:jc w:val="center"/>
          <w:trHeight w:val="90"/>
        </w:trPr>
        <w:tc>
          <w:tcPr>
            <w:tcBorders>
              <w:left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免费质保期</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auto"/>
              <w:rPr>
                <w:rFonts w:hint="eastAsia" w:ascii="宋体" w:hAnsi="宋体" w:cs="宋体"/>
                <w:b/>
                <w:bCs/>
                <w:szCs w:val="21"/>
              </w:rPr>
            </w:pPr>
            <w:r>
              <w:rPr>
                <w:rFonts w:hint="eastAsia" w:ascii="宋体" w:hAnsi="宋体" w:cs="宋体"/>
                <w:color w:val="000000" w:themeColor="text1"/>
                <w:szCs w:val="21"/>
                <w14:textFill>
                  <w14:solidFill>
                    <w14:schemeClr w14:val="tx1"/>
                  </w14:solidFill>
                </w14:textFill>
              </w:rPr>
              <w:t xml:space="preserve">满足招标文件免费质保期要求（2年）的基础上，免费质保每增加1年加1分，本项最高得2分。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r>
      <w:tr>
        <w:trPr>
          <w:jc w:val="center"/>
          <w:trHeight w:val="90"/>
        </w:trPr>
        <w:tc>
          <w:tcPr>
            <w:tcBorders>
              <w:left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实施方案</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提供完善的项目实施计划和实施方案（包含安装、调试、验收等），根据投标单位项目组织实施管理方案的合理性、人员安排、现场应急处理方案等方面进行综合评审：</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1.方案全面，可操作性强的得7分；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2.方案可行，具有可操作性的得4分；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3.方案无实质性内容、服务响应及时性较差没有可操作性得1分；</w:t>
            </w:r>
            <w:r/>
          </w:p>
          <w:p>
            <w:pPr>
              <w:spacing w:line="360" w:lineRule="auto"/>
              <w:rPr>
                <w:rFonts w:hint="eastAsia" w:ascii="宋体" w:hAnsi="宋体" w:cs="宋体"/>
                <w:b/>
                <w:bCs/>
                <w:szCs w:val="21"/>
              </w:rPr>
            </w:pPr>
            <w:r>
              <w:rPr>
                <w:rFonts w:hint="eastAsia" w:ascii="宋体" w:hAnsi="宋体" w:cs="宋体"/>
                <w:color w:val="000000" w:themeColor="text1"/>
                <w:szCs w:val="21"/>
                <w14:textFill>
                  <w14:solidFill>
                    <w14:schemeClr w14:val="tx1"/>
                  </w14:solidFill>
                </w14:textFill>
              </w:rPr>
              <w:t xml:space="preserve">4.未提供的得0分。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p>
        </w:tc>
      </w:tr>
      <w:tr>
        <w:trPr>
          <w:jc w:val="center"/>
          <w:trHeight w:val="1602"/>
        </w:trPr>
        <w:tc>
          <w:tcPr>
            <w:tcBorders>
              <w:left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供货计划及方案</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提供完善的项目供货计划和供货方案，根据投标单位项目组织实施管理方案的合理性、人员安排、供货期等方面进行综合评审：</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1.方案全面、服务响应快，可操作性强的得7分；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2.方案一般、服务响应一般，可操作性一般的得4分；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3.方案无实质性内容、服务响应及时性较差得1分；</w:t>
            </w:r>
            <w:r/>
          </w:p>
          <w:p>
            <w:pPr>
              <w:spacing w:line="360" w:lineRule="auto"/>
              <w:rPr>
                <w:rFonts w:hint="eastAsia" w:ascii="宋体" w:hAnsi="宋体" w:cs="宋体"/>
                <w:b/>
                <w:bCs/>
                <w:szCs w:val="21"/>
              </w:rPr>
            </w:pPr>
            <w:r>
              <w:rPr>
                <w:rFonts w:hint="eastAsia" w:ascii="宋体" w:hAnsi="宋体" w:cs="宋体"/>
                <w:color w:val="000000" w:themeColor="text1"/>
                <w:szCs w:val="21"/>
                <w14:textFill>
                  <w14:solidFill>
                    <w14:schemeClr w14:val="tx1"/>
                  </w14:solidFill>
                </w14:textFill>
              </w:rPr>
              <w:t xml:space="preserve">4.没有可操作性或未提供的得0分。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p>
        </w:tc>
      </w:tr>
      <w:tr>
        <w:trPr>
          <w:jc w:val="center"/>
          <w:trHeight w:val="1602"/>
        </w:trPr>
        <w:tc>
          <w:tcPr>
            <w:tcBorders>
              <w:left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技术性能</w:t>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对产品选型、规格、设计的科学性、合理性、材质选用、制造工艺水平等进行综合评审：</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1.选型、规格高、设计方案清楚合理可操作性强、材质选用、制造工艺水平高，得7分；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2.选型、规格一般、设计方案基本清楚合理可操作性一般、材质选用、制造工艺水平一般，得4分；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3.选型、规格差、设计方案不清楚不合理可操作性差、材质选用、制造工艺水平差得1分；</w:t>
            </w:r>
            <w:r/>
          </w:p>
          <w:p>
            <w:pPr>
              <w:spacing w:line="360" w:lineRule="auto"/>
              <w:rPr>
                <w:rFonts w:hint="eastAsia" w:ascii="宋体" w:hAnsi="宋体" w:cs="宋体"/>
                <w:b/>
                <w:bCs/>
                <w:szCs w:val="21"/>
              </w:rPr>
            </w:pPr>
            <w:r>
              <w:rPr>
                <w:rFonts w:hint="eastAsia" w:ascii="宋体" w:hAnsi="宋体" w:cs="宋体"/>
                <w:color w:val="000000" w:themeColor="text1"/>
                <w:szCs w:val="21"/>
                <w14:textFill>
                  <w14:solidFill>
                    <w14:schemeClr w14:val="tx1"/>
                  </w14:solidFill>
                </w14:textFill>
              </w:rPr>
              <w:t xml:space="preserve">4.未提供得0分。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p>
        </w:tc>
      </w:tr>
      <w:tr>
        <w:trPr>
          <w:jc w:val="center"/>
          <w:trHeight w:val="424"/>
        </w:trPr>
        <w:tc>
          <w:tcPr>
            <w:tcBorders>
              <w:left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W w:w="76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售后服务方案</w:t>
            </w:r>
            <w:r/>
          </w:p>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532" w:type="pct"/>
            <w:vAlign w:val="center"/>
            <w:textDirection w:val="lrTb"/>
            <w:noWrap w:val="false"/>
          </w:tcPr>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根据投标人针对本项目提供的售后服务方案（包括但不限于售后服务人员的配备、服务响应时间、质保期后服务等技术指导及该仪器的备品、配件、耗材、维修的明细、价格或折扣的承诺）进行综合评审：</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1.服务方案全面，细致，有针对性，且售后服务、质保期后服务等技术指导方案周全，备品、配件、耗材、维修的明细、价格或折扣合理，得7分；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2.服务方案不够全面，无针对性，且售后服务、质保期后服务等技术指导方案内容不够周全，备品、配件、耗材、维修的明细、价格或折扣较为合理的，得4分；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3.服务方案无实质性内容、没有可操作性，备品、配件、耗材、维修的明细、价格或折扣不太合理得1分；</w:t>
            </w:r>
            <w:r/>
          </w:p>
          <w:p>
            <w:pPr>
              <w:spacing w:line="360" w:lineRule="auto"/>
              <w:rPr>
                <w:rFonts w:hint="eastAsia" w:ascii="宋体" w:hAnsi="宋体" w:cs="宋体"/>
                <w:b/>
                <w:bCs/>
                <w:szCs w:val="21"/>
              </w:rPr>
            </w:pPr>
            <w:r>
              <w:rPr>
                <w:rFonts w:hint="eastAsia" w:ascii="宋体" w:hAnsi="宋体" w:cs="宋体"/>
                <w:color w:val="000000" w:themeColor="text1"/>
                <w:szCs w:val="21"/>
                <w14:textFill>
                  <w14:solidFill>
                    <w14:schemeClr w14:val="tx1"/>
                  </w14:solidFill>
                </w14:textFill>
              </w:rPr>
              <w:t xml:space="preserve">4.未提供的得0分。</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p>
        </w:tc>
      </w:tr>
      <w:tr>
        <w:trPr>
          <w:jc w:val="center"/>
          <w:trHeight w:val="724"/>
        </w:trPr>
        <w:tc>
          <w:tcPr>
            <w:tcBorders>
              <w:left w:val="single" w:color="auto" w:sz="4" w:space="0"/>
              <w:right w:val="single" w:color="auto" w:sz="4" w:space="0"/>
            </w:tcBorders>
            <w:tcW w:w="33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9</w:t>
            </w:r>
            <w:r/>
          </w:p>
        </w:tc>
        <w:tc>
          <w:tcPr>
            <w:gridSpan w:val="2"/>
            <w:tcBorders>
              <w:left w:val="single" w:color="auto" w:sz="4" w:space="0"/>
              <w:right w:val="single" w:color="auto" w:sz="4" w:space="0"/>
            </w:tcBorders>
            <w:tcW w:w="429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65"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2"/>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hint="eastAsia" w:ascii="宋体" w:hAnsi="宋体" w:cs="宋体"/>
          <w:b/>
          <w:szCs w:val="21"/>
        </w:rPr>
      </w:pPr>
      <w:r>
        <w:rPr>
          <w:rFonts w:hint="eastAsia" w:ascii="宋体" w:hAnsi="宋体" w:cs="宋体"/>
          <w:b/>
          <w:szCs w:val="21"/>
        </w:rPr>
        <w:t xml:space="preserve">2.小微企业价格扣除</w:t>
      </w:r>
      <w:r/>
    </w:p>
    <w:p>
      <w:pPr>
        <w:ind w:firstLine="422"/>
        <w:spacing w:line="360" w:lineRule="auto"/>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hint="eastAsia"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r/>
    </w:p>
    <w:p>
      <w:pPr>
        <w:pStyle w:val="691"/>
        <w:numPr>
          <w:ilvl w:val="0"/>
          <w:numId w:val="0"/>
        </w:numPr>
        <w:rPr>
          <w:rFonts w:ascii="Arial" w:hAnsi="Arial" w:cs="Arial"/>
          <w:highlight w:val="green"/>
        </w:rPr>
      </w:pPr>
      <w:r/>
      <w:bookmarkStart w:id="19" w:name="_Toc26668"/>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19"/>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2119"/>
      <w:r/>
      <w:bookmarkStart w:id="24" w:name="_Toc311"/>
      <w:r/>
      <w:bookmarkStart w:id="25" w:name="_Toc18449"/>
      <w:r/>
      <w:bookmarkStart w:id="26" w:name="_Toc4968"/>
      <w:r/>
      <w:r/>
    </w:p>
    <w:p>
      <w:pPr>
        <w:pStyle w:val="761"/>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南京医科大学为满足教学实验需要，需采购如下设备</w:t>
      </w:r>
      <w:bookmarkEnd w:id="23"/>
      <w:bookmarkEnd w:id="24"/>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113"/>
        <w:gridCol w:w="1243"/>
        <w:gridCol w:w="1704"/>
        <w:gridCol w:w="1704"/>
      </w:tblGrid>
      <w:tr>
        <w:trPr>
          <w:jc w:val="center"/>
          <w:trHeight w:val="90"/>
        </w:trPr>
        <w:tc>
          <w:tcPr>
            <w:tcW w:w="751" w:type="dxa"/>
            <w:vAlign w:val="center"/>
            <w:textDirection w:val="lrTb"/>
            <w:noWrap w:val="false"/>
          </w:tcPr>
          <w:p>
            <w:pPr>
              <w:pStyle w:val="761"/>
              <w:ind w:firstLine="0"/>
              <w:jc w:val="center"/>
              <w:spacing w:line="360" w:lineRule="auto"/>
              <w:rPr>
                <w:rFonts w:hint="eastAsia" w:ascii="宋体" w:hAnsi="宋体" w:cs="宋体"/>
                <w:b/>
                <w:bCs/>
                <w:szCs w:val="21"/>
              </w:rPr>
            </w:pPr>
            <w:r/>
            <w:bookmarkStart w:id="27" w:name="OLE_LINK12"/>
            <w:r>
              <w:rPr>
                <w:rFonts w:hint="eastAsia" w:ascii="宋体" w:hAnsi="宋体" w:cs="宋体"/>
                <w:b/>
                <w:bCs/>
                <w:szCs w:val="21"/>
              </w:rPr>
              <w:t xml:space="preserve">序号</w:t>
            </w:r>
            <w:r/>
          </w:p>
        </w:tc>
        <w:tc>
          <w:tcPr>
            <w:tcW w:w="3113" w:type="dxa"/>
            <w:vAlign w:val="center"/>
            <w:textDirection w:val="lrTb"/>
            <w:noWrap w:val="false"/>
          </w:tcPr>
          <w:p>
            <w:pPr>
              <w:pStyle w:val="761"/>
              <w:ind w:firstLine="0"/>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1243" w:type="dxa"/>
            <w:vAlign w:val="center"/>
            <w:textDirection w:val="lrTb"/>
            <w:noWrap w:val="false"/>
          </w:tcPr>
          <w:p>
            <w:pPr>
              <w:pStyle w:val="761"/>
              <w:ind w:firstLine="0"/>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1704" w:type="dxa"/>
            <w:vAlign w:val="center"/>
            <w:textDirection w:val="lrTb"/>
            <w:noWrap w:val="false"/>
          </w:tcPr>
          <w:p>
            <w:pPr>
              <w:pStyle w:val="761"/>
              <w:ind w:firstLine="0"/>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1704" w:type="dxa"/>
            <w:vAlign w:val="center"/>
            <w:textDirection w:val="lrTb"/>
            <w:noWrap w:val="false"/>
          </w:tcPr>
          <w:p>
            <w:pPr>
              <w:pStyle w:val="761"/>
              <w:ind w:firstLine="0"/>
              <w:jc w:val="center"/>
              <w:spacing w:line="360" w:lineRule="auto"/>
              <w:rPr>
                <w:rFonts w:hint="eastAsia" w:ascii="宋体" w:hAnsi="宋体" w:cs="宋体"/>
                <w:b/>
                <w:bCs/>
                <w:szCs w:val="21"/>
              </w:rPr>
            </w:pPr>
            <w:r>
              <w:rPr>
                <w:rFonts w:hint="eastAsia" w:ascii="宋体" w:hAnsi="宋体" w:cs="宋体"/>
                <w:b/>
                <w:bCs/>
                <w:szCs w:val="21"/>
              </w:rPr>
              <w:t xml:space="preserve">最高限价</w:t>
            </w:r>
            <w:r/>
          </w:p>
        </w:tc>
      </w:tr>
      <w:tr>
        <w:trPr>
          <w:jc w:val="center"/>
        </w:trPr>
        <w:tc>
          <w:tcPr>
            <w:tcW w:w="751" w:type="dxa"/>
            <w:vAlign w:val="center"/>
            <w:textDirection w:val="lrTb"/>
            <w:noWrap w:val="false"/>
          </w:tcPr>
          <w:p>
            <w:pPr>
              <w:pStyle w:val="761"/>
              <w:ind w:firstLine="0"/>
              <w:jc w:val="center"/>
              <w:spacing w:line="360" w:lineRule="auto"/>
              <w:rPr>
                <w:rFonts w:hint="eastAsia" w:ascii="宋体" w:hAnsi="宋体" w:cs="宋体"/>
                <w:szCs w:val="21"/>
              </w:rPr>
            </w:pPr>
            <w:r>
              <w:rPr>
                <w:rFonts w:hint="eastAsia" w:ascii="宋体" w:hAnsi="宋体" w:cs="宋体"/>
                <w:szCs w:val="21"/>
              </w:rPr>
              <w:t xml:space="preserve">1</w:t>
            </w:r>
            <w:r/>
          </w:p>
        </w:tc>
        <w:tc>
          <w:tcPr>
            <w:tcW w:w="3113" w:type="dxa"/>
            <w:vAlign w:val="bottom"/>
            <w:textDirection w:val="lrTb"/>
            <w:noWrap w:val="false"/>
          </w:tcPr>
          <w:p>
            <w:pPr>
              <w:pStyle w:val="761"/>
              <w:ind w:firstLine="0"/>
              <w:jc w:val="center"/>
              <w:spacing w:line="360" w:lineRule="auto"/>
              <w:rPr>
                <w:rFonts w:hint="eastAsia" w:ascii="宋体" w:hAnsi="宋体" w:cs="宋体"/>
                <w:szCs w:val="21"/>
              </w:rPr>
            </w:pPr>
            <w:r>
              <w:rPr>
                <w:rFonts w:hint="eastAsia" w:ascii="宋体" w:hAnsi="宋体" w:cs="宋体"/>
                <w:szCs w:val="21"/>
              </w:rPr>
              <w:t xml:space="preserve">多模态生理参数采集系统</w:t>
            </w:r>
            <w:r/>
          </w:p>
        </w:tc>
        <w:tc>
          <w:tcPr>
            <w:tcW w:w="1243" w:type="dxa"/>
            <w:vAlign w:val="center"/>
            <w:textDirection w:val="lrTb"/>
            <w:noWrap w:val="false"/>
          </w:tcPr>
          <w:p>
            <w:pPr>
              <w:pStyle w:val="761"/>
              <w:ind w:firstLine="0"/>
              <w:jc w:val="center"/>
              <w:spacing w:line="360" w:lineRule="auto"/>
              <w:rPr>
                <w:rFonts w:hint="eastAsia" w:ascii="宋体" w:hAnsi="宋体" w:cs="宋体"/>
                <w:szCs w:val="21"/>
              </w:rPr>
            </w:pPr>
            <w:r>
              <w:rPr>
                <w:rFonts w:hint="eastAsia" w:ascii="宋体" w:hAnsi="宋体" w:cs="宋体"/>
                <w:szCs w:val="21"/>
              </w:rPr>
              <w:t xml:space="preserve">1</w:t>
            </w:r>
            <w:r/>
          </w:p>
        </w:tc>
        <w:tc>
          <w:tcPr>
            <w:tcW w:w="1704" w:type="dxa"/>
            <w:vAlign w:val="center"/>
            <w:textDirection w:val="lrTb"/>
            <w:noWrap w:val="false"/>
          </w:tcPr>
          <w:p>
            <w:pPr>
              <w:pStyle w:val="761"/>
              <w:ind w:firstLine="0"/>
              <w:jc w:val="center"/>
              <w:spacing w:line="360" w:lineRule="auto"/>
              <w:rPr>
                <w:rFonts w:hint="eastAsia" w:ascii="宋体" w:hAnsi="宋体" w:cs="宋体"/>
                <w:szCs w:val="21"/>
              </w:rPr>
            </w:pPr>
            <w:r>
              <w:rPr>
                <w:rFonts w:hint="eastAsia" w:ascii="宋体" w:hAnsi="宋体" w:cs="宋体"/>
                <w:szCs w:val="21"/>
              </w:rPr>
              <w:t xml:space="preserve">套</w:t>
            </w:r>
            <w:r/>
          </w:p>
        </w:tc>
        <w:tc>
          <w:tcPr>
            <w:tcW w:w="1704" w:type="dxa"/>
            <w:vAlign w:val="center"/>
            <w:textDirection w:val="lrTb"/>
            <w:noWrap w:val="false"/>
          </w:tcPr>
          <w:p>
            <w:pPr>
              <w:pStyle w:val="761"/>
              <w:ind w:firstLine="0"/>
              <w:jc w:val="center"/>
              <w:spacing w:line="360" w:lineRule="auto"/>
              <w:rPr>
                <w:rFonts w:hint="eastAsia" w:ascii="宋体" w:hAnsi="宋体" w:cs="宋体"/>
                <w:szCs w:val="21"/>
              </w:rPr>
            </w:pPr>
            <w:r>
              <w:rPr>
                <w:rFonts w:hint="eastAsia" w:ascii="宋体" w:hAnsi="宋体" w:cs="宋体"/>
                <w:szCs w:val="21"/>
              </w:rPr>
              <w:t xml:space="preserve">150万元</w:t>
            </w:r>
            <w:r/>
          </w:p>
        </w:tc>
      </w:tr>
    </w:tbl>
    <w:p>
      <w:pPr>
        <w:pStyle w:val="974"/>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r>
      <w:r/>
    </w:p>
    <w:p>
      <w:pPr>
        <w:pStyle w:val="974"/>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二、技术指标及要求</w:t>
      </w:r>
      <w:bookmarkEnd w:id="25"/>
      <w:r/>
      <w:bookmarkEnd w:id="26"/>
      <w:r/>
      <w:bookmarkStart w:id="28" w:name="_Toc2652"/>
      <w:r/>
      <w:bookmarkStart w:id="29" w:name="_Toc9991"/>
      <w:r/>
      <w:bookmarkStart w:id="30" w:name="_Toc29315"/>
      <w:r/>
      <w:bookmarkEnd w:id="27"/>
      <w:r/>
    </w:p>
    <w:p>
      <w:pPr>
        <w:ind w:firstLine="420"/>
        <w:spacing w:line="360" w:lineRule="auto"/>
        <w:rPr>
          <w:rFonts w:hint="eastAsia" w:ascii="宋体" w:hAnsi="宋体" w:cs="宋体"/>
          <w:szCs w:val="21"/>
        </w:rPr>
      </w:pPr>
      <w:r>
        <w:rPr>
          <w:rFonts w:hint="eastAsia" w:ascii="宋体" w:hAnsi="宋体" w:cs="宋体"/>
          <w:szCs w:val="21"/>
        </w:rPr>
        <w:t xml:space="preserve">用★标注为实质性需求，如不满足视为未实质性相应，则为无效投标。用▲标注为重要参数，用作负偏离扣分项。</w:t>
      </w:r>
      <w:r/>
    </w:p>
    <w:p>
      <w:pPr>
        <w:ind w:firstLine="420"/>
        <w:spacing w:line="360" w:lineRule="auto"/>
        <w:rPr>
          <w:rFonts w:hint="eastAsia" w:ascii="宋体" w:hAnsi="宋体" w:cs="宋体"/>
          <w:szCs w:val="21"/>
        </w:rPr>
      </w:pPr>
      <w:r>
        <w:rPr>
          <w:rFonts w:hint="eastAsia" w:ascii="宋体" w:hAnsi="宋体" w:cs="宋体"/>
          <w:szCs w:val="21"/>
        </w:rPr>
        <w:t xml:space="preserve">1.无线数字脑电采集系统</w:t>
      </w:r>
      <w:r/>
    </w:p>
    <w:p>
      <w:pPr>
        <w:ind w:firstLine="420"/>
        <w:spacing w:line="360" w:lineRule="auto"/>
        <w:rPr>
          <w:rFonts w:hint="eastAsia" w:ascii="宋体" w:hAnsi="宋体" w:cs="宋体"/>
          <w:szCs w:val="21"/>
        </w:rPr>
      </w:pPr>
      <w:r>
        <w:rPr>
          <w:rFonts w:hint="eastAsia" w:ascii="宋体" w:hAnsi="宋体" w:cs="宋体"/>
          <w:szCs w:val="21"/>
        </w:rPr>
        <w:t xml:space="preserve">1.1整体系统</w:t>
      </w:r>
      <w:r/>
    </w:p>
    <w:p>
      <w:pPr>
        <w:ind w:firstLine="420"/>
        <w:spacing w:line="360" w:lineRule="auto"/>
        <w:rPr>
          <w:rFonts w:hint="eastAsia" w:ascii="宋体" w:hAnsi="宋体" w:cs="宋体"/>
          <w:szCs w:val="21"/>
        </w:rPr>
      </w:pPr>
      <w:r>
        <w:rPr>
          <w:rFonts w:hint="eastAsia" w:ascii="宋体" w:hAnsi="宋体" w:cs="宋体"/>
          <w:szCs w:val="21"/>
        </w:rPr>
        <w:t xml:space="preserve">1.1.1 抗干扰设计，无需专门的屏蔽室；</w:t>
      </w:r>
      <w:r/>
    </w:p>
    <w:p>
      <w:pPr>
        <w:ind w:firstLine="420"/>
        <w:spacing w:line="360" w:lineRule="auto"/>
        <w:rPr>
          <w:rFonts w:hint="eastAsia" w:ascii="宋体" w:hAnsi="宋体" w:cs="宋体"/>
          <w:szCs w:val="21"/>
        </w:rPr>
      </w:pPr>
      <w:r>
        <w:rPr>
          <w:rFonts w:hint="eastAsia" w:ascii="宋体" w:hAnsi="宋体" w:cs="宋体"/>
          <w:szCs w:val="21"/>
        </w:rPr>
        <w:t xml:space="preserve">1.1.2▲数据传输方式：支持5GHz WIFI传输；</w:t>
      </w:r>
      <w:r/>
    </w:p>
    <w:p>
      <w:pPr>
        <w:ind w:firstLine="420"/>
        <w:spacing w:line="360" w:lineRule="auto"/>
        <w:rPr>
          <w:rFonts w:hint="eastAsia" w:ascii="宋体" w:hAnsi="宋体" w:cs="宋体"/>
          <w:szCs w:val="21"/>
        </w:rPr>
      </w:pPr>
      <w:r>
        <w:rPr>
          <w:rFonts w:hint="eastAsia" w:ascii="宋体" w:hAnsi="宋体" w:cs="宋体"/>
          <w:szCs w:val="21"/>
        </w:rPr>
        <w:t xml:space="preserve">1.1.3 系统供电：可充电锂电池，电池仓设计；单块锂电池连续采集不低于4小时；</w:t>
      </w:r>
      <w:r/>
    </w:p>
    <w:p>
      <w:pPr>
        <w:ind w:firstLine="420"/>
        <w:spacing w:line="360" w:lineRule="auto"/>
        <w:rPr>
          <w:rFonts w:hint="eastAsia" w:ascii="宋体" w:hAnsi="宋体" w:cs="宋体"/>
          <w:szCs w:val="21"/>
        </w:rPr>
      </w:pPr>
      <w:r>
        <w:rPr>
          <w:rFonts w:hint="eastAsia" w:ascii="宋体" w:hAnsi="宋体" w:cs="宋体"/>
          <w:szCs w:val="21"/>
        </w:rPr>
        <w:t xml:space="preserve">1.1.4▲无线同步：放大器和同步盒实现无线同步；事件同步精度＜1ms；</w:t>
      </w:r>
      <w:r/>
    </w:p>
    <w:p>
      <w:pPr>
        <w:ind w:firstLine="420"/>
        <w:spacing w:line="360" w:lineRule="auto"/>
        <w:rPr>
          <w:rFonts w:hint="eastAsia" w:ascii="宋体" w:hAnsi="宋体" w:cs="宋体"/>
          <w:szCs w:val="21"/>
        </w:rPr>
      </w:pPr>
      <w:r>
        <w:rPr>
          <w:rFonts w:hint="eastAsia" w:ascii="宋体" w:hAnsi="宋体" w:cs="宋体"/>
          <w:szCs w:val="21"/>
        </w:rPr>
        <w:t xml:space="preserve">1.1.5▲采用无线数据传输时，支持多台设备同步采集多人脑电信号，无线同步精度≤1ms；</w:t>
      </w:r>
      <w:r/>
    </w:p>
    <w:p>
      <w:pPr>
        <w:ind w:firstLine="420"/>
        <w:spacing w:line="360" w:lineRule="auto"/>
        <w:rPr>
          <w:rFonts w:hint="eastAsia" w:ascii="宋体" w:hAnsi="宋体" w:cs="宋体"/>
          <w:szCs w:val="21"/>
        </w:rPr>
      </w:pPr>
      <w:r>
        <w:rPr>
          <w:rFonts w:hint="eastAsia" w:ascii="宋体" w:hAnsi="宋体" w:cs="宋体"/>
          <w:szCs w:val="21"/>
        </w:rPr>
        <w:t xml:space="preserve">1.1.6★同步盒触发输入：支持光学、声音、串口，并口（8 bit TTL 电平信号）等多种刺激事件输入；</w:t>
      </w:r>
      <w:r/>
    </w:p>
    <w:p>
      <w:pPr>
        <w:ind w:firstLine="420"/>
        <w:spacing w:line="360" w:lineRule="auto"/>
        <w:rPr>
          <w:rFonts w:hint="eastAsia" w:ascii="宋体" w:hAnsi="宋体" w:cs="宋体"/>
          <w:szCs w:val="21"/>
        </w:rPr>
      </w:pPr>
      <w:r>
        <w:rPr>
          <w:rFonts w:hint="eastAsia" w:ascii="宋体" w:hAnsi="宋体" w:cs="宋体"/>
          <w:szCs w:val="21"/>
        </w:rPr>
        <w:t xml:space="preserve">1.1.7同步盒触发输出：支持并口（8 bit TTL 电平信号）刺激事件输出</w:t>
      </w:r>
      <w:r/>
    </w:p>
    <w:p>
      <w:pPr>
        <w:ind w:firstLine="420"/>
        <w:spacing w:line="360" w:lineRule="auto"/>
        <w:rPr>
          <w:rFonts w:hint="eastAsia" w:ascii="宋体" w:hAnsi="宋体" w:cs="宋体"/>
          <w:szCs w:val="21"/>
        </w:rPr>
      </w:pPr>
      <w:r>
        <w:rPr>
          <w:rFonts w:hint="eastAsia" w:ascii="宋体" w:hAnsi="宋体" w:cs="宋体"/>
          <w:szCs w:val="21"/>
        </w:rPr>
        <w:t xml:space="preserve">1.1.8具备与经颅电刺激(tES)/功能性近红外光谱成像(fNIRS)/眼动仪（Eye Tracker）/肌电等设备同步整合记录数据的功能；</w:t>
      </w:r>
      <w:r/>
    </w:p>
    <w:p>
      <w:pPr>
        <w:ind w:firstLine="420"/>
        <w:spacing w:line="360" w:lineRule="auto"/>
        <w:rPr>
          <w:rFonts w:hint="eastAsia" w:ascii="宋体" w:hAnsi="宋体" w:cs="宋体"/>
          <w:szCs w:val="21"/>
        </w:rPr>
      </w:pPr>
      <w:r>
        <w:rPr>
          <w:rFonts w:hint="eastAsia" w:ascii="宋体" w:hAnsi="宋体" w:cs="宋体"/>
          <w:szCs w:val="21"/>
        </w:rPr>
        <w:t xml:space="preserve">1.1.9支持摄像头同步采集：USB/网络/电脑本地摄像头，分辨率支持≥4K</w:t>
      </w:r>
      <w:r/>
    </w:p>
    <w:p>
      <w:pPr>
        <w:ind w:firstLine="420"/>
        <w:spacing w:line="360" w:lineRule="auto"/>
        <w:rPr>
          <w:rFonts w:hint="eastAsia" w:ascii="宋体" w:hAnsi="宋体" w:cs="宋体"/>
          <w:szCs w:val="21"/>
        </w:rPr>
      </w:pPr>
      <w:r>
        <w:rPr>
          <w:rFonts w:hint="eastAsia" w:ascii="宋体" w:hAnsi="宋体" w:cs="宋体"/>
          <w:szCs w:val="21"/>
        </w:rPr>
        <w:t xml:space="preserve">1.1.10开放API，可兼容常用的刺激呈现软件：Presentation、E-Prime、Psychtoolbox、PsychoPy等</w:t>
      </w:r>
      <w:r/>
    </w:p>
    <w:p>
      <w:pPr>
        <w:ind w:firstLine="420"/>
        <w:spacing w:line="360" w:lineRule="auto"/>
        <w:rPr>
          <w:rFonts w:hint="eastAsia" w:ascii="宋体" w:hAnsi="宋体" w:cs="宋体"/>
          <w:szCs w:val="21"/>
        </w:rPr>
      </w:pPr>
      <w:r>
        <w:rPr>
          <w:rFonts w:hint="eastAsia" w:ascii="宋体" w:hAnsi="宋体" w:cs="宋体"/>
          <w:szCs w:val="21"/>
        </w:rPr>
        <w:t xml:space="preserve">1.1.11支持调用 SDK 获取实时数据流用于二次开发；</w:t>
      </w:r>
      <w:r/>
    </w:p>
    <w:p>
      <w:pPr>
        <w:ind w:firstLine="420"/>
        <w:spacing w:line="360" w:lineRule="auto"/>
        <w:rPr>
          <w:rFonts w:hint="eastAsia" w:ascii="宋体" w:hAnsi="宋体" w:cs="宋体"/>
          <w:szCs w:val="21"/>
        </w:rPr>
      </w:pPr>
      <w:r>
        <w:rPr>
          <w:rFonts w:hint="eastAsia" w:ascii="宋体" w:hAnsi="宋体" w:cs="宋体"/>
          <w:szCs w:val="21"/>
        </w:rPr>
        <w:t xml:space="preserve">1.1.12 系统应具备数据实时导出能力，支持将生理信号同步传输至外部计算设备；提供软件开发工具包（SDK）或应用程序接口（API）；支持多模态同步采集；</w:t>
      </w:r>
      <w:r/>
    </w:p>
    <w:p>
      <w:pPr>
        <w:ind w:firstLine="420"/>
        <w:spacing w:line="360" w:lineRule="auto"/>
        <w:rPr>
          <w:rFonts w:hint="eastAsia" w:ascii="宋体" w:hAnsi="宋体" w:cs="宋体"/>
          <w:szCs w:val="21"/>
        </w:rPr>
      </w:pPr>
      <w:r>
        <w:rPr>
          <w:rFonts w:hint="eastAsia" w:ascii="宋体" w:hAnsi="宋体" w:cs="宋体"/>
          <w:szCs w:val="21"/>
        </w:rPr>
        <w:t xml:space="preserve">1.1.13▲电极帽上的磁吸接口的防水等级≥IPX7，防持续浸水影响（支持潜水），可使用专用设备快速清洗和烘干</w:t>
      </w:r>
      <w:r/>
    </w:p>
    <w:p>
      <w:pPr>
        <w:ind w:firstLine="420"/>
        <w:spacing w:line="360" w:lineRule="auto"/>
        <w:rPr>
          <w:rFonts w:hint="eastAsia" w:ascii="宋体" w:hAnsi="宋体" w:cs="宋体"/>
          <w:szCs w:val="21"/>
        </w:rPr>
      </w:pPr>
      <w:r>
        <w:rPr>
          <w:rFonts w:hint="eastAsia" w:ascii="宋体" w:hAnsi="宋体" w:cs="宋体"/>
          <w:szCs w:val="21"/>
        </w:rPr>
        <w:t xml:space="preserve">1.2无线放大器</w:t>
      </w:r>
      <w:r/>
    </w:p>
    <w:p>
      <w:pPr>
        <w:ind w:firstLine="420"/>
        <w:spacing w:line="360" w:lineRule="auto"/>
        <w:rPr>
          <w:rFonts w:hint="eastAsia" w:ascii="宋体" w:hAnsi="宋体" w:cs="宋体"/>
          <w:szCs w:val="21"/>
        </w:rPr>
      </w:pPr>
      <w:r>
        <w:rPr>
          <w:rFonts w:hint="eastAsia" w:ascii="宋体" w:hAnsi="宋体" w:cs="宋体"/>
          <w:szCs w:val="21"/>
        </w:rPr>
        <w:t xml:space="preserve">1.2.1导联数：≥ 32导；</w:t>
      </w:r>
      <w:r/>
    </w:p>
    <w:p>
      <w:pPr>
        <w:ind w:firstLine="420"/>
        <w:spacing w:line="360" w:lineRule="auto"/>
        <w:rPr>
          <w:rFonts w:hint="eastAsia" w:ascii="宋体" w:hAnsi="宋体" w:cs="宋体"/>
          <w:szCs w:val="21"/>
        </w:rPr>
      </w:pPr>
      <w:r>
        <w:rPr>
          <w:rFonts w:hint="eastAsia" w:ascii="宋体" w:hAnsi="宋体" w:cs="宋体"/>
          <w:szCs w:val="21"/>
        </w:rPr>
        <w:t xml:space="preserve">1.2.2采样率：32导同时采集时，采样率不低于2kHz；</w:t>
      </w:r>
      <w:r/>
    </w:p>
    <w:p>
      <w:pPr>
        <w:ind w:firstLine="420"/>
        <w:spacing w:line="360" w:lineRule="auto"/>
        <w:rPr>
          <w:rFonts w:hint="eastAsia" w:ascii="宋体" w:hAnsi="宋体" w:cs="宋体"/>
          <w:szCs w:val="21"/>
        </w:rPr>
      </w:pPr>
      <w:r>
        <w:rPr>
          <w:rFonts w:hint="eastAsia" w:ascii="宋体" w:hAnsi="宋体" w:cs="宋体"/>
          <w:szCs w:val="21"/>
        </w:rPr>
        <w:t xml:space="preserve">1.2.3 ▲共模抑制比≥120dB；</w:t>
      </w:r>
      <w:r/>
    </w:p>
    <w:p>
      <w:pPr>
        <w:ind w:firstLine="420"/>
        <w:spacing w:line="360" w:lineRule="auto"/>
        <w:rPr>
          <w:rFonts w:hint="eastAsia" w:ascii="宋体" w:hAnsi="宋体" w:cs="宋体"/>
          <w:szCs w:val="21"/>
        </w:rPr>
      </w:pPr>
      <w:r>
        <w:rPr>
          <w:rFonts w:hint="eastAsia" w:ascii="宋体" w:hAnsi="宋体" w:cs="宋体"/>
          <w:szCs w:val="21"/>
        </w:rPr>
        <w:t xml:space="preserve">1.2.4输入阻抗≥1GΩ；</w:t>
      </w:r>
      <w:r/>
    </w:p>
    <w:p>
      <w:pPr>
        <w:ind w:firstLine="420"/>
        <w:spacing w:line="360" w:lineRule="auto"/>
        <w:rPr>
          <w:rFonts w:hint="eastAsia" w:ascii="宋体" w:hAnsi="宋体" w:cs="宋体"/>
          <w:szCs w:val="21"/>
        </w:rPr>
      </w:pPr>
      <w:r>
        <w:rPr>
          <w:rFonts w:hint="eastAsia" w:ascii="宋体" w:hAnsi="宋体" w:cs="宋体"/>
          <w:szCs w:val="21"/>
        </w:rPr>
        <w:t xml:space="preserve">1.2.5 AD转换位数≥24 bit；</w:t>
      </w:r>
      <w:r/>
    </w:p>
    <w:p>
      <w:pPr>
        <w:ind w:firstLine="420"/>
        <w:spacing w:line="360" w:lineRule="auto"/>
        <w:rPr>
          <w:rFonts w:hint="eastAsia" w:ascii="宋体" w:hAnsi="宋体" w:cs="宋体"/>
          <w:szCs w:val="21"/>
        </w:rPr>
      </w:pPr>
      <w:r>
        <w:rPr>
          <w:rFonts w:hint="eastAsia" w:ascii="宋体" w:hAnsi="宋体" w:cs="宋体"/>
          <w:szCs w:val="21"/>
        </w:rPr>
        <w:t xml:space="preserve">1.2.6 ★输入噪声 &lt; 1uVpp (0.01～70Hz)</w:t>
      </w:r>
      <w:r/>
    </w:p>
    <w:p>
      <w:pPr>
        <w:ind w:firstLine="420"/>
        <w:spacing w:line="360" w:lineRule="auto"/>
        <w:rPr>
          <w:rFonts w:hint="eastAsia" w:ascii="宋体" w:hAnsi="宋体" w:cs="宋体"/>
          <w:szCs w:val="21"/>
        </w:rPr>
      </w:pPr>
      <w:r>
        <w:rPr>
          <w:rFonts w:hint="eastAsia" w:ascii="宋体" w:hAnsi="宋体" w:cs="宋体"/>
          <w:szCs w:val="21"/>
        </w:rPr>
        <w:t xml:space="preserve">1.2.7 ▲输入范围不小于 ±375 mV</w:t>
      </w:r>
      <w:r/>
    </w:p>
    <w:p>
      <w:pPr>
        <w:ind w:firstLine="420"/>
        <w:spacing w:line="360" w:lineRule="auto"/>
        <w:rPr>
          <w:rFonts w:hint="eastAsia" w:ascii="宋体" w:hAnsi="宋体" w:cs="宋体"/>
          <w:szCs w:val="21"/>
        </w:rPr>
      </w:pPr>
      <w:r>
        <w:rPr>
          <w:rFonts w:hint="eastAsia" w:ascii="宋体" w:hAnsi="宋体" w:cs="宋体"/>
          <w:szCs w:val="21"/>
        </w:rPr>
        <w:t xml:space="preserve">1.2.8 便携式设计：无线放大器可通过磁力直接吸附在脑电帽上，与电脑无线连接</w:t>
      </w:r>
      <w:r/>
    </w:p>
    <w:p>
      <w:pPr>
        <w:ind w:firstLine="420"/>
        <w:spacing w:line="360" w:lineRule="auto"/>
        <w:rPr>
          <w:rFonts w:hint="eastAsia" w:ascii="宋体" w:hAnsi="宋体" w:cs="宋体"/>
          <w:szCs w:val="21"/>
        </w:rPr>
      </w:pPr>
      <w:r>
        <w:rPr>
          <w:rFonts w:hint="eastAsia" w:ascii="宋体" w:hAnsi="宋体" w:cs="宋体"/>
          <w:szCs w:val="21"/>
        </w:rPr>
        <w:t xml:space="preserve">1.2.9 ▲姿态检测：无线放大器内置9轴运动传感器（3轴加速度、3轴陀螺仪、3轴磁力计），可与脑电同步记录</w:t>
      </w:r>
      <w:r/>
    </w:p>
    <w:p>
      <w:pPr>
        <w:ind w:firstLine="420"/>
        <w:spacing w:line="360" w:lineRule="auto"/>
        <w:rPr>
          <w:rFonts w:hint="eastAsia" w:ascii="宋体" w:hAnsi="宋体" w:cs="宋体"/>
          <w:szCs w:val="21"/>
        </w:rPr>
      </w:pPr>
      <w:r>
        <w:rPr>
          <w:rFonts w:hint="eastAsia" w:ascii="宋体" w:hAnsi="宋体" w:cs="宋体"/>
          <w:szCs w:val="21"/>
        </w:rPr>
        <w:t xml:space="preserve">1.2.10 无线放大器的体积：小于7.5*5.5*2.0 厘米（长*宽*高）</w:t>
      </w:r>
      <w:r/>
    </w:p>
    <w:p>
      <w:pPr>
        <w:ind w:firstLine="420"/>
        <w:spacing w:line="360" w:lineRule="auto"/>
        <w:rPr>
          <w:rFonts w:hint="eastAsia" w:ascii="宋体" w:hAnsi="宋体" w:cs="宋体"/>
          <w:szCs w:val="21"/>
        </w:rPr>
      </w:pPr>
      <w:r>
        <w:rPr>
          <w:rFonts w:hint="eastAsia" w:ascii="宋体" w:hAnsi="宋体" w:cs="宋体"/>
          <w:szCs w:val="21"/>
        </w:rPr>
        <w:t xml:space="preserve">1.2.11无线放大器的重量：小于65g</w:t>
      </w:r>
      <w:r/>
    </w:p>
    <w:p>
      <w:pPr>
        <w:ind w:firstLine="420"/>
        <w:spacing w:line="360" w:lineRule="auto"/>
        <w:rPr>
          <w:rFonts w:hint="eastAsia" w:ascii="宋体" w:hAnsi="宋体" w:cs="宋体"/>
          <w:szCs w:val="21"/>
        </w:rPr>
      </w:pPr>
      <w:r>
        <w:rPr>
          <w:rFonts w:hint="eastAsia" w:ascii="宋体" w:hAnsi="宋体" w:cs="宋体"/>
          <w:szCs w:val="21"/>
        </w:rPr>
        <w:t xml:space="preserve">1.3 电极帽</w:t>
      </w:r>
      <w:r/>
    </w:p>
    <w:p>
      <w:pPr>
        <w:ind w:firstLine="420"/>
        <w:spacing w:line="360" w:lineRule="auto"/>
        <w:rPr>
          <w:rFonts w:hint="eastAsia" w:ascii="宋体" w:hAnsi="宋体" w:cs="宋体"/>
          <w:szCs w:val="21"/>
        </w:rPr>
      </w:pPr>
      <w:r>
        <w:rPr>
          <w:rFonts w:hint="eastAsia" w:ascii="宋体" w:hAnsi="宋体" w:cs="宋体"/>
          <w:szCs w:val="21"/>
        </w:rPr>
        <w:t xml:space="preserve">1.3.1电极系统材质为Ag/AgCl高精度电极，可最小化直流偏置；</w:t>
      </w:r>
      <w:r/>
    </w:p>
    <w:p>
      <w:pPr>
        <w:ind w:firstLine="420"/>
        <w:spacing w:line="360" w:lineRule="auto"/>
        <w:rPr>
          <w:rFonts w:hint="eastAsia" w:ascii="宋体" w:hAnsi="宋体" w:cs="宋体"/>
          <w:szCs w:val="21"/>
        </w:rPr>
      </w:pPr>
      <w:r>
        <w:rPr>
          <w:rFonts w:hint="eastAsia" w:ascii="宋体" w:hAnsi="宋体" w:cs="宋体"/>
          <w:szCs w:val="21"/>
        </w:rPr>
        <w:t xml:space="preserve">1.3.2 导电介质为膏状不易挥发，单次使用即可迅速降低皮肤阻抗</w:t>
      </w:r>
      <w:r/>
    </w:p>
    <w:p>
      <w:pPr>
        <w:ind w:firstLine="420"/>
        <w:spacing w:line="360" w:lineRule="auto"/>
        <w:rPr>
          <w:rFonts w:hint="eastAsia" w:ascii="宋体" w:hAnsi="宋体" w:cs="宋体"/>
          <w:szCs w:val="21"/>
        </w:rPr>
      </w:pPr>
      <w:r>
        <w:rPr>
          <w:rFonts w:hint="eastAsia" w:ascii="宋体" w:hAnsi="宋体" w:cs="宋体"/>
          <w:szCs w:val="21"/>
        </w:rPr>
        <w:t xml:space="preserve">1.3.3 电极帽兼容性：支持导电膏电极、盐水电极</w:t>
      </w:r>
      <w:r/>
    </w:p>
    <w:p>
      <w:pPr>
        <w:ind w:firstLine="420"/>
        <w:spacing w:line="360" w:lineRule="auto"/>
        <w:rPr>
          <w:rFonts w:hint="eastAsia" w:ascii="宋体" w:hAnsi="宋体" w:cs="宋体"/>
          <w:szCs w:val="21"/>
        </w:rPr>
      </w:pPr>
      <w:r>
        <w:rPr>
          <w:rFonts w:hint="eastAsia" w:ascii="宋体" w:hAnsi="宋体" w:cs="宋体"/>
          <w:szCs w:val="21"/>
        </w:rPr>
        <w:t xml:space="preserve">1.3.4对于盐水电极帽，浸泡 10 分钟内即可达到适宜的导电状态和开展应用，并且能达到支持连续记录 1 小时以上，中途不需要补充盐水，且不影响信号采集质量</w:t>
      </w:r>
      <w:r/>
    </w:p>
    <w:p>
      <w:pPr>
        <w:ind w:firstLine="420"/>
        <w:spacing w:line="360" w:lineRule="auto"/>
        <w:rPr>
          <w:rFonts w:hint="eastAsia" w:ascii="宋体" w:hAnsi="宋体" w:cs="宋体"/>
          <w:szCs w:val="21"/>
        </w:rPr>
      </w:pPr>
      <w:r>
        <w:rPr>
          <w:rFonts w:hint="eastAsia" w:ascii="宋体" w:hAnsi="宋体" w:cs="宋体"/>
          <w:szCs w:val="21"/>
        </w:rPr>
        <w:t xml:space="preserve">1.3.5支持适合儿童到成人等多种尺寸的电极帽;</w:t>
      </w:r>
      <w:r/>
    </w:p>
    <w:p>
      <w:pPr>
        <w:ind w:firstLine="420"/>
        <w:spacing w:line="360" w:lineRule="auto"/>
        <w:rPr>
          <w:rFonts w:hint="eastAsia" w:ascii="宋体" w:hAnsi="宋体" w:cs="宋体"/>
          <w:szCs w:val="21"/>
        </w:rPr>
      </w:pPr>
      <w:r>
        <w:rPr>
          <w:rFonts w:hint="eastAsia" w:ascii="宋体" w:hAnsi="宋体" w:cs="宋体"/>
          <w:szCs w:val="21"/>
        </w:rPr>
        <w:t xml:space="preserve">1.3.6支持经颅电刺激(tES)/功能性近红外光谱成像(fNIRS)脑电帽可供选配，可根据研究需要定制电极点位。</w:t>
      </w:r>
      <w:r/>
    </w:p>
    <w:p>
      <w:pPr>
        <w:ind w:firstLine="420"/>
        <w:spacing w:line="360" w:lineRule="auto"/>
        <w:rPr>
          <w:rFonts w:hint="eastAsia" w:ascii="宋体" w:hAnsi="宋体" w:cs="宋体"/>
          <w:szCs w:val="21"/>
        </w:rPr>
      </w:pPr>
      <w:r>
        <w:rPr>
          <w:rFonts w:hint="eastAsia" w:ascii="宋体" w:hAnsi="宋体" w:cs="宋体"/>
          <w:szCs w:val="21"/>
        </w:rPr>
        <w:t xml:space="preserve">1.4采集软件</w:t>
      </w:r>
      <w:r/>
    </w:p>
    <w:p>
      <w:pPr>
        <w:ind w:firstLine="420"/>
        <w:spacing w:line="360" w:lineRule="auto"/>
        <w:rPr>
          <w:rFonts w:hint="eastAsia" w:ascii="宋体" w:hAnsi="宋体" w:cs="宋体"/>
          <w:szCs w:val="21"/>
        </w:rPr>
      </w:pPr>
      <w:r>
        <w:rPr>
          <w:rFonts w:hint="eastAsia" w:ascii="宋体" w:hAnsi="宋体" w:cs="宋体"/>
          <w:szCs w:val="21"/>
        </w:rPr>
        <w:t xml:space="preserve">1.4.1▲支持多人脑电、心电、眼电（水平和垂直）、肌电信号同步采集和存储，支持同屏显示</w:t>
      </w:r>
      <w:r/>
    </w:p>
    <w:p>
      <w:pPr>
        <w:ind w:firstLine="420"/>
        <w:spacing w:line="360" w:lineRule="auto"/>
        <w:rPr>
          <w:rFonts w:hint="eastAsia" w:ascii="宋体" w:hAnsi="宋体" w:cs="宋体"/>
          <w:szCs w:val="21"/>
        </w:rPr>
      </w:pPr>
      <w:r>
        <w:rPr>
          <w:rFonts w:hint="eastAsia" w:ascii="宋体" w:hAnsi="宋体" w:cs="宋体"/>
          <w:szCs w:val="21"/>
        </w:rPr>
        <w:t xml:space="preserve">1.4.2▲多人数据分屏显示，可以按需拖拽和快速切换</w:t>
      </w:r>
      <w:r/>
    </w:p>
    <w:p>
      <w:pPr>
        <w:ind w:firstLine="420"/>
        <w:spacing w:line="360" w:lineRule="auto"/>
        <w:rPr>
          <w:rFonts w:hint="eastAsia" w:ascii="宋体" w:hAnsi="宋体" w:cs="宋体"/>
          <w:szCs w:val="21"/>
        </w:rPr>
      </w:pPr>
      <w:r>
        <w:rPr>
          <w:rFonts w:hint="eastAsia" w:ascii="宋体" w:hAnsi="宋体" w:cs="宋体"/>
          <w:szCs w:val="21"/>
        </w:rPr>
        <w:t xml:space="preserve">1.4.3支持重复实验模式，无需复杂设置，快速进入下一次实验</w:t>
      </w:r>
      <w:r/>
    </w:p>
    <w:p>
      <w:pPr>
        <w:ind w:firstLine="420"/>
        <w:spacing w:line="360" w:lineRule="auto"/>
        <w:rPr>
          <w:rFonts w:hint="eastAsia" w:ascii="宋体" w:hAnsi="宋体" w:cs="宋体"/>
          <w:szCs w:val="21"/>
        </w:rPr>
      </w:pPr>
      <w:r>
        <w:rPr>
          <w:rFonts w:hint="eastAsia" w:ascii="宋体" w:hAnsi="宋体" w:cs="宋体"/>
          <w:szCs w:val="21"/>
        </w:rPr>
        <w:t xml:space="preserve">1.4.4滤波器：软件具有带通滤波，0.01-300Hz可调；软件支持50Hz/60Hz的陷波滤波</w:t>
      </w:r>
      <w:r/>
    </w:p>
    <w:p>
      <w:pPr>
        <w:ind w:firstLine="420"/>
        <w:spacing w:line="360" w:lineRule="auto"/>
        <w:rPr>
          <w:rFonts w:hint="eastAsia" w:ascii="宋体" w:hAnsi="宋体" w:cs="宋体"/>
          <w:szCs w:val="21"/>
        </w:rPr>
      </w:pPr>
      <w:r>
        <w:rPr>
          <w:rFonts w:hint="eastAsia" w:ascii="宋体" w:hAnsi="宋体" w:cs="宋体"/>
          <w:szCs w:val="21"/>
        </w:rPr>
        <w:t xml:space="preserve">1.4.5可进行单极记录和双极记录脑电，参考电极可根据实验要求任意选择相关位置</w:t>
      </w:r>
      <w:r/>
    </w:p>
    <w:p>
      <w:pPr>
        <w:ind w:firstLine="420"/>
        <w:spacing w:line="360" w:lineRule="auto"/>
        <w:rPr>
          <w:rFonts w:hint="eastAsia" w:ascii="宋体" w:hAnsi="宋体" w:cs="宋体"/>
          <w:szCs w:val="21"/>
        </w:rPr>
      </w:pPr>
      <w:r>
        <w:rPr>
          <w:rFonts w:hint="eastAsia" w:ascii="宋体" w:hAnsi="宋体" w:cs="宋体"/>
          <w:szCs w:val="21"/>
        </w:rPr>
        <w:t xml:space="preserve">1.4.6开放API接口，支持数据在线数据转发至matlab、python等平台</w:t>
      </w:r>
      <w:r/>
    </w:p>
    <w:p>
      <w:pPr>
        <w:ind w:firstLine="420"/>
        <w:spacing w:line="360" w:lineRule="auto"/>
        <w:rPr>
          <w:rFonts w:hint="eastAsia" w:ascii="宋体" w:hAnsi="宋体" w:cs="宋体"/>
          <w:szCs w:val="21"/>
        </w:rPr>
      </w:pPr>
      <w:r>
        <w:rPr>
          <w:rFonts w:hint="eastAsia" w:ascii="宋体" w:hAnsi="宋体" w:cs="宋体"/>
          <w:szCs w:val="21"/>
        </w:rPr>
        <w:t xml:space="preserve">1.4.7支持TCP/IP与Lab Streaming Layer网络通信协议输出原始数据流，可与外部软件进行实时数据传输。</w:t>
      </w:r>
      <w:r/>
    </w:p>
    <w:p>
      <w:pPr>
        <w:ind w:firstLine="420"/>
        <w:spacing w:line="360" w:lineRule="auto"/>
        <w:rPr>
          <w:rFonts w:hint="eastAsia" w:ascii="宋体" w:hAnsi="宋体" w:cs="宋体"/>
          <w:szCs w:val="21"/>
        </w:rPr>
      </w:pPr>
      <w:r>
        <w:rPr>
          <w:rFonts w:hint="eastAsia" w:ascii="宋体" w:hAnsi="宋体" w:cs="宋体"/>
          <w:szCs w:val="21"/>
        </w:rPr>
        <w:t xml:space="preserve">1.4.8支持实时或离线标记</w:t>
      </w:r>
      <w:r/>
    </w:p>
    <w:p>
      <w:pPr>
        <w:ind w:firstLine="420"/>
        <w:spacing w:line="360" w:lineRule="auto"/>
        <w:rPr>
          <w:rFonts w:hint="eastAsia" w:ascii="宋体" w:hAnsi="宋体" w:cs="宋体"/>
          <w:szCs w:val="21"/>
        </w:rPr>
      </w:pPr>
      <w:r>
        <w:rPr>
          <w:rFonts w:hint="eastAsia" w:ascii="宋体" w:hAnsi="宋体" w:cs="宋体"/>
          <w:szCs w:val="21"/>
        </w:rPr>
        <w:t xml:space="preserve">1.4.9▲支持多人数据回放</w:t>
      </w:r>
      <w:r/>
    </w:p>
    <w:p>
      <w:pPr>
        <w:ind w:firstLine="420"/>
        <w:spacing w:line="360" w:lineRule="auto"/>
        <w:rPr>
          <w:rFonts w:hint="eastAsia" w:ascii="宋体" w:hAnsi="宋体" w:cs="宋体"/>
          <w:szCs w:val="21"/>
        </w:rPr>
      </w:pPr>
      <w:r>
        <w:rPr>
          <w:rFonts w:hint="eastAsia" w:ascii="宋体" w:hAnsi="宋体" w:cs="宋体"/>
          <w:szCs w:val="21"/>
        </w:rPr>
        <w:t xml:space="preserve">1.4.10在线实时展示每个通道的脑电频谱，展示通道可选</w:t>
      </w:r>
      <w:r/>
    </w:p>
    <w:p>
      <w:pPr>
        <w:ind w:firstLine="420"/>
        <w:spacing w:line="360" w:lineRule="auto"/>
        <w:rPr>
          <w:rFonts w:hint="eastAsia" w:ascii="宋体" w:hAnsi="宋体" w:cs="宋体"/>
          <w:szCs w:val="21"/>
        </w:rPr>
      </w:pPr>
      <w:r>
        <w:rPr>
          <w:rFonts w:hint="eastAsia" w:ascii="宋体" w:hAnsi="宋体" w:cs="宋体"/>
          <w:szCs w:val="21"/>
        </w:rPr>
        <w:t xml:space="preserve">1.4.11▲支持在线事件相关电位（ERP）数据叠加平均计算和显示，可快速预览实验结果；</w:t>
      </w:r>
      <w:r/>
    </w:p>
    <w:p>
      <w:pPr>
        <w:ind w:firstLine="420"/>
        <w:spacing w:line="360" w:lineRule="auto"/>
        <w:rPr>
          <w:rFonts w:hint="eastAsia" w:ascii="宋体" w:hAnsi="宋体" w:cs="宋体"/>
          <w:szCs w:val="21"/>
        </w:rPr>
      </w:pPr>
      <w:r>
        <w:rPr>
          <w:rFonts w:hint="eastAsia" w:ascii="宋体" w:hAnsi="宋体" w:cs="宋体"/>
          <w:szCs w:val="21"/>
        </w:rPr>
        <w:t xml:space="preserve">1.4.12支持阻抗检测功能，可以通过不同颜色标识阻抗值大小同时显示阻抗值</w:t>
      </w:r>
      <w:r/>
    </w:p>
    <w:p>
      <w:pPr>
        <w:ind w:firstLine="420"/>
        <w:spacing w:line="360" w:lineRule="auto"/>
        <w:rPr>
          <w:rFonts w:hint="eastAsia" w:ascii="宋体" w:hAnsi="宋体" w:cs="宋体"/>
          <w:szCs w:val="21"/>
        </w:rPr>
      </w:pPr>
      <w:r>
        <w:rPr>
          <w:rFonts w:hint="eastAsia" w:ascii="宋体" w:hAnsi="宋体" w:cs="宋体"/>
          <w:szCs w:val="21"/>
        </w:rPr>
        <w:t xml:space="preserve">1.4.13支持参考电极、接地电极阻抗显示</w:t>
      </w:r>
      <w:r/>
    </w:p>
    <w:p>
      <w:pPr>
        <w:ind w:firstLine="420"/>
        <w:spacing w:line="360" w:lineRule="auto"/>
        <w:rPr>
          <w:rFonts w:hint="eastAsia" w:ascii="宋体" w:hAnsi="宋体" w:cs="宋体"/>
          <w:szCs w:val="21"/>
        </w:rPr>
      </w:pPr>
      <w:r>
        <w:rPr>
          <w:rFonts w:hint="eastAsia" w:ascii="宋体" w:hAnsi="宋体" w:cs="宋体"/>
          <w:szCs w:val="21"/>
        </w:rPr>
        <w:t xml:space="preserve">1.4.14 ▲支持信号质量检测功能（SQI），0-100 量化信号质量，雷达图一眼定位异常，实时预警噪声。</w:t>
      </w:r>
      <w:r/>
    </w:p>
    <w:p>
      <w:pPr>
        <w:ind w:firstLine="420"/>
        <w:spacing w:line="360" w:lineRule="auto"/>
        <w:rPr>
          <w:rFonts w:hint="eastAsia" w:ascii="宋体" w:hAnsi="宋体" w:cs="宋体"/>
          <w:szCs w:val="21"/>
        </w:rPr>
      </w:pPr>
      <w:r>
        <w:rPr>
          <w:rFonts w:hint="eastAsia" w:ascii="宋体" w:hAnsi="宋体" w:cs="宋体"/>
          <w:szCs w:val="21"/>
        </w:rPr>
        <w:t xml:space="preserve">1.4.15 ▲支持断线重连，中途离开自动切换为“等待重连”状态，始终保持界面参数，回来后可智能重连</w:t>
      </w:r>
      <w:r/>
    </w:p>
    <w:p>
      <w:pPr>
        <w:ind w:firstLine="420"/>
        <w:spacing w:line="360" w:lineRule="auto"/>
        <w:rPr>
          <w:rFonts w:hint="eastAsia" w:ascii="宋体" w:hAnsi="宋体" w:cs="宋体"/>
          <w:szCs w:val="21"/>
        </w:rPr>
      </w:pPr>
      <w:r>
        <w:rPr>
          <w:rFonts w:hint="eastAsia" w:ascii="宋体" w:hAnsi="宋体" w:cs="宋体"/>
          <w:szCs w:val="21"/>
        </w:rPr>
        <w:t xml:space="preserve">1.4.16 ▲支持LSL无线打标</w:t>
      </w:r>
      <w:r/>
    </w:p>
    <w:p>
      <w:pPr>
        <w:ind w:firstLine="420"/>
        <w:spacing w:line="360" w:lineRule="auto"/>
        <w:rPr>
          <w:rFonts w:hint="eastAsia" w:ascii="宋体" w:hAnsi="宋体" w:cs="宋体"/>
          <w:szCs w:val="21"/>
        </w:rPr>
      </w:pPr>
      <w:r>
        <w:rPr>
          <w:rFonts w:hint="eastAsia" w:ascii="宋体" w:hAnsi="宋体" w:cs="宋体"/>
          <w:szCs w:val="21"/>
        </w:rPr>
        <w:t xml:space="preserve">1.4.17 ▲支持脑电与视频在线同步，被试的视频行为数据可以实时在线观察，并同时存储为用于离线分析的数据文件</w:t>
      </w:r>
      <w:r/>
    </w:p>
    <w:p>
      <w:pPr>
        <w:ind w:firstLine="420"/>
        <w:spacing w:line="360" w:lineRule="auto"/>
        <w:rPr>
          <w:rFonts w:hint="eastAsia" w:ascii="宋体" w:hAnsi="宋体" w:cs="宋体"/>
          <w:szCs w:val="21"/>
        </w:rPr>
      </w:pPr>
      <w:r>
        <w:rPr>
          <w:rFonts w:hint="eastAsia" w:ascii="宋体" w:hAnsi="宋体" w:cs="宋体"/>
          <w:szCs w:val="21"/>
        </w:rPr>
        <w:t xml:space="preserve">1.4.18数据存储支持自定义路径</w:t>
      </w:r>
      <w:r/>
    </w:p>
    <w:p>
      <w:pPr>
        <w:ind w:firstLine="420"/>
        <w:spacing w:line="360" w:lineRule="auto"/>
        <w:rPr>
          <w:rFonts w:hint="eastAsia" w:ascii="宋体" w:hAnsi="宋体" w:cs="宋体"/>
          <w:szCs w:val="21"/>
        </w:rPr>
      </w:pPr>
      <w:r>
        <w:rPr>
          <w:rFonts w:hint="eastAsia" w:ascii="宋体" w:hAnsi="宋体" w:cs="宋体"/>
          <w:szCs w:val="21"/>
        </w:rPr>
        <w:t xml:space="preserve">1.4.19软件系统支持中文英文2种模式</w:t>
      </w:r>
      <w:r/>
    </w:p>
    <w:p>
      <w:pPr>
        <w:ind w:firstLine="420"/>
        <w:spacing w:line="360" w:lineRule="auto"/>
        <w:rPr>
          <w:rFonts w:hint="eastAsia" w:ascii="宋体" w:hAnsi="宋体" w:cs="宋体"/>
          <w:szCs w:val="21"/>
        </w:rPr>
      </w:pPr>
      <w:r>
        <w:rPr>
          <w:rFonts w:hint="eastAsia" w:ascii="宋体" w:hAnsi="宋体" w:cs="宋体"/>
          <w:szCs w:val="21"/>
        </w:rPr>
        <w:t xml:space="preserve">1.4.20导出的数据文件格式有.ndf 和.bdf ，并支持数据管理功能，支持数据格式转换</w:t>
      </w:r>
      <w:r/>
    </w:p>
    <w:p>
      <w:pPr>
        <w:ind w:firstLine="420"/>
        <w:spacing w:line="360" w:lineRule="auto"/>
        <w:rPr>
          <w:rFonts w:hint="eastAsia" w:ascii="宋体" w:hAnsi="宋体" w:cs="宋体"/>
          <w:szCs w:val="21"/>
        </w:rPr>
      </w:pPr>
      <w:r>
        <w:rPr>
          <w:rFonts w:hint="eastAsia" w:ascii="宋体" w:hAnsi="宋体" w:cs="宋体"/>
          <w:szCs w:val="21"/>
        </w:rPr>
        <w:t xml:space="preserve">2.无线肌电采集系统</w:t>
      </w:r>
      <w:r/>
    </w:p>
    <w:p>
      <w:pPr>
        <w:ind w:firstLine="420"/>
        <w:spacing w:line="360" w:lineRule="auto"/>
        <w:rPr>
          <w:rFonts w:hint="eastAsia" w:ascii="宋体" w:hAnsi="宋体" w:cs="宋体"/>
          <w:szCs w:val="21"/>
        </w:rPr>
      </w:pPr>
      <w:r>
        <w:rPr>
          <w:rFonts w:hint="eastAsia" w:ascii="宋体" w:hAnsi="宋体" w:cs="宋体"/>
          <w:szCs w:val="21"/>
        </w:rPr>
        <w:t xml:space="preserve">2.1整体系统要求：</w:t>
      </w:r>
      <w:r/>
    </w:p>
    <w:p>
      <w:pPr>
        <w:ind w:firstLine="420"/>
        <w:spacing w:line="360" w:lineRule="auto"/>
        <w:rPr>
          <w:rFonts w:hint="eastAsia" w:ascii="宋体" w:hAnsi="宋体" w:cs="宋体"/>
          <w:szCs w:val="21"/>
        </w:rPr>
      </w:pPr>
      <w:r>
        <w:rPr>
          <w:rFonts w:hint="eastAsia" w:ascii="宋体" w:hAnsi="宋体" w:cs="宋体"/>
          <w:szCs w:val="21"/>
        </w:rPr>
        <w:t xml:space="preserve">2.1.1▲数据传输方式：WIFI传输，支持2.4GHz/5GHz双频段传输</w:t>
      </w:r>
      <w:r/>
    </w:p>
    <w:p>
      <w:pPr>
        <w:ind w:firstLine="420"/>
        <w:spacing w:line="360" w:lineRule="auto"/>
        <w:rPr>
          <w:rFonts w:hint="eastAsia" w:ascii="宋体" w:hAnsi="宋体" w:cs="宋体"/>
          <w:szCs w:val="21"/>
        </w:rPr>
      </w:pPr>
      <w:r>
        <w:rPr>
          <w:rFonts w:hint="eastAsia" w:ascii="宋体" w:hAnsi="宋体" w:cs="宋体"/>
          <w:szCs w:val="21"/>
        </w:rPr>
        <w:t xml:space="preserve">2.1.2 系统供电：可充电锂电池，电池仓设计，可选配多块备用电池支持长时间实验</w:t>
      </w:r>
      <w:r/>
    </w:p>
    <w:p>
      <w:pPr>
        <w:ind w:firstLine="420"/>
        <w:spacing w:line="360" w:lineRule="auto"/>
        <w:rPr>
          <w:rFonts w:hint="eastAsia" w:ascii="宋体" w:hAnsi="宋体" w:cs="宋体"/>
          <w:szCs w:val="21"/>
        </w:rPr>
      </w:pPr>
      <w:r>
        <w:rPr>
          <w:rFonts w:hint="eastAsia" w:ascii="宋体" w:hAnsi="宋体" w:cs="宋体"/>
          <w:szCs w:val="21"/>
        </w:rPr>
        <w:t xml:space="preserve">2.1.3运行时长：≥4h</w:t>
      </w:r>
      <w:r/>
    </w:p>
    <w:p>
      <w:pPr>
        <w:ind w:firstLine="420"/>
        <w:spacing w:line="360" w:lineRule="auto"/>
        <w:rPr>
          <w:rFonts w:hint="eastAsia" w:ascii="宋体" w:hAnsi="宋体" w:cs="宋体"/>
          <w:szCs w:val="21"/>
        </w:rPr>
      </w:pPr>
      <w:r>
        <w:rPr>
          <w:rFonts w:hint="eastAsia" w:ascii="宋体" w:hAnsi="宋体" w:cs="宋体"/>
          <w:szCs w:val="21"/>
        </w:rPr>
        <w:t xml:space="preserve">2.1.4▲可与NeuSen W系列脑电放大器同步采集，同步精度≤1ms</w:t>
      </w:r>
      <w:r/>
    </w:p>
    <w:p>
      <w:pPr>
        <w:ind w:firstLine="420"/>
        <w:spacing w:line="360" w:lineRule="auto"/>
        <w:rPr>
          <w:rFonts w:hint="eastAsia" w:ascii="宋体" w:hAnsi="宋体" w:cs="宋体"/>
          <w:szCs w:val="21"/>
        </w:rPr>
      </w:pPr>
      <w:r>
        <w:rPr>
          <w:rFonts w:hint="eastAsia" w:ascii="宋体" w:hAnsi="宋体" w:cs="宋体"/>
          <w:szCs w:val="21"/>
        </w:rPr>
        <w:t xml:space="preserve">2.1.5电极类型：贴片电极</w:t>
      </w:r>
      <w:r/>
    </w:p>
    <w:p>
      <w:pPr>
        <w:ind w:firstLine="420"/>
        <w:spacing w:line="360" w:lineRule="auto"/>
        <w:rPr>
          <w:rFonts w:hint="eastAsia" w:ascii="宋体" w:hAnsi="宋体" w:cs="宋体"/>
          <w:szCs w:val="21"/>
        </w:rPr>
      </w:pPr>
      <w:r>
        <w:rPr>
          <w:rFonts w:hint="eastAsia" w:ascii="宋体" w:hAnsi="宋体" w:cs="宋体"/>
          <w:szCs w:val="21"/>
        </w:rPr>
        <w:t xml:space="preserve">2.2无线放大器：</w:t>
      </w:r>
      <w:r/>
    </w:p>
    <w:p>
      <w:pPr>
        <w:ind w:firstLine="420"/>
        <w:spacing w:line="360" w:lineRule="auto"/>
        <w:rPr>
          <w:rFonts w:hint="eastAsia" w:ascii="宋体" w:hAnsi="宋体" w:cs="宋体"/>
          <w:szCs w:val="21"/>
        </w:rPr>
      </w:pPr>
      <w:r>
        <w:rPr>
          <w:rFonts w:hint="eastAsia" w:ascii="宋体" w:hAnsi="宋体" w:cs="宋体"/>
          <w:szCs w:val="21"/>
        </w:rPr>
        <w:t xml:space="preserve">2.2.1★导联数：≥32通道</w:t>
      </w:r>
      <w:r/>
    </w:p>
    <w:p>
      <w:pPr>
        <w:ind w:firstLine="420"/>
        <w:spacing w:line="360" w:lineRule="auto"/>
        <w:rPr>
          <w:rFonts w:hint="eastAsia" w:ascii="宋体" w:hAnsi="宋体" w:cs="宋体"/>
          <w:szCs w:val="21"/>
        </w:rPr>
      </w:pPr>
      <w:r>
        <w:rPr>
          <w:rFonts w:hint="eastAsia" w:ascii="宋体" w:hAnsi="宋体" w:cs="宋体"/>
          <w:szCs w:val="21"/>
        </w:rPr>
        <w:t xml:space="preserve">2.2.2采样率：≥1000Hz</w:t>
      </w:r>
      <w:r/>
    </w:p>
    <w:p>
      <w:pPr>
        <w:ind w:firstLine="420"/>
        <w:spacing w:line="360" w:lineRule="auto"/>
        <w:rPr>
          <w:rFonts w:hint="eastAsia" w:ascii="宋体" w:hAnsi="宋体" w:cs="宋体"/>
          <w:szCs w:val="21"/>
        </w:rPr>
      </w:pPr>
      <w:r>
        <w:rPr>
          <w:rFonts w:hint="eastAsia" w:ascii="宋体" w:hAnsi="宋体" w:cs="宋体"/>
          <w:szCs w:val="21"/>
        </w:rPr>
        <w:t xml:space="preserve">2.2.3共模抑制比≥100dB</w:t>
      </w:r>
      <w:r/>
    </w:p>
    <w:p>
      <w:pPr>
        <w:ind w:firstLine="420"/>
        <w:spacing w:line="360" w:lineRule="auto"/>
        <w:rPr>
          <w:rFonts w:hint="eastAsia" w:ascii="宋体" w:hAnsi="宋体" w:cs="宋体"/>
          <w:szCs w:val="21"/>
        </w:rPr>
      </w:pPr>
      <w:r>
        <w:rPr>
          <w:rFonts w:hint="eastAsia" w:ascii="宋体" w:hAnsi="宋体" w:cs="宋体"/>
          <w:szCs w:val="21"/>
        </w:rPr>
        <w:t xml:space="preserve">2.2.4 AD转换位数≥24 bit</w:t>
      </w:r>
      <w:r/>
    </w:p>
    <w:p>
      <w:pPr>
        <w:ind w:firstLine="420"/>
        <w:spacing w:line="360" w:lineRule="auto"/>
        <w:rPr>
          <w:rFonts w:hint="eastAsia" w:ascii="宋体" w:hAnsi="宋体" w:cs="宋体"/>
          <w:szCs w:val="21"/>
        </w:rPr>
      </w:pPr>
      <w:r>
        <w:rPr>
          <w:rFonts w:hint="eastAsia" w:ascii="宋体" w:hAnsi="宋体" w:cs="宋体"/>
          <w:szCs w:val="21"/>
        </w:rPr>
        <w:t xml:space="preserve">2.2.5 带宽：全频带信号保留的直流放大，1kHz 采样下DC-250Hz，高通、低通截止频率软件可调</w:t>
      </w:r>
      <w:r/>
    </w:p>
    <w:p>
      <w:pPr>
        <w:ind w:firstLine="420"/>
        <w:spacing w:line="360" w:lineRule="auto"/>
        <w:rPr>
          <w:rFonts w:hint="eastAsia" w:ascii="宋体" w:hAnsi="宋体" w:cs="宋体"/>
          <w:szCs w:val="21"/>
        </w:rPr>
      </w:pPr>
      <w:r>
        <w:rPr>
          <w:rFonts w:hint="eastAsia" w:ascii="宋体" w:hAnsi="宋体" w:cs="宋体"/>
          <w:szCs w:val="21"/>
        </w:rPr>
        <w:t xml:space="preserve">2.2.6 ▲输入噪声 &lt; 1uVpp (0.01～70Hz)</w:t>
      </w:r>
      <w:r/>
    </w:p>
    <w:p>
      <w:pPr>
        <w:ind w:firstLine="420"/>
        <w:spacing w:line="360" w:lineRule="auto"/>
        <w:rPr>
          <w:rFonts w:hint="eastAsia" w:ascii="宋体" w:hAnsi="宋体" w:cs="宋体"/>
          <w:szCs w:val="21"/>
        </w:rPr>
      </w:pPr>
      <w:r>
        <w:rPr>
          <w:rFonts w:hint="eastAsia" w:ascii="宋体" w:hAnsi="宋体" w:cs="宋体"/>
          <w:szCs w:val="21"/>
        </w:rPr>
        <w:t xml:space="preserve">2.2.7 输入阻抗：&gt;1GOhm</w:t>
      </w:r>
      <w:r/>
    </w:p>
    <w:p>
      <w:pPr>
        <w:ind w:firstLine="420"/>
        <w:spacing w:line="360" w:lineRule="auto"/>
        <w:rPr>
          <w:rFonts w:hint="eastAsia" w:ascii="宋体" w:hAnsi="宋体" w:cs="宋体"/>
          <w:szCs w:val="21"/>
        </w:rPr>
      </w:pPr>
      <w:r>
        <w:rPr>
          <w:rFonts w:hint="eastAsia" w:ascii="宋体" w:hAnsi="宋体" w:cs="宋体"/>
          <w:szCs w:val="21"/>
        </w:rPr>
        <w:t xml:space="preserve">2.2.8 输入范围＞ ±300 mV</w:t>
      </w:r>
      <w:r/>
    </w:p>
    <w:p>
      <w:pPr>
        <w:ind w:firstLine="420"/>
        <w:spacing w:line="360" w:lineRule="auto"/>
        <w:rPr>
          <w:rFonts w:hint="eastAsia" w:ascii="宋体" w:hAnsi="宋体" w:cs="宋体"/>
          <w:szCs w:val="21"/>
        </w:rPr>
      </w:pPr>
      <w:r>
        <w:rPr>
          <w:rFonts w:hint="eastAsia" w:ascii="宋体" w:hAnsi="宋体" w:cs="宋体"/>
          <w:szCs w:val="21"/>
        </w:rPr>
        <w:t xml:space="preserve">2.2.9便携式设计：无线传输</w:t>
      </w:r>
      <w:r/>
    </w:p>
    <w:p>
      <w:pPr>
        <w:ind w:firstLine="420"/>
        <w:spacing w:line="360" w:lineRule="auto"/>
        <w:rPr>
          <w:rFonts w:hint="eastAsia" w:ascii="宋体" w:hAnsi="宋体" w:cs="宋体"/>
          <w:szCs w:val="21"/>
        </w:rPr>
      </w:pPr>
      <w:r>
        <w:rPr>
          <w:rFonts w:hint="eastAsia" w:ascii="宋体" w:hAnsi="宋体" w:cs="宋体"/>
          <w:szCs w:val="21"/>
        </w:rPr>
        <w:t xml:space="preserve">2.2.10 ★姿态检测：内置9轴运动传感器（3轴加速度、3轴罗盘、3轴磁传感器）</w:t>
      </w:r>
      <w:r/>
    </w:p>
    <w:p>
      <w:pPr>
        <w:ind w:firstLine="420"/>
        <w:spacing w:line="360" w:lineRule="auto"/>
        <w:rPr>
          <w:rFonts w:hint="eastAsia" w:ascii="宋体" w:hAnsi="宋体" w:cs="宋体"/>
          <w:szCs w:val="21"/>
        </w:rPr>
      </w:pPr>
      <w:r>
        <w:rPr>
          <w:rFonts w:hint="eastAsia" w:ascii="宋体" w:hAnsi="宋体" w:cs="宋体"/>
          <w:szCs w:val="21"/>
        </w:rPr>
        <w:t xml:space="preserve">2.2.11 重量：≤80g</w:t>
      </w:r>
      <w:r/>
    </w:p>
    <w:p>
      <w:pPr>
        <w:ind w:firstLine="420"/>
        <w:spacing w:line="360" w:lineRule="auto"/>
        <w:rPr>
          <w:rFonts w:hint="eastAsia" w:ascii="宋体" w:hAnsi="宋体" w:cs="宋体"/>
          <w:szCs w:val="21"/>
        </w:rPr>
      </w:pPr>
      <w:r>
        <w:rPr>
          <w:rFonts w:hint="eastAsia" w:ascii="宋体" w:hAnsi="宋体" w:cs="宋体"/>
          <w:szCs w:val="21"/>
        </w:rPr>
        <w:t xml:space="preserve">2.3采集软件</w:t>
      </w:r>
      <w:r/>
    </w:p>
    <w:p>
      <w:pPr>
        <w:ind w:firstLine="420"/>
        <w:spacing w:line="360" w:lineRule="auto"/>
        <w:rPr>
          <w:rFonts w:hint="eastAsia" w:ascii="宋体" w:hAnsi="宋体" w:cs="宋体"/>
          <w:szCs w:val="21"/>
        </w:rPr>
      </w:pPr>
      <w:r>
        <w:rPr>
          <w:rFonts w:hint="eastAsia" w:ascii="宋体" w:hAnsi="宋体" w:cs="宋体"/>
          <w:szCs w:val="21"/>
        </w:rPr>
        <w:t xml:space="preserve">2.3.1软件支持实时采集和存储EMG放大器的数据；</w:t>
      </w:r>
      <w:r/>
    </w:p>
    <w:p>
      <w:pPr>
        <w:ind w:firstLine="420"/>
        <w:spacing w:line="360" w:lineRule="auto"/>
        <w:rPr>
          <w:rFonts w:hint="eastAsia" w:ascii="宋体" w:hAnsi="宋体" w:cs="宋体"/>
          <w:szCs w:val="21"/>
        </w:rPr>
      </w:pPr>
      <w:r>
        <w:rPr>
          <w:rFonts w:hint="eastAsia" w:ascii="宋体" w:hAnsi="宋体" w:cs="宋体"/>
          <w:szCs w:val="21"/>
        </w:rPr>
        <w:t xml:space="preserve">2.3.2可进行双极记录肌电；</w:t>
      </w:r>
      <w:r/>
    </w:p>
    <w:p>
      <w:pPr>
        <w:ind w:firstLine="420"/>
        <w:spacing w:line="360" w:lineRule="auto"/>
        <w:rPr>
          <w:rFonts w:hint="eastAsia" w:ascii="宋体" w:hAnsi="宋体" w:cs="宋体"/>
          <w:szCs w:val="21"/>
        </w:rPr>
      </w:pPr>
      <w:r>
        <w:rPr>
          <w:rFonts w:hint="eastAsia" w:ascii="宋体" w:hAnsi="宋体" w:cs="宋体"/>
          <w:szCs w:val="21"/>
        </w:rPr>
        <w:t xml:space="preserve">2.3.3采集时每个工作站采集的数据都可实时传输到另一个工作站分析处理；</w:t>
      </w:r>
      <w:r/>
    </w:p>
    <w:p>
      <w:pPr>
        <w:ind w:firstLine="420"/>
        <w:spacing w:line="360" w:lineRule="auto"/>
        <w:rPr>
          <w:rFonts w:hint="eastAsia" w:ascii="宋体" w:hAnsi="宋体" w:cs="宋体"/>
          <w:szCs w:val="21"/>
        </w:rPr>
      </w:pPr>
      <w:r>
        <w:rPr>
          <w:rFonts w:hint="eastAsia" w:ascii="宋体" w:hAnsi="宋体" w:cs="宋体"/>
          <w:szCs w:val="21"/>
        </w:rPr>
        <w:t xml:space="preserve">2.3.4提供TCP/IP接口，可以在数据采集时进行阻抗监测；</w:t>
      </w:r>
      <w:r/>
    </w:p>
    <w:p>
      <w:pPr>
        <w:ind w:firstLine="420"/>
        <w:spacing w:line="360" w:lineRule="auto"/>
        <w:rPr>
          <w:rFonts w:hint="eastAsia" w:ascii="宋体" w:hAnsi="宋体" w:cs="宋体"/>
          <w:szCs w:val="21"/>
        </w:rPr>
      </w:pPr>
      <w:r>
        <w:rPr>
          <w:rFonts w:hint="eastAsia" w:ascii="宋体" w:hAnsi="宋体" w:cs="宋体"/>
          <w:szCs w:val="21"/>
        </w:rPr>
        <w:t xml:space="preserve">2.3.5提供基于Matlab的数据采集与实时数据分析平台，实现手势识别/人机交互在线系统。</w:t>
      </w:r>
      <w:r/>
    </w:p>
    <w:p>
      <w:pPr>
        <w:ind w:firstLine="420"/>
        <w:spacing w:line="360" w:lineRule="auto"/>
        <w:rPr>
          <w:rFonts w:hint="eastAsia" w:ascii="宋体" w:hAnsi="宋体" w:cs="宋体"/>
          <w:szCs w:val="21"/>
        </w:rPr>
      </w:pPr>
      <w:r>
        <w:rPr>
          <w:rFonts w:hint="eastAsia" w:ascii="宋体" w:hAnsi="宋体" w:cs="宋体"/>
          <w:szCs w:val="21"/>
        </w:rPr>
        <w:t xml:space="preserve">3.近红外脑功能成像装置</w:t>
      </w:r>
      <w:r/>
    </w:p>
    <w:p>
      <w:pPr>
        <w:ind w:firstLine="420"/>
        <w:spacing w:line="360" w:lineRule="auto"/>
        <w:rPr>
          <w:rFonts w:hint="eastAsia" w:ascii="宋体" w:hAnsi="宋体" w:cs="宋体"/>
          <w:szCs w:val="21"/>
        </w:rPr>
      </w:pPr>
      <w:r>
        <w:rPr>
          <w:rFonts w:hint="eastAsia" w:ascii="宋体" w:hAnsi="宋体" w:cs="宋体"/>
          <w:szCs w:val="21"/>
        </w:rPr>
        <w:t xml:space="preserve">3.1适用范围：用近红外光照射生理机体表面，通过光吸收量变化，从而对大脑皮质表面区域血液中的氧化、还原血红蛋白的浓度变化进行多点测量，可获得血液量变化的分布、脑的代谢以及循环状态的图谱图像。  </w:t>
      </w:r>
      <w:r/>
    </w:p>
    <w:p>
      <w:pPr>
        <w:ind w:firstLine="420"/>
        <w:spacing w:line="360" w:lineRule="auto"/>
        <w:rPr>
          <w:rFonts w:hint="eastAsia" w:ascii="宋体" w:hAnsi="宋体" w:cs="宋体"/>
          <w:szCs w:val="21"/>
        </w:rPr>
      </w:pPr>
      <w:r>
        <w:rPr>
          <w:rFonts w:hint="eastAsia" w:ascii="宋体" w:hAnsi="宋体" w:cs="宋体"/>
          <w:szCs w:val="21"/>
        </w:rPr>
        <w:t xml:space="preserve">3.2▲检测光源:采用两波长光源进行测量。</w:t>
      </w:r>
      <w:r/>
    </w:p>
    <w:p>
      <w:pPr>
        <w:ind w:firstLine="420"/>
        <w:spacing w:line="360" w:lineRule="auto"/>
        <w:rPr>
          <w:rFonts w:hint="eastAsia" w:ascii="宋体" w:hAnsi="宋体" w:cs="宋体"/>
          <w:szCs w:val="21"/>
        </w:rPr>
      </w:pPr>
      <w:r>
        <w:rPr>
          <w:rFonts w:hint="eastAsia" w:ascii="宋体" w:hAnsi="宋体" w:cs="宋体"/>
          <w:szCs w:val="21"/>
        </w:rPr>
        <w:t xml:space="preserve">3.3★检测波长：采用 最短波长≤695nm和最长波长≤830nm 的两个波长进行检测。</w:t>
      </w:r>
      <w:r/>
    </w:p>
    <w:p>
      <w:pPr>
        <w:ind w:firstLine="420"/>
        <w:spacing w:line="360" w:lineRule="auto"/>
        <w:rPr>
          <w:rFonts w:hint="eastAsia" w:ascii="宋体" w:hAnsi="宋体" w:cs="宋体"/>
          <w:szCs w:val="21"/>
        </w:rPr>
      </w:pPr>
      <w:r>
        <w:rPr>
          <w:rFonts w:hint="eastAsia" w:ascii="宋体" w:hAnsi="宋体" w:cs="宋体"/>
          <w:szCs w:val="21"/>
        </w:rPr>
        <w:t xml:space="preserve">3.4▲波长间隔≥135nm，在一定范围内，波段间隔越大，所采集到的数据越能区分出不同血红蛋白的真实变化值。</w:t>
      </w:r>
      <w:r/>
    </w:p>
    <w:p>
      <w:pPr>
        <w:ind w:firstLine="420"/>
        <w:spacing w:line="360" w:lineRule="auto"/>
        <w:rPr>
          <w:rFonts w:hint="eastAsia" w:ascii="宋体" w:hAnsi="宋体" w:cs="宋体"/>
          <w:szCs w:val="21"/>
        </w:rPr>
      </w:pPr>
      <w:r>
        <w:rPr>
          <w:rFonts w:hint="eastAsia" w:ascii="宋体" w:hAnsi="宋体" w:cs="宋体"/>
          <w:szCs w:val="21"/>
        </w:rPr>
        <w:t xml:space="preserve">3.5★采集技术：全分频采集，所有光源可同时同步工作，非分时采集。</w:t>
      </w:r>
      <w:r/>
    </w:p>
    <w:p>
      <w:pPr>
        <w:ind w:firstLine="420"/>
        <w:spacing w:line="360" w:lineRule="auto"/>
        <w:rPr>
          <w:rFonts w:hint="eastAsia" w:ascii="宋体" w:hAnsi="宋体" w:cs="宋体"/>
          <w:szCs w:val="21"/>
        </w:rPr>
      </w:pPr>
      <w:r>
        <w:rPr>
          <w:rFonts w:hint="eastAsia" w:ascii="宋体" w:hAnsi="宋体" w:cs="宋体"/>
          <w:szCs w:val="21"/>
        </w:rPr>
        <w:t xml:space="preserve">3.6▲发射探头：≥16个。</w:t>
      </w:r>
      <w:r/>
    </w:p>
    <w:p>
      <w:pPr>
        <w:ind w:firstLine="420"/>
        <w:spacing w:line="360" w:lineRule="auto"/>
        <w:rPr>
          <w:rFonts w:hint="eastAsia" w:ascii="宋体" w:hAnsi="宋体" w:cs="宋体"/>
          <w:szCs w:val="21"/>
        </w:rPr>
      </w:pPr>
      <w:r>
        <w:rPr>
          <w:rFonts w:hint="eastAsia" w:ascii="宋体" w:hAnsi="宋体" w:cs="宋体"/>
          <w:szCs w:val="21"/>
        </w:rPr>
        <w:t xml:space="preserve">3.7▲接收探头：≥16个。</w:t>
      </w:r>
      <w:r/>
    </w:p>
    <w:p>
      <w:pPr>
        <w:ind w:firstLine="420"/>
        <w:spacing w:line="360" w:lineRule="auto"/>
        <w:rPr>
          <w:rFonts w:hint="eastAsia" w:ascii="宋体" w:hAnsi="宋体" w:cs="宋体"/>
          <w:szCs w:val="21"/>
        </w:rPr>
      </w:pPr>
      <w:r>
        <w:rPr>
          <w:rFonts w:hint="eastAsia" w:ascii="宋体" w:hAnsi="宋体" w:cs="宋体"/>
          <w:szCs w:val="21"/>
        </w:rPr>
        <w:t xml:space="preserve">3.8▲通道数≥53通道(当发射与采集探头相距3cm时)。</w:t>
      </w:r>
      <w:r/>
    </w:p>
    <w:p>
      <w:pPr>
        <w:ind w:firstLine="420"/>
        <w:spacing w:line="360" w:lineRule="auto"/>
        <w:rPr>
          <w:rFonts w:hint="eastAsia" w:ascii="宋体" w:hAnsi="宋体" w:cs="宋体"/>
          <w:szCs w:val="21"/>
        </w:rPr>
      </w:pPr>
      <w:r>
        <w:rPr>
          <w:rFonts w:hint="eastAsia" w:ascii="宋体" w:hAnsi="宋体" w:cs="宋体"/>
          <w:szCs w:val="21"/>
        </w:rPr>
        <w:t xml:space="preserve">3.9▲光源类型:激光光源，非LED光源。</w:t>
      </w:r>
      <w:r/>
    </w:p>
    <w:p>
      <w:pPr>
        <w:ind w:firstLine="420"/>
        <w:spacing w:line="360" w:lineRule="auto"/>
        <w:rPr>
          <w:rFonts w:hint="eastAsia" w:ascii="宋体" w:hAnsi="宋体" w:cs="宋体"/>
          <w:szCs w:val="21"/>
        </w:rPr>
      </w:pPr>
      <w:r>
        <w:rPr>
          <w:rFonts w:hint="eastAsia" w:ascii="宋体" w:hAnsi="宋体" w:cs="宋体"/>
          <w:szCs w:val="21"/>
        </w:rPr>
        <w:t xml:space="preserve">3.10▲检测器类型：雪崩光电二极管（APD），非硅光电倍增管，检测灵敏度高，可探测微弱光信号。</w:t>
      </w:r>
      <w:r/>
    </w:p>
    <w:p>
      <w:pPr>
        <w:ind w:firstLine="420"/>
        <w:spacing w:line="360" w:lineRule="auto"/>
        <w:rPr>
          <w:rFonts w:hint="eastAsia" w:ascii="宋体" w:hAnsi="宋体" w:cs="宋体"/>
          <w:szCs w:val="21"/>
        </w:rPr>
      </w:pPr>
      <w:r>
        <w:rPr>
          <w:rFonts w:hint="eastAsia" w:ascii="宋体" w:hAnsi="宋体" w:cs="宋体"/>
          <w:szCs w:val="21"/>
        </w:rPr>
        <w:t xml:space="preserve">3.11▲采样率≥20Hz。</w:t>
      </w:r>
      <w:r/>
    </w:p>
    <w:p>
      <w:pPr>
        <w:ind w:firstLine="420"/>
        <w:spacing w:line="360" w:lineRule="auto"/>
        <w:rPr>
          <w:rFonts w:hint="eastAsia" w:ascii="宋体" w:hAnsi="宋体" w:cs="宋体"/>
          <w:szCs w:val="21"/>
        </w:rPr>
      </w:pPr>
      <w:r>
        <w:rPr>
          <w:rFonts w:hint="eastAsia" w:ascii="宋体" w:hAnsi="宋体" w:cs="宋体"/>
          <w:szCs w:val="21"/>
        </w:rPr>
        <w:t xml:space="preserve">3.12▲单通道采样速度：≤0.05s，全通道同时采样速度：≤0.05s。</w:t>
      </w:r>
      <w:r/>
    </w:p>
    <w:p>
      <w:pPr>
        <w:ind w:firstLine="420"/>
        <w:spacing w:line="360" w:lineRule="auto"/>
        <w:rPr>
          <w:rFonts w:hint="eastAsia" w:ascii="宋体" w:hAnsi="宋体" w:cs="宋体"/>
          <w:szCs w:val="21"/>
        </w:rPr>
      </w:pPr>
      <w:r>
        <w:rPr>
          <w:rFonts w:hint="eastAsia" w:ascii="宋体" w:hAnsi="宋体" w:cs="宋体"/>
          <w:szCs w:val="21"/>
        </w:rPr>
        <w:t xml:space="preserve">3.13自动光功率校准算法：支持快速（校准周期 ≤4秒）、实时（调整光极或拨头发后即时显示效果，无需重新校准）、全自动（软件算法根据头皮颅骨厚度和发量等自动调整最优光源强度）信号校准。</w:t>
      </w:r>
      <w:r/>
    </w:p>
    <w:p>
      <w:pPr>
        <w:ind w:firstLine="420"/>
        <w:spacing w:line="360" w:lineRule="auto"/>
        <w:rPr>
          <w:rFonts w:hint="eastAsia" w:ascii="宋体" w:hAnsi="宋体" w:cs="宋体"/>
          <w:szCs w:val="21"/>
        </w:rPr>
      </w:pPr>
      <w:r>
        <w:rPr>
          <w:rFonts w:hint="eastAsia" w:ascii="宋体" w:hAnsi="宋体" w:cs="宋体"/>
          <w:szCs w:val="21"/>
        </w:rPr>
        <w:t xml:space="preserve">3.14实时信号监测算法：数据采集中软件实时对每个通道进行动态监控，通过三种颜色实时显示信号信噪比，以便用户实时了解信号质量。</w:t>
      </w:r>
      <w:r/>
    </w:p>
    <w:p>
      <w:pPr>
        <w:ind w:firstLine="420"/>
        <w:spacing w:line="360" w:lineRule="auto"/>
        <w:rPr>
          <w:rFonts w:hint="eastAsia" w:ascii="宋体" w:hAnsi="宋体" w:cs="宋体"/>
          <w:szCs w:val="21"/>
        </w:rPr>
      </w:pPr>
      <w:r>
        <w:rPr>
          <w:rFonts w:hint="eastAsia" w:ascii="宋体" w:hAnsi="宋体" w:cs="宋体"/>
          <w:szCs w:val="21"/>
        </w:rPr>
        <w:t xml:space="preserve">3.15▲多维度信号呈现：支持在MNI三维空间实时呈现脑拓扑图，支持实时二维波形曲线图、实时长窗口层叠曲线等多种实时信号显示（提供软件截图证明）。</w:t>
      </w:r>
      <w:r/>
    </w:p>
    <w:p>
      <w:pPr>
        <w:ind w:firstLine="420"/>
        <w:spacing w:line="360" w:lineRule="auto"/>
        <w:rPr>
          <w:rFonts w:hint="eastAsia" w:ascii="宋体" w:hAnsi="宋体" w:cs="宋体"/>
          <w:szCs w:val="21"/>
        </w:rPr>
      </w:pPr>
      <w:r>
        <w:rPr>
          <w:rFonts w:hint="eastAsia" w:ascii="宋体" w:hAnsi="宋体" w:cs="宋体"/>
          <w:szCs w:val="21"/>
        </w:rPr>
        <w:t xml:space="preserve">3.16▲近红外设备为桌面式设备（非台式、悬挂式、穿戴式设备）。</w:t>
      </w:r>
      <w:r/>
    </w:p>
    <w:p>
      <w:pPr>
        <w:ind w:firstLine="420"/>
        <w:spacing w:line="360" w:lineRule="auto"/>
        <w:rPr>
          <w:rFonts w:hint="eastAsia" w:ascii="宋体" w:hAnsi="宋体" w:cs="宋体"/>
          <w:szCs w:val="21"/>
        </w:rPr>
      </w:pPr>
      <w:r>
        <w:rPr>
          <w:rFonts w:hint="eastAsia" w:ascii="宋体" w:hAnsi="宋体" w:cs="宋体"/>
          <w:szCs w:val="21"/>
        </w:rPr>
        <w:t xml:space="preserve">3.17▲扩展方式：设备采用模块化设计，配置灵活，支持单设备扩展多设备，支持单设备之间的堆叠使用。</w:t>
      </w:r>
      <w:r/>
    </w:p>
    <w:p>
      <w:pPr>
        <w:ind w:firstLine="420"/>
        <w:spacing w:line="360" w:lineRule="auto"/>
        <w:rPr>
          <w:rFonts w:hint="eastAsia" w:ascii="宋体" w:hAnsi="宋体" w:cs="宋体"/>
          <w:szCs w:val="21"/>
        </w:rPr>
      </w:pPr>
      <w:r>
        <w:rPr>
          <w:rFonts w:hint="eastAsia" w:ascii="宋体" w:hAnsi="宋体" w:cs="宋体"/>
          <w:szCs w:val="21"/>
        </w:rPr>
        <w:t xml:space="preserve">3.18 整体装配式头帽/头罩，光纤探头与头罩装配成一个整体头帽，直接佩戴到头上，整体拿取、整体佩戴。</w:t>
      </w:r>
      <w:r/>
    </w:p>
    <w:p>
      <w:pPr>
        <w:ind w:firstLine="420"/>
        <w:spacing w:line="360" w:lineRule="auto"/>
        <w:rPr>
          <w:rFonts w:hint="eastAsia" w:ascii="宋体" w:hAnsi="宋体" w:cs="宋体"/>
          <w:szCs w:val="21"/>
        </w:rPr>
      </w:pPr>
      <w:r>
        <w:rPr>
          <w:rFonts w:hint="eastAsia" w:ascii="宋体" w:hAnsi="宋体" w:cs="宋体"/>
          <w:szCs w:val="21"/>
        </w:rPr>
        <w:t xml:space="preserve">3.19光纤帽：可根据不同需求提供多种不同头围头帽可选，适用不同头围人群，实现自由探测不同大脑区域。</w:t>
      </w:r>
      <w:r/>
    </w:p>
    <w:p>
      <w:pPr>
        <w:ind w:firstLine="420"/>
        <w:spacing w:line="360" w:lineRule="auto"/>
        <w:rPr>
          <w:rFonts w:hint="eastAsia" w:ascii="宋体" w:hAnsi="宋体" w:cs="宋体"/>
          <w:szCs w:val="21"/>
        </w:rPr>
      </w:pPr>
      <w:r>
        <w:rPr>
          <w:rFonts w:hint="eastAsia" w:ascii="宋体" w:hAnsi="宋体" w:cs="宋体"/>
          <w:szCs w:val="21"/>
        </w:rPr>
        <w:t xml:space="preserve">3.20支持光纤帽定制。</w:t>
      </w:r>
      <w:r/>
    </w:p>
    <w:p>
      <w:pPr>
        <w:ind w:firstLine="420"/>
        <w:spacing w:line="360" w:lineRule="auto"/>
        <w:rPr>
          <w:rFonts w:hint="eastAsia" w:ascii="宋体" w:hAnsi="宋体" w:cs="宋体"/>
          <w:szCs w:val="21"/>
        </w:rPr>
      </w:pPr>
      <w:r>
        <w:rPr>
          <w:rFonts w:hint="eastAsia" w:ascii="宋体" w:hAnsi="宋体" w:cs="宋体"/>
          <w:szCs w:val="21"/>
        </w:rPr>
        <w:t xml:space="preserve">3.21▲生物安全相容性：探头和头帽可与人体头部直接接触。（提供医疗器械检验机构出具的、并在药监局备案的技术要求或具备CMA或CNAS认证资质的第三方机构出具的检测报告作为证明材料）。</w:t>
      </w:r>
      <w:r/>
    </w:p>
    <w:p>
      <w:pPr>
        <w:ind w:firstLine="420"/>
        <w:spacing w:line="360" w:lineRule="auto"/>
        <w:rPr>
          <w:rFonts w:hint="eastAsia" w:ascii="宋体" w:hAnsi="宋体" w:cs="宋体"/>
          <w:szCs w:val="21"/>
        </w:rPr>
      </w:pPr>
      <w:r>
        <w:rPr>
          <w:rFonts w:hint="eastAsia" w:ascii="宋体" w:hAnsi="宋体" w:cs="宋体"/>
          <w:szCs w:val="21"/>
        </w:rPr>
        <w:t xml:space="preserve">3.22软件支持由第三方软件控制本fNIRS设备的记录开始与结束，因而本设备支持经第三方软件控制或是同步mark下的多种设备间的同步记录。</w:t>
      </w:r>
      <w:r/>
    </w:p>
    <w:p>
      <w:pPr>
        <w:ind w:firstLine="420"/>
        <w:spacing w:line="360" w:lineRule="auto"/>
        <w:rPr>
          <w:rFonts w:hint="eastAsia" w:ascii="宋体" w:hAnsi="宋体" w:cs="宋体"/>
          <w:szCs w:val="21"/>
        </w:rPr>
      </w:pPr>
      <w:r>
        <w:rPr>
          <w:rFonts w:hint="eastAsia" w:ascii="宋体" w:hAnsi="宋体" w:cs="宋体"/>
          <w:szCs w:val="21"/>
        </w:rPr>
        <w:t xml:space="preserve">3.23整机的配套软件要求：多种mark触发方式：满足各种多模态和自然情境采集。</w:t>
      </w:r>
      <w:r/>
    </w:p>
    <w:p>
      <w:pPr>
        <w:ind w:firstLine="420"/>
        <w:spacing w:line="360" w:lineRule="auto"/>
        <w:rPr>
          <w:rFonts w:hint="eastAsia" w:ascii="宋体" w:hAnsi="宋体" w:cs="宋体"/>
          <w:szCs w:val="21"/>
        </w:rPr>
      </w:pPr>
      <w:r>
        <w:rPr>
          <w:rFonts w:hint="eastAsia" w:ascii="宋体" w:hAnsi="宋体" w:cs="宋体"/>
          <w:szCs w:val="21"/>
        </w:rPr>
        <w:t xml:space="preserve">3.24▲光极排布自定义设计：支持内置两种fNIRS全头排布与一种全头EEG-fNIRS排布，用户可根据需要建立排布，通过拔插快速光纤快速实现数据采集。</w:t>
      </w:r>
      <w:r/>
    </w:p>
    <w:p>
      <w:pPr>
        <w:ind w:firstLine="420"/>
        <w:spacing w:line="360" w:lineRule="auto"/>
        <w:rPr>
          <w:rFonts w:hint="eastAsia" w:ascii="宋体" w:hAnsi="宋体" w:cs="宋体"/>
          <w:szCs w:val="21"/>
        </w:rPr>
      </w:pPr>
      <w:r>
        <w:rPr>
          <w:rFonts w:hint="eastAsia" w:ascii="宋体" w:hAnsi="宋体" w:cs="宋体"/>
          <w:szCs w:val="21"/>
        </w:rPr>
        <w:t xml:space="preserve">3.25内置模板：配备多脑区模版，用户可根据需要选择相应模板。</w:t>
      </w:r>
      <w:r/>
    </w:p>
    <w:p>
      <w:pPr>
        <w:ind w:firstLine="420"/>
        <w:spacing w:line="360" w:lineRule="auto"/>
        <w:rPr>
          <w:rFonts w:hint="eastAsia" w:ascii="宋体" w:hAnsi="宋体" w:cs="宋体"/>
          <w:szCs w:val="21"/>
        </w:rPr>
      </w:pPr>
      <w:r>
        <w:rPr>
          <w:rFonts w:hint="eastAsia" w:ascii="宋体" w:hAnsi="宋体" w:cs="宋体"/>
          <w:szCs w:val="21"/>
        </w:rPr>
        <w:t xml:space="preserve">3.26加密锁：采集项目独立且设置加密，保护用户数据安全。</w:t>
      </w:r>
      <w:r/>
    </w:p>
    <w:p>
      <w:pPr>
        <w:ind w:firstLine="420"/>
        <w:spacing w:line="360" w:lineRule="auto"/>
        <w:rPr>
          <w:rFonts w:hint="eastAsia" w:ascii="宋体" w:hAnsi="宋体" w:cs="宋体"/>
          <w:szCs w:val="21"/>
        </w:rPr>
      </w:pPr>
      <w:r>
        <w:rPr>
          <w:rFonts w:hint="eastAsia" w:ascii="宋体" w:hAnsi="宋体" w:cs="宋体"/>
          <w:szCs w:val="21"/>
        </w:rPr>
        <w:t xml:space="preserve">3.27软件数据管理模块：</w:t>
      </w:r>
      <w:r/>
    </w:p>
    <w:p>
      <w:pPr>
        <w:ind w:firstLine="420"/>
        <w:spacing w:line="360" w:lineRule="auto"/>
        <w:rPr>
          <w:rFonts w:hint="eastAsia" w:ascii="宋体" w:hAnsi="宋体" w:cs="宋体"/>
          <w:szCs w:val="21"/>
        </w:rPr>
      </w:pPr>
      <w:r>
        <w:rPr>
          <w:rFonts w:hint="eastAsia" w:ascii="宋体" w:hAnsi="宋体" w:cs="宋体"/>
          <w:szCs w:val="21"/>
        </w:rPr>
        <w:t xml:space="preserve">(1)软件支持数据管理，用户可自定义项目，方便后期数据查询，不同项目之间互不干扰；</w:t>
      </w:r>
      <w:r/>
    </w:p>
    <w:p>
      <w:pPr>
        <w:ind w:firstLine="420"/>
        <w:spacing w:line="360" w:lineRule="auto"/>
        <w:rPr>
          <w:rFonts w:hint="eastAsia" w:ascii="宋体" w:hAnsi="宋体" w:cs="宋体"/>
          <w:szCs w:val="21"/>
        </w:rPr>
      </w:pPr>
      <w:r>
        <w:rPr>
          <w:rFonts w:hint="eastAsia" w:ascii="宋体" w:hAnsi="宋体" w:cs="宋体"/>
          <w:szCs w:val="21"/>
        </w:rPr>
        <w:t xml:space="preserve">(2)支持信息录入，多样化数据检索功能，可根据姓名、测查日期进行数据检索</w:t>
      </w:r>
      <w:r/>
    </w:p>
    <w:p>
      <w:pPr>
        <w:ind w:firstLine="420"/>
        <w:spacing w:line="360" w:lineRule="auto"/>
        <w:rPr>
          <w:rFonts w:hint="eastAsia" w:ascii="宋体" w:hAnsi="宋体" w:cs="宋体"/>
          <w:szCs w:val="21"/>
        </w:rPr>
      </w:pPr>
      <w:r>
        <w:rPr>
          <w:rFonts w:hint="eastAsia" w:ascii="宋体" w:hAnsi="宋体" w:cs="宋体"/>
          <w:szCs w:val="21"/>
        </w:rPr>
        <w:t xml:space="preserve">3.28显示、分析采集信号的种类。</w:t>
      </w:r>
      <w:r/>
    </w:p>
    <w:p>
      <w:pPr>
        <w:ind w:firstLine="420"/>
        <w:spacing w:line="360" w:lineRule="auto"/>
        <w:rPr>
          <w:rFonts w:hint="eastAsia" w:ascii="宋体" w:hAnsi="宋体" w:cs="宋体"/>
          <w:szCs w:val="21"/>
        </w:rPr>
      </w:pPr>
      <w:r>
        <w:rPr>
          <w:rFonts w:hint="eastAsia" w:ascii="宋体" w:hAnsi="宋体" w:cs="宋体"/>
          <w:szCs w:val="21"/>
        </w:rPr>
        <w:t xml:space="preserve">(1)氧合血红蛋白浓度变化值； </w:t>
      </w:r>
      <w:r/>
    </w:p>
    <w:p>
      <w:pPr>
        <w:ind w:firstLine="420"/>
        <w:spacing w:line="360" w:lineRule="auto"/>
        <w:rPr>
          <w:rFonts w:hint="eastAsia" w:ascii="宋体" w:hAnsi="宋体" w:cs="宋体"/>
          <w:szCs w:val="21"/>
        </w:rPr>
      </w:pPr>
      <w:r>
        <w:rPr>
          <w:rFonts w:hint="eastAsia" w:ascii="宋体" w:hAnsi="宋体" w:cs="宋体"/>
          <w:szCs w:val="21"/>
        </w:rPr>
        <w:t xml:space="preserve">(2)脱氧血红蛋白浓度变化值； </w:t>
      </w:r>
      <w:r/>
    </w:p>
    <w:p>
      <w:pPr>
        <w:ind w:firstLine="420"/>
        <w:spacing w:line="360" w:lineRule="auto"/>
        <w:rPr>
          <w:rFonts w:hint="eastAsia" w:ascii="宋体" w:hAnsi="宋体" w:cs="宋体"/>
          <w:szCs w:val="21"/>
        </w:rPr>
      </w:pPr>
      <w:r>
        <w:rPr>
          <w:rFonts w:hint="eastAsia" w:ascii="宋体" w:hAnsi="宋体" w:cs="宋体"/>
          <w:szCs w:val="21"/>
        </w:rPr>
        <w:t xml:space="preserve">(3)总血红蛋白浓度变化值。 </w:t>
      </w:r>
      <w:r/>
    </w:p>
    <w:p>
      <w:pPr>
        <w:ind w:firstLine="420"/>
        <w:spacing w:line="360" w:lineRule="auto"/>
        <w:rPr>
          <w:rFonts w:hint="eastAsia" w:ascii="宋体" w:hAnsi="宋体" w:cs="宋体"/>
          <w:szCs w:val="21"/>
        </w:rPr>
      </w:pPr>
      <w:r>
        <w:rPr>
          <w:rFonts w:hint="eastAsia" w:ascii="宋体" w:hAnsi="宋体" w:cs="宋体"/>
          <w:szCs w:val="21"/>
        </w:rPr>
        <w:t xml:space="preserve">3.29脑功能定量图像形式: </w:t>
      </w:r>
      <w:r/>
    </w:p>
    <w:p>
      <w:pPr>
        <w:ind w:firstLine="420"/>
        <w:spacing w:line="360" w:lineRule="auto"/>
        <w:rPr>
          <w:rFonts w:hint="eastAsia" w:ascii="宋体" w:hAnsi="宋体" w:cs="宋体"/>
          <w:szCs w:val="21"/>
        </w:rPr>
      </w:pPr>
      <w:r>
        <w:rPr>
          <w:rFonts w:hint="eastAsia" w:ascii="宋体" w:hAnsi="宋体" w:cs="宋体"/>
          <w:szCs w:val="21"/>
        </w:rPr>
        <w:t xml:space="preserve">(1)血红蛋白时间进程坐标图，氧化、还原、总血红蛋白可分别表示； </w:t>
      </w:r>
      <w:r/>
    </w:p>
    <w:p>
      <w:pPr>
        <w:ind w:firstLine="420"/>
        <w:spacing w:line="360" w:lineRule="auto"/>
        <w:rPr>
          <w:rFonts w:hint="eastAsia" w:ascii="宋体" w:hAnsi="宋体" w:cs="宋体"/>
          <w:szCs w:val="21"/>
        </w:rPr>
      </w:pPr>
      <w:r>
        <w:rPr>
          <w:rFonts w:hint="eastAsia" w:ascii="宋体" w:hAnsi="宋体" w:cs="宋体"/>
          <w:szCs w:val="21"/>
        </w:rPr>
        <w:t xml:space="preserve">(2)血红蛋白时间进程坐标推移图； </w:t>
      </w:r>
      <w:r/>
    </w:p>
    <w:p>
      <w:pPr>
        <w:ind w:firstLine="420"/>
        <w:spacing w:line="360" w:lineRule="auto"/>
        <w:rPr>
          <w:rFonts w:hint="eastAsia" w:ascii="宋体" w:hAnsi="宋体" w:cs="宋体"/>
          <w:szCs w:val="21"/>
        </w:rPr>
      </w:pPr>
      <w:r>
        <w:rPr>
          <w:rFonts w:hint="eastAsia" w:ascii="宋体" w:hAnsi="宋体" w:cs="宋体"/>
          <w:szCs w:val="21"/>
        </w:rPr>
        <w:t xml:space="preserve">(3)二维、三维脑功能定量图像。 </w:t>
      </w:r>
      <w:r/>
    </w:p>
    <w:p>
      <w:pPr>
        <w:ind w:firstLine="420"/>
        <w:spacing w:line="360" w:lineRule="auto"/>
        <w:rPr>
          <w:rFonts w:hint="eastAsia" w:ascii="宋体" w:hAnsi="宋体" w:cs="宋体"/>
          <w:szCs w:val="21"/>
        </w:rPr>
      </w:pPr>
      <w:r>
        <w:rPr>
          <w:rFonts w:hint="eastAsia" w:ascii="宋体" w:hAnsi="宋体" w:cs="宋体"/>
          <w:szCs w:val="21"/>
        </w:rPr>
        <w:t xml:space="preserve">3.30可外接显示器，同步显示刺激任务。 </w:t>
      </w:r>
      <w:r/>
    </w:p>
    <w:p>
      <w:pPr>
        <w:ind w:firstLine="420"/>
        <w:spacing w:line="360" w:lineRule="auto"/>
        <w:rPr>
          <w:rFonts w:hint="eastAsia" w:ascii="宋体" w:hAnsi="宋体" w:cs="宋体"/>
          <w:szCs w:val="21"/>
        </w:rPr>
      </w:pPr>
      <w:r>
        <w:rPr>
          <w:rFonts w:hint="eastAsia" w:ascii="宋体" w:hAnsi="宋体" w:cs="宋体"/>
          <w:szCs w:val="21"/>
        </w:rPr>
        <w:t xml:space="preserve">3.31支持fNIRS-TMS多模态同步研究。</w:t>
      </w:r>
      <w:r/>
    </w:p>
    <w:p>
      <w:pPr>
        <w:ind w:firstLine="420"/>
        <w:spacing w:line="360" w:lineRule="auto"/>
        <w:rPr>
          <w:rFonts w:hint="eastAsia" w:ascii="宋体" w:hAnsi="宋体" w:cs="宋体"/>
          <w:szCs w:val="21"/>
        </w:rPr>
      </w:pPr>
      <w:r>
        <w:rPr>
          <w:rFonts w:hint="eastAsia" w:ascii="宋体" w:hAnsi="宋体" w:cs="宋体"/>
          <w:szCs w:val="21"/>
        </w:rPr>
        <w:t xml:space="preserve">3.32支持与脑电EEG联用，提供任务事件标记（事件mark）同步输出至近红外和脑电设备的触发连接套件，实现近红外与脑电设备联用，实现多模态脑功能信号的同步检测分析。</w:t>
      </w:r>
      <w:r/>
    </w:p>
    <w:p>
      <w:pPr>
        <w:ind w:firstLine="420"/>
        <w:spacing w:line="360" w:lineRule="auto"/>
        <w:rPr>
          <w:rFonts w:hint="eastAsia" w:ascii="宋体" w:hAnsi="宋体" w:cs="宋体"/>
          <w:szCs w:val="21"/>
        </w:rPr>
      </w:pPr>
      <w:r>
        <w:rPr>
          <w:rFonts w:hint="eastAsia" w:ascii="宋体" w:hAnsi="宋体" w:cs="宋体"/>
          <w:szCs w:val="21"/>
        </w:rPr>
        <w:t xml:space="preserve">3.33▲提供同品牌配套科学研究分析软件，非第三方开源软件，提供数据预处理、伪影识别与校正、典型信号特征(如均值、斜率、峰值、积分)提取、一般线性模型 GLM 脑激活分析、静息态脑网络连接分析、统计分析、可视化显示(组平均波形图、二维和三维脑拓扑图、统计柱状图与散点图等)功能（配套科学研究分析软件需具备计算机软件著作权登记证书）。</w:t>
      </w:r>
      <w:r/>
    </w:p>
    <w:p>
      <w:pPr>
        <w:ind w:firstLine="420"/>
        <w:spacing w:line="360" w:lineRule="auto"/>
        <w:rPr>
          <w:rFonts w:hint="eastAsia" w:ascii="宋体" w:hAnsi="宋体" w:cs="宋体"/>
          <w:szCs w:val="21"/>
        </w:rPr>
      </w:pPr>
      <w:r>
        <w:rPr>
          <w:rFonts w:hint="eastAsia" w:ascii="宋体" w:hAnsi="宋体" w:cs="宋体"/>
          <w:szCs w:val="21"/>
        </w:rPr>
        <w:t xml:space="preserve">3.34▲提供同品牌配套科学研究分析软件，非第三方开源软件，支持脑功能连接矩阵、全通道的二维功能连接图谱、任意视角的三维脑功能连接图谱及多种脑网络连接参数的计算、展示和导出；支持脑网络连接系数群组统计分析，统计校验支持t检验或单因素方差分析（配套科学研究分析软件需具备计算机软件著作权登记证书）。</w:t>
      </w:r>
      <w:r/>
    </w:p>
    <w:p>
      <w:pPr>
        <w:ind w:firstLine="420"/>
        <w:spacing w:line="360" w:lineRule="auto"/>
        <w:rPr>
          <w:rFonts w:hint="eastAsia" w:ascii="宋体" w:hAnsi="宋体" w:cs="宋体"/>
          <w:szCs w:val="21"/>
        </w:rPr>
      </w:pPr>
      <w:r>
        <w:rPr>
          <w:rFonts w:hint="eastAsia" w:ascii="宋体" w:hAnsi="宋体" w:cs="宋体"/>
          <w:szCs w:val="21"/>
        </w:rPr>
        <w:t xml:space="preserve">3.35▲提供同品牌配套科学研究分析软件，非第三方开源软件，支持BlockAverage计算及空间位置配准：提供BlockAverage计算功能，能够自定义计算条件，能够设置均值、峰值、重心值、积分值、斜率等多种特征值的计算；支持导入定位信息（配套科学研究分析软件需具备计算机软件著作权登记证书）。</w:t>
      </w:r>
      <w:r/>
    </w:p>
    <w:p>
      <w:pPr>
        <w:pStyle w:val="974"/>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r>
      <w:r/>
    </w:p>
    <w:p>
      <w:pPr>
        <w:pStyle w:val="974"/>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bookmarkEnd w:id="28"/>
      <w:r/>
      <w:bookmarkEnd w:id="29"/>
      <w:r/>
      <w:bookmarkEnd w:id="30"/>
      <w:r/>
      <w:r/>
    </w:p>
    <w:p>
      <w:pPr>
        <w:ind w:firstLine="420"/>
        <w:spacing w:line="360" w:lineRule="auto"/>
        <w:rPr>
          <w:rFonts w:hint="eastAsia" w:ascii="宋体" w:hAnsi="宋体" w:cs="宋体"/>
          <w:szCs w:val="21"/>
        </w:rPr>
      </w:pPr>
      <w:r/>
      <w:bookmarkStart w:id="31" w:name="OLE_LINK27"/>
      <w:r/>
      <w:bookmarkStart w:id="32" w:name="OLE_LINK40"/>
      <w:r>
        <w:rPr>
          <w:rFonts w:ascii="宋体" w:hAnsi="宋体" w:cs="宋体"/>
          <w:szCs w:val="21"/>
        </w:rPr>
        <w:t xml:space="preserve">1、技术培训：为采购方进行人员培训，提供每年不少于</w:t>
      </w:r>
      <w:r>
        <w:rPr>
          <w:rFonts w:hint="eastAsia" w:ascii="宋体" w:hAnsi="宋体" w:cs="宋体"/>
          <w:szCs w:val="21"/>
          <w:u w:val="single"/>
        </w:rPr>
        <w:t xml:space="preserve">4</w:t>
      </w:r>
      <w:r>
        <w:rPr>
          <w:rFonts w:ascii="宋体" w:hAnsi="宋体" w:cs="宋体"/>
          <w:szCs w:val="21"/>
        </w:rPr>
        <w:t xml:space="preserve">次的设备操作培训，培训人员数量不低于</w:t>
      </w:r>
      <w:r>
        <w:rPr>
          <w:rFonts w:hint="eastAsia" w:ascii="宋体" w:hAnsi="宋体" w:cs="宋体"/>
          <w:szCs w:val="21"/>
          <w:u w:val="single"/>
        </w:rPr>
        <w:t xml:space="preserve">2</w:t>
      </w:r>
      <w:r>
        <w:rPr>
          <w:rFonts w:ascii="宋体" w:hAnsi="宋体" w:cs="宋体"/>
          <w:szCs w:val="21"/>
        </w:rPr>
        <w:t xml:space="preserve">人。</w:t>
      </w:r>
      <w:r/>
    </w:p>
    <w:p>
      <w:pPr>
        <w:ind w:firstLine="420"/>
        <w:spacing w:line="360" w:lineRule="auto"/>
        <w:rPr>
          <w:rFonts w:hint="eastAsia" w:ascii="宋体" w:hAnsi="宋体" w:cs="宋体"/>
          <w:szCs w:val="21"/>
        </w:rPr>
      </w:pPr>
      <w:r>
        <w:rPr>
          <w:rFonts w:ascii="宋体" w:hAnsi="宋体" w:cs="宋体"/>
          <w:szCs w:val="21"/>
        </w:rPr>
        <w:t xml:space="preserve">2、免费质保期：质保期</w:t>
      </w:r>
      <w:r>
        <w:rPr>
          <w:rFonts w:hint="eastAsia" w:ascii="宋体" w:hAnsi="宋体" w:cs="宋体"/>
          <w:szCs w:val="21"/>
          <w:u w:val="single"/>
        </w:rPr>
        <w:t xml:space="preserve">2</w:t>
      </w:r>
      <w:r>
        <w:rPr>
          <w:rFonts w:ascii="宋体" w:hAnsi="宋体" w:cs="宋体"/>
          <w:szCs w:val="21"/>
        </w:rPr>
        <w:t xml:space="preserve">年，自验收合格次日起算。</w:t>
      </w:r>
      <w:r/>
    </w:p>
    <w:p>
      <w:pPr>
        <w:ind w:firstLine="420"/>
        <w:spacing w:line="360" w:lineRule="auto"/>
        <w:rPr>
          <w:rFonts w:hint="eastAsia" w:ascii="宋体" w:hAnsi="宋体" w:cs="宋体"/>
          <w:szCs w:val="21"/>
        </w:rPr>
      </w:pPr>
      <w:r>
        <w:rPr>
          <w:rFonts w:ascii="宋体" w:hAnsi="宋体" w:cs="宋体"/>
          <w:szCs w:val="21"/>
        </w:rPr>
        <w:t xml:space="preserve">3、售后技术服务要求：接到故障通知后</w:t>
      </w:r>
      <w:r>
        <w:rPr>
          <w:rFonts w:hint="eastAsia" w:ascii="宋体" w:hAnsi="宋体" w:cs="宋体"/>
          <w:szCs w:val="21"/>
          <w:u w:val="single"/>
        </w:rPr>
        <w:t xml:space="preserve">2</w:t>
      </w:r>
      <w:r>
        <w:rPr>
          <w:rFonts w:ascii="宋体" w:hAnsi="宋体" w:cs="宋体"/>
          <w:szCs w:val="21"/>
        </w:rPr>
        <w:t xml:space="preserve">小时内作出答复，一般问题</w:t>
      </w:r>
      <w:r>
        <w:rPr>
          <w:rFonts w:hint="eastAsia" w:ascii="宋体" w:hAnsi="宋体" w:cs="宋体"/>
          <w:szCs w:val="21"/>
          <w:u w:val="single"/>
        </w:rPr>
        <w:t xml:space="preserve">24</w:t>
      </w:r>
      <w:r>
        <w:rPr>
          <w:rFonts w:ascii="宋体" w:hAnsi="宋体" w:cs="宋体"/>
          <w:szCs w:val="21"/>
        </w:rPr>
        <w:t xml:space="preserve">小时之内解决；若采购方有需求，</w:t>
      </w:r>
      <w:r>
        <w:rPr>
          <w:rFonts w:hint="eastAsia" w:ascii="宋体" w:hAnsi="宋体" w:cs="宋体"/>
          <w:szCs w:val="21"/>
          <w:u w:val="single"/>
        </w:rPr>
        <w:t xml:space="preserve">48</w:t>
      </w:r>
      <w:r>
        <w:rPr>
          <w:rFonts w:ascii="宋体" w:hAnsi="宋体" w:cs="宋体"/>
          <w:szCs w:val="21"/>
        </w:rPr>
        <w:t xml:space="preserve">小时内到达现场解决；若遇重大问题在</w:t>
      </w:r>
      <w:r>
        <w:rPr>
          <w:rFonts w:hint="eastAsia" w:ascii="宋体" w:hAnsi="宋体" w:cs="宋体"/>
          <w:szCs w:val="21"/>
          <w:u w:val="single"/>
        </w:rPr>
        <w:t xml:space="preserve">7</w:t>
      </w:r>
      <w:r>
        <w:rPr>
          <w:rFonts w:ascii="宋体" w:hAnsi="宋体" w:cs="宋体"/>
          <w:szCs w:val="21"/>
        </w:rPr>
        <w:t xml:space="preserve">天内解决。</w:t>
      </w:r>
      <w:bookmarkEnd w:id="31"/>
      <w:bookmarkEnd w:id="32"/>
      <w:r/>
    </w:p>
    <w:p>
      <w:pPr>
        <w:pStyle w:val="713"/>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713"/>
        <w:ind w:left="0" w:firstLine="45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四、安装要求</w:t>
      </w:r>
      <w:r/>
    </w:p>
    <w:p>
      <w:pPr>
        <w:ind w:firstLine="420"/>
        <w:spacing w:line="360" w:lineRule="auto"/>
        <w:rPr>
          <w:rFonts w:hint="eastAsia" w:ascii="宋体" w:hAnsi="宋体" w:cs="宋体"/>
          <w:szCs w:val="21"/>
          <w:lang w:val="zh-CN"/>
        </w:rPr>
      </w:pPr>
      <w:r/>
      <w:bookmarkStart w:id="33" w:name="OLE_LINK9"/>
      <w:r>
        <w:rPr>
          <w:rFonts w:hint="eastAsia" w:ascii="宋体" w:hAnsi="宋体" w:cs="宋体"/>
          <w:szCs w:val="21"/>
          <w:lang w:val="zh-CN"/>
        </w:rPr>
        <w:t xml:space="preserve">1、按照国家现行行业规范标准进行安装，符合国家或行业质量检验评定标准，没有行业标准的产品，</w:t>
      </w:r>
      <w:bookmarkStart w:id="34" w:name="OLE_LINK8"/>
      <w:r>
        <w:rPr>
          <w:rFonts w:hint="eastAsia" w:ascii="宋体" w:hAnsi="宋体" w:cs="宋体"/>
          <w:szCs w:val="21"/>
          <w:lang w:val="zh-CN"/>
        </w:rPr>
        <w:t xml:space="preserve">供应商</w:t>
      </w:r>
      <w:bookmarkEnd w:id="34"/>
      <w:r>
        <w:rPr>
          <w:rFonts w:hint="eastAsia" w:ascii="宋体" w:hAnsi="宋体" w:cs="宋体"/>
          <w:szCs w:val="21"/>
          <w:lang w:val="zh-CN"/>
        </w:rPr>
        <w:t xml:space="preserve">应提供相关制造商标准。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2、设备安装调试：设备到货后，供应商在接到通知的7个工作日内派人前往负责该设备的安装、调试和操作培训，直至达到各项验收指标合格。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★3、为保障设备安装验收流程，配合相关工程建设进度，中标</w:t>
      </w:r>
      <w:r>
        <w:rPr>
          <w:rFonts w:hint="eastAsia" w:ascii="宋体" w:hAnsi="宋体" w:cs="宋体"/>
          <w:szCs w:val="21"/>
        </w:rPr>
        <w:t xml:space="preserve">人</w:t>
      </w:r>
      <w:r>
        <w:rPr>
          <w:rFonts w:hint="eastAsia" w:ascii="宋体" w:hAnsi="宋体" w:cs="宋体"/>
          <w:szCs w:val="21"/>
          <w:lang w:val="zh-CN"/>
        </w:rPr>
        <w:t xml:space="preserve">需根据实际情况免费提供设备移机服务（移机区域：同一校区内）</w:t>
      </w:r>
      <w:r>
        <w:rPr>
          <w:rFonts w:hint="eastAsia" w:cs="宋体" w:asciiTheme="minorEastAsia" w:hAnsiTheme="minorEastAsia" w:eastAsiaTheme="minorEastAsia"/>
          <w:szCs w:val="21"/>
          <w:lang w:val="zh-CN"/>
        </w:rPr>
        <w:t xml:space="preserve">（提供承诺书原件加盖</w:t>
      </w:r>
      <w:r>
        <w:rPr>
          <w:rFonts w:hint="eastAsia" w:cs="宋体" w:asciiTheme="minorEastAsia" w:hAnsiTheme="minorEastAsia" w:eastAsiaTheme="minorEastAsia"/>
          <w:szCs w:val="21"/>
        </w:rPr>
        <w:t xml:space="preserve">投标人</w:t>
      </w:r>
      <w:r>
        <w:rPr>
          <w:rFonts w:hint="eastAsia" w:cs="宋体" w:asciiTheme="minorEastAsia" w:hAnsiTheme="minorEastAsia" w:eastAsiaTheme="minorEastAsia"/>
          <w:szCs w:val="21"/>
          <w:lang w:val="zh-CN"/>
        </w:rPr>
        <w:t xml:space="preserve">公章）</w:t>
      </w:r>
      <w:r>
        <w:rPr>
          <w:rFonts w:hint="eastAsia" w:ascii="宋体" w:hAnsi="宋体" w:cs="宋体"/>
          <w:szCs w:val="21"/>
          <w:lang w:val="zh-CN"/>
        </w:rPr>
        <w:t xml:space="preserve">。</w:t>
      </w:r>
      <w:bookmarkEnd w:id="33"/>
      <w:r/>
    </w:p>
    <w:p>
      <w:pPr>
        <w:pStyle w:val="716"/>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716"/>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 交货期：合同签订生效后，进口设备（免税）三个月内、国产设备及进口设备（非免税）一个月内全部设备、材料运抵现场，并安装、调试结束，验收合格，交付采购人使用。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2、交货方式：供应商在采购人指定地点交货，并完成安装、调试。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3、交货地点：南京医科大学指定地点。</w:t>
      </w:r>
      <w:r/>
    </w:p>
    <w:p>
      <w:pPr>
        <w:pStyle w:val="713"/>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713"/>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13"/>
        <w:ind w:left="0" w:firstLine="454"/>
        <w:spacing w:line="360" w:lineRule="auto"/>
        <w:rPr>
          <w:rFonts w:hint="eastAsia" w:ascii="宋体" w:hAnsi="宋体" w:cs="宋体"/>
          <w:szCs w:val="21"/>
        </w:rPr>
      </w:pPr>
      <w:r>
        <w:rPr>
          <w:rFonts w:hint="eastAsia" w:ascii="宋体" w:hAnsi="宋体" w:cs="宋体"/>
          <w:b/>
          <w:bCs/>
          <w:color w:val="000000" w:themeColor="text1"/>
          <w:spacing w:val="8"/>
          <w:szCs w:val="21"/>
          <w14:textFill>
            <w14:solidFill>
              <w14:schemeClr w14:val="tx1"/>
            </w14:solidFill>
          </w14:textFill>
        </w:rPr>
        <w:t xml:space="preserve">七、履约保证金</w:t>
      </w:r>
      <w:r/>
    </w:p>
    <w:p>
      <w:pPr>
        <w:ind w:firstLine="420"/>
        <w:jc w:val="left"/>
        <w:spacing w:line="560" w:lineRule="exact"/>
        <w:rPr>
          <w:rFonts w:hint="eastAsia" w:ascii="宋体" w:hAnsi="宋体" w:cs="宋体"/>
          <w:szCs w:val="21"/>
          <w:highlight w:val="none"/>
        </w:rPr>
      </w:pPr>
      <w:r>
        <w:rPr>
          <w:rFonts w:hint="eastAsia" w:ascii="宋体" w:hAnsi="宋体" w:cs="宋体"/>
          <w:szCs w:val="21"/>
        </w:rPr>
        <w:t xml:space="preserve">1、缴纳履约保证金</w:t>
      </w:r>
      <w:r/>
    </w:p>
    <w:p>
      <w:pPr>
        <w:ind w:firstLine="420"/>
        <w:jc w:val="left"/>
        <w:spacing w:line="560" w:lineRule="exact"/>
        <w:rPr>
          <w:rFonts w:hint="eastAsia" w:ascii="宋体" w:hAnsi="宋体" w:cs="宋体"/>
          <w:szCs w:val="21"/>
          <w:highlight w:val="none"/>
        </w:rPr>
      </w:pPr>
      <w:r>
        <w:rPr>
          <w:rFonts w:hint="eastAsia" w:ascii="宋体" w:hAnsi="宋体" w:cs="宋体"/>
          <w:szCs w:val="21"/>
          <w:highlight w:val="none"/>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2"/>
        <w:jc w:val="left"/>
        <w:spacing w:line="560" w:lineRule="exact"/>
        <w:rPr>
          <w:rFonts w:hint="eastAsia" w:ascii="宋体" w:hAnsi="宋体" w:cs="宋体"/>
          <w:b/>
          <w:bCs/>
          <w:szCs w:val="21"/>
          <w:highlight w:val="none"/>
        </w:rPr>
      </w:pPr>
      <w:r>
        <w:rPr>
          <w:rFonts w:hint="eastAsia" w:ascii="宋体" w:hAnsi="宋体" w:cs="宋体"/>
          <w:b/>
          <w:bCs/>
          <w:szCs w:val="21"/>
          <w:highlight w:val="none"/>
        </w:rPr>
        <w:t xml:space="preserve">南京医科大学指定账户信息具体如下：</w:t>
      </w:r>
      <w:r/>
    </w:p>
    <w:p>
      <w:pPr>
        <w:ind w:firstLine="420"/>
        <w:jc w:val="left"/>
        <w:spacing w:line="560" w:lineRule="exact"/>
        <w:rPr>
          <w:rFonts w:hint="eastAsia" w:ascii="宋体" w:hAnsi="宋体" w:cs="宋体"/>
          <w:szCs w:val="21"/>
          <w:highlight w:val="none"/>
        </w:rPr>
      </w:pPr>
      <w:r>
        <w:rPr>
          <w:rFonts w:hint="eastAsia" w:ascii="宋体" w:hAnsi="宋体" w:cs="宋体"/>
          <w:szCs w:val="21"/>
          <w:highlight w:val="none"/>
        </w:rPr>
        <w:t xml:space="preserve">单位名称：南京医科大学</w:t>
      </w:r>
      <w:r/>
    </w:p>
    <w:p>
      <w:pPr>
        <w:ind w:firstLine="420"/>
        <w:jc w:val="left"/>
        <w:spacing w:line="560" w:lineRule="exact"/>
        <w:rPr>
          <w:rFonts w:hint="eastAsia" w:ascii="宋体" w:hAnsi="宋体" w:cs="宋体"/>
          <w:szCs w:val="21"/>
          <w:highlight w:val="none"/>
        </w:rPr>
      </w:pPr>
      <w:r>
        <w:rPr>
          <w:rFonts w:hint="eastAsia" w:ascii="宋体" w:hAnsi="宋体" w:cs="宋体"/>
          <w:szCs w:val="21"/>
          <w:highlight w:val="none"/>
        </w:rPr>
        <w:t xml:space="preserve">开 户 行：南京市工行汉中门支行                          </w:t>
      </w:r>
      <w:r/>
    </w:p>
    <w:p>
      <w:pPr>
        <w:ind w:firstLine="420"/>
        <w:jc w:val="left"/>
        <w:spacing w:line="560" w:lineRule="exact"/>
        <w:rPr>
          <w:rFonts w:hint="eastAsia" w:ascii="宋体" w:hAnsi="宋体" w:cs="宋体"/>
          <w:szCs w:val="21"/>
          <w:highlight w:val="none"/>
        </w:rPr>
      </w:pPr>
      <w:r>
        <w:rPr>
          <w:rFonts w:hint="eastAsia" w:ascii="宋体" w:hAnsi="宋体" w:cs="宋体"/>
          <w:szCs w:val="21"/>
          <w:highlight w:val="none"/>
        </w:rPr>
        <w:t xml:space="preserve">账    号：4301010109001038622</w:t>
      </w:r>
      <w:r/>
    </w:p>
    <w:p>
      <w:pPr>
        <w:ind w:firstLine="420"/>
        <w:jc w:val="left"/>
        <w:spacing w:line="560" w:lineRule="exact"/>
        <w:rPr>
          <w:rFonts w:hint="eastAsia" w:ascii="宋体" w:hAnsi="宋体" w:cs="宋体"/>
          <w:szCs w:val="21"/>
          <w:highlight w:val="none"/>
        </w:rPr>
      </w:pPr>
      <w:r>
        <w:rPr>
          <w:rFonts w:hint="eastAsia" w:ascii="宋体" w:hAnsi="宋体" w:cs="宋体"/>
          <w:szCs w:val="21"/>
          <w:highlight w:val="none"/>
        </w:rPr>
        <w:t xml:space="preserve">注：请在转账时备注“项目名称+履约保证金”字样。</w:t>
      </w:r>
      <w:r/>
    </w:p>
    <w:p>
      <w:pPr>
        <w:ind w:firstLine="420"/>
        <w:jc w:val="left"/>
        <w:spacing w:line="560" w:lineRule="exact"/>
        <w:rPr>
          <w:rFonts w:hint="eastAsia" w:ascii="宋体" w:hAnsi="宋体" w:cs="宋体"/>
          <w:szCs w:val="21"/>
          <w:highlight w:val="none"/>
        </w:rPr>
      </w:pPr>
      <w:r>
        <w:rPr>
          <w:rFonts w:hint="eastAsia" w:ascii="宋体" w:hAnsi="宋体" w:cs="宋体"/>
          <w:szCs w:val="21"/>
          <w:highlight w:val="none"/>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20"/>
        <w:jc w:val="left"/>
        <w:spacing w:line="560" w:lineRule="exact"/>
        <w:rPr>
          <w:rFonts w:hint="eastAsia" w:ascii="宋体" w:hAnsi="宋体" w:cs="宋体"/>
          <w:b/>
          <w:bCs/>
          <w:szCs w:val="21"/>
          <w:highlight w:val="none"/>
        </w:rPr>
      </w:pPr>
      <w:r>
        <w:rPr>
          <w:rFonts w:hint="eastAsia" w:ascii="宋体" w:hAnsi="宋体" w:cs="宋体"/>
          <w:szCs w:val="21"/>
          <w:highlight w:val="none"/>
        </w:rPr>
        <w:t xml:space="preserve">3、合同履行过程中，若经学校核实存在货物质量问题或中标供应商违约情形，学校有权在通知中标供应商后，从履约保证金中抵扣相应的补偿或赔偿款项。</w:t>
      </w:r>
      <w:r/>
    </w:p>
    <w:p>
      <w:pPr>
        <w:ind w:firstLine="420"/>
        <w:jc w:val="left"/>
        <w:spacing w:line="560" w:lineRule="exact"/>
        <w:rPr>
          <w:rFonts w:hint="eastAsia" w:ascii="宋体" w:hAnsi="宋体" w:cs="宋体"/>
          <w:szCs w:val="21"/>
          <w:highlight w:val="none"/>
        </w:rPr>
      </w:pPr>
      <w:r>
        <w:rPr>
          <w:rFonts w:hint="eastAsia" w:ascii="宋体" w:hAnsi="宋体" w:cs="宋体"/>
          <w:szCs w:val="21"/>
          <w:highlight w:val="none"/>
        </w:rPr>
        <w:t xml:space="preserve">4、履约保证金退还流程</w:t>
      </w:r>
      <w:r/>
    </w:p>
    <w:p>
      <w:pPr>
        <w:ind w:firstLine="420"/>
        <w:jc w:val="left"/>
        <w:spacing w:line="560" w:lineRule="exact"/>
        <w:rPr>
          <w:rFonts w:hint="eastAsia" w:ascii="宋体" w:hAnsi="宋体" w:cs="宋体"/>
          <w:szCs w:val="21"/>
          <w:highlight w:val="none"/>
        </w:rPr>
      </w:pPr>
      <w:r>
        <w:rPr>
          <w:rFonts w:hint="eastAsia" w:ascii="宋体" w:hAnsi="宋体" w:cs="宋体"/>
          <w:szCs w:val="21"/>
          <w:highlight w:val="none"/>
        </w:rPr>
        <w:t xml:space="preserve">（1）自货物验收合格之日起12个月后，中标供应商可向学校出具货物最终验收单，并同步提交填写完整的《履约保证金退还申请单》。</w:t>
      </w:r>
      <w:r/>
    </w:p>
    <w:p>
      <w:pPr>
        <w:ind w:firstLine="420"/>
        <w:jc w:val="left"/>
        <w:spacing w:line="560" w:lineRule="exact"/>
        <w:rPr>
          <w:rFonts w:hint="eastAsia" w:ascii="宋体" w:hAnsi="宋体" w:cs="宋体"/>
          <w:szCs w:val="21"/>
          <w:highlight w:val="none"/>
          <w:lang w:val="zh-CN"/>
        </w:rPr>
      </w:pPr>
      <w:r>
        <w:rPr>
          <w:rFonts w:hint="eastAsia" w:ascii="宋体" w:hAnsi="宋体" w:cs="宋体"/>
          <w:szCs w:val="21"/>
          <w:highlight w:val="none"/>
        </w:rPr>
        <w:t xml:space="preserve">（2）经最终用户签字确认，核实无质量问题且供应商无违约情形后，学校于确认完成后一个月内，将履约保证金一次性无息退还中标供应商。</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bCs/>
          <w:color w:val="000000" w:themeColor="text1"/>
          <w:spacing w:val="8"/>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八、</w:t>
      </w:r>
      <w:r>
        <w:rPr>
          <w:rFonts w:hint="eastAsia" w:ascii="宋体" w:hAnsi="宋体" w:cs="宋体"/>
          <w:b/>
          <w:bCs/>
          <w:color w:val="000000" w:themeColor="text1"/>
          <w:spacing w:val="8"/>
          <w:szCs w:val="21"/>
          <w:highlight w:val="none"/>
          <w14:textFill>
            <w14:solidFill>
              <w14:schemeClr w14:val="tx1"/>
            </w14:solidFill>
          </w14:textFill>
        </w:rPr>
        <w:t xml:space="preserve">货款支付</w:t>
      </w:r>
      <w:r/>
    </w:p>
    <w:p>
      <w:pPr>
        <w:ind w:firstLine="420"/>
        <w:jc w:val="left"/>
        <w:spacing w:line="560" w:lineRule="exact"/>
        <w:rPr>
          <w:rFonts w:hint="eastAsia" w:ascii="宋体" w:hAnsi="宋体" w:cs="宋体"/>
          <w:szCs w:val="21"/>
          <w:highlight w:val="none"/>
        </w:rPr>
      </w:pPr>
      <w:r/>
      <w:bookmarkStart w:id="35" w:name="OLE_LINK11"/>
      <w:r>
        <w:rPr>
          <w:rFonts w:hint="eastAsia" w:ascii="宋体" w:hAnsi="宋体" w:cs="宋体"/>
          <w:szCs w:val="21"/>
          <w:highlight w:val="none"/>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2、进口设备（免税）：</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（1）合同签订后，外贸代理公司提供受益人为南京医科大学的100%合同金额的预付款银行保函，保函有效期为</w:t>
      </w:r>
      <w:r>
        <w:rPr>
          <w:rFonts w:hint="eastAsia" w:ascii="宋体" w:hAnsi="宋体" w:cs="宋体"/>
          <w:szCs w:val="21"/>
          <w:highlight w:val="none"/>
          <w:u w:val="single"/>
        </w:rPr>
        <w:t xml:space="preserve">     </w:t>
      </w:r>
      <w:r>
        <w:rPr>
          <w:rFonts w:hint="eastAsia" w:ascii="宋体" w:hAnsi="宋体" w:cs="宋体"/>
          <w:szCs w:val="21"/>
          <w:highlight w:val="none"/>
        </w:rPr>
        <w:t xml:space="preserve">天（供货期＋2个月），银行保函服务费由中标单位承担。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（2）外贸代理公司收到100%货款后按照合同办理相关进口手续，货到验收合格后由学校通知外贸代理公司一周内开具合法有效的全额发票，并支付100%货款至境外厂家。</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bookmarkEnd w:id="35"/>
      <w:r/>
    </w:p>
    <w:p>
      <w:pPr>
        <w:ind w:firstLine="454"/>
        <w:spacing w:line="360" w:lineRule="auto"/>
        <w:rPr>
          <w:rFonts w:hint="eastAsia" w:ascii="宋体" w:hAnsi="宋体" w:cs="宋体"/>
          <w:b/>
          <w:bCs/>
          <w:color w:val="000000" w:themeColor="text1"/>
          <w:spacing w:val="8"/>
          <w:szCs w:val="21"/>
          <w:highlight w:val="none"/>
          <w14:textFill>
            <w14:solidFill>
              <w14:schemeClr w14:val="tx1"/>
            </w14:solidFill>
          </w14:textFill>
        </w:rPr>
      </w:pPr>
      <w:r>
        <w:rPr>
          <w:rFonts w:hint="eastAsia" w:ascii="宋体" w:hAnsi="宋体" w:cs="宋体"/>
          <w:b/>
          <w:bCs/>
          <w:color w:val="000000" w:themeColor="text1"/>
          <w:spacing w:val="8"/>
          <w:szCs w:val="21"/>
          <w:highlight w:val="none"/>
          <w14:textFill>
            <w14:solidFill>
              <w14:schemeClr w14:val="tx1"/>
            </w14:solidFill>
          </w14:textFill>
        </w:rPr>
        <w:t xml:space="preserve">九、报价要求</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w:t>
      </w:r>
      <w:r>
        <w:rPr>
          <w:rFonts w:hint="eastAsia" w:ascii="宋体" w:hAnsi="宋体"/>
          <w:bCs/>
          <w:color w:val="000000" w:themeColor="text1"/>
          <w:szCs w:val="21"/>
          <w14:textFill>
            <w14:solidFill>
              <w14:schemeClr w14:val="tx1"/>
            </w14:solidFill>
          </w14:textFill>
        </w:rPr>
        <w:t xml:space="preserve">免税价。进口免税价须包含在采购人指定地点交货的，除进口关税和进口增值税外的全部费用，并包含进口代理服务费、安装、调试、培训和检测等的全部费用。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2、报价时应充分考虑所有可能影响到报价的因素，一旦评审结束最终成交，如发生漏、缺、少项都将被认为是成交供应商的报价让利行为，损失自负。</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pStyle w:val="713"/>
        <w:ind w:left="0"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各档代理费率为：</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713"/>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合同价为20万美元及以上的，代理费率不高于上述代理费中最低一档。</w:t>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如潜在供应商所投产品为进口产品，请自行综合考虑外贸代理费等报价事宜。</w:t>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ind w:firstLine="420"/>
        <w:jc w:val="center"/>
        <w:spacing w:line="360" w:lineRule="auto"/>
      </w:pPr>
      <w:r>
        <w:rPr>
          <w:rFonts w:hint="eastAsia"/>
        </w:rPr>
        <w:br w:type="page" w:clear="all"/>
      </w:r>
      <w:bookmarkStart w:id="36" w:name="_Toc30691"/>
      <w:r>
        <w:rPr>
          <w:rFonts w:hint="eastAsia" w:ascii="Arial" w:hAnsi="Arial" w:cs="Arial"/>
          <w:b/>
          <w:bCs/>
          <w:sz w:val="32"/>
          <w:szCs w:val="44"/>
        </w:rPr>
        <w:t xml:space="preserve">第五章 </w:t>
      </w:r>
      <w:r>
        <w:rPr>
          <w:rFonts w:ascii="Arial" w:hAnsi="Arial" w:cs="Arial"/>
          <w:b/>
          <w:bCs/>
          <w:sz w:val="32"/>
          <w:szCs w:val="44"/>
        </w:rPr>
        <w:t xml:space="preserve">合同主要条款及格式</w:t>
      </w:r>
      <w:bookmarkEnd w:id="22"/>
      <w:r/>
      <w:bookmarkEnd w:id="36"/>
      <w:r/>
      <w:r/>
    </w:p>
    <w:p>
      <w:pPr>
        <w:jc w:val="center"/>
        <w:rPr>
          <w:rFonts w:hint="eastAsia" w:ascii="宋体" w:hAnsi="宋体" w:cs="宋体"/>
          <w:b/>
          <w:bCs/>
          <w:sz w:val="32"/>
          <w:szCs w:val="32"/>
        </w:rPr>
      </w:pPr>
      <w:r>
        <w:rPr>
          <w:rFonts w:hint="eastAsia" w:ascii="宋体" w:hAnsi="宋体" w:cs="宋体"/>
          <w:b/>
          <w:bCs/>
          <w:sz w:val="32"/>
          <w:szCs w:val="32"/>
        </w:rPr>
        <w:t xml:space="preserve"> </w:t>
      </w:r>
      <w:r/>
    </w:p>
    <w:p>
      <w:pPr>
        <w:jc w:val="center"/>
        <w:rPr>
          <w:rFonts w:hint="eastAsia" w:ascii="宋体" w:hAnsi="宋体" w:cs="宋体"/>
          <w:b/>
          <w:bCs/>
          <w:sz w:val="24"/>
          <w:u w:val="single"/>
        </w:rPr>
      </w:pPr>
      <w:r>
        <w:rPr>
          <w:rFonts w:hint="eastAsia" w:ascii="宋体" w:hAnsi="宋体" w:cs="宋体"/>
          <w:b/>
          <w:bCs/>
          <w:sz w:val="32"/>
          <w:szCs w:val="32"/>
          <w:u w:val="single"/>
        </w:rPr>
        <w:t xml:space="preserve">南京医科大学疫苗平台多模态生理参数采集系统采购项目合同 </w:t>
      </w:r>
      <w:r/>
    </w:p>
    <w:p>
      <w:pPr>
        <w:pStyle w:val="716"/>
        <w:ind w:firstLine="420"/>
        <w:spacing w:before="120" w:after="120"/>
        <w:rPr>
          <w:rFonts w:hint="eastAsia" w:ascii="宋体" w:hAnsi="宋体" w:cs="宋体"/>
          <w:szCs w:val="21"/>
        </w:rPr>
      </w:pPr>
      <w:r>
        <w:rPr>
          <w:rFonts w:hint="eastAsia" w:ascii="宋体" w:hAnsi="宋体" w:cs="宋体"/>
          <w:szCs w:val="21"/>
        </w:rPr>
        <w:t xml:space="preserve">甲方：（买方）_________         乙方：（卖方）_________ </w:t>
      </w:r>
      <w:r/>
    </w:p>
    <w:p>
      <w:pPr>
        <w:pStyle w:val="716"/>
        <w:ind w:firstLine="420"/>
        <w:spacing w:before="120" w:after="120"/>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716"/>
        <w:ind w:firstLine="420"/>
        <w:spacing w:before="120" w:after="120"/>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716"/>
        <w:ind w:firstLine="420"/>
        <w:spacing w:before="120" w:after="120"/>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716"/>
        <w:ind w:firstLine="420"/>
        <w:spacing w:before="120" w:after="120"/>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716"/>
        <w:ind w:firstLine="420"/>
        <w:spacing w:before="120" w:after="120"/>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南京医科大学疫苗平台多模态生理参数采集系统采购项目 </w:t>
      </w:r>
      <w:r>
        <w:rPr>
          <w:rFonts w:hint="eastAsia" w:ascii="宋体" w:hAnsi="宋体" w:cs="宋体"/>
          <w:szCs w:val="21"/>
        </w:rPr>
        <w:t xml:space="preserve">公开招标的结果，本着自愿及平等互利的原则，就甲方向乙方购买本合同约定的货物事宜，签署本合同。</w:t>
      </w:r>
      <w:r/>
    </w:p>
    <w:p>
      <w:pPr>
        <w:pStyle w:val="716"/>
        <w:ind w:firstLine="422"/>
        <w:spacing w:before="120" w:after="120" w:line="330" w:lineRule="atLeast"/>
        <w:rPr>
          <w:rFonts w:hint="eastAsia" w:ascii="宋体" w:hAnsi="宋体" w:cs="宋体"/>
          <w:b/>
          <w:szCs w:val="21"/>
        </w:rPr>
      </w:pPr>
      <w:r>
        <w:rPr>
          <w:rFonts w:hint="eastAsia" w:ascii="宋体" w:hAnsi="宋体" w:cs="宋体"/>
          <w:b/>
          <w:szCs w:val="21"/>
        </w:rPr>
        <w:t xml:space="preserve">一、货物内容、数量及金额</w:t>
      </w:r>
      <w:r/>
    </w:p>
    <w:tbl>
      <w:tblPr>
        <w:tblStyle w:val="701"/>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259"/>
        <w:gridCol w:w="891"/>
        <w:gridCol w:w="891"/>
        <w:gridCol w:w="891"/>
        <w:gridCol w:w="898"/>
        <w:gridCol w:w="1398"/>
        <w:gridCol w:w="1404"/>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hint="eastAsia" w:ascii="宋体" w:hAnsi="宋体" w:cs="宋体"/>
                <w:szCs w:val="21"/>
              </w:rPr>
            </w:pPr>
            <w:r>
              <w:rPr>
                <w:rFonts w:hint="eastAsia" w:ascii="宋体" w:hAnsi="宋体" w:cs="宋体"/>
                <w:szCs w:val="21"/>
              </w:rPr>
            </w:r>
            <w:r/>
          </w:p>
          <w:p>
            <w:pPr>
              <w:jc w:val="center"/>
              <w:spacing w:line="30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此外，</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二、结算方式</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2.1结算方式：</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A【</w:t>
      </w:r>
      <w:r>
        <w:rPr>
          <w:rFonts w:hint="eastAsia" w:ascii="宋体" w:hAnsi="宋体" w:cs="宋体"/>
          <w:spacing w:val="8"/>
          <w:szCs w:val="21"/>
          <w:highlight w:val="none"/>
        </w:rPr>
        <w:t xml:space="preserve">国产设备及进口设备（非免税）</w:t>
      </w:r>
      <w:r>
        <w:rPr>
          <w:rFonts w:hint="eastAsia" w:ascii="宋体" w:hAnsi="宋体" w:cs="宋体"/>
          <w:szCs w:val="21"/>
          <w:highlight w:val="none"/>
        </w:rPr>
        <w:t xml:space="preserve">】：货物交付、安装、调试且通过验收后一周内（遇寒暑假和法定节假日顺延），学校支付合同总金额的100%，付款之前需收到中标供应商开具的合法有效的相应全额发票。</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B【</w:t>
      </w:r>
      <w:r>
        <w:rPr>
          <w:rFonts w:hint="eastAsia" w:ascii="宋体" w:hAnsi="宋体" w:cs="宋体"/>
          <w:spacing w:val="8"/>
          <w:szCs w:val="21"/>
          <w:highlight w:val="none"/>
        </w:rPr>
        <w:t xml:space="preserve">进口设备（免税）</w:t>
      </w:r>
      <w:r>
        <w:rPr>
          <w:rFonts w:hint="eastAsia" w:ascii="宋体" w:hAnsi="宋体" w:cs="宋体"/>
          <w:szCs w:val="21"/>
          <w:highlight w:val="none"/>
        </w:rPr>
        <w:t xml:space="preserve">】：</w:t>
      </w:r>
      <w:r/>
    </w:p>
    <w:p>
      <w:pPr>
        <w:pStyle w:val="716"/>
        <w:numPr>
          <w:ilvl w:val="0"/>
          <w:numId w:val="6"/>
        </w:numPr>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合同签订后，外贸代理公司提供受益人为南京医科大学的100%合同金额的预付款银行保函，保函有效期为</w:t>
      </w:r>
      <w:r>
        <w:rPr>
          <w:rFonts w:hint="eastAsia" w:ascii="宋体" w:hAnsi="宋体" w:cs="宋体"/>
          <w:szCs w:val="21"/>
          <w:highlight w:val="none"/>
          <w:u w:val="single"/>
        </w:rPr>
        <w:t xml:space="preserve">     天（</w:t>
      </w:r>
      <w:r>
        <w:rPr>
          <w:rFonts w:hint="eastAsia" w:ascii="宋体" w:hAnsi="宋体" w:cs="宋体"/>
          <w:szCs w:val="21"/>
          <w:highlight w:val="none"/>
        </w:rPr>
        <w:t xml:space="preserve">供货期＋2个月），银行保函服务费由中标单位承担。</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（2）外贸代理公司收到100%货款后按照合同办理相关进口手续，货到验收合格后由学校通知外贸代理公司一周内开具合法有效的全额发票，并支付100%货款至境外厂家。</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2.2履约保证金（根据招标文件要求选用）</w:t>
      </w:r>
      <w:r/>
    </w:p>
    <w:p>
      <w:pPr>
        <w:pStyle w:val="716"/>
        <w:ind w:firstLine="420"/>
        <w:rPr>
          <w:rFonts w:hint="eastAsia" w:ascii="宋体" w:hAnsi="宋体" w:cs="宋体"/>
          <w:szCs w:val="21"/>
          <w:highlight w:val="none"/>
        </w:rPr>
      </w:pPr>
      <w:r>
        <w:rPr>
          <w:rFonts w:ascii="Wingdings 2" w:hAnsi="Wingdings 2" w:eastAsia="Wingdings 2" w:cs="Wingdings 2"/>
          <w:szCs w:val="21"/>
          <w:highlight w:val="none"/>
        </w:rPr>
        <w:t xml:space="preserve">£</w:t>
      </w:r>
      <w:r>
        <w:rPr>
          <w:rFonts w:hint="eastAsia" w:ascii="宋体" w:hAnsi="宋体" w:cs="宋体"/>
          <w:szCs w:val="21"/>
          <w:highlight w:val="none"/>
        </w:rPr>
        <w:t xml:space="preserve">本项目不需要缴纳履约保证金。</w:t>
      </w:r>
      <w:r/>
    </w:p>
    <w:p>
      <w:pPr>
        <w:pStyle w:val="716"/>
        <w:ind w:firstLine="420"/>
        <w:rPr>
          <w:rFonts w:hint="eastAsia" w:ascii="宋体" w:hAnsi="宋体" w:cs="宋体"/>
          <w:szCs w:val="21"/>
          <w:highlight w:val="none"/>
        </w:rPr>
      </w:pPr>
      <w:r>
        <w:rPr>
          <w:rFonts w:ascii="Wingdings 2" w:hAnsi="Wingdings 2" w:eastAsia="Wingdings 2" w:cs="Wingdings 2"/>
          <w:szCs w:val="21"/>
          <w:highlight w:val="none"/>
        </w:rPr>
        <w:t xml:space="preserve">£</w:t>
      </w:r>
      <w:r>
        <w:rPr>
          <w:rFonts w:hint="eastAsia" w:ascii="宋体" w:hAnsi="宋体" w:cs="宋体"/>
          <w:szCs w:val="21"/>
          <w:highlight w:val="none"/>
        </w:rPr>
        <w:t xml:space="preserve">本项目需要缴纳履约保证金，具体要求如下：</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南京医科大学指定账户信息具体如下：</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单位名称：南京医科大学</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开 户 行：南京市工行汉中门支行                          </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账    号：4301010109001038622</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注：请在转账时备注“项目名称+履约保证保金”字样。</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（2）合同履行过程中，若经甲方核实存在货物质量问题或乙方违约情形，甲方有权在通知乙方后，从履约保证金中抵扣相应的补偿或赔偿款项。</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2.3当采购数量与实际使用数量不一致时，乙方应根据实际使用量供货，合同的最终结算金额按实际使用量乘以本合同约定的成交单价进行计算。</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2.4乙方指定账户信息：</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开户行：</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户名：</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账号：</w:t>
      </w:r>
      <w:r/>
    </w:p>
    <w:p>
      <w:pPr>
        <w:pStyle w:val="716"/>
        <w:ind w:firstLine="420"/>
        <w:rPr>
          <w:rFonts w:hint="eastAsia" w:ascii="宋体" w:hAnsi="宋体" w:cs="宋体"/>
          <w:szCs w:val="21"/>
          <w:highlight w:val="none"/>
        </w:rPr>
      </w:pPr>
      <w:r>
        <w:rPr>
          <w:rFonts w:hint="eastAsia" w:ascii="宋体" w:hAnsi="宋体" w:cs="宋体"/>
          <w:szCs w:val="21"/>
          <w:highlight w:val="none"/>
        </w:rPr>
        <w:t xml:space="preserve">上述账户信息，如有变更，乙方应在变更前3日内书面通知甲方。否则，由此产生的后果由乙方承担。</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三、交付方式、时间及地点</w:t>
      </w:r>
      <w:r/>
    </w:p>
    <w:p>
      <w:pPr>
        <w:ind w:firstLine="420"/>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1</w:t>
      </w:r>
      <w:r>
        <w:rPr>
          <w:rFonts w:hint="eastAsia" w:ascii="宋体" w:hAnsi="宋体" w:cs="宋体"/>
          <w:szCs w:val="21"/>
          <w:highlight w:val="none"/>
          <w:lang w:val="zh-CN"/>
        </w:rPr>
        <w:t xml:space="preserve">）交货期：合同签订生效后，进口设备（免税）三个月内、国产设备及进口设备（非免税）一个月内全部设备、材料运抵现场，并安装、调试结束，验收合格，交付采购方使用。</w:t>
      </w:r>
      <w:r/>
    </w:p>
    <w:p>
      <w:pPr>
        <w:ind w:firstLine="420"/>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rPr>
          <w:rFonts w:hint="eastAsia" w:ascii="宋体" w:hAnsi="宋体" w:cs="宋体"/>
          <w:szCs w:val="21"/>
          <w:highlight w:val="none"/>
          <w:lang w:val="zh-CN"/>
        </w:rPr>
        <w:t xml:space="preserve">）交货方式：中标人在采购方指定地点交货，并完成安装、调试。</w:t>
      </w:r>
      <w:r/>
    </w:p>
    <w:p>
      <w:pPr>
        <w:pStyle w:val="716"/>
        <w:ind w:firstLine="420"/>
        <w:spacing w:before="120" w:after="120" w:line="330" w:lineRule="atLeast"/>
        <w:rPr>
          <w:rFonts w:hint="eastAsia" w:ascii="宋体" w:hAnsi="宋体" w:cs="宋体"/>
          <w:b/>
          <w:bCs/>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3</w:t>
      </w:r>
      <w:r>
        <w:rPr>
          <w:rFonts w:hint="eastAsia" w:ascii="宋体" w:hAnsi="宋体" w:cs="宋体"/>
          <w:szCs w:val="21"/>
          <w:highlight w:val="none"/>
          <w:lang w:val="zh-CN"/>
        </w:rPr>
        <w:t xml:space="preserve">）交货地点：南京医科大学指定地点。</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四、货物包装、发运及运输</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4.1 乙方应在货物发运前根据运输距离、防潮、防震、防锈和防破损装卸等要求进行相应的包装，以保证货物安全运达甲方指定地点。</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4.2 使用说明书、质量检验证明书、随配附件和工具以及清单一并附于货物内。</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4.3 乙方在货物发运手续办理完毕后24小时内或货到甲方48小时前通知甲方，以准备接货。</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4.4 货物在交付甲方前发生的风险均由乙方负责。</w:t>
      </w:r>
      <w:r/>
    </w:p>
    <w:p>
      <w:pPr>
        <w:pStyle w:val="716"/>
        <w:ind w:firstLine="422"/>
        <w:spacing w:before="120" w:after="120" w:line="330" w:lineRule="atLeast"/>
        <w:rPr>
          <w:rFonts w:hint="eastAsia" w:ascii="宋体" w:hAnsi="宋体" w:cs="宋体"/>
          <w:szCs w:val="21"/>
          <w:highlight w:val="none"/>
        </w:rPr>
      </w:pPr>
      <w:r>
        <w:rPr>
          <w:rFonts w:hint="eastAsia" w:ascii="宋体" w:hAnsi="宋体" w:cs="宋体"/>
          <w:b/>
          <w:szCs w:val="21"/>
          <w:highlight w:val="none"/>
        </w:rPr>
        <w:t xml:space="preserve">五、质量保证及售后服务</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5.3上述货物的质保期</w:t>
      </w:r>
      <w:r>
        <w:rPr>
          <w:rFonts w:hint="eastAsia" w:ascii="宋体" w:hAnsi="宋体" w:cs="宋体"/>
          <w:szCs w:val="21"/>
          <w:highlight w:val="none"/>
          <w:u w:val="single"/>
        </w:rPr>
        <w:t xml:space="preserve">     </w:t>
      </w:r>
      <w:r>
        <w:rPr>
          <w:rFonts w:hint="eastAsia" w:ascii="宋体" w:hAnsi="宋体" w:cs="宋体"/>
          <w:szCs w:val="21"/>
          <w:highlight w:val="none"/>
        </w:rPr>
        <w:t xml:space="preserve">年。（自交货验收合格次日起计算），因人为因素出现的故障不在免费保修范围内。</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5.5 在质保期内，乙方应对货物出现的质量及安全问题负责处理解决并承担一切费用。</w:t>
      </w:r>
      <w:r/>
    </w:p>
    <w:p>
      <w:pPr>
        <w:pStyle w:val="716"/>
        <w:ind w:firstLine="315"/>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六、调试和验收</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6.1 乙方交货前应对货物全面检查并对验收文件进行整理，列出清单提交甲方，检验的结果亦应随货物交甲方。</w:t>
      </w:r>
      <w:r/>
    </w:p>
    <w:p>
      <w:pPr>
        <w:pStyle w:val="716"/>
        <w:ind w:firstLine="420"/>
        <w:spacing w:before="120" w:after="120" w:line="330" w:lineRule="atLeast"/>
        <w:rPr>
          <w:rFonts w:hint="eastAsia" w:ascii="宋体" w:hAnsi="宋体" w:cs="宋体"/>
          <w:szCs w:val="21"/>
          <w:highlight w:val="none"/>
          <w:u w:val="single"/>
        </w:rPr>
      </w:pPr>
      <w:r>
        <w:rPr>
          <w:rFonts w:hint="eastAsia" w:ascii="宋体" w:hAnsi="宋体" w:cs="宋体"/>
          <w:szCs w:val="21"/>
          <w:highlight w:val="none"/>
        </w:rPr>
        <w:t xml:space="preserve">6.2 甲方对乙方提供的货物在使用前进行调试时，乙方需负责安装并培训甲方的使用操作人员，并协助甲方一起调试，直到符合技术要求。</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6.3 在安装、调试和验收过程中，如发现有漏件、缺件，乙方应无条件、无偿补齐，所发生的一切费用，视为已包含在投标时的投标报价中，且并不因此而影响交付甲方使用的时间。</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6.5 设备、材料安装、调试结束，甲、乙双方派员共同验收，达到验收标准则验收合格。验收完毕后出具验收结果报告并经双方签字确认；验收相关费用由乙方承担。</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七、技术资料</w:t>
      </w:r>
      <w:r/>
    </w:p>
    <w:p>
      <w:pPr>
        <w:pStyle w:val="716"/>
        <w:ind w:firstLine="420"/>
        <w:spacing w:before="120" w:after="120" w:line="330" w:lineRule="atLeast"/>
        <w:rPr>
          <w:rFonts w:hint="eastAsia" w:ascii="宋体" w:hAnsi="宋体" w:cs="宋体"/>
          <w:b/>
          <w:szCs w:val="21"/>
          <w:highlight w:val="none"/>
        </w:rPr>
      </w:pPr>
      <w:r>
        <w:rPr>
          <w:rFonts w:hint="eastAsia" w:ascii="宋体" w:hAnsi="宋体" w:cs="宋体"/>
          <w:szCs w:val="21"/>
          <w:highlight w:val="none"/>
        </w:rPr>
        <w:t xml:space="preserve">7.1乙方应按招标文件规定的时间向甲方提供使用货物的有关技术资料。</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八、知识产权</w:t>
      </w:r>
      <w:r/>
    </w:p>
    <w:p>
      <w:pPr>
        <w:ind w:firstLine="420"/>
        <w:spacing w:line="330" w:lineRule="atLeast"/>
        <w:rPr>
          <w:rFonts w:hint="eastAsia" w:ascii="宋体" w:hAnsi="宋体" w:cs="宋体"/>
          <w:szCs w:val="21"/>
          <w:highlight w:val="none"/>
        </w:rPr>
      </w:pPr>
      <w:r>
        <w:rPr>
          <w:rFonts w:hint="eastAsia" w:ascii="宋体" w:hAnsi="宋体" w:cs="宋体"/>
          <w:szCs w:val="21"/>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九、违约责任</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9.2 乙方履约的前提下，甲方无故迟延支付货款的,甲方应按逾期付款总额每日万分之五向乙方支付违约金。</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9.8 乙方履行义务不符合合同约定时，甲方有权扣减总货款的10%作为违约金。</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十、不可抗力事件处理</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10.1 在合同有效期内，任何一方因不可抗力事件导致不能履行合同，则合同履行期可延长，其延长期与不可抗力影响期相同。</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10.2 不可抗力事件发生后，应立即通知对方，并寄送有关权威机构出具的证明。</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10.3 不可抗力事件延续30天以上，双方应通过友好协商，确定是否继续履行合同。</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十一、诉讼</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6"/>
        <w:ind w:firstLine="422"/>
        <w:spacing w:before="120" w:after="120" w:line="330" w:lineRule="atLeast"/>
        <w:rPr>
          <w:rFonts w:hint="eastAsia" w:ascii="宋体" w:hAnsi="宋体" w:cs="宋体"/>
          <w:b/>
          <w:szCs w:val="21"/>
          <w:highlight w:val="none"/>
        </w:rPr>
      </w:pPr>
      <w:r>
        <w:rPr>
          <w:rFonts w:hint="eastAsia" w:ascii="宋体" w:hAnsi="宋体" w:cs="宋体"/>
          <w:b/>
          <w:szCs w:val="21"/>
          <w:highlight w:val="none"/>
        </w:rPr>
        <w:t xml:space="preserve">十二、合同生效及其它</w:t>
      </w:r>
      <w:r/>
    </w:p>
    <w:p>
      <w:pPr>
        <w:pStyle w:val="716"/>
        <w:ind w:firstLine="420"/>
        <w:spacing w:before="120" w:after="120" w:line="330" w:lineRule="atLeast"/>
        <w:rPr>
          <w:rFonts w:hint="eastAsia" w:ascii="宋体" w:hAnsi="宋体" w:cs="宋体"/>
          <w:szCs w:val="21"/>
          <w:highlight w:val="none"/>
        </w:rPr>
      </w:pPr>
      <w:r>
        <w:rPr>
          <w:rFonts w:hint="eastAsia" w:ascii="宋体" w:hAnsi="宋体" w:cs="宋体"/>
          <w:szCs w:val="21"/>
          <w:highlight w:val="none"/>
        </w:rPr>
        <w:t xml:space="preserve">12.1招投标文件、中标通知书作为合同的附件，与本合同具有同等法律效力。合同经双方法定代表人或授权委托代表人签字、盖章后生效。</w:t>
      </w:r>
      <w:r/>
    </w:p>
    <w:p>
      <w:pPr>
        <w:pStyle w:val="716"/>
        <w:ind w:firstLine="420"/>
        <w:spacing w:before="120" w:after="120"/>
        <w:rPr>
          <w:rFonts w:hint="eastAsia" w:ascii="宋体" w:hAnsi="宋体" w:cs="宋体"/>
          <w:szCs w:val="21"/>
          <w:highlight w:val="none"/>
        </w:rPr>
      </w:pPr>
      <w:r>
        <w:rPr>
          <w:rFonts w:hint="eastAsia" w:ascii="宋体" w:hAnsi="宋体" w:cs="宋体"/>
          <w:szCs w:val="21"/>
          <w:highlight w:val="none"/>
        </w:rPr>
        <w:t xml:space="preserve">12.2本合同未尽事宜，遵照《中华人民共和国民法典》有关条文执行。</w:t>
      </w:r>
      <w:r/>
    </w:p>
    <w:p>
      <w:pPr>
        <w:pStyle w:val="716"/>
        <w:ind w:firstLine="420"/>
        <w:spacing w:before="120" w:after="120"/>
        <w:rPr>
          <w:rFonts w:hint="eastAsia" w:ascii="宋体" w:hAnsi="宋体" w:cs="宋体"/>
          <w:szCs w:val="21"/>
          <w:highlight w:val="none"/>
        </w:rPr>
      </w:pPr>
      <w:r>
        <w:rPr>
          <w:rFonts w:hint="eastAsia" w:ascii="宋体" w:hAnsi="宋体" w:cs="宋体"/>
          <w:szCs w:val="21"/>
          <w:highlight w:val="none"/>
        </w:rPr>
        <w:t xml:space="preserve">12.3 本合同正本一式</w:t>
      </w:r>
      <w:r>
        <w:rPr>
          <w:rFonts w:hint="eastAsia" w:ascii="宋体" w:hAnsi="宋体" w:cs="宋体"/>
          <w:szCs w:val="21"/>
          <w:highlight w:val="none"/>
          <w:u w:val="single"/>
        </w:rPr>
        <w:t xml:space="preserve">     </w:t>
      </w:r>
      <w:r>
        <w:rPr>
          <w:rFonts w:hint="eastAsia" w:ascii="宋体" w:hAnsi="宋体" w:cs="宋体"/>
          <w:szCs w:val="21"/>
          <w:highlight w:val="none"/>
        </w:rPr>
        <w:t xml:space="preserve">份，甲方</w:t>
      </w:r>
      <w:r>
        <w:rPr>
          <w:rFonts w:hint="eastAsia" w:ascii="宋体" w:hAnsi="宋体" w:cs="宋体"/>
          <w:szCs w:val="21"/>
          <w:highlight w:val="none"/>
          <w:u w:val="single"/>
        </w:rPr>
        <w:t xml:space="preserve">     </w:t>
      </w:r>
      <w:r>
        <w:rPr>
          <w:rFonts w:hint="eastAsia" w:ascii="宋体" w:hAnsi="宋体" w:cs="宋体"/>
          <w:szCs w:val="21"/>
          <w:highlight w:val="none"/>
        </w:rPr>
        <w:t xml:space="preserve">份，乙方</w:t>
      </w:r>
      <w:r>
        <w:rPr>
          <w:rFonts w:hint="eastAsia" w:ascii="宋体" w:hAnsi="宋体" w:cs="宋体"/>
          <w:szCs w:val="21"/>
          <w:highlight w:val="none"/>
          <w:u w:val="single"/>
        </w:rPr>
        <w:t xml:space="preserve">    </w:t>
      </w:r>
      <w:r>
        <w:rPr>
          <w:rFonts w:hint="eastAsia" w:ascii="宋体" w:hAnsi="宋体" w:cs="宋体"/>
          <w:szCs w:val="21"/>
          <w:highlight w:val="none"/>
        </w:rPr>
        <w:t xml:space="preserve">份，具有同等法律效力。</w:t>
      </w:r>
      <w:r/>
    </w:p>
    <w:p>
      <w:pPr>
        <w:pStyle w:val="716"/>
        <w:ind w:firstLine="420"/>
        <w:spacing w:before="120" w:after="120"/>
        <w:rPr>
          <w:rFonts w:hint="eastAsia" w:ascii="宋体" w:hAnsi="宋体" w:cs="宋体"/>
          <w:szCs w:val="21"/>
          <w:highlight w:val="none"/>
        </w:rPr>
      </w:pPr>
      <w:r>
        <w:rPr>
          <w:rFonts w:hint="eastAsia" w:ascii="宋体" w:hAnsi="宋体" w:cs="宋体"/>
          <w:szCs w:val="21"/>
          <w:highlight w:val="none"/>
        </w:rPr>
        <w:t xml:space="preserve">12.4 其他：</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716"/>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（以下无正文，为签字盖章处）</w:t>
      </w:r>
      <w:r/>
    </w:p>
    <w:p>
      <w:pPr>
        <w:pStyle w:val="716"/>
        <w:ind w:firstLine="420"/>
        <w:spacing w:before="120" w:after="120"/>
        <w:rPr>
          <w:rFonts w:hint="eastAsia" w:ascii="宋体" w:hAnsi="宋体" w:cs="宋体"/>
          <w:szCs w:val="21"/>
          <w:highlight w:val="none"/>
        </w:rPr>
      </w:pPr>
      <w:r>
        <w:rPr>
          <w:rFonts w:hint="eastAsia" w:ascii="宋体" w:hAnsi="宋体" w:cs="宋体"/>
          <w:szCs w:val="21"/>
          <w:highlight w:val="none"/>
        </w:rPr>
        <w:t xml:space="preserve">   </w:t>
      </w:r>
      <w:r/>
    </w:p>
    <w:p>
      <w:pPr>
        <w:pStyle w:val="716"/>
        <w:spacing w:before="120" w:after="120" w:line="240" w:lineRule="atLeast"/>
        <w:rPr>
          <w:rFonts w:hint="eastAsia" w:ascii="宋体" w:hAnsi="宋体" w:cs="宋体"/>
          <w:szCs w:val="21"/>
          <w:highlight w:val="none"/>
        </w:rPr>
      </w:pPr>
      <w:r>
        <w:rPr>
          <w:rFonts w:hint="eastAsia" w:ascii="宋体" w:hAnsi="宋体" w:cs="宋体"/>
          <w:szCs w:val="21"/>
          <w:highlight w:val="none"/>
        </w:rPr>
      </w:r>
      <w:r/>
    </w:p>
    <w:p>
      <w:pPr>
        <w:pStyle w:val="716"/>
        <w:spacing w:before="120" w:after="120" w:line="300" w:lineRule="auto"/>
        <w:rPr>
          <w:rFonts w:hint="eastAsia" w:ascii="宋体" w:hAnsi="宋体" w:cs="宋体"/>
          <w:szCs w:val="21"/>
          <w:highlight w:val="none"/>
        </w:rPr>
      </w:pPr>
      <w:r>
        <w:rPr>
          <w:rFonts w:hint="eastAsia" w:ascii="宋体" w:hAnsi="宋体" w:cs="宋体"/>
          <w:szCs w:val="21"/>
          <w:highlight w:val="none"/>
        </w:rPr>
        <w:t xml:space="preserve">甲方： 南京医科大学（盖章）                 乙方： （盖章）</w:t>
      </w:r>
      <w:r/>
    </w:p>
    <w:p>
      <w:pPr>
        <w:pStyle w:val="716"/>
        <w:spacing w:before="120" w:after="120" w:line="300" w:lineRule="auto"/>
        <w:rPr>
          <w:rFonts w:hint="eastAsia" w:ascii="宋体" w:hAnsi="宋体" w:cs="宋体"/>
          <w:szCs w:val="21"/>
          <w:highlight w:val="none"/>
        </w:rPr>
      </w:pPr>
      <w:r>
        <w:rPr>
          <w:rFonts w:hint="eastAsia" w:ascii="宋体" w:hAnsi="宋体" w:cs="宋体"/>
          <w:szCs w:val="21"/>
          <w:highlight w:val="none"/>
        </w:rPr>
        <w:t xml:space="preserve">地址：南京市江宁区龙眠大道101号            地址： </w:t>
      </w:r>
      <w:r/>
    </w:p>
    <w:p>
      <w:pPr>
        <w:pStyle w:val="716"/>
        <w:spacing w:before="120" w:after="120" w:line="300" w:lineRule="auto"/>
        <w:rPr>
          <w:rFonts w:hint="eastAsia" w:ascii="宋体" w:hAnsi="宋体" w:cs="宋体"/>
          <w:szCs w:val="21"/>
          <w:highlight w:val="none"/>
        </w:rPr>
      </w:pPr>
      <w:r>
        <w:rPr>
          <w:rFonts w:hint="eastAsia" w:ascii="宋体" w:hAnsi="宋体" w:cs="宋体"/>
          <w:szCs w:val="21"/>
          <w:highlight w:val="none"/>
        </w:rPr>
        <w:t xml:space="preserve">法定代表人/授权代表：（签字）               法定代表人/授权代表：（签字）</w:t>
      </w:r>
      <w:r/>
    </w:p>
    <w:p>
      <w:pPr>
        <w:pStyle w:val="716"/>
        <w:spacing w:before="120" w:after="120" w:line="300" w:lineRule="auto"/>
        <w:rPr>
          <w:rFonts w:hint="eastAsia" w:ascii="宋体" w:hAnsi="宋体" w:cs="宋体"/>
          <w:szCs w:val="21"/>
        </w:rPr>
      </w:pPr>
      <w:r>
        <w:rPr>
          <w:rFonts w:hint="eastAsia" w:ascii="宋体" w:hAnsi="宋体" w:cs="宋体"/>
          <w:szCs w:val="21"/>
          <w:highlight w:val="none"/>
        </w:rPr>
        <w:t xml:space="preserve">签订日期：   年    月    日                 签订日期：   年    月    日</w:t>
      </w:r>
      <w:r/>
    </w:p>
    <w:p>
      <w:pPr>
        <w:jc w:val="left"/>
        <w:pageBreakBefore/>
        <w:spacing w:line="560" w:lineRule="exact"/>
        <w:rPr>
          <w:rFonts w:hint="eastAsia" w:ascii="宋体" w:hAnsi="宋体" w:cs="宋体"/>
          <w:szCs w:val="21"/>
          <w:lang w:val="zh-CN"/>
        </w:rPr>
      </w:pPr>
      <w:r>
        <w:rPr>
          <w:rFonts w:hint="eastAsia" w:ascii="宋体" w:hAnsi="宋体" w:cs="宋体"/>
          <w:szCs w:val="21"/>
        </w:rPr>
        <w:t xml:space="preserve">附件1：分项报价表</w:t>
      </w:r>
      <w:r/>
    </w:p>
    <w:tbl>
      <w:tblPr>
        <w:tblStyle w:val="701"/>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pPr>
        <w:rPr>
          <w:rFonts w:hint="eastAsia" w:ascii="宋体" w:hAnsi="宋体" w:cs="宋体"/>
          <w:szCs w:val="21"/>
        </w:rPr>
      </w:pPr>
      <w:r>
        <w:rPr>
          <w:rFonts w:hint="eastAsia" w:ascii="宋体" w:hAnsi="宋体" w:cs="宋体"/>
          <w:szCs w:val="21"/>
        </w:rPr>
      </w:r>
      <w:r/>
    </w:p>
    <w:p>
      <w:pPr>
        <w:jc w:val="left"/>
        <w:spacing w:line="560" w:lineRule="exact"/>
        <w:rPr>
          <w:rFonts w:hint="eastAsia" w:ascii="宋体" w:hAnsi="宋体" w:cs="宋体"/>
          <w:szCs w:val="21"/>
        </w:rPr>
      </w:pPr>
      <w:r>
        <w:rPr>
          <w:rFonts w:hint="eastAsia" w:ascii="宋体" w:hAnsi="宋体" w:cs="宋体"/>
          <w:szCs w:val="21"/>
        </w:rPr>
        <w:t xml:space="preserve">附件2：货物配置清单</w:t>
      </w:r>
      <w:r/>
    </w:p>
    <w:p>
      <w:pPr>
        <w:jc w:val="left"/>
        <w:pageBreakBefore/>
        <w:spacing w:line="560" w:lineRule="exact"/>
        <w:rPr>
          <w:rFonts w:hint="eastAsia" w:ascii="宋体" w:hAnsi="宋体" w:cs="宋体"/>
          <w:szCs w:val="21"/>
        </w:rPr>
      </w:pPr>
      <w:r>
        <w:rPr>
          <w:rFonts w:hint="eastAsia" w:ascii="宋体" w:hAnsi="宋体" w:cs="宋体"/>
          <w:szCs w:val="21"/>
        </w:rPr>
        <w:t xml:space="preserve">附件3：履约保证金退还申请单</w:t>
      </w:r>
      <w:r/>
    </w:p>
    <w:p>
      <w:pPr>
        <w:spacing w:line="480" w:lineRule="auto"/>
        <w:rPr>
          <w:rFonts w:hint="eastAsia" w:ascii="宋体" w:hAnsi="宋体" w:cs="宋体"/>
          <w:szCs w:val="21"/>
        </w:rPr>
      </w:pPr>
      <w:r>
        <w:rPr>
          <w:rFonts w:hint="eastAsia" w:ascii="宋体" w:hAnsi="宋体" w:cs="宋体"/>
          <w:szCs w:val="21"/>
        </w:rPr>
        <w:t xml:space="preserve">制表单位：                                               </w:t>
      </w:r>
      <w:r/>
    </w:p>
    <w:tbl>
      <w:tblPr>
        <w:tblStyle w:val="701"/>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自验收合格之日起，已正常使用满一年且无违约情况发生。</w:t>
            </w:r>
            <w:r/>
          </w:p>
          <w:p>
            <w:pPr>
              <w:rPr>
                <w:rFonts w:hint="eastAsia" w:ascii="宋体" w:hAnsi="宋体" w:cs="宋体"/>
                <w:szCs w:val="21"/>
              </w:rPr>
            </w:pPr>
            <w:r>
              <w:rPr>
                <w:rFonts w:hint="eastAsia" w:ascii="宋体" w:hAnsi="宋体" w:cs="宋体"/>
                <w:szCs w:val="21"/>
              </w:rPr>
            </w:r>
            <w:r/>
          </w:p>
          <w:p>
            <w:pPr>
              <w:ind w:right="960" w:firstLine="315"/>
              <w:jc w:val="center"/>
              <w:rPr>
                <w:rFonts w:hint="eastAsia" w:ascii="宋体" w:hAnsi="宋体" w:cs="宋体"/>
                <w:szCs w:val="21"/>
              </w:rPr>
            </w:pPr>
            <w:r>
              <w:rPr>
                <w:rFonts w:hint="eastAsia" w:ascii="宋体" w:hAnsi="宋体" w:cs="宋体"/>
                <w:szCs w:val="21"/>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ind w:firstLine="3960"/>
              <w:rPr>
                <w:rFonts w:hint="eastAsia" w:ascii="宋体" w:hAnsi="宋体" w:cs="宋体"/>
                <w:szCs w:val="21"/>
              </w:rPr>
            </w:pPr>
            <w:r>
              <w:rPr>
                <w:rFonts w:hint="eastAsia" w:ascii="宋体" w:hAnsi="宋体" w:cs="宋体"/>
                <w:szCs w:val="21"/>
              </w:rPr>
            </w:r>
            <w:r/>
          </w:p>
        </w:tc>
      </w:tr>
    </w:tbl>
    <w:p>
      <w:pPr>
        <w:rPr>
          <w:rFonts w:hint="eastAsia" w:ascii="宋体" w:hAnsi="宋体" w:cs="宋体"/>
          <w:sz w:val="24"/>
        </w:rPr>
      </w:pPr>
      <w:r>
        <w:rPr>
          <w:rFonts w:hint="eastAsia" w:ascii="宋体" w:hAnsi="宋体" w:cs="宋体"/>
          <w:sz w:val="24"/>
        </w:rPr>
        <w:br w:type="page" w:clear="all"/>
      </w:r>
      <w:r/>
    </w:p>
    <w:p>
      <w:pPr>
        <w:pStyle w:val="691"/>
        <w:numPr>
          <w:ilvl w:val="0"/>
          <w:numId w:val="0"/>
        </w:numPr>
        <w:rPr>
          <w:rFonts w:ascii="Arial" w:hAnsi="Arial" w:cs="Arial"/>
        </w:rPr>
      </w:pPr>
      <w:r/>
      <w:bookmarkStart w:id="37" w:name="_Toc28523"/>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7"/>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rPr>
          <w:rFonts w:ascii="Arial" w:hAnsi="Arial" w:eastAsia="黑体" w:cs="Arial"/>
          <w:sz w:val="44"/>
          <w:szCs w:val="44"/>
        </w:rPr>
        <w:t xml:space="preserve">投标文件</w:t>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bookmarkEnd w:id="0"/>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spacing w:before="317" w:after="317"/>
        <w:rPr>
          <w:rFonts w:ascii="Arial" w:hAnsi="Arial" w:eastAsia="黑体" w:cs="Arial"/>
          <w:sz w:val="32"/>
          <w:szCs w:val="32"/>
        </w:rPr>
      </w:pPr>
      <w:r>
        <w:rPr>
          <w:rFonts w:ascii="Arial" w:hAnsi="Arial" w:eastAsia="黑体" w:cs="Arial"/>
          <w:sz w:val="32"/>
          <w:szCs w:val="32"/>
        </w:rPr>
      </w:r>
      <w:r/>
    </w:p>
    <w:p>
      <w:pPr>
        <w:jc w:val="center"/>
        <w:rPr>
          <w:rFonts w:ascii="Arial" w:hAnsi="Arial" w:eastAsia="黑体" w:cs="Arial"/>
          <w:szCs w:val="21"/>
        </w:rPr>
      </w:pPr>
      <w:r>
        <w:rPr>
          <w:rFonts w:ascii="Arial" w:hAnsi="Arial" w:eastAsia="黑体" w:cs="Arial"/>
          <w:szCs w:val="21"/>
        </w:rPr>
        <w:t xml:space="preserve">（注：供应商根据附件顺序编制投标文件并制作目录（须生成页码））</w:t>
      </w:r>
      <w:r/>
    </w:p>
    <w:p>
      <w:pPr>
        <w:rPr>
          <w:rFonts w:ascii="Arial" w:hAnsi="Arial" w:cs="Arial"/>
          <w:b/>
          <w:bCs/>
          <w:szCs w:val="21"/>
        </w:rPr>
      </w:pPr>
      <w:r>
        <w:rPr>
          <w:rFonts w:ascii="Arial" w:hAnsi="Arial" w:cs="Arial"/>
        </w:rPr>
        <w:br w:type="page" w:clear="all"/>
      </w:r>
      <w:r/>
    </w:p>
    <w:p>
      <w:pPr>
        <w:spacing w:line="440" w:lineRule="exact"/>
        <w:rPr>
          <w:rFonts w:ascii="Arial" w:hAnsi="Arial" w:cs="Arial"/>
          <w:szCs w:val="21"/>
        </w:rPr>
      </w:pP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供应商授权代表姓名（签字）：</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705"/>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70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4988"/>
        <w:gridCol w:w="1782"/>
      </w:tblGrid>
      <w:tr>
        <w:trPr>
          <w:trHeight w:val="829"/>
        </w:trPr>
        <w:tc>
          <w:tcPr>
            <w:tcW w:w="1870" w:type="dxa"/>
            <w:vAlign w:val="center"/>
            <w:textDirection w:val="lrTb"/>
            <w:noWrap w:val="false"/>
          </w:tcPr>
          <w:p>
            <w:pPr>
              <w:pStyle w:val="705"/>
              <w:ind w:firstLine="0"/>
              <w:spacing w:line="440" w:lineRule="exact"/>
              <w:rPr>
                <w:rFonts w:ascii="Arial" w:hAnsi="Arial" w:cs="Arial"/>
                <w:sz w:val="21"/>
                <w:szCs w:val="21"/>
              </w:rPr>
            </w:pPr>
            <w:r>
              <w:rPr>
                <w:rFonts w:ascii="Arial" w:hAnsi="Arial" w:cs="Arial"/>
                <w:sz w:val="21"/>
                <w:szCs w:val="21"/>
              </w:rPr>
              <w:t xml:space="preserve">投标保证金</w:t>
            </w:r>
            <w:r/>
          </w:p>
        </w:tc>
        <w:tc>
          <w:tcPr>
            <w:tcW w:w="4988" w:type="dxa"/>
            <w:vAlign w:val="center"/>
            <w:textDirection w:val="lrTb"/>
            <w:noWrap w:val="false"/>
          </w:tcPr>
          <w:p>
            <w:pPr>
              <w:pStyle w:val="705"/>
              <w:ind w:firstLine="0"/>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782" w:type="dxa"/>
            <w:vAlign w:val="center"/>
            <w:textDirection w:val="lrTb"/>
            <w:noWrap w:val="false"/>
          </w:tcPr>
          <w:p>
            <w:pPr>
              <w:pStyle w:val="705"/>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705"/>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4988" w:type="dxa"/>
            <w:vAlign w:val="center"/>
            <w:textDirection w:val="lrTb"/>
            <w:noWrap w:val="false"/>
          </w:tcPr>
          <w:p>
            <w:pPr>
              <w:pStyle w:val="705"/>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rPr>
                <w:rFonts w:hint="eastAsia" w:ascii="Arial" w:hAnsi="Arial" w:cs="Arial"/>
                <w:sz w:val="21"/>
                <w:szCs w:val="21"/>
              </w:rPr>
              <w:t xml:space="preserve">万元</w:t>
            </w:r>
            <w:r>
              <w:rPr>
                <w:rFonts w:ascii="Arial" w:hAnsi="Arial" w:cs="Arial"/>
                <w:sz w:val="21"/>
                <w:szCs w:val="21"/>
              </w:rPr>
              <w:t xml:space="preserve">    </w:t>
            </w:r>
            <w:r>
              <w:rPr>
                <w:rFonts w:ascii="Arial" w:hAnsi="Arial" w:cs="Arial"/>
                <w:bCs/>
                <w:sz w:val="21"/>
                <w:szCs w:val="21"/>
              </w:rPr>
              <w:t xml:space="preserve">    </w:t>
            </w:r>
            <w:r/>
          </w:p>
          <w:p>
            <w:pPr>
              <w:pStyle w:val="705"/>
              <w:ind w:firstLine="474"/>
              <w:spacing w:line="440" w:lineRule="exact"/>
              <w:rPr>
                <w:rFonts w:ascii="Arial" w:hAnsi="Arial" w:cs="Arial"/>
                <w:sz w:val="21"/>
                <w:szCs w:val="21"/>
              </w:rPr>
            </w:pPr>
            <w:r>
              <w:rPr>
                <w:rFonts w:ascii="Arial" w:hAnsi="Arial" w:cs="Arial"/>
                <w:sz w:val="21"/>
                <w:szCs w:val="21"/>
              </w:rPr>
            </w:r>
            <w:r/>
          </w:p>
          <w:p>
            <w:pPr>
              <w:pStyle w:val="705"/>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p>
        </w:tc>
        <w:tc>
          <w:tcPr>
            <w:tcW w:w="1782" w:type="dxa"/>
            <w:vAlign w:val="center"/>
            <w:textDirection w:val="lrTb"/>
            <w:noWrap w:val="false"/>
          </w:tcPr>
          <w:p>
            <w:pPr>
              <w:pStyle w:val="705"/>
              <w:ind w:firstLine="0"/>
              <w:spacing w:line="440" w:lineRule="exact"/>
              <w:rPr>
                <w:rFonts w:ascii="Arial" w:hAnsi="Arial" w:cs="Arial"/>
                <w:sz w:val="21"/>
                <w:szCs w:val="21"/>
              </w:rPr>
            </w:pPr>
            <w:r>
              <w:rPr>
                <w:rFonts w:hint="eastAsia" w:ascii="Arial" w:hAnsi="Arial" w:cs="Arial"/>
                <w:sz w:val="21"/>
                <w:szCs w:val="21"/>
              </w:rPr>
              <w:t xml:space="preserve">详见苏彩云系统</w:t>
            </w:r>
            <w:r/>
          </w:p>
        </w:tc>
      </w:tr>
      <w:tr>
        <w:trPr>
          <w:trHeight w:val="829"/>
        </w:trPr>
        <w:tc>
          <w:tcPr>
            <w:tcW w:w="1870" w:type="dxa"/>
            <w:vAlign w:val="center"/>
            <w:textDirection w:val="lrTb"/>
            <w:noWrap w:val="false"/>
          </w:tcPr>
          <w:p>
            <w:pPr>
              <w:pStyle w:val="705"/>
              <w:ind w:firstLine="0"/>
              <w:spacing w:line="440" w:lineRule="exact"/>
              <w:rPr>
                <w:rFonts w:ascii="Arial" w:hAnsi="Arial" w:cs="Arial"/>
                <w:sz w:val="21"/>
                <w:szCs w:val="21"/>
              </w:rPr>
            </w:pPr>
            <w:r>
              <w:rPr>
                <w:rFonts w:hint="eastAsia" w:ascii="Arial" w:hAnsi="Arial" w:cs="Arial"/>
                <w:sz w:val="21"/>
                <w:szCs w:val="21"/>
              </w:rPr>
              <w:t xml:space="preserve">合同履行时间</w:t>
            </w:r>
            <w:r/>
          </w:p>
        </w:tc>
        <w:tc>
          <w:tcPr>
            <w:tcW w:w="4988" w:type="dxa"/>
            <w:vAlign w:val="center"/>
            <w:textDirection w:val="lrTb"/>
            <w:noWrap w:val="false"/>
          </w:tcPr>
          <w:p>
            <w:pPr>
              <w:pStyle w:val="705"/>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782" w:type="dxa"/>
            <w:vAlign w:val="center"/>
            <w:textDirection w:val="lrTb"/>
            <w:noWrap w:val="false"/>
          </w:tcPr>
          <w:p>
            <w:pPr>
              <w:pStyle w:val="705"/>
              <w:ind w:firstLine="474"/>
              <w:spacing w:line="440" w:lineRule="exact"/>
              <w:rPr>
                <w:rFonts w:ascii="Arial" w:hAnsi="Arial" w:cs="Arial"/>
                <w:sz w:val="21"/>
                <w:szCs w:val="21"/>
              </w:rPr>
            </w:pPr>
            <w:r>
              <w:rPr>
                <w:rFonts w:ascii="Arial" w:hAnsi="Arial" w:cs="Arial"/>
                <w:sz w:val="21"/>
                <w:szCs w:val="21"/>
              </w:rPr>
            </w:r>
            <w:r/>
          </w:p>
          <w:p>
            <w:pPr>
              <w:pStyle w:val="705"/>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705"/>
              <w:ind w:firstLine="0"/>
              <w:rPr>
                <w:rFonts w:ascii="Arial" w:hAnsi="Arial" w:cs="Arial"/>
                <w:sz w:val="21"/>
                <w:szCs w:val="21"/>
              </w:rPr>
            </w:pPr>
            <w:r>
              <w:rPr>
                <w:rFonts w:hint="eastAsia" w:ascii="Arial" w:hAnsi="Arial" w:cs="Arial"/>
                <w:sz w:val="21"/>
                <w:szCs w:val="21"/>
              </w:rPr>
              <w:t xml:space="preserve">投标标的是否全部由小微企业提供</w:t>
            </w:r>
            <w:r/>
          </w:p>
        </w:tc>
        <w:tc>
          <w:tcPr>
            <w:tcW w:w="4988" w:type="dxa"/>
            <w:vAlign w:val="center"/>
            <w:textDirection w:val="lrTb"/>
            <w:noWrap w:val="false"/>
          </w:tcPr>
          <w:p>
            <w:pPr>
              <w:pStyle w:val="705"/>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782" w:type="dxa"/>
            <w:vAlign w:val="center"/>
            <w:textDirection w:val="lrTb"/>
            <w:noWrap w:val="false"/>
          </w:tcPr>
          <w:p>
            <w:pPr>
              <w:pStyle w:val="705"/>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附件四、分项报价表</w:t>
      </w:r>
      <w:r/>
    </w:p>
    <w:p>
      <w:pPr>
        <w:pStyle w:val="710"/>
        <w:rPr>
          <w:lang w:val="zh-CN"/>
        </w:rPr>
      </w:pPr>
      <w:r>
        <w:rPr>
          <w:lang w:val="zh-CN"/>
        </w:rPr>
      </w:r>
      <w:r/>
    </w:p>
    <w:tbl>
      <w:tblPr>
        <w:tblStyle w:val="701"/>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pPr>
        <w:pStyle w:val="758"/>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分项报价表总价需与开标一览表中投标总价一致，若不一致以开标一览表中投标总价为准。</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技术条款偏离表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701"/>
        <w:tblW w:w="7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182"/>
        <w:gridCol w:w="1050"/>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70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hint="eastAsia" w:ascii="宋体" w:hAnsi="宋体" w:cs="宋体"/>
          <w:szCs w:val="21"/>
        </w:rPr>
        <w:t xml:space="preserve">方案应根据招标人对项目的要求、评标标准的要求及项目本身的特点编写。</w:t>
      </w:r>
      <w:r/>
    </w:p>
    <w:p>
      <w:pPr>
        <w:pStyle w:val="886"/>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项目名称：项目编号：</w:t>
      </w:r>
      <w:r/>
    </w:p>
    <w:tbl>
      <w:tblPr>
        <w:tblStyle w:val="70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70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附件十</w:t>
      </w:r>
      <w:r>
        <w:rPr>
          <w:rFonts w:ascii="Arial" w:hAnsi="Arial" w:cs="Arial"/>
          <w:b/>
          <w:bCs/>
        </w:rPr>
        <w:t xml:space="preserve">：企业声明函格式</w:t>
      </w:r>
      <w:r/>
    </w:p>
    <w:p>
      <w:pPr>
        <w:jc w:val="center"/>
        <w:spacing w:line="360" w:lineRule="auto"/>
        <w:rPr>
          <w:rFonts w:ascii="Arial" w:hAnsi="Arial" w:cs="Arial"/>
          <w:b/>
          <w:bCs/>
          <w:sz w:val="28"/>
        </w:rPr>
      </w:pPr>
      <w:r>
        <w:rPr>
          <w:rFonts w:hint="eastAsia" w:ascii="Arial" w:hAnsi="Arial" w:cs="Arial"/>
          <w:b/>
          <w:bCs/>
          <w:sz w:val="28"/>
        </w:rPr>
        <w:t xml:space="preserve">中小企业声明函（工程、服务）</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万元，属于（中型企业、小   型企业、微型企业）；</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企业名称（加盖电子公章）：日 期：</w:t>
      </w:r>
      <w:r/>
    </w:p>
    <w:p>
      <w:pPr>
        <w:rPr>
          <w:rFonts w:ascii="Arial" w:hAnsi="Arial" w:cs="Arial"/>
          <w:b/>
          <w:bCs/>
          <w:sz w:val="28"/>
        </w:rPr>
      </w:pPr>
      <w:r>
        <w:rPr>
          <w:rFonts w:hint="eastAsia"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rPr>
        <w:t xml:space="preserve">中小企业声明函（货物）</w:t>
      </w:r>
      <w:r/>
    </w:p>
    <w:p>
      <w:pPr>
        <w:ind w:firstLine="420"/>
        <w:jc w:val="left"/>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w:t>
      </w:r>
      <w:r/>
    </w:p>
    <w:p>
      <w:pPr>
        <w:ind w:firstLine="420"/>
        <w:jc w:val="left"/>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jc w:val="left"/>
        <w:spacing w:line="360" w:lineRule="auto"/>
        <w:rPr>
          <w:rFonts w:ascii="Arial" w:hAnsi="Arial" w:cs="Arial"/>
          <w:szCs w:val="21"/>
        </w:rPr>
      </w:pPr>
      <w:r>
        <w:rPr>
          <w:rFonts w:hint="eastAsia" w:ascii="Arial" w:hAnsi="Arial" w:cs="Arial"/>
          <w:szCs w:val="21"/>
        </w:rPr>
        <w:t xml:space="preserve">企业名称（加盖电子公章）</w:t>
      </w:r>
      <w:r>
        <w:rPr>
          <w:rFonts w:hint="eastAsia" w:ascii="Arial" w:hAnsi="Arial" w:cs="Arial"/>
          <w:szCs w:val="21"/>
        </w:rPr>
        <w:tab/>
      </w:r>
      <w:r>
        <w:rPr>
          <w:rFonts w:hint="eastAsia" w:ascii="Arial" w:hAnsi="Arial" w:cs="Arial"/>
          <w:szCs w:val="21"/>
        </w:rPr>
        <w:t xml:space="preserve">：</w:t>
      </w:r>
      <w:r/>
    </w:p>
    <w:p>
      <w:pPr>
        <w:jc w:val="left"/>
        <w:spacing w:line="360" w:lineRule="auto"/>
        <w:rPr>
          <w:rFonts w:ascii="Arial" w:hAnsi="Arial" w:cs="Arial"/>
          <w:szCs w:val="21"/>
        </w:rPr>
      </w:pPr>
      <w:r>
        <w:rPr>
          <w:rFonts w:hint="eastAsia" w:ascii="Arial" w:hAnsi="Arial" w:cs="Arial"/>
          <w:szCs w:val="21"/>
        </w:rPr>
        <w:t xml:space="preserve">日期：</w:t>
      </w:r>
      <w:r/>
    </w:p>
    <w:p>
      <w:pPr>
        <w:spacing w:line="360" w:lineRule="auto"/>
        <w:rPr>
          <w:rFonts w:ascii="Arial" w:hAnsi="Arial" w:cs="Arial"/>
          <w:szCs w:val="21"/>
        </w:rPr>
      </w:pPr>
      <w:r>
        <w:rPr>
          <w:rFonts w:ascii="Arial" w:hAnsi="Arial" w:cs="Arial"/>
          <w:szCs w:val="21"/>
        </w:rPr>
      </w:r>
      <w:r/>
    </w:p>
    <w:p>
      <w:pPr>
        <w:keepLines/>
        <w:keepNext/>
        <w:pageBreakBefore w:val="0"/>
        <w:widowControl w:val="off"/>
        <w:rPr>
          <w:rFonts w:hint="eastAsia" w:ascii="宋体" w:hAnsi="宋体" w:cs="宋体"/>
        </w:rPr>
        <w:outlineLvl w:val="9"/>
      </w:pPr>
      <w:r>
        <w:rPr>
          <w:rFonts w:hint="eastAsia" w:ascii="宋体" w:hAnsi="宋体" w:cs="宋体"/>
        </w:rPr>
        <w:t xml:space="preserve">备注：</w:t>
      </w:r>
      <w:r/>
    </w:p>
    <w:p>
      <w:pPr>
        <w:ind w:firstLine="630"/>
        <w:keepLines/>
        <w:keepNext/>
        <w:pageBreakBefore w:val="0"/>
        <w:widowControl w:val="off"/>
        <w:rPr>
          <w:rFonts w:hint="eastAsia" w:ascii="宋体" w:hAnsi="宋体" w:cs="宋体"/>
        </w:rPr>
        <w:outlineLvl w:val="9"/>
      </w:pPr>
      <w:r>
        <w:rPr>
          <w:rFonts w:hint="eastAsia" w:ascii="宋体" w:hAnsi="宋体" w:cs="宋体"/>
        </w:rPr>
        <w:t xml:space="preserve">1.从业人员、营业收入、资产总额填报上一年度数据，无上一年度数据的新成立企业可不填报。</w:t>
      </w:r>
      <w:r/>
    </w:p>
    <w:p>
      <w:pPr>
        <w:ind w:firstLine="630"/>
        <w:keepLines/>
        <w:keepNext/>
        <w:pageBreakBefore w:val="0"/>
        <w:widowControl w:val="off"/>
        <w:rPr>
          <w:rFonts w:hint="eastAsia" w:ascii="宋体" w:hAnsi="宋体" w:cs="宋体"/>
          <w:b/>
          <w:bCs/>
        </w:rPr>
        <w:outlineLvl w:val="9"/>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pageBreakBefore w:val="0"/>
        <w:widowControl w:val="off"/>
        <w:rPr>
          <w:rFonts w:hint="eastAsia" w:ascii="宋体" w:hAnsi="宋体" w:cs="宋体"/>
          <w:b/>
          <w:bCs/>
        </w:rPr>
        <w:outlineLvl w:val="9"/>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pageBreakBefore w:val="0"/>
        <w:widowControl w:val="off"/>
        <w:rPr>
          <w:rFonts w:hint="eastAsia" w:ascii="宋体" w:hAnsi="宋体" w:cs="宋体"/>
          <w:b/>
          <w:bCs/>
        </w:rPr>
        <w:outlineLvl w:val="9"/>
      </w:pPr>
      <w:r>
        <w:rPr>
          <w:rFonts w:hint="eastAsia" w:ascii="宋体" w:hAnsi="宋体" w:cs="宋体"/>
          <w:b/>
          <w:bCs/>
        </w:rPr>
        <w:t xml:space="preserve">4.如未对（中型企业、小型企业、微型企业）进行勾选，视同非中小微企业，不可享受相应扶持政策。</w:t>
      </w:r>
      <w:r/>
    </w:p>
    <w:p>
      <w:pPr>
        <w:ind w:left="840" w:hanging="210"/>
        <w:pageBreakBefore w:val="0"/>
        <w:spacing w:line="360" w:lineRule="auto"/>
        <w:widowControl w:val="off"/>
        <w:rPr>
          <w:rFonts w:hint="eastAsia" w:ascii="宋体" w:hAnsi="宋体" w:cs="宋体"/>
          <w:lang w:val="zh-CN"/>
        </w:rPr>
        <w:outlineLvl w:val="9"/>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ind w:left="840" w:hanging="210"/>
        <w:pageBreakBefore w:val="0"/>
        <w:spacing w:line="360" w:lineRule="auto"/>
        <w:widowControl w:val="off"/>
        <w:rPr>
          <w:rFonts w:hint="eastAsia" w:ascii="宋体" w:hAnsi="宋体" w:cs="宋体"/>
          <w:lang w:val="zh-CN"/>
        </w:rPr>
        <w:outlineLvl w:val="9"/>
      </w:pPr>
      <w:r>
        <w:rPr>
          <w:rFonts w:hint="eastAsia" w:ascii="宋体" w:hAnsi="宋体" w:cs="宋体"/>
          <w:lang w:val="zh-CN"/>
        </w:rPr>
      </w:r>
      <w:r/>
    </w:p>
    <w:p>
      <w:pPr>
        <w:rPr>
          <w:rFonts w:hint="eastAsia" w:ascii="宋体" w:hAnsi="宋体"/>
          <w:b/>
        </w:rPr>
      </w:pPr>
      <w:r>
        <w:rPr>
          <w:rFonts w:hint="eastAsia" w:ascii="宋体" w:hAnsi="宋体"/>
          <w:b/>
        </w:rPr>
        <w:br w:type="page" w:clear="all"/>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rPr>
        <w:t xml:space="preserve">关于符合本国产品标准的声明函</w:t>
      </w:r>
      <w:r/>
    </w:p>
    <w:p>
      <w:pPr>
        <w:pStyle w:val="732"/>
        <w:ind w:firstLine="420"/>
        <w:jc w:val="both"/>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2"/>
        <w:ind w:firstLine="420"/>
        <w:jc w:val="both"/>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1.</w:t>
      </w:r>
      <w:r>
        <w:rPr>
          <w:rStyle w:val="742"/>
          <w:rFonts w:hint="eastAsia"/>
          <w:color w:val="333333"/>
          <w:sz w:val="21"/>
          <w:szCs w:val="21"/>
          <w:shd w:val="clear" w:color="auto" w:fill="ffffff"/>
        </w:rPr>
        <w:t xml:space="preserve">（产品名称1）</w:t>
      </w:r>
      <w:r>
        <w:rPr>
          <w:rStyle w:val="742"/>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742"/>
          <w:rFonts w:hint="eastAsia"/>
          <w:color w:val="333333"/>
          <w:sz w:val="21"/>
          <w:szCs w:val="21"/>
          <w:shd w:val="clear" w:color="auto" w:fill="ffffff"/>
        </w:rPr>
        <w:t xml:space="preserve">（厂名）</w:t>
      </w:r>
      <w:r>
        <w:rPr>
          <w:rStyle w:val="742"/>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742"/>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4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742"/>
          <w:rFonts w:hint="eastAsia"/>
          <w:color w:val="333333"/>
          <w:sz w:val="21"/>
          <w:szCs w:val="21"/>
          <w:shd w:val="clear" w:color="auto" w:fill="ffffff"/>
        </w:rPr>
        <w:t xml:space="preserve">（规定比例）</w:t>
      </w:r>
      <w:r>
        <w:rPr>
          <w:rStyle w:val="742"/>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74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42"/>
          <w:rFonts w:hint="eastAsia"/>
          <w:color w:val="333333"/>
          <w:sz w:val="21"/>
          <w:szCs w:val="21"/>
          <w:shd w:val="clear" w:color="auto" w:fill="ffffff"/>
        </w:rPr>
        <w:t xml:space="preserve">（关键组件）</w:t>
      </w:r>
      <w:r>
        <w:rPr>
          <w:rStyle w:val="742"/>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742"/>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42"/>
          <w:rFonts w:hint="eastAsia"/>
          <w:color w:val="333333"/>
          <w:sz w:val="21"/>
          <w:szCs w:val="21"/>
          <w:shd w:val="clear" w:color="auto" w:fill="ffffff"/>
        </w:rPr>
        <w:t xml:space="preserve">（关键工序）</w:t>
      </w:r>
      <w:r>
        <w:rPr>
          <w:rStyle w:val="742"/>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732"/>
        <w:ind w:firstLine="420"/>
        <w:jc w:val="both"/>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2.</w:t>
      </w:r>
      <w:r>
        <w:rPr>
          <w:rStyle w:val="74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742"/>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742"/>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4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742"/>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74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42"/>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742"/>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42"/>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732"/>
        <w:ind w:firstLine="420"/>
        <w:jc w:val="both"/>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w:t>
      </w:r>
      <w:r/>
    </w:p>
    <w:p>
      <w:pPr>
        <w:pStyle w:val="732"/>
        <w:ind w:firstLine="420"/>
        <w:jc w:val="both"/>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732"/>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公司（单位）名称（加盖电子公章）：      </w:t>
      </w:r>
      <w:r/>
    </w:p>
    <w:p>
      <w:pPr>
        <w:pStyle w:val="732"/>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日期：　　　　　年　　月　日    </w:t>
      </w:r>
      <w:r/>
    </w:p>
    <w:p>
      <w:pPr>
        <w:pStyle w:val="732"/>
        <w:ind w:firstLine="420"/>
        <w:spacing w:before="0" w:beforeAutospacing="0" w:after="0" w:afterAutospacing="0"/>
        <w:shd w:val="clear" w:color="auto" w:fill="ffffff"/>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r>
      <w:r/>
    </w:p>
    <w:p>
      <w:pPr>
        <w:pStyle w:val="732"/>
        <w:ind w:firstLine="420"/>
        <w:spacing w:before="0" w:beforeAutospacing="0" w:after="0" w:afterAutospacing="0"/>
        <w:shd w:val="clear" w:color="auto" w:fill="ffffff"/>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 xml:space="preserve">备注：</w:t>
      </w:r>
      <w:r/>
    </w:p>
    <w:p>
      <w:pPr>
        <w:pStyle w:val="732"/>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732"/>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732"/>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732"/>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pStyle w:val="732"/>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5.该产品的关键工序要求实施前，“关键工序”栏可不填，下同。</w:t>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Arial" w:hAnsi="Arial" w:cs="Arial"/>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w:t>
      </w:r>
      <w:r>
        <w:rPr>
          <w:rFonts w:hint="eastAsia" w:ascii="Arial" w:hAnsi="Arial" w:cs="Arial"/>
          <w:b/>
          <w:szCs w:val="21"/>
        </w:rPr>
        <w:t xml:space="preserve">重大税收违法失信主体名单</w:t>
      </w:r>
      <w:r>
        <w:rPr>
          <w:rFonts w:ascii="Arial" w:hAnsi="Arial" w:cs="Arial"/>
          <w:b/>
          <w:szCs w:val="21"/>
        </w:rPr>
        <w:t xml:space="preserve">、政府采购严重违法失信行为记录名单的供应商。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声明人：（公章）</w:t>
      </w:r>
      <w:r/>
    </w:p>
    <w:p>
      <w:pPr>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根据采购公告中二、申请人的资格要求填写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三</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jc w:val="center"/>
        <w:spacing w:before="317" w:after="317"/>
        <w:rPr>
          <w:rFonts w:hint="eastAsia" w:ascii="宋体" w:hAnsi="宋体"/>
          <w:b/>
          <w:bCs/>
          <w:szCs w:val="21"/>
          <w:lang w:val="zh-CN"/>
        </w:rPr>
      </w:pPr>
      <w:r>
        <w:rPr>
          <w:rFonts w:hint="eastAsia" w:ascii="宋体" w:hAnsi="宋体"/>
          <w:b/>
          <w:bCs/>
          <w:szCs w:val="21"/>
          <w:lang w:val="zh-CN"/>
        </w:rPr>
      </w:r>
      <w:bookmarkEnd w:id="1"/>
      <w:r/>
    </w:p>
    <w:p>
      <w:pPr>
        <w:spacing w:line="440" w:lineRule="exact"/>
        <w:rPr>
          <w:rFonts w:hint="eastAsia" w:ascii="宋体" w:hAnsi="宋体"/>
          <w:b/>
          <w:bCs/>
          <w:szCs w:val="21"/>
        </w:rPr>
      </w:pPr>
      <w:r>
        <w:rPr>
          <w:rFonts w:hint="eastAsia" w:ascii="宋体" w:hAnsi="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74"/>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chineseCountingThousand"/>
      <w:pStyle w:val="691"/>
      <w:isLgl w:val="false"/>
      <w:suff w:val="nothing"/>
      <w:lvlText w:val="第%1章"/>
      <w:lvlJc w:val="left"/>
      <w:pPr>
        <w:ind w:left="0" w:firstLine="0"/>
      </w:pPr>
    </w:lvl>
    <w:lvl w:ilvl="1">
      <w:start w:val="1"/>
      <w:numFmt w:val="none"/>
      <w:pStyle w:val="692"/>
      <w:isLgl w:val="false"/>
      <w:suff w:val="nothing"/>
      <w:lvlText w:val=""/>
      <w:lvlJc w:val="left"/>
      <w:pPr>
        <w:ind w:left="0" w:firstLine="0"/>
      </w:pPr>
    </w:lvl>
    <w:lvl w:ilvl="2">
      <w:start w:val="1"/>
      <w:numFmt w:val="none"/>
      <w:pStyle w:val="693"/>
      <w:isLgl w:val="false"/>
      <w:suff w:val="nothing"/>
      <w:lvlText w:val=""/>
      <w:lvlJc w:val="left"/>
      <w:pPr>
        <w:ind w:left="0" w:firstLine="0"/>
      </w:pPr>
    </w:lvl>
    <w:lvl w:ilvl="3">
      <w:start w:val="1"/>
      <w:numFmt w:val="none"/>
      <w:pStyle w:val="694"/>
      <w:isLgl w:val="false"/>
      <w:suff w:val="nothing"/>
      <w:lvlText w:val=""/>
      <w:lvlJc w:val="left"/>
      <w:pPr>
        <w:ind w:left="0" w:firstLine="0"/>
      </w:pPr>
    </w:lvl>
    <w:lvl w:ilvl="4">
      <w:start w:val="1"/>
      <w:numFmt w:val="none"/>
      <w:pStyle w:val="695"/>
      <w:isLgl w:val="false"/>
      <w:suff w:val="nothing"/>
      <w:lvlText w:val=""/>
      <w:lvlJc w:val="left"/>
      <w:pPr>
        <w:ind w:left="0" w:firstLine="0"/>
      </w:pPr>
    </w:lvl>
    <w:lvl w:ilvl="5">
      <w:start w:val="1"/>
      <w:numFmt w:val="none"/>
      <w:pStyle w:val="696"/>
      <w:isLgl w:val="false"/>
      <w:suff w:val="nothing"/>
      <w:lvlText w:val=""/>
      <w:lvlJc w:val="left"/>
      <w:pPr>
        <w:ind w:left="0" w:firstLine="0"/>
      </w:pPr>
    </w:lvl>
    <w:lvl w:ilvl="6">
      <w:start w:val="1"/>
      <w:numFmt w:val="none"/>
      <w:pStyle w:val="697"/>
      <w:isLgl w:val="false"/>
      <w:suff w:val="nothing"/>
      <w:lvlText w:val=""/>
      <w:lvlJc w:val="left"/>
      <w:pPr>
        <w:ind w:left="0" w:firstLine="0"/>
      </w:pPr>
    </w:lvl>
    <w:lvl w:ilvl="7">
      <w:start w:val="1"/>
      <w:numFmt w:val="none"/>
      <w:pStyle w:val="698"/>
      <w:isLgl w:val="false"/>
      <w:suff w:val="nothing"/>
      <w:lvlText w:val=""/>
      <w:lvlJc w:val="left"/>
      <w:pPr>
        <w:ind w:left="0" w:firstLine="0"/>
      </w:pPr>
    </w:lvl>
    <w:lvl w:ilvl="8">
      <w:start w:val="1"/>
      <w:numFmt w:val="none"/>
      <w:pStyle w:val="699"/>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chineseCountingThousand"/>
      <w:pStyle w:val="85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70"/>
      <w:isLgl/>
      <w:suff w:val="tab"/>
      <w:lvlText w:val="%1.%2"/>
      <w:lvlJc w:val="left"/>
      <w:pPr>
        <w:ind w:left="425" w:hanging="425"/>
      </w:pPr>
      <w:rPr>
        <w:rFonts w:hint="eastAsia" w:ascii="Arial Unicode MS" w:hAnsi="Arial Unicode MS" w:eastAsia="微软雅黑"/>
        <w:b/>
        <w:i w:val="0"/>
      </w:rPr>
    </w:lvl>
    <w:lvl w:ilvl="2">
      <w:start w:val="1"/>
      <w:numFmt w:val="decimal"/>
      <w:pStyle w:val="88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bullet"/>
      <w:pStyle w:val="70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0"/>
    <w:link w:val="734"/>
    <w:uiPriority w:val="10"/>
    <w:rPr>
      <w:sz w:val="48"/>
      <w:szCs w:val="48"/>
    </w:rPr>
  </w:style>
  <w:style w:type="character" w:styleId="36">
    <w:name w:val="Subtitle Char"/>
    <w:basedOn w:val="700"/>
    <w:link w:val="726"/>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0"/>
    <w:link w:val="723"/>
    <w:uiPriority w:val="99"/>
  </w:style>
  <w:style w:type="character" w:styleId="44">
    <w:name w:val="Footer Char"/>
    <w:basedOn w:val="700"/>
    <w:link w:val="721"/>
    <w:uiPriority w:val="99"/>
  </w:style>
  <w:style w:type="character" w:styleId="46">
    <w:name w:val="Caption Char"/>
    <w:basedOn w:val="706"/>
    <w:link w:val="721"/>
    <w:uiPriority w:val="99"/>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0"/>
    <w:uiPriority w:val="99"/>
    <w:semiHidden/>
    <w:unhideWhenUsed/>
    <w:rPr>
      <w:vertAlign w:val="superscript"/>
    </w:r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838"/>
    <w:uiPriority w:val="0"/>
    <w:qFormat/>
    <w:pPr>
      <w:numPr>
        <w:ilvl w:val="0"/>
        <w:numId w:val="1"/>
      </w:numPr>
      <w:jc w:val="center"/>
      <w:keepLines/>
      <w:keepNext/>
      <w:spacing w:before="340" w:after="330" w:line="578" w:lineRule="auto"/>
      <w:outlineLvl w:val="0"/>
    </w:pPr>
    <w:rPr>
      <w:b/>
      <w:bCs/>
      <w:sz w:val="32"/>
      <w:szCs w:val="44"/>
    </w:rPr>
  </w:style>
  <w:style w:type="paragraph" w:styleId="692">
    <w:name w:val="Heading 2"/>
    <w:basedOn w:val="690"/>
    <w:next w:val="690"/>
    <w:link w:val="76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3">
    <w:name w:val="Heading 3"/>
    <w:basedOn w:val="690"/>
    <w:next w:val="690"/>
    <w:link w:val="806"/>
    <w:uiPriority w:val="0"/>
    <w:qFormat/>
    <w:pPr>
      <w:numPr>
        <w:ilvl w:val="2"/>
        <w:numId w:val="1"/>
      </w:numPr>
      <w:keepLines/>
      <w:keepNext/>
      <w:spacing w:before="260" w:after="260" w:line="416" w:lineRule="auto"/>
      <w:outlineLvl w:val="2"/>
    </w:pPr>
    <w:rPr>
      <w:b/>
      <w:bCs/>
      <w:sz w:val="32"/>
      <w:szCs w:val="32"/>
    </w:rPr>
  </w:style>
  <w:style w:type="paragraph" w:styleId="694">
    <w:name w:val="Heading 4"/>
    <w:basedOn w:val="690"/>
    <w:next w:val="690"/>
    <w:link w:val="84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5">
    <w:name w:val="Heading 5"/>
    <w:basedOn w:val="690"/>
    <w:next w:val="690"/>
    <w:link w:val="796"/>
    <w:uiPriority w:val="0"/>
    <w:qFormat/>
    <w:pPr>
      <w:numPr>
        <w:ilvl w:val="4"/>
        <w:numId w:val="1"/>
      </w:numPr>
      <w:keepLines/>
      <w:keepNext/>
      <w:spacing w:before="280" w:after="290" w:line="376" w:lineRule="auto"/>
      <w:outlineLvl w:val="4"/>
    </w:pPr>
    <w:rPr>
      <w:b/>
      <w:bCs/>
      <w:sz w:val="28"/>
      <w:szCs w:val="28"/>
    </w:rPr>
  </w:style>
  <w:style w:type="paragraph" w:styleId="696">
    <w:name w:val="Heading 6"/>
    <w:basedOn w:val="690"/>
    <w:next w:val="690"/>
    <w:link w:val="782"/>
    <w:uiPriority w:val="0"/>
    <w:qFormat/>
    <w:pPr>
      <w:numPr>
        <w:ilvl w:val="5"/>
        <w:numId w:val="1"/>
      </w:numPr>
      <w:keepLines/>
      <w:keepNext/>
      <w:spacing w:before="240" w:after="64" w:line="320" w:lineRule="auto"/>
      <w:outlineLvl w:val="5"/>
    </w:pPr>
    <w:rPr>
      <w:rFonts w:ascii="Cambria" w:hAnsi="Cambria"/>
      <w:b/>
      <w:bCs/>
      <w:sz w:val="24"/>
    </w:rPr>
  </w:style>
  <w:style w:type="paragraph" w:styleId="697">
    <w:name w:val="Heading 7"/>
    <w:basedOn w:val="690"/>
    <w:next w:val="690"/>
    <w:link w:val="837"/>
    <w:uiPriority w:val="0"/>
    <w:qFormat/>
    <w:pPr>
      <w:numPr>
        <w:ilvl w:val="6"/>
        <w:numId w:val="1"/>
      </w:numPr>
      <w:keepLines/>
      <w:keepNext/>
      <w:spacing w:before="240" w:after="64" w:line="320" w:lineRule="auto"/>
      <w:outlineLvl w:val="6"/>
    </w:pPr>
    <w:rPr>
      <w:b/>
      <w:bCs/>
      <w:sz w:val="24"/>
    </w:rPr>
  </w:style>
  <w:style w:type="paragraph" w:styleId="698">
    <w:name w:val="Heading 8"/>
    <w:basedOn w:val="690"/>
    <w:next w:val="690"/>
    <w:link w:val="822"/>
    <w:uiPriority w:val="0"/>
    <w:qFormat/>
    <w:pPr>
      <w:numPr>
        <w:ilvl w:val="7"/>
        <w:numId w:val="1"/>
      </w:numPr>
      <w:keepLines/>
      <w:keepNext/>
      <w:spacing w:before="240" w:after="64" w:line="320" w:lineRule="auto"/>
      <w:outlineLvl w:val="7"/>
    </w:pPr>
    <w:rPr>
      <w:rFonts w:ascii="Cambria" w:hAnsi="Cambria"/>
      <w:sz w:val="24"/>
    </w:rPr>
  </w:style>
  <w:style w:type="paragraph" w:styleId="699">
    <w:name w:val="Heading 9"/>
    <w:basedOn w:val="690"/>
    <w:next w:val="690"/>
    <w:link w:val="800"/>
    <w:uiPriority w:val="0"/>
    <w:qFormat/>
    <w:pPr>
      <w:numPr>
        <w:ilvl w:val="8"/>
        <w:numId w:val="1"/>
      </w:numPr>
      <w:keepLines/>
      <w:keepNext/>
      <w:spacing w:before="240" w:after="64" w:line="320" w:lineRule="auto"/>
      <w:outlineLvl w:val="8"/>
    </w:pPr>
    <w:rPr>
      <w:rFonts w:ascii="Cambria" w:hAnsi="Cambria"/>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List 3"/>
    <w:basedOn w:val="690"/>
    <w:uiPriority w:val="99"/>
    <w:unhideWhenUsed/>
    <w:qFormat/>
    <w:pPr>
      <w:ind w:left="1260" w:hanging="420"/>
      <w:spacing w:before="100" w:beforeAutospacing="1" w:after="100" w:afterAutospacing="1"/>
    </w:pPr>
    <w:rPr>
      <w:szCs w:val="21"/>
    </w:rPr>
  </w:style>
  <w:style w:type="paragraph" w:styleId="703">
    <w:name w:val="toc 7"/>
    <w:basedOn w:val="690"/>
    <w:next w:val="690"/>
    <w:uiPriority w:val="39"/>
    <w:unhideWhenUsed/>
    <w:qFormat/>
    <w:pPr>
      <w:ind w:left="2520"/>
    </w:pPr>
    <w:rPr>
      <w:rFonts w:ascii="Calibri" w:hAnsi="Calibri"/>
      <w:szCs w:val="22"/>
    </w:rPr>
  </w:style>
  <w:style w:type="paragraph" w:styleId="704">
    <w:name w:val="List Number"/>
    <w:basedOn w:val="690"/>
    <w:uiPriority w:val="0"/>
    <w:qFormat/>
    <w:pPr>
      <w:numPr>
        <w:ilvl w:val="0"/>
        <w:numId w:val="2"/>
      </w:numPr>
      <w:contextualSpacing/>
    </w:pPr>
    <w:rPr>
      <w:rFonts w:ascii="Calibri" w:hAnsi="Calibri"/>
    </w:rPr>
  </w:style>
  <w:style w:type="paragraph" w:styleId="705">
    <w:name w:val="Normal Indent"/>
    <w:basedOn w:val="690"/>
    <w:link w:val="924"/>
    <w:uiPriority w:val="0"/>
    <w:qFormat/>
    <w:pPr>
      <w:ind w:firstLine="420"/>
    </w:pPr>
    <w:rPr>
      <w:b/>
      <w:sz w:val="24"/>
      <w:szCs w:val="20"/>
    </w:rPr>
  </w:style>
  <w:style w:type="paragraph" w:styleId="706">
    <w:name w:val="Caption"/>
    <w:basedOn w:val="690"/>
    <w:next w:val="690"/>
    <w:uiPriority w:val="0"/>
    <w:qFormat/>
    <w:rPr>
      <w:rFonts w:ascii="Cambria" w:hAnsi="Cambria" w:eastAsia="黑体"/>
      <w:sz w:val="20"/>
      <w:szCs w:val="22"/>
    </w:rPr>
  </w:style>
  <w:style w:type="paragraph" w:styleId="707">
    <w:name w:val="Document Map"/>
    <w:basedOn w:val="690"/>
    <w:link w:val="790"/>
    <w:uiPriority w:val="0"/>
    <w:qFormat/>
    <w:rPr>
      <w:rFonts w:ascii="宋体"/>
      <w:sz w:val="18"/>
      <w:szCs w:val="18"/>
    </w:rPr>
  </w:style>
  <w:style w:type="paragraph" w:styleId="708">
    <w:name w:val="annotation text"/>
    <w:basedOn w:val="690"/>
    <w:link w:val="814"/>
    <w:uiPriority w:val="0"/>
    <w:qFormat/>
    <w:pPr>
      <w:jc w:val="left"/>
    </w:pPr>
  </w:style>
  <w:style w:type="paragraph" w:styleId="709">
    <w:name w:val="Body Text 3"/>
    <w:basedOn w:val="690"/>
    <w:link w:val="833"/>
    <w:uiPriority w:val="0"/>
    <w:qFormat/>
    <w:rPr>
      <w:rFonts w:ascii="宋体"/>
      <w:sz w:val="24"/>
      <w:szCs w:val="20"/>
    </w:rPr>
  </w:style>
  <w:style w:type="paragraph" w:styleId="710">
    <w:name w:val="Body Text"/>
    <w:basedOn w:val="690"/>
    <w:next w:val="690"/>
    <w:link w:val="821"/>
    <w:uiPriority w:val="0"/>
    <w:qFormat/>
    <w:pPr>
      <w:jc w:val="center"/>
    </w:pPr>
    <w:rPr>
      <w:rFonts w:eastAsia="幼圆"/>
      <w:b/>
      <w:bCs/>
      <w:sz w:val="44"/>
    </w:rPr>
  </w:style>
  <w:style w:type="paragraph" w:styleId="711">
    <w:name w:val="Body Text Indent"/>
    <w:basedOn w:val="690"/>
    <w:link w:val="777"/>
    <w:uiPriority w:val="0"/>
    <w:qFormat/>
    <w:pPr>
      <w:ind w:left="420"/>
      <w:spacing w:after="120"/>
    </w:pPr>
  </w:style>
  <w:style w:type="paragraph" w:styleId="712">
    <w:name w:val="Block Text"/>
    <w:basedOn w:val="690"/>
    <w:next w:val="690"/>
    <w:uiPriority w:val="99"/>
    <w:unhideWhenUsed/>
    <w:qFormat/>
    <w:pPr>
      <w:ind w:left="1440" w:right="1440"/>
      <w:spacing w:after="120"/>
    </w:pPr>
  </w:style>
  <w:style w:type="paragraph" w:styleId="713">
    <w:name w:val="index 4"/>
    <w:basedOn w:val="690"/>
    <w:next w:val="690"/>
    <w:uiPriority w:val="0"/>
    <w:qFormat/>
    <w:pPr>
      <w:ind w:left="600"/>
    </w:pPr>
    <w:rPr>
      <w:rFonts w:ascii="Calibri" w:hAnsi="Calibri"/>
    </w:rPr>
  </w:style>
  <w:style w:type="paragraph" w:styleId="714">
    <w:name w:val="toc 5"/>
    <w:basedOn w:val="690"/>
    <w:next w:val="690"/>
    <w:uiPriority w:val="39"/>
    <w:unhideWhenUsed/>
    <w:qFormat/>
    <w:pPr>
      <w:ind w:left="1680"/>
    </w:pPr>
    <w:rPr>
      <w:rFonts w:ascii="Calibri" w:hAnsi="Calibri"/>
      <w:szCs w:val="22"/>
    </w:rPr>
  </w:style>
  <w:style w:type="paragraph" w:styleId="715">
    <w:name w:val="toc 3"/>
    <w:basedOn w:val="690"/>
    <w:next w:val="690"/>
    <w:uiPriority w:val="39"/>
    <w:qFormat/>
    <w:pPr>
      <w:ind w:left="840"/>
    </w:pPr>
    <w:rPr>
      <w:rFonts w:ascii="Calibri" w:hAnsi="Calibri"/>
      <w:szCs w:val="22"/>
    </w:rPr>
  </w:style>
  <w:style w:type="paragraph" w:styleId="716">
    <w:name w:val="Plain Text"/>
    <w:basedOn w:val="690"/>
    <w:link w:val="783"/>
    <w:uiPriority w:val="0"/>
    <w:qFormat/>
    <w:rPr>
      <w:rFonts w:ascii="Ari"/>
    </w:rPr>
  </w:style>
  <w:style w:type="paragraph" w:styleId="717">
    <w:name w:val="toc 8"/>
    <w:basedOn w:val="690"/>
    <w:next w:val="690"/>
    <w:uiPriority w:val="39"/>
    <w:unhideWhenUsed/>
    <w:qFormat/>
    <w:pPr>
      <w:ind w:left="2940"/>
    </w:pPr>
    <w:rPr>
      <w:rFonts w:ascii="Calibri" w:hAnsi="Calibri"/>
      <w:szCs w:val="22"/>
    </w:rPr>
  </w:style>
  <w:style w:type="paragraph" w:styleId="718">
    <w:name w:val="Date"/>
    <w:basedOn w:val="690"/>
    <w:next w:val="690"/>
    <w:link w:val="791"/>
    <w:uiPriority w:val="0"/>
    <w:unhideWhenUsed/>
    <w:qFormat/>
  </w:style>
  <w:style w:type="paragraph" w:styleId="719">
    <w:name w:val="Body Text Indent 2"/>
    <w:basedOn w:val="690"/>
    <w:link w:val="813"/>
    <w:uiPriority w:val="99"/>
    <w:unhideWhenUsed/>
    <w:qFormat/>
    <w:pPr>
      <w:ind w:firstLine="525"/>
      <w:spacing w:line="420" w:lineRule="exact"/>
    </w:pPr>
    <w:rPr>
      <w:rFonts w:ascii="宋体"/>
      <w:sz w:val="20"/>
      <w:szCs w:val="20"/>
    </w:rPr>
  </w:style>
  <w:style w:type="paragraph" w:styleId="720">
    <w:name w:val="Balloon Text"/>
    <w:basedOn w:val="690"/>
    <w:link w:val="836"/>
    <w:uiPriority w:val="0"/>
    <w:qFormat/>
    <w:rPr>
      <w:sz w:val="18"/>
      <w:szCs w:val="18"/>
    </w:rPr>
  </w:style>
  <w:style w:type="paragraph" w:styleId="721">
    <w:name w:val="Footer"/>
    <w:basedOn w:val="690"/>
    <w:link w:val="826"/>
    <w:uiPriority w:val="99"/>
    <w:qFormat/>
    <w:pPr>
      <w:jc w:val="left"/>
      <w:tabs>
        <w:tab w:val="center" w:pos="4153" w:leader="none"/>
        <w:tab w:val="right" w:pos="8306" w:leader="none"/>
      </w:tabs>
    </w:pPr>
    <w:rPr>
      <w:sz w:val="18"/>
      <w:szCs w:val="18"/>
    </w:rPr>
  </w:style>
  <w:style w:type="paragraph" w:styleId="722">
    <w:name w:val="envelope return"/>
    <w:basedOn w:val="690"/>
    <w:uiPriority w:val="0"/>
    <w:qFormat/>
    <w:rPr>
      <w:rFonts w:ascii="Arial" w:hAnsi="Arial"/>
    </w:rPr>
  </w:style>
  <w:style w:type="paragraph" w:styleId="723">
    <w:name w:val="Header"/>
    <w:basedOn w:val="690"/>
    <w:link w:val="781"/>
    <w:uiPriority w:val="0"/>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0"/>
    <w:next w:val="690"/>
    <w:uiPriority w:val="39"/>
    <w:qFormat/>
  </w:style>
  <w:style w:type="paragraph" w:styleId="725">
    <w:name w:val="toc 4"/>
    <w:basedOn w:val="690"/>
    <w:next w:val="690"/>
    <w:uiPriority w:val="39"/>
    <w:unhideWhenUsed/>
    <w:qFormat/>
    <w:pPr>
      <w:ind w:left="1260"/>
    </w:pPr>
    <w:rPr>
      <w:rFonts w:ascii="Calibri" w:hAnsi="Calibri"/>
      <w:szCs w:val="22"/>
    </w:rPr>
  </w:style>
  <w:style w:type="paragraph" w:styleId="726">
    <w:name w:val="Subtitle"/>
    <w:basedOn w:val="690"/>
    <w:next w:val="690"/>
    <w:link w:val="809"/>
    <w:uiPriority w:val="0"/>
    <w:qFormat/>
    <w:pPr>
      <w:jc w:val="center"/>
      <w:spacing w:before="240" w:after="60" w:line="312" w:lineRule="auto"/>
      <w:outlineLvl w:val="1"/>
    </w:pPr>
    <w:rPr>
      <w:rFonts w:ascii="Cambria" w:hAnsi="Cambria"/>
      <w:b/>
      <w:bCs/>
      <w:sz w:val="32"/>
      <w:szCs w:val="32"/>
    </w:rPr>
  </w:style>
  <w:style w:type="paragraph" w:styleId="727">
    <w:name w:val="toc 6"/>
    <w:basedOn w:val="690"/>
    <w:next w:val="690"/>
    <w:uiPriority w:val="39"/>
    <w:unhideWhenUsed/>
    <w:qFormat/>
    <w:pPr>
      <w:ind w:left="2100"/>
    </w:pPr>
    <w:rPr>
      <w:rFonts w:ascii="Calibri" w:hAnsi="Calibri"/>
      <w:szCs w:val="22"/>
    </w:rPr>
  </w:style>
  <w:style w:type="paragraph" w:styleId="728">
    <w:name w:val="Body Text Indent 3"/>
    <w:basedOn w:val="690"/>
    <w:link w:val="834"/>
    <w:uiPriority w:val="0"/>
    <w:qFormat/>
    <w:pPr>
      <w:ind w:left="420"/>
      <w:spacing w:after="120"/>
    </w:pPr>
    <w:rPr>
      <w:sz w:val="16"/>
      <w:szCs w:val="20"/>
    </w:rPr>
  </w:style>
  <w:style w:type="paragraph" w:styleId="729">
    <w:name w:val="toc 2"/>
    <w:basedOn w:val="690"/>
    <w:next w:val="690"/>
    <w:uiPriority w:val="39"/>
    <w:qFormat/>
    <w:pPr>
      <w:ind w:left="420"/>
    </w:pPr>
    <w:rPr>
      <w:rFonts w:ascii="Calibri" w:hAnsi="Calibri"/>
      <w:szCs w:val="22"/>
    </w:rPr>
  </w:style>
  <w:style w:type="paragraph" w:styleId="730">
    <w:name w:val="toc 9"/>
    <w:basedOn w:val="690"/>
    <w:next w:val="690"/>
    <w:uiPriority w:val="39"/>
    <w:unhideWhenUsed/>
    <w:qFormat/>
    <w:pPr>
      <w:ind w:left="3360"/>
    </w:pPr>
    <w:rPr>
      <w:rFonts w:ascii="Calibri" w:hAnsi="Calibri"/>
      <w:szCs w:val="22"/>
    </w:rPr>
  </w:style>
  <w:style w:type="paragraph" w:styleId="731">
    <w:name w:val="HTML Preformatted"/>
    <w:basedOn w:val="690"/>
    <w:link w:val="91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2">
    <w:name w:val="Normal (Web)"/>
    <w:basedOn w:val="690"/>
    <w:uiPriority w:val="0"/>
    <w:qFormat/>
    <w:pPr>
      <w:jc w:val="left"/>
      <w:spacing w:before="100" w:beforeAutospacing="1" w:after="100" w:afterAutospacing="1"/>
      <w:widowControl/>
    </w:pPr>
    <w:rPr>
      <w:rFonts w:ascii="宋体" w:hAnsi="宋体" w:cs="宋体"/>
      <w:sz w:val="24"/>
    </w:rPr>
  </w:style>
  <w:style w:type="paragraph" w:styleId="733">
    <w:name w:val="index 1"/>
    <w:basedOn w:val="690"/>
    <w:next w:val="690"/>
    <w:uiPriority w:val="0"/>
    <w:qFormat/>
    <w:pPr>
      <w:jc w:val="center"/>
      <w:spacing w:line="220" w:lineRule="exact"/>
    </w:pPr>
    <w:rPr>
      <w:rFonts w:ascii="仿宋_GB2312" w:hAnsi="Calibri" w:eastAsia="仿宋_GB2312"/>
      <w:szCs w:val="22"/>
    </w:rPr>
  </w:style>
  <w:style w:type="paragraph" w:styleId="734">
    <w:name w:val="Title"/>
    <w:basedOn w:val="690"/>
    <w:link w:val="786"/>
    <w:uiPriority w:val="0"/>
    <w:qFormat/>
    <w:pPr>
      <w:jc w:val="center"/>
      <w:spacing w:before="240" w:after="60" w:line="420" w:lineRule="atLeast"/>
      <w:outlineLvl w:val="0"/>
    </w:pPr>
    <w:rPr>
      <w:rFonts w:ascii="Arial" w:hAnsi="Arial"/>
      <w:b/>
      <w:sz w:val="32"/>
      <w:szCs w:val="20"/>
    </w:rPr>
  </w:style>
  <w:style w:type="paragraph" w:styleId="735">
    <w:name w:val="annotation subject"/>
    <w:basedOn w:val="708"/>
    <w:next w:val="708"/>
    <w:link w:val="824"/>
    <w:uiPriority w:val="0"/>
    <w:qFormat/>
    <w:rPr>
      <w:b/>
      <w:bCs/>
    </w:rPr>
  </w:style>
  <w:style w:type="paragraph" w:styleId="736">
    <w:name w:val="Body Text First Indent"/>
    <w:basedOn w:val="710"/>
    <w:uiPriority w:val="99"/>
    <w:unhideWhenUsed/>
    <w:qFormat/>
    <w:pPr>
      <w:ind w:firstLine="426"/>
      <w:spacing w:line="400" w:lineRule="atLeast"/>
    </w:pPr>
    <w:rPr>
      <w:sz w:val="24"/>
      <w:szCs w:val="20"/>
    </w:rPr>
  </w:style>
  <w:style w:type="paragraph" w:styleId="737">
    <w:name w:val="Body Text First Indent 2"/>
    <w:basedOn w:val="711"/>
    <w:uiPriority w:val="99"/>
    <w:unhideWhenUsed/>
    <w:qFormat/>
    <w:pPr>
      <w:ind w:firstLine="420"/>
    </w:pPr>
  </w:style>
  <w:style w:type="table" w:styleId="738">
    <w:name w:val="Table Grid"/>
    <w:basedOn w:val="7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basedOn w:val="700"/>
    <w:uiPriority w:val="0"/>
    <w:qFormat/>
    <w:rPr>
      <w:rFonts w:cs="Times New Roman"/>
      <w:b/>
    </w:rPr>
  </w:style>
  <w:style w:type="character" w:styleId="740">
    <w:name w:val="page number"/>
    <w:uiPriority w:val="0"/>
    <w:qFormat/>
    <w:rPr>
      <w:rFonts w:eastAsia="宋体"/>
      <w:b/>
      <w:spacing w:val="0"/>
      <w:sz w:val="24"/>
      <w:szCs w:val="24"/>
      <w:vertAlign w:val="baseline"/>
      <w:lang w:val="en-US" w:eastAsia="zh-CN" w:bidi="ar-SA"/>
    </w:rPr>
  </w:style>
  <w:style w:type="character" w:styleId="741">
    <w:name w:val="FollowedHyperlink"/>
    <w:uiPriority w:val="0"/>
    <w:qFormat/>
    <w:rPr>
      <w:color w:val="800080"/>
      <w:u w:val="single"/>
    </w:rPr>
  </w:style>
  <w:style w:type="character" w:styleId="742">
    <w:name w:val="Emphasis"/>
    <w:basedOn w:val="700"/>
    <w:uiPriority w:val="0"/>
    <w:qFormat/>
    <w:rPr>
      <w:color w:val="cc0000"/>
    </w:rPr>
  </w:style>
  <w:style w:type="character" w:styleId="743">
    <w:name w:val="Hyperlink"/>
    <w:uiPriority w:val="99"/>
    <w:qFormat/>
    <w:rPr>
      <w:color w:val="0000ff"/>
      <w:u w:val="single"/>
    </w:rPr>
  </w:style>
  <w:style w:type="character" w:styleId="744">
    <w:name w:val="annotation reference"/>
    <w:uiPriority w:val="0"/>
    <w:qFormat/>
    <w:rPr>
      <w:sz w:val="21"/>
      <w:szCs w:val="21"/>
    </w:rPr>
  </w:style>
  <w:style w:type="character" w:styleId="745">
    <w:name w:val="HTML Cite"/>
    <w:uiPriority w:val="0"/>
    <w:qFormat/>
    <w:rPr>
      <w:color w:val="008000"/>
    </w:rPr>
  </w:style>
  <w:style w:type="paragraph" w:styleId="746" w:customStyle="1">
    <w:name w:val="一级条标题"/>
    <w:basedOn w:val="747"/>
    <w:next w:val="7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7" w:customStyle="1">
    <w:name w:val="章标题"/>
    <w:next w:val="69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8" w:customStyle="1">
    <w:name w:val="段"/>
    <w:basedOn w:val="749"/>
    <w:next w:val="690"/>
    <w:uiPriority w:val="0"/>
    <w:qFormat/>
    <w:pPr>
      <w:ind w:firstLine="200"/>
      <w:widowControl/>
    </w:pPr>
    <w:rPr>
      <w:rFonts w:hint="eastAsia" w:ascii="宋体"/>
    </w:rPr>
  </w:style>
  <w:style w:type="paragraph" w:styleId="749" w:customStyle="1">
    <w:name w:val="正文1"/>
    <w:next w:val="750"/>
    <w:uiPriority w:val="0"/>
    <w:qFormat/>
    <w:pPr>
      <w:jc w:val="both"/>
      <w:widowControl w:val="off"/>
    </w:pPr>
    <w:rPr>
      <w:rFonts w:ascii="Calibri" w:hAnsi="Calibri" w:eastAsia="宋体" w:cs="Times New Roman"/>
      <w:lang w:val="en-US" w:eastAsia="zh-CN" w:bidi="ar-SA"/>
    </w:rPr>
  </w:style>
  <w:style w:type="paragraph" w:styleId="750" w:customStyle="1">
    <w:name w:val="正文文本1"/>
    <w:basedOn w:val="751"/>
    <w:next w:val="746"/>
    <w:uiPriority w:val="0"/>
    <w:qFormat/>
    <w:rPr>
      <w:rFonts w:ascii="楷体_GB2312" w:hAnsi="Arial" w:eastAsia="楷体_GB2312"/>
      <w:sz w:val="28"/>
      <w:szCs w:val="28"/>
    </w:rPr>
  </w:style>
  <w:style w:type="paragraph" w:styleId="751" w:customStyle="1">
    <w:name w:val="正文111"/>
    <w:next w:val="752"/>
    <w:uiPriority w:val="0"/>
    <w:qFormat/>
    <w:pPr>
      <w:jc w:val="both"/>
      <w:widowControl w:val="off"/>
    </w:pPr>
    <w:rPr>
      <w:rFonts w:ascii="Times New Roman" w:hAnsi="Times New Roman" w:eastAsia="宋体" w:cs="Times New Roman"/>
      <w:sz w:val="21"/>
      <w:szCs w:val="24"/>
      <w:lang w:val="en-US" w:eastAsia="zh-CN" w:bidi="ar-SA"/>
    </w:rPr>
  </w:style>
  <w:style w:type="paragraph" w:styleId="752" w:customStyle="1">
    <w:name w:val="正文文本缩进1"/>
    <w:basedOn w:val="753"/>
    <w:next w:val="756"/>
    <w:uiPriority w:val="0"/>
    <w:qFormat/>
    <w:pPr>
      <w:ind w:left="420"/>
      <w:spacing w:after="120"/>
    </w:pPr>
  </w:style>
  <w:style w:type="paragraph" w:styleId="753" w:customStyle="1">
    <w:name w:val="正文11"/>
    <w:next w:val="754"/>
    <w:uiPriority w:val="0"/>
    <w:qFormat/>
    <w:rPr>
      <w:rFonts w:ascii="Calibri" w:hAnsi="Calibri" w:eastAsia="宋体" w:cs="Calibri"/>
      <w:sz w:val="24"/>
      <w:szCs w:val="24"/>
      <w:lang w:val="en-US" w:eastAsia="zh-CN" w:bidi="ar-SA"/>
    </w:rPr>
  </w:style>
  <w:style w:type="paragraph" w:styleId="754" w:customStyle="1">
    <w:name w:val="文本块1"/>
    <w:basedOn w:val="751"/>
    <w:next w:val="755"/>
    <w:uiPriority w:val="0"/>
    <w:qFormat/>
    <w:pPr>
      <w:ind w:left="256" w:right="6" w:firstLine="624"/>
    </w:pPr>
    <w:rPr>
      <w:rFonts w:eastAsia="仿宋_GB2312"/>
      <w:sz w:val="28"/>
    </w:rPr>
  </w:style>
  <w:style w:type="paragraph" w:styleId="755" w:customStyle="1">
    <w:name w:val="标题 41"/>
    <w:basedOn w:val="753"/>
    <w:next w:val="753"/>
    <w:uiPriority w:val="0"/>
    <w:qFormat/>
    <w:pPr>
      <w:keepLines/>
      <w:keepNext/>
      <w:spacing w:before="280" w:after="290" w:line="376" w:lineRule="auto"/>
      <w:outlineLvl w:val="3"/>
    </w:pPr>
    <w:rPr>
      <w:rFonts w:ascii="Cambria" w:hAnsi="Cambria"/>
      <w:b/>
      <w:bCs/>
      <w:sz w:val="28"/>
      <w:szCs w:val="28"/>
    </w:rPr>
  </w:style>
  <w:style w:type="paragraph" w:styleId="756" w:customStyle="1">
    <w:name w:val="寄信人地址1"/>
    <w:basedOn w:val="690"/>
    <w:uiPriority w:val="0"/>
    <w:qFormat/>
    <w:rPr>
      <w:rFonts w:ascii="Arial" w:hAnsi="Arial"/>
    </w:rPr>
  </w:style>
  <w:style w:type="paragraph" w:styleId="75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9" w:customStyle="1">
    <w:name w:val="Body Text First Indent 21"/>
    <w:basedOn w:val="760"/>
    <w:uiPriority w:val="0"/>
    <w:qFormat/>
    <w:pPr>
      <w:ind w:firstLine="420"/>
    </w:pPr>
  </w:style>
  <w:style w:type="paragraph" w:styleId="760" w:customStyle="1">
    <w:name w:val="Body Text Indent1"/>
    <w:basedOn w:val="690"/>
    <w:uiPriority w:val="0"/>
    <w:qFormat/>
    <w:pPr>
      <w:ind w:left="420"/>
    </w:pPr>
  </w:style>
  <w:style w:type="paragraph" w:styleId="761">
    <w:name w:val="List Paragraph"/>
    <w:basedOn w:val="690"/>
    <w:link w:val="941"/>
    <w:uiPriority w:val="99"/>
    <w:qFormat/>
    <w:pPr>
      <w:ind w:firstLine="420"/>
    </w:pPr>
  </w:style>
  <w:style w:type="character" w:styleId="762" w:customStyle="1">
    <w:name w:val="明显强调1"/>
    <w:uiPriority w:val="0"/>
    <w:qFormat/>
    <w:rPr>
      <w:b/>
      <w:bCs/>
      <w:i/>
      <w:iCs/>
      <w:color w:val="4f81bd"/>
    </w:rPr>
  </w:style>
  <w:style w:type="character" w:styleId="763" w:customStyle="1">
    <w:name w:val="批注文字 Char2"/>
    <w:uiPriority w:val="0"/>
    <w:qFormat/>
    <w:rPr>
      <w:sz w:val="21"/>
    </w:rPr>
  </w:style>
  <w:style w:type="character" w:styleId="764" w:customStyle="1">
    <w:name w:val="标题 3 Char_0"/>
    <w:link w:val="765"/>
    <w:uiPriority w:val="0"/>
    <w:qFormat/>
    <w:rPr>
      <w:b/>
      <w:bCs/>
      <w:sz w:val="32"/>
      <w:szCs w:val="32"/>
    </w:rPr>
  </w:style>
  <w:style w:type="paragraph" w:styleId="765" w:customStyle="1">
    <w:name w:val="标题 3_0"/>
    <w:basedOn w:val="766"/>
    <w:next w:val="766"/>
    <w:link w:val="764"/>
    <w:uiPriority w:val="0"/>
    <w:qFormat/>
    <w:pPr>
      <w:keepLines/>
      <w:keepNext/>
      <w:spacing w:before="260" w:after="260" w:line="416" w:lineRule="auto"/>
      <w:outlineLvl w:val="2"/>
    </w:pPr>
    <w:rPr>
      <w:b/>
      <w:bCs/>
      <w:sz w:val="32"/>
      <w:szCs w:val="32"/>
    </w:rPr>
  </w:style>
  <w:style w:type="paragraph" w:styleId="7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7" w:customStyle="1">
    <w:name w:val="标题 2 字符"/>
    <w:link w:val="692"/>
    <w:uiPriority w:val="0"/>
    <w:qFormat/>
    <w:rPr>
      <w:rFonts w:ascii="Cambria" w:hAnsi="Cambria"/>
      <w:b/>
      <w:bCs/>
      <w:sz w:val="32"/>
      <w:szCs w:val="32"/>
    </w:rPr>
  </w:style>
  <w:style w:type="character" w:styleId="768" w:customStyle="1">
    <w:name w:val="正文文本 Char2"/>
    <w:uiPriority w:val="99"/>
    <w:semiHidden/>
    <w:qFormat/>
    <w:rPr>
      <w:rFonts w:ascii="Calibri" w:hAnsi="Calibri" w:eastAsia="宋体" w:cs="Times New Roman"/>
    </w:rPr>
  </w:style>
  <w:style w:type="character" w:styleId="769" w:customStyle="1">
    <w:name w:val="页脚 Char1"/>
    <w:uiPriority w:val="99"/>
    <w:semiHidden/>
    <w:qFormat/>
    <w:rPr>
      <w:rFonts w:ascii="Calibri" w:hAnsi="Calibri" w:eastAsia="宋体" w:cs="Times New Roman"/>
      <w:sz w:val="18"/>
      <w:szCs w:val="18"/>
    </w:rPr>
  </w:style>
  <w:style w:type="character" w:styleId="770" w:customStyle="1">
    <w:name w:val="明显引用 Char2"/>
    <w:uiPriority w:val="99"/>
    <w:qFormat/>
    <w:rPr>
      <w:b/>
      <w:bCs/>
      <w:i/>
      <w:iCs/>
      <w:color w:val="4f81bd"/>
      <w:sz w:val="21"/>
      <w:szCs w:val="24"/>
    </w:rPr>
  </w:style>
  <w:style w:type="character" w:styleId="771" w:customStyle="1">
    <w:name w:val="引用 Char"/>
    <w:link w:val="772"/>
    <w:uiPriority w:val="0"/>
    <w:qFormat/>
    <w:rPr>
      <w:i/>
      <w:iCs/>
      <w:color w:val="000000"/>
    </w:rPr>
  </w:style>
  <w:style w:type="paragraph" w:styleId="772" w:customStyle="1">
    <w:name w:val="引用1"/>
    <w:basedOn w:val="690"/>
    <w:next w:val="690"/>
    <w:link w:val="771"/>
    <w:uiPriority w:val="0"/>
    <w:qFormat/>
    <w:rPr>
      <w:i/>
      <w:iCs/>
      <w:color w:val="000000"/>
      <w:sz w:val="20"/>
      <w:szCs w:val="20"/>
    </w:rPr>
  </w:style>
  <w:style w:type="character" w:styleId="773" w:customStyle="1">
    <w:name w:val="标题 1 Char_0"/>
    <w:link w:val="774"/>
    <w:uiPriority w:val="0"/>
    <w:qFormat/>
    <w:rPr>
      <w:b/>
      <w:bCs/>
      <w:sz w:val="44"/>
      <w:szCs w:val="44"/>
    </w:rPr>
  </w:style>
  <w:style w:type="paragraph" w:styleId="774" w:customStyle="1">
    <w:name w:val="标题 1_0"/>
    <w:basedOn w:val="766"/>
    <w:next w:val="766"/>
    <w:link w:val="773"/>
    <w:uiPriority w:val="0"/>
    <w:qFormat/>
    <w:pPr>
      <w:keepLines/>
      <w:keepNext/>
      <w:spacing w:before="340" w:after="330" w:line="578" w:lineRule="auto"/>
      <w:outlineLvl w:val="0"/>
    </w:pPr>
    <w:rPr>
      <w:b/>
      <w:bCs/>
      <w:sz w:val="44"/>
      <w:szCs w:val="44"/>
    </w:rPr>
  </w:style>
  <w:style w:type="character" w:styleId="775" w:customStyle="1">
    <w:name w:val="正文文本缩进 3 Char1"/>
    <w:uiPriority w:val="99"/>
    <w:semiHidden/>
    <w:qFormat/>
    <w:rPr>
      <w:sz w:val="16"/>
      <w:szCs w:val="16"/>
    </w:rPr>
  </w:style>
  <w:style w:type="character" w:styleId="776" w:customStyle="1">
    <w:name w:val="引用 Char1"/>
    <w:uiPriority w:val="29"/>
    <w:qFormat/>
    <w:rPr>
      <w:i/>
      <w:iCs/>
      <w:color w:val="000000"/>
      <w:sz w:val="21"/>
    </w:rPr>
  </w:style>
  <w:style w:type="character" w:styleId="777" w:customStyle="1">
    <w:name w:val="正文文本缩进 字符"/>
    <w:link w:val="711"/>
    <w:uiPriority w:val="0"/>
    <w:qFormat/>
    <w:rPr>
      <w:sz w:val="21"/>
      <w:szCs w:val="24"/>
    </w:rPr>
  </w:style>
  <w:style w:type="character" w:styleId="778" w:customStyle="1">
    <w:name w:val="font161"/>
    <w:uiPriority w:val="0"/>
    <w:qFormat/>
    <w:rPr>
      <w:b/>
      <w:sz w:val="32"/>
    </w:rPr>
  </w:style>
  <w:style w:type="character" w:styleId="779" w:customStyle="1">
    <w:name w:val="标题 4 Char_0"/>
    <w:link w:val="780"/>
    <w:uiPriority w:val="0"/>
    <w:qFormat/>
    <w:rPr>
      <w:rFonts w:ascii="Arial" w:hAnsi="Arial" w:eastAsia="黑体"/>
      <w:b/>
      <w:bCs/>
      <w:sz w:val="28"/>
      <w:szCs w:val="28"/>
    </w:rPr>
  </w:style>
  <w:style w:type="paragraph" w:styleId="780" w:customStyle="1">
    <w:name w:val="标题 4_0"/>
    <w:basedOn w:val="766"/>
    <w:next w:val="766"/>
    <w:link w:val="779"/>
    <w:uiPriority w:val="0"/>
    <w:qFormat/>
    <w:pPr>
      <w:keepLines/>
      <w:keepNext/>
      <w:spacing w:before="280" w:after="290" w:line="376" w:lineRule="auto"/>
      <w:outlineLvl w:val="3"/>
    </w:pPr>
    <w:rPr>
      <w:rFonts w:ascii="Arial" w:hAnsi="Arial" w:eastAsia="黑体"/>
      <w:b/>
      <w:bCs/>
      <w:sz w:val="28"/>
      <w:szCs w:val="28"/>
    </w:rPr>
  </w:style>
  <w:style w:type="character" w:styleId="781" w:customStyle="1">
    <w:name w:val="页眉 字符"/>
    <w:link w:val="723"/>
    <w:uiPriority w:val="0"/>
    <w:qFormat/>
    <w:rPr>
      <w:sz w:val="18"/>
      <w:szCs w:val="18"/>
    </w:rPr>
  </w:style>
  <w:style w:type="character" w:styleId="782" w:customStyle="1">
    <w:name w:val="标题 6 字符"/>
    <w:link w:val="696"/>
    <w:uiPriority w:val="0"/>
    <w:qFormat/>
    <w:rPr>
      <w:rFonts w:ascii="Cambria" w:hAnsi="Cambria"/>
      <w:b/>
      <w:bCs/>
      <w:sz w:val="24"/>
      <w:szCs w:val="24"/>
    </w:rPr>
  </w:style>
  <w:style w:type="character" w:styleId="783" w:customStyle="1">
    <w:name w:val="纯文本 字符"/>
    <w:link w:val="716"/>
    <w:uiPriority w:val="99"/>
    <w:qFormat/>
    <w:rPr>
      <w:rFonts w:ascii="Ari"/>
      <w:lang w:val="en-US" w:eastAsia="zh-CN" w:bidi="ar-SA"/>
    </w:rPr>
  </w:style>
  <w:style w:type="character" w:styleId="784" w:customStyle="1">
    <w:name w:val="引用 Char2"/>
    <w:uiPriority w:val="99"/>
    <w:qFormat/>
    <w:rPr>
      <w:i/>
      <w:iCs/>
      <w:color w:val="000000"/>
      <w:sz w:val="21"/>
      <w:szCs w:val="24"/>
    </w:rPr>
  </w:style>
  <w:style w:type="character" w:styleId="785" w:customStyle="1">
    <w:name w:val="rvts11"/>
    <w:uiPriority w:val="0"/>
    <w:qFormat/>
    <w:rPr>
      <w:rFonts w:hint="default" w:ascii="KNLe" w:hAnsi="KNLe"/>
      <w:sz w:val="24"/>
      <w:szCs w:val="24"/>
      <w:u w:val="single"/>
    </w:rPr>
  </w:style>
  <w:style w:type="character" w:styleId="786" w:customStyle="1">
    <w:name w:val="标题 字符"/>
    <w:link w:val="734"/>
    <w:uiPriority w:val="0"/>
    <w:qFormat/>
    <w:rPr>
      <w:rFonts w:ascii="Arial" w:hAnsi="Arial"/>
      <w:b/>
      <w:sz w:val="32"/>
    </w:rPr>
  </w:style>
  <w:style w:type="character" w:styleId="787" w:customStyle="1">
    <w:name w:val="标题5 Char Char"/>
    <w:link w:val="788"/>
    <w:uiPriority w:val="0"/>
    <w:qFormat/>
    <w:rPr>
      <w:rFonts w:ascii="Arial" w:hAnsi="Arial"/>
      <w:b/>
      <w:bCs/>
      <w:sz w:val="24"/>
      <w:szCs w:val="32"/>
    </w:rPr>
  </w:style>
  <w:style w:type="paragraph" w:styleId="788" w:customStyle="1">
    <w:name w:val="标题5"/>
    <w:basedOn w:val="693"/>
    <w:link w:val="787"/>
    <w:uiPriority w:val="0"/>
    <w:qFormat/>
    <w:pPr>
      <w:numPr>
        <w:ilvl w:val="0"/>
        <w:numId w:val="0"/>
      </w:numPr>
      <w:spacing w:line="413" w:lineRule="auto"/>
    </w:pPr>
    <w:rPr>
      <w:rFonts w:ascii="Arial" w:hAnsi="Arial"/>
      <w:sz w:val="24"/>
    </w:rPr>
  </w:style>
  <w:style w:type="character" w:styleId="789" w:customStyle="1">
    <w:name w:val="副标题 Char2"/>
    <w:uiPriority w:val="11"/>
    <w:qFormat/>
    <w:rPr>
      <w:rFonts w:ascii="Cambria" w:hAnsi="Cambria" w:cs="Times New Roman"/>
      <w:b/>
      <w:bCs/>
      <w:sz w:val="32"/>
      <w:szCs w:val="32"/>
    </w:rPr>
  </w:style>
  <w:style w:type="character" w:styleId="790" w:customStyle="1">
    <w:name w:val="文档结构图 字符"/>
    <w:link w:val="707"/>
    <w:uiPriority w:val="0"/>
    <w:qFormat/>
    <w:rPr>
      <w:rFonts w:ascii="宋体"/>
      <w:sz w:val="18"/>
      <w:szCs w:val="18"/>
    </w:rPr>
  </w:style>
  <w:style w:type="character" w:styleId="791" w:customStyle="1">
    <w:name w:val="日期 字符"/>
    <w:link w:val="718"/>
    <w:uiPriority w:val="0"/>
    <w:qFormat/>
    <w:rPr>
      <w:sz w:val="21"/>
      <w:szCs w:val="24"/>
    </w:rPr>
  </w:style>
  <w:style w:type="character" w:styleId="792" w:customStyle="1">
    <w:name w:val="批注主题 Char1"/>
    <w:uiPriority w:val="0"/>
    <w:qFormat/>
    <w:rPr>
      <w:b/>
      <w:bCs/>
      <w:sz w:val="21"/>
      <w:szCs w:val="22"/>
    </w:rPr>
  </w:style>
  <w:style w:type="character" w:styleId="793" w:customStyle="1">
    <w:name w:val="font31"/>
    <w:uiPriority w:val="0"/>
    <w:qFormat/>
    <w:rPr>
      <w:rFonts w:hint="eastAsia" w:ascii="宋体" w:hAnsi="宋体" w:eastAsia="宋体" w:cs="宋体"/>
      <w:color w:val="000000"/>
      <w:sz w:val="20"/>
      <w:szCs w:val="20"/>
      <w:u w:val="none"/>
    </w:rPr>
  </w:style>
  <w:style w:type="character" w:styleId="794" w:customStyle="1">
    <w:name w:val="明显引用 Char"/>
    <w:link w:val="795"/>
    <w:uiPriority w:val="0"/>
    <w:qFormat/>
    <w:rPr>
      <w:b/>
      <w:bCs/>
      <w:i/>
      <w:iCs/>
      <w:color w:val="4f81bd"/>
    </w:rPr>
  </w:style>
  <w:style w:type="paragraph" w:styleId="795" w:customStyle="1">
    <w:name w:val="明显引用1"/>
    <w:basedOn w:val="690"/>
    <w:next w:val="690"/>
    <w:link w:val="794"/>
    <w:uiPriority w:val="0"/>
    <w:qFormat/>
    <w:pPr>
      <w:ind w:left="936" w:right="936"/>
      <w:spacing w:before="200" w:after="280"/>
      <w:pBdr>
        <w:bottom w:val="single" w:color="4F81BD" w:sz="4" w:space="4"/>
      </w:pBdr>
    </w:pPr>
    <w:rPr>
      <w:b/>
      <w:bCs/>
      <w:i/>
      <w:iCs/>
      <w:color w:val="4f81bd"/>
      <w:sz w:val="20"/>
      <w:szCs w:val="20"/>
    </w:rPr>
  </w:style>
  <w:style w:type="character" w:styleId="796" w:customStyle="1">
    <w:name w:val="标题 5 字符"/>
    <w:link w:val="695"/>
    <w:uiPriority w:val="0"/>
    <w:qFormat/>
    <w:rPr>
      <w:b/>
      <w:bCs/>
      <w:sz w:val="28"/>
      <w:szCs w:val="28"/>
    </w:rPr>
  </w:style>
  <w:style w:type="character" w:styleId="797" w:customStyle="1">
    <w:name w:val="日期 Char1"/>
    <w:uiPriority w:val="0"/>
    <w:qFormat/>
    <w:rPr>
      <w:rFonts w:ascii="Calibri" w:hAnsi="Calibri" w:eastAsia="宋体" w:cs="Times New Roman"/>
    </w:rPr>
  </w:style>
  <w:style w:type="character" w:styleId="798" w:customStyle="1">
    <w:name w:val="批注框文本 Char1"/>
    <w:uiPriority w:val="0"/>
    <w:qFormat/>
    <w:rPr>
      <w:sz w:val="18"/>
      <w:szCs w:val="18"/>
    </w:rPr>
  </w:style>
  <w:style w:type="character" w:styleId="799" w:customStyle="1">
    <w:name w:val="标题 Char1"/>
    <w:uiPriority w:val="10"/>
    <w:qFormat/>
    <w:rPr>
      <w:rFonts w:ascii="Cambria" w:hAnsi="Cambria" w:eastAsia="宋体" w:cs="Times New Roman"/>
      <w:b/>
      <w:bCs/>
      <w:sz w:val="32"/>
      <w:szCs w:val="32"/>
    </w:rPr>
  </w:style>
  <w:style w:type="character" w:styleId="800" w:customStyle="1">
    <w:name w:val="标题 9 字符"/>
    <w:link w:val="699"/>
    <w:uiPriority w:val="0"/>
    <w:qFormat/>
    <w:rPr>
      <w:rFonts w:ascii="Cambria" w:hAnsi="Cambria"/>
      <w:sz w:val="21"/>
      <w:szCs w:val="21"/>
    </w:rPr>
  </w:style>
  <w:style w:type="character" w:styleId="801" w:customStyle="1">
    <w:name w:val="不明显参考1"/>
    <w:uiPriority w:val="0"/>
    <w:qFormat/>
    <w:rPr>
      <w:smallCaps/>
      <w:color w:val="c0504d"/>
      <w:u w:val="single"/>
    </w:rPr>
  </w:style>
  <w:style w:type="character" w:styleId="802" w:customStyle="1">
    <w:name w:val="批注文字 Char1"/>
    <w:uiPriority w:val="0"/>
    <w:qFormat/>
    <w:rPr>
      <w:rFonts w:ascii="Calibri" w:hAnsi="Calibri" w:eastAsia="宋体" w:cs="Times New Roman"/>
    </w:rPr>
  </w:style>
  <w:style w:type="character" w:styleId="803" w:customStyle="1">
    <w:name w:val="标题 Char2"/>
    <w:uiPriority w:val="10"/>
    <w:qFormat/>
    <w:rPr>
      <w:rFonts w:ascii="Cambria" w:hAnsi="Cambria" w:cs="Times New Roman"/>
      <w:b/>
      <w:bCs/>
      <w:sz w:val="32"/>
      <w:szCs w:val="32"/>
    </w:rPr>
  </w:style>
  <w:style w:type="character" w:styleId="804" w:customStyle="1">
    <w:name w:val="正文文本 3 Char1"/>
    <w:uiPriority w:val="99"/>
    <w:semiHidden/>
    <w:qFormat/>
    <w:rPr>
      <w:sz w:val="16"/>
      <w:szCs w:val="16"/>
    </w:rPr>
  </w:style>
  <w:style w:type="character" w:styleId="805" w:customStyle="1">
    <w:name w:val="批注主题 Char2"/>
    <w:uiPriority w:val="0"/>
    <w:qFormat/>
    <w:rPr>
      <w:b/>
      <w:bCs/>
      <w:sz w:val="21"/>
    </w:rPr>
  </w:style>
  <w:style w:type="character" w:styleId="806" w:customStyle="1">
    <w:name w:val="标题 3 字符"/>
    <w:link w:val="693"/>
    <w:uiPriority w:val="0"/>
    <w:qFormat/>
    <w:rPr>
      <w:b/>
      <w:bCs/>
      <w:sz w:val="32"/>
      <w:szCs w:val="32"/>
    </w:rPr>
  </w:style>
  <w:style w:type="character" w:styleId="807" w:customStyle="1">
    <w:name w:val="正文文本 Char_0"/>
    <w:link w:val="808"/>
    <w:uiPriority w:val="0"/>
    <w:qFormat/>
    <w:rPr>
      <w:szCs w:val="24"/>
    </w:rPr>
  </w:style>
  <w:style w:type="paragraph" w:styleId="808" w:customStyle="1">
    <w:name w:val="正文文本_0"/>
    <w:basedOn w:val="766"/>
    <w:link w:val="807"/>
    <w:uiPriority w:val="0"/>
    <w:qFormat/>
    <w:pPr>
      <w:spacing w:after="120"/>
    </w:pPr>
    <w:rPr>
      <w:sz w:val="20"/>
    </w:rPr>
  </w:style>
  <w:style w:type="character" w:styleId="809" w:customStyle="1">
    <w:name w:val="副标题 字符"/>
    <w:link w:val="726"/>
    <w:uiPriority w:val="0"/>
    <w:qFormat/>
    <w:rPr>
      <w:rFonts w:ascii="Cambria" w:hAnsi="Cambria"/>
      <w:b/>
      <w:bCs/>
      <w:sz w:val="32"/>
      <w:szCs w:val="32"/>
    </w:rPr>
  </w:style>
  <w:style w:type="character" w:styleId="810" w:customStyle="1">
    <w:name w:val="bookmark"/>
    <w:basedOn w:val="700"/>
    <w:uiPriority w:val="0"/>
    <w:qFormat/>
  </w:style>
  <w:style w:type="character" w:styleId="811" w:customStyle="1">
    <w:name w:val="标题 5 Char_0"/>
    <w:link w:val="812"/>
    <w:uiPriority w:val="0"/>
    <w:qFormat/>
    <w:rPr>
      <w:rFonts w:ascii="Calibri" w:hAnsi="Calibri"/>
      <w:b/>
      <w:bCs/>
      <w:sz w:val="28"/>
      <w:szCs w:val="28"/>
    </w:rPr>
  </w:style>
  <w:style w:type="paragraph" w:styleId="812" w:customStyle="1">
    <w:name w:val="标题 5_0"/>
    <w:basedOn w:val="766"/>
    <w:next w:val="766"/>
    <w:link w:val="811"/>
    <w:uiPriority w:val="0"/>
    <w:qFormat/>
    <w:pPr>
      <w:keepLines/>
      <w:keepNext/>
      <w:spacing w:before="280" w:after="290" w:line="372" w:lineRule="auto"/>
      <w:outlineLvl w:val="4"/>
    </w:pPr>
    <w:rPr>
      <w:rFonts w:ascii="Calibri" w:hAnsi="Calibri"/>
      <w:b/>
      <w:bCs/>
      <w:sz w:val="28"/>
      <w:szCs w:val="28"/>
    </w:rPr>
  </w:style>
  <w:style w:type="character" w:styleId="813" w:customStyle="1">
    <w:name w:val="正文文本缩进 2 字符"/>
    <w:link w:val="719"/>
    <w:uiPriority w:val="99"/>
    <w:qFormat/>
    <w:rPr>
      <w:rFonts w:ascii="宋体"/>
    </w:rPr>
  </w:style>
  <w:style w:type="character" w:styleId="814" w:customStyle="1">
    <w:name w:val="批注文字 字符"/>
    <w:link w:val="708"/>
    <w:uiPriority w:val="0"/>
    <w:qFormat/>
    <w:rPr>
      <w:sz w:val="21"/>
      <w:szCs w:val="24"/>
    </w:rPr>
  </w:style>
  <w:style w:type="character" w:styleId="815" w:customStyle="1">
    <w:name w:val="font11"/>
    <w:uiPriority w:val="0"/>
    <w:qFormat/>
    <w:rPr>
      <w:rFonts w:hint="eastAsia" w:ascii="宋体" w:hAnsi="宋体" w:eastAsia="宋体" w:cs="宋体"/>
      <w:color w:val="000000"/>
      <w:sz w:val="20"/>
      <w:szCs w:val="20"/>
      <w:u w:val="none"/>
    </w:rPr>
  </w:style>
  <w:style w:type="character" w:styleId="816" w:customStyle="1">
    <w:name w:val="明显参考1"/>
    <w:uiPriority w:val="0"/>
    <w:qFormat/>
    <w:rPr>
      <w:b/>
      <w:bCs/>
      <w:smallCaps/>
      <w:color w:val="c0504d"/>
      <w:spacing w:val="5"/>
      <w:u w:val="single"/>
    </w:rPr>
  </w:style>
  <w:style w:type="character" w:styleId="817" w:customStyle="1">
    <w:name w:val="超链接_0"/>
    <w:uiPriority w:val="99"/>
    <w:qFormat/>
    <w:rPr>
      <w:rFonts w:ascii="Calibri" w:hAnsi="Calibri"/>
      <w:color w:val="0000ff"/>
      <w:u w:val="single"/>
    </w:rPr>
  </w:style>
  <w:style w:type="character" w:styleId="818" w:customStyle="1">
    <w:name w:val="文档结构图 Char2"/>
    <w:uiPriority w:val="99"/>
    <w:semiHidden/>
    <w:qFormat/>
    <w:rPr>
      <w:rFonts w:ascii="宋体" w:hAnsi="Calibri" w:eastAsia="宋体" w:cs="Times New Roman"/>
      <w:sz w:val="18"/>
      <w:szCs w:val="18"/>
    </w:rPr>
  </w:style>
  <w:style w:type="character" w:styleId="819" w:customStyle="1">
    <w:name w:val="textcontents"/>
    <w:uiPriority w:val="0"/>
    <w:qFormat/>
    <w:rPr>
      <w:rFonts w:cs="Times New Roman"/>
    </w:rPr>
  </w:style>
  <w:style w:type="character" w:styleId="820" w:customStyle="1">
    <w:name w:val="标题 1 Char"/>
    <w:uiPriority w:val="0"/>
    <w:qFormat/>
    <w:rPr>
      <w:b/>
      <w:bCs/>
      <w:sz w:val="32"/>
      <w:szCs w:val="44"/>
    </w:rPr>
  </w:style>
  <w:style w:type="character" w:styleId="821" w:customStyle="1">
    <w:name w:val="正文文本 字符"/>
    <w:link w:val="710"/>
    <w:uiPriority w:val="0"/>
    <w:qFormat/>
    <w:rPr>
      <w:rFonts w:eastAsia="幼圆"/>
      <w:b/>
      <w:bCs/>
      <w:sz w:val="44"/>
      <w:szCs w:val="24"/>
    </w:rPr>
  </w:style>
  <w:style w:type="character" w:styleId="822" w:customStyle="1">
    <w:name w:val="标题 8 字符"/>
    <w:link w:val="698"/>
    <w:uiPriority w:val="0"/>
    <w:qFormat/>
    <w:rPr>
      <w:rFonts w:ascii="Cambria" w:hAnsi="Cambria"/>
      <w:sz w:val="24"/>
      <w:szCs w:val="24"/>
    </w:rPr>
  </w:style>
  <w:style w:type="character" w:styleId="823" w:customStyle="1">
    <w:name w:val="副标题 Char1"/>
    <w:uiPriority w:val="11"/>
    <w:qFormat/>
    <w:rPr>
      <w:rFonts w:ascii="Cambria" w:hAnsi="Cambria" w:cs="Times New Roman"/>
      <w:b/>
      <w:bCs/>
      <w:sz w:val="32"/>
      <w:szCs w:val="32"/>
    </w:rPr>
  </w:style>
  <w:style w:type="character" w:styleId="824" w:customStyle="1">
    <w:name w:val="批注主题 字符"/>
    <w:link w:val="735"/>
    <w:uiPriority w:val="0"/>
    <w:qFormat/>
    <w:rPr>
      <w:b/>
      <w:bCs/>
      <w:sz w:val="21"/>
      <w:szCs w:val="24"/>
    </w:rPr>
  </w:style>
  <w:style w:type="character" w:styleId="825" w:customStyle="1">
    <w:name w:val="书籍标题1"/>
    <w:uiPriority w:val="0"/>
    <w:qFormat/>
    <w:rPr>
      <w:b/>
      <w:bCs/>
      <w:smallCaps/>
      <w:spacing w:val="5"/>
    </w:rPr>
  </w:style>
  <w:style w:type="character" w:styleId="826" w:customStyle="1">
    <w:name w:val="页脚 字符"/>
    <w:link w:val="721"/>
    <w:uiPriority w:val="99"/>
    <w:qFormat/>
    <w:rPr>
      <w:sz w:val="18"/>
      <w:szCs w:val="18"/>
    </w:rPr>
  </w:style>
  <w:style w:type="character" w:styleId="827" w:customStyle="1">
    <w:name w:val="标题4 Char Char"/>
    <w:link w:val="828"/>
    <w:uiPriority w:val="0"/>
    <w:qFormat/>
    <w:rPr>
      <w:rFonts w:ascii="Arial" w:hAnsi="Arial"/>
      <w:b/>
      <w:bCs/>
      <w:sz w:val="24"/>
      <w:szCs w:val="32"/>
    </w:rPr>
  </w:style>
  <w:style w:type="paragraph" w:styleId="828" w:customStyle="1">
    <w:name w:val="标题4"/>
    <w:basedOn w:val="692"/>
    <w:next w:val="713"/>
    <w:link w:val="827"/>
    <w:uiPriority w:val="0"/>
    <w:qFormat/>
    <w:pPr>
      <w:numPr>
        <w:ilvl w:val="0"/>
        <w:numId w:val="0"/>
      </w:numPr>
      <w:spacing w:line="413" w:lineRule="auto"/>
    </w:pPr>
    <w:rPr>
      <w:rFonts w:ascii="Arial" w:hAnsi="Arial"/>
      <w:sz w:val="24"/>
    </w:rPr>
  </w:style>
  <w:style w:type="character" w:styleId="829" w:customStyle="1">
    <w:name w:val="正文文本 Char1"/>
    <w:uiPriority w:val="0"/>
    <w:qFormat/>
    <w:rPr>
      <w:rFonts w:ascii="Calibri" w:hAnsi="Calibri" w:eastAsia="宋体" w:cs="Times New Roman"/>
    </w:rPr>
  </w:style>
  <w:style w:type="character" w:styleId="830" w:customStyle="1">
    <w:name w:val="明显引用 Char1"/>
    <w:uiPriority w:val="30"/>
    <w:qFormat/>
    <w:rPr>
      <w:b/>
      <w:bCs/>
      <w:i/>
      <w:iCs/>
      <w:color w:val="4f81bd"/>
      <w:sz w:val="21"/>
    </w:rPr>
  </w:style>
  <w:style w:type="character" w:styleId="831" w:customStyle="1">
    <w:name w:val="页眉 Char1"/>
    <w:uiPriority w:val="99"/>
    <w:semiHidden/>
    <w:qFormat/>
    <w:rPr>
      <w:rFonts w:ascii="Calibri" w:hAnsi="Calibri" w:eastAsia="宋体" w:cs="Times New Roman"/>
      <w:sz w:val="18"/>
      <w:szCs w:val="18"/>
    </w:rPr>
  </w:style>
  <w:style w:type="character" w:styleId="832" w:customStyle="1">
    <w:name w:val="不明显强调1"/>
    <w:uiPriority w:val="0"/>
    <w:qFormat/>
    <w:rPr>
      <w:i/>
      <w:iCs/>
      <w:color w:val="808080"/>
    </w:rPr>
  </w:style>
  <w:style w:type="character" w:styleId="833" w:customStyle="1">
    <w:name w:val="正文文本 3 字符"/>
    <w:link w:val="709"/>
    <w:uiPriority w:val="0"/>
    <w:qFormat/>
    <w:rPr>
      <w:rFonts w:ascii="宋体"/>
      <w:sz w:val="24"/>
    </w:rPr>
  </w:style>
  <w:style w:type="character" w:styleId="834" w:customStyle="1">
    <w:name w:val="正文文本缩进 3 字符"/>
    <w:link w:val="728"/>
    <w:uiPriority w:val="0"/>
    <w:qFormat/>
    <w:rPr>
      <w:sz w:val="16"/>
    </w:rPr>
  </w:style>
  <w:style w:type="character" w:styleId="835" w:customStyle="1">
    <w:name w:val="font21"/>
    <w:uiPriority w:val="0"/>
    <w:qFormat/>
    <w:rPr>
      <w:rFonts w:hint="eastAsia" w:ascii="宋体" w:hAnsi="宋体" w:eastAsia="宋体" w:cs="宋体"/>
      <w:color w:val="000000"/>
      <w:sz w:val="20"/>
      <w:szCs w:val="20"/>
      <w:u w:val="none"/>
    </w:rPr>
  </w:style>
  <w:style w:type="character" w:styleId="836" w:customStyle="1">
    <w:name w:val="批注框文本 字符"/>
    <w:link w:val="720"/>
    <w:uiPriority w:val="0"/>
    <w:qFormat/>
    <w:rPr>
      <w:sz w:val="18"/>
      <w:szCs w:val="18"/>
    </w:rPr>
  </w:style>
  <w:style w:type="character" w:styleId="837" w:customStyle="1">
    <w:name w:val="标题 7 字符"/>
    <w:link w:val="697"/>
    <w:uiPriority w:val="0"/>
    <w:qFormat/>
    <w:rPr>
      <w:b/>
      <w:bCs/>
      <w:sz w:val="24"/>
      <w:szCs w:val="24"/>
    </w:rPr>
  </w:style>
  <w:style w:type="character" w:styleId="838" w:customStyle="1">
    <w:name w:val="标题 1 字符"/>
    <w:link w:val="691"/>
    <w:uiPriority w:val="0"/>
    <w:qFormat/>
    <w:rPr>
      <w:b/>
      <w:bCs/>
      <w:sz w:val="32"/>
      <w:szCs w:val="44"/>
    </w:rPr>
  </w:style>
  <w:style w:type="character" w:styleId="839" w:customStyle="1">
    <w:name w:val="文档结构图 Char1"/>
    <w:uiPriority w:val="0"/>
    <w:qFormat/>
    <w:rPr>
      <w:rFonts w:ascii="宋体" w:hAnsi="Calibri" w:eastAsia="宋体" w:cs="Times New Roman"/>
      <w:sz w:val="18"/>
      <w:szCs w:val="18"/>
    </w:rPr>
  </w:style>
  <w:style w:type="character" w:styleId="840" w:customStyle="1">
    <w:name w:val="标题 2 Char_0"/>
    <w:link w:val="841"/>
    <w:uiPriority w:val="0"/>
    <w:qFormat/>
    <w:rPr>
      <w:rFonts w:ascii="Cambria" w:hAnsi="Cambria"/>
      <w:b/>
      <w:bCs/>
      <w:sz w:val="32"/>
      <w:szCs w:val="32"/>
    </w:rPr>
  </w:style>
  <w:style w:type="paragraph" w:styleId="841" w:customStyle="1">
    <w:name w:val="标题 2_0"/>
    <w:basedOn w:val="766"/>
    <w:next w:val="766"/>
    <w:link w:val="840"/>
    <w:uiPriority w:val="0"/>
    <w:unhideWhenUsed/>
    <w:qFormat/>
    <w:pPr>
      <w:keepLines/>
      <w:keepNext/>
      <w:spacing w:before="260" w:after="260" w:line="416" w:lineRule="auto"/>
      <w:outlineLvl w:val="1"/>
    </w:pPr>
    <w:rPr>
      <w:rFonts w:ascii="Cambria" w:hAnsi="Cambria"/>
      <w:b/>
      <w:bCs/>
      <w:sz w:val="32"/>
      <w:szCs w:val="32"/>
    </w:rPr>
  </w:style>
  <w:style w:type="character" w:styleId="842" w:customStyle="1">
    <w:name w:val="日期 Char2"/>
    <w:uiPriority w:val="99"/>
    <w:semiHidden/>
    <w:qFormat/>
    <w:rPr>
      <w:rFonts w:ascii="Calibri" w:hAnsi="Calibri" w:eastAsia="宋体" w:cs="Times New Roman"/>
    </w:rPr>
  </w:style>
  <w:style w:type="character" w:styleId="843" w:customStyle="1">
    <w:name w:val="批注框文本 Char2"/>
    <w:uiPriority w:val="99"/>
    <w:semiHidden/>
    <w:qFormat/>
    <w:rPr>
      <w:rFonts w:ascii="Calibri" w:hAnsi="Calibri" w:eastAsia="宋体" w:cs="Times New Roman"/>
      <w:sz w:val="18"/>
      <w:szCs w:val="18"/>
    </w:rPr>
  </w:style>
  <w:style w:type="character" w:styleId="844" w:customStyle="1">
    <w:name w:val="标题 4 字符"/>
    <w:link w:val="694"/>
    <w:uiPriority w:val="0"/>
    <w:qFormat/>
    <w:rPr>
      <w:rFonts w:ascii="Cambria" w:hAnsi="Cambria"/>
      <w:b/>
      <w:bCs/>
      <w:sz w:val="28"/>
      <w:szCs w:val="28"/>
    </w:rPr>
  </w:style>
  <w:style w:type="character" w:styleId="845" w:customStyle="1">
    <w:name w:val="列出段落 Char"/>
    <w:link w:val="846"/>
    <w:uiPriority w:val="34"/>
    <w:qFormat/>
    <w:rPr>
      <w:sz w:val="21"/>
      <w:szCs w:val="24"/>
    </w:rPr>
  </w:style>
  <w:style w:type="paragraph" w:styleId="846" w:customStyle="1">
    <w:name w:val="List Paragraph1"/>
    <w:basedOn w:val="690"/>
    <w:link w:val="845"/>
    <w:uiPriority w:val="34"/>
    <w:qFormat/>
    <w:pPr>
      <w:ind w:firstLine="420"/>
    </w:pPr>
  </w:style>
  <w:style w:type="paragraph" w:styleId="847" w:customStyle="1">
    <w:name w:val="样式 标题 3 + (中文) 黑体 小四 非加粗 段前: 7.8 磅 段后: 0 磅 行距: 固定值 20 磅"/>
    <w:basedOn w:val="693"/>
    <w:next w:val="690"/>
    <w:uiPriority w:val="0"/>
    <w:qFormat/>
    <w:pPr>
      <w:spacing w:before="0" w:after="0" w:line="400" w:lineRule="exact"/>
    </w:pPr>
    <w:rPr>
      <w:rFonts w:eastAsia="黑体" w:cs="宋体"/>
      <w:b w:val="0"/>
      <w:bCs w:val="0"/>
      <w:sz w:val="24"/>
      <w:szCs w:val="20"/>
    </w:rPr>
  </w:style>
  <w:style w:type="paragraph" w:styleId="848" w:customStyle="1">
    <w:name w:val="_Style 34"/>
    <w:next w:val="690"/>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50" w:customStyle="1">
    <w:name w:val="_Style 36"/>
    <w:next w:val="690"/>
    <w:uiPriority w:val="0"/>
    <w:qFormat/>
    <w:pPr>
      <w:jc w:val="both"/>
      <w:widowControl w:val="off"/>
    </w:pPr>
    <w:rPr>
      <w:rFonts w:ascii="Times New Roman" w:hAnsi="Times New Roman" w:eastAsia="宋体" w:cs="Times New Roman"/>
      <w:sz w:val="21"/>
      <w:lang w:val="en-US" w:eastAsia="zh-CN" w:bidi="ar-SA"/>
    </w:rPr>
  </w:style>
  <w:style w:type="paragraph" w:styleId="851" w:customStyle="1">
    <w:name w:val="空半行"/>
    <w:basedOn w:val="690"/>
    <w:uiPriority w:val="0"/>
    <w:qFormat/>
    <w:pPr>
      <w:spacing w:line="120" w:lineRule="exact"/>
    </w:pPr>
    <w:rPr>
      <w:rFonts w:ascii="Calibri" w:hAnsi="Calibri" w:eastAsia="仿宋_GB2312"/>
      <w:color w:val="ffffff"/>
      <w:sz w:val="30"/>
      <w:szCs w:val="22"/>
    </w:rPr>
  </w:style>
  <w:style w:type="paragraph" w:styleId="852" w:customStyle="1">
    <w:name w:val="1方案格式1"/>
    <w:basedOn w:val="691"/>
    <w:uiPriority w:val="0"/>
    <w:qFormat/>
    <w:pPr>
      <w:numPr>
        <w:numId w:val="3"/>
      </w:numPr>
      <w:ind w:left="0" w:firstLine="0"/>
      <w:spacing w:line="360" w:lineRule="auto"/>
      <w:tabs>
        <w:tab w:val="left" w:pos="360" w:leader="none"/>
      </w:tabs>
    </w:pPr>
    <w:rPr>
      <w:rFonts w:eastAsia="微软雅黑"/>
      <w:bCs w:val="0"/>
      <w:sz w:val="48"/>
    </w:rPr>
  </w:style>
  <w:style w:type="paragraph" w:styleId="853" w:customStyle="1">
    <w:name w:val="格式３"/>
    <w:basedOn w:val="690"/>
    <w:uiPriority w:val="0"/>
    <w:qFormat/>
    <w:pPr>
      <w:ind w:left="600" w:hanging="600"/>
      <w:spacing w:line="420" w:lineRule="exact"/>
    </w:pPr>
    <w:rPr>
      <w:rFonts w:ascii="宋体" w:hAnsi="宋体"/>
      <w:color w:val="000000"/>
      <w:sz w:val="24"/>
      <w:szCs w:val="20"/>
    </w:rPr>
  </w:style>
  <w:style w:type="paragraph" w:styleId="854" w:customStyle="1">
    <w:name w:val="列出段落1"/>
    <w:basedOn w:val="690"/>
    <w:uiPriority w:val="99"/>
    <w:qFormat/>
    <w:pPr>
      <w:contextualSpacing/>
      <w:ind w:left="720"/>
      <w:jc w:val="left"/>
      <w:widowControl/>
    </w:pPr>
    <w:rPr>
      <w:rFonts w:ascii="Arial" w:hAnsi="Arial" w:eastAsia="黑体"/>
      <w:sz w:val="24"/>
      <w:lang w:eastAsia="en-US"/>
    </w:rPr>
  </w:style>
  <w:style w:type="paragraph" w:styleId="855" w:customStyle="1">
    <w:name w:val="正文空2字"/>
    <w:basedOn w:val="690"/>
    <w:uiPriority w:val="0"/>
    <w:qFormat/>
    <w:pPr>
      <w:ind w:firstLine="200"/>
      <w:spacing w:line="360" w:lineRule="auto"/>
    </w:pPr>
    <w:rPr>
      <w:sz w:val="24"/>
      <w:lang w:bidi="en-US"/>
    </w:rPr>
  </w:style>
  <w:style w:type="paragraph" w:styleId="85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7" w:customStyle="1">
    <w:name w:val="目录 5_0"/>
    <w:basedOn w:val="766"/>
    <w:next w:val="766"/>
    <w:uiPriority w:val="39"/>
    <w:qFormat/>
    <w:pPr>
      <w:ind w:left="1680"/>
    </w:pPr>
    <w:rPr>
      <w:rFonts w:ascii="Calibri" w:hAnsi="Calibri"/>
    </w:rPr>
  </w:style>
  <w:style w:type="paragraph" w:styleId="858" w:customStyle="1">
    <w:name w:val="修订1"/>
    <w:uiPriority w:val="0"/>
    <w:qFormat/>
    <w:rPr>
      <w:rFonts w:ascii="Times New Roman" w:hAnsi="Times New Roman" w:eastAsia="宋体" w:cs="Times New Roman"/>
      <w:sz w:val="21"/>
      <w:szCs w:val="24"/>
      <w:lang w:val="en-US" w:eastAsia="zh-CN" w:bidi="ar-SA"/>
    </w:rPr>
  </w:style>
  <w:style w:type="paragraph" w:styleId="859" w:customStyle="1">
    <w:name w:val="标题 11"/>
    <w:basedOn w:val="749"/>
    <w:next w:val="74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60" w:customStyle="1">
    <w:name w:val="正文 + 行距: 固定值 20 磅"/>
    <w:basedOn w:val="690"/>
    <w:uiPriority w:val="0"/>
    <w:qFormat/>
    <w:pPr>
      <w:ind w:firstLine="716"/>
      <w:spacing w:line="400" w:lineRule="exact"/>
    </w:pPr>
    <w:rPr>
      <w:rFonts w:ascii="Calibri" w:hAnsi="Calibri"/>
      <w:szCs w:val="22"/>
    </w:rPr>
  </w:style>
  <w:style w:type="paragraph" w:styleId="861" w:customStyle="1">
    <w:name w:val="TOC 标题1"/>
    <w:basedOn w:val="691"/>
    <w:next w:val="69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2" w:customStyle="1">
    <w:name w:val="表格文字"/>
    <w:basedOn w:val="690"/>
    <w:link w:val="890"/>
    <w:uiPriority w:val="0"/>
    <w:qFormat/>
    <w:pPr>
      <w:jc w:val="left"/>
      <w:spacing w:line="420" w:lineRule="atLeast"/>
    </w:pPr>
    <w:rPr>
      <w:rFonts w:ascii="Calibri" w:hAnsi="Calibri"/>
      <w:szCs w:val="22"/>
    </w:rPr>
  </w:style>
  <w:style w:type="paragraph" w:styleId="863" w:customStyle="1">
    <w:name w:val="flNote"/>
    <w:basedOn w:val="690"/>
    <w:uiPriority w:val="0"/>
    <w:qFormat/>
    <w:pPr>
      <w:jc w:val="center"/>
      <w:spacing w:before="320" w:after="160" w:line="360" w:lineRule="atLeast"/>
    </w:pPr>
    <w:rPr>
      <w:rFonts w:ascii="Arial" w:hAnsi="Calibri" w:eastAsia="黑体"/>
      <w:sz w:val="30"/>
      <w:szCs w:val="22"/>
    </w:rPr>
  </w:style>
  <w:style w:type="paragraph" w:styleId="864" w:customStyle="1">
    <w:name w:val="文章正文"/>
    <w:basedOn w:val="690"/>
    <w:uiPriority w:val="99"/>
    <w:qFormat/>
    <w:pPr>
      <w:ind w:firstLine="480"/>
      <w:spacing w:line="360" w:lineRule="auto"/>
    </w:pPr>
    <w:rPr>
      <w:rFonts w:ascii="仿宋_GB2312" w:hAnsi="宋体" w:eastAsia="仿宋_GB2312"/>
      <w:color w:val="ff0000"/>
      <w:sz w:val="24"/>
    </w:rPr>
  </w:style>
  <w:style w:type="paragraph" w:styleId="865" w:customStyle="1">
    <w:name w:val="表格"/>
    <w:basedOn w:val="690"/>
    <w:uiPriority w:val="0"/>
    <w:qFormat/>
    <w:pPr>
      <w:jc w:val="center"/>
    </w:pPr>
    <w:rPr>
      <w:rFonts w:ascii="华文细黑" w:hAnsi="华文细黑"/>
      <w:szCs w:val="22"/>
    </w:rPr>
  </w:style>
  <w:style w:type="paragraph" w:styleId="866" w:customStyle="1">
    <w:name w:val="Char"/>
    <w:basedOn w:val="690"/>
    <w:uiPriority w:val="0"/>
    <w:qFormat/>
    <w:pPr>
      <w:jc w:val="left"/>
      <w:spacing w:after="160" w:line="240" w:lineRule="exact"/>
      <w:widowControl/>
    </w:pPr>
    <w:rPr>
      <w:rFonts w:ascii="Verdana" w:hAnsi="Verdana"/>
      <w:sz w:val="20"/>
      <w:szCs w:val="20"/>
      <w:lang w:eastAsia="en-US"/>
    </w:rPr>
  </w:style>
  <w:style w:type="paragraph" w:styleId="867" w:customStyle="1">
    <w:name w:val="列出段落2"/>
    <w:basedOn w:val="690"/>
    <w:uiPriority w:val="34"/>
    <w:qFormat/>
    <w:pPr>
      <w:ind w:firstLine="420"/>
    </w:pPr>
  </w:style>
  <w:style w:type="paragraph" w:styleId="868" w:customStyle="1">
    <w:name w:val="6'"/>
    <w:basedOn w:val="690"/>
    <w:uiPriority w:val="0"/>
    <w:qFormat/>
    <w:pPr>
      <w:jc w:val="center"/>
      <w:spacing w:line="320" w:lineRule="exact"/>
    </w:pPr>
    <w:rPr>
      <w:rFonts w:ascii="Calibri" w:hAnsi="Calibri"/>
      <w:spacing w:val="20"/>
      <w:szCs w:val="22"/>
    </w:rPr>
  </w:style>
  <w:style w:type="paragraph" w:styleId="869" w:customStyle="1">
    <w:name w:val="Char Char Char Char Char Char Char"/>
    <w:basedOn w:val="690"/>
    <w:uiPriority w:val="0"/>
    <w:qFormat/>
    <w:pPr>
      <w:spacing w:line="360" w:lineRule="auto"/>
    </w:pPr>
    <w:rPr>
      <w:sz w:val="24"/>
      <w:szCs w:val="20"/>
    </w:rPr>
  </w:style>
  <w:style w:type="paragraph" w:styleId="870" w:customStyle="1">
    <w:name w:val="2方案格式2"/>
    <w:basedOn w:val="852"/>
    <w:uiPriority w:val="0"/>
    <w:qFormat/>
    <w:pPr>
      <w:numPr>
        <w:ilvl w:val="1"/>
      </w:numPr>
      <w:spacing w:before="50" w:after="50" w:line="240" w:lineRule="auto"/>
      <w:outlineLvl w:val="1"/>
    </w:pPr>
    <w:rPr>
      <w:sz w:val="44"/>
    </w:rPr>
  </w:style>
  <w:style w:type="paragraph" w:styleId="871" w:customStyle="1">
    <w:name w:val="文档正文"/>
    <w:basedOn w:val="690"/>
    <w:uiPriority w:val="0"/>
    <w:qFormat/>
    <w:pPr>
      <w:ind w:firstLine="567"/>
      <w:spacing w:line="480" w:lineRule="atLeast"/>
    </w:pPr>
    <w:rPr>
      <w:rFonts w:ascii="Ari" w:eastAsia="Ari"/>
      <w:sz w:val="28"/>
      <w:szCs w:val="20"/>
    </w:rPr>
  </w:style>
  <w:style w:type="paragraph" w:styleId="872" w:customStyle="1">
    <w:name w:val="txt"/>
    <w:basedOn w:val="690"/>
    <w:uiPriority w:val="0"/>
    <w:qFormat/>
    <w:pPr>
      <w:jc w:val="left"/>
      <w:spacing w:before="100" w:beforeAutospacing="1" w:after="100" w:afterAutospacing="1"/>
      <w:widowControl/>
    </w:pPr>
    <w:rPr>
      <w:rFonts w:ascii="宋体" w:hAnsi="宋体" w:cs="宋体"/>
      <w:sz w:val="24"/>
    </w:rPr>
  </w:style>
  <w:style w:type="paragraph" w:styleId="873" w:customStyle="1">
    <w:name w:val="目录 4_0"/>
    <w:basedOn w:val="766"/>
    <w:next w:val="766"/>
    <w:uiPriority w:val="39"/>
    <w:qFormat/>
    <w:pPr>
      <w:ind w:left="1260"/>
    </w:pPr>
    <w:rPr>
      <w:rFonts w:ascii="Calibri" w:hAnsi="Calibri"/>
    </w:rPr>
  </w:style>
  <w:style w:type="paragraph" w:styleId="874" w:customStyle="1">
    <w:name w:val="目录 3_0"/>
    <w:basedOn w:val="766"/>
    <w:next w:val="766"/>
    <w:uiPriority w:val="39"/>
    <w:qFormat/>
    <w:pPr>
      <w:ind w:left="840"/>
    </w:pPr>
    <w:rPr>
      <w:rFonts w:ascii="Calibri" w:hAnsi="Calibri"/>
    </w:rPr>
  </w:style>
  <w:style w:type="paragraph" w:styleId="875" w:customStyle="1">
    <w:name w:val="样式 标题 1 + 黑体 三号 非加粗 居中 段前: 6 磅 段后: 6 磅 行距: 固定值 20 磅"/>
    <w:basedOn w:val="691"/>
    <w:uiPriority w:val="0"/>
    <w:qFormat/>
    <w:pPr>
      <w:numPr>
        <w:numId w:val="0"/>
      </w:numPr>
      <w:spacing w:before="120" w:after="120" w:line="400" w:lineRule="exact"/>
    </w:pPr>
    <w:rPr>
      <w:rFonts w:ascii="黑体" w:hAnsi="黑体" w:eastAsia="黑体"/>
      <w:b w:val="0"/>
      <w:bCs w:val="0"/>
      <w:szCs w:val="20"/>
    </w:rPr>
  </w:style>
  <w:style w:type="paragraph" w:styleId="876" w:customStyle="1">
    <w:name w:val="1"/>
    <w:basedOn w:val="690"/>
    <w:next w:val="690"/>
    <w:uiPriority w:val="0"/>
    <w:qFormat/>
    <w:rPr>
      <w:rFonts w:ascii="Calibri" w:hAnsi="Calibri"/>
      <w:szCs w:val="22"/>
    </w:rPr>
  </w:style>
  <w:style w:type="paragraph" w:styleId="877" w:customStyle="1">
    <w:name w:val="Blockquote_0"/>
    <w:basedOn w:val="766"/>
    <w:uiPriority w:val="0"/>
    <w:qFormat/>
    <w:pPr>
      <w:ind w:left="360" w:right="360"/>
      <w:jc w:val="left"/>
      <w:spacing w:before="100" w:after="100"/>
    </w:pPr>
    <w:rPr>
      <w:rFonts w:ascii="Calibri" w:hAnsi="Calibri" w:eastAsia="Times New Roman"/>
      <w:sz w:val="24"/>
      <w:szCs w:val="20"/>
    </w:rPr>
  </w:style>
  <w:style w:type="paragraph" w:styleId="878" w:customStyle="1">
    <w:name w:val="列出段落11"/>
    <w:basedOn w:val="690"/>
    <w:uiPriority w:val="0"/>
    <w:qFormat/>
    <w:pPr>
      <w:contextualSpacing/>
      <w:ind w:left="720"/>
      <w:jc w:val="left"/>
      <w:widowControl/>
    </w:pPr>
    <w:rPr>
      <w:rFonts w:ascii="Arial" w:hAnsi="Arial" w:eastAsia="黑体"/>
      <w:sz w:val="24"/>
      <w:lang w:eastAsia="en-US"/>
    </w:rPr>
  </w:style>
  <w:style w:type="paragraph" w:styleId="879" w:customStyle="1">
    <w:name w:val="样式 标题 2 + Times New Roman 四号 非加粗 段前: 5 磅 段后: 0 磅 行距: 固定值 20..._0"/>
    <w:basedOn w:val="690"/>
    <w:uiPriority w:val="0"/>
    <w:qFormat/>
    <w:pPr>
      <w:keepLines/>
      <w:keepNext/>
      <w:spacing w:before="100" w:line="360" w:lineRule="auto"/>
      <w:outlineLvl w:val="1"/>
    </w:pPr>
    <w:rPr>
      <w:rFonts w:eastAsia="Times New Roman" w:cs="宋体"/>
      <w:sz w:val="28"/>
      <w:szCs w:val="20"/>
    </w:rPr>
  </w:style>
  <w:style w:type="paragraph" w:styleId="880" w:customStyle="1">
    <w:name w:val="op_mapdots_left"/>
    <w:basedOn w:val="690"/>
    <w:uiPriority w:val="0"/>
    <w:qFormat/>
    <w:pPr>
      <w:jc w:val="left"/>
      <w:spacing w:before="100" w:beforeAutospacing="1" w:after="100" w:afterAutospacing="1"/>
      <w:widowControl/>
    </w:pPr>
    <w:rPr>
      <w:rFonts w:ascii="宋体" w:hAnsi="宋体" w:cs="宋体"/>
      <w:sz w:val="24"/>
    </w:rPr>
  </w:style>
  <w:style w:type="paragraph" w:styleId="881" w:customStyle="1">
    <w:name w:val="p0"/>
    <w:basedOn w:val="690"/>
    <w:uiPriority w:val="0"/>
    <w:qFormat/>
    <w:pPr>
      <w:widowControl/>
    </w:pPr>
    <w:rPr>
      <w:b/>
      <w:bCs/>
      <w:sz w:val="24"/>
    </w:rPr>
  </w:style>
  <w:style w:type="paragraph" w:styleId="882" w:customStyle="1">
    <w:name w:val="Blockquote"/>
    <w:basedOn w:val="690"/>
    <w:uiPriority w:val="0"/>
    <w:qFormat/>
    <w:pPr>
      <w:ind w:left="360" w:right="360"/>
      <w:jc w:val="left"/>
      <w:spacing w:before="100" w:after="100"/>
    </w:pPr>
    <w:rPr>
      <w:rFonts w:ascii="Calibri" w:hAnsi="Calibri"/>
      <w:sz w:val="24"/>
      <w:szCs w:val="22"/>
    </w:rPr>
  </w:style>
  <w:style w:type="paragraph" w:styleId="883" w:customStyle="1">
    <w:name w:val="3方案格式3"/>
    <w:basedOn w:val="870"/>
    <w:uiPriority w:val="0"/>
    <w:qFormat/>
    <w:pPr>
      <w:numPr>
        <w:ilvl w:val="2"/>
      </w:numPr>
      <w:outlineLvl w:val="2"/>
    </w:pPr>
    <w:rPr>
      <w:sz w:val="32"/>
    </w:rPr>
  </w:style>
  <w:style w:type="paragraph" w:styleId="884" w:customStyle="1">
    <w:name w:val="样式 标题 2 + Times New Roman 四号 非加粗 段前: 5 磅 段后: 0 磅 行距: 固定值 20..."/>
    <w:basedOn w:val="69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5" w:customStyle="1">
    <w:name w:val="标题2"/>
    <w:basedOn w:val="692"/>
    <w:next w:val="710"/>
    <w:uiPriority w:val="0"/>
    <w:qFormat/>
    <w:pPr>
      <w:spacing w:before="156" w:after="156" w:line="360" w:lineRule="auto"/>
    </w:pPr>
    <w:rPr>
      <w:bCs w:val="0"/>
      <w:sz w:val="24"/>
    </w:rPr>
  </w:style>
  <w:style w:type="paragraph" w:styleId="886" w:customStyle="1">
    <w:name w:val="普通正文"/>
    <w:basedOn w:val="690"/>
    <w:uiPriority w:val="0"/>
    <w:qFormat/>
    <w:pPr>
      <w:ind w:firstLine="480"/>
      <w:jc w:val="left"/>
      <w:spacing w:before="120" w:after="120" w:line="360" w:lineRule="auto"/>
    </w:pPr>
    <w:rPr>
      <w:rFonts w:ascii="Arial" w:hAnsi="Arial"/>
      <w:sz w:val="24"/>
    </w:rPr>
  </w:style>
  <w:style w:type="paragraph" w:styleId="887" w:customStyle="1">
    <w:name w:val="正文2"/>
    <w:uiPriority w:val="0"/>
    <w:qFormat/>
    <w:rPr>
      <w:rFonts w:ascii="Times New Roman" w:hAnsi="Times New Roman" w:eastAsia="微软雅黑" w:cs="Times New Roman"/>
      <w:sz w:val="24"/>
      <w:szCs w:val="24"/>
      <w:lang w:val="en-US" w:eastAsia="zh-CN" w:bidi="ar-SA"/>
    </w:rPr>
  </w:style>
  <w:style w:type="paragraph" w:styleId="888" w:customStyle="1">
    <w:name w:val="列出段落3"/>
    <w:basedOn w:val="690"/>
    <w:uiPriority w:val="0"/>
    <w:qFormat/>
    <w:pPr>
      <w:ind w:firstLine="420"/>
      <w:jc w:val="left"/>
      <w:spacing w:after="200"/>
      <w:widowControl/>
    </w:pPr>
    <w:rPr>
      <w:rFonts w:ascii="Tahoma" w:hAnsi="Tahoma" w:eastAsia="微软雅黑"/>
      <w:sz w:val="22"/>
      <w:szCs w:val="22"/>
    </w:rPr>
  </w:style>
  <w:style w:type="paragraph" w:styleId="889" w:customStyle="1">
    <w:name w:val="纯文本2"/>
    <w:basedOn w:val="690"/>
    <w:uiPriority w:val="0"/>
    <w:qFormat/>
    <w:pPr>
      <w:jc w:val="left"/>
    </w:pPr>
    <w:rPr>
      <w:rFonts w:hint="eastAsia" w:ascii="宋体" w:hAnsi="宋体" w:cs="Courier New"/>
      <w:sz w:val="24"/>
      <w:szCs w:val="20"/>
      <w:lang w:bidi="hi-IN"/>
    </w:rPr>
  </w:style>
  <w:style w:type="character" w:styleId="890" w:customStyle="1">
    <w:name w:val="表格文字 字符"/>
    <w:link w:val="862"/>
    <w:uiPriority w:val="0"/>
    <w:qFormat/>
    <w:rPr>
      <w:rFonts w:ascii="Calibri" w:hAnsi="Calibri" w:eastAsia="宋体" w:cs="Times New Roman"/>
      <w:sz w:val="21"/>
      <w:szCs w:val="22"/>
    </w:rPr>
  </w:style>
  <w:style w:type="paragraph" w:styleId="891" w:customStyle="1">
    <w:name w:val="trs_editor"/>
    <w:basedOn w:val="690"/>
    <w:uiPriority w:val="0"/>
    <w:qFormat/>
    <w:pPr>
      <w:jc w:val="left"/>
      <w:spacing w:before="100" w:beforeAutospacing="1" w:after="100" w:afterAutospacing="1"/>
      <w:widowControl/>
    </w:pPr>
    <w:rPr>
      <w:rFonts w:ascii="宋体" w:hAnsi="宋体" w:cs="宋体"/>
      <w:sz w:val="24"/>
    </w:rPr>
  </w:style>
  <w:style w:type="character" w:styleId="892" w:customStyle="1">
    <w:name w:val="未处理的提及1"/>
    <w:basedOn w:val="700"/>
    <w:uiPriority w:val="99"/>
    <w:semiHidden/>
    <w:unhideWhenUsed/>
    <w:qFormat/>
    <w:rPr>
      <w:color w:val="605e5c"/>
      <w:shd w:val="clear" w:color="auto" w:fill="e1dfdd"/>
    </w:rPr>
  </w:style>
  <w:style w:type="paragraph" w:styleId="893" w:customStyle="1">
    <w:name w:val="_Style 3"/>
    <w:basedOn w:val="690"/>
    <w:uiPriority w:val="99"/>
    <w:qFormat/>
    <w:pPr>
      <w:ind w:firstLine="420"/>
    </w:pPr>
    <w:rPr>
      <w:szCs w:val="22"/>
    </w:rPr>
  </w:style>
  <w:style w:type="table" w:styleId="894" w:customStyle="1">
    <w:name w:val="网格型1"/>
    <w:basedOn w:val="70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customStyle="1">
    <w:name w:val="批注文字 字符1"/>
    <w:uiPriority w:val="99"/>
    <w:qFormat/>
    <w:rPr>
      <w:sz w:val="24"/>
      <w:szCs w:val="22"/>
    </w:rPr>
  </w:style>
  <w:style w:type="character" w:styleId="896" w:customStyle="1">
    <w:name w:val="f141"/>
    <w:uiPriority w:val="0"/>
    <w:qFormat/>
    <w:rPr>
      <w:sz w:val="21"/>
      <w:szCs w:val="21"/>
    </w:rPr>
  </w:style>
  <w:style w:type="character" w:styleId="897" w:customStyle="1">
    <w:name w:val="p141"/>
    <w:uiPriority w:val="0"/>
    <w:qFormat/>
    <w:rPr>
      <w:sz w:val="21"/>
      <w:szCs w:val="21"/>
    </w:rPr>
  </w:style>
  <w:style w:type="character" w:styleId="898" w:customStyle="1">
    <w:name w:val="s10pv000000"/>
    <w:basedOn w:val="700"/>
    <w:uiPriority w:val="0"/>
    <w:qFormat/>
  </w:style>
  <w:style w:type="paragraph" w:styleId="899" w:customStyle="1">
    <w:name w:val="样式 标题 4 + 段前: 5 磅 段后: 5 磅 行距: 单倍行距"/>
    <w:basedOn w:val="694"/>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900" w:customStyle="1">
    <w:name w:val="基准标题"/>
    <w:basedOn w:val="710"/>
    <w:next w:val="710"/>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901" w:customStyle="1">
    <w:name w:val="font6"/>
    <w:basedOn w:val="690"/>
    <w:uiPriority w:val="0"/>
    <w:qFormat/>
    <w:pPr>
      <w:jc w:val="left"/>
      <w:spacing w:before="100" w:beforeAutospacing="1" w:after="100" w:afterAutospacing="1"/>
      <w:widowControl/>
    </w:pPr>
    <w:rPr>
      <w:rFonts w:hint="eastAsia" w:ascii="宋体" w:hAnsi="宋体"/>
      <w:sz w:val="24"/>
    </w:rPr>
  </w:style>
  <w:style w:type="paragraph" w:styleId="902" w:customStyle="1">
    <w:name w:val="样式4"/>
    <w:basedOn w:val="690"/>
    <w:uiPriority w:val="0"/>
    <w:qFormat/>
    <w:pPr>
      <w:ind w:left="2328" w:hanging="708"/>
      <w:tabs>
        <w:tab w:val="left" w:pos="2328" w:leader="none"/>
      </w:tabs>
    </w:pPr>
  </w:style>
  <w:style w:type="paragraph" w:styleId="903"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904" w:customStyle="1">
    <w:name w:val="3 Char"/>
    <w:basedOn w:val="690"/>
    <w:uiPriority w:val="0"/>
    <w:qFormat/>
    <w:pPr>
      <w:jc w:val="center"/>
      <w:spacing w:line="400" w:lineRule="exact"/>
      <w:widowControl/>
    </w:pPr>
    <w:rPr>
      <w:rFonts w:ascii="Verdana" w:hAnsi="Verdana"/>
      <w:szCs w:val="20"/>
      <w:lang w:eastAsia="en-US"/>
    </w:rPr>
  </w:style>
  <w:style w:type="paragraph" w:styleId="905" w:customStyle="1">
    <w:name w:val="样式 标题 2 + 宋体 五号 非加粗 黑色"/>
    <w:basedOn w:val="692"/>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6" w:customStyle="1">
    <w:name w:val="xl29"/>
    <w:basedOn w:val="690"/>
    <w:uiPriority w:val="0"/>
    <w:qFormat/>
    <w:pPr>
      <w:jc w:val="center"/>
      <w:spacing w:before="100" w:beforeAutospacing="1" w:after="100" w:afterAutospacing="1"/>
      <w:widowControl/>
    </w:pPr>
    <w:rPr>
      <w:rFonts w:ascii="宋体" w:hAnsi="宋体"/>
      <w:sz w:val="28"/>
      <w:szCs w:val="28"/>
    </w:rPr>
  </w:style>
  <w:style w:type="paragraph" w:styleId="907" w:customStyle="1">
    <w:name w:val="图"/>
    <w:basedOn w:val="690"/>
    <w:uiPriority w:val="0"/>
    <w:qFormat/>
    <w:pPr>
      <w:jc w:val="center"/>
      <w:keepNext/>
      <w:spacing w:before="60" w:after="60" w:line="300" w:lineRule="auto"/>
    </w:pPr>
    <w:rPr>
      <w:spacing w:val="20"/>
      <w:sz w:val="24"/>
      <w:szCs w:val="20"/>
    </w:rPr>
  </w:style>
  <w:style w:type="paragraph" w:styleId="908" w:customStyle="1">
    <w:name w:val="设计方案"/>
    <w:basedOn w:val="690"/>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9" w:customStyle="1">
    <w:name w:val="xl2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0" w:customStyle="1">
    <w:name w:val="样式1"/>
    <w:basedOn w:val="690"/>
    <w:uiPriority w:val="0"/>
    <w:qFormat/>
    <w:pPr>
      <w:ind w:left="425" w:hanging="425"/>
      <w:tabs>
        <w:tab w:val="left" w:pos="425" w:leader="none"/>
        <w:tab w:val="left" w:pos="709" w:leader="none"/>
      </w:tabs>
    </w:pPr>
    <w:rPr>
      <w:rFonts w:ascii="宋体" w:hAnsi="宋体"/>
      <w:szCs w:val="20"/>
    </w:rPr>
  </w:style>
  <w:style w:type="paragraph" w:styleId="911" w:customStyle="1">
    <w:name w:val="head"/>
    <w:basedOn w:val="690"/>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2" w:customStyle="1">
    <w:name w:val="默认段落字体 Para Char Char Char Char"/>
    <w:basedOn w:val="690"/>
    <w:uiPriority w:val="0"/>
    <w:qFormat/>
    <w:rPr>
      <w:szCs w:val="20"/>
    </w:rPr>
  </w:style>
  <w:style w:type="paragraph" w:styleId="913" w:customStyle="1">
    <w:name w:val="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914" w:customStyle="1">
    <w:name w:val="font0"/>
    <w:basedOn w:val="690"/>
    <w:uiPriority w:val="0"/>
    <w:qFormat/>
    <w:pPr>
      <w:jc w:val="left"/>
      <w:spacing w:before="100" w:beforeAutospacing="1" w:after="100" w:afterAutospacing="1"/>
      <w:widowControl/>
    </w:pPr>
    <w:rPr>
      <w:rFonts w:hint="eastAsia" w:ascii="宋体" w:hAnsi="宋体"/>
      <w:sz w:val="24"/>
    </w:rPr>
  </w:style>
  <w:style w:type="paragraph" w:styleId="915" w:customStyle="1">
    <w:name w:val="样式 标题 3h3H3sect1.2.3 + 五号 段前: 6 磅 段后: 6 磅 行距: 单倍行距"/>
    <w:basedOn w:val="693"/>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6" w:customStyle="1">
    <w:name w:val="纯文本 Char1"/>
    <w:basedOn w:val="700"/>
    <w:uiPriority w:val="0"/>
    <w:qFormat/>
    <w:rPr>
      <w:rFonts w:ascii="宋体" w:hAnsi="Courier New" w:eastAsia="宋体" w:cs="Courier New"/>
      <w:szCs w:val="21"/>
    </w:rPr>
  </w:style>
  <w:style w:type="character" w:styleId="917" w:customStyle="1">
    <w:name w:val="HTML 预设格式 字符"/>
    <w:basedOn w:val="700"/>
    <w:link w:val="731"/>
    <w:uiPriority w:val="99"/>
    <w:qFormat/>
    <w:rPr>
      <w:rFonts w:ascii="宋体" w:hAnsi="宋体"/>
      <w:sz w:val="24"/>
      <w:szCs w:val="24"/>
    </w:rPr>
  </w:style>
  <w:style w:type="paragraph" w:styleId="918" w:customStyle="1">
    <w:name w:val="Char1 Char Char Char"/>
    <w:basedOn w:val="690"/>
    <w:uiPriority w:val="0"/>
    <w:qFormat/>
    <w:rPr>
      <w:szCs w:val="20"/>
    </w:rPr>
  </w:style>
  <w:style w:type="paragraph" w:styleId="919" w:customStyle="1">
    <w:name w:val="Char1"/>
    <w:basedOn w:val="690"/>
    <w:uiPriority w:val="0"/>
    <w:qFormat/>
    <w:pPr>
      <w:jc w:val="left"/>
      <w:spacing w:after="160" w:line="240" w:lineRule="exact"/>
      <w:widowControl/>
    </w:pPr>
    <w:rPr>
      <w:sz w:val="24"/>
    </w:rPr>
  </w:style>
  <w:style w:type="paragraph" w:styleId="920" w:customStyle="1">
    <w:name w:val="默认段落字体 Para Char"/>
    <w:basedOn w:val="690"/>
    <w:uiPriority w:val="0"/>
    <w:qFormat/>
  </w:style>
  <w:style w:type="paragraph" w:styleId="921" w:customStyle="1">
    <w:name w:val="Char1 Char Char Char Char Char Char Char Char Char"/>
    <w:basedOn w:val="690"/>
    <w:uiPriority w:val="0"/>
    <w:qFormat/>
    <w:pPr>
      <w:jc w:val="center"/>
      <w:spacing w:line="400" w:lineRule="exact"/>
      <w:widowControl/>
    </w:pPr>
    <w:rPr>
      <w:rFonts w:ascii="Verdana" w:hAnsi="Verdana"/>
      <w:szCs w:val="20"/>
      <w:lang w:eastAsia="en-US"/>
    </w:rPr>
  </w:style>
  <w:style w:type="paragraph" w:styleId="922" w:customStyle="1">
    <w:name w:val="普通(网站)1"/>
    <w:basedOn w:val="690"/>
    <w:uiPriority w:val="0"/>
    <w:qFormat/>
    <w:pPr>
      <w:jc w:val="left"/>
      <w:spacing w:before="100" w:beforeAutospacing="1" w:after="100" w:afterAutospacing="1"/>
      <w:widowControl/>
    </w:pPr>
    <w:rPr>
      <w:rFonts w:ascii="宋体" w:hAnsi="宋体"/>
      <w:sz w:val="24"/>
    </w:rPr>
  </w:style>
  <w:style w:type="paragraph" w:styleId="923" w:customStyle="1">
    <w:name w:val="Char Char2 Char"/>
    <w:basedOn w:val="690"/>
    <w:uiPriority w:val="0"/>
    <w:qFormat/>
    <w:rPr>
      <w:rFonts w:ascii="宋体" w:hAnsi="宋体"/>
      <w:b/>
      <w:sz w:val="28"/>
      <w:szCs w:val="28"/>
    </w:rPr>
  </w:style>
  <w:style w:type="character" w:styleId="924" w:customStyle="1">
    <w:name w:val="正文缩进 字符"/>
    <w:link w:val="705"/>
    <w:uiPriority w:val="0"/>
    <w:qFormat/>
    <w:rPr>
      <w:b/>
      <w:sz w:val="24"/>
    </w:rPr>
  </w:style>
  <w:style w:type="paragraph" w:styleId="925" w:customStyle="1">
    <w:name w:val="Char Char Char"/>
    <w:basedOn w:val="690"/>
    <w:uiPriority w:val="0"/>
    <w:qFormat/>
    <w:rPr>
      <w:rFonts w:ascii="宋体" w:hAnsi="宋体"/>
      <w:b/>
      <w:sz w:val="28"/>
      <w:szCs w:val="28"/>
    </w:rPr>
  </w:style>
  <w:style w:type="paragraph" w:styleId="926" w:customStyle="1">
    <w:name w:val="Char2"/>
    <w:basedOn w:val="690"/>
    <w:uiPriority w:val="0"/>
    <w:qFormat/>
    <w:pPr>
      <w:jc w:val="left"/>
      <w:spacing w:after="160" w:line="240" w:lineRule="exact"/>
      <w:widowControl/>
    </w:pPr>
    <w:rPr>
      <w:szCs w:val="20"/>
    </w:rPr>
  </w:style>
  <w:style w:type="paragraph" w:styleId="927" w:customStyle="1">
    <w:name w:val="a"/>
    <w:basedOn w:val="690"/>
    <w:uiPriority w:val="0"/>
    <w:qFormat/>
    <w:pPr>
      <w:jc w:val="left"/>
      <w:spacing w:before="100" w:beforeAutospacing="1" w:after="100" w:afterAutospacing="1"/>
      <w:widowControl/>
    </w:pPr>
    <w:rPr>
      <w:rFonts w:ascii="宋体" w:hAnsi="宋体" w:cs="宋体"/>
      <w:sz w:val="24"/>
    </w:rPr>
  </w:style>
  <w:style w:type="character" w:styleId="928" w:customStyle="1">
    <w:name w:val="description5"/>
    <w:basedOn w:val="700"/>
    <w:uiPriority w:val="0"/>
    <w:qFormat/>
  </w:style>
  <w:style w:type="character" w:styleId="929">
    <w:name w:val="Placeholder Text"/>
    <w:uiPriority w:val="99"/>
    <w:semiHidden/>
    <w:qFormat/>
    <w:rPr>
      <w:color w:val="808080"/>
    </w:rPr>
  </w:style>
  <w:style w:type="paragraph" w:styleId="930" w:customStyle="1">
    <w:name w:val="Table Paragraph"/>
    <w:basedOn w:val="690"/>
    <w:uiPriority w:val="1"/>
    <w:qFormat/>
    <w:pPr>
      <w:jc w:val="left"/>
    </w:pPr>
    <w:rPr>
      <w:sz w:val="24"/>
    </w:rPr>
  </w:style>
  <w:style w:type="character" w:styleId="931" w:customStyle="1">
    <w:name w:val="Char Char7"/>
    <w:uiPriority w:val="0"/>
    <w:qFormat/>
    <w:rPr>
      <w:rFonts w:ascii="Tahoma" w:hAnsi="Tahoma" w:eastAsia="微软雅黑"/>
      <w:b/>
      <w:bCs/>
      <w:sz w:val="32"/>
      <w:szCs w:val="32"/>
      <w:lang w:val="en-US" w:eastAsia="zh-CN" w:bidi="ar-SA"/>
    </w:rPr>
  </w:style>
  <w:style w:type="character" w:styleId="932" w:customStyle="1">
    <w:name w:val="font01"/>
    <w:uiPriority w:val="0"/>
    <w:qFormat/>
    <w:rPr>
      <w:rFonts w:hint="eastAsia" w:ascii="宋体" w:hAnsi="宋体" w:eastAsia="宋体" w:cs="宋体"/>
      <w:color w:val="000000"/>
      <w:sz w:val="20"/>
      <w:szCs w:val="20"/>
      <w:u w:val="none"/>
    </w:rPr>
  </w:style>
  <w:style w:type="character" w:styleId="933" w:customStyle="1">
    <w:name w:val="font81"/>
    <w:uiPriority w:val="0"/>
    <w:qFormat/>
    <w:rPr>
      <w:rFonts w:hint="eastAsia" w:ascii="宋体" w:hAnsi="宋体" w:eastAsia="宋体" w:cs="宋体"/>
      <w:color w:val="000000"/>
      <w:sz w:val="22"/>
      <w:szCs w:val="22"/>
      <w:u w:val="none"/>
    </w:rPr>
  </w:style>
  <w:style w:type="character" w:styleId="934" w:customStyle="1">
    <w:name w:val="font71"/>
    <w:uiPriority w:val="0"/>
    <w:qFormat/>
    <w:rPr>
      <w:rFonts w:hint="eastAsia" w:ascii="宋体" w:hAnsi="宋体" w:eastAsia="宋体" w:cs="宋体"/>
      <w:color w:val="000000"/>
      <w:sz w:val="22"/>
      <w:szCs w:val="22"/>
      <w:u w:val="none"/>
    </w:rPr>
  </w:style>
  <w:style w:type="character" w:styleId="935" w:customStyle="1">
    <w:name w:val="font51"/>
    <w:uiPriority w:val="0"/>
    <w:qFormat/>
    <w:rPr>
      <w:rFonts w:hint="default" w:ascii="Calibri" w:hAnsi="Calibri" w:cs="Calibri"/>
      <w:color w:val="000000"/>
      <w:sz w:val="22"/>
      <w:szCs w:val="22"/>
      <w:u w:val="none"/>
    </w:rPr>
  </w:style>
  <w:style w:type="character" w:styleId="936" w:customStyle="1">
    <w:name w:val="font61"/>
    <w:uiPriority w:val="0"/>
    <w:qFormat/>
    <w:rPr>
      <w:rFonts w:hint="default" w:ascii="Calibri" w:hAnsi="Calibri" w:cs="Calibri"/>
      <w:color w:val="000000"/>
      <w:sz w:val="22"/>
      <w:szCs w:val="22"/>
      <w:u w:val="none"/>
    </w:rPr>
  </w:style>
  <w:style w:type="character" w:styleId="937" w:customStyle="1">
    <w:name w:val="font41"/>
    <w:uiPriority w:val="0"/>
    <w:qFormat/>
    <w:rPr>
      <w:rFonts w:hint="eastAsia" w:ascii="宋体" w:hAnsi="宋体" w:eastAsia="宋体" w:cs="宋体"/>
      <w:color w:val="000000"/>
      <w:sz w:val="22"/>
      <w:szCs w:val="22"/>
      <w:u w:val="none"/>
    </w:rPr>
  </w:style>
  <w:style w:type="character" w:styleId="938" w:customStyle="1">
    <w:name w:val="未处理的提及2"/>
    <w:basedOn w:val="700"/>
    <w:uiPriority w:val="99"/>
    <w:semiHidden/>
    <w:unhideWhenUsed/>
    <w:qFormat/>
    <w:rPr>
      <w:color w:val="605e5c"/>
      <w:shd w:val="clear" w:color="auto" w:fill="e1dfdd"/>
    </w:rPr>
  </w:style>
  <w:style w:type="character" w:styleId="939" w:customStyle="1">
    <w:name w:val="未处理的提及3"/>
    <w:basedOn w:val="700"/>
    <w:uiPriority w:val="99"/>
    <w:semiHidden/>
    <w:unhideWhenUsed/>
    <w:qFormat/>
    <w:rPr>
      <w:color w:val="605e5c"/>
      <w:shd w:val="clear" w:color="auto" w:fill="e1dfdd"/>
    </w:rPr>
  </w:style>
  <w:style w:type="paragraph" w:styleId="940" w:customStyle="1">
    <w:name w:val="_Style 234"/>
    <w:basedOn w:val="690"/>
    <w:next w:val="761"/>
    <w:uiPriority w:val="34"/>
    <w:qFormat/>
    <w:pPr>
      <w:ind w:left="420" w:firstLine="420"/>
      <w:spacing w:line="400" w:lineRule="exact"/>
    </w:pPr>
    <w:rPr>
      <w:rFonts w:ascii="Calibri" w:hAnsi="Calibri"/>
    </w:rPr>
  </w:style>
  <w:style w:type="character" w:styleId="941" w:customStyle="1">
    <w:name w:val="列表段落 字符"/>
    <w:link w:val="761"/>
    <w:uiPriority w:val="99"/>
    <w:qFormat/>
    <w:rPr>
      <w:sz w:val="21"/>
      <w:szCs w:val="24"/>
    </w:rPr>
  </w:style>
  <w:style w:type="character" w:styleId="942" w:customStyle="1">
    <w:name w:val="彩色列表 - 强调文字颜色 1字符"/>
    <w:uiPriority w:val="34"/>
    <w:qFormat/>
    <w:rPr>
      <w:rFonts w:ascii="Calibri" w:hAnsi="Calibri"/>
      <w:sz w:val="21"/>
      <w:szCs w:val="24"/>
    </w:rPr>
  </w:style>
  <w:style w:type="character" w:styleId="943" w:customStyle="1">
    <w:name w:val="批注主题 字符1"/>
    <w:basedOn w:val="895"/>
    <w:uiPriority w:val="99"/>
    <w:semiHidden/>
    <w:qFormat/>
    <w:rPr>
      <w:rFonts w:ascii="Calibri" w:hAnsi="Calibri" w:eastAsia="宋体" w:cs="Times New Roman"/>
      <w:b/>
      <w:bCs/>
      <w:sz w:val="24"/>
      <w:szCs w:val="24"/>
    </w:rPr>
  </w:style>
  <w:style w:type="character" w:styleId="944" w:customStyle="1">
    <w:name w:val="正文文本缩进 2 字符1"/>
    <w:basedOn w:val="700"/>
    <w:uiPriority w:val="99"/>
    <w:semiHidden/>
    <w:qFormat/>
    <w:rPr>
      <w:rFonts w:ascii="Calibri" w:hAnsi="Calibri" w:eastAsia="宋体" w:cs="Times New Roman"/>
      <w:szCs w:val="24"/>
    </w:rPr>
  </w:style>
  <w:style w:type="character" w:styleId="945" w:customStyle="1">
    <w:name w:val="标题 字符1"/>
    <w:basedOn w:val="700"/>
    <w:uiPriority w:val="10"/>
    <w:qFormat/>
    <w:rPr>
      <w:rFonts w:asciiTheme="majorHAnsi" w:hAnsiTheme="majorHAnsi" w:eastAsiaTheme="majorEastAsia" w:cstheme="majorBidi"/>
      <w:b/>
      <w:bCs/>
      <w:sz w:val="32"/>
      <w:szCs w:val="32"/>
    </w:rPr>
  </w:style>
  <w:style w:type="character" w:styleId="946" w:customStyle="1">
    <w:name w:val="正文文本缩进 字符1"/>
    <w:basedOn w:val="700"/>
    <w:uiPriority w:val="99"/>
    <w:semiHidden/>
    <w:qFormat/>
    <w:rPr>
      <w:rFonts w:ascii="Calibri" w:hAnsi="Calibri" w:eastAsia="宋体" w:cs="Times New Roman"/>
      <w:szCs w:val="24"/>
    </w:rPr>
  </w:style>
  <w:style w:type="character" w:styleId="947" w:customStyle="1">
    <w:name w:val="副标题 字符1"/>
    <w:basedOn w:val="700"/>
    <w:uiPriority w:val="11"/>
    <w:qFormat/>
    <w:rPr>
      <w:b/>
      <w:bCs/>
      <w:sz w:val="32"/>
      <w:szCs w:val="32"/>
    </w:rPr>
  </w:style>
  <w:style w:type="character" w:styleId="948" w:customStyle="1">
    <w:name w:val="日期 字符1"/>
    <w:basedOn w:val="700"/>
    <w:uiPriority w:val="99"/>
    <w:semiHidden/>
    <w:qFormat/>
    <w:rPr>
      <w:rFonts w:ascii="Calibri" w:hAnsi="Calibri" w:eastAsia="宋体" w:cs="Times New Roman"/>
      <w:szCs w:val="24"/>
    </w:rPr>
  </w:style>
  <w:style w:type="paragraph" w:styleId="949" w:customStyle="1">
    <w:name w:val="修订2"/>
    <w:uiPriority w:val="99"/>
    <w:unhideWhenUsed/>
    <w:qFormat/>
    <w:rPr>
      <w:rFonts w:ascii="Calibri" w:hAnsi="Calibri" w:eastAsia="宋体" w:cs="Times New Roman"/>
      <w:sz w:val="21"/>
      <w:szCs w:val="24"/>
      <w:lang w:val="en-US" w:eastAsia="zh-CN" w:bidi="ar-SA"/>
    </w:rPr>
  </w:style>
  <w:style w:type="character" w:styleId="950" w:customStyle="1">
    <w:name w:val="正文文本 字符1"/>
    <w:basedOn w:val="700"/>
    <w:uiPriority w:val="99"/>
    <w:semiHidden/>
    <w:qFormat/>
    <w:rPr>
      <w:rFonts w:ascii="Calibri" w:hAnsi="Calibri" w:eastAsia="宋体" w:cs="Times New Roman"/>
      <w:szCs w:val="24"/>
    </w:rPr>
  </w:style>
  <w:style w:type="character" w:styleId="951" w:customStyle="1">
    <w:name w:val="批注框文本 字符1"/>
    <w:basedOn w:val="700"/>
    <w:uiPriority w:val="99"/>
    <w:semiHidden/>
    <w:qFormat/>
    <w:rPr>
      <w:rFonts w:ascii="Calibri" w:hAnsi="Calibri" w:eastAsia="宋体" w:cs="Times New Roman"/>
      <w:sz w:val="18"/>
      <w:szCs w:val="18"/>
    </w:rPr>
  </w:style>
  <w:style w:type="paragraph" w:styleId="952" w:customStyle="1">
    <w:name w:val="小四 段落 宋体 Char Char Char"/>
    <w:basedOn w:val="704"/>
    <w:uiPriority w:val="0"/>
    <w:qFormat/>
    <w:pPr>
      <w:numPr>
        <w:ilvl w:val="0"/>
        <w:numId w:val="0"/>
      </w:numPr>
      <w:ind w:right="-33" w:firstLine="480"/>
      <w:jc w:val="left"/>
      <w:spacing w:line="360" w:lineRule="auto"/>
    </w:pPr>
    <w:rPr>
      <w:rFonts w:ascii="Times New Roman" w:hAnsi="Times New Roman"/>
      <w:sz w:val="24"/>
      <w:szCs w:val="20"/>
    </w:rPr>
  </w:style>
  <w:style w:type="character" w:styleId="953" w:customStyle="1">
    <w:name w:val="纯文本 字符1"/>
    <w:basedOn w:val="700"/>
    <w:uiPriority w:val="99"/>
    <w:semiHidden/>
    <w:qFormat/>
    <w:rPr>
      <w:rFonts w:hAnsi="Courier New" w:cs="Courier New" w:asciiTheme="minorEastAsia"/>
      <w:szCs w:val="24"/>
    </w:rPr>
  </w:style>
  <w:style w:type="character" w:styleId="954" w:customStyle="1">
    <w:name w:val="文档结构图 字符1"/>
    <w:basedOn w:val="700"/>
    <w:uiPriority w:val="99"/>
    <w:semiHidden/>
    <w:qFormat/>
    <w:rPr>
      <w:rFonts w:ascii="Microsoft YaHei UI" w:hAnsi="Calibri" w:eastAsia="Microsoft YaHei UI" w:cs="Times New Roman"/>
      <w:sz w:val="18"/>
      <w:szCs w:val="18"/>
    </w:rPr>
  </w:style>
  <w:style w:type="character" w:styleId="955" w:customStyle="1">
    <w:name w:val="正文文本 3 字符1"/>
    <w:basedOn w:val="700"/>
    <w:uiPriority w:val="99"/>
    <w:semiHidden/>
    <w:qFormat/>
    <w:rPr>
      <w:rFonts w:ascii="Calibri" w:hAnsi="Calibri" w:eastAsia="宋体" w:cs="Times New Roman"/>
      <w:sz w:val="16"/>
      <w:szCs w:val="16"/>
    </w:rPr>
  </w:style>
  <w:style w:type="paragraph" w:styleId="956" w:customStyle="1">
    <w:name w:val="_Style 106"/>
    <w:basedOn w:val="690"/>
    <w:next w:val="761"/>
    <w:uiPriority w:val="34"/>
    <w:qFormat/>
    <w:pPr>
      <w:ind w:left="420" w:firstLine="420"/>
      <w:spacing w:line="400" w:lineRule="exact"/>
    </w:pPr>
    <w:rPr>
      <w:rFonts w:ascii="Calibri" w:hAnsi="Calibri"/>
    </w:rPr>
  </w:style>
  <w:style w:type="character" w:styleId="957" w:customStyle="1">
    <w:name w:val="正文文本缩进 3 字符1"/>
    <w:basedOn w:val="700"/>
    <w:uiPriority w:val="99"/>
    <w:semiHidden/>
    <w:qFormat/>
    <w:rPr>
      <w:rFonts w:ascii="Calibri" w:hAnsi="Calibri" w:eastAsia="宋体" w:cs="Times New Roman"/>
      <w:sz w:val="16"/>
      <w:szCs w:val="16"/>
    </w:rPr>
  </w:style>
  <w:style w:type="character" w:styleId="958" w:customStyle="1">
    <w:name w:val="未处理的提及4"/>
    <w:basedOn w:val="700"/>
    <w:uiPriority w:val="99"/>
    <w:semiHidden/>
    <w:unhideWhenUsed/>
    <w:qFormat/>
    <w:rPr>
      <w:color w:val="605e5c"/>
      <w:shd w:val="clear" w:color="auto" w:fill="e1dfdd"/>
    </w:rPr>
  </w:style>
  <w:style w:type="character" w:styleId="959" w:customStyle="1">
    <w:name w:val="未处理的提及5"/>
    <w:basedOn w:val="700"/>
    <w:uiPriority w:val="99"/>
    <w:semiHidden/>
    <w:unhideWhenUsed/>
    <w:qFormat/>
    <w:rPr>
      <w:color w:val="605e5c"/>
      <w:shd w:val="clear" w:color="auto" w:fill="e1dfdd"/>
    </w:rPr>
  </w:style>
  <w:style w:type="character" w:styleId="960" w:customStyle="1">
    <w:name w:val="未处理的提及6"/>
    <w:basedOn w:val="700"/>
    <w:uiPriority w:val="99"/>
    <w:semiHidden/>
    <w:unhideWhenUsed/>
    <w:qFormat/>
    <w:rPr>
      <w:color w:val="605e5c"/>
      <w:shd w:val="clear" w:color="auto" w:fill="e1dfdd"/>
    </w:rPr>
  </w:style>
  <w:style w:type="character" w:styleId="961" w:customStyle="1">
    <w:name w:val="font101"/>
    <w:uiPriority w:val="0"/>
    <w:qFormat/>
    <w:rPr>
      <w:rFonts w:ascii="PingFangTC-light" w:hAnsi="PingFangTC-light" w:eastAsia="PingFangTC-light" w:cs="PingFangTC-light"/>
      <w:color w:val="ff0000"/>
      <w:sz w:val="22"/>
      <w:szCs w:val="22"/>
      <w:u w:val="none"/>
    </w:rPr>
  </w:style>
  <w:style w:type="character" w:styleId="962" w:customStyle="1">
    <w:name w:val="font112"/>
    <w:uiPriority w:val="0"/>
    <w:qFormat/>
    <w:rPr>
      <w:rFonts w:ascii="Calibri" w:hAnsi="Calibri" w:cs="Calibri"/>
      <w:color w:val="ff0000"/>
      <w:sz w:val="21"/>
      <w:szCs w:val="21"/>
      <w:u w:val="none"/>
    </w:rPr>
  </w:style>
  <w:style w:type="character" w:styleId="963" w:customStyle="1">
    <w:name w:val="font121"/>
    <w:uiPriority w:val="0"/>
    <w:qFormat/>
    <w:rPr>
      <w:rFonts w:hint="eastAsia" w:ascii="宋体" w:hAnsi="宋体" w:eastAsia="宋体" w:cs="宋体"/>
      <w:color w:val="000000"/>
      <w:sz w:val="20"/>
      <w:szCs w:val="20"/>
      <w:u w:val="none"/>
    </w:rPr>
  </w:style>
  <w:style w:type="character" w:styleId="964" w:customStyle="1">
    <w:name w:val="纯文本 Char"/>
    <w:uiPriority w:val="0"/>
    <w:qFormat/>
    <w:rPr>
      <w:rFonts w:ascii="宋体" w:hAnsi="Courier New" w:eastAsia="宋体" w:cs="Courier New"/>
      <w:szCs w:val="21"/>
    </w:rPr>
  </w:style>
  <w:style w:type="character" w:styleId="965" w:customStyle="1">
    <w:name w:val="NormalCharacter"/>
    <w:uiPriority w:val="0"/>
    <w:qFormat/>
    <w:rPr>
      <w:rFonts w:ascii="Times New Roman" w:hAnsi="Times New Roman" w:eastAsia="宋体" w:cs="Times New Roman"/>
      <w:sz w:val="21"/>
      <w:szCs w:val="22"/>
      <w:lang w:val="en-US" w:eastAsia="zh-CN" w:bidi="ar-SA"/>
    </w:rPr>
  </w:style>
  <w:style w:type="paragraph" w:styleId="966" w:customStyle="1">
    <w:name w:val="样式 宋体 五号 行距: 单倍行距"/>
    <w:basedOn w:val="690"/>
    <w:uiPriority w:val="0"/>
    <w:qFormat/>
    <w:pPr>
      <w:jc w:val="left"/>
    </w:pPr>
    <w:rPr>
      <w:rFonts w:ascii="宋体" w:hAnsi="宋体"/>
      <w:szCs w:val="20"/>
    </w:rPr>
  </w:style>
  <w:style w:type="paragraph" w:styleId="967" w:customStyle="1">
    <w:name w:val="列表段落1"/>
    <w:basedOn w:val="690"/>
    <w:uiPriority w:val="99"/>
    <w:qFormat/>
    <w:pPr>
      <w:ind w:firstLine="420"/>
    </w:pPr>
    <w:rPr>
      <w:szCs w:val="20"/>
    </w:rPr>
  </w:style>
  <w:style w:type="character" w:styleId="968" w:customStyle="1">
    <w:name w:val="fontstyle31"/>
    <w:uiPriority w:val="0"/>
    <w:qFormat/>
    <w:rPr>
      <w:rFonts w:hint="default" w:ascii="TimesNewRomanPS-BoldMT" w:hAnsi="TimesNewRomanPS-BoldMT"/>
      <w:b/>
      <w:bCs/>
      <w:color w:val="000000"/>
      <w:sz w:val="22"/>
      <w:szCs w:val="22"/>
    </w:rPr>
  </w:style>
  <w:style w:type="paragraph" w:styleId="969"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71"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2" w:customStyle="1">
    <w:name w:val="招标"/>
    <w:basedOn w:val="690"/>
    <w:uiPriority w:val="0"/>
    <w:qFormat/>
    <w:pPr>
      <w:ind w:firstLine="420"/>
      <w:jc w:val="left"/>
      <w:spacing w:line="400" w:lineRule="exact"/>
    </w:pPr>
    <w:rPr>
      <w:rFonts w:ascii="宋体" w:hAnsi="宋体"/>
    </w:rPr>
  </w:style>
  <w:style w:type="paragraph" w:styleId="97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4" w:customStyle="1">
    <w:name w:val="二级目录"/>
    <w:next w:val="690"/>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6"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7"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8"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979"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7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7</cp:revision>
  <dcterms:created xsi:type="dcterms:W3CDTF">2026-03-06T03:11:00Z</dcterms:created>
  <dcterms:modified xsi:type="dcterms:W3CDTF">2026-05-25T07:33:29Z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6C9621CD7A4A4EDA8CF502B8D4384BD6_13</vt:lpwstr>
  </property>
  <property fmtid="{D5CDD505-2E9C-101B-9397-08002B2CF9AE}" pid="4" name="KSOTemplateDocerSaveRecord">
    <vt:lpwstr>eyJoZGlkIjoiMzI1ZTM3YmM5M2ZmZmZlMmVkMTMzNzRlMzg5OGU0YzgiLCJ1c2VySWQiOiI2MjA1NjI3NjEifQ==</vt:lpwstr>
  </property>
</Properties>
</file>