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ind w:firstLine="160"/>
        <w:spacing w:line="360" w:lineRule="auto"/>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775"/>
        <w:ind w:firstLine="300"/>
        <w:spacing w:line="360" w:lineRule="auto"/>
        <w:rPr>
          <w:rFonts w:ascii="Times New Roman" w:hAnsi="Times New Roman" w:eastAsia="宋体" w:cs="Times New Roman"/>
          <w:sz w:val="60"/>
          <w:szCs w:val="60"/>
        </w:rPr>
      </w:pPr>
      <w:r>
        <w:rPr>
          <w:rFonts w:ascii="Times New Roman" w:hAnsi="Times New Roman" w:eastAsia="宋体" w:cs="Times New Roman"/>
          <w:sz w:val="60"/>
          <w:szCs w:val="60"/>
        </w:rPr>
      </w:r>
      <w:r/>
    </w:p>
    <w:p>
      <w:pPr>
        <w:pStyle w:val="775"/>
        <w:jc w:val="center"/>
        <w:rPr>
          <w:rFonts w:ascii="Times New Roman" w:hAnsi="Times New Roman" w:eastAsia="宋体" w:cs="Times New Roman"/>
          <w:b/>
          <w:bCs/>
          <w:sz w:val="60"/>
          <w:szCs w:val="60"/>
        </w:rPr>
      </w:pPr>
      <w:r>
        <w:rPr>
          <w:rFonts w:ascii="Times New Roman" w:hAnsi="Times New Roman" w:eastAsia="宋体" w:cs="Times New Roman"/>
          <w:b/>
          <w:bCs/>
          <w:sz w:val="60"/>
          <w:szCs w:val="60"/>
        </w:rPr>
        <w:t xml:space="preserve">常州市政府采购项目</w:t>
      </w:r>
      <w:r>
        <w:rPr>
          <w:rFonts w:ascii="Times New Roman" w:hAnsi="Times New Roman" w:eastAsia="宋体" w:cs="Times New Roman"/>
          <w:b/>
          <w:bCs/>
          <w:sz w:val="60"/>
          <w:szCs w:val="60"/>
        </w:rPr>
      </w:r>
      <w:r/>
    </w:p>
    <w:p>
      <w:pPr>
        <w:pStyle w:val="775"/>
        <w:jc w:val="center"/>
        <w:rPr>
          <w:rFonts w:ascii="Times New Roman" w:hAnsi="Times New Roman" w:eastAsia="宋体" w:cs="Times New Roman"/>
          <w:b/>
          <w:bCs/>
          <w:sz w:val="60"/>
          <w:szCs w:val="60"/>
        </w:rPr>
      </w:pPr>
      <w:r>
        <w:rPr>
          <w:rFonts w:ascii="Times New Roman" w:hAnsi="Times New Roman" w:eastAsia="宋体" w:cs="Times New Roman"/>
          <w:b/>
          <w:bCs/>
          <w:sz w:val="60"/>
          <w:szCs w:val="60"/>
        </w:rPr>
        <w:t xml:space="preserve">单一来源采购文件</w:t>
      </w:r>
      <w:r>
        <w:rPr>
          <w:rFonts w:ascii="Times New Roman" w:hAnsi="Times New Roman" w:eastAsia="宋体" w:cs="Times New Roman"/>
          <w:b/>
          <w:bCs/>
          <w:sz w:val="60"/>
          <w:szCs w:val="60"/>
        </w:rPr>
      </w:r>
      <w:r/>
    </w:p>
    <w:p>
      <w:pPr>
        <w:pStyle w:val="775"/>
        <w:jc w:val="center"/>
        <w:rPr>
          <w:rFonts w:ascii="Times New Roman" w:hAnsi="Times New Roman" w:eastAsia="宋体" w:cs="Times New Roman"/>
          <w:b/>
          <w:bCs/>
          <w:sz w:val="60"/>
          <w:szCs w:val="60"/>
        </w:rPr>
      </w:pPr>
      <w:r>
        <w:rPr>
          <w:rFonts w:ascii="Times New Roman" w:hAnsi="Times New Roman" w:eastAsia="宋体" w:cs="Times New Roman"/>
          <w:b/>
          <w:bCs/>
          <w:sz w:val="60"/>
          <w:szCs w:val="60"/>
        </w:rPr>
      </w:r>
      <w:r/>
    </w:p>
    <w:p>
      <w:pPr>
        <w:pStyle w:val="775"/>
        <w:jc w:val="center"/>
        <w:spacing w:line="360" w:lineRule="auto"/>
        <w:rPr>
          <w:rFonts w:ascii="Times New Roman" w:hAnsi="Times New Roman" w:eastAsia="宋体" w:cs="Times New Roman"/>
          <w:sz w:val="60"/>
          <w:szCs w:val="60"/>
        </w:rPr>
      </w:pPr>
      <w:r>
        <w:rPr>
          <w:rFonts w:ascii="Times New Roman" w:hAnsi="Times New Roman" w:eastAsia="宋体" w:cs="Times New Roman"/>
          <w:sz w:val="60"/>
          <w:szCs w:val="60"/>
        </w:rPr>
      </w:r>
      <w:r/>
    </w:p>
    <w:p>
      <w:pPr>
        <w:pStyle w:val="775"/>
        <w:jc w:val="center"/>
        <w:spacing w:line="360" w:lineRule="auto"/>
        <w:rPr>
          <w:rFonts w:ascii="Times New Roman" w:hAnsi="Times New Roman" w:eastAsia="宋体" w:cs="Times New Roman"/>
          <w:sz w:val="60"/>
          <w:szCs w:val="60"/>
        </w:rPr>
      </w:pPr>
      <w:r>
        <w:rPr>
          <w:rFonts w:ascii="Times New Roman" w:hAnsi="Times New Roman" w:eastAsia="宋体" w:cs="Times New Roman"/>
          <w:sz w:val="60"/>
          <w:szCs w:val="60"/>
        </w:rPr>
      </w:r>
      <w:r/>
    </w:p>
    <w:p>
      <w:pPr>
        <w:pStyle w:val="775"/>
        <w:ind w:left="0" w:firstLine="0"/>
        <w:jc w:val="left"/>
        <w:spacing w:line="360" w:lineRule="auto"/>
        <w:tabs>
          <w:tab w:val="left" w:pos="3240" w:leader="none"/>
          <w:tab w:val="left" w:pos="3420" w:leader="none"/>
        </w:tabs>
        <w:rPr>
          <w:rFonts w:ascii="Times New Roman" w:hAnsi="Times New Roman" w:eastAsia="宋体" w:cs="Times New Roman"/>
          <w:bCs/>
          <w:sz w:val="36"/>
          <w:szCs w:val="36"/>
        </w:rPr>
      </w:pPr>
      <w:r>
        <w:rPr>
          <w:rFonts w:ascii="Times New Roman" w:hAnsi="Times New Roman" w:eastAsia="宋体" w:cs="Times New Roman"/>
          <w:bCs/>
          <w:sz w:val="36"/>
          <w:szCs w:val="36"/>
        </w:rPr>
        <w:t xml:space="preserve">    项目名称：常州市新北区环卫、市政及绿化养护服务</w:t>
      </w:r>
      <w:r>
        <w:rPr>
          <w:rFonts w:ascii="Times New Roman" w:hAnsi="Times New Roman" w:eastAsia="宋体" w:cs="Times New Roman"/>
          <w:bCs/>
          <w:sz w:val="36"/>
          <w:szCs w:val="36"/>
        </w:rPr>
      </w:r>
      <w:r/>
    </w:p>
    <w:p>
      <w:pPr>
        <w:pStyle w:val="775"/>
        <w:ind w:left="0" w:firstLine="0"/>
        <w:jc w:val="left"/>
        <w:spacing w:line="360" w:lineRule="auto"/>
        <w:tabs>
          <w:tab w:val="left" w:pos="3240" w:leader="none"/>
          <w:tab w:val="left" w:pos="3420" w:leader="none"/>
        </w:tabs>
        <w:rPr>
          <w:rFonts w:hint="eastAsia" w:ascii="Times New Roman" w:hAnsi="Times New Roman" w:eastAsia="宋体" w:cs="Times New Roman"/>
          <w:bCs/>
          <w:sz w:val="36"/>
          <w:szCs w:val="36"/>
          <w:highlight w:val="yellow"/>
          <w:lang w:eastAsia="zh-CN"/>
        </w:rPr>
      </w:pPr>
      <w:r>
        <w:rPr>
          <w:rFonts w:ascii="Times New Roman" w:hAnsi="Times New Roman" w:eastAsia="宋体" w:cs="Times New Roman"/>
          <w:bCs/>
          <w:sz w:val="36"/>
          <w:szCs w:val="36"/>
        </w:rPr>
        <w:t xml:space="preserve">    项目编号：</w:t>
      </w:r>
      <w:r>
        <w:rPr>
          <w:rFonts w:hint="eastAsia" w:ascii="Times New Roman" w:hAnsi="Times New Roman" w:eastAsia="宋体" w:cs="Times New Roman"/>
          <w:bCs/>
          <w:sz w:val="36"/>
          <w:szCs w:val="36"/>
          <w:lang w:eastAsia="zh-CN"/>
        </w:rPr>
        <w:t xml:space="preserve">JSZC-320411-JSZG-D2026-0026</w:t>
      </w:r>
      <w:r>
        <w:rPr>
          <w:rFonts w:hint="eastAsia" w:ascii="Times New Roman" w:hAnsi="Times New Roman" w:eastAsia="宋体" w:cs="Times New Roman"/>
          <w:bCs/>
          <w:sz w:val="36"/>
          <w:szCs w:val="36"/>
          <w:highlight w:val="yellow"/>
          <w:lang w:eastAsia="zh-CN"/>
        </w:rPr>
      </w:r>
      <w:r/>
    </w:p>
    <w:p>
      <w:pPr>
        <w:pStyle w:val="775"/>
        <w:ind w:left="0" w:firstLine="0"/>
        <w:jc w:val="left"/>
        <w:spacing w:line="360" w:lineRule="auto"/>
        <w:tabs>
          <w:tab w:val="left" w:pos="3240" w:leader="none"/>
          <w:tab w:val="left" w:pos="3420" w:leader="none"/>
        </w:tabs>
        <w:rPr>
          <w:rFonts w:ascii="Times New Roman" w:hAnsi="Times New Roman" w:eastAsia="宋体" w:cs="Times New Roman"/>
          <w:bCs/>
          <w:sz w:val="36"/>
          <w:szCs w:val="36"/>
        </w:rPr>
      </w:pPr>
      <w:r>
        <w:rPr>
          <w:rFonts w:ascii="Times New Roman" w:hAnsi="Times New Roman" w:eastAsia="宋体" w:cs="Times New Roman"/>
          <w:bCs/>
          <w:sz w:val="36"/>
          <w:szCs w:val="36"/>
        </w:rPr>
        <w:t xml:space="preserve">    采 购 人：常州市新北区市政绿化管理所</w:t>
      </w:r>
      <w:r>
        <w:rPr>
          <w:rFonts w:ascii="Times New Roman" w:hAnsi="Times New Roman" w:eastAsia="宋体" w:cs="Times New Roman"/>
          <w:bCs/>
          <w:sz w:val="36"/>
          <w:szCs w:val="36"/>
        </w:rPr>
      </w:r>
      <w:r/>
    </w:p>
    <w:p>
      <w:pPr>
        <w:pStyle w:val="775"/>
        <w:ind w:left="0" w:firstLine="0"/>
        <w:jc w:val="center"/>
        <w:spacing w:line="360" w:lineRule="auto"/>
        <w:tabs>
          <w:tab w:val="left" w:pos="3240" w:leader="none"/>
          <w:tab w:val="left" w:pos="3420" w:leader="none"/>
        </w:tabs>
        <w:rPr>
          <w:rFonts w:ascii="Times New Roman" w:hAnsi="Times New Roman" w:eastAsia="宋体" w:cs="Times New Roman"/>
          <w:bCs/>
          <w:sz w:val="36"/>
          <w:szCs w:val="36"/>
        </w:rPr>
      </w:pPr>
      <w:r>
        <w:rPr>
          <w:rFonts w:ascii="Times New Roman" w:hAnsi="Times New Roman" w:eastAsia="宋体" w:cs="Times New Roman"/>
          <w:bCs/>
          <w:sz w:val="36"/>
          <w:szCs w:val="36"/>
        </w:rPr>
        <w:t xml:space="preserve">    采购代理机构：江苏中冠工程咨询有限公司</w:t>
      </w:r>
      <w:bookmarkStart w:id="0" w:name="_Toc99301278"/>
      <w:r>
        <w:rPr>
          <w:rFonts w:ascii="Times New Roman" w:hAnsi="Times New Roman" w:eastAsia="宋体" w:cs="Times New Roman"/>
          <w:bCs/>
          <w:sz w:val="36"/>
          <w:szCs w:val="36"/>
        </w:rPr>
        <w:br w:type="page" w:clear="all"/>
      </w:r>
      <w:r/>
      <w:r>
        <w:rPr>
          <w:rFonts w:ascii="Times New Roman" w:hAnsi="Times New Roman" w:eastAsia="宋体" w:cs="Times New Roman"/>
          <w:b/>
          <w:sz w:val="36"/>
          <w:szCs w:val="36"/>
        </w:rPr>
        <w:t xml:space="preserve">目      录</w:t>
      </w:r>
      <w:bookmarkEnd w:id="0"/>
      <w:r>
        <w:rPr>
          <w:rFonts w:ascii="Times New Roman" w:hAnsi="Times New Roman" w:eastAsia="宋体" w:cs="Times New Roman"/>
          <w:b/>
          <w:sz w:val="36"/>
          <w:szCs w:val="36"/>
        </w:rPr>
      </w:r>
      <w:r/>
      <w:r>
        <w:rPr>
          <w:rFonts w:ascii="Times New Roman" w:hAnsi="Times New Roman" w:eastAsia="宋体" w:cs="Times New Roman"/>
          <w:bCs/>
          <w:sz w:val="36"/>
          <w:szCs w:val="36"/>
        </w:rPr>
      </w:r>
    </w:p>
    <w:p>
      <w:pPr>
        <w:pStyle w:val="775"/>
        <w:rPr>
          <w:rFonts w:ascii="Times New Roman" w:hAnsi="Times New Roman" w:eastAsia="宋体" w:cs="Times New Roman"/>
        </w:rPr>
      </w:pPr>
      <w:r>
        <w:rPr>
          <w:rFonts w:ascii="Times New Roman" w:hAnsi="Times New Roman" w:eastAsia="宋体" w:cs="Times New Roman"/>
        </w:rPr>
      </w:r>
      <w:r/>
    </w:p>
    <w:p>
      <w:pPr>
        <w:pStyle w:val="775"/>
        <w:rPr>
          <w:rFonts w:ascii="Times New Roman" w:hAnsi="Times New Roman" w:eastAsia="宋体" w:cs="Times New Roman"/>
        </w:rPr>
      </w:pPr>
      <w:r>
        <w:rPr>
          <w:rFonts w:ascii="Times New Roman" w:hAnsi="Times New Roman" w:eastAsia="宋体" w:cs="Times New Roman"/>
        </w:rPr>
      </w:r>
      <w:r/>
    </w:p>
    <w:p>
      <w:pPr>
        <w:pStyle w:val="775"/>
        <w:rPr>
          <w:rFonts w:ascii="Times New Roman" w:hAnsi="Times New Roman" w:eastAsia="宋体" w:cs="Times New Roman"/>
        </w:rPr>
      </w:pPr>
      <w:r>
        <w:rPr>
          <w:rFonts w:ascii="Times New Roman" w:hAnsi="Times New Roman" w:eastAsia="宋体" w:cs="Times New Roman"/>
        </w:rPr>
      </w:r>
      <w:r/>
    </w:p>
    <w:p>
      <w:pPr>
        <w:pStyle w:val="828"/>
        <w:tabs>
          <w:tab w:val="right" w:pos="9072" w:leader="dot"/>
        </w:tabs>
        <w:rPr>
          <w:rFonts w:ascii="Times New Roman" w:hAnsi="Times New Roman" w:eastAsia="宋体" w:cs="Times New Roman"/>
        </w:rPr>
      </w:pPr>
      <w:r>
        <w:rPr>
          <w:rFonts w:ascii="Times New Roman" w:hAnsi="Times New Roman" w:eastAsia="宋体" w:cs="Times New Roman"/>
          <w:b w:val="0"/>
        </w:rPr>
        <w:fldChar w:fldCharType="begin"/>
      </w:r>
      <w:r>
        <w:rPr>
          <w:rFonts w:ascii="Times New Roman" w:hAnsi="Times New Roman" w:eastAsia="宋体" w:cs="Times New Roman"/>
          <w:b w:val="0"/>
        </w:rPr>
        <w:instrText xml:space="preserve"> TOC \o "1-1" \h \z \u </w:instrText>
      </w:r>
      <w:r>
        <w:rPr>
          <w:rFonts w:ascii="Times New Roman" w:hAnsi="Times New Roman" w:eastAsia="宋体" w:cs="Times New Roman"/>
          <w:b w:val="0"/>
        </w:rPr>
        <w:fldChar w:fldCharType="separate"/>
      </w:r>
      <w:r>
        <w:rPr>
          <w:rFonts w:ascii="Times New Roman" w:hAnsi="Times New Roman" w:eastAsia="宋体" w:cs="Times New Roman"/>
        </w:rPr>
        <w:fldChar w:fldCharType="begin"/>
      </w:r>
      <w:r>
        <w:rPr>
          <w:rFonts w:ascii="Times New Roman" w:hAnsi="Times New Roman" w:eastAsia="宋体" w:cs="Times New Roman"/>
        </w:rPr>
        <w:instrText xml:space="preserve"> HYPERLINK \l _Toc22898 </w:instrText>
      </w:r>
      <w:r>
        <w:rPr>
          <w:rFonts w:ascii="Times New Roman" w:hAnsi="Times New Roman" w:eastAsia="宋体" w:cs="Times New Roman"/>
        </w:rPr>
        <w:fldChar w:fldCharType="separate"/>
      </w:r>
      <w:r>
        <w:rPr>
          <w:rFonts w:ascii="Times New Roman" w:hAnsi="Times New Roman" w:eastAsia="宋体" w:cs="Times New Roman"/>
          <w:szCs w:val="36"/>
        </w:rPr>
        <w:t xml:space="preserve">第一章   采购邀请</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_Toc22898 \h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rPr>
          <w:rFonts w:ascii="Times New Roman" w:hAnsi="Times New Roman" w:eastAsia="宋体" w:cs="Times New Roman"/>
        </w:rPr>
        <w:fldChar w:fldCharType="end"/>
      </w:r>
      <w:r>
        <w:rPr>
          <w:rFonts w:ascii="Times New Roman" w:hAnsi="Times New Roman" w:eastAsia="宋体" w:cs="Times New Roman"/>
        </w:rPr>
      </w:r>
      <w:r/>
    </w:p>
    <w:p>
      <w:pPr>
        <w:pStyle w:val="828"/>
        <w:tabs>
          <w:tab w:val="right" w:pos="9072" w:leader="dot"/>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_Toc30572 </w:instrText>
      </w:r>
      <w:r>
        <w:rPr>
          <w:rFonts w:ascii="Times New Roman" w:hAnsi="Times New Roman" w:eastAsia="宋体" w:cs="Times New Roman"/>
        </w:rPr>
        <w:fldChar w:fldCharType="separate"/>
      </w:r>
      <w:r>
        <w:rPr>
          <w:rFonts w:ascii="Times New Roman" w:hAnsi="Times New Roman" w:eastAsia="宋体" w:cs="Times New Roman"/>
          <w:szCs w:val="36"/>
        </w:rPr>
        <w:t xml:space="preserve">第二章   供应商须知</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_Toc30572 \h </w:instrText>
      </w:r>
      <w:r>
        <w:rPr>
          <w:rFonts w:ascii="Times New Roman" w:hAnsi="Times New Roman" w:eastAsia="宋体" w:cs="Times New Roman"/>
        </w:rPr>
        <w:fldChar w:fldCharType="separate"/>
      </w:r>
      <w:r>
        <w:rPr>
          <w:rFonts w:ascii="Times New Roman" w:hAnsi="Times New Roman" w:eastAsia="宋体" w:cs="Times New Roman"/>
        </w:rPr>
        <w:t xml:space="preserve">6</w:t>
      </w:r>
      <w:r>
        <w:rPr>
          <w:rFonts w:ascii="Times New Roman" w:hAnsi="Times New Roman" w:eastAsia="宋体" w:cs="Times New Roman"/>
        </w:rPr>
        <w:fldChar w:fldCharType="end"/>
      </w:r>
      <w:r>
        <w:rPr>
          <w:rFonts w:ascii="Times New Roman" w:hAnsi="Times New Roman" w:eastAsia="宋体" w:cs="Times New Roman"/>
        </w:rPr>
        <w:fldChar w:fldCharType="end"/>
      </w:r>
      <w:r>
        <w:rPr>
          <w:rFonts w:ascii="Times New Roman" w:hAnsi="Times New Roman" w:eastAsia="宋体" w:cs="Times New Roman"/>
        </w:rPr>
      </w:r>
      <w:r/>
    </w:p>
    <w:p>
      <w:pPr>
        <w:pStyle w:val="828"/>
        <w:tabs>
          <w:tab w:val="right" w:pos="9072" w:leader="dot"/>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_Toc6910 </w:instrText>
      </w:r>
      <w:r>
        <w:rPr>
          <w:rFonts w:ascii="Times New Roman" w:hAnsi="Times New Roman" w:eastAsia="宋体" w:cs="Times New Roman"/>
        </w:rPr>
        <w:fldChar w:fldCharType="separate"/>
      </w:r>
      <w:r>
        <w:rPr>
          <w:rFonts w:ascii="Times New Roman" w:hAnsi="Times New Roman" w:eastAsia="宋体" w:cs="Times New Roman"/>
          <w:szCs w:val="36"/>
        </w:rPr>
        <w:t xml:space="preserve">第三章   协商程序</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_Toc6910 \h </w:instrText>
      </w:r>
      <w:r>
        <w:rPr>
          <w:rFonts w:ascii="Times New Roman" w:hAnsi="Times New Roman" w:eastAsia="宋体" w:cs="Times New Roman"/>
        </w:rPr>
        <w:fldChar w:fldCharType="separate"/>
      </w:r>
      <w:r>
        <w:rPr>
          <w:rFonts w:ascii="Times New Roman" w:hAnsi="Times New Roman" w:eastAsia="宋体" w:cs="Times New Roman"/>
        </w:rPr>
        <w:t xml:space="preserve">19</w:t>
      </w:r>
      <w:r>
        <w:rPr>
          <w:rFonts w:ascii="Times New Roman" w:hAnsi="Times New Roman" w:eastAsia="宋体" w:cs="Times New Roman"/>
        </w:rPr>
        <w:fldChar w:fldCharType="end"/>
      </w:r>
      <w:r>
        <w:rPr>
          <w:rFonts w:ascii="Times New Roman" w:hAnsi="Times New Roman" w:eastAsia="宋体" w:cs="Times New Roman"/>
        </w:rPr>
        <w:fldChar w:fldCharType="end"/>
      </w:r>
      <w:r>
        <w:rPr>
          <w:rFonts w:ascii="Times New Roman" w:hAnsi="Times New Roman" w:eastAsia="宋体" w:cs="Times New Roman"/>
        </w:rPr>
      </w:r>
      <w:r/>
    </w:p>
    <w:p>
      <w:pPr>
        <w:pStyle w:val="828"/>
        <w:tabs>
          <w:tab w:val="right" w:pos="9072" w:leader="dot"/>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_Toc27643 </w:instrText>
      </w:r>
      <w:r>
        <w:rPr>
          <w:rFonts w:ascii="Times New Roman" w:hAnsi="Times New Roman" w:eastAsia="宋体" w:cs="Times New Roman"/>
        </w:rPr>
        <w:fldChar w:fldCharType="separate"/>
      </w:r>
      <w:r>
        <w:rPr>
          <w:rFonts w:ascii="Times New Roman" w:hAnsi="Times New Roman" w:eastAsia="宋体" w:cs="Times New Roman"/>
          <w:szCs w:val="36"/>
        </w:rPr>
        <w:t xml:space="preserve">第四章   采购需求</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_Toc27643 \h </w:instrText>
      </w:r>
      <w:r>
        <w:rPr>
          <w:rFonts w:ascii="Times New Roman" w:hAnsi="Times New Roman" w:eastAsia="宋体" w:cs="Times New Roman"/>
        </w:rPr>
        <w:fldChar w:fldCharType="separate"/>
      </w:r>
      <w:r>
        <w:rPr>
          <w:rFonts w:ascii="Times New Roman" w:hAnsi="Times New Roman" w:eastAsia="宋体" w:cs="Times New Roman"/>
        </w:rPr>
        <w:t xml:space="preserve">23</w:t>
      </w:r>
      <w:r>
        <w:rPr>
          <w:rFonts w:ascii="Times New Roman" w:hAnsi="Times New Roman" w:eastAsia="宋体" w:cs="Times New Roman"/>
        </w:rPr>
        <w:fldChar w:fldCharType="end"/>
      </w:r>
      <w:r>
        <w:rPr>
          <w:rFonts w:ascii="Times New Roman" w:hAnsi="Times New Roman" w:eastAsia="宋体" w:cs="Times New Roman"/>
        </w:rPr>
        <w:fldChar w:fldCharType="end"/>
      </w:r>
      <w:r>
        <w:rPr>
          <w:rFonts w:ascii="Times New Roman" w:hAnsi="Times New Roman" w:eastAsia="宋体" w:cs="Times New Roman"/>
        </w:rPr>
      </w:r>
      <w:r/>
    </w:p>
    <w:p>
      <w:pPr>
        <w:pStyle w:val="828"/>
        <w:tabs>
          <w:tab w:val="right" w:pos="9072" w:leader="dot"/>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_Toc26973 </w:instrText>
      </w:r>
      <w:r>
        <w:rPr>
          <w:rFonts w:ascii="Times New Roman" w:hAnsi="Times New Roman" w:eastAsia="宋体" w:cs="Times New Roman"/>
        </w:rPr>
        <w:fldChar w:fldCharType="separate"/>
      </w:r>
      <w:r>
        <w:rPr>
          <w:rFonts w:ascii="Times New Roman" w:hAnsi="Times New Roman" w:eastAsia="宋体" w:cs="Times New Roman"/>
          <w:szCs w:val="36"/>
        </w:rPr>
        <w:t xml:space="preserve">第五章   合同草案条款</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_Toc26973 \h </w:instrText>
      </w:r>
      <w:r>
        <w:rPr>
          <w:rFonts w:ascii="Times New Roman" w:hAnsi="Times New Roman" w:eastAsia="宋体" w:cs="Times New Roman"/>
        </w:rPr>
        <w:fldChar w:fldCharType="separate"/>
      </w:r>
      <w:r>
        <w:rPr>
          <w:rFonts w:ascii="Times New Roman" w:hAnsi="Times New Roman" w:eastAsia="宋体" w:cs="Times New Roman"/>
        </w:rPr>
        <w:t xml:space="preserve">34</w:t>
      </w:r>
      <w:r>
        <w:rPr>
          <w:rFonts w:ascii="Times New Roman" w:hAnsi="Times New Roman" w:eastAsia="宋体" w:cs="Times New Roman"/>
        </w:rPr>
        <w:fldChar w:fldCharType="end"/>
      </w:r>
      <w:r>
        <w:rPr>
          <w:rFonts w:ascii="Times New Roman" w:hAnsi="Times New Roman" w:eastAsia="宋体" w:cs="Times New Roman"/>
        </w:rPr>
        <w:fldChar w:fldCharType="end"/>
      </w:r>
      <w:r>
        <w:rPr>
          <w:rFonts w:ascii="Times New Roman" w:hAnsi="Times New Roman" w:eastAsia="宋体" w:cs="Times New Roman"/>
        </w:rPr>
      </w:r>
      <w:r/>
    </w:p>
    <w:p>
      <w:pPr>
        <w:pStyle w:val="828"/>
        <w:tabs>
          <w:tab w:val="right" w:pos="9072" w:leader="dot"/>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_Toc30169 </w:instrText>
      </w:r>
      <w:r>
        <w:rPr>
          <w:rFonts w:ascii="Times New Roman" w:hAnsi="Times New Roman" w:eastAsia="宋体" w:cs="Times New Roman"/>
        </w:rPr>
        <w:fldChar w:fldCharType="separate"/>
      </w:r>
      <w:r>
        <w:rPr>
          <w:rFonts w:ascii="Times New Roman" w:hAnsi="Times New Roman" w:eastAsia="宋体" w:cs="Times New Roman"/>
          <w:szCs w:val="36"/>
        </w:rPr>
        <w:t xml:space="preserve">第六章   响应文件格式</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_Toc30169 \h </w:instrText>
      </w:r>
      <w:r>
        <w:rPr>
          <w:rFonts w:ascii="Times New Roman" w:hAnsi="Times New Roman" w:eastAsia="宋体" w:cs="Times New Roman"/>
        </w:rPr>
        <w:fldChar w:fldCharType="separate"/>
      </w:r>
      <w:r>
        <w:rPr>
          <w:rFonts w:ascii="Times New Roman" w:hAnsi="Times New Roman" w:eastAsia="宋体" w:cs="Times New Roman"/>
        </w:rPr>
        <w:t xml:space="preserve">51</w:t>
      </w:r>
      <w:r>
        <w:rPr>
          <w:rFonts w:ascii="Times New Roman" w:hAnsi="Times New Roman" w:eastAsia="宋体" w:cs="Times New Roman"/>
        </w:rPr>
        <w:fldChar w:fldCharType="end"/>
      </w:r>
      <w:r>
        <w:rPr>
          <w:rFonts w:ascii="Times New Roman" w:hAnsi="Times New Roman" w:eastAsia="宋体" w:cs="Times New Roman"/>
        </w:rPr>
        <w:fldChar w:fldCharType="end"/>
      </w:r>
      <w:r>
        <w:rPr>
          <w:rFonts w:ascii="Times New Roman" w:hAnsi="Times New Roman" w:eastAsia="宋体" w:cs="Times New Roman"/>
        </w:rPr>
      </w:r>
      <w:r/>
    </w:p>
    <w:p>
      <w:pPr>
        <w:pStyle w:val="828"/>
        <w:spacing w:line="360" w:lineRule="auto"/>
        <w:tabs>
          <w:tab w:val="left" w:pos="1050" w:leader="none"/>
          <w:tab w:val="right" w:pos="8937" w:leader="dot"/>
        </w:tabs>
        <w:rPr>
          <w:rFonts w:ascii="Times New Roman" w:hAnsi="Times New Roman" w:eastAsia="宋体" w:cs="Times New Roman"/>
          <w:b w:val="0"/>
        </w:rPr>
      </w:pPr>
      <w:r>
        <w:rPr>
          <w:rFonts w:ascii="Times New Roman" w:hAnsi="Times New Roman" w:eastAsia="宋体" w:cs="Times New Roman"/>
          <w:b w:val="0"/>
        </w:rPr>
        <w:fldChar w:fldCharType="end"/>
      </w:r>
      <w:r>
        <w:rPr>
          <w:rFonts w:ascii="Times New Roman" w:hAnsi="Times New Roman" w:eastAsia="宋体" w:cs="Times New Roman"/>
          <w:b w:val="0"/>
        </w:rPr>
      </w:r>
      <w:r/>
    </w:p>
    <w:p>
      <w:pPr>
        <w:pStyle w:val="775"/>
        <w:jc w:val="left"/>
        <w:widowControl/>
        <w:rPr>
          <w:rFonts w:ascii="Times New Roman" w:hAnsi="Times New Roman" w:eastAsia="宋体" w:cs="Times New Roman"/>
          <w:b/>
          <w:sz w:val="36"/>
          <w:szCs w:val="36"/>
        </w:rPr>
      </w:pPr>
      <w:r>
        <w:rPr>
          <w:rFonts w:ascii="Times New Roman" w:hAnsi="Times New Roman" w:eastAsia="宋体" w:cs="Times New Roman"/>
          <w:b/>
          <w:sz w:val="36"/>
          <w:szCs w:val="36"/>
        </w:rPr>
        <w:br w:type="page" w:clear="all"/>
      </w:r>
      <w:r>
        <w:rPr>
          <w:rFonts w:ascii="Times New Roman" w:hAnsi="Times New Roman" w:eastAsia="宋体" w:cs="Times New Roman"/>
          <w:b/>
          <w:sz w:val="36"/>
          <w:szCs w:val="36"/>
        </w:rPr>
      </w:r>
      <w:r/>
    </w:p>
    <w:p>
      <w:pPr>
        <w:pStyle w:val="775"/>
        <w:jc w:val="center"/>
        <w:spacing w:line="360" w:lineRule="auto"/>
        <w:rPr>
          <w:rFonts w:ascii="Times New Roman" w:hAnsi="Times New Roman" w:eastAsia="宋体" w:cs="Times New Roman"/>
          <w:b/>
          <w:sz w:val="36"/>
          <w:szCs w:val="36"/>
        </w:rPr>
        <w:outlineLvl w:val="0"/>
      </w:pPr>
      <w:r/>
      <w:bookmarkStart w:id="1" w:name="_Toc10625"/>
      <w:r/>
      <w:bookmarkStart w:id="2" w:name="_Toc5093"/>
      <w:r/>
      <w:bookmarkStart w:id="3" w:name="_Toc22898"/>
      <w:r/>
      <w:bookmarkStart w:id="4" w:name="_Toc99301279"/>
      <w:r/>
      <w:bookmarkStart w:id="5" w:name="_Toc13447"/>
      <w:r/>
      <w:bookmarkStart w:id="6" w:name="_Toc27401"/>
      <w:r/>
      <w:bookmarkStart w:id="7" w:name="_Toc5384"/>
      <w:r>
        <w:rPr>
          <w:rFonts w:ascii="Times New Roman" w:hAnsi="Times New Roman" w:eastAsia="宋体" w:cs="Times New Roman"/>
          <w:b/>
          <w:sz w:val="36"/>
          <w:szCs w:val="36"/>
        </w:rPr>
        <w:t xml:space="preserve">第一章   采购邀请</w:t>
      </w:r>
      <w:bookmarkEnd w:id="1"/>
      <w:r/>
      <w:bookmarkEnd w:id="2"/>
      <w:r/>
      <w:bookmarkEnd w:id="3"/>
      <w:r/>
      <w:bookmarkEnd w:id="4"/>
      <w:r/>
      <w:bookmarkEnd w:id="5"/>
      <w:r/>
      <w:bookmarkEnd w:id="6"/>
      <w:r/>
      <w:bookmarkEnd w:id="7"/>
      <w:r>
        <w:rPr>
          <w:rFonts w:ascii="Times New Roman" w:hAnsi="Times New Roman" w:eastAsia="宋体" w:cs="Times New Roman"/>
          <w:b/>
          <w:sz w:val="36"/>
          <w:szCs w:val="36"/>
        </w:rPr>
      </w:r>
      <w:r/>
    </w:p>
    <w:p>
      <w:pPr>
        <w:pStyle w:val="777"/>
        <w:jc w:val="left"/>
        <w:spacing w:before="0" w:line="360" w:lineRule="auto"/>
        <w:rPr>
          <w:rFonts w:ascii="Times New Roman" w:hAnsi="Times New Roman" w:eastAsia="宋体" w:cs="Times New Roman"/>
          <w:sz w:val="24"/>
          <w:szCs w:val="24"/>
        </w:rPr>
      </w:pPr>
      <w:r/>
      <w:bookmarkStart w:id="8" w:name="_Toc35393621"/>
      <w:r/>
      <w:bookmarkStart w:id="9" w:name="_Toc28359002"/>
      <w:r/>
      <w:bookmarkStart w:id="10" w:name="_Toc28359079"/>
      <w:r/>
      <w:bookmarkStart w:id="11" w:name="_Toc35393790"/>
      <w:r/>
      <w:bookmarkStart w:id="12" w:name="_Hlk24379207"/>
      <w:r>
        <w:rPr>
          <w:rFonts w:ascii="Times New Roman" w:hAnsi="Times New Roman" w:eastAsia="宋体" w:cs="Times New Roman"/>
          <w:sz w:val="24"/>
          <w:szCs w:val="24"/>
        </w:rPr>
        <w:t xml:space="preserve">一、项目基本情况</w:t>
      </w:r>
      <w:bookmarkEnd w:id="8"/>
      <w:r/>
      <w:bookmarkEnd w:id="9"/>
      <w:r/>
      <w:bookmarkEnd w:id="10"/>
      <w:r/>
      <w:bookmarkEnd w:id="11"/>
      <w:r>
        <w:rPr>
          <w:rFonts w:ascii="Times New Roman" w:hAnsi="Times New Roman" w:eastAsia="宋体" w:cs="Times New Roman"/>
          <w:sz w:val="24"/>
          <w:szCs w:val="24"/>
        </w:rPr>
      </w:r>
      <w:r/>
    </w:p>
    <w:p>
      <w:pPr>
        <w:pStyle w:val="775"/>
        <w:ind w:firstLine="480"/>
        <w:spacing w:line="360" w:lineRule="auto"/>
        <w:rPr>
          <w:rFonts w:hint="eastAsia" w:ascii="Times New Roman" w:hAnsi="Times New Roman" w:eastAsia="宋体" w:cs="Times New Roman"/>
          <w:sz w:val="24"/>
          <w:u w:val="single"/>
          <w:lang w:eastAsia="zh-CN"/>
        </w:rPr>
      </w:pPr>
      <w:r>
        <w:rPr>
          <w:rFonts w:ascii="Times New Roman" w:hAnsi="Times New Roman" w:eastAsia="宋体" w:cs="Times New Roman"/>
          <w:sz w:val="24"/>
        </w:rPr>
        <w:t xml:space="preserve">1.项目编号：</w:t>
      </w:r>
      <w:r>
        <w:rPr>
          <w:rFonts w:hint="eastAsia" w:ascii="Times New Roman" w:hAnsi="Times New Roman" w:eastAsia="宋体" w:cs="Times New Roman"/>
          <w:sz w:val="24"/>
          <w:lang w:eastAsia="zh-CN"/>
        </w:rPr>
        <w:t xml:space="preserve">JSZC-320411-JSZG-D2026-0026</w:t>
      </w:r>
      <w:r>
        <w:rPr>
          <w:rFonts w:hint="eastAsia" w:ascii="Times New Roman" w:hAnsi="Times New Roman" w:eastAsia="宋体" w:cs="Times New Roman"/>
          <w:sz w:val="24"/>
          <w:u w:val="single"/>
          <w:lang w:eastAsia="zh-CN"/>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2.项目名称：常州市新北区环卫、市政及绿化养护服务</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bookmarkEnd w:id="12"/>
      <w:r>
        <w:rPr>
          <w:rFonts w:ascii="Times New Roman" w:hAnsi="Times New Roman" w:eastAsia="宋体" w:cs="Times New Roman"/>
          <w:sz w:val="24"/>
        </w:rPr>
        <w:t xml:space="preserve">3.预算金额：</w:t>
      </w:r>
      <w:r>
        <w:rPr>
          <w:rFonts w:ascii="Times New Roman" w:hAnsi="Times New Roman" w:eastAsia="宋体" w:cs="Times New Roman"/>
          <w:color w:val="000000"/>
          <w:sz w:val="24"/>
        </w:rPr>
        <w:t xml:space="preserve">81384</w:t>
      </w:r>
      <w:r>
        <w:rPr>
          <w:rFonts w:ascii="Times New Roman" w:hAnsi="Times New Roman" w:eastAsia="宋体" w:cs="Times New Roman"/>
          <w:sz w:val="24"/>
        </w:rPr>
        <w:t xml:space="preserve">万元</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最高限价：</w:t>
      </w:r>
      <w:r>
        <w:rPr>
          <w:rFonts w:ascii="Times New Roman" w:hAnsi="Times New Roman" w:eastAsia="宋体" w:cs="Times New Roman"/>
          <w:color w:val="000000"/>
          <w:sz w:val="24"/>
          <w:highlight w:val="none"/>
        </w:rPr>
        <w:t xml:space="preserve">67820</w:t>
      </w:r>
      <w:r>
        <w:rPr>
          <w:rFonts w:ascii="Times New Roman" w:hAnsi="Times New Roman" w:eastAsia="宋体" w:cs="Times New Roman"/>
          <w:color w:val="000000"/>
          <w:sz w:val="24"/>
        </w:rPr>
        <w:t xml:space="preserve">万元（两年半（2026年7月1日-2028年12月31日）），27128万元/年（其中：环卫服务16128万元，市政及绿化养护服务11000万元），其中：市政类中的零星项目报价优惠率不低于18.65%，绿化类中的（含景观设施）零星项目报价优惠率不低于19%。</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4.采购需求：采购常州市新北区环卫、市政及绿化养护服务，详见</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第四章 采购需求</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u w:val="single"/>
        </w:rPr>
      </w:pPr>
      <w:r>
        <w:rPr>
          <w:rFonts w:ascii="Times New Roman" w:hAnsi="Times New Roman" w:eastAsia="宋体" w:cs="Times New Roman"/>
          <w:sz w:val="24"/>
        </w:rPr>
        <w:t xml:space="preserve">5.合同履行期限：</w:t>
      </w:r>
      <w:r>
        <w:rPr>
          <w:rFonts w:ascii="Times New Roman" w:hAnsi="Times New Roman" w:eastAsia="宋体" w:cs="Times New Roman"/>
          <w:color w:val="000000"/>
          <w:sz w:val="24"/>
        </w:rPr>
        <w:t xml:space="preserve">两年半（2026年7月1日-2028年12月31日）。合同一年一签，年度服务期满，经采购人考核合格后续签</w:t>
      </w:r>
      <w:r>
        <w:rPr>
          <w:rFonts w:ascii="Times New Roman" w:hAnsi="Times New Roman" w:eastAsia="宋体" w:cs="Times New Roman"/>
          <w:sz w:val="24"/>
        </w:rPr>
        <w:t xml:space="preserve">。</w:t>
      </w:r>
      <w:r>
        <w:rPr>
          <w:rFonts w:ascii="Times New Roman" w:hAnsi="Times New Roman" w:eastAsia="宋体" w:cs="Times New Roman"/>
          <w:sz w:val="24"/>
          <w:u w:val="single"/>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6.本项目是否接受联合体：□是  </w:t>
      </w:r>
      <w:r>
        <w:rPr>
          <w:rFonts w:ascii="Times New Roman" w:hAnsi="Times New Roman" w:eastAsia="宋体" w:cs="Times New Roman"/>
        </w:rPr>
        <w:t xml:space="preserve">■</w:t>
      </w:r>
      <w:r>
        <w:rPr>
          <w:rFonts w:ascii="Times New Roman" w:hAnsi="Times New Roman" w:eastAsia="宋体" w:cs="Times New Roman"/>
          <w:sz w:val="24"/>
        </w:rPr>
        <w:t xml:space="preserve">否。</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bookmarkStart w:id="13" w:name="_Toc35393791"/>
      <w:r/>
      <w:bookmarkStart w:id="14" w:name="_Toc28359003"/>
      <w:r/>
      <w:bookmarkStart w:id="15" w:name="_Toc35393622"/>
      <w:r/>
      <w:bookmarkStart w:id="16" w:name="_Toc28359080"/>
      <w:r>
        <w:rPr>
          <w:rFonts w:ascii="Times New Roman" w:hAnsi="Times New Roman" w:eastAsia="宋体" w:cs="Times New Roman"/>
          <w:sz w:val="24"/>
        </w:rPr>
        <w:t xml:space="preserve">7.本项目是否接受进口产品响应：□是  </w:t>
      </w:r>
      <w:r>
        <w:rPr>
          <w:rFonts w:ascii="Times New Roman" w:hAnsi="Times New Roman" w:eastAsia="宋体" w:cs="Times New Roman"/>
        </w:rPr>
        <w:t xml:space="preserve">■</w:t>
      </w:r>
      <w:r>
        <w:rPr>
          <w:rFonts w:ascii="Times New Roman" w:hAnsi="Times New Roman" w:eastAsia="宋体" w:cs="Times New Roman"/>
          <w:sz w:val="24"/>
        </w:rPr>
        <w:t xml:space="preserve">否。</w:t>
      </w:r>
      <w:r>
        <w:rPr>
          <w:rFonts w:ascii="Times New Roman" w:hAnsi="Times New Roman" w:eastAsia="宋体" w:cs="Times New Roman"/>
          <w:sz w:val="24"/>
        </w:rPr>
      </w:r>
      <w:r/>
    </w:p>
    <w:p>
      <w:pPr>
        <w:pStyle w:val="777"/>
        <w:jc w:val="left"/>
        <w:spacing w:before="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二、申请人的资格要求（须同时满足）</w:t>
      </w:r>
      <w:bookmarkEnd w:id="13"/>
      <w:r/>
      <w:bookmarkEnd w:id="14"/>
      <w:r/>
      <w:bookmarkEnd w:id="15"/>
      <w:r/>
      <w:bookmarkEnd w:id="16"/>
      <w:r>
        <w:rPr>
          <w:rFonts w:ascii="Times New Roman" w:hAnsi="Times New Roman" w:eastAsia="宋体" w:cs="Times New Roman"/>
          <w:sz w:val="24"/>
          <w:szCs w:val="24"/>
        </w:rPr>
      </w:r>
      <w:r/>
    </w:p>
    <w:p>
      <w:pPr>
        <w:pStyle w:val="775"/>
        <w:ind w:firstLine="480"/>
        <w:spacing w:line="360" w:lineRule="auto"/>
        <w:rPr>
          <w:rFonts w:ascii="Times New Roman" w:hAnsi="Times New Roman" w:eastAsia="宋体" w:cs="Times New Roman"/>
          <w:sz w:val="24"/>
        </w:rPr>
      </w:pPr>
      <w:r/>
      <w:bookmarkStart w:id="17" w:name="_Toc28359004"/>
      <w:r/>
      <w:bookmarkStart w:id="18" w:name="_Toc28359081"/>
      <w:r>
        <w:rPr>
          <w:rFonts w:ascii="Times New Roman" w:hAnsi="Times New Roman" w:eastAsia="宋体" w:cs="Times New Roman"/>
          <w:sz w:val="24"/>
        </w:rPr>
        <w:t xml:space="preserve">1.满足《中华人民共和国政府采购法》第二十二条规定以及下列情形：</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1.1未被</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信用中国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网站（WWW.creditchina.gov.cn）或</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中国政府采购网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网站（www.ccgp.gov.cn）列入失信被执行人、重大税收违法案件当事人名单、政府采购严重失信行为记录名单；</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2.落实政府采购政策需满足的资格要求：</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2.1 中小企业政策</w:t>
      </w:r>
      <w:r>
        <w:rPr>
          <w:rFonts w:ascii="Times New Roman" w:hAnsi="Times New Roman" w:eastAsia="宋体" w:cs="Times New Roman"/>
          <w:sz w:val="24"/>
        </w:rPr>
      </w:r>
      <w:r/>
    </w:p>
    <w:p>
      <w:pPr>
        <w:pStyle w:val="775"/>
        <w:ind w:firstLine="420"/>
        <w:spacing w:line="360" w:lineRule="auto"/>
        <w:rPr>
          <w:rFonts w:ascii="Times New Roman" w:hAnsi="Times New Roman" w:eastAsia="宋体" w:cs="Times New Roman"/>
          <w:sz w:val="24"/>
        </w:rPr>
      </w:pPr>
      <w:r>
        <w:rPr>
          <w:rFonts w:ascii="Times New Roman" w:hAnsi="Times New Roman" w:eastAsia="宋体" w:cs="Times New Roman"/>
        </w:rPr>
        <w:t xml:space="preserve">■</w:t>
      </w:r>
      <w:r>
        <w:rPr>
          <w:rFonts w:ascii="Times New Roman" w:hAnsi="Times New Roman" w:eastAsia="宋体" w:cs="Times New Roman"/>
          <w:sz w:val="24"/>
        </w:rPr>
        <w:t xml:space="preserve">本项目不专门面向中小企业预留采购份额。</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2.2 其它落实政府采购政策的资格要求（如有）：无</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i/>
          <w:iCs/>
          <w:sz w:val="24"/>
          <w:u w:val="single"/>
        </w:rPr>
      </w:pPr>
      <w:r>
        <w:rPr>
          <w:rFonts w:ascii="Times New Roman" w:hAnsi="Times New Roman" w:eastAsia="宋体" w:cs="Times New Roman"/>
          <w:sz w:val="24"/>
        </w:rPr>
        <w:t xml:space="preserve">3.本项目的特定资格要求：</w:t>
      </w:r>
      <w:r>
        <w:rPr>
          <w:rFonts w:ascii="Times New Roman" w:hAnsi="Times New Roman" w:eastAsia="宋体" w:cs="Times New Roman"/>
          <w:i/>
          <w:iCs/>
          <w:sz w:val="24"/>
          <w:u w:val="single"/>
        </w:rPr>
      </w:r>
      <w:r/>
    </w:p>
    <w:p>
      <w:pPr>
        <w:pStyle w:val="775"/>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3.1本项目是否接受分支机构参与：□是   </w:t>
      </w:r>
      <w:r>
        <w:rPr>
          <w:rFonts w:ascii="Times New Roman" w:hAnsi="Times New Roman" w:eastAsia="宋体" w:cs="Times New Roman"/>
        </w:rPr>
        <w:t xml:space="preserve">■</w:t>
      </w:r>
      <w:r>
        <w:rPr>
          <w:rFonts w:ascii="Times New Roman" w:hAnsi="Times New Roman" w:eastAsia="宋体" w:cs="Times New Roman"/>
          <w:sz w:val="24"/>
        </w:rPr>
        <w:t xml:space="preserve">否；</w:t>
      </w:r>
      <w:r>
        <w:rPr>
          <w:rFonts w:ascii="Times New Roman" w:hAnsi="Times New Roman" w:eastAsia="宋体" w:cs="Times New Roman"/>
          <w:sz w:val="24"/>
        </w:rPr>
      </w:r>
      <w:r/>
    </w:p>
    <w:p>
      <w:pPr>
        <w:pStyle w:val="775"/>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3.2本项目是否属于</w:t>
      </w:r>
      <w:r>
        <w:rPr>
          <w:rFonts w:ascii="Times New Roman" w:hAnsi="Times New Roman" w:eastAsia="宋体" w:cs="Times New Roman"/>
          <w:sz w:val="24"/>
          <w:highlight w:val="none"/>
        </w:rPr>
        <w:t xml:space="preserve">政府购买服务</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ind w:left="991" w:firstLine="2"/>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rPr>
      </w:pPr>
      <w:r>
        <w:rPr>
          <w:rFonts w:ascii="Times New Roman" w:hAnsi="Times New Roman" w:eastAsia="宋体" w:cs="Times New Roman"/>
        </w:rPr>
        <w:t xml:space="preserve">■</w:t>
      </w:r>
      <w:r>
        <w:rPr>
          <w:rFonts w:ascii="Times New Roman" w:hAnsi="Times New Roman" w:eastAsia="宋体" w:cs="Times New Roman"/>
          <w:sz w:val="24"/>
        </w:rPr>
        <w:t xml:space="preserve">否</w:t>
      </w:r>
      <w:r>
        <w:rPr>
          <w:rFonts w:ascii="Times New Roman" w:hAnsi="Times New Roman" w:eastAsia="宋体" w:cs="Times New Roman"/>
          <w:sz w:val="24"/>
        </w:rPr>
      </w:r>
      <w:r/>
    </w:p>
    <w:p>
      <w:pPr>
        <w:pStyle w:val="775"/>
        <w:ind w:left="991" w:firstLine="2"/>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□是，公益一类事业单位、使用事业编制且由财政拨款保障的群团组织，不得作为承接主体；</w:t>
      </w:r>
      <w:r>
        <w:rPr>
          <w:rFonts w:ascii="Times New Roman" w:hAnsi="Times New Roman" w:eastAsia="宋体" w:cs="Times New Roman"/>
          <w:sz w:val="24"/>
        </w:rPr>
      </w:r>
      <w:r/>
    </w:p>
    <w:p>
      <w:pPr>
        <w:pStyle w:val="775"/>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3.3 其他特定资格要求：无。</w:t>
      </w:r>
      <w:r>
        <w:rPr>
          <w:rFonts w:ascii="Times New Roman" w:hAnsi="Times New Roman" w:eastAsia="宋体" w:cs="Times New Roman"/>
          <w:sz w:val="24"/>
        </w:rPr>
      </w:r>
      <w:r/>
    </w:p>
    <w:p>
      <w:pPr>
        <w:pStyle w:val="777"/>
        <w:jc w:val="left"/>
        <w:spacing w:before="0" w:line="360" w:lineRule="auto"/>
        <w:widowControl/>
        <w:rPr>
          <w:rFonts w:ascii="Times New Roman" w:hAnsi="Times New Roman" w:eastAsia="宋体" w:cs="Times New Roman"/>
          <w:sz w:val="24"/>
          <w:szCs w:val="24"/>
        </w:rPr>
      </w:pPr>
      <w:r/>
      <w:bookmarkEnd w:id="17"/>
      <w:r/>
      <w:bookmarkEnd w:id="18"/>
      <w:r/>
      <w:bookmarkStart w:id="19" w:name="_Toc35393623"/>
      <w:r/>
      <w:bookmarkStart w:id="20" w:name="_Toc35393792"/>
      <w:r>
        <w:rPr>
          <w:rFonts w:ascii="Times New Roman" w:hAnsi="Times New Roman" w:eastAsia="宋体" w:cs="Times New Roman"/>
          <w:sz w:val="24"/>
          <w:szCs w:val="24"/>
        </w:rPr>
        <w:t xml:space="preserve">三、获取采购文件</w:t>
      </w:r>
      <w:bookmarkEnd w:id="19"/>
      <w:r/>
      <w:bookmarkEnd w:id="20"/>
      <w:r>
        <w:rPr>
          <w:rFonts w:ascii="Times New Roman" w:hAnsi="Times New Roman" w:eastAsia="宋体" w:cs="Times New Roman"/>
          <w:sz w:val="24"/>
          <w:szCs w:val="24"/>
        </w:rPr>
      </w:r>
      <w:r/>
    </w:p>
    <w:p>
      <w:pPr>
        <w:pStyle w:val="775"/>
        <w:ind w:firstLine="48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1.获取截止时间：</w:t>
      </w:r>
      <w:r>
        <w:rPr>
          <w:rFonts w:hint="eastAsia" w:ascii="宋体" w:hAnsi="宋体" w:eastAsia="宋体" w:cs="宋体"/>
          <w:color w:val="000000"/>
          <w:sz w:val="24"/>
          <w:highlight w:val="none"/>
          <w:lang w:val="zh-CN" w:bidi="ar"/>
        </w:rPr>
        <w:t xml:space="preserve">自本公告发布之日起至谈判开始时间</w:t>
      </w:r>
      <w:r>
        <w:rPr>
          <w:rFonts w:ascii="Times New Roman" w:hAnsi="Times New Roman" w:eastAsia="宋体" w:cs="Times New Roman"/>
          <w:sz w:val="24"/>
          <w:lang w:bidi="ar"/>
        </w:rPr>
        <w:t xml:space="preserve">。</w:t>
      </w:r>
      <w:r>
        <w:rPr>
          <w:rFonts w:ascii="Times New Roman" w:hAnsi="Times New Roman" w:eastAsia="宋体" w:cs="Times New Roman"/>
          <w:sz w:val="24"/>
          <w:lang w:bidi="ar"/>
        </w:rPr>
      </w:r>
      <w:r/>
    </w:p>
    <w:p>
      <w:pPr>
        <w:pStyle w:val="775"/>
        <w:ind w:firstLine="480"/>
        <w:spacing w:line="360" w:lineRule="auto"/>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lang w:bidi="ar"/>
        </w:rPr>
        <w:t xml:space="preserve">2.获取地点：政府采购一体化平台</w:t>
      </w:r>
      <w:r>
        <w:rPr>
          <w:rFonts w:hint="eastAsia" w:ascii="Times New Roman" w:hAnsi="Times New Roman" w:eastAsia="宋体" w:cs="Times New Roman"/>
          <w:sz w:val="24"/>
          <w:highlight w:val="none"/>
          <w:lang w:eastAsia="zh-CN" w:bidi="ar"/>
        </w:rPr>
        <w:t xml:space="preserve">“</w:t>
      </w:r>
      <w:r>
        <w:rPr>
          <w:rFonts w:ascii="Times New Roman" w:hAnsi="Times New Roman" w:eastAsia="宋体" w:cs="Times New Roman"/>
          <w:sz w:val="24"/>
          <w:highlight w:val="none"/>
          <w:lang w:bidi="ar"/>
        </w:rPr>
        <w:t xml:space="preserve">苏采云</w:t>
      </w:r>
      <w:r>
        <w:rPr>
          <w:rFonts w:hint="eastAsia" w:ascii="Times New Roman" w:hAnsi="Times New Roman" w:eastAsia="宋体" w:cs="Times New Roman"/>
          <w:sz w:val="24"/>
          <w:highlight w:val="none"/>
          <w:lang w:eastAsia="zh-CN" w:bidi="ar"/>
        </w:rPr>
        <w:t xml:space="preserve">”</w:t>
      </w:r>
      <w:r>
        <w:rPr>
          <w:rFonts w:hint="eastAsia" w:ascii="Times New Roman" w:hAnsi="Times New Roman" w:eastAsia="宋体" w:cs="Times New Roman"/>
          <w:sz w:val="24"/>
          <w:highlight w:val="none"/>
          <w:lang w:eastAsia="zh-CN"/>
        </w:rPr>
      </w:r>
      <w:r/>
    </w:p>
    <w:p>
      <w:pPr>
        <w:pStyle w:val="775"/>
        <w:ind w:firstLine="480"/>
        <w:jc w:val="left"/>
        <w:spacing w:line="360" w:lineRule="auto"/>
        <w:widowControl/>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 xml:space="preserve">3.获取方式：供应商持CA数字认证证书登录政府采购一体化平台</w:t>
      </w:r>
      <w:r>
        <w:rPr>
          <w:rFonts w:hint="eastAsia" w:ascii="Times New Roman" w:hAnsi="Times New Roman" w:eastAsia="宋体" w:cs="Times New Roman"/>
          <w:sz w:val="24"/>
          <w:highlight w:val="none"/>
          <w:lang w:eastAsia="zh-CN" w:bidi="ar"/>
        </w:rPr>
        <w:t xml:space="preserve">“</w:t>
      </w:r>
      <w:r>
        <w:rPr>
          <w:rFonts w:ascii="Times New Roman" w:hAnsi="Times New Roman" w:eastAsia="宋体" w:cs="Times New Roman"/>
          <w:sz w:val="24"/>
          <w:highlight w:val="none"/>
          <w:lang w:bidi="ar"/>
        </w:rPr>
        <w:t xml:space="preserve">苏采云</w:t>
      </w:r>
      <w:r>
        <w:rPr>
          <w:rFonts w:hint="eastAsia" w:ascii="Times New Roman" w:hAnsi="Times New Roman" w:eastAsia="宋体" w:cs="Times New Roman"/>
          <w:sz w:val="24"/>
          <w:highlight w:val="none"/>
          <w:lang w:eastAsia="zh-CN" w:bidi="ar"/>
        </w:rPr>
        <w:t xml:space="preserve">”</w:t>
      </w:r>
      <w:r>
        <w:rPr>
          <w:rFonts w:ascii="Times New Roman" w:hAnsi="Times New Roman" w:eastAsia="宋体" w:cs="Times New Roman"/>
          <w:sz w:val="24"/>
          <w:highlight w:val="none"/>
          <w:lang w:bidi="ar"/>
        </w:rPr>
        <w:t xml:space="preserve">（http：//jszfcg.jscz.gov.cn/jszc/login）获取电子版采购文件。</w:t>
      </w:r>
      <w:r>
        <w:rPr>
          <w:rFonts w:ascii="Times New Roman" w:hAnsi="Times New Roman" w:eastAsia="宋体" w:cs="Times New Roman"/>
          <w:sz w:val="24"/>
          <w:highlight w:val="none"/>
          <w:lang w:bidi="ar"/>
        </w:rPr>
      </w:r>
      <w:r/>
    </w:p>
    <w:p>
      <w:pPr>
        <w:pStyle w:val="775"/>
        <w:ind w:firstLine="480"/>
        <w:jc w:val="left"/>
        <w:spacing w:line="360" w:lineRule="auto"/>
        <w:widowControl/>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 xml:space="preserve">4.采购文件售价：0元。</w:t>
      </w:r>
      <w:r>
        <w:rPr>
          <w:rFonts w:ascii="Times New Roman" w:hAnsi="Times New Roman" w:eastAsia="宋体" w:cs="Times New Roman"/>
          <w:sz w:val="24"/>
          <w:highlight w:val="none"/>
        </w:rPr>
      </w:r>
      <w:r/>
    </w:p>
    <w:p>
      <w:pPr>
        <w:pStyle w:val="777"/>
        <w:jc w:val="left"/>
        <w:spacing w:before="0" w:line="360" w:lineRule="auto"/>
        <w:widowControl/>
        <w:rPr>
          <w:rFonts w:ascii="Times New Roman" w:hAnsi="Times New Roman" w:eastAsia="宋体" w:cs="Times New Roman"/>
          <w:sz w:val="24"/>
          <w:szCs w:val="24"/>
          <w:highlight w:val="none"/>
        </w:rPr>
      </w:pPr>
      <w:r/>
      <w:bookmarkStart w:id="21" w:name="_Toc35393624"/>
      <w:r/>
      <w:bookmarkStart w:id="22" w:name="_Toc28359082"/>
      <w:r/>
      <w:bookmarkStart w:id="23" w:name="_Toc35393793"/>
      <w:r/>
      <w:bookmarkStart w:id="24" w:name="_Toc28359005"/>
      <w:r>
        <w:rPr>
          <w:rFonts w:ascii="Times New Roman" w:hAnsi="Times New Roman" w:eastAsia="宋体" w:cs="Times New Roman"/>
          <w:sz w:val="24"/>
          <w:szCs w:val="24"/>
          <w:highlight w:val="none"/>
        </w:rPr>
        <w:t xml:space="preserve">四、</w:t>
      </w:r>
      <w:bookmarkEnd w:id="21"/>
      <w:r/>
      <w:bookmarkEnd w:id="22"/>
      <w:r/>
      <w:bookmarkEnd w:id="23"/>
      <w:r/>
      <w:bookmarkEnd w:id="24"/>
      <w:r>
        <w:rPr>
          <w:rFonts w:ascii="Times New Roman" w:hAnsi="Times New Roman" w:eastAsia="宋体" w:cs="Times New Roman"/>
          <w:sz w:val="24"/>
          <w:szCs w:val="24"/>
          <w:highlight w:val="none"/>
        </w:rPr>
        <w:t xml:space="preserve">响应文件提交</w:t>
      </w:r>
      <w:r>
        <w:rPr>
          <w:rFonts w:ascii="Times New Roman" w:hAnsi="Times New Roman" w:eastAsia="宋体" w:cs="Times New Roman"/>
          <w:sz w:val="24"/>
          <w:szCs w:val="24"/>
          <w:highlight w:val="none"/>
        </w:rPr>
      </w:r>
      <w:r/>
    </w:p>
    <w:p>
      <w:pPr>
        <w:pStyle w:val="775"/>
        <w:ind w:firstLine="480"/>
        <w:spacing w:line="360" w:lineRule="auto"/>
        <w:rPr>
          <w:rFonts w:ascii="Times New Roman" w:hAnsi="Times New Roman" w:eastAsia="宋体" w:cs="Times New Roman"/>
          <w:bCs/>
          <w:sz w:val="24"/>
          <w:highlight w:val="none"/>
          <w:u w:val="single"/>
        </w:rPr>
      </w:pPr>
      <w:r>
        <w:rPr>
          <w:rFonts w:ascii="Times New Roman" w:hAnsi="Times New Roman" w:eastAsia="宋体" w:cs="Times New Roman"/>
          <w:sz w:val="24"/>
          <w:highlight w:val="none"/>
          <w:lang w:bidi="ar"/>
        </w:rPr>
        <w:t xml:space="preserve">截止时间：2026年</w:t>
      </w:r>
      <w:r>
        <w:rPr>
          <w:rFonts w:hint="eastAsia" w:ascii="Times New Roman" w:hAnsi="Times New Roman" w:eastAsia="宋体" w:cs="Times New Roman"/>
          <w:sz w:val="24"/>
          <w:highlight w:val="none"/>
          <w:lang w:val="en-US" w:eastAsia="zh-CN" w:bidi="ar"/>
        </w:rPr>
        <w:t xml:space="preserve">6</w:t>
      </w:r>
      <w:r>
        <w:rPr>
          <w:rFonts w:ascii="Times New Roman" w:hAnsi="Times New Roman" w:eastAsia="宋体" w:cs="Times New Roman"/>
          <w:sz w:val="24"/>
          <w:highlight w:val="none"/>
          <w:lang w:bidi="ar"/>
        </w:rPr>
        <w:t xml:space="preserve">月</w:t>
      </w:r>
      <w:r>
        <w:rPr>
          <w:rFonts w:hint="eastAsia" w:ascii="Times New Roman" w:hAnsi="Times New Roman" w:eastAsia="宋体" w:cs="Times New Roman"/>
          <w:sz w:val="24"/>
          <w:highlight w:val="none"/>
          <w:lang w:val="en-US" w:eastAsia="zh-CN" w:bidi="ar"/>
        </w:rPr>
        <w:t xml:space="preserve">24</w:t>
      </w:r>
      <w:r>
        <w:rPr>
          <w:rFonts w:ascii="Times New Roman" w:hAnsi="Times New Roman" w:eastAsia="宋体" w:cs="Times New Roman"/>
          <w:sz w:val="24"/>
          <w:highlight w:val="none"/>
          <w:lang w:bidi="ar"/>
        </w:rPr>
        <w:t xml:space="preserve">日</w:t>
      </w:r>
      <w:r>
        <w:rPr>
          <w:rFonts w:hint="eastAsia" w:ascii="Times New Roman" w:hAnsi="Times New Roman" w:eastAsia="宋体" w:cs="Times New Roman"/>
          <w:sz w:val="24"/>
          <w:highlight w:val="none"/>
          <w:lang w:val="en-US" w:eastAsia="zh-CN" w:bidi="ar"/>
        </w:rPr>
        <w:t xml:space="preserve">14：00</w:t>
      </w:r>
      <w:r>
        <w:rPr>
          <w:rFonts w:ascii="Times New Roman" w:hAnsi="Times New Roman" w:eastAsia="宋体" w:cs="Times New Roman"/>
          <w:sz w:val="24"/>
          <w:highlight w:val="none"/>
          <w:lang w:bidi="ar"/>
        </w:rPr>
        <w:t xml:space="preserve">（北京时间）</w:t>
      </w:r>
      <w:r>
        <w:rPr>
          <w:rFonts w:ascii="Times New Roman" w:hAnsi="Times New Roman" w:eastAsia="宋体" w:cs="Times New Roman"/>
          <w:iCs/>
          <w:sz w:val="24"/>
          <w:highlight w:val="none"/>
          <w:lang w:bidi="ar"/>
        </w:rPr>
        <w:t xml:space="preserve">。</w:t>
      </w:r>
      <w:r>
        <w:rPr>
          <w:rFonts w:ascii="Times New Roman" w:hAnsi="Times New Roman" w:eastAsia="宋体" w:cs="Times New Roman"/>
          <w:bCs/>
          <w:sz w:val="24"/>
          <w:highlight w:val="none"/>
          <w:u w:val="single"/>
        </w:rPr>
      </w:r>
      <w:r/>
    </w:p>
    <w:p>
      <w:pPr>
        <w:pStyle w:val="775"/>
        <w:ind w:firstLine="480"/>
        <w:spacing w:line="360" w:lineRule="auto"/>
        <w:rPr>
          <w:rFonts w:ascii="Times New Roman" w:hAnsi="Times New Roman" w:eastAsia="宋体" w:cs="Times New Roman"/>
          <w:sz w:val="24"/>
          <w:lang w:val="zh-TW" w:bidi="ar"/>
        </w:rPr>
      </w:pPr>
      <w:r>
        <w:rPr>
          <w:rFonts w:ascii="Times New Roman" w:hAnsi="Times New Roman" w:eastAsia="宋体" w:cs="Times New Roman"/>
          <w:sz w:val="24"/>
          <w:highlight w:val="none"/>
          <w:lang w:bidi="ar"/>
        </w:rPr>
        <w:t xml:space="preserve">地点：</w:t>
      </w:r>
      <w:r>
        <w:rPr>
          <w:rFonts w:ascii="Times New Roman" w:hAnsi="Times New Roman" w:eastAsia="宋体" w:cs="Times New Roman"/>
          <w:sz w:val="24"/>
          <w:highlight w:val="none"/>
        </w:rPr>
        <w:t xml:space="preserve">本项目采用不见面交易方式，无需到现场提交，供应商登录政府采购一体化平台</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苏采云</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供应商端，通过系统在线提交电子响应</w:t>
      </w:r>
      <w:r>
        <w:rPr>
          <w:rFonts w:ascii="Times New Roman" w:hAnsi="Times New Roman" w:eastAsia="宋体" w:cs="Times New Roman"/>
          <w:sz w:val="24"/>
        </w:rPr>
        <w:t xml:space="preserve">文件</w:t>
      </w:r>
      <w:r>
        <w:rPr>
          <w:rFonts w:ascii="Times New Roman" w:hAnsi="Times New Roman" w:eastAsia="宋体" w:cs="Times New Roman"/>
          <w:sz w:val="24"/>
          <w:lang w:val="zh-TW" w:bidi="ar"/>
        </w:rPr>
        <w:t xml:space="preserve">。</w:t>
      </w:r>
      <w:r>
        <w:rPr>
          <w:rFonts w:ascii="Times New Roman" w:hAnsi="Times New Roman" w:eastAsia="宋体" w:cs="Times New Roman"/>
          <w:sz w:val="24"/>
          <w:lang w:val="zh-TW" w:bidi="ar"/>
        </w:rPr>
      </w:r>
      <w:r/>
    </w:p>
    <w:p>
      <w:pPr>
        <w:pStyle w:val="777"/>
        <w:jc w:val="left"/>
        <w:spacing w:before="0" w:line="360" w:lineRule="auto"/>
        <w:rPr>
          <w:rFonts w:ascii="Times New Roman" w:hAnsi="Times New Roman" w:eastAsia="宋体" w:cs="Times New Roman"/>
          <w:sz w:val="24"/>
          <w:szCs w:val="24"/>
        </w:rPr>
      </w:pPr>
      <w:r/>
      <w:bookmarkStart w:id="25" w:name="_Toc35393626"/>
      <w:r/>
      <w:bookmarkStart w:id="26" w:name="_Toc35393795"/>
      <w:r>
        <w:rPr>
          <w:rFonts w:ascii="Times New Roman" w:hAnsi="Times New Roman" w:eastAsia="宋体" w:cs="Times New Roman"/>
          <w:sz w:val="24"/>
          <w:szCs w:val="24"/>
        </w:rPr>
        <w:t xml:space="preserve">五、其他补充事宜</w:t>
      </w:r>
      <w:bookmarkEnd w:id="25"/>
      <w:r/>
      <w:bookmarkEnd w:id="26"/>
      <w:r>
        <w:rPr>
          <w:rFonts w:ascii="Times New Roman" w:hAnsi="Times New Roman" w:eastAsia="宋体" w:cs="Times New Roman"/>
          <w:sz w:val="24"/>
          <w:szCs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1.本项目需要落实的政府采购政策：无</w:t>
      </w:r>
      <w:r>
        <w:rPr>
          <w:rFonts w:ascii="Times New Roman" w:hAnsi="Times New Roman" w:eastAsia="宋体" w:cs="Times New Roman"/>
          <w:sz w:val="24"/>
          <w:lang w:bidi="ar"/>
        </w:rPr>
        <w:t xml:space="preserve">。</w:t>
      </w:r>
      <w:r>
        <w:rPr>
          <w:rFonts w:ascii="Times New Roman" w:hAnsi="Times New Roman" w:eastAsia="宋体" w:cs="Times New Roman"/>
          <w:sz w:val="24"/>
        </w:rPr>
        <w:t xml:space="preserve"> </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bCs/>
          <w:sz w:val="24"/>
          <w:lang w:bidi="ar"/>
        </w:rPr>
      </w:pPr>
      <w:r>
        <w:rPr>
          <w:rFonts w:ascii="Times New Roman" w:hAnsi="Times New Roman" w:eastAsia="宋体" w:cs="Times New Roman"/>
          <w:sz w:val="24"/>
          <w:lang w:bidi="ar"/>
        </w:rPr>
        <w:t xml:space="preserve">2.本项目采用全流程电子化采购方式，请供应商认真学习政府采购一体化平台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发布的相关操作手册，办理CA认证证书、进行政府采购一体化平台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注册绑定，并认真核实</w:t>
      </w:r>
      <w:r>
        <w:rPr>
          <w:rFonts w:ascii="Times New Roman" w:hAnsi="Times New Roman" w:eastAsia="宋体" w:cs="Times New Roman"/>
          <w:bCs/>
          <w:sz w:val="24"/>
          <w:lang w:bidi="ar"/>
        </w:rPr>
        <w:t xml:space="preserve">数字认证证书情况确认是否符合本项目电子化采购流程要求。</w:t>
      </w:r>
      <w:r>
        <w:rPr>
          <w:rFonts w:ascii="Times New Roman" w:hAnsi="Times New Roman" w:eastAsia="宋体" w:cs="Times New Roman"/>
          <w:bCs/>
          <w:sz w:val="24"/>
          <w:lang w:bidi="ar"/>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lang w:bidi="ar"/>
        </w:rPr>
        <w:t xml:space="preserve">技术支持服务热线    0519-85588210</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CA认证证书办理（可邮寄）联系电话   0519-85588120</w:t>
      </w:r>
      <w:r>
        <w:rPr>
          <w:rFonts w:ascii="Times New Roman" w:hAnsi="Times New Roman" w:eastAsia="宋体" w:cs="Times New Roman"/>
          <w:sz w:val="24"/>
          <w:lang w:bidi="ar"/>
        </w:rPr>
      </w:r>
      <w:r/>
    </w:p>
    <w:p>
      <w:pPr>
        <w:pStyle w:val="775"/>
        <w:ind w:firstLine="480"/>
        <w:jc w:val="left"/>
        <w:spacing w:line="360" w:lineRule="auto"/>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2.1办理CA认证证书</w:t>
      </w:r>
      <w:r>
        <w:rPr>
          <w:rFonts w:ascii="Times New Roman" w:hAnsi="Times New Roman" w:eastAsia="宋体" w:cs="Times New Roman"/>
          <w:sz w:val="24"/>
          <w:lang w:bidi="ar"/>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lang w:bidi="ar"/>
        </w:rPr>
        <w:t xml:space="preserve">供应商登录政府采购一体化平台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新CA办理指南</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，按照程序要求办理。</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2.2注册</w:t>
      </w:r>
      <w:r>
        <w:rPr>
          <w:rFonts w:ascii="Times New Roman" w:hAnsi="Times New Roman" w:eastAsia="宋体" w:cs="Times New Roman"/>
          <w:sz w:val="24"/>
          <w:lang w:bidi="ar"/>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供应商登录政府采购一体化平台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苏采云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下载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用户注册</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查阅后进行自助注册</w:t>
      </w:r>
      <w:r>
        <w:rPr>
          <w:rFonts w:ascii="Times New Roman" w:hAnsi="Times New Roman" w:eastAsia="宋体" w:cs="Times New Roman"/>
          <w:sz w:val="24"/>
          <w:lang w:bidi="ar"/>
        </w:rPr>
        <w:t xml:space="preserve">。</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2.3控件、客户端下载</w:t>
      </w:r>
      <w:r>
        <w:rPr>
          <w:rFonts w:ascii="Times New Roman" w:hAnsi="Times New Roman" w:eastAsia="宋体" w:cs="Times New Roman"/>
          <w:sz w:val="24"/>
          <w:lang w:bidi="ar"/>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供应商登录政府采购一体化平台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苏采云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下载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驱动下载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，安装驱动</w:t>
      </w:r>
      <w:r>
        <w:rPr>
          <w:rFonts w:ascii="Times New Roman" w:hAnsi="Times New Roman" w:eastAsia="宋体" w:cs="Times New Roman"/>
          <w:sz w:val="24"/>
          <w:lang w:bidi="ar"/>
        </w:rPr>
        <w:t xml:space="preserve">。</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2.4 获取电子采购文件</w:t>
      </w:r>
      <w:r>
        <w:rPr>
          <w:rFonts w:ascii="Times New Roman" w:hAnsi="Times New Roman" w:eastAsia="宋体" w:cs="Times New Roman"/>
          <w:sz w:val="24"/>
          <w:lang w:bidi="ar"/>
        </w:rPr>
      </w:r>
      <w:r/>
    </w:p>
    <w:p>
      <w:pPr>
        <w:pStyle w:val="775"/>
        <w:ind w:firstLine="48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供应商持CA数字认证证书登录政府采购一体化平台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获取电子采购文件。未在规定期限内通过政府采购一体化平台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获取采购文件的</w:t>
      </w:r>
      <w:r>
        <w:rPr>
          <w:rFonts w:ascii="Times New Roman" w:hAnsi="Times New Roman" w:eastAsia="宋体" w:cs="Times New Roman"/>
          <w:b/>
          <w:sz w:val="24"/>
          <w:lang w:bidi="ar"/>
        </w:rPr>
        <w:t xml:space="preserve">投标无效</w:t>
      </w:r>
      <w:r>
        <w:rPr>
          <w:rFonts w:ascii="Times New Roman" w:hAnsi="Times New Roman" w:eastAsia="宋体" w:cs="Times New Roman"/>
          <w:sz w:val="24"/>
          <w:lang w:bidi="ar"/>
        </w:rPr>
        <w:t xml:space="preserve">。</w:t>
      </w:r>
      <w:r>
        <w:rPr>
          <w:rFonts w:ascii="Times New Roman" w:hAnsi="Times New Roman" w:eastAsia="宋体" w:cs="Times New Roman"/>
          <w:sz w:val="24"/>
          <w:lang w:bidi="ar"/>
        </w:rPr>
      </w:r>
      <w:r/>
    </w:p>
    <w:p>
      <w:pPr>
        <w:pStyle w:val="775"/>
        <w:ind w:firstLine="48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2.5编制电子响应文件</w:t>
      </w:r>
      <w:r>
        <w:rPr>
          <w:rFonts w:ascii="Times New Roman" w:hAnsi="Times New Roman" w:eastAsia="宋体" w:cs="Times New Roman"/>
          <w:sz w:val="24"/>
          <w:lang w:bidi="ar"/>
        </w:rPr>
      </w:r>
      <w:r/>
    </w:p>
    <w:p>
      <w:pPr>
        <w:pStyle w:val="775"/>
        <w:ind w:firstLine="480"/>
        <w:spacing w:line="360" w:lineRule="auto"/>
        <w:rPr>
          <w:rFonts w:ascii="Times New Roman" w:hAnsi="Times New Roman" w:eastAsia="宋体" w:cs="Times New Roman"/>
          <w:sz w:val="24"/>
          <w:lang w:bidi="ar"/>
        </w:rPr>
      </w:pPr>
      <w:r>
        <w:rPr>
          <w:rFonts w:ascii="Times New Roman" w:hAnsi="Times New Roman" w:eastAsia="宋体" w:cs="Times New Roman"/>
          <w:sz w:val="24"/>
          <w:lang w:bidi="ar"/>
        </w:rPr>
        <w:t xml:space="preserve">供应商应使用电子响应文件制作客户端编制电子响应文件并进行线上</w:t>
      </w:r>
      <w:r>
        <w:rPr>
          <w:rFonts w:hint="eastAsia" w:ascii="Times New Roman" w:hAnsi="Times New Roman" w:eastAsia="宋体" w:cs="Times New Roman"/>
          <w:sz w:val="24"/>
          <w:lang w:val="en-US" w:eastAsia="zh-CN" w:bidi="ar"/>
        </w:rPr>
        <w:t xml:space="preserve">响应</w:t>
      </w:r>
      <w:r>
        <w:rPr>
          <w:rFonts w:ascii="Times New Roman" w:hAnsi="Times New Roman" w:eastAsia="宋体" w:cs="Times New Roman"/>
          <w:sz w:val="24"/>
          <w:lang w:bidi="ar"/>
        </w:rPr>
        <w:t xml:space="preserve">，供应商电子响应文件需要加密并加盖电子签章</w:t>
      </w:r>
      <w:r>
        <w:rPr>
          <w:rFonts w:ascii="Times New Roman" w:hAnsi="Times New Roman" w:eastAsia="宋体" w:cs="Times New Roman"/>
          <w:bCs/>
          <w:sz w:val="24"/>
          <w:lang w:bidi="ar"/>
        </w:rPr>
        <w:t xml:space="preserve">，如无法按照要求在电子响应文件中加盖电子签章和加密，请及时通过技术支持服务热线联系技术人员</w:t>
      </w:r>
      <w:r>
        <w:rPr>
          <w:rFonts w:ascii="Times New Roman" w:hAnsi="Times New Roman" w:eastAsia="宋体" w:cs="Times New Roman"/>
          <w:sz w:val="24"/>
          <w:lang w:bidi="ar"/>
        </w:rPr>
        <w:t xml:space="preserve">。</w:t>
      </w:r>
      <w:r>
        <w:rPr>
          <w:rFonts w:ascii="Times New Roman" w:hAnsi="Times New Roman" w:eastAsia="宋体" w:cs="Times New Roman"/>
          <w:sz w:val="24"/>
          <w:lang w:bidi="ar"/>
        </w:rPr>
      </w:r>
      <w:r/>
    </w:p>
    <w:p>
      <w:pPr>
        <w:pStyle w:val="775"/>
        <w:ind w:firstLine="480"/>
        <w:jc w:val="left"/>
        <w:spacing w:line="360" w:lineRule="auto"/>
        <w:widowControl/>
        <w:rPr>
          <w:rFonts w:ascii="Times New Roman" w:hAnsi="Times New Roman" w:eastAsia="宋体" w:cs="Times New Roman"/>
          <w:sz w:val="24"/>
          <w:lang w:val="zh-TW" w:bidi="ar"/>
        </w:rPr>
      </w:pPr>
      <w:r>
        <w:rPr>
          <w:rFonts w:ascii="Times New Roman" w:hAnsi="Times New Roman" w:eastAsia="宋体" w:cs="Times New Roman"/>
          <w:sz w:val="24"/>
          <w:lang w:bidi="ar"/>
        </w:rPr>
        <w:t xml:space="preserve">2</w:t>
      </w:r>
      <w:r>
        <w:rPr>
          <w:rFonts w:ascii="Times New Roman" w:hAnsi="Times New Roman" w:eastAsia="宋体" w:cs="Times New Roman"/>
          <w:sz w:val="24"/>
          <w:lang w:val="zh-TW" w:eastAsia="zh-TW" w:bidi="ar"/>
        </w:rPr>
        <w:t xml:space="preserve">.6</w:t>
      </w:r>
      <w:r>
        <w:rPr>
          <w:rFonts w:ascii="Times New Roman" w:hAnsi="Times New Roman" w:eastAsia="宋体" w:cs="Times New Roman"/>
          <w:sz w:val="24"/>
          <w:lang w:val="zh-TW" w:bidi="ar"/>
        </w:rPr>
        <w:t xml:space="preserve">提交电子响应文件</w:t>
      </w:r>
      <w:r>
        <w:rPr>
          <w:rFonts w:ascii="Times New Roman" w:hAnsi="Times New Roman" w:eastAsia="宋体" w:cs="Times New Roman"/>
          <w:sz w:val="24"/>
          <w:lang w:val="zh-TW" w:bidi="ar"/>
        </w:rPr>
      </w:r>
      <w:r/>
    </w:p>
    <w:p>
      <w:pPr>
        <w:pStyle w:val="775"/>
        <w:ind w:firstLine="480"/>
        <w:jc w:val="left"/>
        <w:spacing w:line="360" w:lineRule="auto"/>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供应商应于</w:t>
      </w:r>
      <w:r>
        <w:rPr>
          <w:rFonts w:hint="eastAsia" w:ascii="Times New Roman" w:hAnsi="Times New Roman" w:eastAsia="宋体" w:cs="Times New Roman"/>
          <w:sz w:val="24"/>
          <w:lang w:val="en-US" w:eastAsia="zh-CN" w:bidi="ar"/>
        </w:rPr>
        <w:t xml:space="preserve">响应</w:t>
      </w:r>
      <w:r>
        <w:rPr>
          <w:rFonts w:ascii="Times New Roman" w:hAnsi="Times New Roman" w:eastAsia="宋体" w:cs="Times New Roman"/>
          <w:sz w:val="24"/>
          <w:lang w:bidi="ar"/>
        </w:rPr>
        <w:t xml:space="preserve">截止时间前在政府采购一体化平台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提交电子响应文件，上传电子响应文件过程中请保持与互联网的连接畅通。</w:t>
      </w:r>
      <w:r>
        <w:rPr>
          <w:rFonts w:ascii="Times New Roman" w:hAnsi="Times New Roman" w:eastAsia="宋体" w:cs="Times New Roman"/>
          <w:sz w:val="24"/>
          <w:lang w:bidi="ar"/>
        </w:rPr>
      </w:r>
      <w:r/>
    </w:p>
    <w:p>
      <w:pPr>
        <w:pStyle w:val="775"/>
        <w:ind w:firstLine="480"/>
        <w:jc w:val="left"/>
        <w:spacing w:line="360" w:lineRule="auto"/>
        <w:widowControl/>
        <w:rPr>
          <w:rFonts w:ascii="Times New Roman" w:hAnsi="Times New Roman" w:eastAsia="宋体" w:cs="Times New Roman"/>
          <w:sz w:val="24"/>
          <w:lang w:eastAsia="zh-TW" w:bidi="ar"/>
        </w:rPr>
      </w:pPr>
      <w:r>
        <w:rPr>
          <w:rFonts w:ascii="Times New Roman" w:hAnsi="Times New Roman" w:eastAsia="宋体" w:cs="Times New Roman"/>
          <w:sz w:val="24"/>
          <w:lang w:bidi="ar"/>
        </w:rPr>
        <w:t xml:space="preserve">2</w:t>
      </w:r>
      <w:r>
        <w:rPr>
          <w:rFonts w:ascii="Times New Roman" w:hAnsi="Times New Roman" w:eastAsia="宋体" w:cs="Times New Roman"/>
          <w:sz w:val="24"/>
          <w:lang w:val="zh-TW" w:bidi="ar"/>
        </w:rPr>
        <w:t xml:space="preserve">.</w:t>
      </w:r>
      <w:r>
        <w:rPr>
          <w:rFonts w:ascii="Times New Roman" w:hAnsi="Times New Roman" w:eastAsia="宋体" w:cs="Times New Roman"/>
          <w:sz w:val="24"/>
          <w:lang w:val="zh-TW" w:eastAsia="zh-TW" w:bidi="ar"/>
        </w:rPr>
        <w:t xml:space="preserve">7</w:t>
      </w:r>
      <w:r>
        <w:rPr>
          <w:rFonts w:ascii="Times New Roman" w:hAnsi="Times New Roman" w:eastAsia="宋体" w:cs="Times New Roman"/>
          <w:sz w:val="24"/>
          <w:lang w:val="zh-TW" w:bidi="ar"/>
        </w:rPr>
        <w:t xml:space="preserve">电子开标</w:t>
      </w:r>
      <w:r>
        <w:rPr>
          <w:rFonts w:ascii="Times New Roman" w:hAnsi="Times New Roman" w:eastAsia="宋体" w:cs="Times New Roman"/>
          <w:sz w:val="24"/>
          <w:lang w:eastAsia="zh-TW" w:bidi="ar"/>
        </w:rPr>
      </w:r>
      <w:r/>
    </w:p>
    <w:p>
      <w:pPr>
        <w:pStyle w:val="775"/>
        <w:ind w:firstLine="480"/>
        <w:spacing w:line="360" w:lineRule="auto"/>
        <w:rPr>
          <w:rFonts w:ascii="Times New Roman" w:hAnsi="Times New Roman" w:eastAsia="宋体" w:cs="Times New Roman"/>
          <w:sz w:val="24"/>
          <w:lang w:val="zh-TW" w:bidi="ar"/>
        </w:rPr>
      </w:pPr>
      <w:r>
        <w:rPr>
          <w:rFonts w:ascii="Times New Roman" w:hAnsi="Times New Roman" w:eastAsia="宋体" w:cs="Times New Roman"/>
          <w:sz w:val="24"/>
          <w:lang w:val="zh-TW" w:bidi="ar"/>
        </w:rPr>
        <w:t xml:space="preserve">供应商使用</w:t>
      </w:r>
      <w:r>
        <w:rPr>
          <w:rFonts w:ascii="Times New Roman" w:hAnsi="Times New Roman" w:eastAsia="宋体" w:cs="Times New Roman"/>
          <w:sz w:val="24"/>
          <w:lang w:bidi="ar"/>
        </w:rPr>
        <w:t xml:space="preserve">CA认证证书</w:t>
      </w:r>
      <w:r>
        <w:rPr>
          <w:rFonts w:ascii="Times New Roman" w:hAnsi="Times New Roman" w:eastAsia="宋体" w:cs="Times New Roman"/>
          <w:sz w:val="24"/>
          <w:lang w:val="zh-TW" w:bidi="ar"/>
        </w:rPr>
        <w:t xml:space="preserve">登录</w:t>
      </w:r>
      <w:r>
        <w:rPr>
          <w:rFonts w:ascii="Times New Roman" w:hAnsi="Times New Roman" w:eastAsia="宋体" w:cs="Times New Roman"/>
          <w:sz w:val="24"/>
          <w:lang w:bidi="ar"/>
        </w:rPr>
        <w:t xml:space="preserve">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进行电子化不见面开标</w:t>
      </w:r>
      <w:r>
        <w:rPr>
          <w:rFonts w:ascii="Times New Roman" w:hAnsi="Times New Roman" w:eastAsia="宋体" w:cs="Times New Roman"/>
          <w:sz w:val="24"/>
          <w:lang w:val="zh-TW" w:bidi="ar"/>
        </w:rPr>
        <w:t xml:space="preserve">。</w:t>
      </w:r>
      <w:r>
        <w:rPr>
          <w:rFonts w:ascii="Times New Roman" w:hAnsi="Times New Roman" w:eastAsia="宋体" w:cs="Times New Roman"/>
          <w:sz w:val="24"/>
          <w:lang w:val="zh-TW" w:bidi="ar"/>
        </w:rPr>
      </w:r>
      <w:r/>
    </w:p>
    <w:p>
      <w:pPr>
        <w:pStyle w:val="775"/>
        <w:ind w:firstLine="480"/>
        <w:spacing w:line="360" w:lineRule="auto"/>
        <w:rPr>
          <w:rFonts w:ascii="Times New Roman" w:hAnsi="Times New Roman" w:eastAsia="宋体" w:cs="Times New Roman"/>
          <w:sz w:val="24"/>
          <w:lang w:val="zh-TW" w:bidi="ar"/>
        </w:rPr>
      </w:pPr>
      <w:r>
        <w:rPr>
          <w:rFonts w:ascii="Times New Roman" w:hAnsi="Times New Roman" w:eastAsia="宋体" w:cs="Times New Roman"/>
          <w:sz w:val="24"/>
          <w:lang w:bidi="ar"/>
        </w:rPr>
        <w:t xml:space="preserve">2</w:t>
      </w:r>
      <w:r>
        <w:rPr>
          <w:rFonts w:ascii="Times New Roman" w:hAnsi="Times New Roman" w:eastAsia="宋体" w:cs="Times New Roman"/>
          <w:sz w:val="24"/>
          <w:lang w:val="zh-TW" w:bidi="ar"/>
        </w:rPr>
        <w:t xml:space="preserve">.8注意事项</w:t>
      </w:r>
      <w:r>
        <w:rPr>
          <w:rFonts w:ascii="Times New Roman" w:hAnsi="Times New Roman" w:eastAsia="宋体" w:cs="Times New Roman"/>
          <w:sz w:val="24"/>
          <w:lang w:val="zh-TW" w:bidi="ar"/>
        </w:rPr>
      </w:r>
      <w:r/>
    </w:p>
    <w:p>
      <w:pPr>
        <w:pStyle w:val="775"/>
        <w:ind w:firstLine="480"/>
        <w:spacing w:line="360" w:lineRule="auto"/>
        <w:rPr>
          <w:rFonts w:ascii="Times New Roman" w:hAnsi="Times New Roman" w:eastAsia="宋体" w:cs="Times New Roman"/>
          <w:sz w:val="24"/>
          <w:lang w:eastAsia="zh-TW"/>
        </w:rPr>
      </w:pPr>
      <w:r>
        <w:rPr>
          <w:rFonts w:ascii="Times New Roman" w:hAnsi="Times New Roman" w:eastAsia="宋体" w:cs="Times New Roman"/>
          <w:sz w:val="24"/>
          <w:lang w:val="zh-TW" w:bidi="ar"/>
        </w:rPr>
        <w:t xml:space="preserve">供应商在开标前应当</w:t>
      </w:r>
      <w:r>
        <w:rPr>
          <w:rFonts w:ascii="Times New Roman" w:hAnsi="Times New Roman" w:eastAsia="宋体" w:cs="Times New Roman"/>
          <w:sz w:val="24"/>
        </w:rPr>
        <w:t xml:space="preserve">使用</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验证CA</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功能验证本地计算机的控件环境是否正常，并且在开标、评审过程中不可随意更换计算机，必须使用验证成功的计算机进行操作，否则造成相应后果由供应商自行承担。</w:t>
      </w:r>
      <w:r>
        <w:rPr>
          <w:rFonts w:ascii="Times New Roman" w:hAnsi="Times New Roman" w:eastAsia="宋体" w:cs="Times New Roman"/>
          <w:sz w:val="24"/>
          <w:lang w:eastAsia="zh-TW"/>
        </w:rPr>
      </w:r>
      <w:r/>
    </w:p>
    <w:p>
      <w:pPr>
        <w:pStyle w:val="775"/>
        <w:ind w:firstLine="480"/>
        <w:spacing w:line="360" w:lineRule="auto"/>
        <w:rPr>
          <w:rFonts w:ascii="Times New Roman" w:hAnsi="Times New Roman" w:eastAsia="宋体" w:cs="Times New Roman"/>
          <w:sz w:val="24"/>
          <w:lang w:val="zh-TW" w:bidi="ar"/>
        </w:rPr>
      </w:pPr>
      <w:r>
        <w:rPr>
          <w:rFonts w:ascii="Times New Roman" w:hAnsi="Times New Roman" w:eastAsia="宋体" w:cs="Times New Roman"/>
          <w:sz w:val="24"/>
          <w:lang w:bidi="ar"/>
        </w:rPr>
        <w:t xml:space="preserve">3</w:t>
      </w:r>
      <w:r>
        <w:rPr>
          <w:rFonts w:ascii="Times New Roman" w:hAnsi="Times New Roman" w:eastAsia="宋体" w:cs="Times New Roman"/>
          <w:sz w:val="24"/>
          <w:lang w:val="zh-TW" w:bidi="ar"/>
        </w:rPr>
        <w:t xml:space="preserve">.关于常州市中小企业政府采购信用融资：</w:t>
      </w:r>
      <w:r>
        <w:rPr>
          <w:rFonts w:ascii="Times New Roman" w:hAnsi="Times New Roman" w:eastAsia="宋体" w:cs="Times New Roman"/>
          <w:sz w:val="24"/>
          <w:lang w:val="zh-TW" w:bidi="ar"/>
        </w:rPr>
      </w:r>
      <w:r/>
    </w:p>
    <w:p>
      <w:pPr>
        <w:pStyle w:val="775"/>
        <w:ind w:firstLine="480"/>
        <w:spacing w:line="360" w:lineRule="auto"/>
        <w:rPr>
          <w:rFonts w:ascii="Times New Roman" w:hAnsi="Times New Roman" w:eastAsia="宋体" w:cs="Times New Roman"/>
          <w:sz w:val="24"/>
          <w:lang w:eastAsia="zh-TW" w:bidi="ar"/>
        </w:rPr>
      </w:pPr>
      <w:r>
        <w:rPr>
          <w:rFonts w:ascii="Times New Roman" w:hAnsi="Times New Roman" w:eastAsia="宋体" w:cs="Times New Roman"/>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通知书或成交合同，为成交中小企业供应商提供相应额度贷款的融资模式。申请条件及操作流程等事项详见该文件相关内容或者常州市政府采购网--政采融资平台栏目。</w:t>
      </w:r>
      <w:r>
        <w:rPr>
          <w:rFonts w:ascii="Times New Roman" w:hAnsi="Times New Roman" w:eastAsia="宋体" w:cs="Times New Roman"/>
          <w:sz w:val="24"/>
          <w:lang w:eastAsia="zh-TW" w:bidi="ar"/>
        </w:rPr>
      </w:r>
      <w:r/>
    </w:p>
    <w:p>
      <w:pPr>
        <w:pStyle w:val="777"/>
        <w:jc w:val="left"/>
        <w:spacing w:before="0" w:line="360" w:lineRule="auto"/>
        <w:rPr>
          <w:rFonts w:ascii="Times New Roman" w:hAnsi="Times New Roman" w:eastAsia="宋体" w:cs="Times New Roman"/>
          <w:sz w:val="24"/>
          <w:szCs w:val="24"/>
        </w:rPr>
      </w:pPr>
      <w:r/>
      <w:bookmarkStart w:id="27" w:name="_Toc35393796"/>
      <w:r/>
      <w:bookmarkStart w:id="28" w:name="_Toc28359085"/>
      <w:r/>
      <w:bookmarkStart w:id="29" w:name="_Toc35393627"/>
      <w:r/>
      <w:bookmarkStart w:id="30" w:name="_Toc28359008"/>
      <w:r>
        <w:rPr>
          <w:rFonts w:ascii="Times New Roman" w:hAnsi="Times New Roman" w:eastAsia="宋体" w:cs="Times New Roman"/>
          <w:sz w:val="24"/>
          <w:szCs w:val="24"/>
        </w:rPr>
        <w:t xml:space="preserve">七、对本次采购提出询问，请按以下方式联系。</w:t>
      </w:r>
      <w:bookmarkEnd w:id="27"/>
      <w:r/>
      <w:bookmarkEnd w:id="28"/>
      <w:r/>
      <w:bookmarkEnd w:id="29"/>
      <w:r/>
      <w:bookmarkEnd w:id="30"/>
      <w:r>
        <w:rPr>
          <w:rFonts w:ascii="Times New Roman" w:hAnsi="Times New Roman" w:eastAsia="宋体" w:cs="Times New Roman"/>
          <w:sz w:val="24"/>
          <w:szCs w:val="24"/>
        </w:rPr>
      </w:r>
      <w:r/>
    </w:p>
    <w:p>
      <w:pPr>
        <w:pStyle w:val="775"/>
        <w:jc w:val="left"/>
        <w:spacing w:line="360" w:lineRule="auto"/>
        <w:widowControl/>
        <w:rPr>
          <w:rFonts w:ascii="Times New Roman" w:hAnsi="Times New Roman" w:eastAsia="宋体" w:cs="Times New Roman"/>
          <w:b/>
          <w:sz w:val="24"/>
        </w:rPr>
      </w:pPr>
      <w:r>
        <w:rPr>
          <w:rFonts w:ascii="Times New Roman" w:hAnsi="Times New Roman" w:eastAsia="宋体" w:cs="Times New Roman"/>
          <w:sz w:val="24"/>
        </w:rPr>
        <w:t xml:space="preserve">　　　</w:t>
      </w:r>
      <w:r>
        <w:rPr>
          <w:rFonts w:ascii="Times New Roman" w:hAnsi="Times New Roman" w:eastAsia="宋体" w:cs="Times New Roman"/>
          <w:b/>
          <w:sz w:val="24"/>
        </w:rPr>
        <w:t xml:space="preserve">1.采购人信息</w:t>
      </w:r>
      <w:r>
        <w:rPr>
          <w:rFonts w:ascii="Times New Roman" w:hAnsi="Times New Roman" w:eastAsia="宋体" w:cs="Times New Roman"/>
          <w:b/>
          <w:sz w:val="24"/>
        </w:rPr>
      </w:r>
      <w:r/>
    </w:p>
    <w:p>
      <w:pPr>
        <w:pStyle w:val="775"/>
        <w:ind w:firstLine="720"/>
        <w:jc w:val="left"/>
        <w:spacing w:line="360" w:lineRule="auto"/>
        <w:rPr>
          <w:rFonts w:ascii="Times New Roman" w:hAnsi="Times New Roman" w:eastAsia="宋体" w:cs="Times New Roman"/>
          <w:sz w:val="24"/>
        </w:rPr>
      </w:pPr>
      <w:r/>
      <w:bookmarkStart w:id="31" w:name="_Toc28359086"/>
      <w:r/>
      <w:bookmarkStart w:id="32" w:name="_Toc28359009"/>
      <w:r>
        <w:rPr>
          <w:rFonts w:ascii="Times New Roman" w:hAnsi="Times New Roman" w:eastAsia="宋体" w:cs="Times New Roman"/>
          <w:sz w:val="24"/>
        </w:rPr>
        <w:t xml:space="preserve">名    称：常州市新北区市政绿化管理所</w:t>
      </w:r>
      <w:r>
        <w:rPr>
          <w:rFonts w:ascii="Times New Roman" w:hAnsi="Times New Roman" w:eastAsia="宋体" w:cs="Times New Roman"/>
          <w:sz w:val="24"/>
        </w:rPr>
      </w:r>
      <w:r/>
    </w:p>
    <w:p>
      <w:pPr>
        <w:pStyle w:val="775"/>
        <w:ind w:firstLine="72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地    址：常州市新北区泰山路225号</w:t>
      </w:r>
      <w:r>
        <w:rPr>
          <w:rFonts w:ascii="Times New Roman" w:hAnsi="Times New Roman" w:eastAsia="宋体" w:cs="Times New Roman"/>
          <w:sz w:val="24"/>
        </w:rPr>
      </w:r>
      <w:r/>
    </w:p>
    <w:p>
      <w:pPr>
        <w:pStyle w:val="775"/>
        <w:ind w:firstLine="72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联系方式：0519-89816903</w:t>
      </w:r>
      <w:r>
        <w:rPr>
          <w:rFonts w:ascii="Times New Roman" w:hAnsi="Times New Roman" w:eastAsia="宋体" w:cs="Times New Roman"/>
          <w:sz w:val="24"/>
        </w:rPr>
      </w:r>
      <w:r/>
    </w:p>
    <w:p>
      <w:pPr>
        <w:pStyle w:val="775"/>
        <w:ind w:left="1080" w:hanging="301"/>
        <w:jc w:val="left"/>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2.采购代理机构信息</w:t>
      </w:r>
      <w:bookmarkEnd w:id="31"/>
      <w:r/>
      <w:bookmarkEnd w:id="32"/>
      <w:r>
        <w:rPr>
          <w:rFonts w:ascii="Times New Roman" w:hAnsi="Times New Roman" w:eastAsia="宋体" w:cs="Times New Roman"/>
          <w:b/>
          <w:sz w:val="24"/>
        </w:rPr>
      </w:r>
      <w:r/>
    </w:p>
    <w:p>
      <w:pPr>
        <w:pStyle w:val="775"/>
        <w:ind w:firstLine="720"/>
        <w:spacing w:line="360" w:lineRule="auto"/>
        <w:rPr>
          <w:rFonts w:ascii="Times New Roman" w:hAnsi="Times New Roman" w:eastAsia="宋体" w:cs="Times New Roman"/>
          <w:sz w:val="24"/>
        </w:rPr>
      </w:pPr>
      <w:r/>
      <w:bookmarkStart w:id="33" w:name="_Toc28359087"/>
      <w:r/>
      <w:bookmarkStart w:id="34" w:name="_Toc28359010"/>
      <w:r>
        <w:rPr>
          <w:rFonts w:ascii="Times New Roman" w:hAnsi="Times New Roman" w:eastAsia="宋体" w:cs="Times New Roman"/>
          <w:sz w:val="24"/>
        </w:rPr>
        <w:t xml:space="preserve">名    称：江苏中冠工程咨询有限公司</w:t>
      </w:r>
      <w:r>
        <w:rPr>
          <w:rFonts w:ascii="Times New Roman" w:hAnsi="Times New Roman" w:eastAsia="宋体" w:cs="Times New Roman"/>
          <w:sz w:val="24"/>
        </w:rPr>
      </w:r>
      <w:r/>
    </w:p>
    <w:p>
      <w:pPr>
        <w:pStyle w:val="775"/>
        <w:ind w:firstLine="720"/>
        <w:spacing w:line="360" w:lineRule="auto"/>
        <w:rPr>
          <w:rFonts w:ascii="Times New Roman" w:hAnsi="Times New Roman" w:eastAsia="宋体" w:cs="Times New Roman"/>
          <w:sz w:val="24"/>
        </w:rPr>
      </w:pPr>
      <w:r>
        <w:rPr>
          <w:rFonts w:ascii="Times New Roman" w:hAnsi="Times New Roman" w:eastAsia="宋体" w:cs="Times New Roman"/>
          <w:sz w:val="24"/>
        </w:rPr>
        <w:t xml:space="preserve">地　　址：常州市新北区龙锦路1259-2号9楼</w:t>
      </w:r>
      <w:r>
        <w:rPr>
          <w:rFonts w:ascii="Times New Roman" w:hAnsi="Times New Roman" w:eastAsia="宋体" w:cs="Times New Roman"/>
          <w:sz w:val="24"/>
        </w:rPr>
      </w:r>
      <w:r/>
    </w:p>
    <w:p>
      <w:pPr>
        <w:pStyle w:val="775"/>
        <w:ind w:firstLine="720"/>
        <w:jc w:val="left"/>
        <w:spacing w:line="360" w:lineRule="auto"/>
        <w:rPr>
          <w:rFonts w:ascii="Times New Roman" w:hAnsi="Times New Roman" w:eastAsia="宋体" w:cs="Times New Roman"/>
          <w:sz w:val="24"/>
          <w:u w:val="single"/>
        </w:rPr>
      </w:pPr>
      <w:r>
        <w:rPr>
          <w:rFonts w:ascii="Times New Roman" w:hAnsi="Times New Roman" w:eastAsia="宋体" w:cs="Times New Roman"/>
          <w:sz w:val="24"/>
        </w:rPr>
        <w:t xml:space="preserve">联系方式：0519-85581855</w:t>
      </w:r>
      <w:r>
        <w:rPr>
          <w:rFonts w:ascii="Times New Roman" w:hAnsi="Times New Roman" w:eastAsia="宋体" w:cs="Times New Roman"/>
          <w:sz w:val="24"/>
          <w:u w:val="single"/>
        </w:rPr>
      </w:r>
      <w:r/>
    </w:p>
    <w:p>
      <w:pPr>
        <w:pStyle w:val="775"/>
        <w:ind w:firstLine="723"/>
        <w:spacing w:line="360" w:lineRule="auto"/>
        <w:rPr>
          <w:rFonts w:ascii="Times New Roman" w:hAnsi="Times New Roman" w:eastAsia="宋体" w:cs="Times New Roman"/>
          <w:b/>
          <w:sz w:val="24"/>
          <w:u w:val="single"/>
        </w:rPr>
      </w:pPr>
      <w:r>
        <w:rPr>
          <w:rFonts w:ascii="Times New Roman" w:hAnsi="Times New Roman" w:eastAsia="宋体" w:cs="Times New Roman"/>
          <w:b/>
          <w:sz w:val="24"/>
        </w:rPr>
        <w:t xml:space="preserve">3.项目联系方式</w:t>
      </w:r>
      <w:bookmarkEnd w:id="33"/>
      <w:r/>
      <w:bookmarkEnd w:id="34"/>
      <w:r>
        <w:rPr>
          <w:rFonts w:ascii="Times New Roman" w:hAnsi="Times New Roman" w:eastAsia="宋体" w:cs="Times New Roman"/>
          <w:b/>
          <w:sz w:val="24"/>
          <w:u w:val="single"/>
        </w:rPr>
      </w:r>
      <w:r/>
    </w:p>
    <w:p>
      <w:pPr>
        <w:pStyle w:val="775"/>
        <w:ind w:firstLine="720"/>
        <w:spacing w:line="360" w:lineRule="auto"/>
        <w:rPr>
          <w:rFonts w:ascii="Times New Roman" w:hAnsi="Times New Roman" w:eastAsia="宋体" w:cs="Times New Roman"/>
          <w:sz w:val="24"/>
        </w:rPr>
      </w:pPr>
      <w:r>
        <w:rPr>
          <w:rFonts w:ascii="Times New Roman" w:hAnsi="Times New Roman" w:eastAsia="宋体" w:cs="Times New Roman"/>
          <w:sz w:val="24"/>
        </w:rPr>
        <w:t xml:space="preserve">项目联系人：朱先生</w:t>
      </w:r>
      <w:r>
        <w:rPr>
          <w:rFonts w:ascii="Times New Roman" w:hAnsi="Times New Roman" w:eastAsia="宋体" w:cs="Times New Roman"/>
          <w:sz w:val="24"/>
        </w:rPr>
      </w:r>
      <w:r/>
    </w:p>
    <w:p>
      <w:pPr>
        <w:pStyle w:val="815"/>
        <w:ind w:firstLine="720"/>
        <w:spacing w:line="360" w:lineRule="auto"/>
        <w:rPr>
          <w:rFonts w:ascii="Times New Roman" w:hAnsi="Times New Roman" w:eastAsia="宋体" w:cs="Times New Roman"/>
          <w:sz w:val="24"/>
          <w:szCs w:val="24"/>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Times New Roman" w:hAnsi="Times New Roman" w:eastAsia="宋体" w:cs="Times New Roman"/>
          <w:sz w:val="24"/>
          <w:szCs w:val="24"/>
        </w:rPr>
        <w:t xml:space="preserve">电　　  话：0519-85581855</w:t>
      </w:r>
      <w:bookmarkStart w:id="35" w:name="_Toc305158928"/>
      <w:r/>
      <w:bookmarkStart w:id="36" w:name="_Toc195842950"/>
      <w:r/>
      <w:bookmarkStart w:id="37" w:name="_Toc265228423"/>
      <w:r/>
      <w:bookmarkStart w:id="38" w:name="_Toc305158854"/>
      <w:r/>
      <w:bookmarkStart w:id="39" w:name="_Toc99301280"/>
      <w:r/>
      <w:bookmarkStart w:id="40" w:name="_Toc512937850"/>
      <w:r/>
      <w:bookmarkStart w:id="41" w:name="_Toc226965856"/>
      <w:r/>
      <w:bookmarkStart w:id="42" w:name="_Toc127151777"/>
      <w:r/>
      <w:bookmarkStart w:id="43" w:name="_Toc353825548"/>
      <w:r/>
      <w:bookmarkStart w:id="44" w:name="_Toc264969275"/>
      <w:r/>
      <w:bookmarkStart w:id="45" w:name="_Toc353873938"/>
      <w:r/>
      <w:bookmarkStart w:id="46" w:name="_Toc150774783"/>
      <w:r/>
      <w:bookmarkStart w:id="47" w:name="_Toc127161488"/>
      <w:r>
        <w:rPr>
          <w:rFonts w:ascii="Times New Roman" w:hAnsi="Times New Roman" w:eastAsia="宋体" w:cs="Times New Roman"/>
          <w:sz w:val="24"/>
          <w:szCs w:val="24"/>
        </w:rPr>
      </w:r>
      <w:r/>
    </w:p>
    <w:p>
      <w:pPr>
        <w:pStyle w:val="815"/>
        <w:jc w:val="center"/>
        <w:spacing w:line="360" w:lineRule="auto"/>
        <w:rPr>
          <w:rFonts w:ascii="Times New Roman" w:hAnsi="Times New Roman" w:eastAsia="宋体" w:cs="Times New Roman"/>
          <w:b/>
          <w:sz w:val="32"/>
          <w:szCs w:val="32"/>
        </w:rPr>
        <w:outlineLvl w:val="0"/>
      </w:pPr>
      <w:r/>
      <w:bookmarkStart w:id="48" w:name="_Toc30572"/>
      <w:r/>
      <w:bookmarkStart w:id="49" w:name="_Toc3627"/>
      <w:r/>
      <w:bookmarkStart w:id="50" w:name="_Toc319"/>
      <w:r/>
      <w:bookmarkStart w:id="51" w:name="_Toc24045"/>
      <w:r/>
      <w:bookmarkStart w:id="52" w:name="_Toc14999"/>
      <w:r/>
      <w:bookmarkStart w:id="53" w:name="_Toc19837"/>
      <w:r>
        <w:rPr>
          <w:rFonts w:ascii="Times New Roman" w:hAnsi="Times New Roman" w:eastAsia="宋体" w:cs="Times New Roman"/>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rFonts w:ascii="Times New Roman" w:hAnsi="Times New Roman" w:eastAsia="宋体" w:cs="Times New Roman"/>
          <w:b/>
          <w:sz w:val="32"/>
          <w:szCs w:val="32"/>
        </w:rPr>
      </w:r>
      <w:r/>
    </w:p>
    <w:p>
      <w:pPr>
        <w:pStyle w:val="777"/>
        <w:spacing w:before="0" w:line="360" w:lineRule="auto"/>
        <w:tabs>
          <w:tab w:val="center" w:pos="4592" w:leader="none"/>
          <w:tab w:val="left" w:pos="7860" w:leader="none"/>
        </w:tabs>
        <w:rPr>
          <w:rFonts w:ascii="Times New Roman" w:hAnsi="Times New Roman" w:eastAsia="宋体" w:cs="Times New Roman"/>
          <w:sz w:val="28"/>
        </w:rPr>
      </w:pPr>
      <w:r/>
      <w:bookmarkStart w:id="54" w:name="_Toc164351613"/>
      <w:r/>
      <w:bookmarkStart w:id="55" w:name="_Toc164229214"/>
      <w:r/>
      <w:bookmarkStart w:id="56" w:name="_Toc150774619"/>
      <w:r/>
      <w:bookmarkStart w:id="57" w:name="_Toc127161433"/>
      <w:r/>
      <w:bookmarkStart w:id="58" w:name="_Toc164608788"/>
      <w:r/>
      <w:bookmarkStart w:id="59" w:name="_Toc150774724"/>
      <w:r/>
      <w:bookmarkStart w:id="60" w:name="_Toc164608633"/>
      <w:r/>
      <w:bookmarkStart w:id="61" w:name="_Toc151193907"/>
      <w:r/>
      <w:bookmarkStart w:id="62" w:name="_Toc151193617"/>
      <w:r/>
      <w:bookmarkStart w:id="63" w:name="_Toc520356144"/>
      <w:r/>
      <w:bookmarkStart w:id="64" w:name="_Toc142311021"/>
      <w:r/>
      <w:bookmarkStart w:id="65" w:name="_Toc151193689"/>
      <w:r/>
      <w:bookmarkStart w:id="66" w:name="_Toc164229360"/>
      <w:r/>
      <w:bookmarkStart w:id="67" w:name="_Toc151193833"/>
      <w:r/>
      <w:bookmarkStart w:id="68" w:name="_Toc195842884"/>
      <w:r/>
      <w:bookmarkStart w:id="69" w:name="_Toc150480757"/>
      <w:r/>
      <w:bookmarkStart w:id="70" w:name="_Toc151190146"/>
      <w:r/>
      <w:bookmarkStart w:id="71" w:name="_Toc149720812"/>
      <w:r/>
      <w:bookmarkStart w:id="72" w:name="_Toc127151720"/>
      <w:r/>
      <w:bookmarkStart w:id="73" w:name="_Toc127151519"/>
      <w:r/>
      <w:bookmarkStart w:id="74" w:name="_Toc151193761"/>
      <w:r/>
      <w:bookmarkStart w:id="75" w:name="_Toc150509270"/>
      <w:r/>
      <w:bookmarkStart w:id="76" w:name="_Toc226965709"/>
      <w:r/>
      <w:bookmarkStart w:id="77" w:name="_Toc226965792"/>
      <w:r/>
      <w:bookmarkStart w:id="78" w:name="_Toc226337215"/>
      <w:r/>
      <w:bookmarkStart w:id="79" w:name="_Toc226309763"/>
      <w:r>
        <w:rPr>
          <w:rFonts w:ascii="Times New Roman" w:hAnsi="Times New Roman" w:eastAsia="宋体" w:cs="Times New Roman"/>
          <w:sz w:val="28"/>
        </w:rPr>
        <w:t xml:space="preserve">供应商须知资料表</w:t>
      </w:r>
      <w:r>
        <w:rPr>
          <w:rFonts w:ascii="Times New Roman" w:hAnsi="Times New Roman" w:eastAsia="宋体" w:cs="Times New Roman"/>
          <w:sz w:val="28"/>
        </w:rPr>
      </w:r>
      <w:r/>
    </w:p>
    <w:tbl>
      <w:tblPr>
        <w:tblW w:w="10152" w:type="dxa"/>
        <w:jc w:val="center"/>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1800"/>
        <w:gridCol w:w="7392"/>
      </w:tblGrid>
      <w:tr>
        <w:trPr>
          <w:trHeight w:val="594"/>
          <w:tblHeader/>
        </w:trPr>
        <w:tc>
          <w:tcPr>
            <w:tcW w:w="960" w:type="dxa"/>
            <w:vAlign w:val="center"/>
            <w:textDirection w:val="lrTb"/>
            <w:noWrap w:val="false"/>
          </w:tcPr>
          <w:p>
            <w:pPr>
              <w:pStyle w:val="775"/>
              <w:jc w:val="center"/>
              <w:rPr>
                <w:rFonts w:ascii="Times New Roman" w:hAnsi="Times New Roman" w:eastAsia="宋体" w:cs="Times New Roman"/>
                <w:b/>
                <w:bCs/>
                <w:sz w:val="24"/>
              </w:rPr>
            </w:pPr>
            <w:r>
              <w:rPr>
                <w:rFonts w:ascii="Times New Roman" w:hAnsi="Times New Roman" w:eastAsia="宋体" w:cs="Times New Roman"/>
                <w:b/>
                <w:sz w:val="24"/>
              </w:rPr>
              <w:t xml:space="preserve">条款号</w:t>
            </w:r>
            <w:r>
              <w:rPr>
                <w:rFonts w:ascii="Times New Roman" w:hAnsi="Times New Roman" w:eastAsia="宋体" w:cs="Times New Roman"/>
                <w:b/>
                <w:bCs/>
                <w:sz w:val="24"/>
              </w:rPr>
            </w:r>
            <w:r/>
          </w:p>
        </w:tc>
        <w:tc>
          <w:tcPr>
            <w:tcW w:w="1800" w:type="dxa"/>
            <w:vAlign w:val="center"/>
            <w:textDirection w:val="lrTb"/>
            <w:noWrap w:val="false"/>
          </w:tcPr>
          <w:p>
            <w:pPr>
              <w:pStyle w:val="775"/>
              <w:jc w:val="center"/>
              <w:rPr>
                <w:rFonts w:ascii="Times New Roman" w:hAnsi="Times New Roman" w:eastAsia="宋体" w:cs="Times New Roman"/>
                <w:b/>
                <w:bCs/>
                <w:sz w:val="24"/>
              </w:rPr>
            </w:pPr>
            <w:r>
              <w:rPr>
                <w:rFonts w:ascii="Times New Roman" w:hAnsi="Times New Roman" w:eastAsia="宋体" w:cs="Times New Roman"/>
                <w:b/>
                <w:bCs/>
                <w:sz w:val="24"/>
              </w:rPr>
              <w:t xml:space="preserve">条目</w:t>
            </w:r>
            <w:r>
              <w:rPr>
                <w:rFonts w:ascii="Times New Roman" w:hAnsi="Times New Roman" w:eastAsia="宋体" w:cs="Times New Roman"/>
                <w:b/>
                <w:bCs/>
                <w:sz w:val="24"/>
              </w:rPr>
            </w:r>
            <w:r/>
          </w:p>
        </w:tc>
        <w:tc>
          <w:tcPr>
            <w:tcW w:w="7392" w:type="dxa"/>
            <w:vAlign w:val="center"/>
            <w:textDirection w:val="lrTb"/>
            <w:noWrap w:val="false"/>
          </w:tcPr>
          <w:p>
            <w:pPr>
              <w:pStyle w:val="775"/>
              <w:jc w:val="center"/>
              <w:rPr>
                <w:rFonts w:ascii="Times New Roman" w:hAnsi="Times New Roman" w:eastAsia="宋体" w:cs="Times New Roman"/>
                <w:b/>
                <w:bCs/>
                <w:sz w:val="24"/>
              </w:rPr>
            </w:pPr>
            <w:r>
              <w:rPr>
                <w:rFonts w:ascii="Times New Roman" w:hAnsi="Times New Roman" w:eastAsia="宋体" w:cs="Times New Roman"/>
                <w:b/>
                <w:bCs/>
                <w:sz w:val="24"/>
              </w:rPr>
              <w:t xml:space="preserve">内容</w:t>
            </w:r>
            <w:r>
              <w:rPr>
                <w:rFonts w:ascii="Times New Roman" w:hAnsi="Times New Roman" w:eastAsia="宋体" w:cs="Times New Roman"/>
                <w:b/>
                <w:bCs/>
                <w:sz w:val="24"/>
              </w:rPr>
            </w:r>
            <w:r/>
          </w:p>
        </w:tc>
      </w:tr>
      <w:tr>
        <w:trPr>
          <w:trHeight w:val="20"/>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科研仪器设备</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是否属于科研仪器设备采购项目：</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□是</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■否</w:t>
            </w:r>
            <w:r>
              <w:rPr>
                <w:rFonts w:ascii="Times New Roman" w:hAnsi="Times New Roman" w:eastAsia="宋体" w:cs="Times New Roman"/>
                <w:sz w:val="24"/>
              </w:rPr>
            </w:r>
            <w:r/>
          </w:p>
        </w:tc>
      </w:tr>
      <w:tr>
        <w:trPr>
          <w:trHeight w:val="490"/>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3.2.5</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标的所属行业</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本项目采购标的对应的中小企业划分标准所属行业：</w:t>
            </w:r>
            <w:r>
              <w:rPr>
                <w:rFonts w:ascii="Times New Roman" w:hAnsi="Times New Roman" w:eastAsia="宋体" w:cs="Times New Roman"/>
                <w:b/>
                <w:bCs/>
                <w:spacing w:val="0"/>
                <w:sz w:val="24"/>
                <w:highlight w:val="none"/>
              </w:rPr>
              <w:t xml:space="preserve">其他未列明行业</w:t>
            </w:r>
            <w:r>
              <w:rPr>
                <w:rFonts w:ascii="Times New Roman" w:hAnsi="Times New Roman" w:eastAsia="宋体" w:cs="Times New Roman"/>
                <w:sz w:val="24"/>
              </w:rPr>
            </w:r>
            <w:r/>
          </w:p>
        </w:tc>
      </w:tr>
      <w:tr>
        <w:trPr>
          <w:trHeight w:val="721"/>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6.3</w:t>
            </w:r>
            <w:r>
              <w:rPr>
                <w:rFonts w:ascii="Times New Roman" w:hAnsi="Times New Roman" w:eastAsia="宋体" w:cs="Times New Roman"/>
                <w:sz w:val="24"/>
                <w:szCs w:val="24"/>
              </w:rPr>
            </w:r>
            <w:r/>
          </w:p>
        </w:tc>
        <w:tc>
          <w:tcPr>
            <w:tcW w:w="1800" w:type="dxa"/>
            <w:vAlign w:val="center"/>
            <w:textDirection w:val="lrTb"/>
            <w:noWrap w:val="false"/>
          </w:tcPr>
          <w:p>
            <w:pPr>
              <w:pStyle w:val="775"/>
              <w:rPr>
                <w:rFonts w:ascii="Times New Roman" w:hAnsi="Times New Roman" w:eastAsia="宋体" w:cs="Times New Roman"/>
                <w:sz w:val="24"/>
              </w:rPr>
            </w:pPr>
            <w:r>
              <w:rPr>
                <w:rFonts w:ascii="Times New Roman" w:hAnsi="Times New Roman" w:eastAsia="宋体" w:cs="Times New Roman"/>
                <w:sz w:val="24"/>
              </w:rPr>
              <w:t xml:space="preserve">对单一来源采购文件的澄清或修改</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提交响应文件截止之日前</w:t>
            </w:r>
            <w:r>
              <w:rPr>
                <w:rFonts w:ascii="Times New Roman" w:hAnsi="Times New Roman" w:eastAsia="宋体" w:cs="Times New Roman"/>
                <w:sz w:val="24"/>
              </w:rPr>
            </w:r>
            <w:r/>
          </w:p>
        </w:tc>
      </w:tr>
      <w:tr>
        <w:trPr>
          <w:trHeight w:val="721"/>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9.2</w:t>
            </w:r>
            <w:r>
              <w:rPr>
                <w:rFonts w:ascii="Times New Roman" w:hAnsi="Times New Roman" w:eastAsia="宋体" w:cs="Times New Roman"/>
                <w:sz w:val="24"/>
                <w:szCs w:val="24"/>
              </w:rPr>
            </w:r>
            <w:r/>
          </w:p>
        </w:tc>
        <w:tc>
          <w:tcPr>
            <w:tcW w:w="1800" w:type="dxa"/>
            <w:vAlign w:val="center"/>
            <w:textDirection w:val="lrTb"/>
            <w:noWrap w:val="false"/>
          </w:tcPr>
          <w:p>
            <w:pPr>
              <w:pStyle w:val="775"/>
              <w:ind w:firstLine="480"/>
              <w:rPr>
                <w:rFonts w:ascii="Times New Roman" w:hAnsi="Times New Roman" w:eastAsia="宋体" w:cs="Times New Roman"/>
                <w:sz w:val="24"/>
              </w:rPr>
            </w:pPr>
            <w:r>
              <w:rPr>
                <w:rFonts w:ascii="Times New Roman" w:hAnsi="Times New Roman" w:eastAsia="宋体" w:cs="Times New Roman"/>
                <w:sz w:val="24"/>
              </w:rPr>
              <w:t xml:space="preserve">报价</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报价的特殊规定：</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□无</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■有</w:t>
            </w:r>
            <w:r>
              <w:rPr>
                <w:rFonts w:hint="eastAsia" w:ascii="宋体" w:hAnsi="宋体" w:eastAsia="宋体" w:cs="宋体"/>
                <w:sz w:val="24"/>
              </w:rPr>
              <w:t xml:space="preserve">，具体情形：本项目采用至少二次报价，单一来源响应文件的报价作为首次报价，在谈判结束后，供应商在规定时间内提交最后报价，最后报价作为评审依据。</w:t>
            </w:r>
            <w:r>
              <w:rPr>
                <w:rFonts w:ascii="Times New Roman" w:hAnsi="Times New Roman" w:eastAsia="宋体" w:cs="Times New Roman"/>
                <w:sz w:val="24"/>
              </w:rPr>
            </w:r>
            <w:r/>
          </w:p>
        </w:tc>
      </w:tr>
      <w:tr>
        <w:trPr>
          <w:trHeight w:val="441"/>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10.1</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保证金</w:t>
            </w:r>
            <w:r>
              <w:rPr>
                <w:rFonts w:ascii="Times New Roman" w:hAnsi="Times New Roman" w:eastAsia="宋体" w:cs="Times New Roman"/>
                <w:sz w:val="24"/>
              </w:rPr>
            </w:r>
            <w:r/>
          </w:p>
        </w:tc>
        <w:tc>
          <w:tcPr>
            <w:tcW w:w="7392" w:type="dxa"/>
            <w:vAlign w:val="center"/>
            <w:textDirection w:val="lrTb"/>
            <w:noWrap w:val="false"/>
          </w:tcPr>
          <w:p>
            <w:pPr>
              <w:pStyle w:val="815"/>
              <w:rPr>
                <w:rFonts w:ascii="Times New Roman" w:hAnsi="Times New Roman" w:eastAsia="宋体" w:cs="Times New Roman"/>
                <w:sz w:val="24"/>
                <w:szCs w:val="24"/>
              </w:rPr>
            </w:pPr>
            <w:r>
              <w:rPr>
                <w:rFonts w:ascii="Times New Roman" w:hAnsi="Times New Roman" w:eastAsia="宋体" w:cs="Times New Roman"/>
                <w:sz w:val="24"/>
                <w:szCs w:val="24"/>
              </w:rPr>
              <w:t xml:space="preserve">免收</w:t>
            </w:r>
            <w:r>
              <w:rPr>
                <w:rFonts w:ascii="Times New Roman" w:hAnsi="Times New Roman" w:eastAsia="宋体" w:cs="Times New Roman"/>
                <w:sz w:val="24"/>
                <w:szCs w:val="24"/>
              </w:rPr>
            </w:r>
            <w:r/>
          </w:p>
        </w:tc>
      </w:tr>
      <w:tr>
        <w:trPr>
          <w:trHeight w:val="436"/>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11.1</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响应有效期</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自提交响应文件的截止之日起算60日历天。</w:t>
            </w:r>
            <w:r>
              <w:rPr>
                <w:rFonts w:ascii="Times New Roman" w:hAnsi="Times New Roman" w:eastAsia="宋体" w:cs="Times New Roman"/>
                <w:sz w:val="24"/>
              </w:rPr>
            </w:r>
            <w:r/>
          </w:p>
        </w:tc>
      </w:tr>
      <w:tr>
        <w:trPr>
          <w:trHeight w:val="433"/>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16.1</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解密地点</w:t>
            </w:r>
            <w:r>
              <w:rPr>
                <w:rFonts w:ascii="Times New Roman" w:hAnsi="Times New Roman" w:eastAsia="宋体" w:cs="Times New Roman"/>
                <w:sz w:val="24"/>
              </w:rPr>
            </w:r>
            <w:r/>
          </w:p>
        </w:tc>
        <w:tc>
          <w:tcPr>
            <w:tcW w:w="7392" w:type="dxa"/>
            <w:vAlign w:val="center"/>
            <w:textDirection w:val="lrTb"/>
            <w:noWrap w:val="false"/>
          </w:tcPr>
          <w:p>
            <w:pPr>
              <w:pStyle w:val="775"/>
              <w:jc w:val="left"/>
              <w:rPr>
                <w:rFonts w:hint="eastAsia" w:ascii="Times New Roman" w:hAnsi="Times New Roman" w:eastAsia="宋体" w:cs="Times New Roman"/>
                <w:sz w:val="24"/>
                <w:lang w:eastAsia="zh-CN"/>
              </w:rPr>
            </w:pPr>
            <w:r>
              <w:rPr>
                <w:rFonts w:ascii="Times New Roman" w:hAnsi="Times New Roman" w:eastAsia="宋体" w:cs="Times New Roman"/>
                <w:sz w:val="24"/>
              </w:rPr>
              <w:t xml:space="preserve">地点：</w:t>
            </w:r>
            <w:r>
              <w:rPr>
                <w:rFonts w:ascii="Times New Roman" w:hAnsi="Times New Roman" w:eastAsia="宋体" w:cs="Times New Roman"/>
                <w:sz w:val="24"/>
                <w:lang w:bidi="ar"/>
              </w:rPr>
              <w:t xml:space="preserve">政府采购一体化平台</w:t>
            </w:r>
            <w:r>
              <w:rPr>
                <w:rFonts w:hint="eastAsia" w:ascii="Times New Roman" w:hAnsi="Times New Roman" w:eastAsia="宋体" w:cs="Times New Roman"/>
                <w:sz w:val="24"/>
                <w:lang w:eastAsia="zh-CN" w:bidi="ar"/>
              </w:rPr>
              <w:t xml:space="preserve">“</w:t>
            </w:r>
            <w:r>
              <w:rPr>
                <w:rFonts w:ascii="Times New Roman" w:hAnsi="Times New Roman" w:eastAsia="宋体" w:cs="Times New Roman"/>
                <w:sz w:val="24"/>
                <w:lang w:bidi="ar"/>
              </w:rPr>
              <w:t xml:space="preserve">苏采云</w:t>
            </w:r>
            <w:r>
              <w:rPr>
                <w:rFonts w:hint="eastAsia" w:ascii="Times New Roman" w:hAnsi="Times New Roman" w:eastAsia="宋体" w:cs="Times New Roman"/>
                <w:sz w:val="24"/>
                <w:lang w:eastAsia="zh-CN" w:bidi="ar"/>
              </w:rPr>
              <w:t xml:space="preserve">”</w:t>
            </w:r>
            <w:r>
              <w:rPr>
                <w:rFonts w:hint="eastAsia" w:ascii="Times New Roman" w:hAnsi="Times New Roman" w:eastAsia="宋体" w:cs="Times New Roman"/>
                <w:sz w:val="24"/>
                <w:lang w:eastAsia="zh-CN"/>
              </w:rPr>
            </w:r>
            <w:r/>
          </w:p>
        </w:tc>
      </w:tr>
      <w:tr>
        <w:trPr>
          <w:trHeight w:val="998"/>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22.5</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分包</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本项目是否允许分包： </w:t>
            </w:r>
            <w:r>
              <w:rPr>
                <w:rFonts w:ascii="Times New Roman" w:hAnsi="Times New Roman" w:eastAsia="宋体" w:cs="Times New Roman"/>
                <w:color w:val="000000"/>
                <w:sz w:val="24"/>
                <w:highlight w:val="none"/>
              </w:rPr>
            </w:r>
            <w:r/>
          </w:p>
          <w:p>
            <w:pPr>
              <w:pStyle w:val="775"/>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□不允许</w:t>
            </w:r>
            <w:r>
              <w:rPr>
                <w:rFonts w:ascii="Times New Roman" w:hAnsi="Times New Roman" w:eastAsia="宋体" w:cs="Times New Roman"/>
                <w:color w:val="000000"/>
                <w:sz w:val="24"/>
                <w:highlight w:val="none"/>
              </w:rPr>
            </w:r>
            <w:r/>
          </w:p>
          <w:p>
            <w:pPr>
              <w:pStyle w:val="775"/>
              <w:jc w:val="left"/>
              <w:rPr>
                <w:color w:val="000000"/>
                <w:sz w:val="24"/>
                <w:highlight w:val="none"/>
              </w:rPr>
            </w:pPr>
            <w:r>
              <w:rPr>
                <w:rFonts w:ascii="Times New Roman" w:hAnsi="Times New Roman" w:eastAsia="宋体" w:cs="Times New Roman"/>
                <w:color w:val="000000"/>
                <w:sz w:val="24"/>
                <w:highlight w:val="none"/>
              </w:rPr>
              <w:t xml:space="preserve">■允许</w:t>
            </w:r>
            <w:r>
              <w:rPr>
                <w:rFonts w:hint="eastAsia" w:ascii="Times New Roman" w:hAnsi="Times New Roman" w:eastAsia="宋体" w:cs="Times New Roman"/>
                <w:color w:val="000000"/>
                <w:sz w:val="24"/>
                <w:highlight w:val="none"/>
                <w:lang w:eastAsia="zh-CN"/>
              </w:rPr>
              <w:t xml:space="preserve">，</w:t>
            </w:r>
            <w:r>
              <w:rPr>
                <w:color w:val="000000"/>
                <w:sz w:val="24"/>
                <w:highlight w:val="none"/>
              </w:rPr>
              <w:t xml:space="preserve">具体要求：</w:t>
            </w:r>
            <w:r>
              <w:rPr>
                <w:color w:val="000000"/>
                <w:sz w:val="24"/>
                <w:highlight w:val="none"/>
              </w:rPr>
            </w:r>
            <w:r/>
          </w:p>
          <w:p>
            <w:pPr>
              <w:pStyle w:val="775"/>
              <w:jc w:val="left"/>
              <w:rPr>
                <w:color w:val="000000"/>
                <w:sz w:val="24"/>
                <w:highlight w:val="none"/>
              </w:rPr>
            </w:pPr>
            <w:r>
              <w:rPr>
                <w:color w:val="000000"/>
                <w:sz w:val="24"/>
                <w:highlight w:val="none"/>
              </w:rPr>
              <w:t xml:space="preserve">（1）可以分包履行的具体内容：</w:t>
            </w:r>
            <w:r>
              <w:rPr>
                <w:rFonts w:hint="eastAsia"/>
                <w:color w:val="000000"/>
                <w:sz w:val="24"/>
                <w:highlight w:val="none"/>
              </w:rPr>
              <w:t xml:space="preserve">本项目允许</w:t>
            </w:r>
            <w:r>
              <w:rPr>
                <w:rFonts w:hint="eastAsia"/>
                <w:color w:val="000000"/>
                <w:sz w:val="24"/>
                <w:highlight w:val="none"/>
                <w:lang w:val="en-US" w:eastAsia="zh-CN"/>
              </w:rPr>
              <w:t xml:space="preserve">成交</w:t>
            </w:r>
            <w:r>
              <w:rPr>
                <w:rFonts w:hint="eastAsia"/>
                <w:color w:val="000000"/>
                <w:sz w:val="24"/>
                <w:highlight w:val="none"/>
              </w:rPr>
              <w:t xml:space="preserve">供应商对非主体、非关键性辅助工作实施分包</w:t>
            </w:r>
            <w:r>
              <w:rPr>
                <w:color w:val="000000"/>
                <w:sz w:val="24"/>
                <w:highlight w:val="none"/>
              </w:rPr>
              <w:t xml:space="preserve">；</w:t>
            </w:r>
            <w:r>
              <w:rPr>
                <w:color w:val="000000"/>
                <w:sz w:val="24"/>
                <w:highlight w:val="none"/>
              </w:rPr>
            </w:r>
            <w:r/>
          </w:p>
          <w:p>
            <w:pPr>
              <w:pStyle w:val="775"/>
              <w:jc w:val="left"/>
              <w:rPr>
                <w:color w:val="000000"/>
                <w:sz w:val="24"/>
                <w:highlight w:val="none"/>
              </w:rPr>
            </w:pPr>
            <w:r>
              <w:rPr>
                <w:color w:val="000000"/>
                <w:sz w:val="24"/>
                <w:highlight w:val="none"/>
              </w:rPr>
              <w:t xml:space="preserve">（2）允许分包的金额或者比例：</w:t>
            </w:r>
            <w:r>
              <w:rPr>
                <w:rFonts w:hint="eastAsia"/>
                <w:color w:val="000000"/>
                <w:sz w:val="24"/>
                <w:highlight w:val="none"/>
              </w:rPr>
              <w:t xml:space="preserve">分包总额最高不得超过合同结算总金额</w:t>
            </w:r>
            <w:r>
              <w:rPr>
                <w:rFonts w:hint="eastAsia"/>
                <w:color w:val="000000"/>
                <w:sz w:val="24"/>
                <w:highlight w:val="none"/>
                <w:lang w:val="en-US" w:eastAsia="zh-CN"/>
              </w:rPr>
              <w:t xml:space="preserve">40</w:t>
            </w:r>
            <w:r>
              <w:rPr>
                <w:rFonts w:hint="eastAsia"/>
                <w:color w:val="000000"/>
                <w:sz w:val="24"/>
                <w:highlight w:val="none"/>
              </w:rPr>
              <w:t xml:space="preserve">%</w:t>
            </w:r>
            <w:r>
              <w:rPr>
                <w:color w:val="000000"/>
                <w:sz w:val="24"/>
                <w:highlight w:val="none"/>
              </w:rPr>
              <w:t xml:space="preserve">；</w:t>
            </w:r>
            <w:r>
              <w:rPr>
                <w:color w:val="000000"/>
                <w:sz w:val="24"/>
                <w:highlight w:val="none"/>
              </w:rPr>
            </w:r>
            <w:r/>
          </w:p>
          <w:p>
            <w:pPr>
              <w:pStyle w:val="775"/>
              <w:jc w:val="left"/>
              <w:rPr>
                <w:color w:val="000000"/>
                <w:sz w:val="24"/>
                <w:highlight w:val="none"/>
              </w:rPr>
            </w:pPr>
            <w:r>
              <w:rPr>
                <w:color w:val="000000"/>
                <w:sz w:val="24"/>
                <w:highlight w:val="none"/>
              </w:rPr>
              <w:t xml:space="preserve">（3）其他要求：</w:t>
            </w:r>
            <w:r>
              <w:rPr>
                <w:color w:val="000000"/>
                <w:sz w:val="24"/>
                <w:highlight w:val="none"/>
              </w:rPr>
            </w:r>
            <w:r/>
          </w:p>
          <w:p>
            <w:pPr>
              <w:pStyle w:val="775"/>
              <w:jc w:val="left"/>
              <w:rPr>
                <w:rFonts w:ascii="Times New Roman" w:hAnsi="Times New Roman" w:eastAsia="宋体" w:cs="Times New Roman"/>
                <w:color w:val="000000"/>
                <w:sz w:val="24"/>
                <w:highlight w:val="none"/>
                <w:u w:val="single"/>
              </w:rPr>
            </w:pPr>
            <w:r>
              <w:rPr>
                <w:rFonts w:hint="eastAsia"/>
                <w:color w:val="000000"/>
                <w:sz w:val="24"/>
                <w:highlight w:val="none"/>
                <w:lang w:val="en-US" w:eastAsia="zh-CN"/>
              </w:rPr>
              <w:t xml:space="preserve">成交后如需分包，成交供应商须提交书面申请，列明分包明细、分包单位资质、预估金额占比，经采购人书面同意后方可实施；分包商不得二次分包</w:t>
            </w:r>
            <w:r>
              <w:rPr>
                <w:color w:val="000000"/>
                <w:sz w:val="24"/>
                <w:highlight w:val="none"/>
              </w:rPr>
              <w:t xml:space="preserve">。</w:t>
            </w:r>
            <w:r>
              <w:rPr>
                <w:rFonts w:ascii="Times New Roman" w:hAnsi="Times New Roman" w:eastAsia="宋体" w:cs="Times New Roman"/>
                <w:color w:val="000000"/>
                <w:sz w:val="24"/>
                <w:highlight w:val="none"/>
                <w:u w:val="single"/>
              </w:rPr>
            </w:r>
            <w:r/>
          </w:p>
        </w:tc>
      </w:tr>
      <w:tr>
        <w:trPr>
          <w:trHeight w:val="436"/>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23.1.1</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询问</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询问送达形式：书面方式。</w:t>
            </w:r>
            <w:r>
              <w:rPr>
                <w:rFonts w:ascii="Times New Roman" w:hAnsi="Times New Roman" w:eastAsia="宋体" w:cs="Times New Roman"/>
                <w:color w:val="000000"/>
                <w:sz w:val="24"/>
              </w:rPr>
            </w:r>
            <w:r/>
          </w:p>
        </w:tc>
      </w:tr>
      <w:tr>
        <w:trPr>
          <w:trHeight w:val="1280"/>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23.3</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联系方式</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接收询问和质疑的联系方式</w:t>
            </w:r>
            <w:r>
              <w:rPr>
                <w:rFonts w:ascii="Times New Roman" w:hAnsi="Times New Roman" w:eastAsia="宋体" w:cs="Times New Roman"/>
                <w:color w:val="000000"/>
                <w:sz w:val="24"/>
              </w:rPr>
            </w:r>
            <w:r/>
          </w:p>
          <w:p>
            <w:pPr>
              <w:pStyle w:val="775"/>
              <w:jc w:val="lef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联系部门：江苏中冠工程咨询有限公司；</w:t>
            </w:r>
            <w:r>
              <w:rPr>
                <w:rFonts w:ascii="Times New Roman" w:hAnsi="Times New Roman" w:eastAsia="宋体" w:cs="Times New Roman"/>
                <w:color w:val="000000"/>
                <w:sz w:val="24"/>
              </w:rPr>
            </w:r>
            <w:r/>
          </w:p>
          <w:p>
            <w:pPr>
              <w:pStyle w:val="775"/>
              <w:jc w:val="lef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联系电话：0519-85581855；</w:t>
            </w:r>
            <w:r>
              <w:rPr>
                <w:rFonts w:ascii="Times New Roman" w:hAnsi="Times New Roman" w:eastAsia="宋体" w:cs="Times New Roman"/>
                <w:color w:val="000000"/>
                <w:sz w:val="24"/>
              </w:rPr>
            </w:r>
            <w:r/>
          </w:p>
          <w:p>
            <w:pPr>
              <w:pStyle w:val="775"/>
              <w:jc w:val="lef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通讯地址：常州市新北区龙锦路1259-2号9楼。</w:t>
            </w:r>
            <w:r>
              <w:rPr>
                <w:rFonts w:ascii="Times New Roman" w:hAnsi="Times New Roman" w:eastAsia="宋体" w:cs="Times New Roman"/>
                <w:color w:val="000000"/>
                <w:sz w:val="24"/>
              </w:rPr>
            </w:r>
            <w:r/>
          </w:p>
        </w:tc>
      </w:tr>
      <w:tr>
        <w:trPr>
          <w:trHeight w:val="20"/>
        </w:trPr>
        <w:tc>
          <w:tcPr>
            <w:tcW w:w="960" w:type="dxa"/>
            <w:vAlign w:val="center"/>
            <w:textDirection w:val="lrTb"/>
            <w:noWrap w:val="false"/>
          </w:tcPr>
          <w:p>
            <w:pPr>
              <w:pStyle w:val="815"/>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24.1</w:t>
            </w:r>
            <w:r>
              <w:rPr>
                <w:rFonts w:ascii="Times New Roman" w:hAnsi="Times New Roman" w:eastAsia="宋体" w:cs="Times New Roman"/>
                <w:sz w:val="24"/>
                <w:szCs w:val="24"/>
              </w:rPr>
            </w:r>
            <w:r/>
          </w:p>
        </w:tc>
        <w:tc>
          <w:tcPr>
            <w:tcW w:w="1800" w:type="dxa"/>
            <w:vAlign w:val="center"/>
            <w:textDirection w:val="lrTb"/>
            <w:noWrap w:val="false"/>
          </w:tcPr>
          <w:p>
            <w:pPr>
              <w:pStyle w:val="775"/>
              <w:jc w:val="center"/>
              <w:rPr>
                <w:rFonts w:ascii="Times New Roman" w:hAnsi="Times New Roman" w:eastAsia="宋体" w:cs="Times New Roman"/>
                <w:sz w:val="24"/>
              </w:rPr>
            </w:pPr>
            <w:r>
              <w:rPr>
                <w:rFonts w:ascii="Times New Roman" w:hAnsi="Times New Roman" w:eastAsia="宋体" w:cs="Times New Roman"/>
                <w:sz w:val="24"/>
              </w:rPr>
              <w:t xml:space="preserve">代理费</w:t>
            </w:r>
            <w:r>
              <w:rPr>
                <w:rFonts w:ascii="Times New Roman" w:hAnsi="Times New Roman" w:eastAsia="宋体" w:cs="Times New Roman"/>
                <w:sz w:val="24"/>
              </w:rPr>
            </w:r>
            <w:r/>
          </w:p>
        </w:tc>
        <w:tc>
          <w:tcPr>
            <w:tcW w:w="7392" w:type="dxa"/>
            <w:vAlign w:val="center"/>
            <w:textDirection w:val="lrTb"/>
            <w:noWrap w:val="false"/>
          </w:tcPr>
          <w:p>
            <w:pPr>
              <w:pStyle w:val="775"/>
              <w:jc w:val="left"/>
              <w:rPr>
                <w:rFonts w:ascii="Times New Roman" w:hAnsi="Times New Roman" w:eastAsia="宋体" w:cs="Times New Roman"/>
                <w:sz w:val="24"/>
              </w:rPr>
            </w:pPr>
            <w:r>
              <w:rPr>
                <w:rFonts w:ascii="Times New Roman" w:hAnsi="Times New Roman" w:eastAsia="宋体" w:cs="Times New Roman"/>
                <w:b/>
                <w:sz w:val="24"/>
              </w:rPr>
              <w:t xml:space="preserve">（一）收费对象：</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□采购人</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■成交供应商，</w:t>
            </w:r>
            <w:r>
              <w:rPr>
                <w:rFonts w:ascii="Times New Roman" w:hAnsi="Times New Roman" w:eastAsia="宋体" w:cs="Times New Roman"/>
                <w:color w:val="000000"/>
                <w:sz w:val="24"/>
              </w:rPr>
              <w:t xml:space="preserve">因采购人预算金额包含代理费，本项目向成交供应商收取代理费。</w:t>
            </w:r>
            <w:r>
              <w:rPr>
                <w:rFonts w:ascii="Times New Roman" w:hAnsi="Times New Roman" w:eastAsia="宋体" w:cs="Times New Roman"/>
                <w:sz w:val="24"/>
              </w:rPr>
            </w:r>
            <w:r/>
          </w:p>
          <w:p>
            <w:pPr>
              <w:pStyle w:val="775"/>
              <w:jc w:val="left"/>
              <w:rPr>
                <w:rFonts w:ascii="Times New Roman" w:hAnsi="Times New Roman" w:eastAsia="宋体" w:cs="Times New Roman"/>
                <w:b/>
                <w:bCs/>
                <w:sz w:val="24"/>
              </w:rPr>
            </w:pPr>
            <w:r>
              <w:rPr>
                <w:rFonts w:ascii="Times New Roman" w:hAnsi="Times New Roman" w:eastAsia="宋体" w:cs="Times New Roman"/>
                <w:b/>
                <w:bCs/>
                <w:sz w:val="24"/>
              </w:rPr>
              <w:t xml:space="preserve">（二）收费标准：</w:t>
            </w:r>
            <w:r>
              <w:rPr>
                <w:rFonts w:ascii="Times New Roman" w:hAnsi="Times New Roman" w:eastAsia="宋体" w:cs="Times New Roman"/>
                <w:b/>
                <w:bCs/>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本项目代理费用参考</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计价格[2002]1980号文</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收费标准的56%计取，计费基数按</w:t>
            </w:r>
            <w:r>
              <w:rPr>
                <w:rFonts w:hint="eastAsia" w:ascii="Times New Roman" w:hAnsi="Times New Roman" w:eastAsia="宋体" w:cs="Times New Roman"/>
                <w:sz w:val="24"/>
                <w:lang w:val="en-US" w:eastAsia="zh-CN"/>
              </w:rPr>
              <w:t xml:space="preserve">成交</w:t>
            </w:r>
            <w:r>
              <w:rPr>
                <w:rFonts w:ascii="Times New Roman" w:hAnsi="Times New Roman" w:eastAsia="宋体" w:cs="Times New Roman"/>
                <w:sz w:val="24"/>
              </w:rPr>
              <w:t xml:space="preserve">金额（按一年计费）为基数，按实结算。</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缴纳时间：在发出</w:t>
            </w:r>
            <w:r>
              <w:rPr>
                <w:rFonts w:hint="eastAsia" w:ascii="Times New Roman" w:hAnsi="Times New Roman" w:eastAsia="宋体" w:cs="Times New Roman"/>
                <w:sz w:val="24"/>
                <w:lang w:val="en-US" w:eastAsia="zh-CN"/>
              </w:rPr>
              <w:t xml:space="preserve">成交</w:t>
            </w:r>
            <w:r>
              <w:rPr>
                <w:rFonts w:ascii="Times New Roman" w:hAnsi="Times New Roman" w:eastAsia="宋体" w:cs="Times New Roman"/>
                <w:sz w:val="24"/>
              </w:rPr>
              <w:t xml:space="preserve">通知书后五个工作日内。</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收款户名：江苏中冠工程咨询有限公司</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开户银行：中国工商银行常州分行营业部营业室</w:t>
            </w:r>
            <w:r>
              <w:rPr>
                <w:rFonts w:ascii="Times New Roman" w:hAnsi="Times New Roman" w:eastAsia="宋体" w:cs="Times New Roman"/>
                <w:sz w:val="24"/>
              </w:rPr>
            </w:r>
            <w:r/>
          </w:p>
          <w:p>
            <w:pPr>
              <w:pStyle w:val="775"/>
              <w:jc w:val="left"/>
              <w:rPr>
                <w:rFonts w:ascii="Times New Roman" w:hAnsi="Times New Roman" w:eastAsia="宋体" w:cs="Times New Roman"/>
                <w:sz w:val="24"/>
              </w:rPr>
            </w:pPr>
            <w:r>
              <w:rPr>
                <w:rFonts w:ascii="Times New Roman" w:hAnsi="Times New Roman" w:eastAsia="宋体" w:cs="Times New Roman"/>
                <w:sz w:val="24"/>
              </w:rPr>
              <w:t xml:space="preserve">账    号：1105020119000676959          </w:t>
            </w:r>
            <w:r>
              <w:rPr>
                <w:rFonts w:ascii="Times New Roman" w:hAnsi="Times New Roman" w:eastAsia="宋体" w:cs="Times New Roman"/>
                <w:sz w:val="24"/>
              </w:rPr>
            </w:r>
            <w:r/>
          </w:p>
        </w:tc>
      </w:tr>
    </w:tbl>
    <w:p>
      <w:pPr>
        <w:pStyle w:val="775"/>
        <w:jc w:val="both"/>
        <w:spacing w:line="360" w:lineRule="auto"/>
        <w:tabs>
          <w:tab w:val="left" w:pos="5580" w:leader="none"/>
        </w:tabs>
        <w:rPr>
          <w:rFonts w:ascii="Times New Roman" w:hAnsi="Times New Roman" w:eastAsia="宋体" w:cs="Times New Roman"/>
          <w:sz w:val="24"/>
        </w:rPr>
        <w:sectPr>
          <w:footnotePr/>
          <w:endnotePr/>
          <w:type w:val="nextPage"/>
          <w:pgSz w:w="11907" w:h="16840" w:orient="portrait"/>
          <w:pgMar w:top="1418" w:right="1134" w:bottom="1418" w:left="1701" w:header="851" w:footer="851" w:gutter="0"/>
          <w:cols w:num="1" w:sep="0" w:space="1701" w:equalWidth="1"/>
          <w:docGrid w:linePitch="360"/>
          <w:titlePg/>
        </w:sectPr>
      </w:pPr>
      <w:r>
        <w:rPr>
          <w:rFonts w:ascii="Times New Roman" w:hAnsi="Times New Roman" w:eastAsia="宋体" w:cs="Times New Roman"/>
          <w:sz w:val="24"/>
        </w:rPr>
      </w:r>
      <w:r/>
    </w:p>
    <w:p>
      <w:pPr>
        <w:pStyle w:val="775"/>
        <w:jc w:val="center"/>
        <w:spacing w:before="240" w:after="240"/>
        <w:rPr>
          <w:rFonts w:ascii="Times New Roman" w:hAnsi="Times New Roman" w:eastAsia="宋体" w:cs="Times New Roman"/>
          <w:b/>
          <w:sz w:val="28"/>
          <w:szCs w:val="28"/>
        </w:rPr>
      </w:pPr>
      <w:r/>
      <w:bookmarkStart w:id="80" w:name="_Toc142311019"/>
      <w:r/>
      <w:bookmarkStart w:id="81" w:name="_Toc264969207"/>
      <w:r/>
      <w:bookmarkStart w:id="82" w:name="_Toc150774722"/>
      <w:r/>
      <w:bookmarkStart w:id="83" w:name="_Toc226337213"/>
      <w:r/>
      <w:bookmarkStart w:id="84" w:name="_Toc353825542"/>
      <w:r/>
      <w:bookmarkStart w:id="85" w:name="_Toc150480755"/>
      <w:r/>
      <w:bookmarkStart w:id="86" w:name="_Toc127151517"/>
      <w:r/>
      <w:bookmarkStart w:id="87" w:name="_Toc353873662"/>
      <w:r/>
      <w:bookmarkStart w:id="88" w:name="_Toc305158785"/>
      <w:r/>
      <w:bookmarkStart w:id="89" w:name="_Toc226965790"/>
      <w:r/>
      <w:bookmarkStart w:id="90" w:name="_Toc353873932"/>
      <w:r/>
      <w:bookmarkStart w:id="91" w:name="_Toc265228355"/>
      <w:r/>
      <w:bookmarkStart w:id="92" w:name="_Toc195842882"/>
      <w:r/>
      <w:bookmarkStart w:id="93" w:name="_Toc305158859"/>
      <w:r>
        <w:rPr>
          <w:rFonts w:ascii="Times New Roman" w:hAnsi="Times New Roman" w:eastAsia="宋体" w:cs="Times New Roman"/>
          <w:b/>
          <w:sz w:val="28"/>
          <w:szCs w:val="28"/>
        </w:rPr>
        <w:t xml:space="preserve">供应商须知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s="Times New Roman"/>
          <w:b/>
          <w:sz w:val="28"/>
          <w:szCs w:val="28"/>
        </w:rPr>
      </w:r>
      <w:r/>
    </w:p>
    <w:p>
      <w:pPr>
        <w:pStyle w:val="777"/>
        <w:jc w:val="left"/>
        <w:spacing w:before="0" w:line="360" w:lineRule="auto"/>
        <w:tabs>
          <w:tab w:val="center" w:pos="4592" w:leader="none"/>
          <w:tab w:val="left" w:pos="7860" w:leader="none"/>
        </w:tabs>
        <w:rPr>
          <w:rFonts w:ascii="Times New Roman" w:hAnsi="Times New Roman" w:eastAsia="宋体" w:cs="Times New Roman"/>
          <w:sz w:val="28"/>
        </w:rPr>
      </w:pPr>
      <w:r/>
      <w:bookmarkStart w:id="94" w:name="_Toc127151518"/>
      <w:r/>
      <w:bookmarkStart w:id="95" w:name="_Toc520356143"/>
      <w:r>
        <w:rPr>
          <w:rFonts w:ascii="Times New Roman" w:hAnsi="Times New Roman" w:eastAsia="宋体" w:cs="Times New Roman"/>
          <w:sz w:val="28"/>
        </w:rPr>
        <w:tab/>
      </w:r>
      <w:bookmarkStart w:id="96" w:name="_Toc142311020"/>
      <w:r/>
      <w:bookmarkStart w:id="97" w:name="_Toc151193906"/>
      <w:r/>
      <w:bookmarkStart w:id="98" w:name="_Toc150509269"/>
      <w:r/>
      <w:bookmarkStart w:id="99" w:name="_Toc226337214"/>
      <w:r/>
      <w:bookmarkStart w:id="100" w:name="_Toc151190145"/>
      <w:r/>
      <w:bookmarkStart w:id="101" w:name="_Toc150480756"/>
      <w:r/>
      <w:bookmarkStart w:id="102" w:name="_Toc150774618"/>
      <w:r/>
      <w:bookmarkStart w:id="103" w:name="_Toc151193688"/>
      <w:r/>
      <w:bookmarkStart w:id="104" w:name="_Toc226965791"/>
      <w:r/>
      <w:bookmarkStart w:id="105" w:name="_Toc150774723"/>
      <w:r/>
      <w:bookmarkStart w:id="106" w:name="_Toc195842883"/>
      <w:r/>
      <w:bookmarkStart w:id="107" w:name="_Toc151193616"/>
      <w:r/>
      <w:bookmarkStart w:id="108" w:name="_Toc226965708"/>
      <w:r/>
      <w:bookmarkStart w:id="109" w:name="_Toc264969208"/>
      <w:r/>
      <w:bookmarkStart w:id="110" w:name="_Toc265228356"/>
      <w:r/>
      <w:bookmarkStart w:id="111" w:name="_Toc305158786"/>
      <w:r/>
      <w:bookmarkStart w:id="112" w:name="_Toc226309762"/>
      <w:r/>
      <w:bookmarkStart w:id="113" w:name="_Toc305158860"/>
      <w:r/>
      <w:bookmarkStart w:id="114" w:name="_Toc151193832"/>
      <w:r/>
      <w:bookmarkStart w:id="115" w:name="_Toc151193760"/>
      <w:r>
        <w:rPr>
          <w:rFonts w:ascii="Times New Roman" w:hAnsi="Times New Roman" w:eastAsia="宋体" w:cs="Times New Roman"/>
          <w:sz w:val="28"/>
        </w:rPr>
        <w:t xml:space="preserve">一   说  明</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eastAsia="宋体" w:cs="Times New Roman"/>
          <w:sz w:val="28"/>
        </w:rPr>
        <w:tab/>
      </w:r>
      <w:r>
        <w:rPr>
          <w:rFonts w:ascii="Times New Roman" w:hAnsi="Times New Roman" w:eastAsia="宋体" w:cs="Times New Roman"/>
          <w:sz w:val="28"/>
        </w:rPr>
      </w:r>
      <w:r/>
    </w:p>
    <w:p>
      <w:pPr>
        <w:pStyle w:val="775"/>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16" w:name="_Toc265228357"/>
      <w:r/>
      <w:bookmarkStart w:id="117" w:name="_Toc264969209"/>
      <w:r/>
      <w:bookmarkStart w:id="118" w:name="_Toc305158861"/>
      <w:r/>
      <w:bookmarkStart w:id="119" w:name="_Toc305158787"/>
      <w:r>
        <w:rPr>
          <w:rFonts w:ascii="Times New Roman" w:hAnsi="Times New Roman" w:eastAsia="宋体" w:cs="Times New Roman"/>
          <w:sz w:val="24"/>
        </w:rPr>
        <w:t xml:space="preserve">采购人、采购代理机构、供应商（申请人）</w:t>
      </w:r>
      <w:bookmarkEnd w:id="116"/>
      <w:r/>
      <w:bookmarkEnd w:id="117"/>
      <w:r/>
      <w:bookmarkEnd w:id="118"/>
      <w:r/>
      <w:bookmarkEnd w:id="119"/>
      <w:r>
        <w:rPr>
          <w:rFonts w:ascii="Times New Roman" w:hAnsi="Times New Roman" w:eastAsia="宋体" w:cs="Times New Roman"/>
          <w:sz w:val="24"/>
        </w:rPr>
        <w:t xml:space="preserve">、联合体</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采购人、采购代理机构：指依法进行政府采购的国家机关、事业单位、团体组织，及其委托的采购代理机构。本项目采购人、采购代理机构见第一章《采购邀请》。</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供应商（也称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申请人</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）：指向采购人提供货物、工程或者服务的法人、其他组织或者自然人。</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联合体：指两个以上的自然人、法人或者其他组织组成一个联合体，以一个供应商的身份共同参加政府采购。</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20" w:name="_Toc226309764"/>
      <w:r/>
      <w:bookmarkStart w:id="121" w:name="_Toc164608789"/>
      <w:r/>
      <w:bookmarkStart w:id="122" w:name="_Toc305158862"/>
      <w:r/>
      <w:bookmarkStart w:id="123" w:name="_Toc164351614"/>
      <w:r/>
      <w:bookmarkStart w:id="124" w:name="_Toc164229361"/>
      <w:r/>
      <w:bookmarkStart w:id="125" w:name="_Toc226965793"/>
      <w:r/>
      <w:bookmarkStart w:id="126" w:name="_Toc149720813"/>
      <w:r/>
      <w:bookmarkStart w:id="127" w:name="_Toc151193690"/>
      <w:r/>
      <w:bookmarkStart w:id="128" w:name="_Toc151193834"/>
      <w:r/>
      <w:bookmarkStart w:id="129" w:name="_Toc195842885"/>
      <w:r/>
      <w:bookmarkStart w:id="130" w:name="_Toc226337216"/>
      <w:r/>
      <w:bookmarkStart w:id="131" w:name="_Toc226965710"/>
      <w:r/>
      <w:bookmarkStart w:id="132" w:name="_Toc127151721"/>
      <w:r/>
      <w:bookmarkStart w:id="133" w:name="_Toc127151520"/>
      <w:r/>
      <w:bookmarkStart w:id="134" w:name="_Toc150509271"/>
      <w:r/>
      <w:bookmarkStart w:id="135" w:name="_Toc164608634"/>
      <w:r/>
      <w:bookmarkStart w:id="136" w:name="_Toc264969210"/>
      <w:r/>
      <w:bookmarkStart w:id="137" w:name="_Toc150774725"/>
      <w:r/>
      <w:bookmarkStart w:id="138" w:name="_Toc150480758"/>
      <w:r/>
      <w:bookmarkStart w:id="139" w:name="_Toc151193762"/>
      <w:r/>
      <w:bookmarkStart w:id="140" w:name="_Toc127161434"/>
      <w:r/>
      <w:bookmarkStart w:id="141" w:name="_Toc151193618"/>
      <w:r/>
      <w:bookmarkStart w:id="142" w:name="_Toc151193908"/>
      <w:r/>
      <w:bookmarkStart w:id="143" w:name="_Toc164229215"/>
      <w:r/>
      <w:bookmarkStart w:id="144" w:name="_Toc265228358"/>
      <w:r/>
      <w:bookmarkStart w:id="145" w:name="_Toc142311022"/>
      <w:r/>
      <w:bookmarkStart w:id="146" w:name="_Toc151190147"/>
      <w:r/>
      <w:bookmarkStart w:id="147" w:name="_Toc305158788"/>
      <w:r/>
      <w:bookmarkStart w:id="148" w:name="_Toc150774620"/>
      <w:r>
        <w:rPr>
          <w:rFonts w:ascii="Times New Roman" w:hAnsi="Times New Roman" w:eastAsia="宋体" w:cs="Times New Roman"/>
          <w:sz w:val="24"/>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s="Times New Roman"/>
          <w:sz w:val="24"/>
        </w:rPr>
        <w:t xml:space="preserve">、科研仪器设备采购</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资金来源为财政性资金和/或本项目采购中无法与财政性资金分割的非财政性资金。</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是否属于科研仪器设备采购见《供应商须知资料表》。</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49" w:name="_Toc226965795"/>
      <w:r/>
      <w:bookmarkStart w:id="150" w:name="_Toc150509273"/>
      <w:r/>
      <w:bookmarkStart w:id="151" w:name="_Toc150774727"/>
      <w:r/>
      <w:bookmarkStart w:id="152" w:name="_Toc150774622"/>
      <w:r/>
      <w:bookmarkStart w:id="153" w:name="_Toc151193692"/>
      <w:r/>
      <w:bookmarkStart w:id="154" w:name="_Toc151190149"/>
      <w:r/>
      <w:bookmarkStart w:id="155" w:name="_Toc226309766"/>
      <w:r/>
      <w:bookmarkStart w:id="156" w:name="_Toc151193836"/>
      <w:r/>
      <w:bookmarkStart w:id="157" w:name="_Toc305158864"/>
      <w:r/>
      <w:bookmarkStart w:id="158" w:name="_Toc226337218"/>
      <w:r/>
      <w:bookmarkStart w:id="159" w:name="_Toc151193910"/>
      <w:r/>
      <w:bookmarkStart w:id="160" w:name="_Toc151193764"/>
      <w:r/>
      <w:bookmarkStart w:id="161" w:name="_Toc151193620"/>
      <w:r/>
      <w:bookmarkStart w:id="162" w:name="_Toc520356146"/>
      <w:r/>
      <w:bookmarkStart w:id="163" w:name="_Toc226965712"/>
      <w:r/>
      <w:bookmarkStart w:id="164" w:name="_Toc127151522"/>
      <w:r/>
      <w:bookmarkStart w:id="165" w:name="_Toc264969212"/>
      <w:r/>
      <w:bookmarkStart w:id="166" w:name="_Toc265228360"/>
      <w:r/>
      <w:bookmarkStart w:id="167" w:name="_Toc305158790"/>
      <w:r/>
      <w:bookmarkStart w:id="168" w:name="_Toc150480760"/>
      <w:r/>
      <w:bookmarkStart w:id="169" w:name="_Toc195842887"/>
      <w:r/>
      <w:bookmarkStart w:id="170" w:name="_Toc142311024"/>
      <w:r>
        <w:rPr>
          <w:rFonts w:ascii="Times New Roman" w:hAnsi="Times New Roman" w:eastAsia="宋体" w:cs="Times New Roman"/>
          <w:sz w:val="24"/>
        </w:rPr>
        <w:t xml:space="preserve">政府采购政策（包括但不限于下列具体政策要求）</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进口产品</w:t>
      </w:r>
      <w:r>
        <w:rPr>
          <w:rFonts w:ascii="Times New Roman" w:hAnsi="Times New Roman" w:eastAsia="宋体" w:cs="Times New Roman"/>
          <w:sz w:val="24"/>
        </w:rPr>
      </w:r>
      <w:r/>
    </w:p>
    <w:p>
      <w:pPr>
        <w:pStyle w:val="775"/>
        <w:numPr>
          <w:ilvl w:val="2"/>
          <w:numId w:val="8"/>
        </w:numPr>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中小企业、监狱企业及残疾人福利性单位</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中小企业定义：</w:t>
      </w:r>
      <w:r>
        <w:rPr>
          <w:rFonts w:ascii="Times New Roman" w:hAnsi="Times New Roman" w:eastAsia="宋体" w:cs="Times New Roman"/>
          <w:sz w:val="24"/>
        </w:rPr>
      </w:r>
      <w:r/>
    </w:p>
    <w:p>
      <w:pPr>
        <w:pStyle w:val="775"/>
        <w:numPr>
          <w:ilvl w:val="3"/>
          <w:numId w:val="9"/>
        </w:numPr>
        <w:ind w:left="2885"/>
        <w:spacing w:line="360" w:lineRule="auto"/>
        <w:tabs>
          <w:tab w:val="left" w:pos="1589"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中小企业是</w:t>
      </w:r>
      <w:r>
        <w:rPr>
          <w:rFonts w:ascii="Times New Roman" w:hAnsi="Times New Roman" w:eastAsia="宋体" w:cs="Times New Roman"/>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s="Times New Roman"/>
          <w:color w:val="000000"/>
          <w:sz w:val="24"/>
        </w:rPr>
      </w:r>
      <w:r/>
    </w:p>
    <w:p>
      <w:pPr>
        <w:pStyle w:val="775"/>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供应商提供的货物、工程或者服务符合下列情形的，享受中小企业扶持政策：</w:t>
      </w:r>
      <w:r>
        <w:rPr>
          <w:rFonts w:ascii="Times New Roman" w:hAnsi="Times New Roman" w:eastAsia="宋体" w:cs="Times New Roman"/>
          <w:color w:val="000000"/>
          <w:sz w:val="24"/>
        </w:rPr>
      </w:r>
      <w:r/>
    </w:p>
    <w:p>
      <w:pPr>
        <w:pStyle w:val="775"/>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（1）在货物采购项目中，货物由中小企业制造，即货物由中小企业生产且使用该中小企业商号或者注册商标；</w:t>
      </w:r>
      <w:r>
        <w:rPr>
          <w:rFonts w:ascii="Times New Roman" w:hAnsi="Times New Roman" w:eastAsia="宋体" w:cs="Times New Roman"/>
          <w:color w:val="000000"/>
          <w:sz w:val="24"/>
        </w:rPr>
      </w:r>
      <w:r/>
    </w:p>
    <w:p>
      <w:pPr>
        <w:pStyle w:val="775"/>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（2）在工程采购项目中，工程由中小企业承建，即工程施工单位为中小企业；</w:t>
      </w:r>
      <w:r>
        <w:rPr>
          <w:rFonts w:ascii="Times New Roman" w:hAnsi="Times New Roman" w:eastAsia="宋体" w:cs="Times New Roman"/>
          <w:color w:val="000000"/>
          <w:sz w:val="24"/>
        </w:rPr>
      </w:r>
      <w:r/>
    </w:p>
    <w:p>
      <w:pPr>
        <w:pStyle w:val="775"/>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rPr>
      </w:r>
      <w:r/>
    </w:p>
    <w:p>
      <w:pPr>
        <w:pStyle w:val="775"/>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ascii="Times New Roman" w:hAnsi="Times New Roman" w:eastAsia="宋体" w:cs="Times New Roman"/>
          <w:sz w:val="24"/>
        </w:rPr>
        <w:t xml:space="preserve">在货物采购项目中，供应商提供的货物既有中小企业制造货物，也有大型企业制造货物的，不享受中小企业扶持政策。</w:t>
      </w:r>
      <w:r>
        <w:rPr>
          <w:rFonts w:ascii="Times New Roman" w:hAnsi="Times New Roman" w:eastAsia="宋体" w:cs="Times New Roman"/>
          <w:sz w:val="24"/>
        </w:rPr>
      </w:r>
      <w:r/>
    </w:p>
    <w:p>
      <w:pPr>
        <w:pStyle w:val="775"/>
        <w:numPr>
          <w:ilvl w:val="3"/>
          <w:numId w:val="9"/>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残疾人福利单位定义：享受政府采购支持政策的残疾人福利性单位应当同时满足以下条件：</w:t>
      </w:r>
      <w:r>
        <w:rPr>
          <w:rFonts w:ascii="Times New Roman" w:hAnsi="Times New Roman" w:eastAsia="宋体" w:cs="Times New Roman"/>
          <w:sz w:val="24"/>
        </w:rPr>
      </w:r>
      <w:r/>
    </w:p>
    <w:p>
      <w:pPr>
        <w:pStyle w:val="775"/>
        <w:numPr>
          <w:ilvl w:val="3"/>
          <w:numId w:val="10"/>
        </w:numPr>
        <w:ind w:left="2885"/>
        <w:spacing w:line="360" w:lineRule="auto"/>
        <w:tabs>
          <w:tab w:val="left" w:pos="1980" w:leader="none"/>
          <w:tab w:val="left" w:pos="2035" w:leader="none"/>
          <w:tab w:val="left" w:pos="2977" w:leader="none"/>
        </w:tabs>
        <w:rPr>
          <w:rFonts w:ascii="Times New Roman" w:hAnsi="Times New Roman" w:eastAsia="宋体" w:cs="Times New Roman"/>
          <w:sz w:val="24"/>
        </w:rPr>
      </w:pPr>
      <w:r>
        <w:rPr>
          <w:rFonts w:ascii="Times New Roman" w:hAnsi="Times New Roman" w:eastAsia="宋体" w:cs="Times New Roman"/>
          <w:sz w:val="24"/>
        </w:rPr>
        <w:t xml:space="preserve">安置的残疾人占本单位在职职工人数的比例不低于25%（含25%），并且安置的残疾人人数不少于10人（含10人）；</w:t>
      </w:r>
      <w:r>
        <w:rPr>
          <w:rFonts w:ascii="Times New Roman" w:hAnsi="Times New Roman" w:eastAsia="宋体" w:cs="Times New Roman"/>
          <w:sz w:val="24"/>
        </w:rPr>
      </w:r>
      <w:r/>
    </w:p>
    <w:p>
      <w:pPr>
        <w:pStyle w:val="775"/>
        <w:numPr>
          <w:ilvl w:val="3"/>
          <w:numId w:val="10"/>
        </w:numPr>
        <w:ind w:left="2885"/>
        <w:spacing w:line="360" w:lineRule="auto"/>
        <w:tabs>
          <w:tab w:val="left" w:pos="900" w:leader="none"/>
          <w:tab w:val="left" w:pos="1980" w:leader="none"/>
          <w:tab w:val="left" w:pos="203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依法与安置的每位残疾人签订了一年以上（含一年）的劳动合同或服务协议；</w:t>
      </w:r>
      <w:r>
        <w:rPr>
          <w:rFonts w:ascii="Times New Roman" w:hAnsi="Times New Roman" w:eastAsia="宋体" w:cs="Times New Roman"/>
          <w:color w:val="000000"/>
          <w:sz w:val="24"/>
        </w:rPr>
      </w:r>
      <w:r/>
    </w:p>
    <w:p>
      <w:pPr>
        <w:pStyle w:val="775"/>
        <w:numPr>
          <w:ilvl w:val="3"/>
          <w:numId w:val="10"/>
        </w:numPr>
        <w:ind w:left="2885"/>
        <w:spacing w:line="360" w:lineRule="auto"/>
        <w:tabs>
          <w:tab w:val="left" w:pos="900" w:leader="none"/>
          <w:tab w:val="left" w:pos="1980" w:leader="none"/>
          <w:tab w:val="left" w:pos="203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为安置的每位残疾人按月足额缴纳了基本养老保险、基本医疗保险、失业保险、工伤保险和生育保险等社会保险费；</w:t>
      </w:r>
      <w:r>
        <w:rPr>
          <w:rFonts w:ascii="Times New Roman" w:hAnsi="Times New Roman" w:eastAsia="宋体" w:cs="Times New Roman"/>
          <w:color w:val="000000"/>
          <w:sz w:val="24"/>
        </w:rPr>
      </w:r>
      <w:r/>
    </w:p>
    <w:p>
      <w:pPr>
        <w:pStyle w:val="775"/>
        <w:numPr>
          <w:ilvl w:val="3"/>
          <w:numId w:val="10"/>
        </w:numPr>
        <w:ind w:left="2885"/>
        <w:spacing w:line="360" w:lineRule="auto"/>
        <w:tabs>
          <w:tab w:val="left" w:pos="900" w:leader="none"/>
          <w:tab w:val="left" w:pos="1980" w:leader="none"/>
          <w:tab w:val="left" w:pos="203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通过银行等金融机构向安置的每位残疾人，按月支付了不低于单位所在区县适用的经省级人民政府批准的月最低工资标准的工资；</w:t>
      </w:r>
      <w:r>
        <w:rPr>
          <w:rFonts w:ascii="Times New Roman" w:hAnsi="Times New Roman" w:eastAsia="宋体" w:cs="Times New Roman"/>
          <w:color w:val="000000"/>
          <w:sz w:val="24"/>
        </w:rPr>
      </w:r>
      <w:r/>
    </w:p>
    <w:p>
      <w:pPr>
        <w:pStyle w:val="775"/>
        <w:numPr>
          <w:ilvl w:val="3"/>
          <w:numId w:val="10"/>
        </w:numPr>
        <w:ind w:left="2885"/>
        <w:spacing w:line="360" w:lineRule="auto"/>
        <w:tabs>
          <w:tab w:val="left" w:pos="900" w:leader="none"/>
          <w:tab w:val="left" w:pos="1980" w:leader="none"/>
          <w:tab w:val="left" w:pos="203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Times New Roman"/>
          <w:color w:val="000000"/>
          <w:sz w:val="24"/>
        </w:rPr>
      </w:r>
      <w:r/>
    </w:p>
    <w:p>
      <w:pPr>
        <w:pStyle w:val="775"/>
        <w:numPr>
          <w:ilvl w:val="3"/>
          <w:numId w:val="10"/>
        </w:numPr>
        <w:ind w:left="2885"/>
        <w:spacing w:line="360" w:lineRule="auto"/>
        <w:tabs>
          <w:tab w:val="left" w:pos="900" w:leader="none"/>
          <w:tab w:val="left" w:pos="1980" w:leader="none"/>
          <w:tab w:val="left" w:pos="203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s="Times New Roman"/>
          <w:color w:val="000000"/>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本项目是否专门面向中小企业预留采购份额见第一章《采购邀请》。</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采购标的对应的中小企业划分标准所属行业见《供应商须知资料表》。</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小微企业价格评审优惠的政策调整：不适用。</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非政府强制采购的节能产品或环境标志产品，依据品目清单和认证证书实施政府优先采购。如涉及，供应商优先提供此类产品。</w:t>
      </w:r>
      <w:r>
        <w:rPr>
          <w:rFonts w:ascii="Times New Roman" w:hAnsi="Times New Roman" w:eastAsia="宋体" w:cs="Times New Roman"/>
          <w:sz w:val="24"/>
        </w:rPr>
      </w:r>
      <w:r/>
    </w:p>
    <w:p>
      <w:pPr>
        <w:pStyle w:val="775"/>
        <w:numPr>
          <w:ilvl w:val="2"/>
          <w:numId w:val="8"/>
        </w:numPr>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支持乡村产业振兴管理</w:t>
      </w:r>
      <w:r>
        <w:rPr>
          <w:rFonts w:ascii="Times New Roman" w:hAnsi="Times New Roman" w:eastAsia="宋体" w:cs="Times New Roman"/>
          <w:sz w:val="24"/>
        </w:rPr>
      </w:r>
      <w:r/>
    </w:p>
    <w:p>
      <w:pPr>
        <w:pStyle w:val="775"/>
        <w:numPr>
          <w:ilvl w:val="2"/>
          <w:numId w:val="8"/>
        </w:numPr>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正版软件</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无线局域网认证产品政府采购清单</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（以下简称清单）的形式公布。清单中新增认证产品厂商和型号，由财政部、国家发展改革委、信息产业部以文件形式确定、公布并适时调整。</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政府采购创新产品政策</w:t>
      </w:r>
      <w:r>
        <w:rPr>
          <w:rFonts w:ascii="Times New Roman" w:hAnsi="Times New Roman" w:eastAsia="宋体" w:cs="Times New Roman"/>
          <w:sz w:val="24"/>
        </w:rPr>
      </w:r>
      <w:r/>
    </w:p>
    <w:p>
      <w:pPr>
        <w:pStyle w:val="775"/>
        <w:numPr>
          <w:ilvl w:val="2"/>
          <w:numId w:val="8"/>
        </w:numPr>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绿色采购政策</w:t>
      </w:r>
      <w:r>
        <w:rPr>
          <w:rFonts w:ascii="Times New Roman" w:hAnsi="Times New Roman" w:eastAsia="宋体" w:cs="Times New Roman"/>
          <w:sz w:val="24"/>
        </w:rPr>
      </w:r>
      <w:r/>
    </w:p>
    <w:p>
      <w:pPr>
        <w:pStyle w:val="775"/>
        <w:ind w:left="1080"/>
        <w:spacing w:line="360" w:lineRule="auto"/>
        <w:tabs>
          <w:tab w:val="left" w:pos="2014" w:leader="none"/>
        </w:tabs>
        <w:rPr>
          <w:rFonts w:ascii="Times New Roman" w:hAnsi="Times New Roman" w:eastAsia="宋体" w:cs="Times New Roman"/>
          <w:b/>
          <w:sz w:val="24"/>
        </w:rPr>
      </w:pPr>
      <w:r>
        <w:rPr>
          <w:rFonts w:ascii="Times New Roman" w:hAnsi="Times New Roman" w:eastAsia="宋体" w:cs="Times New Roman"/>
          <w:sz w:val="24"/>
        </w:rPr>
        <w:t xml:space="preserve">3.7.1   </w:t>
      </w:r>
      <w:r>
        <w:rPr>
          <w:rFonts w:ascii="Times New Roman" w:hAnsi="Times New Roman" w:eastAsia="宋体" w:cs="Times New Roman"/>
          <w:b/>
          <w:sz w:val="24"/>
        </w:rPr>
        <w:t xml:space="preserve">绿色数据中心政策</w:t>
      </w:r>
      <w:r>
        <w:rPr>
          <w:rFonts w:ascii="Times New Roman" w:hAnsi="Times New Roman" w:eastAsia="宋体" w:cs="Times New Roman"/>
          <w:b/>
          <w:sz w:val="24"/>
        </w:rPr>
      </w:r>
      <w:r/>
    </w:p>
    <w:p>
      <w:pPr>
        <w:pStyle w:val="775"/>
        <w:ind w:left="1080"/>
        <w:spacing w:line="360" w:lineRule="auto"/>
        <w:tabs>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依据《绿色数据中心政府采购需求标准（试行）》（财办库〔2023〕7 号）文件精神，采购</w:t>
      </w:r>
      <w:r>
        <w:rPr>
          <w:rFonts w:ascii="Times New Roman" w:hAnsi="Times New Roman" w:eastAsia="宋体" w:cs="Times New Roman"/>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eastAsia="宋体" w:cs="Times New Roman"/>
          <w:sz w:val="24"/>
        </w:rPr>
      </w:r>
      <w:r/>
    </w:p>
    <w:p>
      <w:pPr>
        <w:pStyle w:val="775"/>
        <w:ind w:left="1080"/>
        <w:spacing w:line="360" w:lineRule="auto"/>
        <w:tabs>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3.7.2   推广应用绿色建材</w:t>
      </w:r>
      <w:r>
        <w:rPr>
          <w:rFonts w:ascii="Times New Roman" w:hAnsi="Times New Roman" w:eastAsia="宋体" w:cs="Times New Roman"/>
          <w:sz w:val="24"/>
        </w:rPr>
      </w:r>
      <w:r/>
    </w:p>
    <w:p>
      <w:pPr>
        <w:pStyle w:val="775"/>
        <w:ind w:left="1080"/>
        <w:spacing w:line="360" w:lineRule="auto"/>
        <w:tabs>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ascii="Times New Roman" w:hAnsi="Times New Roman" w:eastAsia="宋体" w:cs="Times New Roman"/>
          <w:sz w:val="24"/>
        </w:rPr>
      </w:r>
      <w:r/>
    </w:p>
    <w:p>
      <w:pPr>
        <w:pStyle w:val="775"/>
        <w:ind w:left="1080"/>
        <w:spacing w:line="360" w:lineRule="auto"/>
        <w:tabs>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3.7.3   优先使用低挥发性有机化合物产品</w:t>
      </w:r>
      <w:r>
        <w:rPr>
          <w:rFonts w:ascii="Times New Roman" w:hAnsi="Times New Roman" w:eastAsia="宋体" w:cs="Times New Roman"/>
          <w:sz w:val="24"/>
        </w:rPr>
      </w:r>
      <w:r/>
    </w:p>
    <w:p>
      <w:pPr>
        <w:pStyle w:val="775"/>
        <w:ind w:left="1080"/>
        <w:spacing w:line="360" w:lineRule="auto"/>
        <w:tabs>
          <w:tab w:val="left" w:pos="2014" w:leader="none"/>
        </w:tabs>
        <w:rPr>
          <w:rFonts w:ascii="Times New Roman" w:hAnsi="Times New Roman" w:eastAsia="宋体" w:cs="Times New Roman"/>
          <w:sz w:val="24"/>
          <w:highlight w:val="yellow"/>
        </w:rPr>
      </w:pPr>
      <w:r>
        <w:rPr>
          <w:rFonts w:ascii="Times New Roman" w:hAnsi="Times New Roman" w:eastAsia="宋体" w:cs="Times New Roman"/>
          <w:sz w:val="24"/>
        </w:rPr>
        <w:t xml:space="preserve">采购人要落实挥发性有机化合物（VOCs）治理要求，若本项目中涉及涂料、胶黏剂、油墨、清洗剂等挥发性有机物产品的，属于强制性标准的，</w:t>
      </w:r>
      <w:r>
        <w:rPr>
          <w:rFonts w:hint="eastAsia" w:ascii="Times New Roman" w:hAnsi="Times New Roman" w:eastAsia="宋体" w:cs="Times New Roman"/>
          <w:sz w:val="24"/>
          <w:lang w:val="en-US" w:eastAsia="zh-CN"/>
        </w:rPr>
        <w:t xml:space="preserve">供应商</w:t>
      </w:r>
      <w:r>
        <w:rPr>
          <w:rFonts w:ascii="Times New Roman" w:hAnsi="Times New Roman" w:eastAsia="宋体" w:cs="Times New Roman"/>
          <w:sz w:val="24"/>
        </w:rPr>
        <w:t xml:space="preserve">应当提供符合国家和江苏省相关VOCs 含量限制标准的产品；属于推荐性标准的，应当在采购文件中载明低VOCs的优惠幅度、评审标准等，以体现优先采购。</w:t>
      </w:r>
      <w:r>
        <w:rPr>
          <w:rFonts w:ascii="Times New Roman" w:hAnsi="Times New Roman" w:eastAsia="宋体" w:cs="Times New Roman"/>
          <w:sz w:val="24"/>
          <w:highlight w:val="yellow"/>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参与协商的费用</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供应商应自行承担所有与准备和参加单一来源采购协商有关的费用，无论协商的结果如何，采购人或采购代理机构在任何情况下均无承担这些费用的义务和责任。</w:t>
      </w:r>
      <w:r>
        <w:rPr>
          <w:rFonts w:ascii="Times New Roman" w:hAnsi="Times New Roman" w:eastAsia="宋体" w:cs="Times New Roman"/>
          <w:sz w:val="24"/>
        </w:rPr>
      </w:r>
      <w:r/>
    </w:p>
    <w:p>
      <w:pPr>
        <w:pStyle w:val="775"/>
        <w:ind w:left="1080"/>
        <w:spacing w:line="360" w:lineRule="auto"/>
        <w:tabs>
          <w:tab w:val="left" w:pos="1080" w:leader="none"/>
        </w:tabs>
        <w:rPr>
          <w:rFonts w:ascii="Times New Roman" w:hAnsi="Times New Roman" w:eastAsia="宋体" w:cs="Times New Roman"/>
          <w:sz w:val="28"/>
        </w:rPr>
      </w:pPr>
      <w:r/>
      <w:bookmarkStart w:id="171" w:name="_1.8_计量单位"/>
      <w:r/>
      <w:bookmarkEnd w:id="171"/>
      <w:r>
        <w:rPr>
          <w:rFonts w:ascii="Times New Roman" w:hAnsi="Times New Roman" w:eastAsia="宋体" w:cs="Times New Roman"/>
          <w:sz w:val="28"/>
        </w:rPr>
      </w:r>
      <w:r/>
    </w:p>
    <w:p>
      <w:pPr>
        <w:pStyle w:val="777"/>
        <w:spacing w:before="0" w:line="360" w:lineRule="auto"/>
        <w:rPr>
          <w:rFonts w:ascii="Times New Roman" w:hAnsi="Times New Roman" w:eastAsia="宋体" w:cs="Times New Roman"/>
          <w:sz w:val="28"/>
        </w:rPr>
      </w:pPr>
      <w:r>
        <w:rPr>
          <w:rFonts w:ascii="Times New Roman" w:hAnsi="Times New Roman" w:eastAsia="宋体" w:cs="Times New Roman"/>
          <w:sz w:val="28"/>
        </w:rPr>
        <w:t xml:space="preserve">二   </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ascii="Times New Roman" w:hAnsi="Times New Roman" w:eastAsia="宋体" w:cs="Times New Roman"/>
          <w:sz w:val="28"/>
        </w:rPr>
        <w:t xml:space="preserve">单一来源采购文件</w:t>
      </w:r>
      <w:r>
        <w:rPr>
          <w:rFonts w:ascii="Times New Roman" w:hAnsi="Times New Roman" w:eastAsia="宋体" w:cs="Times New Roman"/>
          <w:sz w:val="28"/>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172" w:name="_Toc151190150"/>
      <w:r/>
      <w:bookmarkStart w:id="173" w:name="_Toc151193765"/>
      <w:r/>
      <w:bookmarkStart w:id="174" w:name="_Toc150774623"/>
      <w:r/>
      <w:bookmarkStart w:id="175" w:name="_Toc226337219"/>
      <w:r/>
      <w:bookmarkStart w:id="176" w:name="_Toc195842888"/>
      <w:r/>
      <w:bookmarkStart w:id="177" w:name="_Toc164229364"/>
      <w:r/>
      <w:bookmarkStart w:id="178" w:name="_Toc265228361"/>
      <w:r/>
      <w:bookmarkStart w:id="179" w:name="_Toc305158791"/>
      <w:r/>
      <w:bookmarkStart w:id="180" w:name="_Toc151193911"/>
      <w:r/>
      <w:bookmarkStart w:id="181" w:name="_Toc150509274"/>
      <w:r/>
      <w:bookmarkStart w:id="182" w:name="_Toc149720816"/>
      <w:r/>
      <w:bookmarkStart w:id="183" w:name="_Toc264969213"/>
      <w:r/>
      <w:bookmarkStart w:id="184" w:name="_Toc151193837"/>
      <w:r/>
      <w:bookmarkStart w:id="185" w:name="_Toc142311025"/>
      <w:r/>
      <w:bookmarkStart w:id="186" w:name="_Toc127151724"/>
      <w:r/>
      <w:bookmarkStart w:id="187" w:name="_Toc151193621"/>
      <w:r/>
      <w:bookmarkStart w:id="188" w:name="_Toc127151523"/>
      <w:r/>
      <w:bookmarkStart w:id="189" w:name="_Toc150774728"/>
      <w:r/>
      <w:bookmarkStart w:id="190" w:name="_Toc226965796"/>
      <w:r/>
      <w:bookmarkStart w:id="191" w:name="_Toc150480761"/>
      <w:r/>
      <w:bookmarkStart w:id="192" w:name="_Toc226309767"/>
      <w:r/>
      <w:bookmarkStart w:id="193" w:name="_Toc164608792"/>
      <w:r/>
      <w:bookmarkStart w:id="194" w:name="_Toc151193693"/>
      <w:r/>
      <w:bookmarkStart w:id="195" w:name="_Toc127161437"/>
      <w:r/>
      <w:bookmarkStart w:id="196" w:name="_Toc164351617"/>
      <w:r/>
      <w:bookmarkStart w:id="197" w:name="_Toc226965713"/>
      <w:r/>
      <w:bookmarkStart w:id="198" w:name="_Toc305158865"/>
      <w:r/>
      <w:bookmarkStart w:id="199" w:name="_Toc520356147"/>
      <w:r/>
      <w:bookmarkStart w:id="200" w:name="_Toc164608637"/>
      <w:r/>
      <w:bookmarkStart w:id="201" w:name="_Toc164229218"/>
      <w:r>
        <w:rPr>
          <w:rFonts w:ascii="Times New Roman" w:hAnsi="Times New Roman" w:eastAsia="宋体" w:cs="Times New Roman"/>
          <w:sz w:val="24"/>
        </w:rPr>
        <w:t xml:space="preserve">单一来源采购文件构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ascii="Times New Roman" w:hAnsi="Times New Roman" w:eastAsia="宋体" w:cs="Times New Roman"/>
          <w:sz w:val="24"/>
        </w:rPr>
        <w:t xml:space="preserve">成</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单一来源采购文件包括以下部分：</w:t>
      </w:r>
      <w:r>
        <w:rPr>
          <w:rFonts w:ascii="Times New Roman" w:hAnsi="Times New Roman" w:eastAsia="宋体" w:cs="Times New Roman"/>
          <w:sz w:val="24"/>
        </w:rPr>
      </w:r>
      <w:r/>
    </w:p>
    <w:p>
      <w:pPr>
        <w:pStyle w:val="775"/>
        <w:numPr>
          <w:ilvl w:val="0"/>
          <w:numId w:val="11"/>
        </w:numPr>
        <w:ind w:left="1440" w:firstLine="5"/>
        <w:spacing w:line="360" w:lineRule="auto"/>
        <w:tabs>
          <w:tab w:val="left" w:pos="1980" w:leader="none"/>
          <w:tab w:val="left" w:pos="2520" w:leader="none"/>
          <w:tab w:val="left" w:pos="5225" w:leader="none"/>
        </w:tabs>
        <w:rPr>
          <w:rFonts w:ascii="Times New Roman" w:hAnsi="Times New Roman" w:eastAsia="宋体" w:cs="Times New Roman"/>
          <w:sz w:val="24"/>
        </w:rPr>
      </w:pPr>
      <w:r>
        <w:rPr>
          <w:rFonts w:ascii="Times New Roman" w:hAnsi="Times New Roman" w:eastAsia="宋体" w:cs="Times New Roman"/>
          <w:sz w:val="24"/>
        </w:rPr>
        <w:t xml:space="preserve">采购邀请</w:t>
      </w:r>
      <w:r>
        <w:rPr>
          <w:rFonts w:ascii="Times New Roman" w:hAnsi="Times New Roman" w:eastAsia="宋体" w:cs="Times New Roman"/>
          <w:sz w:val="24"/>
        </w:rPr>
      </w:r>
      <w:r/>
    </w:p>
    <w:p>
      <w:pPr>
        <w:pStyle w:val="775"/>
        <w:numPr>
          <w:ilvl w:val="0"/>
          <w:numId w:val="11"/>
        </w:numPr>
        <w:ind w:left="1440" w:firstLine="5"/>
        <w:spacing w:line="360" w:lineRule="auto"/>
        <w:tabs>
          <w:tab w:val="left" w:pos="1980" w:leader="none"/>
          <w:tab w:val="left" w:pos="2520" w:leader="none"/>
          <w:tab w:val="left" w:pos="5225" w:leader="none"/>
        </w:tabs>
        <w:rPr>
          <w:rFonts w:ascii="Times New Roman" w:hAnsi="Times New Roman" w:eastAsia="宋体" w:cs="Times New Roman"/>
          <w:sz w:val="24"/>
        </w:rPr>
      </w:pPr>
      <w:r>
        <w:rPr>
          <w:rFonts w:ascii="Times New Roman" w:hAnsi="Times New Roman" w:eastAsia="宋体" w:cs="Times New Roman"/>
          <w:sz w:val="24"/>
        </w:rPr>
        <w:t xml:space="preserve">供应商须知</w:t>
      </w:r>
      <w:r>
        <w:rPr>
          <w:rFonts w:ascii="Times New Roman" w:hAnsi="Times New Roman" w:eastAsia="宋体" w:cs="Times New Roman"/>
          <w:sz w:val="24"/>
        </w:rPr>
      </w:r>
      <w:r/>
    </w:p>
    <w:p>
      <w:pPr>
        <w:pStyle w:val="775"/>
        <w:numPr>
          <w:ilvl w:val="0"/>
          <w:numId w:val="11"/>
        </w:numPr>
        <w:ind w:left="1440" w:firstLine="5"/>
        <w:spacing w:line="360" w:lineRule="auto"/>
        <w:tabs>
          <w:tab w:val="left" w:pos="1980" w:leader="none"/>
          <w:tab w:val="left" w:pos="2520" w:leader="none"/>
          <w:tab w:val="left" w:pos="5225" w:leader="none"/>
        </w:tabs>
        <w:rPr>
          <w:rFonts w:ascii="Times New Roman" w:hAnsi="Times New Roman" w:eastAsia="宋体" w:cs="Times New Roman"/>
          <w:sz w:val="24"/>
        </w:rPr>
      </w:pPr>
      <w:r>
        <w:rPr>
          <w:rFonts w:ascii="Times New Roman" w:hAnsi="Times New Roman" w:eastAsia="宋体" w:cs="Times New Roman"/>
          <w:sz w:val="24"/>
        </w:rPr>
        <w:t xml:space="preserve">协商程序 </w:t>
      </w:r>
      <w:r>
        <w:rPr>
          <w:rFonts w:ascii="Times New Roman" w:hAnsi="Times New Roman" w:eastAsia="宋体" w:cs="Times New Roman"/>
          <w:sz w:val="24"/>
        </w:rPr>
      </w:r>
      <w:r/>
    </w:p>
    <w:p>
      <w:pPr>
        <w:pStyle w:val="775"/>
        <w:numPr>
          <w:ilvl w:val="0"/>
          <w:numId w:val="11"/>
        </w:numPr>
        <w:ind w:left="1440" w:firstLine="5"/>
        <w:spacing w:line="360" w:lineRule="auto"/>
        <w:tabs>
          <w:tab w:val="left" w:pos="1980" w:leader="none"/>
          <w:tab w:val="left" w:pos="2520" w:leader="none"/>
          <w:tab w:val="left" w:pos="5225" w:leader="none"/>
        </w:tabs>
        <w:rPr>
          <w:rFonts w:ascii="Times New Roman" w:hAnsi="Times New Roman" w:eastAsia="宋体" w:cs="Times New Roman"/>
          <w:sz w:val="24"/>
        </w:rPr>
      </w:pPr>
      <w:r>
        <w:rPr>
          <w:rFonts w:ascii="Times New Roman" w:hAnsi="Times New Roman" w:eastAsia="宋体" w:cs="Times New Roman"/>
          <w:sz w:val="24"/>
        </w:rPr>
        <w:t xml:space="preserve">采购需求</w:t>
      </w:r>
      <w:r>
        <w:rPr>
          <w:rFonts w:ascii="Times New Roman" w:hAnsi="Times New Roman" w:eastAsia="宋体" w:cs="Times New Roman"/>
          <w:sz w:val="24"/>
        </w:rPr>
      </w:r>
      <w:r/>
    </w:p>
    <w:p>
      <w:pPr>
        <w:pStyle w:val="775"/>
        <w:numPr>
          <w:ilvl w:val="0"/>
          <w:numId w:val="11"/>
        </w:numPr>
        <w:ind w:left="1440" w:firstLine="5"/>
        <w:spacing w:line="360" w:lineRule="auto"/>
        <w:tabs>
          <w:tab w:val="left" w:pos="1980" w:leader="none"/>
          <w:tab w:val="left" w:pos="2520" w:leader="none"/>
          <w:tab w:val="left" w:pos="5225" w:leader="none"/>
        </w:tabs>
        <w:rPr>
          <w:rFonts w:ascii="Times New Roman" w:hAnsi="Times New Roman" w:eastAsia="宋体" w:cs="Times New Roman"/>
          <w:sz w:val="24"/>
        </w:rPr>
      </w:pPr>
      <w:r>
        <w:rPr>
          <w:rFonts w:ascii="Times New Roman" w:hAnsi="Times New Roman" w:eastAsia="宋体" w:cs="Times New Roman"/>
          <w:sz w:val="24"/>
        </w:rPr>
        <w:t xml:space="preserve">合同草案条款</w:t>
      </w:r>
      <w:r>
        <w:rPr>
          <w:rFonts w:ascii="Times New Roman" w:hAnsi="Times New Roman" w:eastAsia="宋体" w:cs="Times New Roman"/>
          <w:sz w:val="24"/>
        </w:rPr>
      </w:r>
      <w:r/>
    </w:p>
    <w:p>
      <w:pPr>
        <w:pStyle w:val="775"/>
        <w:numPr>
          <w:ilvl w:val="0"/>
          <w:numId w:val="11"/>
        </w:numPr>
        <w:ind w:left="1440" w:firstLine="5"/>
        <w:spacing w:line="360" w:lineRule="auto"/>
        <w:tabs>
          <w:tab w:val="left" w:pos="1980" w:leader="none"/>
          <w:tab w:val="left" w:pos="2520" w:leader="none"/>
          <w:tab w:val="left" w:pos="5225" w:leader="none"/>
        </w:tabs>
        <w:rPr>
          <w:rFonts w:ascii="Times New Roman" w:hAnsi="Times New Roman" w:eastAsia="宋体" w:cs="Times New Roman"/>
          <w:sz w:val="24"/>
        </w:rPr>
      </w:pPr>
      <w:r>
        <w:rPr>
          <w:rFonts w:ascii="Times New Roman" w:hAnsi="Times New Roman" w:eastAsia="宋体" w:cs="Times New Roman"/>
          <w:sz w:val="24"/>
        </w:rPr>
        <w:t xml:space="preserve">响应文件格式</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numPr>
          <w:ilvl w:val="0"/>
          <w:numId w:val="8"/>
        </w:numPr>
        <w:ind w:left="357" w:hanging="357"/>
        <w:spacing w:line="360" w:lineRule="auto"/>
        <w:tabs>
          <w:tab w:val="left" w:pos="900" w:leader="none"/>
          <w:tab w:val="left" w:pos="1080" w:leader="none"/>
          <w:tab w:val="left" w:pos="2014"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对单一来源采购文件的澄清或修改</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采购人或采购代理机构对已发出的单一来源采购文件进行必要澄清或者修改的，将以书面形式通知获取单一来源采购文件的潜在供应商。</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上述书面通知，按照获取单一来源采购文件的潜在供应商提供的联系方式发出，因提供的信息有误导致通知延迟或无法通知的，采购人或采购代理机构不承担责任。</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rFonts w:ascii="Times New Roman" w:hAnsi="Times New Roman" w:eastAsia="宋体" w:cs="Times New Roman"/>
          <w:sz w:val="24"/>
        </w:rPr>
      </w:r>
      <w:r/>
    </w:p>
    <w:p>
      <w:pPr>
        <w:pStyle w:val="775"/>
        <w:ind w:left="1080"/>
        <w:spacing w:line="360" w:lineRule="auto"/>
        <w:tabs>
          <w:tab w:val="left" w:pos="1080" w:leader="none"/>
          <w:tab w:val="left" w:pos="1561" w:leader="none"/>
        </w:tabs>
        <w:rPr>
          <w:rFonts w:ascii="Times New Roman" w:hAnsi="Times New Roman" w:eastAsia="宋体" w:cs="Times New Roman"/>
          <w:sz w:val="28"/>
        </w:rPr>
      </w:pPr>
      <w:r/>
      <w:bookmarkStart w:id="202" w:name="_Toc151193624"/>
      <w:r/>
      <w:bookmarkStart w:id="203" w:name="_Toc226309770"/>
      <w:r/>
      <w:bookmarkStart w:id="204" w:name="_Toc151193914"/>
      <w:r/>
      <w:bookmarkStart w:id="205" w:name="_Toc150480764"/>
      <w:r/>
      <w:bookmarkStart w:id="206" w:name="_Toc150509277"/>
      <w:r/>
      <w:bookmarkStart w:id="207" w:name="_Toc151190153"/>
      <w:r/>
      <w:bookmarkStart w:id="208" w:name="_Toc516367020"/>
      <w:r/>
      <w:bookmarkStart w:id="209" w:name="_Toc150774626"/>
      <w:r/>
      <w:bookmarkStart w:id="210" w:name="_Toc520356150"/>
      <w:r/>
      <w:bookmarkStart w:id="211" w:name="_Toc305158794"/>
      <w:r/>
      <w:bookmarkStart w:id="212" w:name="_Toc151193840"/>
      <w:r/>
      <w:bookmarkStart w:id="213" w:name="_Toc226337222"/>
      <w:r/>
      <w:bookmarkStart w:id="214" w:name="_Toc226965799"/>
      <w:r/>
      <w:bookmarkStart w:id="215" w:name="_Toc151193696"/>
      <w:r/>
      <w:bookmarkStart w:id="216" w:name="_Toc150774731"/>
      <w:r/>
      <w:bookmarkStart w:id="217" w:name="_Toc151193768"/>
      <w:r/>
      <w:bookmarkStart w:id="218" w:name="_Toc142311028"/>
      <w:r/>
      <w:bookmarkStart w:id="219" w:name="_Toc265228364"/>
      <w:r/>
      <w:bookmarkStart w:id="220" w:name="_Toc195842891"/>
      <w:r/>
      <w:bookmarkStart w:id="221" w:name="_Toc264969216"/>
      <w:r/>
      <w:bookmarkStart w:id="222" w:name="_Toc305158868"/>
      <w:r/>
      <w:bookmarkStart w:id="223" w:name="_Toc127151526"/>
      <w:r/>
      <w:bookmarkStart w:id="224" w:name="_Toc226965716"/>
      <w:r>
        <w:rPr>
          <w:rFonts w:ascii="Times New Roman" w:hAnsi="Times New Roman" w:eastAsia="宋体" w:cs="Times New Roman"/>
          <w:sz w:val="28"/>
        </w:rPr>
      </w:r>
      <w:r/>
    </w:p>
    <w:p>
      <w:pPr>
        <w:pStyle w:val="777"/>
        <w:spacing w:before="0" w:line="360" w:lineRule="auto"/>
        <w:rPr>
          <w:rFonts w:ascii="Times New Roman" w:hAnsi="Times New Roman" w:eastAsia="宋体" w:cs="Times New Roman"/>
          <w:sz w:val="28"/>
        </w:rPr>
      </w:pPr>
      <w:r>
        <w:rPr>
          <w:rFonts w:ascii="Times New Roman" w:hAnsi="Times New Roman" w:eastAsia="宋体" w:cs="Times New Roman"/>
          <w:sz w:val="28"/>
        </w:rPr>
        <w:t xml:space="preserve">三   响应文件</w:t>
      </w:r>
      <w:bookmarkEnd w:id="208"/>
      <w:r>
        <w:rPr>
          <w:rFonts w:ascii="Times New Roman" w:hAnsi="Times New Roman" w:eastAsia="宋体" w:cs="Times New Roman"/>
          <w:sz w:val="28"/>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ascii="Times New Roman" w:hAnsi="Times New Roman" w:eastAsia="宋体" w:cs="Times New Roman"/>
          <w:sz w:val="28"/>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25" w:name="_Toc305158795"/>
      <w:r/>
      <w:bookmarkStart w:id="226" w:name="_Toc151193915"/>
      <w:r/>
      <w:bookmarkStart w:id="227" w:name="_Toc516367021"/>
      <w:r/>
      <w:bookmarkStart w:id="228" w:name="_Toc265228365"/>
      <w:r/>
      <w:bookmarkStart w:id="229" w:name="_Toc226337223"/>
      <w:r/>
      <w:bookmarkStart w:id="230" w:name="_Toc149720820"/>
      <w:r/>
      <w:bookmarkStart w:id="231" w:name="_Toc127161441"/>
      <w:r/>
      <w:bookmarkStart w:id="232" w:name="_Toc164229222"/>
      <w:r/>
      <w:bookmarkStart w:id="233" w:name="_Toc127151728"/>
      <w:r/>
      <w:bookmarkStart w:id="234" w:name="_Toc150774627"/>
      <w:r/>
      <w:bookmarkStart w:id="235" w:name="_Toc226965800"/>
      <w:r/>
      <w:bookmarkStart w:id="236" w:name="_Toc151193841"/>
      <w:r/>
      <w:bookmarkStart w:id="237" w:name="_Toc226965717"/>
      <w:r/>
      <w:bookmarkStart w:id="238" w:name="_Toc164608641"/>
      <w:r/>
      <w:bookmarkStart w:id="239" w:name="_Toc164608796"/>
      <w:r/>
      <w:bookmarkStart w:id="240" w:name="_Toc164229368"/>
      <w:r/>
      <w:bookmarkStart w:id="241" w:name="_Toc264969217"/>
      <w:r/>
      <w:bookmarkStart w:id="242" w:name="_Toc520356151"/>
      <w:r/>
      <w:bookmarkStart w:id="243" w:name="_Toc164351621"/>
      <w:r/>
      <w:bookmarkStart w:id="244" w:name="_Toc305158869"/>
      <w:r/>
      <w:bookmarkStart w:id="245" w:name="_Toc226309771"/>
      <w:r/>
      <w:bookmarkStart w:id="246" w:name="_Toc151190154"/>
      <w:r/>
      <w:bookmarkStart w:id="247" w:name="_Toc142311029"/>
      <w:r/>
      <w:bookmarkStart w:id="248" w:name="_Toc195842892"/>
      <w:r/>
      <w:bookmarkStart w:id="249" w:name="_Toc151193625"/>
      <w:r/>
      <w:bookmarkStart w:id="250" w:name="_Toc151193769"/>
      <w:r/>
      <w:bookmarkStart w:id="251" w:name="_Toc151193697"/>
      <w:r/>
      <w:bookmarkStart w:id="252" w:name="_Toc150774732"/>
      <w:r/>
      <w:bookmarkStart w:id="253" w:name="_Toc127151527"/>
      <w:r/>
      <w:bookmarkStart w:id="254" w:name="_Toc150480765"/>
      <w:r/>
      <w:bookmarkStart w:id="255" w:name="_Toc150509278"/>
      <w:r>
        <w:rPr>
          <w:rFonts w:ascii="Times New Roman" w:hAnsi="Times New Roman" w:eastAsia="宋体" w:cs="Times New Roman"/>
          <w:sz w:val="24"/>
        </w:rPr>
        <w:t xml:space="preserve">响应范围、响应文件中计量单位的使用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ascii="Times New Roman" w:hAnsi="Times New Roman" w:eastAsia="宋体" w:cs="Times New Roman"/>
          <w:sz w:val="24"/>
        </w:rPr>
        <w:t xml:space="preserve">及响应语言</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本项目如划分采购包，供应商应当对采购人所邀请的采购包对应第四章《采购需求》所列的全部内容进行响应，不得将一个采购包中的内容拆开响应。</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除单一来源采购文件有特殊要求外，本项目所使用的计量单位，应采用中华人民共和国法定计量单位。</w:t>
      </w:r>
      <w:r>
        <w:rPr>
          <w:rFonts w:ascii="Times New Roman" w:hAnsi="Times New Roman" w:eastAsia="宋体" w:cs="Times New Roman"/>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56" w:name="_Toc151193916"/>
      <w:r/>
      <w:bookmarkStart w:id="257" w:name="_Toc151193698"/>
      <w:r/>
      <w:bookmarkStart w:id="258" w:name="_Toc226965718"/>
      <w:r/>
      <w:bookmarkStart w:id="259" w:name="_Toc164351622"/>
      <w:r/>
      <w:bookmarkStart w:id="260" w:name="_Toc142311030"/>
      <w:r/>
      <w:bookmarkStart w:id="261" w:name="_Toc265228366"/>
      <w:r/>
      <w:bookmarkStart w:id="262" w:name="_Toc195842893"/>
      <w:r/>
      <w:bookmarkStart w:id="263" w:name="_Toc226309772"/>
      <w:r/>
      <w:bookmarkStart w:id="264" w:name="_Toc305158870"/>
      <w:r/>
      <w:bookmarkStart w:id="265" w:name="_Toc226337224"/>
      <w:r/>
      <w:bookmarkStart w:id="266" w:name="_Toc127151528"/>
      <w:r/>
      <w:bookmarkStart w:id="267" w:name="_Toc520356152"/>
      <w:r/>
      <w:bookmarkStart w:id="268" w:name="_Toc150774628"/>
      <w:r/>
      <w:bookmarkStart w:id="269" w:name="_Toc516367022"/>
      <w:r/>
      <w:bookmarkStart w:id="270" w:name="_Ref467306195"/>
      <w:r/>
      <w:bookmarkStart w:id="271" w:name="_Toc127161442"/>
      <w:r/>
      <w:bookmarkStart w:id="272" w:name="_Ref467306676"/>
      <w:r/>
      <w:bookmarkStart w:id="273" w:name="_Toc164229369"/>
      <w:r/>
      <w:bookmarkStart w:id="274" w:name="_Toc164608642"/>
      <w:r/>
      <w:bookmarkStart w:id="275" w:name="_Toc151193842"/>
      <w:r/>
      <w:bookmarkStart w:id="276" w:name="_Toc164229223"/>
      <w:r/>
      <w:bookmarkStart w:id="277" w:name="_Toc127151729"/>
      <w:r/>
      <w:bookmarkStart w:id="278" w:name="_Toc164608797"/>
      <w:r/>
      <w:bookmarkStart w:id="279" w:name="_Toc150509279"/>
      <w:r/>
      <w:bookmarkStart w:id="280" w:name="_Toc226965801"/>
      <w:r/>
      <w:bookmarkStart w:id="281" w:name="_Toc150774733"/>
      <w:r/>
      <w:bookmarkStart w:id="282" w:name="_Toc150480766"/>
      <w:r/>
      <w:bookmarkStart w:id="283" w:name="_Toc151193770"/>
      <w:r/>
      <w:bookmarkStart w:id="284" w:name="_Toc151190155"/>
      <w:r/>
      <w:bookmarkStart w:id="285" w:name="_Toc151193626"/>
      <w:r/>
      <w:bookmarkStart w:id="286" w:name="_Toc149720821"/>
      <w:r/>
      <w:bookmarkStart w:id="287" w:name="_Toc264969218"/>
      <w:r/>
      <w:bookmarkStart w:id="288" w:name="_Toc305158796"/>
      <w:r>
        <w:rPr>
          <w:rFonts w:ascii="Times New Roman" w:hAnsi="Times New Roman" w:eastAsia="宋体" w:cs="Times New Roman"/>
          <w:sz w:val="24"/>
        </w:rPr>
        <w:t xml:space="preserve">响应文件</w:t>
      </w:r>
      <w:bookmarkEnd w:id="269"/>
      <w:r/>
      <w:bookmarkEnd w:id="270"/>
      <w:r/>
      <w:bookmarkEnd w:id="272"/>
      <w:r>
        <w:rPr>
          <w:rFonts w:ascii="Times New Roman" w:hAnsi="Times New Roman" w:eastAsia="宋体" w:cs="Times New Roman"/>
          <w:sz w:val="24"/>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71"/>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bookmarkStart w:id="289" w:name="_Ref467052588"/>
      <w:r>
        <w:rPr>
          <w:rFonts w:ascii="Times New Roman" w:hAnsi="Times New Roman" w:eastAsia="宋体" w:cs="Times New Roman"/>
          <w:sz w:val="24"/>
        </w:rPr>
        <w:t xml:space="preserve">供应商应当按照单一来源采购文件的要求编制响应文件。响应文件的部分格式要求，见第六章《响应文件格式》。</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对于单一来源采购文件中标记了</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实质性格式</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文件的，</w:t>
      </w:r>
      <w:r>
        <w:rPr>
          <w:rFonts w:ascii="Times New Roman" w:hAnsi="Times New Roman"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。未标记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实质性格式</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的文件和单一来源采购文件未提供格式的内容，可由供应商自行编写。</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供应商根据采购项目的特点及要求，提供采购标的成本、同类项目合同价格以及相关专利、专有技术等情况说明，以及单一来源采购文件中要求供应商响应的其他技术文件等。</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供应商认为应附的其他材料。</w:t>
      </w:r>
      <w:bookmarkEnd w:id="289"/>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90" w:name="_Toc164351624"/>
      <w:r/>
      <w:bookmarkStart w:id="291" w:name="_Toc164229225"/>
      <w:r/>
      <w:bookmarkStart w:id="292" w:name="_Toc142311032"/>
      <w:r/>
      <w:bookmarkStart w:id="293" w:name="_Toc127161444"/>
      <w:r/>
      <w:bookmarkStart w:id="294" w:name="_Toc151190157"/>
      <w:r/>
      <w:bookmarkStart w:id="295" w:name="_Toc150774630"/>
      <w:r/>
      <w:bookmarkStart w:id="296" w:name="_Toc127151530"/>
      <w:r/>
      <w:bookmarkStart w:id="297" w:name="_Toc151193844"/>
      <w:r/>
      <w:bookmarkStart w:id="298" w:name="_Toc195842895"/>
      <w:r/>
      <w:bookmarkStart w:id="299" w:name="_Toc151193700"/>
      <w:r/>
      <w:bookmarkStart w:id="300" w:name="_Toc151193918"/>
      <w:r/>
      <w:bookmarkStart w:id="301" w:name="_Toc164608799"/>
      <w:r/>
      <w:bookmarkStart w:id="302" w:name="_Toc164229371"/>
      <w:r/>
      <w:bookmarkStart w:id="303" w:name="_Toc151193772"/>
      <w:r/>
      <w:bookmarkStart w:id="304" w:name="_Toc149720823"/>
      <w:r/>
      <w:bookmarkStart w:id="305" w:name="_Toc151193628"/>
      <w:r/>
      <w:bookmarkStart w:id="306" w:name="_Toc150509281"/>
      <w:r/>
      <w:bookmarkStart w:id="307" w:name="_Toc164608644"/>
      <w:r/>
      <w:bookmarkStart w:id="308" w:name="_Toc150774735"/>
      <w:r/>
      <w:bookmarkStart w:id="309" w:name="_Toc127151731"/>
      <w:r/>
      <w:bookmarkStart w:id="310" w:name="_Toc150480768"/>
      <w:r/>
      <w:bookmarkStart w:id="311" w:name="_Toc520356155"/>
      <w:r>
        <w:rPr>
          <w:rFonts w:ascii="Times New Roman" w:hAnsi="Times New Roman" w:eastAsia="宋体" w:cs="Times New Roman"/>
          <w:sz w:val="24"/>
        </w:rPr>
        <w:t xml:space="preserve">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所有响应均以人民币报价。</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报价包括</w:t>
      </w:r>
      <w:r>
        <w:rPr>
          <w:rFonts w:hint="eastAsia" w:ascii="Times New Roman" w:hAnsi="Times New Roman" w:eastAsia="宋体" w:cs="Times New Roman"/>
          <w:sz w:val="24"/>
          <w:lang w:val="en-US" w:eastAsia="zh-CN"/>
        </w:rPr>
        <w:t xml:space="preserve">采购</w:t>
      </w:r>
      <w:r>
        <w:rPr>
          <w:rFonts w:ascii="Times New Roman" w:hAnsi="Times New Roman" w:eastAsia="宋体" w:cs="Times New Roman"/>
          <w:sz w:val="24"/>
        </w:rPr>
        <w:t xml:space="preserve">文件所确定的</w:t>
      </w:r>
      <w:r>
        <w:rPr>
          <w:rFonts w:hint="eastAsia" w:ascii="Times New Roman" w:hAnsi="Times New Roman" w:eastAsia="宋体" w:cs="Times New Roman"/>
          <w:sz w:val="24"/>
          <w:lang w:val="en-US" w:eastAsia="zh-CN"/>
        </w:rPr>
        <w:t xml:space="preserve">采购</w:t>
      </w:r>
      <w:r>
        <w:rPr>
          <w:rFonts w:ascii="Times New Roman" w:hAnsi="Times New Roman" w:eastAsia="宋体" w:cs="Times New Roman"/>
          <w:sz w:val="24"/>
        </w:rPr>
        <w:t xml:space="preserve">范围内的全部服务的报价应包括为完成本项目所需要的全部费用以及</w:t>
      </w:r>
      <w:r>
        <w:rPr>
          <w:rFonts w:hint="eastAsia" w:ascii="Times New Roman" w:hAnsi="Times New Roman" w:eastAsia="宋体" w:cs="Times New Roman"/>
          <w:sz w:val="24"/>
          <w:lang w:val="en-US" w:eastAsia="zh-CN"/>
        </w:rPr>
        <w:t xml:space="preserve">供应商</w:t>
      </w:r>
      <w:r>
        <w:rPr>
          <w:rFonts w:ascii="Times New Roman" w:hAnsi="Times New Roman" w:eastAsia="宋体" w:cs="Times New Roman"/>
          <w:sz w:val="24"/>
        </w:rPr>
        <w:t xml:space="preserve">企业利润、税金和政策性文件规定及合同包含的所有风险、责任等各项应有费用；</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按照单一来源采购文件要求完成本项目的全部相关工程或服务费用。 </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采购人不得向供应商索要或者接受其给予的赠品、回扣或者与采购无关的其他商品、服务。</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12" w:name="_Toc149720824"/>
      <w:r/>
      <w:bookmarkStart w:id="313" w:name="_Toc164229372"/>
      <w:r/>
      <w:bookmarkStart w:id="314" w:name="_Toc226965721"/>
      <w:r/>
      <w:bookmarkStart w:id="315" w:name="_Toc127151531"/>
      <w:r/>
      <w:bookmarkStart w:id="316" w:name="_Toc127161445"/>
      <w:r/>
      <w:bookmarkStart w:id="317" w:name="_Toc226337227"/>
      <w:r/>
      <w:bookmarkStart w:id="318" w:name="_Toc164608645"/>
      <w:r/>
      <w:bookmarkStart w:id="319" w:name="_Toc164608800"/>
      <w:r/>
      <w:bookmarkStart w:id="320" w:name="_Toc305158873"/>
      <w:r/>
      <w:bookmarkStart w:id="321" w:name="_Toc151193701"/>
      <w:r/>
      <w:bookmarkStart w:id="322" w:name="_Toc265228369"/>
      <w:r/>
      <w:bookmarkStart w:id="323" w:name="_Ref467306513"/>
      <w:r/>
      <w:bookmarkStart w:id="324" w:name="_Toc150480769"/>
      <w:r/>
      <w:bookmarkStart w:id="325" w:name="_Toc142311033"/>
      <w:r/>
      <w:bookmarkStart w:id="326" w:name="_Toc151193919"/>
      <w:r/>
      <w:bookmarkStart w:id="327" w:name="_Toc195842896"/>
      <w:r/>
      <w:bookmarkStart w:id="328" w:name="_Toc520356156"/>
      <w:r/>
      <w:bookmarkStart w:id="329" w:name="_Toc164229226"/>
      <w:r/>
      <w:bookmarkStart w:id="330" w:name="_Toc151193773"/>
      <w:r/>
      <w:bookmarkStart w:id="331" w:name="_Toc151193845"/>
      <w:r/>
      <w:bookmarkStart w:id="332" w:name="_Toc151190158"/>
      <w:r/>
      <w:bookmarkStart w:id="333" w:name="_Toc264969221"/>
      <w:r/>
      <w:bookmarkStart w:id="334" w:name="_Toc150774736"/>
      <w:r/>
      <w:bookmarkStart w:id="335" w:name="_Toc150509282"/>
      <w:r/>
      <w:bookmarkStart w:id="336" w:name="_Toc164351625"/>
      <w:r/>
      <w:bookmarkStart w:id="337" w:name="_Toc127151732"/>
      <w:r/>
      <w:bookmarkStart w:id="338" w:name="_Toc305158799"/>
      <w:r/>
      <w:bookmarkStart w:id="339" w:name="_Toc150774631"/>
      <w:r/>
      <w:bookmarkStart w:id="340" w:name="_Toc226309775"/>
      <w:r/>
      <w:bookmarkStart w:id="341" w:name="_Toc226965804"/>
      <w:r/>
      <w:bookmarkStart w:id="342" w:name="_Toc151193629"/>
      <w:r>
        <w:rPr>
          <w:rFonts w:ascii="Times New Roman" w:hAnsi="Times New Roman" w:eastAsia="宋体" w:cs="Times New Roman"/>
          <w:sz w:val="24"/>
        </w:rPr>
        <w:t xml:space="preserve">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ascii="Times New Roman" w:hAnsi="Times New Roman" w:eastAsia="宋体" w:cs="Times New Roman"/>
          <w:sz w:val="24"/>
        </w:rPr>
        <w:t xml:space="preserve">免收</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43" w:name="_Toc164229373"/>
      <w:r/>
      <w:bookmarkStart w:id="344" w:name="_Toc164229227"/>
      <w:r/>
      <w:bookmarkStart w:id="345" w:name="_Toc520356157"/>
      <w:r/>
      <w:bookmarkStart w:id="346" w:name="_Toc164351626"/>
      <w:r/>
      <w:bookmarkStart w:id="347" w:name="_Toc151193920"/>
      <w:r/>
      <w:bookmarkStart w:id="348" w:name="_Toc127151532"/>
      <w:r/>
      <w:bookmarkStart w:id="349" w:name="_Toc149720825"/>
      <w:r/>
      <w:bookmarkStart w:id="350" w:name="_Toc150509283"/>
      <w:r/>
      <w:bookmarkStart w:id="351" w:name="_Toc305158800"/>
      <w:r/>
      <w:bookmarkStart w:id="352" w:name="_Toc195842897"/>
      <w:r/>
      <w:bookmarkStart w:id="353" w:name="_Toc127161446"/>
      <w:r/>
      <w:bookmarkStart w:id="354" w:name="_Toc150480770"/>
      <w:r/>
      <w:bookmarkStart w:id="355" w:name="_Toc150774737"/>
      <w:r/>
      <w:bookmarkStart w:id="356" w:name="_Toc151190159"/>
      <w:r/>
      <w:bookmarkStart w:id="357" w:name="_Toc226309776"/>
      <w:r/>
      <w:bookmarkStart w:id="358" w:name="_Toc226337228"/>
      <w:r/>
      <w:bookmarkStart w:id="359" w:name="_Toc264969222"/>
      <w:r/>
      <w:bookmarkStart w:id="360" w:name="_Toc151193774"/>
      <w:r/>
      <w:bookmarkStart w:id="361" w:name="_Toc164608801"/>
      <w:r/>
      <w:bookmarkStart w:id="362" w:name="_Toc226965805"/>
      <w:r/>
      <w:bookmarkStart w:id="363" w:name="_Toc151193846"/>
      <w:r/>
      <w:bookmarkStart w:id="364" w:name="_Toc127151733"/>
      <w:r/>
      <w:bookmarkStart w:id="365" w:name="_Toc226965722"/>
      <w:r/>
      <w:bookmarkStart w:id="366" w:name="_Toc151193630"/>
      <w:r/>
      <w:bookmarkStart w:id="367" w:name="_Toc164608646"/>
      <w:r/>
      <w:bookmarkStart w:id="368" w:name="_Toc150774632"/>
      <w:r/>
      <w:bookmarkStart w:id="369" w:name="_Toc142311034"/>
      <w:r/>
      <w:bookmarkStart w:id="370" w:name="_Toc265228370"/>
      <w:r/>
      <w:bookmarkStart w:id="371" w:name="_Toc305158874"/>
      <w:r/>
      <w:bookmarkStart w:id="372" w:name="_Toc151193702"/>
      <w:r>
        <w:rPr>
          <w:rFonts w:ascii="Times New Roman" w:hAnsi="Times New Roman" w:eastAsia="宋体" w:cs="Times New Roman"/>
          <w:sz w:val="24"/>
        </w:rPr>
        <w:t xml:space="preserve">响应有效期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响应文件应在本单一来源采购文件《供应商须知资料表》中规定的响应有效期内保持有效，响应有效期少于单一来源采购文件规定期限的，其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73" w:name="_Toc305158801"/>
      <w:r/>
      <w:bookmarkStart w:id="374" w:name="_Toc164229374"/>
      <w:r/>
      <w:bookmarkStart w:id="375" w:name="_Toc305158875"/>
      <w:r/>
      <w:bookmarkStart w:id="376" w:name="_Toc142311035"/>
      <w:r/>
      <w:bookmarkStart w:id="377" w:name="_Toc164608647"/>
      <w:r/>
      <w:bookmarkStart w:id="378" w:name="_Toc150774633"/>
      <w:r/>
      <w:bookmarkStart w:id="379" w:name="_Toc151193921"/>
      <w:r/>
      <w:bookmarkStart w:id="380" w:name="_Toc520356158"/>
      <w:r/>
      <w:bookmarkStart w:id="381" w:name="_Toc151190160"/>
      <w:r/>
      <w:bookmarkStart w:id="382" w:name="_Toc127151734"/>
      <w:r/>
      <w:bookmarkStart w:id="383" w:name="_Toc195842898"/>
      <w:r/>
      <w:bookmarkStart w:id="384" w:name="_Toc150774738"/>
      <w:r/>
      <w:bookmarkStart w:id="385" w:name="_Toc226337229"/>
      <w:r/>
      <w:bookmarkStart w:id="386" w:name="_Toc226965723"/>
      <w:r/>
      <w:bookmarkStart w:id="387" w:name="_Toc127161447"/>
      <w:r/>
      <w:bookmarkStart w:id="388" w:name="_Toc127151533"/>
      <w:r/>
      <w:bookmarkStart w:id="389" w:name="_Toc164229228"/>
      <w:r/>
      <w:bookmarkStart w:id="390" w:name="_Toc226309777"/>
      <w:r/>
      <w:bookmarkStart w:id="391" w:name="_Toc151193703"/>
      <w:r/>
      <w:bookmarkStart w:id="392" w:name="_Toc164351627"/>
      <w:r/>
      <w:bookmarkStart w:id="393" w:name="_Toc264969223"/>
      <w:r/>
      <w:bookmarkStart w:id="394" w:name="_Toc151193631"/>
      <w:r/>
      <w:bookmarkStart w:id="395" w:name="_Toc265228371"/>
      <w:r/>
      <w:bookmarkStart w:id="396" w:name="_Toc149720826"/>
      <w:r/>
      <w:bookmarkStart w:id="397" w:name="_Toc151193775"/>
      <w:r/>
      <w:bookmarkStart w:id="398" w:name="_Toc150509284"/>
      <w:r/>
      <w:bookmarkStart w:id="399" w:name="_Toc150480771"/>
      <w:r/>
      <w:bookmarkStart w:id="400" w:name="_Toc226965806"/>
      <w:r/>
      <w:bookmarkStart w:id="401" w:name="_Toc151193847"/>
      <w:r/>
      <w:bookmarkStart w:id="402" w:name="_Toc164608802"/>
      <w:r>
        <w:rPr>
          <w:rFonts w:ascii="Times New Roman" w:hAnsi="Times New Roman" w:eastAsia="宋体" w:cs="Times New Roman"/>
          <w:sz w:val="24"/>
        </w:rPr>
        <w:t xml:space="preserve">响应文件的签署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ascii="Times New Roman" w:hAnsi="Times New Roman" w:eastAsia="宋体" w:cs="Times New Roman"/>
          <w:sz w:val="24"/>
        </w:rPr>
        <w:t xml:space="preserve">、盖章</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bookmarkStart w:id="403" w:name="_Toc150774634"/>
      <w:r/>
      <w:bookmarkStart w:id="404" w:name="_Toc226965807"/>
      <w:r/>
      <w:bookmarkStart w:id="405" w:name="_Toc151190161"/>
      <w:r/>
      <w:bookmarkStart w:id="406" w:name="_Toc226965724"/>
      <w:r/>
      <w:bookmarkStart w:id="407" w:name="_Toc151193704"/>
      <w:r/>
      <w:bookmarkStart w:id="408" w:name="_Toc151193776"/>
      <w:r/>
      <w:bookmarkStart w:id="409" w:name="_Toc142311036"/>
      <w:r/>
      <w:bookmarkStart w:id="410" w:name="_Toc226309778"/>
      <w:r/>
      <w:bookmarkStart w:id="411" w:name="_Toc151193632"/>
      <w:r/>
      <w:bookmarkStart w:id="412" w:name="_Toc150774739"/>
      <w:r/>
      <w:bookmarkStart w:id="413" w:name="_Toc264969224"/>
      <w:r/>
      <w:bookmarkStart w:id="414" w:name="_Toc151193922"/>
      <w:r/>
      <w:bookmarkStart w:id="415" w:name="_Toc150480772"/>
      <w:r/>
      <w:bookmarkStart w:id="416" w:name="_Toc127151534"/>
      <w:r/>
      <w:bookmarkStart w:id="417" w:name="_Toc195842899"/>
      <w:r/>
      <w:bookmarkStart w:id="418" w:name="_Toc151193848"/>
      <w:r/>
      <w:bookmarkStart w:id="419" w:name="_Toc520356159"/>
      <w:r/>
      <w:bookmarkStart w:id="420" w:name="_Toc150509285"/>
      <w:r/>
      <w:bookmarkStart w:id="421" w:name="_Toc305158876"/>
      <w:r/>
      <w:bookmarkStart w:id="422" w:name="_Toc226337230"/>
      <w:r/>
      <w:bookmarkStart w:id="423" w:name="_Toc305158802"/>
      <w:r/>
      <w:bookmarkStart w:id="424" w:name="_Toc265228372"/>
      <w:r>
        <w:rPr>
          <w:rFonts w:ascii="Times New Roman" w:hAnsi="Times New Roman" w:eastAsia="宋体" w:cs="Times New Roman"/>
          <w:sz w:val="24"/>
        </w:rPr>
        <w:t xml:space="preserve">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单一来源采购文件要求盖章的内容，一般通过响应文件编制工具加盖电子签章。</w:t>
      </w:r>
      <w:r>
        <w:rPr>
          <w:rFonts w:ascii="Times New Roman" w:hAnsi="Times New Roman" w:eastAsia="宋体" w:cs="Times New Roman"/>
          <w:sz w:val="24"/>
        </w:rPr>
      </w:r>
      <w:r/>
    </w:p>
    <w:p>
      <w:pPr>
        <w:pStyle w:val="775"/>
        <w:ind w:left="357"/>
        <w:spacing w:line="360" w:lineRule="auto"/>
        <w:tabs>
          <w:tab w:val="left" w:pos="900" w:leader="none"/>
          <w:tab w:val="left" w:pos="1080" w:leader="none"/>
        </w:tabs>
        <w:rPr>
          <w:rFonts w:ascii="Times New Roman" w:hAnsi="Times New Roman" w:eastAsia="宋体" w:cs="Times New Roman"/>
        </w:rPr>
      </w:pPr>
      <w:r>
        <w:rPr>
          <w:rFonts w:ascii="Times New Roman" w:hAnsi="Times New Roman" w:eastAsia="宋体" w:cs="Times New Roman"/>
        </w:rPr>
      </w:r>
      <w:r/>
    </w:p>
    <w:p>
      <w:pPr>
        <w:pStyle w:val="777"/>
        <w:spacing w:before="0" w:line="360" w:lineRule="auto"/>
        <w:rPr>
          <w:rFonts w:ascii="Times New Roman" w:hAnsi="Times New Roman" w:eastAsia="宋体" w:cs="Times New Roman"/>
          <w:sz w:val="28"/>
        </w:rPr>
      </w:pPr>
      <w:r>
        <w:rPr>
          <w:rFonts w:ascii="Times New Roman" w:hAnsi="Times New Roman" w:eastAsia="宋体" w:cs="Times New Roman"/>
          <w:sz w:val="28"/>
        </w:rPr>
        <w:t xml:space="preserve">四   响应文件的提交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Times New Roman" w:hAnsi="Times New Roman" w:eastAsia="宋体" w:cs="Times New Roman"/>
          <w:sz w:val="28"/>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425" w:name="_Toc150509286"/>
      <w:r/>
      <w:bookmarkStart w:id="426" w:name="_Toc226965808"/>
      <w:r/>
      <w:bookmarkStart w:id="427" w:name="_Toc151193705"/>
      <w:r/>
      <w:bookmarkStart w:id="428" w:name="_Toc226337231"/>
      <w:r/>
      <w:bookmarkStart w:id="429" w:name="_Toc164608649"/>
      <w:r/>
      <w:bookmarkStart w:id="430" w:name="_Toc151193633"/>
      <w:r/>
      <w:bookmarkStart w:id="431" w:name="_Toc226965725"/>
      <w:r/>
      <w:bookmarkStart w:id="432" w:name="_Toc127151535"/>
      <w:r/>
      <w:bookmarkStart w:id="433" w:name="_Toc305158803"/>
      <w:r/>
      <w:bookmarkStart w:id="434" w:name="_Toc164229230"/>
      <w:r/>
      <w:bookmarkStart w:id="435" w:name="_Toc164351629"/>
      <w:r/>
      <w:bookmarkStart w:id="436" w:name="_Toc149720828"/>
      <w:r/>
      <w:bookmarkStart w:id="437" w:name="_Toc520356160"/>
      <w:r/>
      <w:bookmarkStart w:id="438" w:name="_Toc164229376"/>
      <w:r/>
      <w:bookmarkStart w:id="439" w:name="_Toc150774635"/>
      <w:r/>
      <w:bookmarkStart w:id="440" w:name="_Toc195842900"/>
      <w:r/>
      <w:bookmarkStart w:id="441" w:name="_Toc150480773"/>
      <w:r/>
      <w:bookmarkStart w:id="442" w:name="_Toc151190162"/>
      <w:r/>
      <w:bookmarkStart w:id="443" w:name="_Toc142311037"/>
      <w:r/>
      <w:bookmarkStart w:id="444" w:name="_Toc150774740"/>
      <w:r/>
      <w:bookmarkStart w:id="445" w:name="_Toc265228373"/>
      <w:r/>
      <w:bookmarkStart w:id="446" w:name="_Toc127161449"/>
      <w:r/>
      <w:bookmarkStart w:id="447" w:name="_Toc151193777"/>
      <w:r/>
      <w:bookmarkStart w:id="448" w:name="_Toc264969225"/>
      <w:r/>
      <w:bookmarkStart w:id="449" w:name="_Toc226309779"/>
      <w:r/>
      <w:bookmarkStart w:id="450" w:name="_Toc127151736"/>
      <w:r/>
      <w:bookmarkStart w:id="451" w:name="_Toc151193849"/>
      <w:r/>
      <w:bookmarkStart w:id="452" w:name="_Toc305158877"/>
      <w:r/>
      <w:bookmarkStart w:id="453" w:name="_Toc164608804"/>
      <w:r/>
      <w:bookmarkStart w:id="454" w:name="_Toc151193923"/>
      <w:r>
        <w:rPr>
          <w:rFonts w:ascii="Times New Roman" w:hAnsi="Times New Roman" w:eastAsia="宋体" w:cs="Times New Roman"/>
          <w:sz w:val="24"/>
        </w:rPr>
        <w:t xml:space="preserve">响应文件的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s="Times New Roman"/>
          <w:sz w:val="24"/>
        </w:rPr>
        <w:t xml:space="preserve">提交</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本项目使用政府采购一体化平台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苏采云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。供应商根据单一来源采购文件及政府采购一体化平台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苏采云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供应商操作手册要求编制、生成并提交电子响应文件。</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采购人及采购代理机构拒绝接受通过电子交易平台以外任何形式提交的响应文件，保证金除外。</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提交响应文件截止时间</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供应商应在单一来源采购文件要求的提交响应文件截止时间前，将电子响应文件提交至政府采购一体化平台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苏采云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455" w:name="_Toc164608651"/>
      <w:r/>
      <w:bookmarkStart w:id="456" w:name="_Toc150509288"/>
      <w:r/>
      <w:bookmarkStart w:id="457" w:name="_Toc164229232"/>
      <w:r/>
      <w:bookmarkStart w:id="458" w:name="_Toc127151537"/>
      <w:r/>
      <w:bookmarkStart w:id="459" w:name="_Toc150774742"/>
      <w:r/>
      <w:bookmarkStart w:id="460" w:name="_Toc151190164"/>
      <w:r/>
      <w:bookmarkStart w:id="461" w:name="_Toc226337233"/>
      <w:r/>
      <w:bookmarkStart w:id="462" w:name="_Toc164229378"/>
      <w:r/>
      <w:bookmarkStart w:id="463" w:name="_Toc151193779"/>
      <w:r/>
      <w:bookmarkStart w:id="464" w:name="_Toc150480775"/>
      <w:r/>
      <w:bookmarkStart w:id="465" w:name="_Toc127151738"/>
      <w:r/>
      <w:bookmarkStart w:id="466" w:name="_Toc151193925"/>
      <w:r/>
      <w:bookmarkStart w:id="467" w:name="_Toc149720830"/>
      <w:r/>
      <w:bookmarkStart w:id="468" w:name="_Toc195842902"/>
      <w:r/>
      <w:bookmarkStart w:id="469" w:name="_Toc150774637"/>
      <w:r/>
      <w:bookmarkStart w:id="470" w:name="_Toc127161451"/>
      <w:r/>
      <w:bookmarkStart w:id="471" w:name="_Toc520356162"/>
      <w:r/>
      <w:bookmarkStart w:id="472" w:name="_Toc265228375"/>
      <w:r/>
      <w:bookmarkStart w:id="473" w:name="_Toc164351631"/>
      <w:r/>
      <w:bookmarkStart w:id="474" w:name="_Toc305158805"/>
      <w:r/>
      <w:bookmarkStart w:id="475" w:name="_Toc226965727"/>
      <w:r/>
      <w:bookmarkStart w:id="476" w:name="_Toc151193635"/>
      <w:r/>
      <w:bookmarkStart w:id="477" w:name="_Toc151193851"/>
      <w:r/>
      <w:bookmarkStart w:id="478" w:name="_Toc164608806"/>
      <w:r/>
      <w:bookmarkStart w:id="479" w:name="_Toc305158879"/>
      <w:r/>
      <w:bookmarkStart w:id="480" w:name="_Toc226965810"/>
      <w:r/>
      <w:bookmarkStart w:id="481" w:name="_Toc151193707"/>
      <w:r/>
      <w:bookmarkStart w:id="482" w:name="_Toc142311039"/>
      <w:r/>
      <w:bookmarkStart w:id="483" w:name="_Toc264969227"/>
      <w:r/>
      <w:bookmarkStart w:id="484" w:name="_Toc226309781"/>
      <w:r>
        <w:rPr>
          <w:rFonts w:ascii="Times New Roman" w:hAnsi="Times New Roman" w:eastAsia="宋体" w:cs="Times New Roman"/>
          <w:sz w:val="24"/>
        </w:rPr>
        <w:t xml:space="preserve">响应文件的修改与撤回</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响应文件提交截止时间前，供应商可以通过电子交易平台对所提交的响应文件进行补充、修改或者撤回。</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供应商对响应文件的补充、修改的内容应当按照单一来源采购文件要求签署、盖章，作为响应文件的组成部分。补充、修改的内容与响应文件不一致的，以补充、修改的内容为准。</w:t>
      </w:r>
      <w:r>
        <w:rPr>
          <w:rFonts w:ascii="Times New Roman" w:hAnsi="Times New Roman" w:eastAsia="宋体" w:cs="Times New Roman"/>
          <w:sz w:val="24"/>
        </w:rPr>
      </w:r>
      <w:r/>
    </w:p>
    <w:p>
      <w:pPr>
        <w:pStyle w:val="775"/>
        <w:spacing w:line="360" w:lineRule="auto"/>
        <w:rPr>
          <w:rFonts w:ascii="Times New Roman" w:hAnsi="Times New Roman" w:eastAsia="宋体" w:cs="Times New Roman"/>
          <w:sz w:val="24"/>
        </w:rPr>
      </w:pPr>
      <w:r>
        <w:rPr>
          <w:rFonts w:ascii="Times New Roman" w:hAnsi="Times New Roman" w:eastAsia="宋体" w:cs="Times New Roman"/>
          <w:sz w:val="24"/>
        </w:rPr>
      </w:r>
      <w:r/>
    </w:p>
    <w:p>
      <w:pPr>
        <w:pStyle w:val="777"/>
        <w:spacing w:before="0" w:line="360" w:lineRule="auto"/>
        <w:rPr>
          <w:rFonts w:ascii="Times New Roman" w:hAnsi="Times New Roman" w:eastAsia="宋体" w:cs="Times New Roman"/>
          <w:sz w:val="28"/>
        </w:rPr>
      </w:pPr>
      <w:r/>
      <w:bookmarkStart w:id="485" w:name="_Toc127151538"/>
      <w:r/>
      <w:bookmarkStart w:id="486" w:name="_Toc264969228"/>
      <w:r/>
      <w:bookmarkStart w:id="487" w:name="_Toc195842903"/>
      <w:r/>
      <w:bookmarkStart w:id="488" w:name="_Toc305158806"/>
      <w:r/>
      <w:bookmarkStart w:id="489" w:name="_Toc226965728"/>
      <w:r/>
      <w:bookmarkStart w:id="490" w:name="_Toc520356163"/>
      <w:r/>
      <w:bookmarkStart w:id="491" w:name="_Toc226309782"/>
      <w:r/>
      <w:bookmarkStart w:id="492" w:name="_Toc151193926"/>
      <w:r/>
      <w:bookmarkStart w:id="493" w:name="_Toc265228376"/>
      <w:r/>
      <w:bookmarkStart w:id="494" w:name="_Toc151193708"/>
      <w:r/>
      <w:bookmarkStart w:id="495" w:name="_Toc305158880"/>
      <w:r/>
      <w:bookmarkStart w:id="496" w:name="_Toc150774743"/>
      <w:r/>
      <w:bookmarkStart w:id="497" w:name="_Toc226337234"/>
      <w:r/>
      <w:bookmarkStart w:id="498" w:name="_Toc151193852"/>
      <w:r/>
      <w:bookmarkStart w:id="499" w:name="_Toc226965811"/>
      <w:r/>
      <w:bookmarkStart w:id="500" w:name="_Toc151193636"/>
      <w:r/>
      <w:bookmarkStart w:id="501" w:name="_Toc151193780"/>
      <w:r/>
      <w:bookmarkStart w:id="502" w:name="_Toc151190165"/>
      <w:r/>
      <w:bookmarkStart w:id="503" w:name="_Toc142311040"/>
      <w:r/>
      <w:bookmarkStart w:id="504" w:name="_Toc150480776"/>
      <w:r/>
      <w:bookmarkStart w:id="505" w:name="_Toc150509289"/>
      <w:r/>
      <w:bookmarkStart w:id="506" w:name="_Toc150774638"/>
      <w:r>
        <w:rPr>
          <w:rFonts w:ascii="Times New Roman" w:hAnsi="Times New Roman" w:eastAsia="宋体" w:cs="Times New Roman"/>
          <w:sz w:val="28"/>
        </w:rPr>
        <w:t xml:space="preserve">五   </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ascii="Times New Roman" w:hAnsi="Times New Roman" w:eastAsia="宋体" w:cs="Times New Roman"/>
          <w:sz w:val="28"/>
        </w:rPr>
        <w:t xml:space="preserve">协商</w:t>
      </w:r>
      <w:r>
        <w:rPr>
          <w:rFonts w:ascii="Times New Roman" w:hAnsi="Times New Roman" w:eastAsia="宋体" w:cs="Times New Roman"/>
          <w:sz w:val="28"/>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解密</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采购人或采购代理机构将按单一来源采购文件的规定，在提交响应文件截止时间的同一时间和《供应商须知资料表》约定的地点组织解密。本项目采用不见面招投标模式，供应商使用政府采购一体化平台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苏采云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在线进行解密。条件允许的，也可以供应商携带CA到谈判现场解密。</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本项目解密使用政府采购一体化平台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苏采云</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。供应商应在规定的时间内对响应文件进行解密，因非系统原因导致的解密失败，视</w:t>
      </w:r>
      <w:r>
        <w:rPr>
          <w:rFonts w:ascii="Times New Roman" w:hAnsi="Times New Roman" w:eastAsia="宋体" w:cs="Times New Roman"/>
          <w:b/>
          <w:sz w:val="24"/>
        </w:rPr>
        <w:t xml:space="preserve">为无效响应</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单一来源采购人员</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bookmarkStart w:id="507" w:name="_Toc520356166"/>
      <w:r>
        <w:rPr>
          <w:rFonts w:ascii="Times New Roman" w:hAnsi="Times New Roman" w:eastAsia="宋体" w:cs="Times New Roman"/>
          <w:sz w:val="24"/>
        </w:rPr>
        <w:t xml:space="preserve">采购人、采购代理机构组织具有相关经验的专业人员与供应商商定合理的成交价格并保证采购项目质量。</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07"/>
      <w:r/>
      <w:bookmarkStart w:id="508" w:name="_Toc520356169"/>
      <w:r>
        <w:rPr>
          <w:rFonts w:ascii="Times New Roman" w:hAnsi="Times New Roman" w:eastAsia="宋体" w:cs="Times New Roman"/>
          <w:sz w:val="24"/>
        </w:rPr>
        <w:t xml:space="preserve">协商程序 </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见第三章《协商程序》。</w:t>
      </w:r>
      <w:r>
        <w:rPr>
          <w:rFonts w:ascii="Times New Roman" w:hAnsi="Times New Roman" w:eastAsia="宋体" w:cs="Times New Roman"/>
          <w:sz w:val="24"/>
        </w:rPr>
      </w:r>
      <w:r/>
    </w:p>
    <w:p>
      <w:pPr>
        <w:pStyle w:val="775"/>
        <w:ind w:left="1080"/>
        <w:spacing w:line="360" w:lineRule="auto"/>
        <w:tabs>
          <w:tab w:val="left" w:pos="360" w:leader="none"/>
          <w:tab w:val="left" w:pos="1080" w:leader="none"/>
        </w:tabs>
        <w:rPr>
          <w:rFonts w:ascii="Times New Roman" w:hAnsi="Times New Roman" w:eastAsia="宋体" w:cs="Times New Roman"/>
          <w:sz w:val="24"/>
        </w:rPr>
      </w:pPr>
      <w:r>
        <w:rPr>
          <w:rFonts w:ascii="Times New Roman" w:hAnsi="Times New Roman" w:eastAsia="宋体" w:cs="Times New Roman"/>
          <w:sz w:val="24"/>
        </w:rPr>
      </w:r>
      <w:r/>
    </w:p>
    <w:p>
      <w:pPr>
        <w:pStyle w:val="777"/>
        <w:spacing w:before="0" w:line="360" w:lineRule="auto"/>
        <w:rPr>
          <w:rFonts w:ascii="Times New Roman" w:hAnsi="Times New Roman" w:eastAsia="宋体" w:cs="Times New Roman"/>
          <w:sz w:val="28"/>
        </w:rPr>
      </w:pPr>
      <w:r/>
      <w:bookmarkStart w:id="509" w:name="_Toc151190172"/>
      <w:r/>
      <w:bookmarkStart w:id="510" w:name="_Toc127151545"/>
      <w:r/>
      <w:bookmarkStart w:id="511" w:name="_Toc151193859"/>
      <w:r/>
      <w:bookmarkStart w:id="512" w:name="_Toc305158813"/>
      <w:r/>
      <w:bookmarkStart w:id="513" w:name="_Toc305158887"/>
      <w:r/>
      <w:bookmarkStart w:id="514" w:name="_Toc226965735"/>
      <w:r/>
      <w:bookmarkStart w:id="515" w:name="_Toc151193787"/>
      <w:r/>
      <w:bookmarkStart w:id="516" w:name="_Toc265228383"/>
      <w:r/>
      <w:bookmarkStart w:id="517" w:name="_Toc264969235"/>
      <w:r/>
      <w:bookmarkStart w:id="518" w:name="_Toc150774645"/>
      <w:r/>
      <w:bookmarkStart w:id="519" w:name="_Toc226965818"/>
      <w:r/>
      <w:bookmarkStart w:id="520" w:name="_Toc151193933"/>
      <w:r/>
      <w:bookmarkStart w:id="521" w:name="_Toc142311047"/>
      <w:r/>
      <w:bookmarkStart w:id="522" w:name="_Toc195842910"/>
      <w:r/>
      <w:bookmarkStart w:id="523" w:name="_Toc150509296"/>
      <w:r/>
      <w:bookmarkStart w:id="524" w:name="_Toc226309789"/>
      <w:r/>
      <w:bookmarkStart w:id="525" w:name="_Toc151193643"/>
      <w:r/>
      <w:bookmarkStart w:id="526" w:name="_Toc150480783"/>
      <w:r/>
      <w:bookmarkStart w:id="527" w:name="_Toc150774750"/>
      <w:r/>
      <w:bookmarkStart w:id="528" w:name="_Toc226337241"/>
      <w:r/>
      <w:bookmarkStart w:id="529" w:name="_Toc151193715"/>
      <w:r>
        <w:rPr>
          <w:rFonts w:ascii="Times New Roman" w:hAnsi="Times New Roman" w:eastAsia="宋体" w:cs="Times New Roman"/>
          <w:sz w:val="28"/>
        </w:rPr>
        <w:t xml:space="preserve">六   </w:t>
      </w:r>
      <w:bookmarkEnd w:id="508"/>
      <w:r>
        <w:rPr>
          <w:rFonts w:ascii="Times New Roman" w:hAnsi="Times New Roman" w:eastAsia="宋体" w:cs="Times New Roman"/>
          <w:sz w:val="28"/>
        </w:rPr>
        <w:t xml:space="preserve">确定</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宋体" w:cs="Times New Roman"/>
          <w:sz w:val="28"/>
        </w:rPr>
        <w:t xml:space="preserve">成交供应商</w:t>
      </w:r>
      <w:r>
        <w:rPr>
          <w:rFonts w:ascii="Times New Roman" w:hAnsi="Times New Roman" w:eastAsia="宋体" w:cs="Times New Roman"/>
          <w:sz w:val="28"/>
        </w:rPr>
      </w:r>
      <w:r/>
    </w:p>
    <w:p>
      <w:pPr>
        <w:pStyle w:val="775"/>
        <w:ind w:left="900"/>
        <w:spacing w:line="360" w:lineRule="auto"/>
        <w:tabs>
          <w:tab w:val="left" w:pos="900" w:leader="none"/>
          <w:tab w:val="left" w:pos="1080" w:leader="none"/>
          <w:tab w:val="left" w:pos="1589" w:leader="none"/>
        </w:tabs>
        <w:rPr>
          <w:rFonts w:ascii="Times New Roman" w:hAnsi="Times New Roman" w:eastAsia="宋体" w:cs="Times New Roman"/>
          <w:sz w:val="24"/>
        </w:rPr>
      </w:pPr>
      <w:r/>
      <w:bookmarkStart w:id="530" w:name="_Toc264969237"/>
      <w:r/>
      <w:bookmarkStart w:id="531" w:name="_Toc305158815"/>
      <w:r/>
      <w:bookmarkStart w:id="532" w:name="_Toc142311049"/>
      <w:r/>
      <w:bookmarkStart w:id="533" w:name="_Toc164608661"/>
      <w:r/>
      <w:bookmarkStart w:id="534" w:name="_Toc151193935"/>
      <w:r/>
      <w:bookmarkStart w:id="535" w:name="_Toc151193789"/>
      <w:r/>
      <w:bookmarkStart w:id="536" w:name="_Toc127151547"/>
      <w:r/>
      <w:bookmarkStart w:id="537" w:name="_Toc226337243"/>
      <w:r/>
      <w:bookmarkStart w:id="538" w:name="_Toc226965737"/>
      <w:r/>
      <w:bookmarkStart w:id="539" w:name="_Toc150480785"/>
      <w:r/>
      <w:bookmarkStart w:id="540" w:name="_Toc149720840"/>
      <w:r/>
      <w:bookmarkStart w:id="541" w:name="_Toc150774647"/>
      <w:r/>
      <w:bookmarkStart w:id="542" w:name="_Toc305158889"/>
      <w:r/>
      <w:bookmarkStart w:id="543" w:name="_Toc265228385"/>
      <w:r/>
      <w:bookmarkStart w:id="544" w:name="_Toc127151748"/>
      <w:r/>
      <w:bookmarkStart w:id="545" w:name="_Toc164229242"/>
      <w:r/>
      <w:bookmarkStart w:id="546" w:name="_Toc151193861"/>
      <w:r/>
      <w:bookmarkStart w:id="547" w:name="_Toc127161461"/>
      <w:r/>
      <w:bookmarkStart w:id="548" w:name="_Toc164229388"/>
      <w:r/>
      <w:bookmarkStart w:id="549" w:name="_Toc226309791"/>
      <w:r/>
      <w:bookmarkStart w:id="550" w:name="_Toc151190174"/>
      <w:r/>
      <w:bookmarkStart w:id="551" w:name="_Toc150774752"/>
      <w:r/>
      <w:bookmarkStart w:id="552" w:name="_Toc151193717"/>
      <w:r/>
      <w:bookmarkStart w:id="553" w:name="_Toc151193645"/>
      <w:r/>
      <w:bookmarkStart w:id="554" w:name="_Toc226965820"/>
      <w:r/>
      <w:bookmarkStart w:id="555" w:name="_Toc150509298"/>
      <w:r/>
      <w:bookmarkStart w:id="556" w:name="_Toc164351641"/>
      <w:r/>
      <w:bookmarkStart w:id="557" w:name="_Toc195842912"/>
      <w:r/>
      <w:bookmarkStart w:id="558" w:name="_Toc164608816"/>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确定</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Pr>
          <w:rFonts w:ascii="Times New Roman" w:hAnsi="Times New Roman" w:eastAsia="宋体" w:cs="Times New Roman"/>
          <w:sz w:val="24"/>
        </w:rPr>
        <w:t xml:space="preserve">成交供应商</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采购人在收到单一来源采购人员编写的</w:t>
      </w:r>
      <w:r>
        <w:rPr>
          <w:rFonts w:ascii="Times New Roman" w:hAnsi="Times New Roman" w:eastAsia="宋体" w:cs="Times New Roman"/>
          <w:sz w:val="24"/>
          <w:highlight w:val="none"/>
        </w:rPr>
        <w:t xml:space="preserve">协商情况</w:t>
      </w:r>
      <w:r>
        <w:rPr>
          <w:rFonts w:ascii="Times New Roman" w:hAnsi="Times New Roman" w:eastAsia="宋体" w:cs="Times New Roman"/>
          <w:sz w:val="24"/>
        </w:rPr>
        <w:t xml:space="preserve">记录后，确定成交供应商。</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559" w:name="_Toc164229244"/>
      <w:r/>
      <w:bookmarkStart w:id="560" w:name="_Toc151193937"/>
      <w:r/>
      <w:bookmarkStart w:id="561" w:name="_Toc164608818"/>
      <w:r/>
      <w:bookmarkStart w:id="562" w:name="_Toc305158891"/>
      <w:r/>
      <w:bookmarkStart w:id="563" w:name="_Toc226965739"/>
      <w:r/>
      <w:bookmarkStart w:id="564" w:name="_Toc226309793"/>
      <w:r/>
      <w:bookmarkStart w:id="565" w:name="_Toc149720842"/>
      <w:r/>
      <w:bookmarkStart w:id="566" w:name="_Toc226965822"/>
      <w:r/>
      <w:bookmarkStart w:id="567" w:name="_Toc150774649"/>
      <w:r/>
      <w:bookmarkStart w:id="568" w:name="_Toc150480787"/>
      <w:r/>
      <w:bookmarkStart w:id="569" w:name="_Toc151193647"/>
      <w:r/>
      <w:bookmarkStart w:id="570" w:name="_Toc142311051"/>
      <w:r/>
      <w:bookmarkStart w:id="571" w:name="_Toc520356176"/>
      <w:r/>
      <w:bookmarkStart w:id="572" w:name="_Ref467306425"/>
      <w:r/>
      <w:bookmarkStart w:id="573" w:name="_Toc226337245"/>
      <w:r/>
      <w:bookmarkStart w:id="574" w:name="_Toc265228387"/>
      <w:r/>
      <w:bookmarkStart w:id="575" w:name="_Toc164351643"/>
      <w:r/>
      <w:bookmarkStart w:id="576" w:name="_Toc127151549"/>
      <w:r/>
      <w:bookmarkStart w:id="577" w:name="_Toc127151750"/>
      <w:r/>
      <w:bookmarkStart w:id="578" w:name="_Toc127161463"/>
      <w:r/>
      <w:bookmarkStart w:id="579" w:name="_Toc151193719"/>
      <w:r/>
      <w:bookmarkStart w:id="580" w:name="_Toc264969239"/>
      <w:r/>
      <w:bookmarkStart w:id="581" w:name="_Toc305158817"/>
      <w:r/>
      <w:bookmarkStart w:id="582" w:name="_Toc151190176"/>
      <w:r/>
      <w:bookmarkStart w:id="583" w:name="_Toc151193791"/>
      <w:r/>
      <w:bookmarkStart w:id="584" w:name="_Toc195842914"/>
      <w:r/>
      <w:bookmarkStart w:id="585" w:name="_Toc150509300"/>
      <w:r/>
      <w:bookmarkStart w:id="586" w:name="_Toc164608663"/>
      <w:r/>
      <w:bookmarkStart w:id="587" w:name="_Toc164229390"/>
      <w:r/>
      <w:bookmarkStart w:id="588" w:name="_Toc150774754"/>
      <w:r/>
      <w:bookmarkStart w:id="589" w:name="_Toc151193863"/>
      <w:r/>
      <w:bookmarkStart w:id="590" w:name="_Ref467307090"/>
      <w:r>
        <w:rPr>
          <w:rFonts w:ascii="Times New Roman" w:hAnsi="Times New Roman" w:eastAsia="宋体" w:cs="Times New Roman"/>
          <w:sz w:val="24"/>
        </w:rPr>
        <w:t xml:space="preserve">成交公告与成交通知书</w:t>
      </w:r>
      <w:bookmarkEnd w:id="562"/>
      <w:r/>
      <w:bookmarkEnd w:id="581"/>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采购人或采购代理机构自成交供应商确定后2个工作日内，在</w:t>
      </w:r>
      <w:r>
        <w:rPr>
          <w:rFonts w:ascii="Times New Roman" w:hAnsi="Times New Roman" w:eastAsia="宋体" w:cs="Times New Roman"/>
          <w:sz w:val="24"/>
        </w:rPr>
        <w:t xml:space="preserve">常州市政府采购网</w:t>
      </w:r>
      <w:r>
        <w:rPr>
          <w:rFonts w:ascii="Times New Roman" w:hAnsi="Times New Roman" w:eastAsia="宋体" w:cs="Times New Roman"/>
          <w:color w:val="000000"/>
          <w:sz w:val="24"/>
        </w:rPr>
        <w:t xml:space="preserve">公告成交结果，同时向成交供应商发出成交通知书，成交公告期限为1个工作日。</w:t>
      </w:r>
      <w:r>
        <w:rPr>
          <w:rFonts w:ascii="Times New Roman" w:hAnsi="Times New Roman" w:eastAsia="宋体" w:cs="Times New Roman"/>
          <w:color w:val="000000"/>
          <w:sz w:val="24"/>
        </w:rPr>
      </w:r>
      <w:r/>
    </w:p>
    <w:p>
      <w:pPr>
        <w:pStyle w:val="775"/>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成交通知书对采购人和成交供应商具有同等法律效力。成交通知书发出后，采购人改变成交结果的，或者成交供应商放弃成交项目的，应当依法承担法律责任。</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终止</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出现下列情形之一的，采购人或采购代理机构将终止采购活动，发布项目终止公告并说明原因，重新开展采购活动：</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因情况变化，不再符合规定的单一来源采购方式适用情形的；</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出现影响采购公正的违法、违规行为的；</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报价超过</w:t>
      </w:r>
      <w:r>
        <w:rPr>
          <w:rFonts w:hint="eastAsia" w:ascii="Times New Roman" w:hAnsi="Times New Roman" w:eastAsia="宋体" w:cs="Times New Roman"/>
          <w:sz w:val="24"/>
          <w:lang w:val="en-US" w:eastAsia="zh-CN"/>
        </w:rPr>
        <w:t xml:space="preserve">最高限价</w:t>
      </w:r>
      <w:r>
        <w:rPr>
          <w:rFonts w:ascii="Times New Roman" w:hAnsi="Times New Roman" w:eastAsia="宋体" w:cs="Times New Roman"/>
          <w:sz w:val="24"/>
        </w:rPr>
        <w:t xml:space="preserve">的。</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59"/>
      <w:r/>
      <w:bookmarkEnd w:id="560"/>
      <w:r/>
      <w:bookmarkEnd w:id="561"/>
      <w:r/>
      <w:bookmarkEnd w:id="563"/>
      <w:r/>
      <w:bookmarkEnd w:id="564"/>
      <w:r/>
      <w:bookmarkEnd w:id="565"/>
      <w:r/>
      <w:bookmarkEnd w:id="566"/>
      <w:r/>
      <w:bookmarkEnd w:id="567"/>
      <w:r/>
      <w:bookmarkEnd w:id="568"/>
      <w:r/>
      <w:bookmarkEnd w:id="569"/>
      <w:r/>
      <w:bookmarkEnd w:id="570"/>
      <w:r/>
      <w:bookmarkEnd w:id="573"/>
      <w:r/>
      <w:bookmarkEnd w:id="574"/>
      <w:r/>
      <w:bookmarkEnd w:id="575"/>
      <w:r/>
      <w:bookmarkEnd w:id="576"/>
      <w:r/>
      <w:bookmarkEnd w:id="577"/>
      <w:r/>
      <w:bookmarkEnd w:id="578"/>
      <w:r/>
      <w:bookmarkEnd w:id="579"/>
      <w:r/>
      <w:bookmarkEnd w:id="580"/>
      <w:r/>
      <w:bookmarkEnd w:id="582"/>
      <w:r/>
      <w:bookmarkEnd w:id="583"/>
      <w:r/>
      <w:bookmarkEnd w:id="584"/>
      <w:r/>
      <w:bookmarkEnd w:id="585"/>
      <w:r/>
      <w:bookmarkEnd w:id="586"/>
      <w:r/>
      <w:bookmarkEnd w:id="587"/>
      <w:r/>
      <w:bookmarkEnd w:id="588"/>
      <w:r/>
      <w:bookmarkEnd w:id="589"/>
      <w:r/>
      <w:bookmarkStart w:id="591" w:name="_Toc151193648"/>
      <w:r/>
      <w:bookmarkStart w:id="592" w:name="_Toc195842915"/>
      <w:r/>
      <w:bookmarkStart w:id="593" w:name="_Toc150774755"/>
      <w:r/>
      <w:bookmarkStart w:id="594" w:name="_Toc150509301"/>
      <w:r/>
      <w:bookmarkStart w:id="595" w:name="_Toc164351644"/>
      <w:r/>
      <w:bookmarkStart w:id="596" w:name="_Ref467306377"/>
      <w:r/>
      <w:bookmarkStart w:id="597" w:name="_Toc226309794"/>
      <w:r/>
      <w:bookmarkStart w:id="598" w:name="_Toc149720843"/>
      <w:r/>
      <w:bookmarkStart w:id="599" w:name="_Toc127161464"/>
      <w:r/>
      <w:bookmarkStart w:id="600" w:name="_Toc142311052"/>
      <w:r/>
      <w:bookmarkStart w:id="601" w:name="_Toc150774650"/>
      <w:r/>
      <w:bookmarkStart w:id="602" w:name="_Toc151193864"/>
      <w:r/>
      <w:bookmarkStart w:id="603" w:name="_Toc226965740"/>
      <w:r/>
      <w:bookmarkStart w:id="604" w:name="_Toc164229391"/>
      <w:r/>
      <w:bookmarkStart w:id="605" w:name="_Toc127151751"/>
      <w:r/>
      <w:bookmarkStart w:id="606" w:name="_Toc305158818"/>
      <w:r/>
      <w:bookmarkStart w:id="607" w:name="_Toc164229245"/>
      <w:r/>
      <w:bookmarkStart w:id="608" w:name="_Toc127151550"/>
      <w:r/>
      <w:bookmarkStart w:id="609" w:name="_Toc151193938"/>
      <w:r/>
      <w:bookmarkStart w:id="610" w:name="_Toc164608664"/>
      <w:r/>
      <w:bookmarkStart w:id="611" w:name="_Toc151193792"/>
      <w:r/>
      <w:bookmarkStart w:id="612" w:name="_Ref467307062"/>
      <w:r/>
      <w:bookmarkStart w:id="613" w:name="_Toc520356175"/>
      <w:r/>
      <w:bookmarkStart w:id="614" w:name="_Ref467307204"/>
      <w:r/>
      <w:bookmarkStart w:id="615" w:name="_Toc151190177"/>
      <w:r/>
      <w:bookmarkStart w:id="616" w:name="_Toc150480788"/>
      <w:r/>
      <w:bookmarkStart w:id="617" w:name="_Toc305158892"/>
      <w:r/>
      <w:bookmarkStart w:id="618" w:name="_Toc226965823"/>
      <w:r/>
      <w:bookmarkStart w:id="619" w:name="_Ref467306978"/>
      <w:r/>
      <w:bookmarkStart w:id="620" w:name="_Toc226337246"/>
      <w:r/>
      <w:bookmarkStart w:id="621" w:name="_Toc265228388"/>
      <w:r/>
      <w:bookmarkStart w:id="622" w:name="_Toc164608819"/>
      <w:r/>
      <w:bookmarkStart w:id="623" w:name="_Toc264969240"/>
      <w:r/>
      <w:bookmarkStart w:id="624" w:name="_Toc151193720"/>
      <w:r>
        <w:rPr>
          <w:rFonts w:ascii="Times New Roman" w:hAnsi="Times New Roman" w:eastAsia="宋体" w:cs="Times New Roman"/>
          <w:sz w:val="24"/>
        </w:rPr>
        <w:t xml:space="preserve">签订合同</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成交供应商拒绝签订政府采购合同的，采购人可以重新开展采购活动。拒绝签订政府采购合同的成交供应商不得参加对该项目重新开展的采购活动。</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联合体成交的，联合体各方应当共同与采购人签订合同，就成交项目向采购人承担连带责任。</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政府采购合同不能转包。</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sz w:val="24"/>
        </w:rPr>
        <w:t xml:space="preserve">，</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。成交供应商就采购项目和分包项目向采购人负责，分包供应商就分包项目承担责任。</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71"/>
      <w:r/>
      <w:bookmarkEnd w:id="572"/>
      <w:r/>
      <w:bookmarkEnd w:id="590"/>
      <w:r>
        <w:rPr>
          <w:rFonts w:ascii="Times New Roman" w:hAnsi="Times New Roman" w:eastAsia="宋体" w:cs="Times New Roman"/>
          <w:sz w:val="24"/>
        </w:rPr>
        <w:t xml:space="preserve">询问与质疑</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询问</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供应商对政府采购活动事项有疑问的，可依法提出询问，并按《供应商须知资料表》载明的形式送达采购人或采购代理机构。</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采购人或采购代理机构对供应商依法提出的询问，在3个工作日内作出答复，但答复的内容不得涉及商业秘密。</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质疑</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质疑函须使用财政部制定的范本文件。（下载网址：</w:t>
      </w:r>
      <w:r>
        <w:rPr>
          <w:rFonts w:ascii="Times New Roman" w:hAnsi="Times New Roman" w:eastAsia="宋体" w:cs="Times New Roman"/>
        </w:rPr>
        <w:fldChar w:fldCharType="begin"/>
      </w:r>
      <w:r>
        <w:rPr>
          <w:rFonts w:ascii="Times New Roman" w:hAnsi="Times New Roman" w:eastAsia="宋体" w:cs="Times New Roman"/>
        </w:rPr>
        <w:instrText xml:space="preserve"> HYPERLINK "http://gks.mof.gov.cn/ztztz/zhengfucaigouguanli/201802/t20180201_2804589.htm" </w:instrText>
      </w:r>
      <w:r>
        <w:rPr>
          <w:rFonts w:ascii="Times New Roman" w:hAnsi="Times New Roman" w:eastAsia="宋体" w:cs="Times New Roman"/>
        </w:rPr>
        <w:fldChar w:fldCharType="separate"/>
      </w:r>
      <w:r>
        <w:rPr>
          <w:rStyle w:val="851"/>
          <w:rFonts w:ascii="Times New Roman" w:hAnsi="Times New Roman" w:eastAsia="宋体" w:cs="Times New Roman"/>
        </w:rPr>
        <w:t xml:space="preserve">http：//gk</w:t>
      </w:r>
      <w:bookmarkStart w:id="625" w:name="_Hlt100654014"/>
      <w:r>
        <w:rPr>
          <w:rStyle w:val="851"/>
          <w:rFonts w:ascii="Times New Roman" w:hAnsi="Times New Roman" w:eastAsia="宋体" w:cs="Times New Roman"/>
        </w:rPr>
        <w:t xml:space="preserve">s</w:t>
      </w:r>
      <w:bookmarkEnd w:id="625"/>
      <w:r>
        <w:rPr>
          <w:rStyle w:val="851"/>
          <w:rFonts w:ascii="Times New Roman" w:hAnsi="Times New Roman" w:eastAsia="宋体" w:cs="Times New Roman"/>
        </w:rPr>
        <w:t xml:space="preserve">.m</w:t>
      </w:r>
      <w:bookmarkStart w:id="626" w:name="_Hlt100653994"/>
      <w:r/>
      <w:bookmarkStart w:id="627" w:name="_Hlt100653993"/>
      <w:r>
        <w:rPr>
          <w:rStyle w:val="851"/>
          <w:rFonts w:ascii="Times New Roman" w:hAnsi="Times New Roman" w:eastAsia="宋体" w:cs="Times New Roman"/>
        </w:rPr>
        <w:t xml:space="preserve">o</w:t>
      </w:r>
      <w:bookmarkEnd w:id="626"/>
      <w:r/>
      <w:bookmarkEnd w:id="627"/>
      <w:r>
        <w:rPr>
          <w:rStyle w:val="851"/>
          <w:rFonts w:ascii="Times New Roman" w:hAnsi="Times New Roman" w:eastAsia="宋体" w:cs="Times New Roman"/>
        </w:rPr>
        <w:t xml:space="preserve">f.gov.cn/ztztz/zhengfucaigouguanli/201802/t20180201_2804589.htm</w:t>
      </w:r>
      <w:r>
        <w:rPr>
          <w:rFonts w:ascii="Times New Roman" w:hAnsi="Times New Roman" w:eastAsia="宋体" w:cs="Times New Roman"/>
        </w:rPr>
        <w:fldChar w:fldCharType="end"/>
      </w:r>
      <w:r>
        <w:rPr>
          <w:rFonts w:ascii="Times New Roman" w:hAnsi="Times New Roman" w:eastAsia="宋体" w:cs="Times New Roman"/>
        </w:rPr>
        <w:t xml:space="preserve">）</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供应商为自然人的，应当由本人签字；供应商为法人或者其他组织的，应当由法定代表人、主要负责人，或者其授权代表签字或者盖章，并加盖公章。</w:t>
      </w:r>
      <w:r>
        <w:rPr>
          <w:rFonts w:ascii="Times New Roman" w:hAnsi="Times New Roman" w:eastAsia="宋体" w:cs="Times New Roman"/>
          <w:sz w:val="24"/>
        </w:rPr>
      </w:r>
      <w:r/>
    </w:p>
    <w:p>
      <w:pPr>
        <w:pStyle w:val="775"/>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供应商应在法定质疑期内一次性提出针对同一采购程序环节的质疑，法定质疑期内针对同一采购程序环节再次提出的质疑，采购人、采购代理机构有权不予答复。</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接收询问和质疑的联系部门、联系电话和通讯地址见《供应商须知资料表》。</w:t>
      </w:r>
      <w:r>
        <w:rPr>
          <w:rFonts w:ascii="Times New Roman" w:hAnsi="Times New Roman" w:eastAsia="宋体" w:cs="Times New Roman"/>
          <w:sz w:val="24"/>
        </w:rPr>
      </w:r>
      <w:r/>
    </w:p>
    <w:p>
      <w:pPr>
        <w:pStyle w:val="775"/>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代理费</w:t>
      </w:r>
      <w:r>
        <w:rPr>
          <w:rFonts w:ascii="Times New Roman" w:hAnsi="Times New Roman" w:eastAsia="宋体" w:cs="Times New Roman"/>
          <w:sz w:val="24"/>
        </w:rPr>
      </w:r>
      <w:r/>
    </w:p>
    <w:p>
      <w:pPr>
        <w:pStyle w:val="77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收费对象、收费标准及缴纳时间见《供应商须知资料表》。由成交供应商支付的，成交供应商须一次性向采购代理机构缴纳代理费，供应商的报价应包含代理费用。</w:t>
      </w:r>
      <w:r>
        <w:rPr>
          <w:rFonts w:ascii="Times New Roman" w:hAnsi="Times New Roman" w:eastAsia="宋体" w:cs="Times New Roman"/>
          <w:sz w:val="24"/>
        </w:rPr>
      </w:r>
      <w:r/>
    </w:p>
    <w:p>
      <w:pPr>
        <w:pStyle w:val="775"/>
        <w:jc w:val="center"/>
        <w:spacing w:line="360" w:lineRule="auto"/>
        <w:rPr>
          <w:rFonts w:ascii="Times New Roman" w:hAnsi="Times New Roman" w:eastAsia="宋体" w:cs="Times New Roman"/>
          <w:b/>
          <w:sz w:val="36"/>
          <w:szCs w:val="36"/>
        </w:rPr>
        <w:outlineLvl w:val="0"/>
      </w:pPr>
      <w:r/>
      <w:bookmarkStart w:id="628" w:name="_Toc353873934"/>
      <w:r/>
      <w:bookmarkStart w:id="629" w:name="_Toc127151554"/>
      <w:r/>
      <w:bookmarkStart w:id="630" w:name="_Toc150480792"/>
      <w:r/>
      <w:bookmarkStart w:id="631" w:name="_Toc226965827"/>
      <w:r/>
      <w:bookmarkStart w:id="632" w:name="_Toc353873664"/>
      <w:r/>
      <w:bookmarkStart w:id="633" w:name="_Toc305158822"/>
      <w:r/>
      <w:bookmarkStart w:id="634" w:name="_Toc226337250"/>
      <w:r/>
      <w:bookmarkStart w:id="635" w:name="_Toc353825544"/>
      <w:r/>
      <w:bookmarkStart w:id="636" w:name="_Toc305158896"/>
      <w:r/>
      <w:bookmarkStart w:id="637" w:name="_Toc150774759"/>
      <w:r/>
      <w:bookmarkStart w:id="638" w:name="_Toc265228392"/>
      <w:r/>
      <w:bookmarkStart w:id="639" w:name="_Toc264969244"/>
      <w:r/>
      <w:bookmarkStart w:id="640" w:name="_Toc142311056"/>
      <w:r>
        <w:rPr>
          <w:rFonts w:ascii="Times New Roman" w:hAnsi="Times New Roman" w:eastAsia="宋体" w:cs="Times New Roman"/>
          <w:sz w:val="24"/>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Start w:id="641" w:name="_Hlt522424701"/>
      <w:r/>
      <w:bookmarkEnd w:id="641"/>
      <w:r/>
      <w:bookmarkStart w:id="642" w:name="_Hlt487900425"/>
      <w:r/>
      <w:bookmarkEnd w:id="642"/>
      <w:r/>
      <w:bookmarkStart w:id="643" w:name="_Hlt487972895"/>
      <w:r/>
      <w:bookmarkEnd w:id="643"/>
      <w:r/>
      <w:bookmarkStart w:id="644" w:name="_Toc226965858"/>
      <w:r/>
      <w:bookmarkStart w:id="645" w:name="_Toc127151779"/>
      <w:r/>
      <w:bookmarkStart w:id="646" w:name="_Toc353873940"/>
      <w:r/>
      <w:bookmarkStart w:id="647" w:name="_Toc127161490"/>
      <w:r/>
      <w:bookmarkStart w:id="648" w:name="_Toc353825550"/>
      <w:r/>
      <w:bookmarkStart w:id="649" w:name="_Toc2074"/>
      <w:r/>
      <w:bookmarkStart w:id="650" w:name="_Toc6910"/>
      <w:r/>
      <w:bookmarkStart w:id="651" w:name="_Toc32514"/>
      <w:r/>
      <w:bookmarkStart w:id="652" w:name="_Toc26477"/>
      <w:r/>
      <w:bookmarkStart w:id="653" w:name="_Toc14118"/>
      <w:r/>
      <w:bookmarkStart w:id="654" w:name="_Toc11348"/>
      <w:r/>
      <w:bookmarkStart w:id="655" w:name="_Toc99301281"/>
      <w:r>
        <w:rPr>
          <w:rFonts w:ascii="Times New Roman" w:hAnsi="Times New Roman" w:eastAsia="宋体" w:cs="Times New Roman"/>
          <w:b/>
          <w:sz w:val="36"/>
          <w:szCs w:val="36"/>
        </w:rPr>
        <w:t xml:space="preserve">第三章   </w:t>
      </w:r>
      <w:bookmarkEnd w:id="644"/>
      <w:r/>
      <w:bookmarkEnd w:id="645"/>
      <w:r/>
      <w:bookmarkEnd w:id="646"/>
      <w:r/>
      <w:bookmarkEnd w:id="647"/>
      <w:r/>
      <w:bookmarkEnd w:id="648"/>
      <w:r/>
      <w:bookmarkStart w:id="656" w:name="_Hlt164229061"/>
      <w:r/>
      <w:bookmarkEnd w:id="656"/>
      <w:r>
        <w:rPr>
          <w:rFonts w:ascii="Times New Roman" w:hAnsi="Times New Roman" w:eastAsia="宋体" w:cs="Times New Roman"/>
          <w:b/>
          <w:sz w:val="36"/>
          <w:szCs w:val="36"/>
        </w:rPr>
        <w:t xml:space="preserve">协商程序</w:t>
      </w:r>
      <w:bookmarkEnd w:id="649"/>
      <w:r/>
      <w:bookmarkEnd w:id="650"/>
      <w:r/>
      <w:bookmarkEnd w:id="651"/>
      <w:r/>
      <w:bookmarkEnd w:id="652"/>
      <w:r/>
      <w:bookmarkEnd w:id="653"/>
      <w:r/>
      <w:bookmarkEnd w:id="654"/>
      <w:r/>
      <w:bookmarkEnd w:id="655"/>
      <w:r>
        <w:rPr>
          <w:rFonts w:ascii="Times New Roman" w:hAnsi="Times New Roman" w:eastAsia="宋体" w:cs="Times New Roman"/>
          <w:b/>
          <w:sz w:val="36"/>
          <w:szCs w:val="36"/>
        </w:rPr>
        <w:t xml:space="preserve"> </w:t>
      </w:r>
      <w:r>
        <w:rPr>
          <w:rFonts w:ascii="Times New Roman" w:hAnsi="Times New Roman" w:eastAsia="宋体" w:cs="Times New Roman"/>
          <w:b/>
          <w:sz w:val="36"/>
          <w:szCs w:val="36"/>
        </w:rPr>
      </w:r>
      <w:r/>
    </w:p>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p>
      <w:pPr>
        <w:pStyle w:val="775"/>
        <w:numPr>
          <w:ilvl w:val="0"/>
          <w:numId w:val="12"/>
        </w:numPr>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响应文件的资格审查和符合性审查</w:t>
      </w:r>
      <w:r>
        <w:rPr>
          <w:rFonts w:ascii="Times New Roman" w:hAnsi="Times New Roman" w:eastAsia="宋体" w:cs="Times New Roman"/>
          <w:sz w:val="24"/>
        </w:rPr>
      </w:r>
      <w:r/>
    </w:p>
    <w:p>
      <w:pPr>
        <w:pStyle w:val="775"/>
        <w:numPr>
          <w:ilvl w:val="1"/>
          <w:numId w:val="12"/>
        </w:numPr>
        <w:ind w:left="1077" w:hanging="720"/>
        <w:spacing w:line="360" w:lineRule="auto"/>
        <w:tabs>
          <w:tab w:val="left" w:pos="1080" w:leader="none"/>
          <w:tab w:val="left" w:pos="1447"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单一来源采购人员将根据《资格审查要求》和《符合性审查要求》中规定的审查因素和审查内容，对供应商进行审查，并形成审查记录。</w:t>
      </w:r>
      <w:r>
        <w:rPr>
          <w:rFonts w:ascii="Times New Roman" w:hAnsi="Times New Roman" w:eastAsia="宋体" w:cs="Times New Roman"/>
          <w:sz w:val="24"/>
        </w:rPr>
      </w:r>
      <w:r/>
    </w:p>
    <w:p>
      <w:pPr>
        <w:pStyle w:val="775"/>
        <w:numPr>
          <w:ilvl w:val="1"/>
          <w:numId w:val="12"/>
        </w:numPr>
        <w:ind w:left="1077" w:hanging="720"/>
        <w:spacing w:line="360" w:lineRule="auto"/>
        <w:tabs>
          <w:tab w:val="left" w:pos="1080" w:leader="none"/>
          <w:tab w:val="left" w:pos="1447"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《资格审查要求》和《符合性审查要求》中对格式有要求的，除单一来源采购文件另有规定外，均为</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实质性格式</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文件。未实质性响应单一来源采购文件的响应文件按</w:t>
      </w:r>
      <w:r>
        <w:rPr>
          <w:rFonts w:ascii="Times New Roman" w:hAnsi="Times New Roman" w:eastAsia="宋体" w:cs="Times New Roman"/>
          <w:b/>
          <w:sz w:val="24"/>
        </w:rPr>
        <w:t xml:space="preserve">无效响应</w:t>
      </w:r>
      <w:r>
        <w:rPr>
          <w:rFonts w:ascii="Times New Roman" w:hAnsi="Times New Roman" w:eastAsia="宋体" w:cs="Times New Roman"/>
          <w:sz w:val="24"/>
        </w:rPr>
        <w:t xml:space="preserve">处理，协商小组应当告知提交响应文件的供应商。</w:t>
      </w:r>
      <w:r>
        <w:rPr>
          <w:rFonts w:ascii="Times New Roman" w:hAnsi="Times New Roman" w:eastAsia="宋体" w:cs="Times New Roman"/>
          <w:sz w:val="24"/>
        </w:rPr>
      </w:r>
      <w:r/>
    </w:p>
    <w:p>
      <w:pPr>
        <w:pStyle w:val="775"/>
        <w:numPr>
          <w:ilvl w:val="1"/>
          <w:numId w:val="12"/>
        </w:numPr>
        <w:ind w:left="1077" w:hanging="720"/>
        <w:spacing w:line="360" w:lineRule="auto"/>
        <w:tabs>
          <w:tab w:val="left" w:pos="1080" w:leader="none"/>
          <w:tab w:val="left" w:pos="1447"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《资格审查要求》见下表：</w:t>
      </w:r>
      <w:r>
        <w:rPr>
          <w:rFonts w:ascii="Times New Roman" w:hAnsi="Times New Roman" w:eastAsia="宋体" w:cs="Times New Roman"/>
          <w:sz w:val="24"/>
        </w:rPr>
      </w:r>
      <w:r/>
    </w:p>
    <w:p>
      <w:pPr>
        <w:pStyle w:val="775"/>
        <w:jc w:val="center"/>
        <w:spacing w:line="360" w:lineRule="auto"/>
        <w:tabs>
          <w:tab w:val="left" w:pos="900" w:leader="none"/>
          <w:tab w:val="left" w:pos="1080" w:leader="none"/>
          <w:tab w:val="left" w:pos="1447" w:leader="none"/>
        </w:tabs>
        <w:rPr>
          <w:rFonts w:ascii="Times New Roman" w:hAnsi="Times New Roman" w:eastAsia="宋体" w:cs="Times New Roman"/>
          <w:b/>
          <w:sz w:val="24"/>
        </w:rPr>
      </w:pPr>
      <w:r>
        <w:rPr>
          <w:rFonts w:ascii="Times New Roman" w:hAnsi="Times New Roman" w:eastAsia="宋体" w:cs="Times New Roman"/>
          <w:b/>
          <w:sz w:val="24"/>
        </w:rPr>
        <w:t xml:space="preserve">资格审查要求</w:t>
      </w:r>
      <w:r>
        <w:rPr>
          <w:rFonts w:ascii="Times New Roman" w:hAnsi="Times New Roman" w:eastAsia="宋体" w:cs="Times New Roman"/>
          <w:b/>
          <w:sz w:val="24"/>
        </w:rPr>
      </w:r>
      <w:r/>
    </w:p>
    <w:tbl>
      <w:tblPr>
        <w:tblW w:w="5799" w:type="pct"/>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346"/>
        <w:gridCol w:w="3780"/>
        <w:gridCol w:w="1560"/>
        <w:gridCol w:w="1380"/>
      </w:tblGrid>
      <w:tr>
        <w:trPr>
          <w:cantSplit/>
          <w:trHeight w:val="20"/>
          <w:tblHeader/>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b/>
                <w:sz w:val="24"/>
              </w:rPr>
            </w:pPr>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1188" w:type="dxa"/>
            <w:vAlign w:val="center"/>
            <w:textDirection w:val="lrTb"/>
            <w:noWrap w:val="false"/>
          </w:tcPr>
          <w:p>
            <w:pPr>
              <w:pStyle w:val="775"/>
              <w:jc w:val="center"/>
              <w:tabs>
                <w:tab w:val="left" w:pos="1080" w:leader="none"/>
              </w:tabs>
              <w:rPr>
                <w:rFonts w:ascii="Times New Roman" w:hAnsi="Times New Roman" w:eastAsia="宋体" w:cs="Times New Roman"/>
                <w:b/>
                <w:bCs/>
                <w:sz w:val="24"/>
              </w:rPr>
            </w:pPr>
            <w:r>
              <w:rPr>
                <w:rFonts w:ascii="Times New Roman" w:hAnsi="Times New Roman" w:eastAsia="宋体" w:cs="Times New Roman"/>
                <w:b/>
                <w:bCs/>
                <w:sz w:val="24"/>
              </w:rPr>
              <w:t xml:space="preserve">审查因素</w:t>
            </w:r>
            <w:r>
              <w:rPr>
                <w:rFonts w:ascii="Times New Roman" w:hAnsi="Times New Roman" w:eastAsia="宋体" w:cs="Times New Roman"/>
                <w:b/>
                <w:bCs/>
                <w:sz w:val="24"/>
              </w:rPr>
            </w:r>
            <w:r/>
          </w:p>
        </w:tc>
        <w:tc>
          <w:tcPr>
            <w:tcW w:w="1914" w:type="dxa"/>
            <w:vAlign w:val="center"/>
            <w:textDirection w:val="lrTb"/>
            <w:noWrap w:val="false"/>
          </w:tcPr>
          <w:p>
            <w:pPr>
              <w:pStyle w:val="775"/>
              <w:jc w:val="center"/>
              <w:tabs>
                <w:tab w:val="left" w:pos="1080" w:leader="none"/>
              </w:tabs>
              <w:rPr>
                <w:rFonts w:ascii="Times New Roman" w:hAnsi="Times New Roman" w:eastAsia="宋体" w:cs="Times New Roman"/>
                <w:b/>
                <w:sz w:val="24"/>
              </w:rPr>
            </w:pPr>
            <w:r>
              <w:rPr>
                <w:rFonts w:ascii="Times New Roman" w:hAnsi="Times New Roman" w:eastAsia="宋体" w:cs="Times New Roman"/>
                <w:b/>
                <w:sz w:val="24"/>
              </w:rPr>
              <w:t xml:space="preserve">审查内容</w:t>
            </w:r>
            <w:r>
              <w:rPr>
                <w:rFonts w:ascii="Times New Roman" w:hAnsi="Times New Roman" w:eastAsia="宋体" w:cs="Times New Roman"/>
                <w:b/>
                <w:sz w:val="24"/>
              </w:rPr>
            </w:r>
            <w:r/>
          </w:p>
        </w:tc>
        <w:tc>
          <w:tcPr>
            <w:tcW w:w="790" w:type="dxa"/>
            <w:vAlign w:val="center"/>
            <w:textDirection w:val="lrTb"/>
            <w:noWrap w:val="false"/>
          </w:tcPr>
          <w:p>
            <w:pPr>
              <w:pStyle w:val="775"/>
              <w:jc w:val="center"/>
              <w:tabs>
                <w:tab w:val="left" w:pos="1080" w:leader="none"/>
              </w:tabs>
              <w:rPr>
                <w:rFonts w:ascii="Times New Roman" w:hAnsi="Times New Roman" w:eastAsia="宋体" w:cs="Times New Roman"/>
                <w:b/>
                <w:sz w:val="24"/>
              </w:rPr>
            </w:pPr>
            <w:r>
              <w:rPr>
                <w:rFonts w:ascii="Times New Roman" w:hAnsi="Times New Roman" w:eastAsia="宋体" w:cs="Times New Roman"/>
                <w:b/>
                <w:sz w:val="24"/>
              </w:rPr>
              <w:t xml:space="preserve">格式要求</w:t>
            </w:r>
            <w:r>
              <w:rPr>
                <w:rFonts w:ascii="Times New Roman" w:hAnsi="Times New Roman" w:eastAsia="宋体" w:cs="Times New Roman"/>
                <w:b/>
                <w:sz w:val="24"/>
              </w:rPr>
            </w:r>
            <w:r/>
          </w:p>
        </w:tc>
        <w:tc>
          <w:tcPr>
            <w:tcW w:w="699" w:type="dxa"/>
            <w:vAlign w:val="center"/>
            <w:textDirection w:val="lrTb"/>
            <w:noWrap w:val="false"/>
          </w:tcPr>
          <w:p>
            <w:pPr>
              <w:pStyle w:val="775"/>
              <w:jc w:val="center"/>
              <w:tabs>
                <w:tab w:val="left" w:pos="1080" w:leader="none"/>
              </w:tabs>
              <w:rPr>
                <w:rFonts w:ascii="Times New Roman" w:hAnsi="Times New Roman" w:eastAsia="宋体" w:cs="Times New Roman"/>
                <w:b/>
                <w:sz w:val="24"/>
              </w:rPr>
            </w:pPr>
            <w:r>
              <w:rPr>
                <w:rFonts w:ascii="Times New Roman" w:hAnsi="Times New Roman" w:eastAsia="宋体" w:cs="Times New Roman"/>
                <w:b/>
                <w:sz w:val="24"/>
              </w:rPr>
              <w:t xml:space="preserve">是否允许澄清、说明或者更正</w:t>
            </w:r>
            <w:r>
              <w:rPr>
                <w:rFonts w:ascii="Times New Roman" w:hAnsi="Times New Roman" w:eastAsia="宋体" w:cs="Times New Roman"/>
                <w:b/>
                <w:sz w:val="24"/>
              </w:rPr>
            </w:r>
            <w:r/>
          </w:p>
        </w:tc>
      </w:tr>
      <w:tr>
        <w:trPr>
          <w:cantSplit/>
          <w:trHeight w:val="20"/>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满足《中华人民共和国政府采购法》第二十二条规定及法律法规的其他规定</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具体规定见第一章《采购邀请》</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c>
          <w:tcPr>
            <w:tcW w:w="699"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r>
      <w:tr>
        <w:trPr>
          <w:cantSplit/>
          <w:trHeight w:val="20"/>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1-1</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lang w:val="en-US" w:eastAsia="zh-CN"/>
              </w:rPr>
              <w:t xml:space="preserve">供应商</w:t>
            </w:r>
            <w:r>
              <w:rPr>
                <w:rFonts w:ascii="Times New Roman" w:hAnsi="Times New Roman" w:eastAsia="宋体" w:cs="Times New Roman"/>
                <w:sz w:val="24"/>
              </w:rPr>
              <w:t xml:space="preserve">资格声明函</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提供了符合</w:t>
            </w:r>
            <w:r>
              <w:rPr>
                <w:rFonts w:ascii="Times New Roman" w:hAnsi="Times New Roman" w:eastAsia="宋体" w:cs="Times New Roman"/>
                <w:sz w:val="24"/>
                <w:lang w:val="en-US" w:eastAsia="zh-CN"/>
              </w:rPr>
              <w:t xml:space="preserve">采购</w:t>
            </w:r>
            <w:r>
              <w:rPr>
                <w:rFonts w:ascii="Times New Roman" w:hAnsi="Times New Roman" w:eastAsia="宋体" w:cs="Times New Roman"/>
                <w:sz w:val="24"/>
              </w:rPr>
              <w:t xml:space="preserve">文件要求的《</w:t>
            </w:r>
            <w:r>
              <w:rPr>
                <w:rFonts w:hint="eastAsia" w:ascii="Times New Roman" w:hAnsi="Times New Roman" w:eastAsia="宋体" w:cs="Times New Roman"/>
                <w:sz w:val="24"/>
                <w:lang w:val="en-US" w:eastAsia="zh-CN"/>
              </w:rPr>
              <w:t xml:space="preserve">供应商</w:t>
            </w:r>
            <w:r>
              <w:rPr>
                <w:rFonts w:ascii="Times New Roman" w:hAnsi="Times New Roman" w:eastAsia="宋体" w:cs="Times New Roman"/>
                <w:sz w:val="24"/>
              </w:rPr>
              <w:t xml:space="preserve">资格声明函》。</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格式见《</w:t>
            </w:r>
            <w:r>
              <w:rPr>
                <w:rFonts w:ascii="Times New Roman" w:hAnsi="Times New Roman" w:eastAsia="宋体" w:cs="Times New Roman"/>
                <w:sz w:val="24"/>
                <w:lang w:val="en-US" w:eastAsia="zh-CN"/>
              </w:rPr>
              <w:t xml:space="preserve">响应</w:t>
            </w:r>
            <w:r>
              <w:rPr>
                <w:rFonts w:ascii="Times New Roman" w:hAnsi="Times New Roman" w:eastAsia="宋体" w:cs="Times New Roman"/>
                <w:sz w:val="24"/>
              </w:rPr>
              <w:t xml:space="preserve">文件格式》</w:t>
            </w:r>
            <w:r>
              <w:rPr>
                <w:rFonts w:ascii="Times New Roman" w:hAnsi="Times New Roman" w:eastAsia="宋体" w:cs="Times New Roman"/>
                <w:sz w:val="24"/>
              </w:rPr>
            </w:r>
            <w:r/>
          </w:p>
        </w:tc>
        <w:tc>
          <w:tcPr>
            <w:tcW w:w="699"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允许</w:t>
            </w:r>
            <w:r>
              <w:rPr>
                <w:rFonts w:ascii="Times New Roman" w:hAnsi="Times New Roman" w:eastAsia="宋体" w:cs="Times New Roman"/>
                <w:sz w:val="24"/>
              </w:rPr>
            </w:r>
            <w:r/>
          </w:p>
        </w:tc>
      </w:tr>
      <w:tr>
        <w:trPr>
          <w:cantSplit/>
          <w:trHeight w:val="20"/>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1-2</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供应商信用记录</w:t>
            </w:r>
            <w:r>
              <w:rPr>
                <w:rFonts w:ascii="Times New Roman" w:hAnsi="Times New Roman" w:eastAsia="宋体" w:cs="Times New Roman"/>
                <w:sz w:val="24"/>
              </w:rPr>
            </w:r>
            <w:r/>
          </w:p>
        </w:tc>
        <w:tc>
          <w:tcPr>
            <w:tcW w:w="1914" w:type="dxa"/>
            <w:vAlign w:val="center"/>
            <w:textDirection w:val="lrTb"/>
            <w:noWrap w:val="false"/>
          </w:tcPr>
          <w:p>
            <w:pPr>
              <w:pStyle w:val="775"/>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查询渠道：信用中国网站和中国政府采购网（www.creditchina.gov.cn、www.ccgp.gov.cn）；</w:t>
            </w:r>
            <w:r>
              <w:rPr>
                <w:rFonts w:ascii="Times New Roman" w:hAnsi="Times New Roman" w:eastAsia="宋体" w:cs="Times New Roman"/>
                <w:sz w:val="24"/>
              </w:rPr>
            </w:r>
            <w:r/>
          </w:p>
          <w:p>
            <w:pPr>
              <w:pStyle w:val="775"/>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截止时点：提交响应文件截止时间以后、资格审查阶段采购人或采购代理机构的实际查询时间；</w:t>
            </w:r>
            <w:r>
              <w:rPr>
                <w:rFonts w:ascii="Times New Roman" w:hAnsi="Times New Roman" w:eastAsia="宋体" w:cs="Times New Roman"/>
                <w:sz w:val="24"/>
              </w:rPr>
            </w:r>
            <w:r/>
          </w:p>
          <w:p>
            <w:pPr>
              <w:pStyle w:val="775"/>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信用信息查询记录和证据留存具体方式：查询结果网页打印页作为查询记录和证据，与其他单一来源采购文件一并保存；</w:t>
            </w:r>
            <w:r>
              <w:rPr>
                <w:rFonts w:ascii="Times New Roman" w:hAnsi="Times New Roman" w:eastAsia="宋体" w:cs="Times New Roman"/>
                <w:sz w:val="24"/>
              </w:rPr>
            </w:r>
            <w:r/>
          </w:p>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信用信息的使用原则：经认定的被列入失信被执行人、重大税收违法案件当事人名单、政府采购严重违法失信行为记录名单的供应商，其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。联合体形式响应的，联合体成员存在不良信用记录，视同联合体存在不良信用记录。</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无须供应商提供，由采购人查询</w:t>
            </w:r>
            <w:r>
              <w:rPr>
                <w:rFonts w:ascii="Times New Roman" w:hAnsi="Times New Roman" w:eastAsia="宋体" w:cs="Times New Roman"/>
                <w:sz w:val="24"/>
              </w:rPr>
            </w:r>
            <w:r/>
          </w:p>
        </w:tc>
        <w:tc>
          <w:tcPr>
            <w:tcW w:w="699"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不允许</w:t>
            </w:r>
            <w:r>
              <w:rPr>
                <w:rFonts w:ascii="Times New Roman" w:hAnsi="Times New Roman" w:eastAsia="宋体" w:cs="Times New Roman"/>
                <w:sz w:val="24"/>
              </w:rPr>
            </w:r>
            <w:r/>
          </w:p>
        </w:tc>
      </w:tr>
      <w:tr>
        <w:trPr>
          <w:cantSplit/>
          <w:trHeight w:val="20"/>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落实政府采购政策需满足的资格要求</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具体要求见第一章《采购邀请》</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c>
          <w:tcPr>
            <w:tcW w:w="699"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r>
      <w:tr>
        <w:trPr>
          <w:cantSplit/>
          <w:trHeight w:val="20"/>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sz w:val="24"/>
              </w:rPr>
              <w:t xml:space="preserve">2-1</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sz w:val="24"/>
              </w:rPr>
              <w:t xml:space="preserve">中小企业声明函</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hint="eastAsia" w:ascii="宋体" w:hAnsi="宋体"/>
                <w:color w:val="000000"/>
                <w:sz w:val="24"/>
                <w:highlight w:val="none"/>
              </w:rPr>
              <w:t xml:space="preserve">本项目不专门面向中小企业采购</w:t>
            </w:r>
            <w:r>
              <w:rPr>
                <w:sz w:val="24"/>
              </w:rPr>
              <w:t xml:space="preserve">。</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sz w:val="24"/>
              </w:rPr>
              <w:t xml:space="preserve">格式见《</w:t>
            </w:r>
            <w:r>
              <w:rPr>
                <w:rFonts w:hint="eastAsia"/>
                <w:sz w:val="24"/>
                <w:lang w:val="en-US" w:eastAsia="zh-CN"/>
              </w:rPr>
              <w:t xml:space="preserve">响应</w:t>
            </w:r>
            <w:r>
              <w:rPr>
                <w:sz w:val="24"/>
              </w:rPr>
              <w:t xml:space="preserve">文件格式》</w:t>
            </w:r>
            <w:r>
              <w:rPr>
                <w:rFonts w:ascii="Times New Roman" w:hAnsi="Times New Roman" w:eastAsia="宋体" w:cs="Times New Roman"/>
                <w:sz w:val="24"/>
              </w:rPr>
            </w:r>
            <w:r/>
          </w:p>
        </w:tc>
        <w:tc>
          <w:tcPr>
            <w:tcW w:w="699"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宋体" w:hAnsi="宋体"/>
                <w:sz w:val="24"/>
              </w:rPr>
              <w:t xml:space="preserve">允许</w:t>
            </w:r>
            <w:r>
              <w:rPr>
                <w:rFonts w:ascii="Times New Roman" w:hAnsi="Times New Roman" w:eastAsia="宋体" w:cs="Times New Roman"/>
                <w:sz w:val="24"/>
              </w:rPr>
            </w:r>
            <w:r/>
          </w:p>
        </w:tc>
      </w:tr>
      <w:tr>
        <w:trPr>
          <w:cantSplit/>
          <w:trHeight w:val="20"/>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2-2</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其它落实政府采购政策的资格要求</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如有，见第一章《采购邀请》</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提供证明文件的电子件或电子证照</w:t>
            </w:r>
            <w:r>
              <w:rPr>
                <w:rFonts w:ascii="Times New Roman" w:hAnsi="Times New Roman" w:eastAsia="宋体" w:cs="Times New Roman"/>
                <w:sz w:val="24"/>
              </w:rPr>
            </w:r>
            <w:r/>
          </w:p>
        </w:tc>
        <w:tc>
          <w:tcPr>
            <w:tcW w:w="699"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r>
      <w:tr>
        <w:trPr>
          <w:cantSplit/>
          <w:trHeight w:val="762"/>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3</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本项目的特定资格要求</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如有，见第一章《采购邀请》</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c>
          <w:tcPr>
            <w:tcW w:w="699"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允许</w:t>
            </w:r>
            <w:r>
              <w:rPr>
                <w:rFonts w:ascii="Times New Roman" w:hAnsi="Times New Roman" w:eastAsia="宋体" w:cs="Times New Roman"/>
                <w:sz w:val="24"/>
              </w:rPr>
            </w:r>
            <w:r/>
          </w:p>
        </w:tc>
      </w:tr>
      <w:tr>
        <w:trPr>
          <w:cantSplit/>
          <w:trHeight w:val="777"/>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3-1</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是否接受联合体响应</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本项目不接受联合体响应，供应商不得为联合体。</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c>
          <w:tcPr>
            <w:tcW w:w="699"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r>
            <w:r/>
          </w:p>
        </w:tc>
      </w:tr>
      <w:tr>
        <w:trPr>
          <w:cantSplit/>
          <w:trHeight w:val="20"/>
        </w:trPr>
        <w:tc>
          <w:tcPr>
            <w:tcW w:w="407"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3-2</w:t>
            </w:r>
            <w:r>
              <w:rPr>
                <w:rFonts w:ascii="Times New Roman" w:hAnsi="Times New Roman" w:eastAsia="宋体" w:cs="Times New Roman"/>
                <w:sz w:val="24"/>
              </w:rPr>
            </w:r>
            <w:r/>
          </w:p>
        </w:tc>
        <w:tc>
          <w:tcPr>
            <w:tcW w:w="1188"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其他特定资格要求</w:t>
            </w:r>
            <w:r>
              <w:rPr>
                <w:rFonts w:ascii="Times New Roman" w:hAnsi="Times New Roman" w:eastAsia="宋体" w:cs="Times New Roman"/>
                <w:sz w:val="24"/>
              </w:rPr>
            </w:r>
            <w:r/>
          </w:p>
        </w:tc>
        <w:tc>
          <w:tcPr>
            <w:tcW w:w="1914"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如有，见</w:t>
            </w:r>
            <w:r>
              <w:rPr>
                <w:rFonts w:ascii="Times New Roman" w:hAnsi="Times New Roman" w:eastAsia="宋体" w:cs="Times New Roman"/>
                <w:sz w:val="24"/>
              </w:rPr>
              <w:t xml:space="preserve">第一章《采购邀请》</w:t>
            </w:r>
            <w:r>
              <w:rPr>
                <w:rFonts w:ascii="Times New Roman" w:hAnsi="Times New Roman" w:eastAsia="宋体" w:cs="Times New Roman"/>
                <w:sz w:val="24"/>
              </w:rPr>
            </w:r>
            <w:r/>
          </w:p>
        </w:tc>
        <w:tc>
          <w:tcPr>
            <w:tcW w:w="790" w:type="dxa"/>
            <w:vAlign w:val="center"/>
            <w:textDirection w:val="lrTb"/>
            <w:noWrap w:val="false"/>
          </w:tcPr>
          <w:p>
            <w:pPr>
              <w:pStyle w:val="775"/>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提供证明文件的电子件或电子证照</w:t>
            </w:r>
            <w:r>
              <w:rPr>
                <w:rFonts w:ascii="Times New Roman" w:hAnsi="Times New Roman" w:eastAsia="宋体" w:cs="Times New Roman"/>
                <w:sz w:val="24"/>
              </w:rPr>
            </w:r>
            <w:r/>
          </w:p>
        </w:tc>
        <w:tc>
          <w:tcPr>
            <w:tcW w:w="699" w:type="dxa"/>
            <w:vAlign w:val="center"/>
            <w:textDirection w:val="lrTb"/>
            <w:noWrap w:val="false"/>
          </w:tcPr>
          <w:p>
            <w:pPr>
              <w:pStyle w:val="775"/>
              <w:jc w:val="center"/>
              <w:tabs>
                <w:tab w:val="left" w:pos="1080" w:leader="none"/>
              </w:tabs>
              <w:rPr>
                <w:rFonts w:ascii="Times New Roman" w:hAnsi="Times New Roman" w:eastAsia="宋体" w:cs="Times New Roman"/>
                <w:sz w:val="24"/>
              </w:rPr>
            </w:pPr>
            <w:r>
              <w:rPr>
                <w:rFonts w:ascii="Times New Roman" w:hAnsi="Times New Roman" w:eastAsia="宋体" w:cs="Times New Roman"/>
                <w:sz w:val="24"/>
              </w:rPr>
              <w:t xml:space="preserve">允许</w:t>
            </w:r>
            <w:r>
              <w:rPr>
                <w:rFonts w:ascii="Times New Roman" w:hAnsi="Times New Roman" w:eastAsia="宋体" w:cs="Times New Roman"/>
                <w:sz w:val="24"/>
              </w:rPr>
            </w:r>
            <w:r/>
          </w:p>
        </w:tc>
      </w:tr>
    </w:tbl>
    <w:p>
      <w:pPr>
        <w:pStyle w:val="775"/>
        <w:jc w:val="left"/>
        <w:widowControl/>
        <w:rPr>
          <w:rFonts w:ascii="Times New Roman" w:hAnsi="Times New Roman" w:eastAsia="宋体" w:cs="Times New Roman"/>
          <w:sz w:val="24"/>
        </w:rPr>
      </w:pPr>
      <w:r>
        <w:rPr>
          <w:rFonts w:ascii="Times New Roman" w:hAnsi="Times New Roman" w:eastAsia="宋体" w:cs="Times New Roman"/>
          <w:sz w:val="24"/>
        </w:rPr>
        <w:br w:type="page" w:clear="all"/>
      </w:r>
      <w:r>
        <w:rPr>
          <w:rFonts w:ascii="Times New Roman" w:hAnsi="Times New Roman" w:eastAsia="宋体" w:cs="Times New Roman"/>
          <w:sz w:val="24"/>
        </w:rPr>
      </w:r>
      <w:r/>
    </w:p>
    <w:p>
      <w:pPr>
        <w:pStyle w:val="775"/>
        <w:numPr>
          <w:ilvl w:val="1"/>
          <w:numId w:val="12"/>
        </w:numPr>
        <w:ind w:left="1077" w:hanging="720"/>
        <w:spacing w:line="360" w:lineRule="auto"/>
        <w:tabs>
          <w:tab w:val="left" w:pos="1080" w:leader="none"/>
          <w:tab w:val="left" w:pos="1447"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《符合性审查要求》见下表：</w:t>
      </w:r>
      <w:r>
        <w:rPr>
          <w:rFonts w:ascii="Times New Roman" w:hAnsi="Times New Roman" w:eastAsia="宋体" w:cs="Times New Roman"/>
          <w:sz w:val="24"/>
        </w:rPr>
      </w:r>
      <w:r/>
    </w:p>
    <w:p>
      <w:pPr>
        <w:pStyle w:val="775"/>
        <w:jc w:val="center"/>
        <w:rPr>
          <w:rFonts w:ascii="Times New Roman" w:hAnsi="Times New Roman" w:eastAsia="宋体" w:cs="Times New Roman"/>
          <w:b/>
          <w:sz w:val="24"/>
        </w:rPr>
      </w:pPr>
      <w:r>
        <w:rPr>
          <w:rFonts w:ascii="Times New Roman" w:hAnsi="Times New Roman" w:eastAsia="宋体" w:cs="Times New Roman"/>
          <w:b/>
          <w:sz w:val="24"/>
        </w:rPr>
        <w:t xml:space="preserve">符合性审查要求</w:t>
      </w:r>
      <w:r>
        <w:rPr>
          <w:rFonts w:ascii="Times New Roman" w:hAnsi="Times New Roman" w:eastAsia="宋体" w:cs="Times New Roman"/>
          <w:b/>
          <w:sz w:val="24"/>
        </w:rPr>
      </w:r>
      <w:r/>
    </w:p>
    <w:tbl>
      <w:tblPr>
        <w:tblW w:w="9814" w:type="dxa"/>
        <w:jc w:val="center"/>
        <w:tblInd w:w="-10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250"/>
        <w:gridCol w:w="6805"/>
      </w:tblGrid>
      <w:tr>
        <w:trPr>
          <w:trHeight w:val="685"/>
        </w:trPr>
        <w:tc>
          <w:tcPr>
            <w:shd w:val="clear" w:color="000000" w:fill="ffffff"/>
            <w:tcW w:w="759" w:type="dxa"/>
            <w:vAlign w:val="center"/>
            <w:textDirection w:val="lrTb"/>
            <w:noWrap w:val="false"/>
          </w:tcPr>
          <w:p>
            <w:pPr>
              <w:pStyle w:val="775"/>
              <w:jc w:val="center"/>
              <w:widowControl/>
              <w:rPr>
                <w:b/>
                <w:color w:val="000000"/>
                <w:sz w:val="24"/>
              </w:rPr>
            </w:pPr>
            <w:r>
              <w:rPr>
                <w:b/>
                <w:color w:val="000000"/>
                <w:sz w:val="24"/>
              </w:rPr>
              <w:t xml:space="preserve">序号</w:t>
            </w:r>
            <w:r>
              <w:rPr>
                <w:b/>
                <w:color w:val="000000"/>
                <w:sz w:val="24"/>
              </w:rPr>
            </w:r>
            <w:r/>
          </w:p>
        </w:tc>
        <w:tc>
          <w:tcPr>
            <w:shd w:val="clear" w:color="000000" w:fill="ffffff"/>
            <w:tcW w:w="2250" w:type="dxa"/>
            <w:vAlign w:val="center"/>
            <w:textDirection w:val="lrTb"/>
            <w:noWrap w:val="false"/>
          </w:tcPr>
          <w:p>
            <w:pPr>
              <w:pStyle w:val="775"/>
              <w:jc w:val="center"/>
              <w:widowControl/>
              <w:rPr>
                <w:b/>
                <w:color w:val="000000"/>
                <w:sz w:val="24"/>
              </w:rPr>
            </w:pPr>
            <w:r>
              <w:rPr>
                <w:b/>
                <w:sz w:val="24"/>
              </w:rPr>
              <w:t xml:space="preserve">检查</w:t>
            </w:r>
            <w:r>
              <w:rPr>
                <w:b/>
                <w:color w:val="000000"/>
                <w:sz w:val="24"/>
              </w:rPr>
              <w:t xml:space="preserve">因素</w:t>
            </w:r>
            <w:r>
              <w:rPr>
                <w:b/>
                <w:color w:val="000000"/>
                <w:sz w:val="24"/>
              </w:rPr>
            </w:r>
            <w:r/>
          </w:p>
        </w:tc>
        <w:tc>
          <w:tcPr>
            <w:shd w:val="clear" w:color="000000" w:fill="ffffff"/>
            <w:tcW w:w="6805" w:type="dxa"/>
            <w:vAlign w:val="center"/>
            <w:textDirection w:val="lrTb"/>
            <w:noWrap w:val="false"/>
          </w:tcPr>
          <w:p>
            <w:pPr>
              <w:pStyle w:val="775"/>
              <w:jc w:val="center"/>
              <w:widowControl/>
              <w:rPr>
                <w:b/>
                <w:color w:val="000000"/>
                <w:sz w:val="24"/>
              </w:rPr>
            </w:pPr>
            <w:r>
              <w:rPr>
                <w:b/>
                <w:sz w:val="24"/>
              </w:rPr>
              <w:t xml:space="preserve">检查</w:t>
            </w:r>
            <w:r>
              <w:rPr>
                <w:b/>
                <w:color w:val="000000"/>
                <w:sz w:val="24"/>
              </w:rPr>
              <w:t xml:space="preserve">内容</w:t>
            </w:r>
            <w:r>
              <w:rPr>
                <w:b/>
                <w:color w:val="000000"/>
                <w:sz w:val="24"/>
              </w:rPr>
            </w:r>
            <w:r/>
          </w:p>
        </w:tc>
      </w:tr>
      <w:tr>
        <w:trPr>
          <w:trHeight w:val="1415"/>
        </w:trPr>
        <w:tc>
          <w:tcPr>
            <w:shd w:val="clear" w:color="000000" w:fill="ffffff"/>
            <w:tcW w:w="759" w:type="dxa"/>
            <w:vAlign w:val="center"/>
            <w:textDirection w:val="lrTb"/>
            <w:noWrap w:val="false"/>
          </w:tcPr>
          <w:p>
            <w:pPr>
              <w:pStyle w:val="775"/>
              <w:jc w:val="center"/>
              <w:widowControl/>
              <w:rPr>
                <w:color w:val="000000"/>
                <w:sz w:val="24"/>
              </w:rPr>
            </w:pPr>
            <w:r>
              <w:rPr>
                <w:color w:val="000000"/>
                <w:sz w:val="24"/>
              </w:rPr>
              <w:t xml:space="preserve">1</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rFonts w:hint="eastAsia"/>
                <w:color w:val="000000"/>
                <w:sz w:val="24"/>
              </w:rPr>
              <w:t xml:space="preserve">函、法定代表人资格证明书和政府采购供应商信用承诺书</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color w:val="000000"/>
                <w:sz w:val="24"/>
              </w:rPr>
              <w:t xml:space="preserve">按</w:t>
            </w:r>
            <w:r>
              <w:rPr>
                <w:rFonts w:hint="eastAsia"/>
                <w:color w:val="000000"/>
                <w:sz w:val="24"/>
                <w:lang w:val="en-US" w:eastAsia="zh-CN"/>
              </w:rPr>
              <w:t xml:space="preserve">采购</w:t>
            </w:r>
            <w:r>
              <w:rPr>
                <w:color w:val="000000"/>
                <w:sz w:val="24"/>
              </w:rPr>
              <w:t xml:space="preserve">文件要求提供</w:t>
            </w:r>
            <w:r>
              <w:rPr>
                <w:rFonts w:hint="eastAsia"/>
                <w:color w:val="000000"/>
                <w:sz w:val="24"/>
                <w:lang w:val="en-US" w:eastAsia="zh-CN"/>
              </w:rPr>
              <w:t xml:space="preserve">响应</w:t>
            </w:r>
            <w:r>
              <w:rPr>
                <w:rFonts w:hint="eastAsia"/>
                <w:color w:val="000000"/>
                <w:sz w:val="24"/>
              </w:rPr>
              <w:t xml:space="preserve">函、法定代表人资格证明书和政府采购供应商信用承诺书</w:t>
            </w:r>
            <w:r>
              <w:rPr>
                <w:color w:val="000000"/>
                <w:sz w:val="24"/>
              </w:rPr>
              <w:t xml:space="preserve">；</w:t>
            </w:r>
            <w:r>
              <w:rPr>
                <w:color w:val="000000"/>
                <w:sz w:val="24"/>
              </w:rPr>
            </w:r>
            <w:r/>
          </w:p>
        </w:tc>
      </w:tr>
      <w:tr>
        <w:trPr>
          <w:trHeight w:val="515"/>
        </w:trPr>
        <w:tc>
          <w:tcPr>
            <w:shd w:val="clear" w:color="000000" w:fill="ffffff"/>
            <w:tcW w:w="759" w:type="dxa"/>
            <w:vAlign w:val="center"/>
            <w:textDirection w:val="lrTb"/>
            <w:noWrap w:val="false"/>
          </w:tcPr>
          <w:p>
            <w:pPr>
              <w:pStyle w:val="775"/>
              <w:jc w:val="center"/>
              <w:widowControl/>
              <w:rPr>
                <w:color w:val="000000"/>
                <w:sz w:val="24"/>
              </w:rPr>
            </w:pPr>
            <w:r>
              <w:rPr>
                <w:color w:val="000000"/>
                <w:sz w:val="24"/>
              </w:rPr>
              <w:t xml:space="preserve">2</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完整性</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sz w:val="24"/>
              </w:rPr>
              <w:t xml:space="preserve">未</w:t>
            </w:r>
            <w:r>
              <w:rPr>
                <w:sz w:val="24"/>
              </w:rPr>
              <w:t xml:space="preserve">将一个采购包中的内容拆开</w:t>
            </w:r>
            <w:r>
              <w:rPr>
                <w:rFonts w:hint="eastAsia"/>
                <w:sz w:val="24"/>
                <w:lang w:val="en-US" w:eastAsia="zh-CN"/>
              </w:rPr>
              <w:t xml:space="preserve">响应</w:t>
            </w:r>
            <w:r>
              <w:rPr>
                <w:sz w:val="24"/>
              </w:rPr>
              <w:t xml:space="preserve">；</w:t>
            </w:r>
            <w:r>
              <w:rPr>
                <w:color w:val="000000"/>
                <w:sz w:val="24"/>
              </w:rPr>
            </w:r>
            <w:r/>
          </w:p>
        </w:tc>
      </w:tr>
      <w:tr>
        <w:trPr>
          <w:trHeight w:val="560"/>
        </w:trPr>
        <w:tc>
          <w:tcPr>
            <w:shd w:val="clear" w:color="000000" w:fill="ffffff"/>
            <w:tcW w:w="759" w:type="dxa"/>
            <w:vAlign w:val="center"/>
            <w:textDirection w:val="lrTb"/>
            <w:noWrap w:val="false"/>
          </w:tcPr>
          <w:p>
            <w:pPr>
              <w:pStyle w:val="775"/>
              <w:jc w:val="center"/>
              <w:widowControl/>
              <w:rPr>
                <w:color w:val="000000"/>
                <w:sz w:val="24"/>
              </w:rPr>
            </w:pPr>
            <w:r>
              <w:rPr>
                <w:color w:val="000000"/>
                <w:sz w:val="24"/>
              </w:rPr>
              <w:t xml:space="preserve">3</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报价</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报价</w:t>
            </w:r>
            <w:r>
              <w:rPr>
                <w:rFonts w:hint="eastAsia"/>
                <w:color w:val="000000"/>
                <w:sz w:val="24"/>
              </w:rPr>
              <w:t xml:space="preserve">未</w:t>
            </w:r>
            <w:r>
              <w:rPr>
                <w:color w:val="000000"/>
                <w:sz w:val="24"/>
              </w:rPr>
              <w:t xml:space="preserve">超过</w:t>
            </w:r>
            <w:r>
              <w:rPr>
                <w:rFonts w:hint="eastAsia" w:ascii="Times New Roman" w:hAnsi="Times New Roman" w:eastAsia="宋体" w:cs="Times New Roman"/>
                <w:sz w:val="24"/>
                <w:lang w:val="en-US" w:eastAsia="zh-CN"/>
              </w:rPr>
              <w:t xml:space="preserve">采购</w:t>
            </w:r>
            <w:r>
              <w:rPr>
                <w:color w:val="000000"/>
                <w:sz w:val="24"/>
              </w:rPr>
              <w:t xml:space="preserve">文件中规定的项目/采购包最高限价；</w:t>
            </w:r>
            <w:r>
              <w:rPr>
                <w:color w:val="000000"/>
                <w:sz w:val="24"/>
              </w:rPr>
            </w:r>
            <w:r/>
          </w:p>
        </w:tc>
      </w:tr>
      <w:tr>
        <w:trPr>
          <w:trHeight w:val="825"/>
        </w:trPr>
        <w:tc>
          <w:tcPr>
            <w:shd w:val="clear" w:color="000000" w:fill="ffffff"/>
            <w:tcW w:w="759" w:type="dxa"/>
            <w:vAlign w:val="center"/>
            <w:textDirection w:val="lrTb"/>
            <w:noWrap w:val="false"/>
          </w:tcPr>
          <w:p>
            <w:pPr>
              <w:pStyle w:val="775"/>
              <w:jc w:val="center"/>
              <w:widowControl/>
              <w:rPr>
                <w:color w:val="000000"/>
                <w:sz w:val="24"/>
              </w:rPr>
            </w:pPr>
            <w:r>
              <w:rPr>
                <w:color w:val="000000"/>
                <w:sz w:val="24"/>
              </w:rPr>
              <w:t xml:space="preserve">4</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color w:val="000000"/>
                <w:sz w:val="24"/>
              </w:rPr>
              <w:t xml:space="preserve">报价唯一性</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文件</w:t>
            </w:r>
            <w:r>
              <w:rPr>
                <w:rFonts w:hint="eastAsia"/>
                <w:color w:val="000000"/>
                <w:sz w:val="24"/>
              </w:rPr>
              <w:t xml:space="preserve">未</w:t>
            </w:r>
            <w:r>
              <w:rPr>
                <w:rFonts w:hint="eastAsia"/>
                <w:sz w:val="24"/>
              </w:rPr>
              <w:t xml:space="preserve">出现可选择性或可调整的报价（</w:t>
            </w:r>
            <w:r>
              <w:rPr>
                <w:rFonts w:hint="eastAsia"/>
                <w:sz w:val="24"/>
                <w:lang w:val="en-US" w:eastAsia="zh-CN"/>
              </w:rPr>
              <w:t xml:space="preserve">采购</w:t>
            </w:r>
            <w:r>
              <w:rPr>
                <w:rFonts w:hint="eastAsia"/>
                <w:sz w:val="24"/>
              </w:rPr>
              <w:t xml:space="preserve">文件另有规定的除外）</w:t>
            </w:r>
            <w:r>
              <w:rPr>
                <w:color w:val="000000"/>
                <w:sz w:val="24"/>
              </w:rPr>
              <w:t xml:space="preserve">；</w:t>
            </w:r>
            <w:r>
              <w:rPr>
                <w:color w:val="000000"/>
                <w:sz w:val="24"/>
              </w:rPr>
            </w:r>
            <w:r/>
          </w:p>
        </w:tc>
      </w:tr>
      <w:tr>
        <w:trPr>
          <w:trHeight w:val="810"/>
        </w:trPr>
        <w:tc>
          <w:tcPr>
            <w:shd w:val="clear" w:color="000000" w:fill="ffffff"/>
            <w:tcW w:w="759" w:type="dxa"/>
            <w:vAlign w:val="center"/>
            <w:textDirection w:val="lrTb"/>
            <w:noWrap w:val="false"/>
          </w:tcPr>
          <w:p>
            <w:pPr>
              <w:pStyle w:val="775"/>
              <w:jc w:val="center"/>
              <w:widowControl/>
              <w:rPr>
                <w:color w:val="000000"/>
                <w:sz w:val="24"/>
              </w:rPr>
            </w:pPr>
            <w:r>
              <w:rPr>
                <w:color w:val="000000"/>
                <w:sz w:val="24"/>
              </w:rPr>
              <w:t xml:space="preserve">5</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有效期</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文件中承诺的</w:t>
            </w:r>
            <w:r>
              <w:rPr>
                <w:rFonts w:hint="eastAsia"/>
                <w:color w:val="000000"/>
                <w:sz w:val="24"/>
                <w:lang w:val="en-US" w:eastAsia="zh-CN"/>
              </w:rPr>
              <w:t xml:space="preserve">响应</w:t>
            </w:r>
            <w:r>
              <w:rPr>
                <w:color w:val="000000"/>
                <w:sz w:val="24"/>
              </w:rPr>
              <w:t xml:space="preserve">有效期</w:t>
            </w:r>
            <w:r>
              <w:rPr>
                <w:rFonts w:hint="eastAsia"/>
                <w:color w:val="000000"/>
                <w:sz w:val="24"/>
              </w:rPr>
              <w:t xml:space="preserve">满足</w:t>
            </w:r>
            <w:r>
              <w:rPr>
                <w:rFonts w:hint="eastAsia"/>
                <w:color w:val="000000"/>
                <w:sz w:val="24"/>
                <w:lang w:val="en-US" w:eastAsia="zh-CN"/>
              </w:rPr>
              <w:t xml:space="preserve">采购</w:t>
            </w:r>
            <w:r>
              <w:rPr>
                <w:color w:val="000000"/>
                <w:sz w:val="24"/>
              </w:rPr>
              <w:t xml:space="preserve">文件中载明的</w:t>
            </w:r>
            <w:r>
              <w:rPr>
                <w:rFonts w:hint="eastAsia"/>
                <w:color w:val="000000"/>
                <w:sz w:val="24"/>
                <w:lang w:val="en-US" w:eastAsia="zh-CN"/>
              </w:rPr>
              <w:t xml:space="preserve">响应</w:t>
            </w:r>
            <w:r>
              <w:rPr>
                <w:color w:val="000000"/>
                <w:sz w:val="24"/>
              </w:rPr>
              <w:t xml:space="preserve">有效期的；</w:t>
            </w:r>
            <w:r>
              <w:rPr>
                <w:color w:val="000000"/>
                <w:sz w:val="24"/>
              </w:rPr>
            </w:r>
            <w:r/>
          </w:p>
        </w:tc>
      </w:tr>
      <w:tr>
        <w:trPr>
          <w:trHeight w:val="560"/>
        </w:trPr>
        <w:tc>
          <w:tcPr>
            <w:shd w:val="clear" w:color="000000" w:fill="ffffff"/>
            <w:tcW w:w="759" w:type="dxa"/>
            <w:vAlign w:val="center"/>
            <w:textDirection w:val="lrTb"/>
            <w:noWrap w:val="false"/>
          </w:tcPr>
          <w:p>
            <w:pPr>
              <w:pStyle w:val="775"/>
              <w:jc w:val="center"/>
              <w:widowControl/>
              <w:rPr>
                <w:color w:val="000000"/>
                <w:sz w:val="24"/>
              </w:rPr>
            </w:pPr>
            <w:r>
              <w:rPr>
                <w:color w:val="000000"/>
                <w:sz w:val="24"/>
              </w:rPr>
              <w:t xml:space="preserve">6</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color w:val="000000"/>
                <w:sz w:val="24"/>
              </w:rPr>
              <w:t xml:space="preserve">签署、加盖公章</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color w:val="000000"/>
                <w:sz w:val="24"/>
              </w:rPr>
              <w:t xml:space="preserve">按照</w:t>
            </w:r>
            <w:r>
              <w:rPr>
                <w:rFonts w:hint="eastAsia" w:ascii="Times New Roman" w:hAnsi="Times New Roman" w:eastAsia="宋体" w:cs="Times New Roman"/>
                <w:sz w:val="24"/>
                <w:lang w:val="en-US" w:eastAsia="zh-CN"/>
              </w:rPr>
              <w:t xml:space="preserve">采购</w:t>
            </w:r>
            <w:r>
              <w:rPr>
                <w:color w:val="000000"/>
                <w:sz w:val="24"/>
              </w:rPr>
              <w:t xml:space="preserve">文件要求签署、加盖公章的；</w:t>
            </w:r>
            <w:r>
              <w:rPr>
                <w:color w:val="000000"/>
                <w:sz w:val="24"/>
              </w:rPr>
            </w:r>
            <w:r/>
          </w:p>
        </w:tc>
      </w:tr>
      <w:tr>
        <w:trPr>
          <w:trHeight w:val="472"/>
        </w:trPr>
        <w:tc>
          <w:tcPr>
            <w:shd w:val="clear" w:color="000000" w:fill="ffffff"/>
            <w:tcW w:w="759" w:type="dxa"/>
            <w:vAlign w:val="center"/>
            <w:textDirection w:val="lrTb"/>
            <w:noWrap w:val="false"/>
          </w:tcPr>
          <w:p>
            <w:pPr>
              <w:pStyle w:val="775"/>
              <w:jc w:val="center"/>
              <w:widowControl/>
              <w:rPr>
                <w:color w:val="000000"/>
                <w:sz w:val="24"/>
              </w:rPr>
            </w:pPr>
            <w:r>
              <w:rPr>
                <w:rFonts w:hint="eastAsia"/>
                <w:color w:val="000000"/>
                <w:sz w:val="24"/>
              </w:rPr>
              <w:t xml:space="preserve">7</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rFonts w:hint="eastAsia"/>
                <w:color w:val="000000"/>
                <w:sz w:val="24"/>
              </w:rPr>
              <w:t xml:space="preserve">实质性格式</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sz w:val="24"/>
              </w:rPr>
              <w:t xml:space="preserve">标记为</w:t>
            </w:r>
            <w:r>
              <w:rPr>
                <w:rFonts w:hint="eastAsia"/>
                <w:sz w:val="24"/>
                <w:lang w:eastAsia="zh-CN"/>
              </w:rPr>
              <w:t xml:space="preserve">“</w:t>
            </w:r>
            <w:r>
              <w:rPr>
                <w:sz w:val="24"/>
              </w:rPr>
              <w:t xml:space="preserve">实质性格式</w:t>
            </w:r>
            <w:r>
              <w:rPr>
                <w:rFonts w:hint="eastAsia"/>
                <w:sz w:val="24"/>
                <w:lang w:eastAsia="zh-CN"/>
              </w:rPr>
              <w:t xml:space="preserve">”</w:t>
            </w:r>
            <w:r>
              <w:rPr>
                <w:sz w:val="24"/>
              </w:rPr>
              <w:t xml:space="preserve">的</w:t>
            </w:r>
            <w:r>
              <w:rPr>
                <w:rFonts w:hint="eastAsia"/>
                <w:sz w:val="24"/>
              </w:rPr>
              <w:t xml:space="preserve">文件均按</w:t>
            </w:r>
            <w:r>
              <w:rPr>
                <w:rFonts w:hint="eastAsia" w:ascii="Times New Roman" w:hAnsi="Times New Roman" w:eastAsia="宋体" w:cs="Times New Roman"/>
                <w:sz w:val="24"/>
                <w:lang w:val="en-US" w:eastAsia="zh-CN"/>
              </w:rPr>
              <w:t xml:space="preserve">采购</w:t>
            </w:r>
            <w:r>
              <w:rPr>
                <w:sz w:val="24"/>
              </w:rPr>
              <w:t xml:space="preserve">文件</w:t>
            </w:r>
            <w:r>
              <w:rPr>
                <w:rFonts w:hint="eastAsia"/>
                <w:sz w:val="24"/>
              </w:rPr>
              <w:t xml:space="preserve">要求提供；</w:t>
            </w:r>
            <w:r>
              <w:rPr>
                <w:color w:val="000000"/>
                <w:sz w:val="24"/>
              </w:rPr>
            </w:r>
            <w:r/>
          </w:p>
        </w:tc>
      </w:tr>
      <w:tr>
        <w:trPr>
          <w:trHeight w:val="525"/>
        </w:trPr>
        <w:tc>
          <w:tcPr>
            <w:shd w:val="clear" w:color="000000" w:fill="ffffff"/>
            <w:tcW w:w="759" w:type="dxa"/>
            <w:vAlign w:val="center"/>
            <w:textDirection w:val="lrTb"/>
            <w:noWrap w:val="false"/>
          </w:tcPr>
          <w:p>
            <w:pPr>
              <w:pStyle w:val="775"/>
              <w:jc w:val="center"/>
              <w:widowControl/>
              <w:rPr>
                <w:color w:val="000000"/>
                <w:sz w:val="24"/>
              </w:rPr>
            </w:pPr>
            <w:r>
              <w:rPr>
                <w:color w:val="000000"/>
                <w:sz w:val="24"/>
              </w:rPr>
              <w:t xml:space="preserve">8</w:t>
            </w:r>
            <w:r>
              <w:rPr>
                <w:color w:val="000000"/>
                <w:sz w:val="24"/>
              </w:rPr>
            </w:r>
            <w:r/>
          </w:p>
        </w:tc>
        <w:tc>
          <w:tcPr>
            <w:shd w:val="clear" w:color="000000" w:fill="ffffff"/>
            <w:tcW w:w="2250" w:type="dxa"/>
            <w:vAlign w:val="center"/>
            <w:textDirection w:val="lrTb"/>
            <w:noWrap w:val="false"/>
          </w:tcPr>
          <w:p>
            <w:pPr>
              <w:pStyle w:val="775"/>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文件满足</w:t>
            </w:r>
            <w:r>
              <w:rPr>
                <w:rFonts w:hint="eastAsia"/>
                <w:color w:val="000000"/>
                <w:sz w:val="24"/>
                <w:lang w:val="en-US" w:eastAsia="zh-CN"/>
              </w:rPr>
              <w:t xml:space="preserve">采购</w:t>
            </w:r>
            <w:r>
              <w:rPr>
                <w:color w:val="000000"/>
                <w:sz w:val="24"/>
              </w:rPr>
              <w:t xml:space="preserve">文件</w:t>
            </w:r>
            <w:r>
              <w:rPr>
                <w:sz w:val="24"/>
              </w:rPr>
              <w:t xml:space="preserve">第</w:t>
            </w:r>
            <w:r>
              <w:rPr>
                <w:rFonts w:hint="eastAsia"/>
                <w:sz w:val="24"/>
                <w:lang w:val="en-US" w:eastAsia="zh-CN"/>
              </w:rPr>
              <w:t xml:space="preserve">四</w:t>
            </w:r>
            <w:r>
              <w:rPr>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875"/>
        </w:trPr>
        <w:tc>
          <w:tcPr>
            <w:shd w:val="clear" w:color="000000" w:fill="ffffff"/>
            <w:tcW w:w="759" w:type="dxa"/>
            <w:vAlign w:val="center"/>
            <w:textDirection w:val="lrTb"/>
            <w:noWrap w:val="false"/>
          </w:tcPr>
          <w:p>
            <w:pPr>
              <w:pStyle w:val="775"/>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shd w:val="clear" w:color="000000" w:fill="ffffff"/>
            <w:tcW w:w="2250" w:type="dxa"/>
            <w:vAlign w:val="center"/>
            <w:textDirection w:val="lrTb"/>
            <w:noWrap w:val="false"/>
          </w:tcPr>
          <w:p>
            <w:pPr>
              <w:pStyle w:val="775"/>
              <w:jc w:val="left"/>
              <w:widowControl/>
              <w:rPr>
                <w:color w:val="000000"/>
                <w:sz w:val="24"/>
              </w:rPr>
            </w:pPr>
            <w:r>
              <w:rPr>
                <w:color w:val="000000"/>
                <w:sz w:val="24"/>
              </w:rPr>
              <w:t xml:space="preserve">报价的修正（如有）</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lang w:val="en-US" w:eastAsia="zh-CN"/>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lang w:val="en-US" w:eastAsia="zh-CN"/>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1078"/>
        </w:trPr>
        <w:tc>
          <w:tcPr>
            <w:shd w:val="clear" w:color="000000" w:fill="ffffff"/>
            <w:tcW w:w="759" w:type="dxa"/>
            <w:vAlign w:val="center"/>
            <w:textDirection w:val="lrTb"/>
            <w:noWrap w:val="false"/>
          </w:tcPr>
          <w:p>
            <w:pPr>
              <w:pStyle w:val="775"/>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shd w:val="clear" w:color="000000" w:fill="ffffff"/>
            <w:tcW w:w="2250" w:type="dxa"/>
            <w:vAlign w:val="center"/>
            <w:textDirection w:val="lrTb"/>
            <w:noWrap w:val="false"/>
          </w:tcPr>
          <w:p>
            <w:pPr>
              <w:pStyle w:val="775"/>
              <w:jc w:val="left"/>
              <w:widowControl/>
              <w:rPr>
                <w:color w:val="000000"/>
                <w:sz w:val="24"/>
              </w:rPr>
            </w:pPr>
            <w:r>
              <w:rPr>
                <w:color w:val="000000"/>
                <w:sz w:val="24"/>
              </w:rPr>
              <w:t xml:space="preserve">报价合理性</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color w:val="000000"/>
                <w:sz w:val="24"/>
              </w:rPr>
              <w:t xml:space="preserve">报价合理，或</w:t>
            </w:r>
            <w:r>
              <w:rPr>
                <w:rFonts w:hint="eastAsia"/>
                <w:sz w:val="24"/>
                <w:lang w:val="en-US" w:eastAsia="zh-CN"/>
              </w:rPr>
              <w:t xml:space="preserve">供应商</w:t>
            </w:r>
            <w:r>
              <w:rPr>
                <w:rFonts w:hint="eastAsia"/>
                <w:sz w:val="24"/>
              </w:rPr>
              <w:t xml:space="preserve">的报价明显低于其他通过符合性审查</w:t>
            </w:r>
            <w:r>
              <w:rPr>
                <w:rFonts w:hint="eastAsia"/>
                <w:sz w:val="24"/>
                <w:lang w:val="en-US" w:eastAsia="zh-CN"/>
              </w:rPr>
              <w:t xml:space="preserve">供应商</w:t>
            </w:r>
            <w:r>
              <w:rPr>
                <w:rFonts w:hint="eastAsia"/>
                <w:sz w:val="24"/>
              </w:rPr>
              <w:t xml:space="preserve">的报价，</w:t>
            </w:r>
            <w:r>
              <w:rPr>
                <w:sz w:val="24"/>
              </w:rPr>
              <w:t xml:space="preserve">有可能影响产品质量或者不能诚信履约的</w:t>
            </w:r>
            <w:r>
              <w:rPr>
                <w:rFonts w:hint="eastAsia"/>
                <w:sz w:val="24"/>
              </w:rPr>
              <w:t xml:space="preserve">，能够应</w:t>
            </w:r>
            <w:r>
              <w:rPr>
                <w:rFonts w:hint="eastAsia"/>
                <w:sz w:val="24"/>
                <w:lang w:val="en-US" w:eastAsia="zh-CN"/>
              </w:rPr>
              <w:t xml:space="preserve">评审小组</w:t>
            </w:r>
            <w:r>
              <w:rPr>
                <w:rFonts w:hint="eastAsia"/>
                <w:sz w:val="24"/>
              </w:rPr>
              <w:t xml:space="preserve">要求在规定时间内证明其报价合理性的</w:t>
            </w:r>
            <w:r>
              <w:rPr>
                <w:color w:val="000000"/>
                <w:sz w:val="24"/>
              </w:rPr>
              <w:t xml:space="preserve">；</w:t>
            </w:r>
            <w:r>
              <w:rPr>
                <w:color w:val="000000"/>
                <w:sz w:val="24"/>
              </w:rPr>
            </w:r>
            <w:r/>
          </w:p>
        </w:tc>
      </w:tr>
      <w:tr>
        <w:trPr>
          <w:trHeight w:val="575"/>
        </w:trPr>
        <w:tc>
          <w:tcPr>
            <w:shd w:val="clear" w:color="000000" w:fill="ffffff"/>
            <w:tcW w:w="759" w:type="dxa"/>
            <w:vAlign w:val="center"/>
            <w:textDirection w:val="lrTb"/>
            <w:noWrap w:val="false"/>
          </w:tcPr>
          <w:p>
            <w:pPr>
              <w:pStyle w:val="775"/>
              <w:jc w:val="center"/>
              <w:widowControl/>
              <w:rPr>
                <w:rFonts w:hint="eastAsia" w:eastAsia="宋体"/>
                <w:color w:val="000000"/>
                <w:sz w:val="24"/>
                <w:lang w:val="en-US"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val="en-US" w:eastAsia="zh-CN"/>
              </w:rPr>
            </w:r>
            <w:r/>
          </w:p>
        </w:tc>
        <w:tc>
          <w:tcPr>
            <w:shd w:val="clear" w:color="000000" w:fill="ffffff"/>
            <w:tcW w:w="2250" w:type="dxa"/>
            <w:vAlign w:val="center"/>
            <w:textDirection w:val="lrTb"/>
            <w:noWrap w:val="false"/>
          </w:tcPr>
          <w:p>
            <w:pPr>
              <w:pStyle w:val="775"/>
              <w:jc w:val="left"/>
              <w:widowControl/>
              <w:rPr>
                <w:color w:val="000000"/>
                <w:sz w:val="24"/>
              </w:rPr>
            </w:pPr>
            <w:r>
              <w:rPr>
                <w:color w:val="000000"/>
                <w:sz w:val="24"/>
              </w:rPr>
              <w:t xml:space="preserve">附加条件</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响应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shd w:val="clear" w:color="000000" w:fill="ffffff"/>
            <w:tcW w:w="759" w:type="dxa"/>
            <w:vAlign w:val="center"/>
            <w:textDirection w:val="lrTb"/>
            <w:noWrap w:val="false"/>
          </w:tcPr>
          <w:p>
            <w:pPr>
              <w:pStyle w:val="775"/>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shd w:val="clear" w:color="000000" w:fill="ffffff"/>
            <w:tcW w:w="2250" w:type="dxa"/>
            <w:vAlign w:val="center"/>
            <w:textDirection w:val="lrTb"/>
            <w:noWrap w:val="false"/>
          </w:tcPr>
          <w:p>
            <w:pPr>
              <w:pStyle w:val="775"/>
              <w:jc w:val="left"/>
              <w:widowControl/>
              <w:rPr>
                <w:color w:val="000000"/>
                <w:sz w:val="24"/>
              </w:rPr>
            </w:pPr>
            <w:r>
              <w:rPr>
                <w:color w:val="000000"/>
                <w:sz w:val="24"/>
              </w:rPr>
              <w:t xml:space="preserve">其他无效情形</w:t>
            </w:r>
            <w:r>
              <w:rPr>
                <w:color w:val="000000"/>
                <w:sz w:val="24"/>
              </w:rPr>
            </w:r>
            <w:r/>
          </w:p>
        </w:tc>
        <w:tc>
          <w:tcPr>
            <w:shd w:val="clear" w:color="000000" w:fill="ffffff"/>
            <w:tcW w:w="6805" w:type="dxa"/>
            <w:vAlign w:val="center"/>
            <w:textDirection w:val="lrTb"/>
            <w:noWrap w:val="false"/>
          </w:tcPr>
          <w:p>
            <w:pPr>
              <w:pStyle w:val="775"/>
              <w:jc w:val="left"/>
              <w:widowControl/>
              <w:rPr>
                <w:color w:val="000000"/>
                <w:sz w:val="24"/>
              </w:rPr>
            </w:pPr>
            <w:r>
              <w:rPr>
                <w:rFonts w:hint="eastAsia"/>
                <w:color w:val="000000"/>
                <w:sz w:val="24"/>
                <w:lang w:val="en-US" w:eastAsia="zh-CN"/>
              </w:rPr>
              <w:t xml:space="preserve">供应商</w:t>
            </w:r>
            <w:r>
              <w:rPr>
                <w:color w:val="000000"/>
                <w:sz w:val="24"/>
              </w:rPr>
              <w:t xml:space="preserve">、</w:t>
            </w:r>
            <w:r>
              <w:rPr>
                <w:rFonts w:hint="eastAsia"/>
                <w:color w:val="000000"/>
                <w:sz w:val="24"/>
                <w:lang w:val="en-US" w:eastAsia="zh-CN"/>
              </w:rPr>
              <w:t xml:space="preserve">响应</w:t>
            </w:r>
            <w:r>
              <w:rPr>
                <w:color w:val="000000"/>
                <w:sz w:val="24"/>
              </w:rPr>
              <w:t xml:space="preserve">文件</w:t>
            </w:r>
            <w:r>
              <w:rPr>
                <w:rFonts w:hint="eastAsia"/>
                <w:color w:val="000000"/>
                <w:sz w:val="24"/>
              </w:rPr>
              <w:t xml:space="preserve">不存在</w:t>
            </w:r>
            <w:r>
              <w:rPr>
                <w:color w:val="000000"/>
                <w:sz w:val="24"/>
              </w:rPr>
              <w:t xml:space="preserve">不符合法律、法规和</w:t>
            </w:r>
            <w:r>
              <w:rPr>
                <w:rFonts w:hint="eastAsia"/>
                <w:color w:val="000000"/>
                <w:sz w:val="24"/>
                <w:lang w:val="en-US" w:eastAsia="zh-CN"/>
              </w:rPr>
              <w:t xml:space="preserve">采购</w:t>
            </w:r>
            <w:r>
              <w:rPr>
                <w:color w:val="000000"/>
                <w:sz w:val="24"/>
              </w:rPr>
              <w:t xml:space="preserve">文件规定的其他无效情形。</w:t>
            </w:r>
            <w:r>
              <w:rPr>
                <w:color w:val="000000"/>
                <w:sz w:val="24"/>
              </w:rPr>
            </w:r>
            <w:r/>
          </w:p>
        </w:tc>
      </w:tr>
    </w:tbl>
    <w:p>
      <w:pPr>
        <w:pStyle w:val="892"/>
        <w:ind w:left="900" w:firstLine="0"/>
        <w:jc w:val="left"/>
        <w:widowControl/>
        <w:rPr>
          <w:rFonts w:ascii="Times New Roman" w:hAnsi="Times New Roman" w:eastAsia="宋体" w:cs="Times New Roman"/>
          <w:sz w:val="24"/>
          <w:highlight w:val="yellow"/>
        </w:rPr>
      </w:pPr>
      <w:r>
        <w:rPr>
          <w:rFonts w:ascii="Times New Roman" w:hAnsi="Times New Roman" w:eastAsia="宋体" w:cs="Times New Roman"/>
          <w:sz w:val="24"/>
          <w:highlight w:val="yellow"/>
        </w:rPr>
      </w:r>
      <w:r/>
    </w:p>
    <w:p>
      <w:pPr>
        <w:pStyle w:val="775"/>
        <w:numPr>
          <w:ilvl w:val="0"/>
          <w:numId w:val="12"/>
        </w:numPr>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响应文件有关事项的澄清、说明或更正</w:t>
      </w:r>
      <w:r>
        <w:rPr>
          <w:rFonts w:ascii="Times New Roman" w:hAnsi="Times New Roman" w:eastAsia="宋体" w:cs="Times New Roman"/>
          <w:sz w:val="24"/>
        </w:rPr>
      </w:r>
      <w:r/>
    </w:p>
    <w:p>
      <w:pPr>
        <w:pStyle w:val="775"/>
        <w:numPr>
          <w:ilvl w:val="1"/>
          <w:numId w:val="13"/>
        </w:numPr>
        <w:ind w:left="1077" w:hanging="720"/>
        <w:spacing w:line="360" w:lineRule="auto"/>
        <w:tabs>
          <w:tab w:val="left" w:pos="1080" w:leader="none"/>
          <w:tab w:val="left" w:pos="2014" w:leader="none"/>
          <w:tab w:val="left" w:pos="5133"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单一来源采购人员在对响应文件的有效性、完整性和响应程度进行审查时，可以要求供应商作出必要的澄清、说明或者更正。</w:t>
      </w:r>
      <w:r>
        <w:rPr>
          <w:rFonts w:ascii="Times New Roman" w:hAnsi="Times New Roman" w:eastAsia="宋体" w:cs="Times New Roman"/>
          <w:sz w:val="24"/>
        </w:rPr>
      </w:r>
      <w:r/>
    </w:p>
    <w:p>
      <w:pPr>
        <w:pStyle w:val="775"/>
        <w:numPr>
          <w:ilvl w:val="1"/>
          <w:numId w:val="13"/>
        </w:numPr>
        <w:ind w:left="1077" w:hanging="720"/>
        <w:spacing w:line="360" w:lineRule="auto"/>
        <w:tabs>
          <w:tab w:val="left" w:pos="1080" w:leader="none"/>
          <w:tab w:val="left" w:pos="2014" w:leader="none"/>
          <w:tab w:val="left" w:pos="5133"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单一来源采购人员对响应文件进行审查，如发现供应商提交的响应文件存在不满足《资格审查要求》和《符合性审查要求》的内容，如属于表中</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不允许</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澄清、说明或者更正的内容，则供应商响应文件按</w:t>
      </w:r>
      <w:r>
        <w:rPr>
          <w:rFonts w:ascii="Times New Roman" w:hAnsi="Times New Roman" w:eastAsia="宋体" w:cs="Times New Roman"/>
          <w:b/>
          <w:sz w:val="24"/>
        </w:rPr>
        <w:t xml:space="preserve">无效</w:t>
      </w:r>
      <w:r>
        <w:rPr>
          <w:rFonts w:ascii="Times New Roman" w:hAnsi="Times New Roman" w:eastAsia="宋体" w:cs="Times New Roman"/>
          <w:sz w:val="24"/>
        </w:rPr>
        <w:t xml:space="preserve">处理；如属于表中的</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允许</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ascii="Times New Roman" w:hAnsi="Times New Roman" w:eastAsia="宋体" w:cs="Times New Roman"/>
          <w:b/>
          <w:sz w:val="24"/>
        </w:rPr>
        <w:t xml:space="preserve">无效</w:t>
      </w:r>
      <w:r>
        <w:rPr>
          <w:rFonts w:ascii="Times New Roman" w:hAnsi="Times New Roman" w:eastAsia="宋体" w:cs="Times New Roman"/>
          <w:sz w:val="24"/>
        </w:rPr>
        <w:t xml:space="preserve">处理。</w:t>
      </w:r>
      <w:r>
        <w:rPr>
          <w:rFonts w:ascii="Times New Roman" w:hAnsi="Times New Roman" w:eastAsia="宋体" w:cs="Times New Roman"/>
          <w:sz w:val="24"/>
        </w:rPr>
      </w:r>
      <w:r/>
    </w:p>
    <w:p>
      <w:pPr>
        <w:pStyle w:val="775"/>
        <w:numPr>
          <w:ilvl w:val="1"/>
          <w:numId w:val="13"/>
        </w:numPr>
        <w:ind w:left="1077" w:hanging="720"/>
        <w:spacing w:line="360" w:lineRule="auto"/>
        <w:tabs>
          <w:tab w:val="left" w:pos="1080" w:leader="none"/>
          <w:tab w:val="left" w:pos="2014" w:leader="none"/>
          <w:tab w:val="left" w:pos="5133"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rFonts w:ascii="Times New Roman" w:hAnsi="Times New Roman" w:eastAsia="宋体" w:cs="Times New Roman"/>
          <w:sz w:val="24"/>
        </w:rPr>
      </w:r>
      <w:r/>
    </w:p>
    <w:p>
      <w:pPr>
        <w:pStyle w:val="775"/>
        <w:numPr>
          <w:ilvl w:val="0"/>
          <w:numId w:val="12"/>
        </w:numPr>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商定合理价格</w:t>
      </w:r>
      <w:r>
        <w:rPr>
          <w:rFonts w:ascii="Times New Roman" w:hAnsi="Times New Roman" w:eastAsia="宋体" w:cs="Times New Roman"/>
          <w:sz w:val="24"/>
        </w:rPr>
      </w:r>
      <w:r/>
    </w:p>
    <w:p>
      <w:pPr>
        <w:pStyle w:val="892"/>
        <w:numPr>
          <w:ilvl w:val="0"/>
          <w:numId w:val="13"/>
        </w:numPr>
        <w:ind w:firstLine="480"/>
        <w:spacing w:line="360" w:lineRule="auto"/>
        <w:tabs>
          <w:tab w:val="left" w:pos="900" w:leader="none"/>
          <w:tab w:val="left" w:pos="1080" w:leader="none"/>
          <w:tab w:val="left" w:pos="5133"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pStyle w:val="775"/>
        <w:numPr>
          <w:ilvl w:val="1"/>
          <w:numId w:val="13"/>
        </w:numPr>
        <w:ind w:left="1077" w:hanging="720"/>
        <w:spacing w:line="360" w:lineRule="auto"/>
        <w:tabs>
          <w:tab w:val="left" w:pos="1080" w:leader="none"/>
          <w:tab w:val="left" w:pos="2014" w:leader="none"/>
          <w:tab w:val="left" w:pos="5133"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单一来源采购人员与供应商商定合理的价格并保证采购项目质量。单一来源采购人员应当编写协商情况记录。</w:t>
      </w:r>
      <w:r>
        <w:rPr>
          <w:rFonts w:ascii="Times New Roman" w:hAnsi="Times New Roman" w:eastAsia="宋体" w:cs="Times New Roman"/>
          <w:sz w:val="24"/>
        </w:rPr>
      </w:r>
      <w:r/>
    </w:p>
    <w:p>
      <w:pPr>
        <w:pStyle w:val="775"/>
        <w:numPr>
          <w:ilvl w:val="0"/>
          <w:numId w:val="12"/>
        </w:numPr>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892"/>
        <w:numPr>
          <w:ilvl w:val="0"/>
          <w:numId w:val="13"/>
        </w:numPr>
        <w:ind w:firstLine="480"/>
        <w:spacing w:line="360" w:lineRule="auto"/>
        <w:tabs>
          <w:tab w:val="left" w:pos="900" w:leader="none"/>
          <w:tab w:val="left" w:pos="1080" w:leader="none"/>
          <w:tab w:val="left" w:pos="5133"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pStyle w:val="775"/>
        <w:numPr>
          <w:ilvl w:val="1"/>
          <w:numId w:val="13"/>
        </w:numPr>
        <w:ind w:left="1077" w:hanging="720"/>
        <w:spacing w:line="360" w:lineRule="auto"/>
        <w:tabs>
          <w:tab w:val="left" w:pos="1080" w:leader="none"/>
          <w:tab w:val="left" w:pos="2014" w:leader="none"/>
          <w:tab w:val="left" w:pos="5133" w:leader="none"/>
        </w:tabs>
        <w:rPr>
          <w:rFonts w:ascii="Times New Roman" w:hAnsi="Times New Roman" w:eastAsia="宋体" w:cs="Times New Roman"/>
          <w:sz w:val="24"/>
        </w:rPr>
      </w:pPr>
      <w:r>
        <w:rPr>
          <w:rFonts w:ascii="Times New Roman" w:hAnsi="Times New Roman" w:eastAsia="宋体" w:cs="Times New Roman"/>
          <w:sz w:val="24"/>
        </w:rPr>
        <w:t xml:space="preserve">单一来源采购人员在评审过程中发现供应商有行贿、提供虚假材料或者串通等违法行为时，有向采购人、采购代理机构或者有关部门报告的职责。</w:t>
      </w:r>
      <w:r>
        <w:rPr>
          <w:rFonts w:ascii="Times New Roman" w:hAnsi="Times New Roman" w:eastAsia="宋体" w:cs="Times New Roman"/>
          <w:sz w:val="24"/>
        </w:rPr>
      </w:r>
      <w:r/>
    </w:p>
    <w:p>
      <w:pPr>
        <w:pStyle w:val="775"/>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sz w:val="24"/>
        </w:rPr>
        <w:br w:type="page" w:clear="all"/>
      </w:r>
      <w:bookmarkStart w:id="657" w:name="_Toc18637"/>
      <w:r/>
      <w:bookmarkStart w:id="658" w:name="_Toc99301282"/>
      <w:r/>
      <w:bookmarkStart w:id="659" w:name="_Toc26292"/>
      <w:r/>
      <w:bookmarkStart w:id="660" w:name="_Toc7287"/>
      <w:r/>
      <w:bookmarkStart w:id="661" w:name="_Toc27643"/>
      <w:r/>
      <w:bookmarkStart w:id="662" w:name="_Toc32298"/>
      <w:r/>
      <w:bookmarkStart w:id="663" w:name="_Toc11049"/>
      <w:r/>
      <w:bookmarkStart w:id="664" w:name="_Toc195842920"/>
      <w:r/>
      <w:bookmarkStart w:id="665" w:name="_Toc226337251"/>
      <w:r/>
      <w:bookmarkStart w:id="666" w:name="_Toc353825545"/>
      <w:r/>
      <w:bookmarkStart w:id="667" w:name="_Toc142311057"/>
      <w:r/>
      <w:bookmarkStart w:id="668" w:name="_Toc305158897"/>
      <w:r/>
      <w:bookmarkStart w:id="669" w:name="_Toc265228393"/>
      <w:r/>
      <w:bookmarkStart w:id="670" w:name="_Toc264969245"/>
      <w:r/>
      <w:bookmarkStart w:id="671" w:name="_Toc353873935"/>
      <w:r/>
      <w:bookmarkStart w:id="672" w:name="_Toc226965828"/>
      <w:r/>
      <w:bookmarkStart w:id="673" w:name="_Toc150774760"/>
      <w:r/>
      <w:bookmarkStart w:id="674" w:name="_Toc353873665"/>
      <w:r/>
      <w:bookmarkStart w:id="675" w:name="_Toc127151555"/>
      <w:r/>
      <w:bookmarkStart w:id="676" w:name="_Toc150480793"/>
      <w:r/>
      <w:bookmarkStart w:id="677" w:name="_Toc305158823"/>
      <w:r>
        <w:rPr>
          <w:rFonts w:ascii="Times New Roman" w:hAnsi="Times New Roman" w:eastAsia="宋体" w:cs="Times New Roman"/>
          <w:b/>
          <w:sz w:val="36"/>
          <w:szCs w:val="36"/>
        </w:rPr>
        <w:t xml:space="preserve">第四章   采购需求</w:t>
      </w:r>
      <w:bookmarkEnd w:id="657"/>
      <w:r/>
      <w:bookmarkEnd w:id="658"/>
      <w:r/>
      <w:bookmarkEnd w:id="659"/>
      <w:r/>
      <w:bookmarkEnd w:id="660"/>
      <w:r/>
      <w:bookmarkEnd w:id="661"/>
      <w:r/>
      <w:bookmarkEnd w:id="662"/>
      <w:r/>
      <w:bookmarkEnd w:id="663"/>
      <w:r>
        <w:rPr>
          <w:rFonts w:ascii="Times New Roman" w:hAnsi="Times New Roman" w:eastAsia="宋体" w:cs="Times New Roman"/>
          <w:b/>
          <w:sz w:val="36"/>
          <w:szCs w:val="36"/>
        </w:rPr>
      </w:r>
      <w:r/>
    </w:p>
    <w:p>
      <w:pPr>
        <w:pStyle w:val="892"/>
        <w:contextualSpacing/>
        <w:ind w:firstLine="482"/>
        <w:spacing w:line="360" w:lineRule="auto"/>
        <w:rPr>
          <w:rFonts w:ascii="Times New Roman" w:hAnsi="Times New Roman" w:eastAsia="宋体" w:cs="Times New Roman"/>
          <w:b/>
          <w:sz w:val="24"/>
          <w:szCs w:val="24"/>
        </w:rPr>
        <w:outlineLvl w:val="1"/>
      </w:pPr>
      <w:r/>
      <w:bookmarkStart w:id="678" w:name="_Toc156831714"/>
      <w:r>
        <w:rPr>
          <w:rFonts w:ascii="Times New Roman" w:hAnsi="Times New Roman" w:eastAsia="宋体" w:cs="Times New Roman"/>
          <w:b/>
          <w:sz w:val="24"/>
          <w:szCs w:val="24"/>
        </w:rPr>
        <w:t xml:space="preserve">一、项目</w:t>
      </w:r>
      <w:bookmarkEnd w:id="678"/>
      <w:r>
        <w:rPr>
          <w:rFonts w:ascii="Times New Roman" w:hAnsi="Times New Roman" w:eastAsia="宋体" w:cs="Times New Roman"/>
          <w:b/>
          <w:sz w:val="24"/>
          <w:szCs w:val="24"/>
        </w:rPr>
        <w:t xml:space="preserve">概况</w:t>
      </w:r>
      <w:r>
        <w:rPr>
          <w:rFonts w:ascii="Times New Roman" w:hAnsi="Times New Roman" w:eastAsia="宋体" w:cs="Times New Roman"/>
          <w:b/>
          <w:sz w:val="24"/>
          <w:szCs w:val="24"/>
        </w:rPr>
      </w:r>
      <w:r/>
    </w:p>
    <w:p>
      <w:pPr>
        <w:pStyle w:val="775"/>
        <w:contextualSpacing/>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1.项目名称：常州市新北区环卫、市政及绿化养护服务</w:t>
      </w:r>
      <w:r>
        <w:rPr>
          <w:rFonts w:ascii="Times New Roman" w:hAnsi="Times New Roman" w:eastAsia="宋体" w:cs="Times New Roman"/>
          <w:bCs/>
          <w:sz w:val="24"/>
        </w:rPr>
      </w:r>
      <w:r/>
    </w:p>
    <w:p>
      <w:pPr>
        <w:pStyle w:val="775"/>
        <w:contextualSpacing/>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2.项目地点：常州市新北区</w:t>
      </w:r>
      <w:r>
        <w:rPr>
          <w:rFonts w:ascii="Times New Roman" w:hAnsi="Times New Roman" w:eastAsia="宋体" w:cs="Times New Roman"/>
          <w:bCs/>
          <w:sz w:val="24"/>
        </w:rPr>
      </w:r>
      <w:r/>
    </w:p>
    <w:p>
      <w:pPr>
        <w:pStyle w:val="775"/>
        <w:contextualSpacing/>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3.项目内容：区内环卫、市政及绿化养护服务类业务 </w:t>
      </w:r>
      <w:r>
        <w:rPr>
          <w:rFonts w:ascii="Times New Roman" w:hAnsi="Times New Roman" w:eastAsia="宋体" w:cs="Times New Roman"/>
          <w:bCs/>
          <w:sz w:val="24"/>
        </w:rPr>
      </w:r>
      <w:r/>
    </w:p>
    <w:p>
      <w:pPr>
        <w:pStyle w:val="775"/>
        <w:contextualSpacing/>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包括：新北区内环卫、市政及绿化等日常养护</w:t>
      </w:r>
      <w:r>
        <w:rPr>
          <w:rFonts w:ascii="Times New Roman" w:hAnsi="Times New Roman" w:eastAsia="宋体" w:cs="Times New Roman"/>
          <w:bCs/>
          <w:color w:val="000000"/>
          <w:sz w:val="24"/>
        </w:rPr>
        <w:t xml:space="preserve">（服务内容涵盖：道路道板和绿化带清扫保洁、环卫日常作业、大气应急业务、公共厕所管理、垃圾转运站日常管理、垃圾转运服务；道路养护、公园养护、绿化养护、雨水管网及泵站养护等方面）。</w:t>
      </w:r>
      <w:r>
        <w:rPr>
          <w:rFonts w:ascii="Times New Roman" w:hAnsi="Times New Roman" w:eastAsia="宋体" w:cs="Times New Roman"/>
          <w:bCs/>
          <w:sz w:val="24"/>
        </w:rPr>
        <w:t xml:space="preserve"> </w:t>
      </w:r>
      <w:r>
        <w:rPr>
          <w:rFonts w:ascii="Times New Roman" w:hAnsi="Times New Roman" w:eastAsia="宋体" w:cs="Times New Roman"/>
          <w:bCs/>
          <w:sz w:val="24"/>
        </w:rPr>
      </w:r>
      <w:r/>
    </w:p>
    <w:p>
      <w:pPr>
        <w:pStyle w:val="775"/>
        <w:contextualSpacing/>
        <w:ind w:firstLine="482"/>
        <w:spacing w:line="360" w:lineRule="auto"/>
        <w:rPr>
          <w:rFonts w:ascii="Times New Roman" w:hAnsi="Times New Roman" w:eastAsia="宋体" w:cs="Times New Roman"/>
          <w:b/>
          <w:sz w:val="24"/>
        </w:rPr>
        <w:outlineLvl w:val="1"/>
      </w:pPr>
      <w:r>
        <w:rPr>
          <w:rFonts w:ascii="Times New Roman" w:hAnsi="Times New Roman" w:eastAsia="宋体" w:cs="Times New Roman"/>
          <w:b/>
          <w:sz w:val="24"/>
        </w:rPr>
        <w:t xml:space="preserve">二、服务范围</w:t>
      </w:r>
      <w:r>
        <w:rPr>
          <w:rFonts w:ascii="Times New Roman" w:hAnsi="Times New Roman" w:eastAsia="宋体" w:cs="Times New Roman"/>
          <w:b/>
          <w:sz w:val="24"/>
        </w:rPr>
      </w:r>
      <w:r/>
    </w:p>
    <w:p>
      <w:pPr>
        <w:pStyle w:val="807"/>
        <w:ind w:firstLine="482"/>
        <w:spacing w:before="0" w:line="360" w:lineRule="auto"/>
        <w:widowControl/>
        <w:tabs>
          <w:tab w:val="left" w:pos="567" w:leader="none"/>
        </w:tabs>
        <w:rPr>
          <w:rFonts w:ascii="Times New Roman" w:hAnsi="Times New Roman" w:eastAsia="宋体" w:cs="Times New Roman"/>
          <w:b/>
          <w:bCs/>
        </w:rPr>
        <w:outlineLvl w:val="2"/>
      </w:pPr>
      <w:r>
        <w:rPr>
          <w:rFonts w:ascii="Times New Roman" w:hAnsi="Times New Roman" w:eastAsia="宋体" w:cs="Times New Roman"/>
          <w:b/>
          <w:bCs/>
        </w:rPr>
        <w:t xml:space="preserve">（一）环卫服务范围</w:t>
      </w:r>
      <w:r>
        <w:rPr>
          <w:rFonts w:ascii="Times New Roman" w:hAnsi="Times New Roman" w:eastAsia="宋体" w:cs="Times New Roman"/>
          <w:b/>
          <w:bCs/>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环卫道路作业范围涉及新北区10个乡镇街道：乡镇街道道路约304条，道路面积约863.3285万平方米、道板面积约145.897万平方米、绿化带约850.9027万平方米；核心区道路约130条，道路面积约165.8361万平方米，道板面积约95.7182万平方米，绿化带面积约142.0244万平方米。（详见附件：17、18，具体服务范围以实际管养为准）</w:t>
      </w:r>
      <w:r>
        <w:rPr>
          <w:rFonts w:ascii="Times New Roman" w:hAnsi="Times New Roman" w:eastAsia="宋体" w:cs="Times New Roman"/>
          <w:color w:val="000000"/>
          <w:sz w:val="24"/>
        </w:rPr>
      </w:r>
      <w:r/>
    </w:p>
    <w:p>
      <w:pPr>
        <w:pStyle w:val="807"/>
        <w:ind w:firstLine="482"/>
        <w:spacing w:before="0" w:line="360" w:lineRule="auto"/>
        <w:widowControl/>
        <w:tabs>
          <w:tab w:val="left" w:pos="567" w:leader="none"/>
        </w:tabs>
        <w:rPr>
          <w:rFonts w:ascii="Times New Roman" w:hAnsi="Times New Roman" w:eastAsia="宋体" w:cs="Times New Roman"/>
          <w:b/>
          <w:bCs/>
        </w:rPr>
        <w:outlineLvl w:val="2"/>
      </w:pPr>
      <w:r>
        <w:rPr>
          <w:rFonts w:ascii="Times New Roman" w:hAnsi="Times New Roman" w:eastAsia="宋体" w:cs="Times New Roman"/>
          <w:b/>
          <w:bCs/>
        </w:rPr>
        <w:t xml:space="preserve">（二）市政及绿化养护服务范围</w:t>
      </w:r>
      <w:r>
        <w:rPr>
          <w:rFonts w:ascii="Times New Roman" w:hAnsi="Times New Roman" w:eastAsia="宋体" w:cs="Times New Roman"/>
          <w:b/>
          <w:bCs/>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绿化、市政设施养护服务范围涉及新北区10个乡镇街道：其中市政设施养护区管道路约189条，长度约368.031公里，道路面积约866.04万平方米，桥梁约179座。绿化养护区管道路（含苗圃和闲置地块）约1240.57万平方米；区管公园约9座，面积约106.5万平方米。区属雨水管道养护约567.717公里。3个下穿雨水泵站和1个中水泵站。（详见附件：1-7，具体服务范围以实际管养为准）</w:t>
      </w:r>
      <w:r>
        <w:rPr>
          <w:rFonts w:ascii="Times New Roman" w:hAnsi="Times New Roman" w:eastAsia="宋体" w:cs="Times New Roman"/>
          <w:color w:val="000000"/>
          <w:sz w:val="24"/>
        </w:rPr>
      </w:r>
      <w:r/>
    </w:p>
    <w:p>
      <w:pPr>
        <w:pStyle w:val="775"/>
        <w:contextualSpacing/>
        <w:ind w:firstLine="482"/>
        <w:spacing w:line="360" w:lineRule="auto"/>
        <w:rPr>
          <w:rFonts w:ascii="Times New Roman" w:hAnsi="Times New Roman" w:eastAsia="宋体" w:cs="Times New Roman"/>
          <w:b/>
          <w:bCs/>
          <w:sz w:val="24"/>
        </w:rPr>
        <w:outlineLvl w:val="1"/>
      </w:pPr>
      <w:r>
        <w:rPr>
          <w:rFonts w:ascii="Times New Roman" w:hAnsi="Times New Roman" w:eastAsia="宋体" w:cs="Times New Roman"/>
          <w:b/>
          <w:bCs/>
          <w:sz w:val="24"/>
        </w:rPr>
        <w:t xml:space="preserve">三、服务内容</w:t>
      </w:r>
      <w:r>
        <w:rPr>
          <w:rFonts w:ascii="Times New Roman" w:hAnsi="Times New Roman" w:eastAsia="宋体" w:cs="Times New Roman"/>
          <w:b/>
          <w:bCs/>
          <w:sz w:val="24"/>
        </w:rPr>
      </w:r>
      <w:r/>
    </w:p>
    <w:p>
      <w:pPr>
        <w:pStyle w:val="807"/>
        <w:ind w:firstLine="482"/>
        <w:spacing w:before="0" w:line="360" w:lineRule="auto"/>
        <w:widowControl/>
        <w:tabs>
          <w:tab w:val="left" w:pos="567" w:leader="none"/>
        </w:tabs>
        <w:rPr>
          <w:rFonts w:ascii="Times New Roman" w:hAnsi="Times New Roman" w:eastAsia="宋体" w:cs="Times New Roman"/>
          <w:b/>
          <w:bCs/>
        </w:rPr>
        <w:outlineLvl w:val="2"/>
      </w:pPr>
      <w:r>
        <w:rPr>
          <w:rFonts w:ascii="Times New Roman" w:hAnsi="Times New Roman" w:eastAsia="宋体" w:cs="Times New Roman"/>
          <w:b/>
          <w:bCs/>
        </w:rPr>
        <w:t xml:space="preserve">（一）环卫服务内容</w:t>
      </w:r>
      <w:r>
        <w:rPr>
          <w:rFonts w:ascii="Times New Roman" w:hAnsi="Times New Roman" w:eastAsia="宋体" w:cs="Times New Roman"/>
          <w:b/>
          <w:bCs/>
        </w:rPr>
      </w:r>
      <w:r/>
    </w:p>
    <w:p>
      <w:pPr>
        <w:pStyle w:val="775"/>
        <w:ind w:firstLine="72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1.道路清扫保洁作业内容</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1）按照《常州市城市环卫作业服务要求》（详见附件19）文件标准，供应商根据承包道路保洁等级、作业标准和作业时间要求，对承包道路快、慢车道和人行道进行清扫、保洁；对依附于道路的绿化带进行保洁（包括可视范围内无主垃圾的清理）。其中人行道板（含侧石）的清扫工作和沿街垃圾桶（果壳箱）的垃圾清运工作每日7点30分前必须完成。对于道板出现污染的情况，需随时进行人工清扫和冲洗工作，确保人行道板干净、整洁。</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（2）根据市级、区级行业主管部门的相关要求，组织好道路的机械化清扫、冲洗、洒水、高压清洗作业，确保按要求完成机械化标准作业。按上级部门要求做好雾霾天气和其它应急作业。</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3）供应商根据《常州市城市道路人行道板环卫作业质量标准及考核办法》（详见附件20）的文件要求组织好承包区域内人行道板、人行斑马线等的清洗作业，确保道板、人行道的干净整洁。供应商对于负责作业的城市主要商业街沿线道路道板、餐饮集中区域道路道板每周开展不低于2次道板全面清洗工作，其它城市主次干道沿线道路道板每周开展不低于1次道板全面清洗工作。</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（4）负责承包范围内的垃圾箱、果壳箱的垃圾清运和上述设施的清洁；负责承包道路两侧垃圾的及时清理；负责承包范围内的无主垃圾的清理。</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（5）根据城市大管家作业模式调整，每周开展道路沿线绿化带的专项清理整治工作，重点清理绿化带内枯枝落叶、废弃砖石块和暴露垃圾等。</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2.环卫设施设备的运行</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sz w:val="24"/>
        </w:rPr>
        <w:t xml:space="preserve">（1）负责85座公厕（详见清单</w:t>
      </w:r>
      <w:r>
        <w:rPr>
          <w:rFonts w:ascii="Times New Roman" w:hAnsi="Times New Roman" w:eastAsia="宋体" w:cs="Times New Roman"/>
          <w:color w:val="000000"/>
          <w:sz w:val="24"/>
        </w:rPr>
        <w:t xml:space="preserve">2，具体服务范围以实际管养为准）的日常保洁和运行维护工作，保持公厕设施设备的完好，确保公厕内部及周边5米范围内的干净、整洁。在蚊蝇滋生季节负责公厕内部消杀工作。负责公厕内部设施、设备日常维护和小额维修工作（维修事项说明见《常州市新北区环卫、市政及绿化养护服务合同》</w:t>
      </w:r>
      <w:r>
        <w:rPr>
          <w:rFonts w:hint="eastAsia" w:ascii="Times New Roman" w:hAnsi="Times New Roman" w:eastAsia="宋体" w:cs="Times New Roman"/>
          <w:color w:val="000000"/>
          <w:sz w:val="24"/>
          <w:lang w:eastAsia="zh-CN"/>
        </w:rPr>
        <w:t xml:space="preserve">“</w:t>
      </w:r>
      <w:r>
        <w:rPr>
          <w:rFonts w:ascii="Times New Roman" w:hAnsi="Times New Roman" w:eastAsia="宋体" w:cs="Times New Roman"/>
          <w:color w:val="000000"/>
          <w:sz w:val="24"/>
        </w:rPr>
        <w:t xml:space="preserve">第三条（七）其它事项说明第3点</w:t>
      </w:r>
      <w:r>
        <w:rPr>
          <w:rFonts w:hint="eastAsia" w:ascii="Times New Roman" w:hAnsi="Times New Roman" w:eastAsia="宋体" w:cs="Times New Roman"/>
          <w:color w:val="000000"/>
          <w:sz w:val="24"/>
          <w:lang w:eastAsia="zh-CN"/>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color w:val="000000"/>
          <w:sz w:val="24"/>
        </w:rPr>
        <w:t xml:space="preserve">（2）负责7座生活垃圾压缩站（详见清单1，具体服务范围以实际管养为准）和9座生活垃圾中转站（详见清单1，具体服务范围以实际管养为准）的日</w:t>
      </w:r>
      <w:r>
        <w:rPr>
          <w:rFonts w:ascii="Times New Roman" w:hAnsi="Times New Roman" w:eastAsia="宋体" w:cs="Times New Roman"/>
          <w:sz w:val="24"/>
        </w:rPr>
        <w:t xml:space="preserve">常运行工作，保持收</w:t>
      </w:r>
      <w:r>
        <w:rPr>
          <w:rFonts w:ascii="Times New Roman" w:hAnsi="Times New Roman" w:eastAsia="宋体" w:cs="Times New Roman"/>
          <w:sz w:val="24"/>
        </w:rPr>
        <w:t xml:space="preserve">集站和转运站内部及周边5米范围内的干净、整洁。保持收集站和转运站内部设施设备正常运转。在蚊蝇滋生季节负责收集站和转运站内部消杀工作。负责进站垃圾的检查管理工作，确保无建筑垃圾、工业垃圾和危险废弃物等非生活垃圾进站。前端收集车辆凭核发的通行证和车辆牌照进站倾倒垃圾。确保无未达标车辆（无车辆牌照、车辆无通行证、车辆未加盖运输、车辆表面脏乱）进站倾倒垃圾。确保垃圾收集站和转运站生活垃圾的日产日清工作。负责收集站和转运站内部设施、设备日常维护和小额维修工作（维修事项说明见《常州市新北区环卫、市政及绿化养护服务合同》</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第三条（七）其它事项说明第3点</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tbl>
      <w:tblPr>
        <w:tblW w:w="592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13"/>
        <w:gridCol w:w="2235"/>
        <w:gridCol w:w="2678"/>
      </w:tblGrid>
      <w:tr>
        <w:trPr>
          <w:trHeight w:val="272"/>
        </w:trPr>
        <w:tc>
          <w:tcPr>
            <w:gridSpan w:val="3"/>
            <w:tcBorders>
              <w:top w:val="none" w:color="000000" w:sz="4" w:space="0"/>
              <w:left w:val="none" w:color="000000" w:sz="4" w:space="0"/>
              <w:bottom w:val="none" w:color="000000" w:sz="4" w:space="0"/>
              <w:right w:val="none" w:color="000000" w:sz="4" w:space="0"/>
            </w:tcBorders>
            <w:tcW w:w="5926" w:type="dxa"/>
            <w:vAlign w:val="center"/>
            <w:textDirection w:val="lrTb"/>
            <w:noWrap/>
          </w:tcPr>
          <w:p>
            <w:pPr>
              <w:pStyle w:val="775"/>
              <w:contextualSpacing/>
              <w:jc w:val="center"/>
              <w:rPr>
                <w:rFonts w:ascii="Times New Roman" w:hAnsi="Times New Roman" w:eastAsia="宋体" w:cs="Times New Roman"/>
                <w:sz w:val="24"/>
              </w:rPr>
            </w:pPr>
            <w:r>
              <w:rPr>
                <w:rFonts w:ascii="Times New Roman" w:hAnsi="Times New Roman" w:eastAsia="宋体" w:cs="Times New Roman"/>
                <w:sz w:val="24"/>
              </w:rPr>
              <w:t xml:space="preserve">清单1</w:t>
            </w:r>
            <w:r>
              <w:rPr>
                <w:rFonts w:ascii="Times New Roman" w:hAnsi="Times New Roman" w:eastAsia="宋体" w:cs="Times New Roman"/>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序号</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压缩站</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中转站</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1</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基地</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百草园</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2</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藻江</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文源路</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3</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浦江</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汇丰</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4</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大名城</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富都</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5</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江边</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滨江明珠</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6</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空港</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绿洲</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7</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孟河</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太湖市场</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8</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民营</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9</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绿都万和城</w:t>
            </w:r>
            <w:r>
              <w:rPr>
                <w:rFonts w:ascii="Times New Roman" w:hAnsi="Times New Roman" w:eastAsia="宋体" w:cs="Times New Roman"/>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合计</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7</w:t>
            </w:r>
            <w:r>
              <w:rPr>
                <w:rFonts w:ascii="Times New Roman" w:hAnsi="Times New Roman" w:eastAsia="宋体" w:cs="Times New Roman"/>
                <w:color w:val="000000"/>
                <w:szCs w:val="21"/>
                <w:lang w:bidi="ar"/>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775"/>
              <w:jc w:val="center"/>
              <w:widowControl/>
              <w:rPr>
                <w:rFonts w:ascii="Times New Roman" w:hAnsi="Times New Roman" w:eastAsia="宋体" w:cs="Times New Roman"/>
                <w:color w:val="000000"/>
                <w:szCs w:val="21"/>
                <w:lang w:bidi="ar"/>
              </w:rPr>
            </w:pPr>
            <w:r>
              <w:rPr>
                <w:rFonts w:ascii="Times New Roman" w:hAnsi="Times New Roman" w:eastAsia="宋体" w:cs="Times New Roman"/>
                <w:color w:val="000000"/>
                <w:szCs w:val="21"/>
                <w:lang w:bidi="ar"/>
              </w:rPr>
              <w:t xml:space="preserve">9</w:t>
            </w:r>
            <w:r>
              <w:rPr>
                <w:rFonts w:ascii="Times New Roman" w:hAnsi="Times New Roman" w:eastAsia="宋体" w:cs="Times New Roman"/>
                <w:color w:val="000000"/>
                <w:szCs w:val="21"/>
                <w:lang w:bidi="ar"/>
              </w:rPr>
            </w:r>
            <w:r/>
          </w:p>
        </w:tc>
      </w:tr>
    </w:tbl>
    <w:p>
      <w:pPr>
        <w:pStyle w:val="1031"/>
        <w:ind w:firstLine="420"/>
        <w:rPr>
          <w:rFonts w:ascii="Times New Roman" w:hAnsi="Times New Roman" w:eastAsia="宋体" w:cs="Times New Roman"/>
        </w:rPr>
      </w:pPr>
      <w:r>
        <w:rPr>
          <w:rFonts w:ascii="Times New Roman" w:hAnsi="Times New Roman" w:eastAsia="宋体" w:cs="Times New Roman"/>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负责生活垃圾收集站和转运站设备(含压缩设备、监控设备等)的小额维修和配套的环保设备日常维护保养工作，及时维修和维保垃圾压缩设备，确保垃圾压缩设备正常运行，按维保期限及时做好转运站环保设备的日常维保，确保环保设备正常运行。（相关作业要求见《常州市新北区环卫、市政及绿化养护服务合同》</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第三条（三）环卫服务作业质量要求第4条）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highlight w:val="yellow"/>
        </w:rPr>
      </w:pPr>
      <w:r>
        <w:rPr>
          <w:rFonts w:ascii="Times New Roman" w:hAnsi="Times New Roman" w:eastAsia="宋体" w:cs="Times New Roman"/>
          <w:sz w:val="24"/>
        </w:rPr>
        <w:t xml:space="preserve">（4）负责提供开展业务所需的30个压缩转运箱、70个直运转运箱、4个移动压缩转运箱、17辆12t以上拉臂车、9辆25t及以上拉臂车、5辆特种垃圾收集车、3辆道板清洗车、5辆吸污（粪）车、1辆有毒有害收运车和3辆装载机的日常使用和自检工作，确保车辆外观的干净、整洁。垃圾运输车辆在运输过程中无抛洒滴漏现象。在车辆日常作业过程中做到文明行车和文明作业。</w:t>
      </w:r>
      <w:r>
        <w:rPr>
          <w:rFonts w:ascii="Times New Roman" w:hAnsi="Times New Roman" w:eastAsia="宋体" w:cs="Times New Roman"/>
          <w:sz w:val="24"/>
          <w:highlight w:val="yellow"/>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3.垃圾清运事项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负责全区生活垃圾清运工作。负责每日将全区产生的生活垃圾和垃圾渗滤液从各收集站和转运站清运至垃圾终端处理场所（孟河垃圾收集站除外）。按使用期限做好垃圾转运箱的出新和更新工作。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4.大气抑尘事项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按照区生态环境部门的要求，为区生态环境部门提供常州市新北区大气应急服务。服务作业区域：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市行政中心周边3公里范围区域；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新北区政府周边3公里范围区域；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区生态环境部门下达作业指令作业的其他区域。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5.其它事项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（1）活动保障和雨雪灾害天气保障按上级有关部门和预案执行。</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rPr>
        <w:t xml:space="preserve">（2）大力推进绿化带清理和环卫清扫一体化作业工作，</w:t>
      </w:r>
      <w:r>
        <w:rPr>
          <w:rFonts w:ascii="Times New Roman" w:hAnsi="Times New Roman" w:eastAsia="宋体" w:cs="Times New Roman"/>
          <w:sz w:val="24"/>
          <w:highlight w:val="none"/>
        </w:rPr>
        <w:t xml:space="preserve">创建市政府周边区域、万达广场区域和区政府区域精品示范区。</w:t>
      </w:r>
      <w:r>
        <w:rPr>
          <w:rFonts w:ascii="Times New Roman" w:hAnsi="Times New Roman" w:eastAsia="宋体" w:cs="Times New Roman"/>
          <w:sz w:val="24"/>
          <w:highlight w:val="none"/>
        </w:rPr>
      </w:r>
      <w:r/>
    </w:p>
    <w:p>
      <w:pPr>
        <w:pStyle w:val="775"/>
        <w:contextualSpacing/>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（3）因</w:t>
      </w:r>
      <w:r>
        <w:rPr>
          <w:rFonts w:ascii="Times New Roman" w:hAnsi="Times New Roman" w:eastAsia="宋体" w:cs="Times New Roman"/>
          <w:color w:val="000000"/>
          <w:sz w:val="24"/>
          <w:highlight w:val="none"/>
          <w:lang w:val="en-US" w:eastAsia="zh-CN"/>
        </w:rPr>
        <w:t xml:space="preserve">服务</w:t>
      </w:r>
      <w:r>
        <w:rPr>
          <w:rFonts w:ascii="Times New Roman" w:hAnsi="Times New Roman" w:eastAsia="宋体" w:cs="Times New Roman"/>
          <w:color w:val="000000"/>
          <w:sz w:val="24"/>
          <w:highlight w:val="none"/>
        </w:rPr>
        <w:t xml:space="preserve">期为两年半（2026年7月1日-2028年12月31日），2026年至2028年区级新增道路和环卫设施供应商必须按区环卫部门指令承接并完成日常环卫作业，费用另行协商。</w:t>
      </w:r>
      <w:r>
        <w:rPr>
          <w:rFonts w:ascii="Times New Roman" w:hAnsi="Times New Roman" w:eastAsia="宋体" w:cs="Times New Roman"/>
          <w:color w:val="000000"/>
          <w:sz w:val="24"/>
          <w:highlight w:val="none"/>
        </w:rPr>
      </w:r>
      <w:r/>
    </w:p>
    <w:p>
      <w:pPr>
        <w:pStyle w:val="775"/>
        <w:contextualSpacing/>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（4）如遇国家政策调整（最低工资标准等）所需增加费用由双方协商解决，必须按国家政策调整环卫职工工资。</w:t>
      </w:r>
      <w:r>
        <w:rPr>
          <w:rFonts w:ascii="Times New Roman" w:hAnsi="Times New Roman" w:eastAsia="宋体" w:cs="Times New Roman"/>
          <w:color w:val="000000"/>
          <w:sz w:val="24"/>
          <w:highlight w:val="none"/>
        </w:rPr>
      </w:r>
      <w:r/>
    </w:p>
    <w:p>
      <w:pPr>
        <w:pStyle w:val="775"/>
        <w:contextualSpacing/>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（5）合同期限内，如遇上级部门作业标准调整，供应商需配合实行，调整作业费用另行协商。</w:t>
      </w:r>
      <w:r>
        <w:rPr>
          <w:rFonts w:ascii="Times New Roman" w:hAnsi="Times New Roman" w:eastAsia="宋体" w:cs="Times New Roman"/>
          <w:color w:val="000000"/>
          <w:sz w:val="24"/>
          <w:highlight w:val="none"/>
        </w:rPr>
      </w:r>
      <w:r/>
    </w:p>
    <w:p>
      <w:pPr>
        <w:pStyle w:val="807"/>
        <w:ind w:firstLine="482"/>
        <w:spacing w:before="0" w:line="360" w:lineRule="auto"/>
        <w:widowControl/>
        <w:tabs>
          <w:tab w:val="left" w:pos="567" w:leader="none"/>
        </w:tabs>
        <w:rPr>
          <w:rFonts w:ascii="Times New Roman" w:hAnsi="Times New Roman" w:eastAsia="宋体" w:cs="Times New Roman"/>
          <w:b/>
          <w:bCs/>
        </w:rPr>
        <w:outlineLvl w:val="2"/>
      </w:pPr>
      <w:r>
        <w:rPr>
          <w:rFonts w:ascii="Times New Roman" w:hAnsi="Times New Roman" w:eastAsia="宋体" w:cs="Times New Roman"/>
          <w:b/>
        </w:rPr>
        <w:t xml:space="preserve">（二）市政及绿化养护服务</w:t>
      </w:r>
      <w:r>
        <w:rPr>
          <w:rFonts w:ascii="Times New Roman" w:hAnsi="Times New Roman" w:eastAsia="宋体" w:cs="Times New Roman"/>
          <w:b/>
          <w:bCs/>
        </w:rPr>
        <w:t xml:space="preserve">内容</w:t>
      </w:r>
      <w:r>
        <w:rPr>
          <w:rFonts w:ascii="Times New Roman" w:hAnsi="Times New Roman" w:eastAsia="宋体" w:cs="Times New Roman"/>
          <w:b/>
          <w:bCs/>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1.道路绿化养护</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（1）区管道路、苗圃等绿化日常养护工作，含日常修剪、零星补植、病虫害防治、松土、杂草控制、水肥管理、绿化杂物清理、景观设施维护等工作；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（2）区管道路零星绿化调整、景观设施等零星维修、零星行政迁移恢复等工作；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（3）区管道路零星草花种植、零星花箱草花更换等工作；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（4）主动配合采购人绿化废弃物综合处置利用工作。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2.市政养护</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区管道路、道板（树池）、桥梁、景观设施等零星维修及零星行政恢复等工作。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3.公园养护</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（1）公园景观养护，含区管公园日常修剪、零星补植、病虫害防治、松土、杂草控制、水肥管理、绿化杂物清理、水面维护、秩序维护、园容保洁、设施设备维护等工作；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（2）公园零星绿化调整、设施设备零星维修，零星草花种植等。 </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含区管公园内的道路、雕塑、各类标识标牌、座椅、护栏、草花等维修更换，花事花节办理等工作。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4.排水设施养护</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（1）泵站、排水设施养护，含泵站运维、排水设施检查、清掏疏通、溯源排查等工作；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（2）排水设施零星维修，含井盖、收水井、雨水管道维修等工作；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（3）再生水泵站及管道运维养护等工作。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5.其他事项</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（1）应对突发事件及重大活动，供应商应积极服从采购人安排，及时调动人员、设备、物料等配合采购人做好保障工作；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（2）遭遇突发紧急情况，如洪涝灾害、台风飓风、暴雨暴雪等气象灾害或其他不可抗力等，供应商应迅速组织力量，及时处理并恢复到位；</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（3）根据采购人要求主动配合做好全区无人机巡查考核等工作。</w:t>
      </w:r>
      <w:r>
        <w:rPr>
          <w:rFonts w:ascii="Times New Roman" w:hAnsi="Times New Roman" w:eastAsia="宋体" w:cs="Times New Roman"/>
          <w:color w:val="000000"/>
          <w:sz w:val="24"/>
        </w:rPr>
      </w:r>
      <w:r/>
    </w:p>
    <w:p>
      <w:pPr>
        <w:pStyle w:val="892"/>
        <w:contextualSpacing/>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四、服务期限</w:t>
      </w:r>
      <w:r>
        <w:rPr>
          <w:rFonts w:ascii="Times New Roman" w:hAnsi="Times New Roman" w:eastAsia="宋体" w:cs="Times New Roman"/>
          <w:b/>
          <w:sz w:val="24"/>
          <w:szCs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highlight w:val="none"/>
        </w:rPr>
        <w:t xml:space="preserve">两年半（2026年7月1日-2028年12月31日）。合同一年一签</w:t>
      </w:r>
      <w:r>
        <w:rPr>
          <w:rFonts w:ascii="Times New Roman" w:hAnsi="Times New Roman" w:eastAsia="宋体" w:cs="Times New Roman"/>
          <w:sz w:val="24"/>
        </w:rPr>
        <w:t xml:space="preserve">，年度服务期满，经采购人考核合格后续签。</w:t>
      </w:r>
      <w:r>
        <w:rPr>
          <w:rFonts w:ascii="Times New Roman" w:hAnsi="Times New Roman" w:eastAsia="宋体" w:cs="Times New Roman"/>
          <w:sz w:val="24"/>
        </w:rPr>
      </w:r>
      <w:r/>
    </w:p>
    <w:p>
      <w:pPr>
        <w:pStyle w:val="892"/>
        <w:contextualSpacing/>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五、服务标准</w:t>
      </w:r>
      <w:r>
        <w:rPr>
          <w:rFonts w:ascii="Times New Roman" w:hAnsi="Times New Roman" w:eastAsia="宋体" w:cs="Times New Roman"/>
          <w:b/>
          <w:sz w:val="24"/>
          <w:szCs w:val="24"/>
        </w:rPr>
      </w:r>
      <w:r/>
    </w:p>
    <w:p>
      <w:pPr>
        <w:pStyle w:val="775"/>
        <w:contextualSpacing/>
        <w:ind w:firstLine="482"/>
        <w:spacing w:line="360" w:lineRule="auto"/>
        <w:rPr>
          <w:rFonts w:ascii="Times New Roman" w:hAnsi="Times New Roman" w:eastAsia="宋体" w:cs="Times New Roman"/>
          <w:b/>
          <w:bCs/>
          <w:sz w:val="24"/>
        </w:rPr>
        <w:outlineLvl w:val="2"/>
      </w:pPr>
      <w:r/>
      <w:bookmarkStart w:id="679" w:name="_Toc156831726"/>
      <w:r>
        <w:rPr>
          <w:rFonts w:ascii="Times New Roman" w:hAnsi="Times New Roman" w:eastAsia="宋体" w:cs="Times New Roman"/>
          <w:b/>
          <w:bCs/>
          <w:sz w:val="24"/>
        </w:rPr>
        <w:t xml:space="preserve">（一）环卫服务标准</w:t>
      </w:r>
      <w:r>
        <w:rPr>
          <w:rFonts w:ascii="Times New Roman" w:hAnsi="Times New Roman" w:eastAsia="宋体" w:cs="Times New Roman"/>
          <w:b/>
          <w:bCs/>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1.环卫作业时间要求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1.1清扫保洁部分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（1）时间要求：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一级道路、道板和绿化带清扫保洁实行10小时的工作制（作业时间为6：00-11：00、12：30-17：30）。</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二级道路、道板和绿化带清扫保洁实行8小时的工作制（作业时间为6：00-10：30、12：30-16：00）。</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三级道路、道板和绿化带清扫保洁实行8小时的工作制（作业时间为6：30－10：30、13：00-17：00）。</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（高温天气作业时间另行通知）</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（2）特殊时间段要求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8条特殊路段延时作业，从每年5月1日-10月31日特殊路段延时至21：30、11月1日至次年4月30日延时至19：30。特殊路段如下：通江路（沪蓉高速-龙城大道）、太湖路（泰山路-通江路）、太湖路（通江路-晋陵路）、惠山路（珠江路-太湖路）、大渡河路（通江路-晋陵路）、龙锦路（通江路-北塘河路）、竹山路（巢湖路-太湖路）、巢湖路（泰山路-通江路）。</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1.2环卫设施部分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85座公厕保洁，其中56座公厕实行专人保洁（详见清单</w:t>
      </w:r>
      <w:r>
        <w:rPr>
          <w:rFonts w:ascii="Times New Roman" w:hAnsi="Times New Roman" w:eastAsia="宋体" w:cs="Times New Roman"/>
          <w:color w:val="000000"/>
          <w:sz w:val="24"/>
        </w:rPr>
        <w:t xml:space="preserve">2，具体服务范围以实际管养为准），29座公厕实行1人保洁2座公厕（详见清单2，具体服务范围以实际管养为准），公厕每日开放时间6：00-18：00（专人保洁作</w:t>
      </w:r>
      <w:r>
        <w:rPr>
          <w:rFonts w:ascii="Times New Roman" w:hAnsi="Times New Roman" w:eastAsia="宋体" w:cs="Times New Roman"/>
          <w:sz w:val="24"/>
        </w:rPr>
        <w:t xml:space="preserve">业）、18：00-22：00（巡回保洁作业，每一人负责4座公厕巡回保洁）、22：00-次日6：00（保持对公众开放）。</w:t>
      </w:r>
      <w:r>
        <w:rPr>
          <w:rFonts w:ascii="Times New Roman" w:hAnsi="Times New Roman" w:eastAsia="宋体" w:cs="Times New Roman"/>
          <w:sz w:val="24"/>
        </w:rPr>
      </w:r>
      <w:r/>
    </w:p>
    <w:p>
      <w:pPr>
        <w:pStyle w:val="775"/>
        <w:contextualSpacing/>
        <w:ind w:firstLine="480"/>
        <w:jc w:val="center"/>
        <w:spacing w:line="360" w:lineRule="auto"/>
        <w:rPr>
          <w:rFonts w:ascii="Times New Roman" w:hAnsi="Times New Roman" w:eastAsia="宋体" w:cs="Times New Roman"/>
          <w:sz w:val="24"/>
        </w:rPr>
      </w:pPr>
      <w:r>
        <w:rPr>
          <w:rFonts w:ascii="Times New Roman" w:hAnsi="Times New Roman" w:eastAsia="宋体" w:cs="Times New Roman"/>
          <w:sz w:val="24"/>
        </w:rPr>
        <w:t xml:space="preserve">清单2</w:t>
      </w:r>
      <w:r>
        <w:rPr>
          <w:rFonts w:ascii="Times New Roman" w:hAnsi="Times New Roman" w:eastAsia="宋体" w:cs="Times New Roman"/>
          <w:sz w:val="24"/>
        </w:rPr>
      </w:r>
      <w:r/>
    </w:p>
    <w:tbl>
      <w:tblPr>
        <w:tblW w:w="8625" w:type="dxa"/>
        <w:tblInd w:w="-15" w:type="dxa"/>
        <w:tblLayout w:type="fixed"/>
        <w:tblCellMar>
          <w:left w:w="108" w:type="dxa"/>
          <w:top w:w="0" w:type="dxa"/>
          <w:right w:w="108" w:type="dxa"/>
          <w:bottom w:w="0" w:type="dxa"/>
        </w:tblCellMar>
        <w:tblLook w:val="04A0" w:firstRow="1" w:lastRow="0" w:firstColumn="1" w:lastColumn="0" w:noHBand="0" w:noVBand="1"/>
      </w:tblPr>
      <w:tblGrid>
        <w:gridCol w:w="735"/>
        <w:gridCol w:w="2460"/>
        <w:gridCol w:w="1230"/>
        <w:gridCol w:w="765"/>
        <w:gridCol w:w="2220"/>
        <w:gridCol w:w="1215"/>
      </w:tblGrid>
      <w:tr>
        <w:trPr>
          <w:trHeight w:val="511"/>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75"/>
              <w:jc w:val="center"/>
              <w:widowControl/>
              <w:rPr>
                <w:rFonts w:ascii="Times New Roman" w:hAnsi="Times New Roman" w:eastAsia="宋体" w:cs="Times New Roman"/>
                <w:b/>
                <w:bCs/>
                <w:color w:val="000000"/>
                <w:szCs w:val="21"/>
              </w:rPr>
            </w:pPr>
            <w:r/>
            <w:bookmarkStart w:id="680" w:name="OLE_LINK3"/>
            <w:r/>
            <w:bookmarkStart w:id="681" w:name="OLE_LINK2"/>
            <w:r>
              <w:rPr>
                <w:rFonts w:ascii="Times New Roman" w:hAnsi="Times New Roman" w:eastAsia="宋体" w:cs="Times New Roman"/>
                <w:b/>
                <w:bCs/>
                <w:color w:val="000000"/>
                <w:szCs w:val="21"/>
                <w:lang w:bidi="ar"/>
              </w:rPr>
              <w:t xml:space="preserve">序号</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公厕</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保洁方式</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序号</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公厕</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保洁方式</w:t>
            </w:r>
            <w:r>
              <w:rPr>
                <w:rFonts w:ascii="Times New Roman" w:hAnsi="Times New Roman" w:eastAsia="宋体" w:cs="Times New Roman"/>
                <w:b/>
                <w:bCs/>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50010机电城公厕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50036星海银园公厕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50016黎河路公厕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50008巫山路公厕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50033汇丰三村公厕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50049雅居乐西公厕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50017太湖市场公厕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50037大名城1号公厕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50022世茂香槟公厕1期</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50032龙沧路公厕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50053太湖路华山路</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50070美林湖龙门里公厕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50025滨江明珠城公厕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50056晋陵路怀德名苑公厕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50044嘉禾尚郡公厕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50076天山桥公厕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50011嘉顺公厕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50077万达公厕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50001新惠公厕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50081玲珑社区公厕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50060汉江路建东路公厕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龙虎塘九州花园公厕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50072熙悦府公厕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新桥新桥大街公厕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50027汇丰菜场公厕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金科保利公厕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50006珠江路公厕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50018天山路公厕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50034国宾公厕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50003汉江路公厕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50051云河路区政府停车场</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50050雅居乐东公厕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50071一号天禧公厕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50035蓝港小区花园公厕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50028府翰苑公厕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50073云镜花园</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50005燕山路公厕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50066水岸国际公厕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50026道生中心公厕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50046佳源公厕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50062常澄路程新宾馆旁公厕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50061乐山路常州北站</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50021玉龙湾公厕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50040黄河东路公厕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50067福地聚龙苑</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50064薛家便捷驿站公厕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50004嵩山路公厕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50065滨水花园公厕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50007科四路公厕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50015衡山路公厕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50012太湖中路公厕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50030府西花园公厕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50068礼韵世家15公厕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50048牡丹和府公厕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50042公园人家公厕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50052黄河西路公厕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50029汇丰社区公厕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50014凤凰名城公厕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50054长江路西江路公厕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50057世贸二期二楼公厕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50058长江路金沙江路公厕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50043三河三园公厕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50009黄山路公厕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50047世贸智慧公厕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50002岷江路公厕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50013大诚苑公厕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50055科技园公厕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50045龙湖春江公厕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50063昆仑路公厕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50074智汇公园公厕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50041香树湾公厕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50019龙江路公厕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50069康桥水郡公厕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50023好日子公厕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50059烈士陵园公厕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50075飞龙路吾悦公厕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50038大名城2号公厕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50078常工院北门公厕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50031世贸二期一楼公厕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50079庄只路公厕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50020南博湾公厕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50080新龙湖公厕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50024蓝港公园公厕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50082奔牛星光城</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50039龙城公馆公厕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none" w:color="000000" w:sz="4" w:space="0"/>
              <w:left w:val="none" w:color="000000" w:sz="4" w:space="0"/>
              <w:bottom w:val="none" w:color="000000" w:sz="4" w:space="0"/>
              <w:right w:val="none" w:color="000000" w:sz="4" w:space="0"/>
            </w:tcBorders>
            <w:tcW w:w="765" w:type="dxa"/>
            <w:vAlign w:val="center"/>
            <w:textDirection w:val="lrTb"/>
            <w:noWrap/>
          </w:tcPr>
          <w:p>
            <w:pPr>
              <w:pStyle w:val="775"/>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none" w:color="000000" w:sz="4" w:space="0"/>
              <w:left w:val="none" w:color="000000" w:sz="4" w:space="0"/>
              <w:bottom w:val="none" w:color="000000" w:sz="4" w:space="0"/>
              <w:right w:val="none" w:color="000000" w:sz="4" w:space="0"/>
            </w:tcBorders>
            <w:tcW w:w="2220" w:type="dxa"/>
            <w:vAlign w:val="center"/>
            <w:textDirection w:val="lrTb"/>
            <w:noWrap/>
          </w:tcPr>
          <w:p>
            <w:pPr>
              <w:pStyle w:val="775"/>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none" w:color="000000" w:sz="4" w:space="0"/>
              <w:left w:val="none" w:color="000000" w:sz="4" w:space="0"/>
              <w:bottom w:val="none" w:color="000000" w:sz="4" w:space="0"/>
              <w:right w:val="none" w:color="000000" w:sz="4" w:space="0"/>
            </w:tcBorders>
            <w:tcW w:w="1215" w:type="dxa"/>
            <w:vAlign w:val="center"/>
            <w:textDirection w:val="lrTb"/>
            <w:noWrap/>
          </w:tcPr>
          <w:p>
            <w:pPr>
              <w:pStyle w:val="775"/>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bl>
    <w:p>
      <w:pPr>
        <w:pStyle w:val="775"/>
        <w:contextualSpacing/>
        <w:ind w:firstLine="480"/>
        <w:spacing w:line="360" w:lineRule="auto"/>
        <w:rPr>
          <w:rFonts w:ascii="Times New Roman" w:hAnsi="Times New Roman" w:eastAsia="宋体" w:cs="Times New Roman"/>
          <w:sz w:val="24"/>
        </w:rPr>
      </w:pPr>
      <w:r/>
      <w:bookmarkEnd w:id="680"/>
      <w:r/>
      <w:bookmarkEnd w:id="681"/>
      <w:r>
        <w:rPr>
          <w:rFonts w:ascii="Times New Roman" w:hAnsi="Times New Roman" w:eastAsia="宋体" w:cs="Times New Roman"/>
          <w:sz w:val="24"/>
        </w:rPr>
        <w:t xml:space="preserve">生活垃圾转运站每日开放时间：</w:t>
      </w:r>
      <w:r>
        <w:rPr>
          <w:rFonts w:ascii="Times New Roman" w:hAnsi="Times New Roman" w:eastAsia="宋体" w:cs="Times New Roman"/>
          <w:sz w:val="24"/>
        </w:rPr>
      </w:r>
      <w:r/>
    </w:p>
    <w:tbl>
      <w:tblPr>
        <w:tblW w:w="8657" w:type="dxa"/>
        <w:tblInd w:w="-17" w:type="dxa"/>
        <w:tblLayout w:type="autofit"/>
        <w:tblCellMar>
          <w:left w:w="108" w:type="dxa"/>
          <w:top w:w="0" w:type="dxa"/>
          <w:right w:w="108" w:type="dxa"/>
          <w:bottom w:w="0" w:type="dxa"/>
        </w:tblCellMar>
        <w:tblLook w:val="04A0" w:firstRow="1" w:lastRow="0" w:firstColumn="1" w:lastColumn="0" w:noHBand="0" w:noVBand="1"/>
      </w:tblPr>
      <w:tblGrid>
        <w:gridCol w:w="4515"/>
        <w:gridCol w:w="4142"/>
      </w:tblGrid>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站名</w:t>
            </w:r>
            <w:r>
              <w:rPr>
                <w:rFonts w:ascii="Times New Roman" w:hAnsi="Times New Roman" w:eastAsia="宋体" w:cs="Times New Roman"/>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lang w:bidi="ar"/>
              </w:rPr>
              <w:t xml:space="preserve">开放时间</w:t>
            </w:r>
            <w:r>
              <w:rPr>
                <w:rFonts w:ascii="Times New Roman" w:hAnsi="Times New Roman" w:eastAsia="宋体" w:cs="Times New Roman"/>
                <w:b/>
                <w:bCs/>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浦江、藻江、大名城压缩站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05</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00-21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基地压缩站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00-12</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30-18</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空港压缩站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江边压缩站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30-17</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孟河压缩站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625"/>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汇丰、富都、滨江明珠、绿都万和城、太湖市场、民营中转站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文源路中转站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00-14</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百草园中转站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00-12</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绿洲中转站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142"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00-10</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30-15</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bl>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高温天气开放时间另行通知。</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1.3垃圾清运部分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垃圾清运按照前端收集车站内等候时间不超过30分钟和日产日清标准，供应商做好作业运行管理。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2.作业质量要求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2.1道路人工清扫保洁</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常州市城市环卫作业服务要求》（详见附件19）文件标准，供应商确保道路干净整洁（包括车行道、人行道、绿地、绿化带、花台、树穴根及道路交界处延伸5米的整洁），对沿街垃圾箱、果壳箱进行及时清理、清洁，在规定时间内完成作业任务且保洁率达到100%，须同步进行垃圾包收集与道路清扫保洁作业；对于道路及绿化带内生活垃圾和建筑垃圾，供应商需及时安排人员进行清理，相关清运费用不再另行支付。</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人员交接班要求：作业人员必须坚守岗位，如接班人员未能及时到岗，交接人员不得下班，须保证环卫工作正常进行。同时，未穿标志服不交不接；未完成本班工作不交不接；未准备好下一班工作不交不接；未备齐作业工具不交不接。</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供应商必须按照快速化作业要求逐步配备电动清扫保洁一体作业车辆。鼓励在宽敞道路、快速通道、广场等使用电动机械进行快速化保洁。</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2.2道路机械化作业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按区环管中心相关要求，组织好道路的机械化冲洗、洒水、高压清洗和道板冲洗作业，按市级机械化作业质量标准完成作业并确保作业质量。具体要求如下：</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机械化冲洗，一级道路每日1次，二级道路每日1次，三级道路每日1次。 </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机械化洗扫，一级道路每日2次，二级道路每日2次，三级道路每日1次。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b/>
          <w:bCs/>
          <w:sz w:val="24"/>
        </w:rPr>
      </w:pPr>
      <w:r>
        <w:rPr>
          <w:rFonts w:ascii="Times New Roman" w:hAnsi="Times New Roman" w:eastAsia="宋体" w:cs="Times New Roman"/>
          <w:sz w:val="24"/>
        </w:rPr>
        <w:t xml:space="preserve">机械化洒水，一级道路为每日3次，二级道路为每日2次。三级道路每日2次。</w:t>
      </w:r>
      <w:r>
        <w:rPr>
          <w:rFonts w:ascii="Times New Roman" w:hAnsi="Times New Roman" w:eastAsia="宋体" w:cs="Times New Roman"/>
          <w:b/>
          <w:bCs/>
          <w:sz w:val="24"/>
        </w:rPr>
      </w:r>
      <w:r/>
    </w:p>
    <w:p>
      <w:pPr>
        <w:pStyle w:val="775"/>
        <w:contextualSpacing/>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机械化高压清洗，所有等级道路快车道和慢车道每日各清洗1遍。</w:t>
      </w:r>
      <w:r>
        <w:rPr>
          <w:rFonts w:ascii="Times New Roman" w:hAnsi="Times New Roman" w:eastAsia="宋体" w:cs="Times New Roman"/>
          <w:sz w:val="24"/>
          <w:highlight w:val="none"/>
        </w:rPr>
      </w:r>
      <w:r/>
    </w:p>
    <w:p>
      <w:pPr>
        <w:pStyle w:val="775"/>
        <w:contextualSpacing/>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作业区域配备不少于29辆18T洒水车、3辆18T新能源洒水车、6辆雾炮车（射程120米）、7辆雾炮车（射程80米）、20辆10T洗扫车、6辆18T洗扫车、2辆4.5T新能源洗扫车、6辆新能源护栏洗扫车、1辆新能源智能自动驾驶扫路车、1辆轻型自卸货车（应急防冻运输）、8辆新能源道板车、21辆三轮清运车、31辆道板冲洗车和87辆三轮保洁车。</w:t>
      </w:r>
      <w:r>
        <w:rPr>
          <w:rFonts w:ascii="Times New Roman" w:hAnsi="Times New Roman" w:eastAsia="宋体" w:cs="Times New Roman"/>
          <w:sz w:val="24"/>
          <w:highlight w:val="none"/>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2.3路面环卫设施垃圾清运、清理工作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路面果壳箱内的生活垃圾应及时清运；每日7：30之前完成果壳箱清理，并对表面进行清洁，确保垃圾不满溢。果壳箱每日须擦洗2遍；垃圾桶、果壳箱周围确保整洁。</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2.4环卫设施运行</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前端生活垃圾收集进站通行证的倾倒站点和倾倒车数做好生活垃圾倾倒服务工作，严禁危废、工业垃圾、建筑垃圾和装修垃圾进入站内。如发生上述情况应及时上报区环管中心处置。做好生活垃圾倾倒车数的台账统计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按规定时间开放、关闭环卫设施，如遇检修时间一天及以上的须报区环管中心批准；短时检修需关闭站点，须报备区环管中心。</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做好转运站管理用房日常管理工作，不得对外出租。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按照规程操作作业设备，按照流程进行作业设备的保养和小额维修，做好台账记录工作。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转运站、公厕设施齐全、完好，排水通畅，保洁及时，内部整洁，无散落垃圾和堆放杂物，无明显臭味，设施周边5米范围内无垃圾杂物。在蝇蚊孳生季节应定时消杀，蝇蚊数量不得超过相关规定。每周对所有环卫设施的外墙进行冲洗、每日对内部门窗、吊顶进行擦洗。</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转运站、公厕、工人休息点等环卫设施要做好用水用电管理，不得私拉乱接，严禁水电外用，车辆不得进入室内进行充电。年度用水用电量要符合区环管中心规定的用水用电核定表（详见附件25），超出核定表范围的水电费用由供应商自行承担，并进行年度考核扣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做好生活垃圾转运箱的维护及修理工作，达到城市长效管理的要求。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做好生活垃圾收集站和转运站环保设施的日常运行和维保工作，当日最低温度高于5摄氏度必须开启站点配套环保设备。日常环保设备维护必须由有资质企业实施，并按规定期限及时对相关环保设备进行维护保养（供应商委托的维保单位必须到区环管中心进行备案）。对于采购的环保耗材，供应商必须采购符合区环管中心要求的合格产品，严禁假冒伪劣或指标不合格产品用于环保设备的日常运行中（供应商采购的环保耗材单位必须到区环管中心备案）。</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2.5垃圾清运工作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因环保工作要求，采购人已按照2.7元/吨（清运至终端垃圾量）清运费用补充供应商用于垃圾转运箱更新（2元/吨）和维修（0.7元/吨），供应商应在运输中保持车容车貌，杜绝跑冒滴漏现象。供应商应在孟河站、龙虎塘站进料口安装遮挡设备，做好设备整洁，并防止污水大规模滴漏现象发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（2）供应商应保证作业的收集站和转运站能及时让前端生活垃圾收运车辆倾倒生活垃圾，不得出现因垃圾转运箱（无箱或满箱调度不合理等）问题造成前端生活垃圾收运车辆排队现象。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（3）供应商应充分考虑生活垃圾收运关系到社会民生问题，对于因生活垃圾收运造成市民投诉或相关部门反映的，经查证属实的，将依据《常州市新北区环境卫生作业考评细则》（详见附件21）进行扣款。</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（4）供应商严禁收运餐厨垃圾进入生活垃圾收集站或转运站。</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（5）供应商严禁私自外接污水清运事项。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2.6大气抑尘工作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（1）重污染天气高空湿法降尘作业车辆保障服务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供应商至少具备同时调度和使用13辆高空湿法降尘作业车，高空湿法降尘作业车须供应商自有，具备完全调度能力其中6辆多功能抑尘车的扬程</w:t>
      </w:r>
      <w:r>
        <w:rPr>
          <w:rFonts w:ascii="Times New Roman" w:hAnsi="Times New Roman" w:eastAsia="宋体" w:cs="Times New Roman"/>
          <w:color w:val="000000"/>
          <w:sz w:val="24"/>
          <w:highlight w:val="none"/>
        </w:rPr>
        <w:t xml:space="preserve">不低于120米，7辆扬程不低于80米。</w:t>
      </w:r>
      <w:r>
        <w:rPr>
          <w:rFonts w:ascii="Times New Roman" w:hAnsi="Times New Roman" w:eastAsia="宋体" w:cs="Times New Roman"/>
          <w:color w:val="000000"/>
          <w:sz w:val="24"/>
          <w:highlight w:val="none"/>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供应商至少具备同时调度和使用6辆洒水车。</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供应商须自行对车辆进行保险保养维修，确保车辆保持良好状态，具有随时出车的能力。</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highlight w:val="yellow"/>
        </w:rPr>
      </w:pPr>
      <w:r>
        <w:rPr>
          <w:rFonts w:ascii="Times New Roman" w:hAnsi="Times New Roman" w:eastAsia="宋体" w:cs="Times New Roman"/>
          <w:sz w:val="24"/>
        </w:rPr>
        <w:t xml:space="preserve">供应商须有固定的停车场所，停车地点距离新北区城区范围内半小时可达。</w:t>
      </w:r>
      <w:r>
        <w:rPr>
          <w:rFonts w:ascii="Times New Roman" w:hAnsi="Times New Roman" w:eastAsia="宋体" w:cs="Times New Roman"/>
          <w:sz w:val="24"/>
          <w:highlight w:val="yellow"/>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供应商须配有专业多功能抑尘车驾驶员，具备B照以上驾照，能够同时调动的驾驶员数量不低于10人，且接受过相关培训，可以独立操作。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供应商需要确保车辆燃油充足、车况良好和司机到位，具备随时出车能力。</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供应商具备完备的多功能抑尘车值班制度，能确保新北区主城区(除罗溪、西夏墅、孟河和奔牛外)，1小时内可到达现场进行作业，非主城区2小时达到现场。</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供应商需严格遵守作业规程，雾炮车严禁在禁止喷雾区间进行喷雾作业。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（2）重污染天气高空湿法降尘作业服务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供应商制定专项作业车的作业规范，作业规程须得到区生态环境局的认可。</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供应商的作业路线不得对自动空气站的运行造成影响，供应商自行解决专项作业车辆的所需的资源和条件，供应商自行协调专项车辆作业中可能遇到的各种问题。</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根据空气质量预警预报进行大气应急作业。达到轻度良，湿度不大于75%的条件下执行启动作业程序，1小时内可到达现场进行作业。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接到环保部门的临时通知，需要1小时内到达现场进行作业。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在接报重污染天气预警后，供应商安排人员24小时值班具备随时出车条件。</w:t>
      </w:r>
      <w:r>
        <w:rPr>
          <w:rFonts w:ascii="Times New Roman" w:hAnsi="Times New Roman" w:eastAsia="宋体" w:cs="Times New Roman"/>
          <w:sz w:val="24"/>
        </w:rPr>
      </w:r>
      <w:r/>
    </w:p>
    <w:p>
      <w:pPr>
        <w:pStyle w:val="775"/>
        <w:contextualSpacing/>
        <w:ind w:firstLine="482"/>
        <w:spacing w:line="360" w:lineRule="auto"/>
        <w:rPr>
          <w:rFonts w:ascii="Times New Roman" w:hAnsi="Times New Roman" w:eastAsia="宋体" w:cs="Times New Roman"/>
          <w:b/>
          <w:bCs/>
          <w:sz w:val="24"/>
        </w:rPr>
        <w:outlineLvl w:val="2"/>
      </w:pPr>
      <w:r>
        <w:rPr>
          <w:rFonts w:ascii="Times New Roman" w:hAnsi="Times New Roman" w:eastAsia="宋体" w:cs="Times New Roman"/>
          <w:b/>
          <w:bCs/>
          <w:sz w:val="24"/>
        </w:rPr>
        <w:t xml:space="preserve">（二）市政及绿化养护服务标准</w:t>
      </w:r>
      <w:r>
        <w:rPr>
          <w:rFonts w:ascii="Times New Roman" w:hAnsi="Times New Roman" w:eastAsia="宋体" w:cs="Times New Roman"/>
          <w:b/>
          <w:bCs/>
          <w:sz w:val="24"/>
        </w:rPr>
      </w:r>
      <w:r/>
    </w:p>
    <w:p>
      <w:pPr>
        <w:pStyle w:val="775"/>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严格按照《常新住建【2026】42号新北区绿地养护分类分级管理实施细则》、《新北区市政绿化管理所绿化、市政设施管护考核办法（2026）》、《关于进一步规范新北区道路临时施工项</w:t>
      </w:r>
      <w:r>
        <w:rPr>
          <w:rFonts w:ascii="Times New Roman" w:hAnsi="Times New Roman" w:eastAsia="宋体" w:cs="Times New Roman"/>
          <w:color w:val="000000"/>
          <w:sz w:val="24"/>
          <w:highlight w:val="none"/>
        </w:rPr>
        <w:t xml:space="preserve">目安全文明施工管理的通知》、《新北区市政绿化管理所绿化养护技术规程（2026）》、《新北区市政绿化管理所道路养护管理规程（2026）》、《新北区市政绿化管理所排水管、涵管理规程（2026）》、《新北区市政绿化管理所月季管养技术规程（2026）》、《新北区市政绿化管理所苗圃管理制度（2026）》《常新住建【2026】43号关于加强新北区城市公园管理的实施意见》等文件（详见附件：8-16）的要求，做好城市公用设施集中管护工作，如有最新文件，则按照最新文件要求执行。(行道树的管理养护等参照常州市相关最新文件执行)</w:t>
      </w:r>
      <w:r>
        <w:rPr>
          <w:rFonts w:ascii="Times New Roman" w:hAnsi="Times New Roman" w:eastAsia="宋体" w:cs="Times New Roman"/>
          <w:color w:val="000000"/>
          <w:sz w:val="24"/>
          <w:highlight w:val="none"/>
        </w:rPr>
      </w:r>
      <w:r/>
    </w:p>
    <w:p>
      <w:pPr>
        <w:pStyle w:val="892"/>
        <w:contextualSpacing/>
        <w:ind w:firstLine="482"/>
        <w:spacing w:line="360" w:lineRule="auto"/>
        <w:rPr>
          <w:rFonts w:ascii="Times New Roman" w:hAnsi="Times New Roman" w:eastAsia="宋体" w:cs="Times New Roman"/>
          <w:b/>
          <w:sz w:val="24"/>
          <w:szCs w:val="24"/>
        </w:rPr>
        <w:outlineLvl w:val="1"/>
      </w:pPr>
      <w:r/>
      <w:bookmarkEnd w:id="679"/>
      <w:r>
        <w:rPr>
          <w:rFonts w:ascii="Times New Roman" w:hAnsi="Times New Roman" w:eastAsia="宋体" w:cs="Times New Roman"/>
          <w:b/>
          <w:sz w:val="24"/>
          <w:szCs w:val="24"/>
        </w:rPr>
        <w:t xml:space="preserve">六、付款方式</w:t>
      </w:r>
      <w:r>
        <w:rPr>
          <w:rFonts w:ascii="Times New Roman" w:hAnsi="Times New Roman" w:eastAsia="宋体" w:cs="Times New Roman"/>
          <w:b/>
          <w:sz w:val="24"/>
          <w:szCs w:val="24"/>
        </w:rPr>
      </w:r>
      <w:r/>
    </w:p>
    <w:p>
      <w:pPr>
        <w:pStyle w:val="982"/>
        <w:ind w:firstLine="480"/>
        <w:spacing w:line="360" w:lineRule="auto"/>
        <w:shd w:val="clear" w:color="auto" w:fill="auto"/>
        <w:tabs>
          <w:tab w:val="left" w:pos="1087" w:leader="none"/>
        </w:tabs>
        <w:rPr>
          <w:rFonts w:ascii="Times New Roman" w:hAnsi="Times New Roman" w:eastAsia="宋体" w:cs="Times New Roman"/>
          <w:sz w:val="24"/>
          <w:szCs w:val="24"/>
          <w:lang w:val="en-US" w:bidi="ar-SA"/>
        </w:rPr>
      </w:pPr>
      <w:r>
        <w:rPr>
          <w:rFonts w:ascii="Times New Roman" w:hAnsi="Times New Roman" w:eastAsia="宋体" w:cs="Times New Roman"/>
          <w:sz w:val="24"/>
          <w:szCs w:val="24"/>
          <w:lang w:val="en-US" w:bidi="ar-SA"/>
        </w:rPr>
        <w:t xml:space="preserve">详见《常州市新北区环卫、市政及绿化养护服务合同》中：</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bidi="ar-SA"/>
        </w:rPr>
        <w:t xml:space="preserve">第三条 常州新北区环卫服务（六）经费结算办法</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bidi="ar-SA"/>
        </w:rPr>
        <w:t xml:space="preserve">以及</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bidi="ar-SA"/>
        </w:rPr>
        <w:t xml:space="preserve">第四条 市政及绿化养护服务（</w:t>
      </w:r>
      <w:r>
        <w:rPr>
          <w:rFonts w:ascii="Times New Roman" w:hAnsi="Times New Roman" w:eastAsia="宋体" w:cs="Times New Roman"/>
          <w:sz w:val="24"/>
          <w:szCs w:val="24"/>
          <w:lang w:val="en-US" w:eastAsia="zh-CN" w:bidi="ar-SA"/>
        </w:rPr>
        <w:t xml:space="preserve">五</w:t>
      </w:r>
      <w:r>
        <w:rPr>
          <w:rFonts w:ascii="Times New Roman" w:hAnsi="Times New Roman" w:eastAsia="宋体" w:cs="Times New Roman"/>
          <w:sz w:val="24"/>
          <w:szCs w:val="24"/>
          <w:lang w:val="en-US" w:bidi="ar-SA"/>
        </w:rPr>
        <w:t xml:space="preserve">）费用支付方式</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bidi="ar-SA"/>
        </w:rPr>
        <w:t xml:space="preserve">。</w:t>
      </w:r>
      <w:r>
        <w:rPr>
          <w:rFonts w:ascii="Times New Roman" w:hAnsi="Times New Roman" w:eastAsia="宋体" w:cs="Times New Roman"/>
          <w:sz w:val="24"/>
          <w:szCs w:val="24"/>
          <w:lang w:val="en-US" w:bidi="ar-SA"/>
        </w:rPr>
      </w:r>
      <w:r/>
    </w:p>
    <w:p>
      <w:pPr>
        <w:pStyle w:val="775"/>
        <w:contextualSpacing/>
        <w:ind w:firstLine="480"/>
        <w:spacing w:line="360" w:lineRule="auto"/>
        <w:rPr>
          <w:rFonts w:ascii="Times New Roman" w:hAnsi="Times New Roman" w:eastAsia="宋体" w:cs="Times New Roman"/>
          <w:sz w:val="24"/>
          <w:highlight w:val="yellow"/>
        </w:rPr>
      </w:pPr>
      <w:r>
        <w:rPr>
          <w:rFonts w:ascii="Times New Roman" w:hAnsi="Times New Roman" w:eastAsia="宋体" w:cs="Times New Roman"/>
          <w:sz w:val="24"/>
          <w:highlight w:val="yellow"/>
        </w:rPr>
      </w:r>
      <w:r/>
    </w:p>
    <w:p>
      <w:pPr>
        <w:pStyle w:val="807"/>
        <w:tabs>
          <w:tab w:val="left" w:pos="567" w:leader="none"/>
        </w:tabs>
        <w:rPr>
          <w:rFonts w:ascii="Times New Roman" w:hAnsi="Times New Roman" w:eastAsia="宋体" w:cs="Times New Roman"/>
          <w:highlight w:val="yellow"/>
        </w:rPr>
        <w:sectPr>
          <w:footerReference w:type="default" r:id="rId13"/>
          <w:footnotePr/>
          <w:endnotePr/>
          <w:type w:val="nextPage"/>
          <w:pgSz w:w="11900" w:h="16840" w:orient="portrait"/>
          <w:pgMar w:top="1440" w:right="1803" w:bottom="1440" w:left="1803" w:header="850" w:footer="850" w:gutter="0"/>
          <w:cols w:num="1" w:sep="0" w:space="1701" w:equalWidth="1"/>
          <w:docGrid w:linePitch="360"/>
        </w:sectPr>
      </w:pPr>
      <w:r>
        <w:rPr>
          <w:rFonts w:ascii="Times New Roman" w:hAnsi="Times New Roman" w:eastAsia="宋体" w:cs="Times New Roman"/>
          <w:highlight w:val="yellow"/>
        </w:rPr>
      </w:r>
      <w:r/>
    </w:p>
    <w:p>
      <w:pPr>
        <w:pStyle w:val="775"/>
        <w:jc w:val="center"/>
        <w:widowControl/>
        <w:rPr>
          <w:rFonts w:ascii="Times New Roman" w:hAnsi="Times New Roman" w:eastAsia="宋体" w:cs="Times New Roman"/>
          <w:b/>
          <w:sz w:val="36"/>
          <w:szCs w:val="36"/>
        </w:rPr>
        <w:outlineLvl w:val="0"/>
      </w:pPr>
      <w:r/>
      <w:bookmarkStart w:id="682" w:name="_Toc24358"/>
      <w:r/>
      <w:bookmarkStart w:id="683" w:name="_Toc8764"/>
      <w:r/>
      <w:bookmarkStart w:id="684" w:name="_Toc26152"/>
      <w:r/>
      <w:bookmarkStart w:id="685" w:name="_Toc26973"/>
      <w:r/>
      <w:bookmarkStart w:id="686" w:name="_Toc13155"/>
      <w:r/>
      <w:bookmarkStart w:id="687" w:name="_Toc15431"/>
      <w:r/>
      <w:bookmarkStart w:id="688" w:name="_Toc99301283"/>
      <w:r>
        <w:rPr>
          <w:rFonts w:ascii="Times New Roman" w:hAnsi="Times New Roman" w:eastAsia="宋体" w:cs="Times New Roman"/>
          <w:b/>
          <w:sz w:val="36"/>
          <w:szCs w:val="36"/>
        </w:rPr>
        <w:t xml:space="preserve">第五章   合同草案条款</w:t>
      </w:r>
      <w:bookmarkEnd w:id="682"/>
      <w:r/>
      <w:bookmarkEnd w:id="683"/>
      <w:r/>
      <w:bookmarkEnd w:id="684"/>
      <w:r/>
      <w:bookmarkEnd w:id="685"/>
      <w:r/>
      <w:bookmarkEnd w:id="686"/>
      <w:r/>
      <w:bookmarkEnd w:id="687"/>
      <w:r/>
      <w:bookmarkEnd w:id="688"/>
      <w:r>
        <w:rPr>
          <w:rFonts w:ascii="Times New Roman" w:hAnsi="Times New Roman" w:eastAsia="宋体" w:cs="Times New Roman"/>
          <w:b/>
          <w:sz w:val="36"/>
          <w:szCs w:val="36"/>
        </w:rPr>
      </w:r>
      <w:r/>
    </w:p>
    <w:p>
      <w:pPr>
        <w:pStyle w:val="775"/>
        <w:spacing w:line="360" w:lineRule="auto"/>
        <w:tabs>
          <w:tab w:val="left" w:pos="900" w:leader="none"/>
          <w:tab w:val="left" w:pos="1080" w:leader="none"/>
        </w:tabs>
        <w:rPr>
          <w:rFonts w:ascii="Times New Roman" w:hAnsi="Times New Roman" w:eastAsia="宋体" w:cs="Times New Roman"/>
          <w:sz w:val="18"/>
          <w:szCs w:val="18"/>
          <w:highlight w:val="yellow"/>
        </w:rPr>
      </w:pPr>
      <w:r>
        <w:rPr>
          <w:rFonts w:ascii="Times New Roman" w:hAnsi="Times New Roman" w:eastAsia="宋体" w:cs="Times New Roman"/>
          <w:sz w:val="18"/>
          <w:szCs w:val="18"/>
          <w:highlight w:val="yellow"/>
        </w:rPr>
      </w:r>
      <w:r/>
    </w:p>
    <w:p>
      <w:pPr>
        <w:pStyle w:val="807"/>
        <w:jc w:val="center"/>
        <w:keepLines w:val="0"/>
        <w:keepNext w:val="0"/>
        <w:pageBreakBefore w:val="0"/>
        <w:spacing w:line="360" w:lineRule="auto"/>
        <w:widowControl/>
        <w:tabs>
          <w:tab w:val="left" w:pos="567" w:leader="none"/>
        </w:tabs>
        <w:rPr>
          <w:rFonts w:ascii="Times New Roman" w:hAnsi="Times New Roman" w:eastAsia="宋体" w:cs="Times New Roman"/>
          <w:b/>
          <w:bCs/>
          <w:sz w:val="44"/>
          <w:szCs w:val="44"/>
        </w:rPr>
        <w:outlineLvl w:val="9"/>
      </w:pPr>
      <w:r/>
      <w:bookmarkStart w:id="689" w:name="OLE_LINK7"/>
      <w:r/>
      <w:bookmarkStart w:id="690" w:name="OLE_LINK8"/>
      <w:r>
        <w:rPr>
          <w:rFonts w:ascii="Times New Roman" w:hAnsi="Times New Roman" w:eastAsia="宋体" w:cs="Times New Roman"/>
          <w:b/>
          <w:bCs/>
          <w:sz w:val="44"/>
          <w:szCs w:val="44"/>
        </w:rPr>
        <w:t xml:space="preserve">常州市新北区环卫、市政及绿化养护服务合同</w:t>
      </w:r>
      <w:r>
        <w:rPr>
          <w:rFonts w:ascii="Times New Roman" w:hAnsi="Times New Roman" w:eastAsia="宋体" w:cs="Times New Roman"/>
          <w:b/>
          <w:bCs/>
          <w:sz w:val="44"/>
          <w:szCs w:val="44"/>
        </w:rPr>
      </w:r>
      <w:r/>
    </w:p>
    <w:p>
      <w:pPr>
        <w:pStyle w:val="982"/>
        <w:ind w:firstLine="482"/>
        <w:spacing w:line="360" w:lineRule="auto"/>
        <w:shd w:val="clear" w:color="auto" w:fill="auto"/>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pStyle w:val="982"/>
        <w:ind w:firstLine="482"/>
        <w:spacing w:line="360" w:lineRule="auto"/>
        <w:shd w:val="clear" w:color="auto" w:fill="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第一条</w:t>
      </w:r>
      <w:r>
        <w:rPr>
          <w:rFonts w:ascii="Times New Roman" w:hAnsi="Times New Roman" w:eastAsia="宋体" w:cs="Times New Roman"/>
          <w:b/>
          <w:bCs/>
          <w:sz w:val="24"/>
          <w:szCs w:val="24"/>
          <w:lang w:val="en-US"/>
        </w:rPr>
        <w:t xml:space="preserve"> </w:t>
      </w:r>
      <w:r>
        <w:rPr>
          <w:rFonts w:ascii="Times New Roman" w:hAnsi="Times New Roman" w:eastAsia="宋体" w:cs="Times New Roman"/>
          <w:b/>
          <w:bCs/>
          <w:sz w:val="24"/>
          <w:szCs w:val="24"/>
        </w:rPr>
        <w:t xml:space="preserve">项目概况</w:t>
      </w:r>
      <w:r>
        <w:rPr>
          <w:rFonts w:ascii="Times New Roman" w:hAnsi="Times New Roman" w:eastAsia="宋体" w:cs="Times New Roman"/>
          <w:b/>
          <w:bCs/>
          <w:sz w:val="24"/>
          <w:szCs w:val="24"/>
        </w:rPr>
      </w:r>
      <w:r/>
    </w:p>
    <w:p>
      <w:pPr>
        <w:pStyle w:val="807"/>
        <w:ind w:firstLine="480"/>
        <w:keepLines w:val="0"/>
        <w:keepNext w:val="0"/>
        <w:pageBreakBefore w:val="0"/>
        <w:spacing w:line="360" w:lineRule="auto"/>
        <w:widowControl/>
        <w:tabs>
          <w:tab w:val="left" w:pos="567" w:leader="none"/>
        </w:tabs>
        <w:rPr>
          <w:rFonts w:ascii="Times New Roman" w:hAnsi="Times New Roman" w:eastAsia="宋体" w:cs="Times New Roman"/>
          <w:bCs/>
          <w:color w:val="000000"/>
        </w:rPr>
        <w:outlineLvl w:val="9"/>
      </w:pPr>
      <w:r>
        <w:rPr>
          <w:rFonts w:ascii="Times New Roman" w:hAnsi="Times New Roman" w:eastAsia="宋体" w:cs="Times New Roman"/>
          <w:bCs/>
          <w:color w:val="000000"/>
        </w:rPr>
        <w:t xml:space="preserve">（一）项目名称：</w:t>
      </w:r>
      <w:r>
        <w:rPr>
          <w:rFonts w:ascii="Times New Roman" w:hAnsi="Times New Roman" w:eastAsia="宋体" w:cs="Times New Roman"/>
          <w:bCs/>
          <w:color w:val="000000"/>
          <w:lang w:val="zh-CN"/>
        </w:rPr>
        <w:t xml:space="preserve">常州市新北区环卫、市政及绿化养护服务</w:t>
      </w:r>
      <w:r>
        <w:rPr>
          <w:rFonts w:ascii="Times New Roman" w:hAnsi="Times New Roman" w:eastAsia="宋体" w:cs="Times New Roman"/>
          <w:bCs/>
          <w:color w:val="000000"/>
        </w:rPr>
      </w:r>
      <w:r/>
    </w:p>
    <w:p>
      <w:pPr>
        <w:pStyle w:val="982"/>
        <w:ind w:firstLine="480"/>
        <w:spacing w:line="360" w:lineRule="auto"/>
        <w:shd w:val="clear" w:color="auto" w:fill="auto"/>
        <w:tabs>
          <w:tab w:val="left" w:pos="1007" w:leader="none"/>
        </w:tabs>
        <w:rPr>
          <w:rFonts w:ascii="Times New Roman" w:hAnsi="Times New Roman" w:eastAsia="宋体" w:cs="Times New Roman"/>
          <w:bCs/>
          <w:color w:val="000000"/>
          <w:sz w:val="24"/>
          <w:szCs w:val="24"/>
          <w:lang w:val="en-US" w:bidi="ar-SA"/>
        </w:rPr>
      </w:pPr>
      <w:r>
        <w:rPr>
          <w:rFonts w:ascii="Times New Roman" w:hAnsi="Times New Roman" w:eastAsia="宋体" w:cs="Times New Roman"/>
          <w:bCs/>
          <w:color w:val="000000"/>
          <w:sz w:val="24"/>
          <w:szCs w:val="24"/>
          <w:lang w:val="en-US" w:bidi="ar-SA"/>
        </w:rPr>
        <w:t xml:space="preserve">（二）项目地点：常州市新北区</w:t>
      </w:r>
      <w:r>
        <w:rPr>
          <w:rFonts w:ascii="Times New Roman" w:hAnsi="Times New Roman" w:eastAsia="宋体" w:cs="Times New Roman"/>
          <w:bCs/>
          <w:color w:val="000000"/>
          <w:sz w:val="24"/>
          <w:szCs w:val="24"/>
          <w:lang w:val="en-US" w:bidi="ar-SA"/>
        </w:rPr>
      </w:r>
      <w:r/>
    </w:p>
    <w:p>
      <w:pPr>
        <w:pStyle w:val="775"/>
        <w:contextualSpacing/>
        <w:ind w:firstLine="480"/>
        <w:spacing w:line="360" w:lineRule="auto"/>
        <w:rPr>
          <w:rFonts w:ascii="Times New Roman" w:hAnsi="Times New Roman" w:eastAsia="宋体" w:cs="Times New Roman"/>
          <w:bCs/>
          <w:color w:val="000000"/>
          <w:sz w:val="24"/>
        </w:rPr>
      </w:pPr>
      <w:r>
        <w:rPr>
          <w:rFonts w:ascii="Times New Roman" w:hAnsi="Times New Roman" w:eastAsia="宋体" w:cs="Times New Roman"/>
          <w:bCs/>
          <w:color w:val="000000"/>
          <w:sz w:val="24"/>
        </w:rPr>
        <w:t xml:space="preserve">（三）项目内容：</w:t>
      </w:r>
      <w:r>
        <w:rPr>
          <w:rFonts w:ascii="Times New Roman" w:hAnsi="Times New Roman" w:eastAsia="宋体" w:cs="Times New Roman"/>
          <w:bCs/>
          <w:color w:val="000000"/>
          <w:sz w:val="24"/>
        </w:rPr>
      </w:r>
      <w:r/>
    </w:p>
    <w:p>
      <w:pPr>
        <w:pStyle w:val="775"/>
        <w:contextualSpacing/>
        <w:ind w:firstLine="480"/>
        <w:spacing w:line="360" w:lineRule="auto"/>
        <w:rPr>
          <w:rFonts w:ascii="Times New Roman" w:hAnsi="Times New Roman" w:eastAsia="宋体" w:cs="Times New Roman"/>
          <w:bCs/>
          <w:color w:val="ff0000"/>
          <w:sz w:val="24"/>
        </w:rPr>
      </w:pPr>
      <w:r>
        <w:rPr>
          <w:rFonts w:ascii="Times New Roman" w:hAnsi="Times New Roman" w:eastAsia="宋体" w:cs="Times New Roman"/>
          <w:bCs/>
          <w:sz w:val="24"/>
        </w:rPr>
        <w:t xml:space="preserve">新北区内环卫、市政及绿化等日常养护</w:t>
      </w:r>
      <w:r>
        <w:rPr>
          <w:rFonts w:ascii="Times New Roman" w:hAnsi="Times New Roman" w:eastAsia="宋体" w:cs="Times New Roman"/>
          <w:bCs/>
          <w:color w:val="000000"/>
          <w:sz w:val="24"/>
        </w:rPr>
        <w:t xml:space="preserve">（服务内容涵盖：道路道板和绿化带清扫保洁、环卫日常作业、大气应急业务、公共厕所管理、垃圾转运站日常管理、垃圾转运服务；道路养护、公园养护、绿化养护、雨水管网及泵站养护等方面）</w:t>
      </w:r>
      <w:r>
        <w:rPr>
          <w:rFonts w:ascii="Times New Roman" w:hAnsi="Times New Roman" w:eastAsia="宋体" w:cs="Times New Roman"/>
          <w:bCs/>
          <w:color w:val="ff0000"/>
          <w:sz w:val="24"/>
        </w:rPr>
        <w:t xml:space="preserve">。 </w:t>
      </w:r>
      <w:r>
        <w:rPr>
          <w:rFonts w:ascii="Times New Roman" w:hAnsi="Times New Roman" w:eastAsia="宋体" w:cs="Times New Roman"/>
          <w:bCs/>
          <w:color w:val="ff0000"/>
          <w:sz w:val="24"/>
        </w:rPr>
      </w:r>
      <w:r/>
    </w:p>
    <w:p>
      <w:pPr>
        <w:pStyle w:val="775"/>
        <w:contextualSpacing/>
        <w:ind w:firstLine="420"/>
        <w:spacing w:line="360" w:lineRule="auto"/>
        <w:rPr>
          <w:rFonts w:ascii="Times New Roman" w:hAnsi="Times New Roman" w:eastAsia="宋体" w:cs="Times New Roman"/>
          <w:bCs/>
          <w:sz w:val="24"/>
        </w:rPr>
      </w:pPr>
      <w:r>
        <w:rPr>
          <w:rFonts w:ascii="Times New Roman" w:hAnsi="Times New Roman" w:eastAsia="宋体" w:cs="Times New Roman"/>
        </w:rPr>
        <w:t xml:space="preserve">（四）</w:t>
      </w:r>
      <w:r>
        <w:rPr>
          <w:rFonts w:ascii="Times New Roman" w:hAnsi="Times New Roman" w:eastAsia="宋体" w:cs="Times New Roman"/>
          <w:bCs/>
          <w:sz w:val="24"/>
        </w:rPr>
        <w:t xml:space="preserve">服务范围</w:t>
      </w:r>
      <w:r>
        <w:rPr>
          <w:rFonts w:ascii="Times New Roman" w:hAnsi="Times New Roman" w:eastAsia="宋体" w:cs="Times New Roman"/>
          <w:bCs/>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lang w:val="zh-CN" w:bidi="zh-CN"/>
        </w:rPr>
        <w:t xml:space="preserve">常州新北区环卫</w:t>
      </w:r>
      <w:r>
        <w:rPr>
          <w:rFonts w:ascii="Times New Roman" w:hAnsi="Times New Roman" w:eastAsia="宋体" w:cs="Times New Roman"/>
          <w:sz w:val="24"/>
          <w:lang w:bidi="zh-CN"/>
        </w:rPr>
        <w:t xml:space="preserve">服务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环卫道路作业范围涉及新北区10个乡镇街道：乡镇街道道路约304条，道路面积约863.3285万平方米、道板面积约145.897万平方米、绿化带约850.9027万平方米；核心区道路约130条，道路面积约165.8361万平方米，道板面积约95.7182万平方米，绿化带面积约142.0244万平方米。（详见附件：17、18）</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2、市政及绿化养护服务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绿化、市政设施养护服务范围涉及新北区10个乡镇街道：其中市政设施养护区管道路约189条，长度约368.031公里，道路面积约866.04万平方米，桥梁约179座。绿化养护区管道路（含苗圃和闲置地块）约1240.57万平方米；区管公园约9座，面积约106.5万平方米。区属雨水管道养护约567.717公里。3个下穿雨水泵站和1个中水泵站。（详见附件：1-7，具体服务范围以实际管养为准）</w:t>
      </w:r>
      <w:r>
        <w:rPr>
          <w:rFonts w:ascii="Times New Roman" w:hAnsi="Times New Roman" w:eastAsia="宋体" w:cs="Times New Roman"/>
          <w:color w:val="000000"/>
          <w:sz w:val="24"/>
        </w:rPr>
      </w:r>
      <w:r/>
    </w:p>
    <w:p>
      <w:pPr>
        <w:pStyle w:val="982"/>
        <w:ind w:firstLine="482"/>
        <w:spacing w:line="360" w:lineRule="auto"/>
        <w:shd w:val="clear" w:color="auto" w:fill="auto"/>
        <w:tabs>
          <w:tab w:val="left" w:pos="1021" w:leader="none"/>
        </w:tabs>
        <w:rPr>
          <w:rFonts w:ascii="Times New Roman" w:hAnsi="Times New Roman" w:eastAsia="宋体" w:cs="Times New Roman"/>
          <w:b/>
          <w:bCs/>
          <w:sz w:val="24"/>
          <w:szCs w:val="24"/>
          <w:lang w:val="en-US"/>
        </w:rPr>
      </w:pPr>
      <w:r>
        <w:rPr>
          <w:rFonts w:ascii="Times New Roman" w:hAnsi="Times New Roman" w:eastAsia="宋体" w:cs="Times New Roman"/>
          <w:b/>
          <w:bCs/>
          <w:sz w:val="24"/>
          <w:szCs w:val="24"/>
          <w:lang w:val="en-US"/>
        </w:rPr>
        <w:t xml:space="preserve">第二条 </w:t>
      </w:r>
      <w:r>
        <w:rPr>
          <w:rFonts w:ascii="Times New Roman" w:hAnsi="Times New Roman" w:eastAsia="宋体" w:cs="Times New Roman"/>
          <w:b/>
          <w:bCs/>
          <w:sz w:val="24"/>
          <w:szCs w:val="24"/>
        </w:rPr>
        <w:t xml:space="preserve">合同金额</w:t>
      </w:r>
      <w:r>
        <w:rPr>
          <w:rFonts w:ascii="Times New Roman" w:hAnsi="Times New Roman" w:eastAsia="宋体" w:cs="Times New Roman"/>
          <w:b/>
          <w:bCs/>
          <w:sz w:val="24"/>
          <w:szCs w:val="24"/>
          <w:lang w:val="en-US"/>
        </w:rPr>
        <w:t xml:space="preserve">及服务期限</w:t>
      </w:r>
      <w:r>
        <w:rPr>
          <w:rFonts w:ascii="Times New Roman" w:hAnsi="Times New Roman" w:eastAsia="宋体" w:cs="Times New Roman"/>
          <w:b/>
          <w:bCs/>
          <w:sz w:val="24"/>
          <w:szCs w:val="24"/>
          <w:lang w:val="en-US"/>
        </w:rPr>
      </w:r>
      <w:r/>
    </w:p>
    <w:p>
      <w:pPr>
        <w:pStyle w:val="775"/>
        <w:ind w:firstLine="420"/>
        <w:spacing w:line="360" w:lineRule="auto"/>
        <w:tabs>
          <w:tab w:val="left" w:pos="4995" w:leader="none"/>
        </w:tabs>
        <w:rPr>
          <w:rFonts w:ascii="Times New Roman" w:hAnsi="Times New Roman" w:eastAsia="宋体" w:cs="Times New Roman"/>
          <w:sz w:val="24"/>
        </w:rPr>
      </w:pPr>
      <w:r>
        <w:rPr>
          <w:rFonts w:ascii="Times New Roman" w:hAnsi="Times New Roman" w:eastAsia="宋体" w:cs="Times New Roman"/>
        </w:rPr>
        <w:t xml:space="preserve">（一）</w:t>
      </w:r>
      <w:r>
        <w:rPr>
          <w:rFonts w:ascii="Times New Roman" w:hAnsi="Times New Roman" w:eastAsia="宋体" w:cs="Times New Roman"/>
          <w:sz w:val="24"/>
        </w:rPr>
        <w:t xml:space="preserve">合同金额：合同金额为</w:t>
      </w:r>
      <w:r>
        <w:rPr>
          <w:rFonts w:ascii="Times New Roman" w:hAnsi="Times New Roman" w:eastAsia="宋体" w:cs="Times New Roman"/>
          <w:sz w:val="24"/>
          <w:u w:val="single"/>
        </w:rPr>
        <w:t xml:space="preserve">        </w:t>
      </w:r>
      <w:r>
        <w:rPr>
          <w:rFonts w:ascii="Times New Roman" w:hAnsi="Times New Roman" w:eastAsia="宋体" w:cs="Times New Roman"/>
          <w:sz w:val="24"/>
          <w:u w:val="none"/>
        </w:rPr>
        <w:t xml:space="preserve">万元；</w:t>
      </w:r>
      <w:r>
        <w:rPr>
          <w:rFonts w:ascii="Times New Roman" w:hAnsi="Times New Roman" w:eastAsia="宋体" w:cs="Times New Roman"/>
          <w:sz w:val="24"/>
        </w:rPr>
      </w:r>
      <w:r/>
    </w:p>
    <w:p>
      <w:pPr>
        <w:pStyle w:val="775"/>
        <w:ind w:firstLine="480"/>
        <w:spacing w:line="360" w:lineRule="auto"/>
        <w:tabs>
          <w:tab w:val="left" w:pos="4995" w:leader="none"/>
        </w:tabs>
        <w:rPr>
          <w:rFonts w:ascii="Times New Roman" w:hAnsi="Times New Roman" w:eastAsia="宋体" w:cs="Times New Roman"/>
          <w:sz w:val="24"/>
        </w:rPr>
      </w:pPr>
      <w:r>
        <w:rPr>
          <w:rFonts w:ascii="Times New Roman" w:hAnsi="Times New Roman" w:eastAsia="宋体" w:cs="Times New Roman"/>
          <w:sz w:val="24"/>
          <w:lang w:bidi="zh-CN"/>
        </w:rPr>
        <w:t xml:space="preserve">其中：</w:t>
      </w:r>
      <w:r>
        <w:rPr>
          <w:rFonts w:ascii="Times New Roman" w:hAnsi="Times New Roman" w:eastAsia="宋体" w:cs="Times New Roman"/>
          <w:sz w:val="24"/>
          <w:lang w:val="zh-CN" w:bidi="zh-CN"/>
        </w:rPr>
        <w:t xml:space="preserve">常州</w:t>
      </w:r>
      <w:r>
        <w:rPr>
          <w:rFonts w:ascii="Times New Roman" w:hAnsi="Times New Roman" w:eastAsia="宋体" w:cs="Times New Roman"/>
          <w:sz w:val="24"/>
          <w:lang w:bidi="zh-CN"/>
        </w:rPr>
        <w:t xml:space="preserve">市</w:t>
      </w:r>
      <w:r>
        <w:rPr>
          <w:rFonts w:ascii="Times New Roman" w:hAnsi="Times New Roman" w:eastAsia="宋体" w:cs="Times New Roman"/>
          <w:sz w:val="24"/>
          <w:lang w:val="zh-CN" w:bidi="zh-CN"/>
        </w:rPr>
        <w:t xml:space="preserve">新北区环卫</w:t>
      </w:r>
      <w:r>
        <w:rPr>
          <w:rFonts w:ascii="Times New Roman" w:hAnsi="Times New Roman" w:eastAsia="宋体" w:cs="Times New Roman"/>
          <w:sz w:val="24"/>
          <w:lang w:bidi="zh-CN"/>
        </w:rPr>
        <w:t xml:space="preserve">服务</w:t>
      </w:r>
      <w:r>
        <w:rPr>
          <w:rFonts w:ascii="Times New Roman" w:hAnsi="Times New Roman" w:eastAsia="宋体" w:cs="Times New Roman"/>
          <w:sz w:val="24"/>
          <w:lang w:val="zh-CN" w:bidi="zh-CN"/>
        </w:rPr>
        <w:t xml:space="preserve">：</w:t>
      </w:r>
      <w:r>
        <w:rPr>
          <w:rFonts w:ascii="Times New Roman" w:hAnsi="Times New Roman" w:eastAsia="宋体" w:cs="Times New Roman"/>
          <w:sz w:val="24"/>
        </w:rPr>
        <w:t xml:space="preserve">金额为</w:t>
      </w:r>
      <w:r>
        <w:rPr>
          <w:rFonts w:ascii="Times New Roman" w:hAnsi="Times New Roman" w:eastAsia="宋体" w:cs="Times New Roman"/>
          <w:sz w:val="24"/>
          <w:u w:val="single"/>
        </w:rPr>
        <w:t xml:space="preserve">        </w:t>
      </w:r>
      <w:r>
        <w:rPr>
          <w:rFonts w:ascii="Times New Roman" w:hAnsi="Times New Roman" w:eastAsia="宋体" w:cs="Times New Roman"/>
          <w:sz w:val="24"/>
          <w:u w:val="none"/>
        </w:rPr>
        <w:t xml:space="preserve">万元</w:t>
      </w:r>
      <w:r>
        <w:rPr>
          <w:rFonts w:ascii="Times New Roman" w:hAnsi="Times New Roman" w:eastAsia="宋体" w:cs="Times New Roman"/>
          <w:sz w:val="24"/>
          <w:lang w:bidi="zh-CN"/>
        </w:rPr>
        <w:t xml:space="preserve">；</w:t>
      </w:r>
      <w:r>
        <w:rPr>
          <w:rFonts w:ascii="Times New Roman" w:hAnsi="Times New Roman" w:eastAsia="宋体" w:cs="Times New Roman"/>
          <w:sz w:val="24"/>
          <w:lang w:val="zh-CN" w:bidi="zh-CN"/>
        </w:rPr>
        <w:t xml:space="preserve">常州</w:t>
      </w:r>
      <w:r>
        <w:rPr>
          <w:rFonts w:ascii="Times New Roman" w:hAnsi="Times New Roman" w:eastAsia="宋体" w:cs="Times New Roman"/>
          <w:sz w:val="24"/>
          <w:lang w:bidi="zh-CN"/>
        </w:rPr>
        <w:t xml:space="preserve">市</w:t>
      </w:r>
      <w:r>
        <w:rPr>
          <w:rFonts w:ascii="Times New Roman" w:hAnsi="Times New Roman" w:eastAsia="宋体" w:cs="Times New Roman"/>
          <w:sz w:val="24"/>
          <w:lang w:val="zh-CN" w:bidi="zh-CN"/>
        </w:rPr>
        <w:t xml:space="preserve">新北区</w:t>
      </w:r>
      <w:r>
        <w:rPr>
          <w:rFonts w:ascii="Times New Roman" w:hAnsi="Times New Roman" w:eastAsia="宋体" w:cs="Times New Roman"/>
          <w:sz w:val="24"/>
        </w:rPr>
        <w:t xml:space="preserve">市政及绿化养护服务：金额为</w:t>
      </w:r>
      <w:r>
        <w:rPr>
          <w:rFonts w:ascii="Times New Roman" w:hAnsi="Times New Roman" w:eastAsia="宋体" w:cs="Times New Roman"/>
          <w:sz w:val="24"/>
          <w:u w:val="single"/>
        </w:rPr>
        <w:t xml:space="preserve">        </w:t>
      </w:r>
      <w:r>
        <w:rPr>
          <w:rFonts w:ascii="Times New Roman" w:hAnsi="Times New Roman" w:eastAsia="宋体" w:cs="Times New Roman"/>
          <w:sz w:val="24"/>
          <w:u w:val="none"/>
        </w:rPr>
        <w:t xml:space="preserve">万元</w:t>
      </w:r>
      <w:r>
        <w:rPr>
          <w:rFonts w:ascii="Times New Roman" w:hAnsi="Times New Roman" w:eastAsia="宋体" w:cs="Times New Roman"/>
          <w:sz w:val="24"/>
          <w:lang w:bidi="zh-CN"/>
        </w:rPr>
        <w:t xml:space="preserve">。</w:t>
      </w:r>
      <w:r>
        <w:rPr>
          <w:rFonts w:ascii="Times New Roman" w:hAnsi="Times New Roman" w:eastAsia="宋体" w:cs="Times New Roman"/>
          <w:sz w:val="24"/>
        </w:rPr>
      </w:r>
      <w:r/>
    </w:p>
    <w:p>
      <w:pPr>
        <w:pStyle w:val="807"/>
        <w:ind w:firstLine="480"/>
        <w:spacing w:before="0" w:line="360" w:lineRule="auto"/>
        <w:tabs>
          <w:tab w:val="left" w:pos="567" w:leader="none"/>
        </w:tabs>
        <w:rPr>
          <w:rFonts w:ascii="Times New Roman" w:hAnsi="Times New Roman" w:eastAsia="宋体" w:cs="Times New Roman"/>
        </w:rPr>
      </w:pPr>
      <w:r>
        <w:rPr>
          <w:rFonts w:ascii="Times New Roman" w:hAnsi="Times New Roman" w:eastAsia="宋体" w:cs="Times New Roman"/>
        </w:rPr>
        <w:t xml:space="preserve">（二）服务期限：</w:t>
      </w:r>
      <w:r>
        <w:rPr>
          <w:rFonts w:ascii="Times New Roman" w:hAnsi="Times New Roman" w:eastAsia="宋体" w:cs="Times New Roman"/>
          <w:color w:val="000000"/>
          <w:highlight w:val="none"/>
        </w:rPr>
        <w:t xml:space="preserve">2026年7月1日-2026年12月31日</w:t>
      </w:r>
      <w:r>
        <w:rPr>
          <w:rFonts w:ascii="Times New Roman" w:hAnsi="Times New Roman" w:eastAsia="宋体" w:cs="Times New Roman"/>
        </w:rPr>
        <w:t xml:space="preserve">（合同一年一签，年度服务期满，经</w:t>
      </w:r>
      <w:r>
        <w:rPr>
          <w:rFonts w:ascii="Times New Roman" w:hAnsi="Times New Roman" w:eastAsia="宋体" w:cs="Times New Roman"/>
          <w:lang w:val="en-US" w:eastAsia="zh-CN"/>
        </w:rPr>
        <w:t xml:space="preserve">甲方</w:t>
      </w:r>
      <w:r>
        <w:rPr>
          <w:rFonts w:ascii="Times New Roman" w:hAnsi="Times New Roman" w:eastAsia="宋体" w:cs="Times New Roman"/>
        </w:rPr>
        <w:t xml:space="preserve">考核合格后续签</w:t>
      </w:r>
      <w:r>
        <w:rPr>
          <w:rFonts w:ascii="Times New Roman" w:hAnsi="Times New Roman" w:eastAsia="宋体" w:cs="Times New Roman"/>
          <w:color w:val="000000"/>
        </w:rPr>
        <w:t xml:space="preserve">，合同续签不超过2次</w:t>
      </w:r>
      <w:r>
        <w:rPr>
          <w:rFonts w:ascii="Times New Roman" w:hAnsi="Times New Roman" w:eastAsia="宋体" w:cs="Times New Roman"/>
        </w:rPr>
        <w:t xml:space="preserve">）</w:t>
      </w:r>
      <w:r>
        <w:rPr>
          <w:rFonts w:ascii="Times New Roman" w:hAnsi="Times New Roman" w:eastAsia="宋体" w:cs="Times New Roman"/>
        </w:rPr>
      </w:r>
      <w:r/>
    </w:p>
    <w:p>
      <w:pPr>
        <w:pStyle w:val="775"/>
        <w:spacing w:line="360" w:lineRule="auto"/>
        <w:rPr>
          <w:rFonts w:ascii="Times New Roman" w:hAnsi="Times New Roman" w:eastAsia="宋体" w:cs="Times New Roman"/>
          <w:sz w:val="24"/>
        </w:rPr>
      </w:pPr>
      <w:r>
        <w:rPr>
          <w:rFonts w:ascii="Times New Roman" w:hAnsi="Times New Roman" w:eastAsia="宋体" w:cs="Times New Roman"/>
        </w:rPr>
        <w:t xml:space="preserve">    </w:t>
      </w:r>
      <w:r>
        <w:rPr>
          <w:rFonts w:ascii="Times New Roman" w:hAnsi="Times New Roman" w:eastAsia="宋体" w:cs="Times New Roman"/>
          <w:sz w:val="24"/>
        </w:rPr>
        <w:t xml:space="preserve">（三）年度考核：</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1、环卫服务年度考核：常州市新北区环境卫生作业考评年度平均每月扣分不超过80分为合格；抑尘作业车辆服务质量考评按照本合同（五）作业质量考核及月度考评第5条执行。</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2、市政及绿化养护服务年度考核：按照《新北区绿化、市政设施管护考核办法（2026）》规定执行。</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环卫服务、市政及绿化养护服务年度考核均达到合格以上，合同续签。</w:t>
      </w:r>
      <w:r>
        <w:rPr>
          <w:rFonts w:ascii="Times New Roman" w:hAnsi="Times New Roman" w:eastAsia="宋体" w:cs="Times New Roman"/>
          <w:sz w:val="24"/>
        </w:rPr>
      </w:r>
      <w:r/>
    </w:p>
    <w:p>
      <w:pPr>
        <w:pStyle w:val="775"/>
        <w:ind w:firstLine="482"/>
        <w:spacing w:line="360" w:lineRule="auto"/>
        <w:tabs>
          <w:tab w:val="left" w:pos="4995" w:leader="none"/>
        </w:tabs>
        <w:rPr>
          <w:rFonts w:ascii="Times New Roman" w:hAnsi="Times New Roman" w:eastAsia="宋体" w:cs="Times New Roman"/>
          <w:b/>
          <w:bCs/>
          <w:sz w:val="24"/>
        </w:rPr>
      </w:pPr>
      <w:r>
        <w:rPr>
          <w:rFonts w:ascii="Times New Roman" w:hAnsi="Times New Roman" w:eastAsia="宋体" w:cs="Times New Roman"/>
          <w:b/>
          <w:bCs/>
          <w:sz w:val="24"/>
        </w:rPr>
        <w:t xml:space="preserve">第三条 </w:t>
      </w:r>
      <w:r>
        <w:rPr>
          <w:rFonts w:ascii="Times New Roman" w:hAnsi="Times New Roman" w:eastAsia="宋体" w:cs="Times New Roman"/>
          <w:b/>
          <w:bCs/>
          <w:sz w:val="24"/>
          <w:u w:val="none"/>
          <w:lang w:val="zh-CN" w:bidi="zh-CN"/>
        </w:rPr>
        <w:t xml:space="preserve">常州新北区环卫</w:t>
      </w:r>
      <w:r>
        <w:rPr>
          <w:rFonts w:ascii="Times New Roman" w:hAnsi="Times New Roman" w:eastAsia="宋体" w:cs="Times New Roman"/>
          <w:b/>
          <w:bCs/>
          <w:sz w:val="24"/>
          <w:u w:val="none"/>
          <w:lang w:bidi="zh-CN"/>
        </w:rPr>
        <w:t xml:space="preserve">服务</w:t>
      </w:r>
      <w:r>
        <w:rPr>
          <w:rFonts w:ascii="Times New Roman" w:hAnsi="Times New Roman" w:eastAsia="宋体" w:cs="Times New Roman"/>
          <w:b/>
          <w:bCs/>
          <w:sz w:val="24"/>
        </w:rPr>
      </w:r>
      <w:r/>
    </w:p>
    <w:p>
      <w:pPr>
        <w:pStyle w:val="807"/>
        <w:ind w:firstLine="482"/>
        <w:spacing w:before="0" w:line="360" w:lineRule="auto"/>
        <w:widowControl/>
        <w:tabs>
          <w:tab w:val="left" w:pos="567" w:leader="none"/>
        </w:tabs>
        <w:rPr>
          <w:rFonts w:ascii="Times New Roman" w:hAnsi="Times New Roman" w:eastAsia="宋体" w:cs="Times New Roman"/>
          <w:b/>
        </w:rPr>
      </w:pPr>
      <w:r>
        <w:rPr>
          <w:rFonts w:ascii="Times New Roman" w:hAnsi="Times New Roman" w:eastAsia="宋体" w:cs="Times New Roman"/>
          <w:b/>
        </w:rPr>
        <w:t xml:space="preserve">（一）环卫服务作业内容</w:t>
      </w:r>
      <w:r>
        <w:rPr>
          <w:rFonts w:ascii="Times New Roman" w:hAnsi="Times New Roman" w:eastAsia="宋体" w:cs="Times New Roman"/>
          <w:b/>
        </w:rPr>
      </w:r>
      <w:r/>
    </w:p>
    <w:p>
      <w:pPr>
        <w:pStyle w:val="775"/>
        <w:ind w:firstLine="630"/>
        <w:spacing w:line="360" w:lineRule="auto"/>
        <w:widowControl/>
        <w:rPr>
          <w:rFonts w:ascii="Times New Roman" w:hAnsi="Times New Roman" w:eastAsia="宋体" w:cs="Times New Roman"/>
          <w:sz w:val="24"/>
        </w:rPr>
      </w:pPr>
      <w:r/>
      <w:bookmarkStart w:id="691" w:name="_Hlk206598611"/>
      <w:r>
        <w:rPr>
          <w:rFonts w:ascii="Times New Roman" w:hAnsi="Times New Roman" w:eastAsia="宋体" w:cs="Times New Roman"/>
        </w:rPr>
        <w:t xml:space="preserve">1</w:t>
      </w:r>
      <w:r>
        <w:rPr>
          <w:rFonts w:ascii="Times New Roman" w:hAnsi="Times New Roman" w:eastAsia="宋体" w:cs="Times New Roman"/>
          <w:sz w:val="24"/>
        </w:rPr>
        <w:t xml:space="preserve">、道路清扫保洁作业内容</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1）按照《常州市城市环卫作业服务要求》（详见附件19）文件标准，乙方根据承包道路保洁等级、作业标准和作业时间要求，对承包道路快、慢车道和人行道进行清扫、保洁；对依附于道路的绿化带进行保洁（包括可视范围内无主垃圾的清理）。其中人行道板（含侧石）的清扫工作和沿街垃圾桶（果壳箱）的垃圾清运工作每日7点30分前必须完成。对于道板出现污染的情况，需随时进行人工清扫和冲洗工作，确保人行道板干净、整洁。</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（2）根据市级、区级行业主管部门的相关要求，组织好道路的机械化清扫、冲洗、洒水、高压清洗作业，确保按要求完成机械化标准作业。按上级部门要求做好雾霾天气和其它应急作业。</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3）乙方根据《常州市城市道路人行道板环卫作业质量标准及考核办法》（详见附件20）的文件要求组织好承包区域内人行道板、人行斑马线等的清洗作业，确保道板、人行道的干净整洁。乙方对于负责作业的城市主要商业街沿线道路道板、餐饮集中区域道路道板每周开展不低于2次道板全面清洗工作，其它城市主次干道沿线道路道板每周开展不低于1次道板全面清洗工作。</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（4）负责承包范围内的垃圾箱、果壳箱的垃圾清运和上述设施的清洁；负责承包道路两侧垃圾的及时清理；负责承包范围内的无主垃圾的清理。</w:t>
      </w:r>
      <w:r>
        <w:rPr>
          <w:rFonts w:ascii="Times New Roman" w:hAnsi="Times New Roman" w:eastAsia="宋体" w:cs="Times New Roman"/>
          <w:sz w:val="24"/>
        </w:rPr>
      </w:r>
      <w:r/>
    </w:p>
    <w:p>
      <w:pPr>
        <w:pStyle w:val="775"/>
        <w:ind w:firstLine="48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（5）根据城市大管家作业模式调整，每周开展道路沿线绿化带的专项清理整治工作，重点清理绿化带内枯枝落叶、废弃砖石块和暴露垃圾等。</w:t>
      </w:r>
      <w:r>
        <w:rPr>
          <w:rFonts w:ascii="Times New Roman" w:hAnsi="Times New Roman" w:eastAsia="宋体" w:cs="Times New Roman"/>
          <w:sz w:val="24"/>
        </w:rPr>
      </w:r>
      <w:r/>
    </w:p>
    <w:p>
      <w:pPr>
        <w:pStyle w:val="775"/>
        <w:ind w:firstLine="480"/>
        <w:keepLines w:val="0"/>
        <w:keepNext w:val="0"/>
        <w:pageBreakBefore w:val="0"/>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2、环卫设施设备的运行</w:t>
      </w:r>
      <w:r>
        <w:rPr>
          <w:rFonts w:ascii="Times New Roman" w:hAnsi="Times New Roman" w:eastAsia="宋体" w:cs="Times New Roman"/>
          <w:sz w:val="24"/>
        </w:rPr>
      </w:r>
      <w:r/>
    </w:p>
    <w:p>
      <w:pPr>
        <w:pStyle w:val="807"/>
        <w:ind w:firstLine="480"/>
        <w:spacing w:line="360" w:lineRule="auto"/>
        <w:widowControl/>
        <w:tabs>
          <w:tab w:val="left" w:pos="567" w:leader="none"/>
        </w:tabs>
        <w:rPr>
          <w:rFonts w:ascii="Times New Roman" w:hAnsi="Times New Roman" w:eastAsia="宋体" w:cs="Times New Roman"/>
          <w:b/>
          <w:color w:val="000000"/>
        </w:rPr>
      </w:pPr>
      <w:r>
        <w:rPr>
          <w:rFonts w:ascii="Times New Roman" w:hAnsi="Times New Roman" w:eastAsia="宋体" w:cs="Times New Roman"/>
        </w:rPr>
        <w:t xml:space="preserve">（1）负责85座公厕（详见清</w:t>
      </w:r>
      <w:r>
        <w:rPr>
          <w:rFonts w:ascii="Times New Roman" w:hAnsi="Times New Roman" w:eastAsia="宋体" w:cs="Times New Roman"/>
          <w:color w:val="000000"/>
        </w:rPr>
        <w:t xml:space="preserve">单2，具体服务范围以实际管养为准）的日常保洁和运行维护工作，保持公厕设施设备的完好，确保公厕内部及周边5米范围内的干净、整洁。在蚊蝇滋生季节负责公厕内部消杀工作。负责公厕内部设施、设备日常维护和小额维修工作（维修事项说明见本合同</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第三条（七）其它事项说明第3点</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w:t>
      </w:r>
      <w:r>
        <w:rPr>
          <w:rFonts w:ascii="Times New Roman" w:hAnsi="Times New Roman" w:eastAsia="宋体" w:cs="Times New Roman"/>
          <w:b/>
          <w:color w:val="000000"/>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color w:val="000000"/>
          <w:sz w:val="24"/>
        </w:rPr>
        <w:t xml:space="preserve">（2）负责7座生活垃圾压缩站（详见清单1，具体服务范围以实际管养为准）和9座生活垃圾中转站（详见清单1，具体服务范围以实际管养为准）的日</w:t>
      </w:r>
      <w:r>
        <w:rPr>
          <w:rFonts w:ascii="Times New Roman" w:hAnsi="Times New Roman" w:eastAsia="宋体" w:cs="Times New Roman"/>
          <w:sz w:val="24"/>
        </w:rPr>
        <w:t xml:space="preserve">常运行工作，保持收集站和转运站内部及周边5米范围内的干净、整洁。保持收集站和转运站内部设施设备正常运转。在蚊蝇滋生季节负责收集站和转运站内部消杀工作。负责进站垃圾的检查管理工作，确保无建筑垃圾、工业垃圾和危险废弃物等非生活垃圾进站。前端收集车辆凭核发的通行证和车辆牌照进站倾倒垃圾。确保无未达标车辆（无车辆牌照、车辆无通行证、车辆未加盖运输、车辆表面脏乱）进站倾倒垃圾。确保垃圾收集站和转运站生活垃圾的日产日清工作。负责收集站和转运站内部设施、设备日常维护和小额维修工作（维修事项说明见本合同</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第三条（七）其它事项说明第3点</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tbl>
      <w:tblPr>
        <w:tblW w:w="592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13"/>
        <w:gridCol w:w="2235"/>
        <w:gridCol w:w="2678"/>
      </w:tblGrid>
      <w:tr>
        <w:trPr>
          <w:trHeight w:val="270"/>
        </w:trPr>
        <w:tc>
          <w:tcPr>
            <w:gridSpan w:val="3"/>
            <w:tcBorders>
              <w:top w:val="none" w:color="000000" w:sz="4" w:space="0"/>
              <w:left w:val="none" w:color="000000" w:sz="4" w:space="0"/>
              <w:bottom w:val="none" w:color="000000" w:sz="4" w:space="0"/>
              <w:right w:val="none" w:color="000000" w:sz="4" w:space="0"/>
            </w:tcBorders>
            <w:tcW w:w="5926" w:type="dxa"/>
            <w:vAlign w:val="center"/>
            <w:textDirection w:val="lrTb"/>
            <w:noWrap/>
          </w:tcPr>
          <w:p>
            <w:pPr>
              <w:pStyle w:val="775"/>
              <w:contextualSpacing/>
              <w:jc w:val="center"/>
              <w:spacing w:line="360" w:lineRule="auto"/>
              <w:rPr>
                <w:rFonts w:ascii="Times New Roman" w:hAnsi="Times New Roman" w:eastAsia="宋体" w:cs="Times New Roman"/>
                <w:sz w:val="24"/>
              </w:rPr>
            </w:pPr>
            <w:r>
              <w:rPr>
                <w:rFonts w:ascii="Times New Roman" w:hAnsi="Times New Roman" w:eastAsia="宋体" w:cs="Times New Roman"/>
                <w:sz w:val="24"/>
              </w:rPr>
              <w:t xml:space="preserve">清单1</w:t>
            </w:r>
            <w:r>
              <w:rPr>
                <w:rFonts w:ascii="Times New Roman" w:hAnsi="Times New Roman" w:eastAsia="宋体" w:cs="Times New Roman"/>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序号</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压缩站</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中转站</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1</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基地</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百草园</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2</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藻江</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文源路</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3</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浦江</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汇丰</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4</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大名城</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富都</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5</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江边</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滨江明珠</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6</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空港</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绿洲</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7</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孟河</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太湖市场</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8</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民营</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9</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绿都万和城</w:t>
            </w:r>
            <w:r>
              <w:rPr>
                <w:rFonts w:ascii="Times New Roman" w:hAnsi="Times New Roman" w:eastAsia="宋体" w:cs="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合计</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7</w:t>
            </w:r>
            <w:r>
              <w:rPr>
                <w:rFonts w:ascii="Times New Roman" w:hAnsi="Times New Roman" w:eastAsia="宋体" w:cs="Times New Roman"/>
                <w:sz w:val="22"/>
                <w:szCs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lang w:bidi="ar"/>
              </w:rPr>
              <w:t xml:space="preserve">9</w:t>
            </w:r>
            <w:r>
              <w:rPr>
                <w:rFonts w:ascii="Times New Roman" w:hAnsi="Times New Roman" w:eastAsia="宋体" w:cs="Times New Roman"/>
                <w:sz w:val="22"/>
                <w:szCs w:val="22"/>
              </w:rPr>
            </w:r>
            <w:r/>
          </w:p>
        </w:tc>
      </w:tr>
    </w:tbl>
    <w:p>
      <w:pPr>
        <w:pStyle w:val="1031"/>
        <w:ind w:firstLine="420"/>
        <w:rPr>
          <w:rFonts w:ascii="Times New Roman" w:hAnsi="Times New Roman" w:eastAsia="宋体" w:cs="Times New Roman"/>
        </w:rPr>
      </w:pPr>
      <w:r>
        <w:rPr>
          <w:rFonts w:ascii="Times New Roman" w:hAnsi="Times New Roman" w:eastAsia="宋体" w:cs="Times New Roman"/>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负责生活垃圾收集站和转运站设备(含压缩设备、监控设备等)的小额维修和配套的环保设备日常维护保养工作，及时维修和维保垃圾压缩设备，确保垃圾压缩设备正常运行，按维保期限及时做好转运站环保设备的日常维保，确保环保设备正常运行。（相关作业要求见本合同</w:t>
      </w:r>
      <w:bookmarkStart w:id="692" w:name="OLE_LINK1"/>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第三条（三）环卫服务作业质量要求第4条</w:t>
      </w:r>
      <w:bookmarkEnd w:id="692"/>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负责提供开展业务所需的30个压缩转运箱、70个直运转运箱、4个移动压缩转运箱、17辆12t以上拉臂车、9辆25t及以上拉臂车、5辆特种垃圾收集车、3辆道板清洗车、5辆吸污（粪）车、1辆有毒有害收运车和3辆装载机的日常使用和自检工作，确保车辆外观的干净、整洁。垃圾运输车辆在运输过程中无抛洒滴漏现象。在车辆日常作业过程中做到文明行车和文明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3、垃圾清运事项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负责全区生活垃圾清运工作。负责每日将全区产生的生活垃圾和垃圾渗滤液从各收集站和转运站清运至垃圾终端处理场所（孟河垃圾收集站除外）。按使用期限做好垃圾转运箱的出新和更新工作。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4、大气抑尘事项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按照区生态环境部门的要求，为区生态环境部门提供常州市新北区大气应急服务。服务作业区域：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(1)市行政中心周边3公里范围区域；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(2)新北区政府周边3公里范围区域；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(3)区生态环境部门下达作业指令作业的其他区域。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5、其它事项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（1）活动保障和雨雪灾害天气保障按上级有关部门和预案执行。</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（2）大力推进绿化带清理和环卫清扫一体化作业工作，创建市政府周边区域、万达广场区域和区政府区域精品示范区。</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sz w:val="24"/>
        </w:rPr>
        <w:t xml:space="preserve">（3）因</w:t>
      </w:r>
      <w:r>
        <w:rPr>
          <w:rFonts w:ascii="Times New Roman" w:hAnsi="Times New Roman" w:eastAsia="宋体" w:cs="Times New Roman"/>
          <w:sz w:val="24"/>
          <w:lang w:val="en-US" w:eastAsia="zh-CN"/>
        </w:rPr>
        <w:t xml:space="preserve">服务</w:t>
      </w:r>
      <w:r>
        <w:rPr>
          <w:rFonts w:ascii="Times New Roman" w:hAnsi="Times New Roman" w:eastAsia="宋体" w:cs="Times New Roman"/>
          <w:sz w:val="24"/>
        </w:rPr>
        <w:t xml:space="preserve">期为两年半（2026年7月1日-2028年12月31日），2026年至2028</w:t>
      </w:r>
      <w:r>
        <w:rPr>
          <w:rFonts w:ascii="Times New Roman" w:hAnsi="Times New Roman" w:eastAsia="宋体" w:cs="Times New Roman"/>
          <w:color w:val="000000"/>
          <w:sz w:val="24"/>
        </w:rPr>
        <w:t xml:space="preserve">年区级新增道路和环卫设施乙方必须按区环卫部门指令承接并完成日常环卫作业，费用另行协商。</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（4）如遇国家政策调整（最低工资标准等）所需增加费用</w:t>
      </w:r>
      <w:r>
        <w:rPr>
          <w:rFonts w:ascii="Times New Roman" w:hAnsi="Times New Roman" w:eastAsia="宋体" w:cs="Times New Roman"/>
          <w:color w:val="000000"/>
          <w:sz w:val="24"/>
        </w:rPr>
        <w:t xml:space="preserve">由双方协商解决</w:t>
      </w:r>
      <w:r>
        <w:rPr>
          <w:rFonts w:ascii="Times New Roman" w:hAnsi="Times New Roman" w:eastAsia="宋体" w:cs="Times New Roman"/>
          <w:sz w:val="24"/>
        </w:rPr>
        <w:t xml:space="preserve">，必须按国家政策调整环卫职工工资。</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ff0000"/>
          <w:sz w:val="24"/>
        </w:rPr>
      </w:pPr>
      <w:r>
        <w:rPr>
          <w:rFonts w:ascii="Times New Roman" w:hAnsi="Times New Roman" w:eastAsia="宋体" w:cs="Times New Roman"/>
          <w:sz w:val="24"/>
        </w:rPr>
        <w:t xml:space="preserve">（5）合同期限内，如遇上级部门作业标准调整，乙方需配合实行，调整作业费用另行协商。</w:t>
      </w:r>
      <w:r>
        <w:rPr>
          <w:rFonts w:ascii="Times New Roman" w:hAnsi="Times New Roman" w:eastAsia="宋体" w:cs="Times New Roman"/>
          <w:color w:val="ff0000"/>
          <w:sz w:val="24"/>
        </w:rPr>
      </w:r>
      <w:r/>
    </w:p>
    <w:p>
      <w:pPr>
        <w:pStyle w:val="775"/>
        <w:ind w:firstLine="482"/>
        <w:spacing w:line="360" w:lineRule="auto"/>
        <w:widowControl/>
        <w:rPr>
          <w:rFonts w:ascii="Times New Roman" w:hAnsi="Times New Roman" w:eastAsia="宋体" w:cs="Times New Roman"/>
          <w:b/>
          <w:sz w:val="24"/>
        </w:rPr>
      </w:pPr>
      <w:r>
        <w:rPr>
          <w:rFonts w:ascii="Times New Roman" w:hAnsi="Times New Roman" w:eastAsia="宋体" w:cs="Times New Roman"/>
          <w:b/>
          <w:sz w:val="24"/>
        </w:rPr>
        <w:t xml:space="preserve">（二）环卫服务作业时间要求</w:t>
      </w:r>
      <w:r>
        <w:rPr>
          <w:rFonts w:ascii="Times New Roman" w:hAnsi="Times New Roman" w:eastAsia="宋体" w:cs="Times New Roman"/>
          <w:b/>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1、清扫保洁部分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（1）时间要求：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一级道路、道板和绿化带清扫保洁实行10小时的工作制（作业时间为6：00-11：00、12：30-17：30）。</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二级道路、道板和绿化带清扫保洁实行8小时的工作制（作业时间为6：00-10：30、12：30-16：00）。</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三级道路、道板和绿化带清扫保洁实行8小时的工作制（作业时间为6：30－10：30、13：00-17：00）。</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（高温天气作业时间另行通知）</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（2）特殊时间段要求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8条特殊路段延时作业，从每年5月1日-10月31日特殊路段延时至21：30、11月1日至次年4月30日延时至19：30。特殊路段如下：通江路（沪蓉高速-龙城大道）、太湖路（泰山路-通江路）、太湖路（通江路-晋陵路）、惠山路（珠江路-太湖路）、大渡河路（通江路-晋陵路）、龙锦路（通江路-北塘河路）、竹山路（巢湖路-太湖路）、巢湖路（泰山路-通江路）。</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2、环卫设施部分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85座公厕保洁，其中56座公厕实行专人保洁（详</w:t>
      </w:r>
      <w:r>
        <w:rPr>
          <w:rFonts w:ascii="Times New Roman" w:hAnsi="Times New Roman" w:eastAsia="宋体" w:cs="Times New Roman"/>
          <w:color w:val="000000"/>
          <w:sz w:val="24"/>
        </w:rPr>
        <w:t xml:space="preserve">见清单2，具体服务范围以实际管养为准），29座公厕实行1人保洁2座公厕（详见清单2，具体服务范围以实际管养为准），公厕每日开放时间6：00-18：00（</w:t>
      </w:r>
      <w:r>
        <w:rPr>
          <w:rFonts w:ascii="Times New Roman" w:hAnsi="Times New Roman" w:eastAsia="宋体" w:cs="Times New Roman"/>
          <w:sz w:val="24"/>
        </w:rPr>
        <w:t xml:space="preserve">专人保洁作业）、18：00-22：00（巡回保洁作业，每一人负责4座公厕巡回保洁）、22：00-次日6：00（保持对公众开放）。</w:t>
      </w:r>
      <w:r>
        <w:rPr>
          <w:rFonts w:ascii="Times New Roman" w:hAnsi="Times New Roman" w:eastAsia="宋体" w:cs="Times New Roman"/>
          <w:sz w:val="24"/>
        </w:rPr>
      </w:r>
      <w:r/>
    </w:p>
    <w:p>
      <w:pPr>
        <w:pStyle w:val="775"/>
        <w:contextualSpacing/>
        <w:ind w:firstLine="480"/>
        <w:jc w:val="center"/>
        <w:spacing w:line="360" w:lineRule="auto"/>
        <w:rPr>
          <w:rFonts w:ascii="Times New Roman" w:hAnsi="Times New Roman" w:eastAsia="宋体" w:cs="Times New Roman"/>
          <w:sz w:val="24"/>
        </w:rPr>
      </w:pPr>
      <w:r>
        <w:rPr>
          <w:rFonts w:ascii="Times New Roman" w:hAnsi="Times New Roman" w:eastAsia="宋体" w:cs="Times New Roman"/>
          <w:sz w:val="24"/>
        </w:rPr>
        <w:t xml:space="preserve">清单2</w:t>
      </w:r>
      <w:r>
        <w:rPr>
          <w:rFonts w:ascii="Times New Roman" w:hAnsi="Times New Roman" w:eastAsia="宋体" w:cs="Times New Roman"/>
          <w:sz w:val="24"/>
        </w:rPr>
      </w:r>
      <w:r/>
    </w:p>
    <w:tbl>
      <w:tblPr>
        <w:tblW w:w="8647" w:type="dxa"/>
        <w:tblInd w:w="-142" w:type="dxa"/>
        <w:tblLayout w:type="fixed"/>
        <w:tblCellMar>
          <w:left w:w="108" w:type="dxa"/>
          <w:top w:w="0" w:type="dxa"/>
          <w:right w:w="108" w:type="dxa"/>
          <w:bottom w:w="0" w:type="dxa"/>
        </w:tblCellMar>
        <w:tblLook w:val="04A0" w:firstRow="1" w:lastRow="0" w:firstColumn="1" w:lastColumn="0" w:noHBand="0" w:noVBand="1"/>
      </w:tblPr>
      <w:tblGrid>
        <w:gridCol w:w="626"/>
        <w:gridCol w:w="2493"/>
        <w:gridCol w:w="1276"/>
        <w:gridCol w:w="709"/>
        <w:gridCol w:w="2268"/>
        <w:gridCol w:w="1275"/>
      </w:tblGrid>
      <w:tr>
        <w:trPr>
          <w:trHeight w:val="51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序号</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公厕</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保洁方式</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序号</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公厕</w:t>
            </w:r>
            <w:r>
              <w:rPr>
                <w:rFonts w:ascii="Times New Roman" w:hAnsi="Times New Roman" w:eastAsia="宋体" w:cs="Times New Roman"/>
                <w:b/>
                <w:bCs/>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bidi="ar"/>
              </w:rPr>
              <w:t xml:space="preserve">保洁方式</w:t>
            </w:r>
            <w:r>
              <w:rPr>
                <w:rFonts w:ascii="Times New Roman" w:hAnsi="Times New Roman" w:eastAsia="宋体" w:cs="Times New Roman"/>
                <w:b/>
                <w:bCs/>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50010机电城公厕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50036星海银园公厕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50016黎河路公厕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50008巫山路公厕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50033汇丰三村公厕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50049雅居乐西公厕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50017太湖市场公厕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50037大名城1号公厕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50022世茂香槟公厕1期</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50032龙沧路公厕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50053太湖路华山路</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50070美林湖龙门里公厕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50025滨江明珠城公厕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50056晋陵路怀德名苑公厕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50044嘉禾尚郡公厕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50076天山桥公厕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50011嘉顺公厕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50077万达公厕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50001新惠公厕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50081玲珑社区公厕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50060汉江路建东路公厕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龙虎塘九州花园公厕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50072熙悦府公厕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新桥新桥大街公厕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50027汇丰菜场公厕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金科保利公厕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50006珠江路公厕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50018天山路公厕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50034国宾公厕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50003汉江路公厕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50051云河路区政府停车场</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50050雅居乐东公厕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50071一号天禧公厕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50035蓝港小区花园公厕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50028府翰苑公厕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50073云镜花园</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50005燕山路公厕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50066水岸国际公厕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50026道生中心公厕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50046佳源公厕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50062常澄路程新宾馆旁公厕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50061乐山路常州北站</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50021玉龙湾公厕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50040黄河东路公厕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50067福地聚龙苑</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50064薛家便捷驿站公厕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50004嵩山路公厕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50065滨水花园公厕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50007科四路公厕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50015衡山路公厕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50012太湖中路公厕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50030府西花园公厕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50068礼韵世家15公厕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50048牡丹和府公厕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50042公园人家公厕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50052黄河西路公厕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50029汇丰社区公厕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50014凤凰名城公厕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50054长江路西江路公厕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50057世贸二期二楼公厕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50058长江路金沙江路公厕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50043三河三园公厕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50009黄山路公厕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50047世贸智慧公厕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50002岷江路公厕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50013大诚苑公厕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50055科技园公厕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50045龙湖春江公厕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50063昆仑路公厕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50074智汇公园公厕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36</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50041香树湾公厕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50019龙江路公厕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37</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50069康桥水郡公厕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50023好日子公厕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38</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50059烈士陵园公厕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50075飞龙路吾悦公厕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39</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50038大名城2号公厕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50078常工院北门公厕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40</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50031世贸二期一楼公厕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50079庄只路公厕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41</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50020南博湾公厕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84</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50080新龙湖公厕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42</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50024蓝港公园公厕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85</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50082奔牛星光城</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1人2公厕</w:t>
            </w:r>
            <w:r>
              <w:rPr>
                <w:rFonts w:ascii="Times New Roman" w:hAnsi="Times New Roman" w:eastAsia="宋体" w:cs="Times New Roman"/>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43</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75"/>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50039龙城公馆公厕</w:t>
            </w: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75"/>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1人1公厕</w:t>
            </w:r>
            <w:r>
              <w:rPr>
                <w:rFonts w:ascii="Times New Roman" w:hAnsi="Times New Roman" w:eastAsia="宋体" w:cs="Times New Roman"/>
                <w:color w:val="000000"/>
                <w:szCs w:val="21"/>
              </w:rPr>
            </w:r>
            <w:r/>
          </w:p>
        </w:tc>
        <w:tc>
          <w:tcPr>
            <w:tcBorders>
              <w:top w:val="none" w:color="000000" w:sz="0" w:space="0"/>
              <w:left w:val="none" w:color="000000" w:sz="0" w:space="0"/>
              <w:bottom w:val="none" w:color="000000" w:sz="0" w:space="0"/>
              <w:right w:val="none" w:color="000000" w:sz="0" w:space="0"/>
            </w:tcBorders>
            <w:tcW w:w="709" w:type="dxa"/>
            <w:vAlign w:val="center"/>
            <w:textDirection w:val="lrTb"/>
            <w:noWrap/>
          </w:tcPr>
          <w:p>
            <w:pPr>
              <w:pStyle w:val="775"/>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none" w:color="000000" w:sz="0" w:space="0"/>
              <w:left w:val="none" w:color="000000" w:sz="0" w:space="0"/>
              <w:bottom w:val="none" w:color="000000" w:sz="0" w:space="0"/>
              <w:right w:val="none" w:color="000000" w:sz="0" w:space="0"/>
            </w:tcBorders>
            <w:tcW w:w="2268" w:type="dxa"/>
            <w:vAlign w:val="center"/>
            <w:textDirection w:val="lrTb"/>
            <w:noWrap/>
          </w:tcPr>
          <w:p>
            <w:pPr>
              <w:pStyle w:val="775"/>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none" w:color="000000" w:sz="0" w:space="0"/>
              <w:left w:val="none" w:color="000000" w:sz="0" w:space="0"/>
              <w:bottom w:val="none" w:color="000000" w:sz="0" w:space="0"/>
              <w:right w:val="none" w:color="000000" w:sz="0" w:space="0"/>
            </w:tcBorders>
            <w:tcW w:w="1275" w:type="dxa"/>
            <w:vAlign w:val="center"/>
            <w:textDirection w:val="lrTb"/>
            <w:noWrap/>
          </w:tcPr>
          <w:p>
            <w:pPr>
              <w:pStyle w:val="775"/>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bl>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生活垃圾转运站每日开放时间：</w:t>
      </w:r>
      <w:r>
        <w:rPr>
          <w:rFonts w:ascii="Times New Roman" w:hAnsi="Times New Roman" w:eastAsia="宋体" w:cs="Times New Roman"/>
          <w:sz w:val="24"/>
        </w:rPr>
      </w:r>
      <w:r/>
    </w:p>
    <w:tbl>
      <w:tblPr>
        <w:tblW w:w="8794" w:type="dxa"/>
        <w:tblInd w:w="-15" w:type="dxa"/>
        <w:tblLayout w:type="autofit"/>
        <w:tblCellMar>
          <w:left w:w="108" w:type="dxa"/>
          <w:top w:w="0" w:type="dxa"/>
          <w:right w:w="108" w:type="dxa"/>
          <w:bottom w:w="0" w:type="dxa"/>
        </w:tblCellMar>
        <w:tblLook w:val="04A0" w:firstRow="1" w:lastRow="0" w:firstColumn="1" w:lastColumn="0" w:noHBand="0" w:noVBand="1"/>
      </w:tblPr>
      <w:tblGrid>
        <w:gridCol w:w="4515"/>
        <w:gridCol w:w="4279"/>
      </w:tblGrid>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站名</w:t>
            </w:r>
            <w:r>
              <w:rPr>
                <w:rFonts w:ascii="Times New Roman" w:hAnsi="Times New Roman" w:eastAsia="宋体" w:cs="Times New Roman"/>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lang w:bidi="ar"/>
              </w:rPr>
              <w:t xml:space="preserve">开放时间</w:t>
            </w:r>
            <w:r>
              <w:rPr>
                <w:rFonts w:ascii="Times New Roman" w:hAnsi="Times New Roman" w:eastAsia="宋体" w:cs="Times New Roman"/>
                <w:b/>
                <w:bCs/>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浦江、藻江、大名城压缩站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05</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00-21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基地压缩站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00-12</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30-18</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空港压缩站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江边压缩站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30-17</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孟河压缩站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685"/>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汇丰、富都、滨江明珠、绿都万和城、太湖市场、民营中转站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00-11</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文源路中转站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00-14</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百草园中转站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00-12</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w:t>
            </w:r>
            <w:r>
              <w:rPr>
                <w:rFonts w:ascii="Times New Roman" w:hAnsi="Times New Roman" w:eastAsia="宋体" w:cs="Times New Roman"/>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绿洲中转站</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06</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00-10</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00，13</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30-15</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30</w:t>
            </w:r>
            <w:r>
              <w:rPr>
                <w:rFonts w:ascii="Times New Roman" w:hAnsi="Times New Roman" w:eastAsia="宋体" w:cs="Times New Roman"/>
                <w:color w:val="000000"/>
                <w:sz w:val="22"/>
                <w:szCs w:val="22"/>
              </w:rPr>
            </w:r>
            <w:r/>
          </w:p>
        </w:tc>
      </w:tr>
    </w:tbl>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高温天气开放时间另行通知。</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3、垃圾清运部分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垃圾清运按照前端收集车站内等候时间不超过30分钟和日产日清标准，乙方做好作业运行管理。</w:t>
      </w:r>
      <w:r>
        <w:rPr>
          <w:rFonts w:ascii="Times New Roman" w:hAnsi="Times New Roman" w:eastAsia="宋体" w:cs="Times New Roman"/>
          <w:sz w:val="24"/>
        </w:rPr>
      </w:r>
      <w:r/>
    </w:p>
    <w:p>
      <w:pPr>
        <w:pStyle w:val="775"/>
        <w:contextualSpacing/>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（三）环卫服务作业质量要求</w:t>
      </w:r>
      <w:r>
        <w:rPr>
          <w:rFonts w:ascii="Times New Roman" w:hAnsi="Times New Roman" w:eastAsia="宋体" w:cs="Times New Roman"/>
          <w:b/>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1、道路人工清扫保洁</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常州市城市环卫作业服务要求》（详见附件19）文件标准，乙方确保道路干净整洁（包括车行道、人行道、绿地、绿化带、花台、树穴根及道路交界处延伸5米的整洁），对沿街垃圾箱、果壳箱进行及时清理、清洁，在规定时间内完成作业任务且保洁率达到100%，须同步进行垃圾包收集与道路清扫保洁作业；对于道路及绿化带内生活垃圾和建筑垃圾，乙方需及时安排人员进行清理，相关清运费用不再另行支付。</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人员交接班要求：作业人员必须坚守岗位，如接班人员未能及时到岗，交接人员不得下班，须保证环卫工作正常进行。同时，未穿标志服不交不接；未完成本班工作不交不接；未准备好下一班工作不交不接；未备齐作业工具不交不接。</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乙方必须按照快速化作业要求逐步配备电动清扫保洁一体作业车辆。鼓励在宽敞道路、快速通道、广场等使用电动机械进行快速化保洁。</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2、道路机械化作业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按区环管中心相关要求，组织好道路的机械化冲洗、洒水、高压清洗和道板冲洗作业，按市级机械化作业质量标准完成作业并确保作业质量。具体要求如下：</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机械化冲洗，一级道路每日1次，二级道路每日1次，三级道路每日1次。 </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机械化洗扫，一级道路每日2次，二级道路每日2次，三级道路每日1次。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b/>
          <w:bCs/>
          <w:sz w:val="24"/>
        </w:rPr>
      </w:pPr>
      <w:r>
        <w:rPr>
          <w:rFonts w:ascii="Times New Roman" w:hAnsi="Times New Roman" w:eastAsia="宋体" w:cs="Times New Roman"/>
          <w:sz w:val="24"/>
        </w:rPr>
        <w:t xml:space="preserve">机械化洒水，一级道路为每日3次，二级道路为每日2次。三级道路每日2次。</w:t>
      </w:r>
      <w:r>
        <w:rPr>
          <w:rFonts w:ascii="Times New Roman" w:hAnsi="Times New Roman" w:eastAsia="宋体" w:cs="Times New Roman"/>
          <w:b/>
          <w:bCs/>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机械化高压清洗，所有等级道路快车道和慢车道每日各清洗1遍。</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作业区域配备不少于29辆18T洒水车、3辆18T新能源洒水车、6辆雾炮车（射程120米）、7辆雾炮车（射程80米）、20辆10T洗扫车、6辆18T洗扫车、2辆4.5T新能源洗扫车、6辆新能源护栏洗扫车、1辆新能源智能自动驾驶扫路车、1辆轻型自卸货车（应急防冻运输）、8辆新能源道板车、21辆三轮清运车、31辆道板冲洗车和87辆三轮保洁车。</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3、路面环卫设施垃圾清运、清理工作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路面果壳箱内的生活垃圾应及时清运；每日7：30之前完成果壳箱清理，并对表面进行清洁，确保垃圾不满溢。果壳箱每日须擦洗2遍；垃圾桶、果壳箱周围确保整洁。</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4、环卫设施运行</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前端生活垃圾收集进站通行证的倾倒站点和倾倒车数做好生活垃圾倾倒服务工作，严禁危废、工业垃圾、建筑垃圾和装修垃圾进入站内。如发生上述情况应及时上报区环管中心处置。做好生活垃圾倾倒车数的台账统计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按规定时间开放、关闭环卫设施，如遇检修时间一天及以上的须报区环管中心批准；短时检修需关闭站点，须报备区环管中心。</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做好转运站管理用房日常管理工作，不得对外出租。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按照规程操作作业设备，按照流程进行作业设备的保养和小额维修，做好台账记录工作。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转运站、公厕设施齐全、完好，排水通畅，保洁及时，内部整洁，无散落垃圾和堆放杂物，无明显臭味，设施周边5米范围内无垃圾杂物。在蝇蚊孳生季节应定时消杀，蝇蚊数量不得超过相关规定。每周对所有环卫设施的外墙进行冲洗、每日对内部门窗、吊顶进行擦洗。</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转运站、公厕、工人休息点等环卫设施要做好用水用电管理，不得私拉乱接，严禁水电外用，车辆不得进入室内进行充电。年度用水用电量要符合区环管中心规定的用水用电核定表（详见附件25），超出核定表范围的水电费用由乙方自行承担，并进行年度考核扣分。</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做好生活垃圾转运箱的维护及修理工作，达到城市长效管理的要求。</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做好生活垃圾收集站和转运站环保设施的日常运行和维保工作，当日最低温度高于5摄氏度必须开启站点配套环保设备。日常环保设备维护必须由有资质企业实施，并按规定期限及时对相关环保设备进行维护保养（乙方委托的维保单位必须到区环管中心进行备案）。对于采购的环保耗材，乙方必须采购符合区环管中心要求的合格产品，严禁假冒伪劣或指标不合格产品用于环保设备的日常运行中（乙方采购的环保耗材单位必须到区环管中心备案）。</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5、垃圾清运工作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（1）因环保工作要求，</w:t>
      </w:r>
      <w:r>
        <w:rPr>
          <w:rFonts w:ascii="Times New Roman" w:hAnsi="Times New Roman" w:eastAsia="宋体" w:cs="Times New Roman"/>
          <w:sz w:val="24"/>
          <w:lang w:val="en-US" w:eastAsia="zh-CN"/>
        </w:rPr>
        <w:t xml:space="preserve">甲方</w:t>
      </w:r>
      <w:r>
        <w:rPr>
          <w:rFonts w:ascii="Times New Roman" w:hAnsi="Times New Roman" w:eastAsia="宋体" w:cs="Times New Roman"/>
          <w:sz w:val="24"/>
        </w:rPr>
        <w:t xml:space="preserve">已按照2.7元/吨（清运至终端垃圾量）清运费用补充乙方用于垃圾转运箱更新（2元/吨）和维修（0.7元/吨），乙方应在运输中保持车容车貌，杜绝跑冒滴漏现象。乙方应在孟河站、龙虎塘站进料口安装遮挡设备，做好设备整洁，并防止污水大规模滴漏现象发生。</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（2）乙方应保证作业的收集站和转运站能及时让前端生活垃圾收运车辆倾倒生活垃圾，不得出现因垃圾转运箱（无箱或满箱调度不合理等）问题造成前端生活垃圾收运车辆排队现象。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（3）乙方应充分考虑生活垃圾收运关系到社会民生问题，对于因生活垃圾收运造成市民投诉或相关部门反映的，经查证属实的，将依据《常州市新北区环境卫生作业考评细则》（详见附件21）进行扣款。</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（4）乙方严禁收运餐厨垃圾进入生活垃圾收集站或转运站。</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（5）乙方严禁私自外接污水清运事项。</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6、大气抑尘工作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（1）重污染天气高空湿法降尘作业车辆保障服务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乙方至少具备同时调度和使用13辆高空湿法降尘作业车，高空湿法降尘作业车须乙方自有，具备完全调度能力其中6辆多功能抑尘车的扬程不低于120米，7辆扬程不低于80米。</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乙方至少具备同时调度和使用6辆洒水车。</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乙方须自行对车辆进行保险保养维修，确保车辆保持良好状态，具有随时出车的能力。</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乙方须有固定的停车场所，停车地点距离新北区城区范围内半小时可达。</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乙方须配有专业多功能抑尘车驾驶员，具备B照以上驾照，能够同时调动的驾驶员数量不低于10人，且接受过相关培训，可以独立操作。</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乙方需要确保车辆燃油充足、车况良好和司机到位，具备随时出车能力。</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乙方具备完备的多功能抑尘车值班制度，能确保新北区主城区(除罗溪、西夏墅、孟河和奔牛外)，1小时内可到达现场进行作业，非主城区2小时达到现场。</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乙方需严格遵守作业规程，雾炮车严禁在禁止喷雾区间进行喷雾作业。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（2）重污染天气高空湿法降尘作业服务</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乙方制定专项作业车的作业规范，作业规程须得到区生态环境局的认可。</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乙方的作业路线不得对自动空气站的运行造成影响，供应商自行解决专项作业车辆的所需的资源和条件，供应商自行协调专项车辆作业中可能遇到的各种问题。</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根据空气质量预警预报进行大气应急作业。达到轻度良，湿度不大于75%的条件下执行启动作业程序，1小时内可到达现场进行作业。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接到环保部门的临时通知，需要1小时内到达现场进行作业。</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在接报重污染天气预警后，供应商安排人员24小时值班具备随时出车条件。</w:t>
      </w:r>
      <w:r>
        <w:rPr>
          <w:rFonts w:ascii="Times New Roman" w:hAnsi="Times New Roman" w:eastAsia="宋体" w:cs="Times New Roman"/>
          <w:sz w:val="24"/>
        </w:rPr>
      </w:r>
      <w:r/>
    </w:p>
    <w:p>
      <w:pPr>
        <w:pStyle w:val="775"/>
        <w:ind w:firstLine="482"/>
        <w:jc w:val="left"/>
        <w:spacing w:line="360" w:lineRule="auto"/>
        <w:widowControl/>
        <w:rPr>
          <w:rFonts w:ascii="Times New Roman" w:hAnsi="Times New Roman" w:eastAsia="宋体" w:cs="Times New Roman"/>
          <w:b/>
          <w:sz w:val="24"/>
        </w:rPr>
      </w:pPr>
      <w:r>
        <w:rPr>
          <w:rFonts w:ascii="Times New Roman" w:hAnsi="Times New Roman" w:eastAsia="宋体" w:cs="Times New Roman"/>
          <w:b/>
          <w:sz w:val="24"/>
        </w:rPr>
        <w:t xml:space="preserve">（四）安全文明作业要求</w:t>
      </w:r>
      <w:r>
        <w:rPr>
          <w:rFonts w:ascii="Times New Roman" w:hAnsi="Times New Roman" w:eastAsia="宋体" w:cs="Times New Roman"/>
          <w:b/>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1、文明作业要求：对职工进行文明作业教育；作业人员必须穿着环卫标志服，严禁穿拖鞋上岗；作业时轻拿轻放，文明作业，严禁故意挥扬尘；垃圾运输车辆必须完好、密封、整洁；作业职工之间严禁传播不文明信息。</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2、安全作业要求：认真贯彻执行国家、省、市、区有关安全生产的法律法规和规定；配备安全生产专（兼）职管理人员，建立完整的安全生产管理网络；规章制度健全，工作职责落实，考核目标明确，坚持奖惩分明；乙方必须根据国家、省、地方</w:t>
      </w:r>
      <w:r>
        <w:rPr>
          <w:rFonts w:ascii="Times New Roman" w:hAnsi="Times New Roman" w:eastAsia="宋体" w:cs="Times New Roman"/>
          <w:sz w:val="24"/>
        </w:rPr>
        <w:t xml:space="preserve">和本市环卫行政主管部门、环卫专业管理部门颁布的各项环卫作业规范、安全规范、质量标准安全作业，全年开展不少于三次的大型安全生产活动。乙方积极参加甲方组织的安全生产作业活动，通报安全生产作业情况，完善安全作业措施，提高作业水平。建立自身的安全工作管理机制和质量检查机制，实行自查自纠，若出现重大安全事故或质量事故，应立即向主管部门报告。乙方必须自觉接受甲方的安全生产检查，提供相关的台账资料。甲方将检查考评情况以书面形式通知乙方，乙方以书面形式回复整改情况。建立环卫作业工具标准化检查制度，乙方必须采购具有国家标准的</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三包</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作业工具。</w:t>
      </w:r>
      <w:r>
        <w:rPr>
          <w:rFonts w:ascii="Times New Roman" w:hAnsi="Times New Roman" w:eastAsia="宋体" w:cs="Times New Roman"/>
          <w:sz w:val="24"/>
        </w:rPr>
        <w:t xml:space="preserve">按时为职工配备劳动保护用品。乙方必须对企业员工进行安全知识工作培训。教育职工严格遵守国家法律法规及环卫操作规程。作业人员应经环卫作业专业培训后方可上岗作业。为进一步落实安全生产责任，乙方在作业过程中发生重大安全生产责任事故时应第一时间上报区环卫行业主管部门。发生普通安全生产责任事故的应在24小时内上报区环卫行业主管部门，对于违反上述规定未及时上报区环卫行业主管部门的，甲方认为乙方涉及事故瞒报行为，将依据《常州市新北区环境卫生作业考评细则》（详见附件21）进行扣款，并视情况通报乙方上级主管单位或区政府安委会。</w:t>
      </w:r>
      <w:r>
        <w:rPr>
          <w:rFonts w:ascii="Times New Roman" w:hAnsi="Times New Roman" w:eastAsia="宋体" w:cs="Times New Roman"/>
          <w:sz w:val="24"/>
        </w:rPr>
      </w:r>
      <w:r/>
    </w:p>
    <w:p>
      <w:pPr>
        <w:pStyle w:val="775"/>
        <w:ind w:firstLine="482"/>
        <w:jc w:val="left"/>
        <w:spacing w:line="360" w:lineRule="auto"/>
        <w:widowControl/>
        <w:rPr>
          <w:rFonts w:ascii="Times New Roman" w:hAnsi="Times New Roman" w:eastAsia="宋体" w:cs="Times New Roman"/>
          <w:b/>
          <w:sz w:val="24"/>
        </w:rPr>
      </w:pPr>
      <w:r>
        <w:rPr>
          <w:rFonts w:ascii="Times New Roman" w:hAnsi="Times New Roman" w:eastAsia="宋体" w:cs="Times New Roman"/>
          <w:b/>
          <w:sz w:val="24"/>
        </w:rPr>
        <w:t xml:space="preserve">（五）作业质量考核及月度考评</w:t>
      </w:r>
      <w:r>
        <w:rPr>
          <w:rFonts w:ascii="Times New Roman" w:hAnsi="Times New Roman" w:eastAsia="宋体" w:cs="Times New Roman"/>
          <w:b/>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1、日常检查和考核由市、区相关部门和区环管中心共同实施，考核得分采用各部门考核分累加的办法计算。</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2、其中被市级部门通报的每次扣5万，被区级部门通报的每次扣2万。</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3、被区相关部门考核和区环管中心考核的每分扣2000元（按常州市新北区环境卫生作业考评细则执行）。</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4、对于影响环境重点问题和一段时间内存在共性问题，区环管中心将采用考核分值等值同价模式进行扣分扣款（例如连续一个月内每周检查中都发现某条道路存在暴露垃圾的问题，区环管中心将扣除这条道路当时段的作业费用）。</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5、根据工作要求，大气抑尘作业由新北区生态环境局进行日常指挥和考核，考核结果报环卫部门作结算依据。（详见附件22）</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年度考核采用评分法</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(1)考核得分大于90分(含90分)，支付乙方全部服务费用；</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(2)考核得分88分(含88分)至90分之间，扣全部服务费用的1%；</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(3)考核得分85分(含85分)至88分之间，扣全部服务费用的2%；</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(4)考核得分80分(含80分)至85分之间，扣全部服务费用的5%；</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(5)考核得分70分(含70分)至80分之间，扣全部服务费用的 10%,区生态环境部门提出警告,乙方向区生态环境部门提交整改报告并完成整改；</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(6)考核得分低于70分，扣全部服务费用的15%，并且取消下一年度合同续签资格。</w:t>
      </w:r>
      <w:r>
        <w:rPr>
          <w:rFonts w:ascii="Times New Roman" w:hAnsi="Times New Roman" w:eastAsia="宋体" w:cs="Times New Roman"/>
          <w:sz w:val="24"/>
        </w:rPr>
      </w:r>
      <w:r/>
    </w:p>
    <w:p>
      <w:pPr>
        <w:pStyle w:val="807"/>
        <w:ind w:firstLine="482"/>
        <w:spacing w:before="0" w:line="360" w:lineRule="auto"/>
        <w:widowControl/>
        <w:tabs>
          <w:tab w:val="left" w:pos="567" w:leader="none"/>
        </w:tabs>
        <w:rPr>
          <w:rFonts w:ascii="Times New Roman" w:hAnsi="Times New Roman" w:eastAsia="宋体" w:cs="Times New Roman"/>
          <w:b/>
        </w:rPr>
      </w:pPr>
      <w:r>
        <w:rPr>
          <w:rFonts w:ascii="Times New Roman" w:hAnsi="Times New Roman" w:eastAsia="宋体" w:cs="Times New Roman"/>
          <w:b/>
        </w:rPr>
        <w:t xml:space="preserve">（六）经费结算办法</w:t>
      </w:r>
      <w:r>
        <w:rPr>
          <w:rFonts w:ascii="Times New Roman" w:hAnsi="Times New Roman" w:eastAsia="宋体" w:cs="Times New Roman"/>
          <w:b/>
        </w:rPr>
      </w:r>
      <w:r/>
    </w:p>
    <w:p>
      <w:pPr>
        <w:pStyle w:val="807"/>
        <w:ind w:firstLine="480"/>
        <w:spacing w:before="0" w:line="360" w:lineRule="auto"/>
        <w:widowControl/>
        <w:tabs>
          <w:tab w:val="left" w:pos="567" w:leader="none"/>
        </w:tabs>
        <w:rPr>
          <w:rFonts w:ascii="Times New Roman" w:hAnsi="Times New Roman" w:eastAsia="宋体" w:cs="Times New Roman"/>
        </w:rPr>
      </w:pPr>
      <w:r>
        <w:rPr>
          <w:rFonts w:ascii="Times New Roman" w:hAnsi="Times New Roman" w:eastAsia="宋体" w:cs="Times New Roman"/>
        </w:rPr>
        <w:t xml:space="preserve">月结算金额为：月度费用=月度承包费用-各部门考评累加扣款（含区环管中心扣款、生态环境局扣款）。</w:t>
      </w:r>
      <w:r>
        <w:rPr>
          <w:rFonts w:ascii="Times New Roman" w:hAnsi="Times New Roman" w:eastAsia="宋体" w:cs="Times New Roman"/>
        </w:rPr>
      </w:r>
      <w:r/>
    </w:p>
    <w:p>
      <w:pPr>
        <w:pStyle w:val="807"/>
        <w:ind w:firstLine="480"/>
        <w:spacing w:before="0" w:line="360" w:lineRule="auto"/>
        <w:widowControl/>
        <w:tabs>
          <w:tab w:val="left" w:pos="567" w:leader="none"/>
        </w:tabs>
        <w:rPr>
          <w:rFonts w:ascii="Times New Roman" w:hAnsi="Times New Roman" w:eastAsia="宋体" w:cs="Times New Roman"/>
          <w:color w:val="000000"/>
        </w:rPr>
      </w:pPr>
      <w:r>
        <w:rPr>
          <w:rFonts w:ascii="Times New Roman" w:hAnsi="Times New Roman" w:eastAsia="宋体" w:cs="Times New Roman"/>
          <w:color w:val="000000"/>
        </w:rPr>
        <w:t xml:space="preserve">每月月底填写月度费用结算表，将考评结果反馈到乙方，乙方凭月考评表和月度费用结算表开据发票报区环管中心审核，经新北区城管局批准进行月度费用结算。此月度结算费用为每月</w:t>
      </w:r>
      <w:r>
        <w:rPr>
          <w:rFonts w:ascii="Times New Roman" w:hAnsi="Times New Roman" w:eastAsia="宋体" w:cs="Times New Roman"/>
          <w:color w:val="000000"/>
          <w:lang w:val="en-US" w:eastAsia="zh-CN"/>
        </w:rPr>
        <w:t xml:space="preserve">甲方</w:t>
      </w:r>
      <w:r>
        <w:rPr>
          <w:rFonts w:ascii="Times New Roman" w:hAnsi="Times New Roman" w:eastAsia="宋体" w:cs="Times New Roman"/>
          <w:color w:val="000000"/>
        </w:rPr>
        <w:t xml:space="preserve">支付给乙方的最终费用，若发生其余费用，由乙方自行承担。</w:t>
      </w:r>
      <w:r>
        <w:rPr>
          <w:rFonts w:ascii="Times New Roman" w:hAnsi="Times New Roman" w:eastAsia="宋体" w:cs="Times New Roman"/>
          <w:color w:val="000000"/>
        </w:rPr>
      </w:r>
      <w:r/>
    </w:p>
    <w:p>
      <w:pPr>
        <w:pStyle w:val="807"/>
        <w:ind w:firstLine="482"/>
        <w:spacing w:before="0" w:line="360" w:lineRule="auto"/>
        <w:widowControl/>
        <w:tabs>
          <w:tab w:val="left" w:pos="567" w:leader="none"/>
        </w:tabs>
        <w:rPr>
          <w:rFonts w:ascii="Times New Roman" w:hAnsi="Times New Roman" w:eastAsia="宋体" w:cs="Times New Roman"/>
          <w:b/>
        </w:rPr>
      </w:pPr>
      <w:r>
        <w:rPr>
          <w:rFonts w:ascii="Times New Roman" w:hAnsi="Times New Roman" w:eastAsia="宋体" w:cs="Times New Roman"/>
          <w:b/>
        </w:rPr>
        <w:t xml:space="preserve">（七）其它事项说明</w:t>
      </w:r>
      <w:r>
        <w:rPr>
          <w:rFonts w:ascii="Times New Roman" w:hAnsi="Times New Roman" w:eastAsia="宋体" w:cs="Times New Roman"/>
          <w:b/>
        </w:rPr>
      </w:r>
      <w:r/>
    </w:p>
    <w:p>
      <w:pPr>
        <w:pStyle w:val="807"/>
        <w:ind w:firstLine="480"/>
        <w:spacing w:before="0" w:line="360" w:lineRule="auto"/>
        <w:widowControl/>
        <w:tabs>
          <w:tab w:val="left" w:pos="567" w:leader="none"/>
        </w:tabs>
        <w:rPr>
          <w:rFonts w:ascii="Times New Roman" w:hAnsi="Times New Roman" w:eastAsia="宋体" w:cs="Times New Roman"/>
        </w:rPr>
      </w:pPr>
      <w:r>
        <w:rPr>
          <w:rFonts w:ascii="Times New Roman" w:hAnsi="Times New Roman" w:eastAsia="宋体" w:cs="Times New Roman"/>
        </w:rPr>
        <w:t xml:space="preserve">1、针对本合同的其他发包服务，乙方需提前上报区环管中心进行审核。</w:t>
      </w:r>
      <w:r>
        <w:rPr>
          <w:rFonts w:ascii="Times New Roman" w:hAnsi="Times New Roman" w:eastAsia="宋体" w:cs="Times New Roman"/>
        </w:rPr>
      </w:r>
      <w:r/>
    </w:p>
    <w:p>
      <w:pPr>
        <w:pStyle w:val="807"/>
        <w:ind w:firstLine="480"/>
        <w:spacing w:before="0" w:line="360" w:lineRule="auto"/>
        <w:widowControl/>
        <w:tabs>
          <w:tab w:val="left" w:pos="567" w:leader="none"/>
        </w:tabs>
        <w:rPr>
          <w:rFonts w:ascii="Times New Roman" w:hAnsi="Times New Roman" w:eastAsia="宋体" w:cs="Times New Roman"/>
        </w:rPr>
      </w:pPr>
      <w:r>
        <w:rPr>
          <w:rFonts w:ascii="Times New Roman" w:hAnsi="Times New Roman" w:eastAsia="宋体" w:cs="Times New Roman"/>
        </w:rPr>
        <w:t xml:space="preserve">2、其它不在本承包范围内发生的费用由承包单位书面申请报新北区城管局同意后结算。</w:t>
      </w:r>
      <w:r>
        <w:rPr>
          <w:rFonts w:ascii="Times New Roman" w:hAnsi="Times New Roman" w:eastAsia="宋体" w:cs="Times New Roman"/>
        </w:rPr>
      </w:r>
      <w:r/>
    </w:p>
    <w:p>
      <w:pPr>
        <w:pStyle w:val="807"/>
        <w:ind w:firstLine="480"/>
        <w:spacing w:before="0" w:line="360" w:lineRule="auto"/>
        <w:widowControl/>
        <w:tabs>
          <w:tab w:val="left" w:pos="567" w:leader="none"/>
        </w:tabs>
        <w:rPr>
          <w:rFonts w:ascii="Times New Roman" w:hAnsi="Times New Roman" w:eastAsia="宋体" w:cs="Times New Roman"/>
        </w:rPr>
      </w:pPr>
      <w:r>
        <w:rPr>
          <w:rFonts w:ascii="Times New Roman" w:hAnsi="Times New Roman" w:eastAsia="宋体" w:cs="Times New Roman"/>
        </w:rPr>
        <w:t xml:space="preserve">3、经双方协商，区环管中心负责发包公厕、环卫设施站点房屋结构方面的维修工作（房屋防水、 场地、地下管网等），乙方负责所管理的环卫设施的其它维修工作（压缩设备、监控设备、环保设备、瓷砖、便池、水龙头、隔板、排风扇、灭蝇灯、门窗、台盆、灯具、下水管道疏通等）。</w:t>
      </w:r>
      <w:r>
        <w:rPr>
          <w:rFonts w:ascii="Times New Roman" w:hAnsi="Times New Roman" w:eastAsia="宋体" w:cs="Times New Roman"/>
        </w:rPr>
      </w:r>
      <w:r/>
    </w:p>
    <w:p>
      <w:pPr>
        <w:pStyle w:val="775"/>
        <w:ind w:firstLine="482"/>
        <w:spacing w:line="360" w:lineRule="auto"/>
        <w:tabs>
          <w:tab w:val="left" w:pos="4995" w:leader="none"/>
        </w:tabs>
        <w:rPr>
          <w:rFonts w:ascii="Times New Roman" w:hAnsi="Times New Roman" w:eastAsia="宋体" w:cs="Times New Roman"/>
          <w:b/>
          <w:bCs/>
          <w:sz w:val="24"/>
        </w:rPr>
      </w:pPr>
      <w:r/>
      <w:bookmarkEnd w:id="691"/>
      <w:r>
        <w:rPr>
          <w:rFonts w:ascii="Times New Roman" w:hAnsi="Times New Roman" w:eastAsia="宋体" w:cs="Times New Roman"/>
          <w:b/>
          <w:bCs/>
          <w:sz w:val="24"/>
        </w:rPr>
        <w:t xml:space="preserve">第四条 市政及绿化养护服务：</w:t>
      </w:r>
      <w:r>
        <w:rPr>
          <w:rFonts w:ascii="Times New Roman" w:hAnsi="Times New Roman" w:eastAsia="宋体" w:cs="Times New Roman"/>
          <w:b/>
          <w:bCs/>
          <w:sz w:val="24"/>
        </w:rPr>
      </w:r>
      <w:r/>
    </w:p>
    <w:p>
      <w:pPr>
        <w:pStyle w:val="775"/>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（一）甲方作为项目的委托单位，拥有项目决策权，项目实施的监督权和知情权。</w:t>
      </w:r>
      <w:r>
        <w:rPr>
          <w:rFonts w:ascii="Times New Roman" w:hAnsi="Times New Roman" w:eastAsia="宋体" w:cs="Times New Roman"/>
          <w:b/>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1、甲方作为管理主体制定考核标准、办法等，对乙方的管护情况进行考评并有权对发包养</w:t>
      </w:r>
      <w:r>
        <w:rPr>
          <w:rFonts w:ascii="Times New Roman" w:hAnsi="Times New Roman" w:eastAsia="宋体" w:cs="Times New Roman"/>
          <w:color w:val="000000"/>
          <w:sz w:val="24"/>
        </w:rPr>
        <w:t xml:space="preserve">护范围及面积进行调</w:t>
      </w:r>
      <w:r>
        <w:rPr>
          <w:rFonts w:ascii="Times New Roman" w:hAnsi="Times New Roman" w:eastAsia="宋体" w:cs="Times New Roman"/>
          <w:sz w:val="24"/>
        </w:rPr>
        <w:t xml:space="preserve">整。</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2、在乙方满足管护要求并通过甲方考核的情况下，按约定时限和方式将应付费用拨给乙方。</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3、严格按照管护要求和考核办法对乙方的工作进行考核，并向乙方提供必要的技术指导。</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4、委托乙方负责合同内容运维管护、安全管理、工程资料管理等工作。</w:t>
      </w:r>
      <w:r>
        <w:rPr>
          <w:rFonts w:ascii="Times New Roman" w:hAnsi="Times New Roman" w:eastAsia="宋体" w:cs="Times New Roman"/>
          <w:sz w:val="24"/>
        </w:rPr>
      </w:r>
      <w:r/>
    </w:p>
    <w:p>
      <w:pPr>
        <w:pStyle w:val="775"/>
        <w:ind w:firstLine="482"/>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（二）乙方在服务过程中应当符合甲方服务要求</w:t>
      </w:r>
      <w:r>
        <w:rPr>
          <w:rFonts w:ascii="Times New Roman" w:hAnsi="Times New Roman" w:eastAsia="宋体" w:cs="Times New Roman"/>
          <w:b/>
          <w:bCs/>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1、乙方承担的绿化、市政设施日常养护和零星类项目应达到甲方明确的标准，满足管护要求，且应落实城市</w:t>
      </w:r>
      <w:r>
        <w:rPr>
          <w:rFonts w:ascii="Times New Roman" w:hAnsi="Times New Roman" w:eastAsia="宋体" w:cs="Times New Roman"/>
          <w:color w:val="000000"/>
          <w:sz w:val="24"/>
        </w:rPr>
        <w:t xml:space="preserve">长效管理、巡查等工作要求。</w:t>
      </w:r>
      <w:r>
        <w:rPr>
          <w:rFonts w:ascii="Times New Roman" w:hAnsi="Times New Roman" w:eastAsia="宋体" w:cs="Times New Roman"/>
          <w:sz w:val="24"/>
        </w:rPr>
        <w:t xml:space="preserve">乙方应指定专人负责12345热线交办件、数字城管交办件、网格化平台和巡查发现问题的日常接单回单工作。</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养护期间内出现苗木偷盗及未经许可私自开挖未及时巡查上报等情况，该范围的绿化恢复补植工作由乙方负责并确保成活率。养护范围</w:t>
      </w:r>
      <w:r>
        <w:rPr>
          <w:rFonts w:ascii="Times New Roman" w:hAnsi="Times New Roman" w:eastAsia="宋体" w:cs="Times New Roman"/>
          <w:color w:val="000000"/>
          <w:sz w:val="24"/>
        </w:rPr>
        <w:t xml:space="preserve">内养护期间出现</w:t>
      </w:r>
      <w:r>
        <w:rPr>
          <w:rFonts w:ascii="Times New Roman" w:hAnsi="Times New Roman" w:eastAsia="宋体" w:cs="Times New Roman"/>
          <w:sz w:val="24"/>
        </w:rPr>
        <w:t xml:space="preserve">因养护不当造成苗木死亡或者保存率低于养护质量标准要求的，由乙方负责绿化补植工作并确保成活率。以上产生的相关费用均已包含在绿化养护费用中，甲方不再另行支付。</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bCs/>
          <w:color w:val="000000"/>
          <w:spacing w:val="2"/>
          <w:sz w:val="24"/>
        </w:rPr>
      </w:pPr>
      <w:r>
        <w:rPr>
          <w:rFonts w:ascii="Times New Roman" w:hAnsi="Times New Roman" w:eastAsia="宋体" w:cs="Times New Roman"/>
          <w:sz w:val="24"/>
        </w:rPr>
        <w:t xml:space="preserve">本项目包括绿化养护监管及市政巡查等内容。费用包含在养护单价及工程单价内</w:t>
      </w:r>
      <w:r>
        <w:rPr>
          <w:rFonts w:ascii="Times New Roman" w:hAnsi="Times New Roman" w:eastAsia="宋体" w:cs="Times New Roman"/>
          <w:color w:val="000000"/>
          <w:sz w:val="24"/>
        </w:rPr>
        <w:t xml:space="preserve">（巡查费用不再另行计算）。</w:t>
      </w:r>
      <w:r>
        <w:rPr>
          <w:rFonts w:ascii="Times New Roman" w:hAnsi="Times New Roman" w:eastAsia="宋体" w:cs="Times New Roman"/>
          <w:bCs/>
          <w:color w:val="000000"/>
          <w:spacing w:val="2"/>
          <w:sz w:val="24"/>
        </w:rPr>
        <w:t xml:space="preserve">服务内容如下：</w:t>
      </w:r>
      <w:r>
        <w:rPr>
          <w:rFonts w:ascii="Times New Roman" w:hAnsi="Times New Roman" w:eastAsia="宋体" w:cs="Times New Roman"/>
          <w:bCs/>
          <w:color w:val="000000"/>
          <w:spacing w:val="2"/>
          <w:sz w:val="24"/>
        </w:rPr>
      </w:r>
      <w:r/>
    </w:p>
    <w:p>
      <w:pPr>
        <w:pStyle w:val="775"/>
        <w:ind w:firstLine="488"/>
        <w:spacing w:line="360" w:lineRule="auto"/>
        <w:rPr>
          <w:rFonts w:ascii="Times New Roman" w:hAnsi="Times New Roman" w:eastAsia="宋体" w:cs="Times New Roman"/>
          <w:color w:val="000000"/>
          <w:spacing w:val="2"/>
          <w:sz w:val="24"/>
        </w:rPr>
      </w:pPr>
      <w:r>
        <w:rPr>
          <w:rFonts w:ascii="Times New Roman" w:hAnsi="Times New Roman" w:eastAsia="宋体" w:cs="Times New Roman"/>
          <w:color w:val="000000"/>
          <w:spacing w:val="2"/>
          <w:sz w:val="24"/>
        </w:rPr>
        <w:t xml:space="preserve">（1）绿化养护监管范围包括督促绿化养护单位在新北区境内道路绿化、城市绿地公园等养护的工作，确保质量要求及成活率，景观效果良好。</w:t>
      </w:r>
      <w:r>
        <w:rPr>
          <w:rFonts w:ascii="Times New Roman" w:hAnsi="Times New Roman" w:eastAsia="宋体" w:cs="Times New Roman"/>
          <w:color w:val="000000"/>
          <w:spacing w:val="2"/>
          <w:sz w:val="24"/>
        </w:rPr>
      </w:r>
      <w:r/>
    </w:p>
    <w:p>
      <w:pPr>
        <w:pStyle w:val="775"/>
        <w:ind w:firstLine="488"/>
        <w:spacing w:line="360" w:lineRule="auto"/>
        <w:rPr>
          <w:rFonts w:ascii="Times New Roman" w:hAnsi="Times New Roman" w:eastAsia="宋体" w:cs="Times New Roman"/>
          <w:color w:val="000000"/>
          <w:spacing w:val="2"/>
          <w:sz w:val="24"/>
        </w:rPr>
      </w:pPr>
      <w:r>
        <w:rPr>
          <w:rFonts w:ascii="Times New Roman" w:hAnsi="Times New Roman" w:eastAsia="宋体" w:cs="Times New Roman"/>
          <w:color w:val="000000"/>
          <w:spacing w:val="2"/>
          <w:sz w:val="24"/>
        </w:rPr>
        <w:t xml:space="preserve">（2）市政巡查服务范围包括监管市政设施养护单位在新北区境内市政设施功日常保养、道路设施开挖后的恢复等工作，确保市政设施维护良好。</w:t>
      </w:r>
      <w:r>
        <w:rPr>
          <w:rFonts w:ascii="Times New Roman" w:hAnsi="Times New Roman" w:eastAsia="宋体" w:cs="Times New Roman"/>
          <w:color w:val="000000"/>
          <w:spacing w:val="2"/>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巡查频率：特、一级区域，每天至少巡查一遍；二级、三级区域每三天至少巡查一遍；四级区域至少每周巡查一遍，因巡查整改不到位产生的所有问题均由乙方承担。</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2、乙方须建立完善的管理制度，并根据甲方要求开展管理服务工作。</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（1）零星类项目由乙方编制实施计划并报甲方审核同意后实施。</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（2）乙方不得利用所承包范围内的设施从事任何营利性活动，不得影响或损害甲方利益或公共利益。</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sz w:val="24"/>
        </w:rPr>
        <w:t xml:space="preserve">（3）乙方应对所承接项目的安全问题承担责任，消除管护区域的安全隐患，做好本项目安全施工的相关管理工作，督促、教育相关人员严格按安全标准组织施工，采取相应安全防护措施，并检查落实到位。</w:t>
      </w:r>
      <w:r>
        <w:rPr>
          <w:rFonts w:ascii="Times New Roman" w:hAnsi="Times New Roman" w:eastAsia="宋体" w:cs="Times New Roman"/>
          <w:color w:val="000000"/>
          <w:sz w:val="24"/>
        </w:rPr>
        <w:t xml:space="preserve">因乙方巡查不到位、维修不到位等原因造成的安全问题，均由乙方承担。</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（4）应对突发事件及重大活动，乙方应积极服从甲方安排，及时调动人员、设备、物料等配合甲方做好保障工作，并按照甲方要求，增加巡查人员和巡查频次开展强化巡查。</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乙方需建立应急抢险组织网络，制订各类突发事件应急预案，有应急队伍、应急物资、机械设备到位，做好应急准备工作。高温、台风、暴雨等特殊天气，应急抢险队员按甲方规定在集合点待命，巡查值班。发生交通事故、110联动报警、台风、暴雪暴雨和其他一切不可抗拒因素引起的树木倾倒、伤人、伤物、碰线等应急险情的，乙方需第一时间到达现场并处置，及时向有关部门汇报处理情况。出现重大情况时，乙方突击人员必须服从甲方的统一安排，不得以任何理由拒绝。</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（6）涉及到的所有交通、环卫、市容、噪声及劳务用工管理等各项应办手续,乙方应积极办理。</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（7）绿化废弃物应按照甲方要求送至指定场所进行处置，费用含在养护报价中，不另计。</w:t>
      </w:r>
      <w:r>
        <w:rPr>
          <w:rFonts w:ascii="Times New Roman" w:hAnsi="Times New Roman" w:eastAsia="宋体" w:cs="Times New Roman"/>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（8）乙方应配合甲方做好预算绩效管理，达到预算绩效管理目标的相关要求，并积极配合绩效评价工作。</w:t>
      </w:r>
      <w:r>
        <w:rPr>
          <w:rFonts w:ascii="Times New Roman" w:hAnsi="Times New Roman" w:eastAsia="宋体" w:cs="Times New Roman"/>
          <w:color w:val="000000"/>
          <w:sz w:val="24"/>
        </w:rPr>
      </w:r>
      <w:r/>
    </w:p>
    <w:p>
      <w:pPr>
        <w:pStyle w:val="775"/>
        <w:ind w:firstLine="482"/>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（三）市政及绿化养护服务内容</w:t>
      </w:r>
      <w:r>
        <w:rPr>
          <w:rFonts w:ascii="Times New Roman" w:hAnsi="Times New Roman" w:eastAsia="宋体" w:cs="Times New Roman"/>
          <w:b/>
          <w:bCs/>
          <w:sz w:val="24"/>
        </w:rPr>
      </w:r>
      <w:r/>
    </w:p>
    <w:p>
      <w:pPr>
        <w:pStyle w:val="775"/>
        <w:contextualSpacing/>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1、道路绿化养护</w:t>
      </w:r>
      <w:r>
        <w:rPr>
          <w:rFonts w:ascii="Times New Roman" w:hAnsi="Times New Roman" w:eastAsia="宋体" w:cs="Times New Roman"/>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（1）区管道路、苗圃等绿化日常养护工作，含日常修剪、零星补植、病虫害防治、松土、杂草控制、水肥管理、绿化杂物清理、景观设施维护等工作；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（2）区管道路零星绿化调整、景观设施等零星维修、零星行政迁移恢复等工作；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（3）区管道路零星草花种植、零星花箱草花更换等工作；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（4）主动配合甲方绿化废弃物综合处置利用工作。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2、市政养护</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区管道路、道板（树池）、桥梁、景观设施等零星维修及零星行政恢复等工作。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3、公园养护</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（1）公园景观养护，含区管公园日常修剪、零星补植、病虫害防治、松土、杂草控制、水肥管理、绿化杂物清理、水面维护、秩序维护、园容保洁、设施设备维护等工作；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（2）公园零星绿化调整、设施设备零星维修，零星草花种植等。</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含区管公园内的道路、雕塑、各类标识标牌、座椅、护栏、草花等维修更换，花事花节办理等工作。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4、排水设施养护</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（1）泵站、排水设施养护，含泵站运维、排水设施检查、清掏疏通、溯源排查等工作；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（2）排水设施零星维修，含井盖、收水井、雨水管道维修等工作；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（3）再生水泵站及管道运维养护等工作。</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5、其他事项</w:t>
      </w:r>
      <w:r>
        <w:rPr>
          <w:rFonts w:ascii="Times New Roman" w:hAnsi="Times New Roman" w:eastAsia="宋体" w:cs="Times New Roman"/>
          <w:color w:val="000000"/>
          <w:sz w:val="24"/>
        </w:rPr>
      </w:r>
      <w:r/>
    </w:p>
    <w:p>
      <w:pPr>
        <w:pStyle w:val="775"/>
        <w:contextualSpacing/>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（1）应对突发事件及重大活动，</w:t>
      </w:r>
      <w:r>
        <w:rPr>
          <w:rFonts w:ascii="Times New Roman" w:hAnsi="Times New Roman" w:eastAsia="宋体" w:cs="Times New Roman"/>
          <w:color w:val="000000"/>
          <w:sz w:val="24"/>
          <w:lang w:val="en-US" w:eastAsia="zh-CN"/>
        </w:rPr>
        <w:t xml:space="preserve">乙方</w:t>
      </w:r>
      <w:r>
        <w:rPr>
          <w:rFonts w:ascii="Times New Roman" w:hAnsi="Times New Roman" w:eastAsia="宋体" w:cs="Times New Roman"/>
          <w:color w:val="000000"/>
          <w:sz w:val="24"/>
        </w:rPr>
        <w:t xml:space="preserve">应积极服从</w:t>
      </w:r>
      <w:r>
        <w:rPr>
          <w:rFonts w:ascii="Times New Roman" w:hAnsi="Times New Roman" w:eastAsia="宋体" w:cs="Times New Roman"/>
          <w:color w:val="000000"/>
          <w:sz w:val="24"/>
          <w:lang w:val="en-US" w:eastAsia="zh-CN"/>
        </w:rPr>
        <w:t xml:space="preserve">甲方</w:t>
      </w:r>
      <w:r>
        <w:rPr>
          <w:rFonts w:ascii="Times New Roman" w:hAnsi="Times New Roman" w:eastAsia="宋体" w:cs="Times New Roman"/>
          <w:color w:val="000000"/>
          <w:sz w:val="24"/>
        </w:rPr>
        <w:t xml:space="preserve">安排，及时调动人员、设备、物料等配合</w:t>
      </w:r>
      <w:r>
        <w:rPr>
          <w:rFonts w:ascii="Times New Roman" w:hAnsi="Times New Roman" w:eastAsia="宋体" w:cs="Times New Roman"/>
          <w:color w:val="000000"/>
          <w:sz w:val="24"/>
          <w:lang w:val="en-US" w:eastAsia="zh-CN"/>
        </w:rPr>
        <w:t xml:space="preserve">甲方</w:t>
      </w:r>
      <w:r>
        <w:rPr>
          <w:rFonts w:ascii="Times New Roman" w:hAnsi="Times New Roman" w:eastAsia="宋体" w:cs="Times New Roman"/>
          <w:color w:val="000000"/>
          <w:sz w:val="24"/>
        </w:rPr>
        <w:t xml:space="preserve">做好保障工作。</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（2）遭遇突发紧急情况，如洪涝灾害、台风飓风、暴雨暴雪等气象灾害或其他不可抗力等，</w:t>
      </w:r>
      <w:r>
        <w:rPr>
          <w:rFonts w:ascii="Times New Roman" w:hAnsi="Times New Roman" w:eastAsia="宋体" w:cs="Times New Roman"/>
          <w:color w:val="000000"/>
          <w:sz w:val="24"/>
          <w:lang w:val="en-US" w:eastAsia="zh-CN"/>
        </w:rPr>
        <w:t xml:space="preserve">乙方</w:t>
      </w:r>
      <w:r>
        <w:rPr>
          <w:rFonts w:ascii="Times New Roman" w:hAnsi="Times New Roman" w:eastAsia="宋体" w:cs="Times New Roman"/>
          <w:color w:val="000000"/>
          <w:sz w:val="24"/>
        </w:rPr>
        <w:t xml:space="preserve">应迅速组织力量，及时处理并恢复到位；</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（3）根据甲方要求主动配合做好全区无人机巡查考核等工作。</w:t>
      </w:r>
      <w:r>
        <w:rPr>
          <w:rFonts w:ascii="Times New Roman" w:hAnsi="Times New Roman" w:eastAsia="宋体" w:cs="Times New Roman"/>
          <w:color w:val="000000"/>
          <w:sz w:val="24"/>
        </w:rPr>
      </w:r>
      <w:r/>
    </w:p>
    <w:p>
      <w:pPr>
        <w:pStyle w:val="775"/>
        <w:ind w:firstLine="482"/>
        <w:spacing w:line="360" w:lineRule="auto"/>
        <w:tabs>
          <w:tab w:val="left" w:pos="4995" w:leader="none"/>
        </w:tabs>
        <w:rPr>
          <w:rFonts w:ascii="Times New Roman" w:hAnsi="Times New Roman" w:eastAsia="宋体" w:cs="Times New Roman"/>
          <w:b/>
          <w:bCs/>
          <w:sz w:val="24"/>
        </w:rPr>
      </w:pPr>
      <w:r>
        <w:rPr>
          <w:rFonts w:ascii="Times New Roman" w:hAnsi="Times New Roman" w:eastAsia="宋体" w:cs="Times New Roman"/>
          <w:b/>
          <w:bCs/>
          <w:sz w:val="24"/>
        </w:rPr>
        <w:t xml:space="preserve">（四）市政及绿化养护服务标准</w:t>
      </w:r>
      <w:r>
        <w:rPr>
          <w:rFonts w:ascii="Times New Roman" w:hAnsi="Times New Roman" w:eastAsia="宋体" w:cs="Times New Roman"/>
          <w:b/>
          <w:bCs/>
          <w:sz w:val="24"/>
        </w:rPr>
      </w:r>
      <w:r/>
    </w:p>
    <w:p>
      <w:pPr>
        <w:pStyle w:val="775"/>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严格按照《常新住建</w:t>
      </w:r>
      <w:r>
        <w:rPr>
          <w:rFonts w:ascii="Times New Roman" w:hAnsi="Times New Roman" w:eastAsia="宋体" w:cs="Times New Roman"/>
          <w:color w:val="000000"/>
          <w:sz w:val="24"/>
          <w:highlight w:val="none"/>
        </w:rPr>
        <w:t xml:space="preserve">【2026】42号新北区绿地养护分类分级管理实施细则》、《新北区市政绿化管理所绿化、市政设施管护考核办法（2026）》、《关于进一步规范新北区道路临时施工项目安全文明施工管理的通知》、《新北区市政绿化管理所绿化养护技术规程（2026）》、《新北区市政绿化管理所道路养护管理规程（2026）》、《新北区市政绿化管理所排水管、涵管理规程（2026）》、《新北区市政绿化管理所月季管养技术规程（2026）》、《新北区市政绿化管理所苗圃管理制度（2026）》《常新住建【2026】43号关于加强新北区城市公园管理的实施意</w:t>
      </w:r>
      <w:r>
        <w:rPr>
          <w:rFonts w:hint="eastAsia" w:ascii="Times New Roman" w:hAnsi="Times New Roman" w:eastAsia="宋体" w:cs="Times New Roman"/>
          <w:color w:val="000000"/>
          <w:sz w:val="24"/>
          <w:highlight w:val="none"/>
          <w:lang w:val="en-US" w:eastAsia="zh-CN"/>
        </w:rPr>
        <w:t xml:space="preserve">见</w:t>
      </w:r>
      <w:r>
        <w:rPr>
          <w:rFonts w:ascii="Times New Roman" w:hAnsi="Times New Roman" w:eastAsia="宋体" w:cs="Times New Roman"/>
          <w:color w:val="000000"/>
          <w:sz w:val="24"/>
          <w:highlight w:val="none"/>
        </w:rPr>
        <w:t xml:space="preserve">》等文件（详见附件：8-16）的要求，做好城市公用设施集中管护工作，如有最新文件，则按照最新文件要求执行。(行道树的管理养护等参照常州市相关最新文件执行)</w:t>
      </w:r>
      <w:r>
        <w:rPr>
          <w:rFonts w:ascii="Times New Roman" w:hAnsi="Times New Roman" w:eastAsia="宋体" w:cs="Times New Roman"/>
          <w:color w:val="000000"/>
          <w:sz w:val="24"/>
          <w:highlight w:val="none"/>
        </w:rPr>
      </w:r>
      <w:r/>
    </w:p>
    <w:p>
      <w:pPr>
        <w:pStyle w:val="775"/>
        <w:ind w:firstLine="482"/>
        <w:spacing w:line="360" w:lineRule="auto"/>
        <w:tabs>
          <w:tab w:val="left" w:pos="4995" w:leader="none"/>
        </w:tabs>
        <w:rPr>
          <w:rFonts w:ascii="Times New Roman" w:hAnsi="Times New Roman" w:eastAsia="宋体" w:cs="Times New Roman"/>
          <w:b/>
          <w:bCs/>
          <w:sz w:val="24"/>
        </w:rPr>
      </w:pPr>
      <w:r>
        <w:rPr>
          <w:rFonts w:ascii="Times New Roman" w:hAnsi="Times New Roman" w:eastAsia="宋体" w:cs="Times New Roman"/>
          <w:b/>
          <w:bCs/>
          <w:sz w:val="24"/>
        </w:rPr>
        <w:t xml:space="preserve">（五）费用支付方式   </w:t>
      </w:r>
      <w:r>
        <w:rPr>
          <w:rFonts w:ascii="Times New Roman" w:hAnsi="Times New Roman" w:eastAsia="宋体" w:cs="Times New Roman"/>
          <w:b/>
          <w:bCs/>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1、养护类</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（1）绿化养护</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各级道路绿化月度考核得分在90分（含）以上的，该月度考核基数全额支付</w:t>
      </w:r>
      <w:r>
        <w:rPr>
          <w:rFonts w:ascii="Times New Roman" w:hAnsi="Times New Roman" w:eastAsia="宋体" w:cs="Times New Roman"/>
          <w:color w:val="000000"/>
          <w:sz w:val="24"/>
          <w:lang w:eastAsia="zh-CN"/>
        </w:rPr>
        <w:t xml:space="preserve">；</w:t>
      </w:r>
      <w:r>
        <w:rPr>
          <w:rFonts w:ascii="Times New Roman" w:hAnsi="Times New Roman" w:eastAsia="宋体" w:cs="Times New Roman"/>
          <w:color w:val="000000"/>
          <w:sz w:val="24"/>
          <w:lang w:eastAsia="zh-CN"/>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月度支付金额=各级道路绿化年度总价/12-月度工作管理考核扣款。</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得分低于90分的，则每低1分扣除当月月度考核基数的1%，以此类推计算。月度工作管理部分扣款为当月工作管理考核扣款总额。</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月度支付金额=各级道路绿化年度总价/12*[1-（90-当月月度考核得分）%]-月度工作管理考核扣款。</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注：各级道路绿化年度总价按实际进出面积进行调整。苗圃闲置地块费用参考以上方式支付。</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（2）公园管理</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各公园月度考核得分在90分（含）以上的，该月度考核基数全额支付</w:t>
      </w:r>
      <w:r>
        <w:rPr>
          <w:rFonts w:ascii="Times New Roman" w:hAnsi="Times New Roman" w:eastAsia="宋体" w:cs="Times New Roman"/>
          <w:color w:val="000000"/>
          <w:sz w:val="24"/>
          <w:lang w:eastAsia="zh-CN"/>
        </w:rPr>
        <w:t xml:space="preserve">；</w:t>
      </w:r>
      <w:r>
        <w:rPr>
          <w:rFonts w:ascii="Times New Roman" w:hAnsi="Times New Roman" w:eastAsia="宋体" w:cs="Times New Roman"/>
          <w:color w:val="000000"/>
          <w:sz w:val="24"/>
          <w:lang w:eastAsia="zh-CN"/>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月度支付金额=各公园年度总价/12-月度工作管理考核扣款。</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得分低于90分的，则每低1分扣除当月月度考核基数的1%，以此类推计算。月度工作管理部分扣款为当月工作管理考核扣款总额。</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月度支付金额=各公园年度总价/12*[1-（90-当月月度考核得分）%]-月度工作管理考核扣款。</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注：各公园年度总价按实际进出面积进行调整。</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（3）排水设施养护</w:t>
      </w:r>
      <w:r>
        <w:rPr>
          <w:rFonts w:ascii="Times New Roman" w:hAnsi="Times New Roman" w:eastAsia="宋体" w:cs="Times New Roman"/>
          <w:color w:val="000000"/>
          <w:sz w:val="24"/>
        </w:rPr>
      </w:r>
      <w:r/>
    </w:p>
    <w:p>
      <w:pPr>
        <w:pStyle w:val="775"/>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月度支付金额=排水设施养护月度申请款（扣除第三方检测不合格款项）-月度考核扣款-月度工作管理考核扣款。</w:t>
      </w:r>
      <w:r>
        <w:rPr>
          <w:rFonts w:ascii="Times New Roman" w:hAnsi="Times New Roman" w:eastAsia="宋体" w:cs="Times New Roman"/>
          <w:color w:val="000000"/>
          <w:sz w:val="24"/>
        </w:rPr>
      </w:r>
      <w:r/>
    </w:p>
    <w:p>
      <w:pPr>
        <w:pStyle w:val="775"/>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当月度养护作业考核得分在90分（含）以上的，该月度考核基数全额支付；得分少于90分的，则每低1分扣除5000元。</w:t>
      </w:r>
      <w:r>
        <w:rPr>
          <w:rFonts w:ascii="Times New Roman" w:hAnsi="Times New Roman" w:eastAsia="宋体" w:cs="Times New Roman"/>
          <w:color w:val="000000"/>
          <w:sz w:val="24"/>
        </w:rPr>
      </w:r>
      <w:r/>
    </w:p>
    <w:p>
      <w:pPr>
        <w:pStyle w:val="775"/>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szCs w:val="24"/>
          <w:lang w:val="en-US" w:eastAsia="zh-CN" w:bidi="ar"/>
        </w:rPr>
        <w:t xml:space="preserve">注：泵站运行维护费用按月等额申请。</w:t>
      </w:r>
      <w:r>
        <w:rPr>
          <w:rFonts w:ascii="Times New Roman" w:hAnsi="Times New Roman" w:eastAsia="宋体" w:cs="Times New Roman"/>
          <w:color w:val="000000"/>
          <w:sz w:val="24"/>
        </w:rPr>
      </w:r>
      <w:r/>
    </w:p>
    <w:p>
      <w:pPr>
        <w:pStyle w:val="775"/>
        <w:ind w:firstLine="480"/>
        <w:jc w:val="left"/>
        <w:spacing w:line="360" w:lineRule="auto"/>
        <w:widowControl/>
        <w:rPr>
          <w:rFonts w:ascii="Times New Roman" w:hAnsi="Times New Roman" w:eastAsia="宋体" w:cs="Times New Roman"/>
          <w:sz w:val="24"/>
          <w:highlight w:val="yellow"/>
        </w:rPr>
      </w:pPr>
      <w:r>
        <w:rPr>
          <w:rFonts w:ascii="Times New Roman" w:hAnsi="Times New Roman" w:eastAsia="宋体" w:cs="Times New Roman"/>
          <w:sz w:val="24"/>
        </w:rPr>
        <w:t xml:space="preserve">2、零星类项目</w:t>
      </w:r>
      <w:r>
        <w:rPr>
          <w:rFonts w:ascii="Times New Roman" w:hAnsi="Times New Roman" w:eastAsia="宋体" w:cs="Times New Roman"/>
          <w:sz w:val="24"/>
          <w:highlight w:val="yellow"/>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零星类项目分进度款、完工款及尾款支付。进度款每月按实际完成合格工程量60%申请支付（零星项目需经考核后支付）。项目完工验收合格后按实际完成合格工程量90%申请支付，决算审定后按审定价100%申请支付。（注：绿化（含景观设施）项目主材按当年实施季度的第1个月价格调整；市政项目主材按上一年度12月的信息价调整，人工单价按政策调整。）</w:t>
      </w:r>
      <w:r>
        <w:rPr>
          <w:rFonts w:ascii="Times New Roman" w:hAnsi="Times New Roman" w:eastAsia="宋体" w:cs="Times New Roman"/>
          <w:color w:val="000000"/>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注：市政零星项目当月度养护作业考核得分在90分（含）以上的，该月度考核基数全额支付；得分少于90分的，则每低1分扣除1万元，以此类推计算。</w:t>
      </w:r>
      <w:r>
        <w:rPr>
          <w:rFonts w:ascii="Times New Roman" w:hAnsi="Times New Roman" w:eastAsia="宋体" w:cs="Times New Roman"/>
          <w:sz w:val="24"/>
        </w:rPr>
      </w:r>
      <w:r/>
    </w:p>
    <w:p>
      <w:pPr>
        <w:pStyle w:val="775"/>
        <w:ind w:firstLine="480"/>
        <w:jc w:val="left"/>
        <w:spacing w:line="360" w:lineRule="auto"/>
        <w:widowControl/>
        <w:rPr>
          <w:rFonts w:ascii="Times New Roman" w:hAnsi="Times New Roman" w:eastAsia="宋体" w:cs="Times New Roman"/>
          <w:sz w:val="24"/>
        </w:rPr>
      </w:pPr>
      <w:r>
        <w:rPr>
          <w:rFonts w:ascii="Times New Roman" w:hAnsi="Times New Roman" w:eastAsia="宋体" w:cs="Times New Roman"/>
          <w:sz w:val="24"/>
        </w:rPr>
        <w:t xml:space="preserve">以上所有费用支付需经甲方委托的专业审计单位审核并出具费用支付审核意见表。</w:t>
      </w:r>
      <w:r>
        <w:rPr>
          <w:rFonts w:ascii="Times New Roman" w:hAnsi="Times New Roman" w:eastAsia="宋体" w:cs="Times New Roman"/>
          <w:sz w:val="24"/>
        </w:rPr>
      </w:r>
      <w:r/>
    </w:p>
    <w:p>
      <w:pPr>
        <w:pStyle w:val="982"/>
        <w:ind w:firstLine="482"/>
        <w:spacing w:line="360" w:lineRule="auto"/>
        <w:shd w:val="clear" w:color="auto" w:fill="auto"/>
        <w:tabs>
          <w:tab w:val="left" w:pos="1087" w:leader="none"/>
        </w:tabs>
        <w:rPr>
          <w:rFonts w:ascii="Times New Roman" w:hAnsi="Times New Roman" w:eastAsia="宋体" w:cs="Times New Roman"/>
          <w:color w:val="000000"/>
          <w:sz w:val="24"/>
          <w:szCs w:val="24"/>
          <w:lang w:val="en-US" w:bidi="en-US"/>
        </w:rPr>
      </w:pPr>
      <w:r>
        <w:rPr>
          <w:rFonts w:ascii="Times New Roman" w:hAnsi="Times New Roman" w:eastAsia="宋体" w:cs="Times New Roman"/>
          <w:b/>
          <w:bCs/>
          <w:sz w:val="24"/>
          <w:szCs w:val="24"/>
          <w:lang w:val="en-US" w:bidi="en-US"/>
        </w:rPr>
        <w:t xml:space="preserve">第五条</w:t>
      </w:r>
      <w:r>
        <w:rPr>
          <w:rFonts w:ascii="Times New Roman" w:hAnsi="Times New Roman" w:eastAsia="宋体" w:cs="Times New Roman"/>
          <w:sz w:val="24"/>
          <w:szCs w:val="24"/>
          <w:lang w:val="en-US" w:bidi="en-US"/>
        </w:rPr>
        <w:t xml:space="preserve"> 如有</w:t>
      </w:r>
      <w:r>
        <w:rPr>
          <w:rFonts w:ascii="Times New Roman" w:hAnsi="Times New Roman" w:eastAsia="宋体" w:cs="Times New Roman"/>
          <w:color w:val="000000"/>
          <w:sz w:val="24"/>
          <w:szCs w:val="24"/>
          <w:lang w:val="en-US" w:bidi="en-US"/>
        </w:rPr>
        <w:t xml:space="preserve">未尽事宜，双方协商解决，若发生争议，双方确定选择常州仲裁委员会仲裁。</w:t>
      </w:r>
      <w:r>
        <w:rPr>
          <w:rFonts w:ascii="Times New Roman" w:hAnsi="Times New Roman" w:eastAsia="宋体" w:cs="Times New Roman"/>
          <w:color w:val="000000"/>
          <w:sz w:val="24"/>
          <w:szCs w:val="24"/>
          <w:lang w:val="en-US" w:bidi="en-US"/>
        </w:rPr>
      </w:r>
      <w:r/>
    </w:p>
    <w:p>
      <w:pPr>
        <w:pStyle w:val="982"/>
        <w:ind w:firstLine="482"/>
        <w:spacing w:line="360" w:lineRule="auto"/>
        <w:shd w:val="clear" w:color="auto" w:fill="auto"/>
        <w:tabs>
          <w:tab w:val="left" w:pos="1087" w:leader="none"/>
        </w:tabs>
        <w:rPr>
          <w:rFonts w:ascii="Times New Roman" w:hAnsi="Times New Roman" w:eastAsia="宋体" w:cs="Times New Roman"/>
          <w:color w:val="ff0000"/>
          <w:sz w:val="24"/>
          <w:szCs w:val="24"/>
          <w:lang w:val="en-US" w:bidi="en-US"/>
        </w:rPr>
      </w:pPr>
      <w:r>
        <w:rPr>
          <w:rFonts w:ascii="Times New Roman" w:hAnsi="Times New Roman" w:eastAsia="宋体" w:cs="Times New Roman"/>
          <w:b/>
          <w:bCs/>
          <w:sz w:val="24"/>
          <w:szCs w:val="24"/>
          <w:lang w:val="en-US" w:bidi="en-US"/>
        </w:rPr>
        <w:t xml:space="preserve">第六条 </w:t>
      </w:r>
      <w:r>
        <w:rPr>
          <w:rFonts w:ascii="Times New Roman" w:hAnsi="Times New Roman" w:eastAsia="宋体" w:cs="Times New Roman"/>
          <w:sz w:val="24"/>
          <w:szCs w:val="24"/>
          <w:lang w:val="en-US" w:bidi="en-US"/>
        </w:rPr>
        <w:t xml:space="preserve">本协议一式六份，双方各执三份。</w:t>
      </w:r>
      <w:r>
        <w:rPr>
          <w:rFonts w:ascii="Times New Roman" w:hAnsi="Times New Roman" w:eastAsia="宋体" w:cs="Times New Roman"/>
          <w:color w:val="ff0000"/>
          <w:sz w:val="24"/>
          <w:szCs w:val="24"/>
          <w:lang w:val="en-US" w:bidi="en-US"/>
        </w:rPr>
      </w:r>
      <w:r/>
    </w:p>
    <w:p>
      <w:pPr>
        <w:pStyle w:val="982"/>
        <w:ind w:firstLine="0"/>
        <w:spacing w:line="500" w:lineRule="exact"/>
        <w:shd w:val="clear" w:color="auto" w:fill="auto"/>
        <w:tabs>
          <w:tab w:val="left" w:pos="1087" w:leader="none"/>
        </w:tabs>
        <w:rPr>
          <w:rFonts w:ascii="Times New Roman" w:hAnsi="Times New Roman" w:eastAsia="宋体" w:cs="Times New Roman"/>
          <w:b/>
          <w:sz w:val="24"/>
          <w:szCs w:val="24"/>
          <w:lang w:val="en-US" w:bidi="en-US"/>
        </w:rPr>
        <w:sectPr>
          <w:footerReference w:type="default" r:id="rId14"/>
          <w:footnotePr/>
          <w:endnotePr/>
          <w:type w:val="continuous"/>
          <w:pgSz w:w="11906" w:h="16838" w:orient="portrait"/>
          <w:pgMar w:top="1440" w:right="1800" w:bottom="1440" w:left="1800" w:header="851" w:footer="992" w:gutter="0"/>
          <w:cols w:num="1" w:sep="0" w:space="1701" w:equalWidth="1"/>
          <w:docGrid w:linePitch="360"/>
        </w:sectPr>
      </w:pPr>
      <w:r>
        <w:rPr>
          <w:rFonts w:ascii="Times New Roman" w:hAnsi="Times New Roman" w:eastAsia="宋体" w:cs="Times New Roman"/>
          <w:b/>
          <w:sz w:val="24"/>
          <w:szCs w:val="24"/>
          <w:lang w:val="en-US" w:bidi="en-US"/>
        </w:rPr>
        <w:br w:type="page" w:clear="all"/>
      </w:r>
      <w:r/>
    </w:p>
    <w:p>
      <w:pPr>
        <w:pStyle w:val="982"/>
        <w:ind w:firstLine="0"/>
        <w:spacing w:line="500" w:lineRule="exact"/>
        <w:shd w:val="clear" w:color="auto" w:fill="auto"/>
        <w:tabs>
          <w:tab w:val="left" w:pos="1087" w:leader="none"/>
        </w:tabs>
        <w:rPr>
          <w:rFonts w:ascii="Times New Roman" w:hAnsi="Times New Roman" w:eastAsia="宋体" w:cs="Times New Roman"/>
          <w:sz w:val="24"/>
          <w:szCs w:val="24"/>
          <w:lang w:val="en-US" w:bidi="en-US"/>
        </w:rPr>
      </w:pPr>
      <w:r>
        <w:rPr>
          <w:rFonts w:ascii="Times New Roman" w:hAnsi="Times New Roman" w:eastAsia="宋体" w:cs="Times New Roman"/>
          <w:b/>
          <w:sz w:val="24"/>
          <w:szCs w:val="24"/>
          <w:lang w:val="en-US" w:bidi="en-US"/>
        </w:rPr>
        <w:t xml:space="preserve">甲方：</w:t>
      </w:r>
      <w:r>
        <w:rPr>
          <w:rFonts w:ascii="Times New Roman" w:hAnsi="Times New Roman" w:eastAsia="宋体" w:cs="Times New Roman"/>
          <w:sz w:val="24"/>
          <w:szCs w:val="24"/>
          <w:lang w:val="en-US" w:bidi="en-US"/>
        </w:rPr>
        <w:t xml:space="preserve">（盖章）</w:t>
      </w:r>
      <w:r>
        <w:rPr>
          <w:rFonts w:ascii="Times New Roman" w:hAnsi="Times New Roman" w:eastAsia="宋体" w:cs="Times New Roman"/>
          <w:b/>
          <w:sz w:val="24"/>
          <w:szCs w:val="24"/>
          <w:lang w:val="en-US" w:bidi="en-US"/>
        </w:rPr>
        <w:t xml:space="preserve">                     </w:t>
      </w:r>
      <w:r>
        <w:rPr>
          <w:rFonts w:hint="eastAsia" w:ascii="Times New Roman" w:hAnsi="Times New Roman" w:eastAsia="宋体" w:cs="Times New Roman"/>
          <w:b/>
          <w:sz w:val="24"/>
          <w:szCs w:val="24"/>
          <w:lang w:val="en-US" w:eastAsia="zh-CN" w:bidi="en-US"/>
        </w:rPr>
        <w:t xml:space="preserve"> </w:t>
      </w:r>
      <w:r>
        <w:rPr>
          <w:rFonts w:ascii="Times New Roman" w:hAnsi="Times New Roman" w:eastAsia="宋体" w:cs="Times New Roman"/>
          <w:b/>
          <w:sz w:val="24"/>
          <w:szCs w:val="24"/>
          <w:lang w:val="en-US" w:bidi="en-US"/>
        </w:rPr>
        <w:t xml:space="preserve">  乙方：</w:t>
      </w:r>
      <w:r>
        <w:rPr>
          <w:rFonts w:ascii="Times New Roman" w:hAnsi="Times New Roman" w:eastAsia="宋体" w:cs="Times New Roman"/>
          <w:sz w:val="24"/>
          <w:szCs w:val="24"/>
          <w:lang w:val="en-US" w:bidi="en-US"/>
        </w:rPr>
        <w:t xml:space="preserve">（盖章）                                         </w:t>
      </w:r>
      <w:r>
        <w:rPr>
          <w:rFonts w:ascii="Times New Roman" w:hAnsi="Times New Roman" w:eastAsia="宋体" w:cs="Times New Roman"/>
          <w:sz w:val="24"/>
          <w:szCs w:val="24"/>
          <w:lang w:val="en-US" w:bidi="en-US"/>
        </w:rPr>
      </w:r>
      <w:r/>
    </w:p>
    <w:p>
      <w:pPr>
        <w:pStyle w:val="982"/>
        <w:ind w:firstLine="0"/>
        <w:spacing w:line="500" w:lineRule="exact"/>
        <w:shd w:val="clear" w:color="auto" w:fill="auto"/>
        <w:tabs>
          <w:tab w:val="left" w:pos="426" w:leader="none"/>
        </w:tabs>
        <w:rPr>
          <w:rFonts w:ascii="Times New Roman" w:hAnsi="Times New Roman" w:eastAsia="宋体" w:cs="Times New Roman"/>
          <w:sz w:val="24"/>
          <w:szCs w:val="24"/>
          <w:lang w:val="en-US" w:bidi="en-US"/>
        </w:rPr>
      </w:pPr>
      <w:r>
        <w:rPr>
          <w:rFonts w:ascii="Times New Roman" w:hAnsi="Times New Roman" w:eastAsia="宋体" w:cs="Times New Roman"/>
          <w:sz w:val="24"/>
          <w:szCs w:val="24"/>
          <w:lang w:val="en-US" w:bidi="en-US"/>
        </w:rPr>
        <w:t xml:space="preserve">法定代表人：                          法定代表人：              </w:t>
      </w:r>
      <w:r>
        <w:rPr>
          <w:rFonts w:ascii="Times New Roman" w:hAnsi="Times New Roman" w:eastAsia="宋体" w:cs="Times New Roman"/>
          <w:sz w:val="24"/>
          <w:szCs w:val="24"/>
          <w:lang w:val="en-US" w:bidi="en-US"/>
        </w:rPr>
      </w:r>
      <w:r/>
    </w:p>
    <w:p>
      <w:pPr>
        <w:pStyle w:val="982"/>
        <w:ind w:firstLine="0"/>
        <w:spacing w:line="500" w:lineRule="exact"/>
        <w:shd w:val="clear" w:color="auto" w:fill="auto"/>
        <w:tabs>
          <w:tab w:val="left" w:pos="1087" w:leader="none"/>
        </w:tabs>
        <w:rPr>
          <w:rFonts w:ascii="Times New Roman" w:hAnsi="Times New Roman" w:eastAsia="宋体" w:cs="Times New Roman"/>
          <w:sz w:val="24"/>
          <w:szCs w:val="24"/>
          <w:lang w:val="en-US" w:bidi="en-US"/>
        </w:rPr>
      </w:pPr>
      <w:r>
        <w:rPr>
          <w:rFonts w:ascii="Times New Roman" w:hAnsi="Times New Roman" w:eastAsia="宋体" w:cs="Times New Roman"/>
          <w:sz w:val="24"/>
          <w:szCs w:val="24"/>
          <w:lang w:val="en-US" w:bidi="en-US"/>
        </w:rPr>
        <w:t xml:space="preserve">代理人：                              代理人：                             </w:t>
      </w:r>
      <w:r>
        <w:rPr>
          <w:rFonts w:ascii="Times New Roman" w:hAnsi="Times New Roman" w:eastAsia="宋体" w:cs="Times New Roman"/>
          <w:sz w:val="24"/>
          <w:szCs w:val="24"/>
          <w:lang w:val="en-US" w:bidi="en-US"/>
        </w:rPr>
      </w:r>
      <w:r/>
    </w:p>
    <w:p>
      <w:pPr>
        <w:pStyle w:val="982"/>
        <w:ind w:firstLine="0"/>
        <w:spacing w:line="500" w:lineRule="exact"/>
        <w:shd w:val="clear" w:color="auto" w:fill="auto"/>
        <w:tabs>
          <w:tab w:val="left" w:pos="1087" w:leader="none"/>
        </w:tabs>
        <w:rPr>
          <w:rFonts w:ascii="Times New Roman" w:hAnsi="Times New Roman" w:eastAsia="宋体" w:cs="Times New Roman"/>
          <w:sz w:val="24"/>
          <w:szCs w:val="24"/>
          <w:lang w:val="en-US" w:bidi="en-US"/>
        </w:rPr>
      </w:pPr>
      <w:r>
        <w:rPr>
          <w:rFonts w:ascii="Times New Roman" w:hAnsi="Times New Roman" w:eastAsia="宋体" w:cs="Times New Roman"/>
          <w:sz w:val="24"/>
          <w:szCs w:val="24"/>
          <w:lang w:val="en-US" w:bidi="en-US"/>
        </w:rPr>
        <w:t xml:space="preserve">电话：                                电话：</w:t>
      </w:r>
      <w:r>
        <w:rPr>
          <w:rFonts w:ascii="Times New Roman" w:hAnsi="Times New Roman" w:eastAsia="宋体" w:cs="Times New Roman"/>
          <w:sz w:val="24"/>
          <w:szCs w:val="24"/>
          <w:lang w:val="en-US" w:bidi="en-US"/>
        </w:rPr>
      </w:r>
      <w:r/>
    </w:p>
    <w:p>
      <w:pPr>
        <w:pStyle w:val="982"/>
        <w:ind w:firstLine="0"/>
        <w:spacing w:line="500" w:lineRule="exact"/>
        <w:shd w:val="clear" w:color="auto" w:fill="auto"/>
        <w:tabs>
          <w:tab w:val="left" w:pos="1087" w:leader="none"/>
        </w:tabs>
        <w:rPr>
          <w:rFonts w:ascii="Times New Roman" w:hAnsi="Times New Roman" w:eastAsia="宋体" w:cs="Times New Roman"/>
          <w:lang w:val="en-US"/>
        </w:rPr>
      </w:pPr>
      <w:r>
        <w:rPr>
          <w:rFonts w:ascii="Times New Roman" w:hAnsi="Times New Roman" w:eastAsia="宋体" w:cs="Times New Roman"/>
          <w:sz w:val="24"/>
          <w:szCs w:val="24"/>
          <w:lang w:val="en-US" w:bidi="en-US"/>
        </w:rPr>
        <w:t xml:space="preserve">日期：    年    月    日              日期：    年   月   日</w:t>
      </w:r>
      <w:bookmarkEnd w:id="689"/>
      <w:r/>
      <w:bookmarkEnd w:id="690"/>
      <w:r>
        <w:rPr>
          <w:rFonts w:ascii="Times New Roman" w:hAnsi="Times New Roman" w:eastAsia="宋体" w:cs="Times New Roman"/>
          <w:lang w:val="en-US"/>
        </w:rPr>
      </w:r>
      <w:r/>
    </w:p>
    <w:p>
      <w:pPr>
        <w:pStyle w:val="775"/>
        <w:spacing w:line="520" w:lineRule="exact"/>
        <w:rPr>
          <w:rFonts w:ascii="Times New Roman" w:hAnsi="Times New Roman" w:eastAsia="宋体" w:cs="Times New Roman"/>
          <w:b/>
          <w:bCs/>
          <w:sz w:val="24"/>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ascii="Times New Roman" w:hAnsi="Times New Roman" w:eastAsia="宋体" w:cs="Times New Roman"/>
          <w:b/>
          <w:bCs/>
          <w:sz w:val="24"/>
        </w:rPr>
      </w:r>
      <w:r/>
    </w:p>
    <w:p>
      <w:pPr>
        <w:pStyle w:val="775"/>
        <w:jc w:val="center"/>
        <w:spacing w:line="360" w:lineRule="auto"/>
        <w:rPr>
          <w:rFonts w:ascii="Times New Roman" w:hAnsi="Times New Roman" w:eastAsia="宋体" w:cs="Times New Roman"/>
          <w:b/>
          <w:sz w:val="36"/>
          <w:szCs w:val="36"/>
        </w:rPr>
        <w:outlineLvl w:val="0"/>
      </w:pPr>
      <w:r/>
      <w:bookmarkStart w:id="693" w:name="_Toc99301284"/>
      <w:r/>
      <w:bookmarkStart w:id="694" w:name="_Toc30169"/>
      <w:r/>
      <w:bookmarkStart w:id="695" w:name="_Toc27996"/>
      <w:r/>
      <w:bookmarkStart w:id="696" w:name="_Toc6564"/>
      <w:r/>
      <w:bookmarkStart w:id="697" w:name="_Toc31575"/>
      <w:r/>
      <w:bookmarkStart w:id="698" w:name="_Toc17976"/>
      <w:r/>
      <w:bookmarkStart w:id="699" w:name="_Toc18295"/>
      <w:r>
        <w:rPr>
          <w:rFonts w:ascii="Times New Roman" w:hAnsi="Times New Roman" w:eastAsia="宋体" w:cs="Times New Roman"/>
          <w:b/>
          <w:sz w:val="36"/>
          <w:szCs w:val="36"/>
        </w:rPr>
        <w:t xml:space="preserve">第六章   响应文件格式</w:t>
      </w:r>
      <w:bookmarkEnd w:id="693"/>
      <w:r/>
      <w:bookmarkEnd w:id="694"/>
      <w:r/>
      <w:bookmarkEnd w:id="695"/>
      <w:r/>
      <w:bookmarkEnd w:id="696"/>
      <w:r/>
      <w:bookmarkEnd w:id="697"/>
      <w:r/>
      <w:bookmarkEnd w:id="698"/>
      <w:r/>
      <w:bookmarkEnd w:id="699"/>
      <w:r>
        <w:rPr>
          <w:rFonts w:ascii="Times New Roman" w:hAnsi="Times New Roman" w:eastAsia="宋体" w:cs="Times New Roman"/>
          <w:b/>
          <w:sz w:val="36"/>
          <w:szCs w:val="36"/>
        </w:rPr>
      </w:r>
      <w:r/>
    </w:p>
    <w:p>
      <w:pPr>
        <w:pStyle w:val="775"/>
        <w:jc w:val="left"/>
        <w:spacing w:line="360" w:lineRule="auto"/>
        <w:widowControl/>
        <w:rPr>
          <w:rFonts w:ascii="Times New Roman" w:hAnsi="Times New Roman" w:eastAsia="宋体" w:cs="Times New Roman"/>
          <w:b/>
          <w:sz w:val="24"/>
        </w:rPr>
      </w:pPr>
      <w:r>
        <w:rPr>
          <w:rFonts w:ascii="Times New Roman" w:hAnsi="Times New Roman" w:eastAsia="宋体" w:cs="Times New Roman"/>
          <w:b/>
          <w:sz w:val="24"/>
        </w:rPr>
      </w:r>
      <w:r/>
    </w:p>
    <w:p>
      <w:pPr>
        <w:pStyle w:val="775"/>
        <w:jc w:val="left"/>
        <w:spacing w:line="360" w:lineRule="auto"/>
        <w:widowControl/>
        <w:rPr>
          <w:rFonts w:ascii="Times New Roman" w:hAnsi="Times New Roman" w:eastAsia="宋体" w:cs="Times New Roman"/>
          <w:b/>
          <w:sz w:val="24"/>
        </w:rPr>
      </w:pPr>
      <w:r>
        <w:rPr>
          <w:rFonts w:ascii="Times New Roman" w:hAnsi="Times New Roman" w:eastAsia="宋体" w:cs="Times New Roman"/>
          <w:b/>
          <w:sz w:val="24"/>
        </w:rPr>
      </w:r>
      <w:r/>
    </w:p>
    <w:p>
      <w:pPr>
        <w:pStyle w:val="775"/>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b/>
          <w:sz w:val="24"/>
        </w:rPr>
        <w:t xml:space="preserve">供应商编制文件须知</w:t>
      </w:r>
      <w:r>
        <w:rPr>
          <w:rFonts w:ascii="Times New Roman" w:hAnsi="Times New Roman" w:eastAsia="宋体" w:cs="Times New Roman"/>
          <w:sz w:val="24"/>
        </w:rPr>
      </w:r>
      <w:r/>
    </w:p>
    <w:p>
      <w:pPr>
        <w:pStyle w:val="775"/>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1、供应商按照本部分的顺序编制响应文件，编制中涉及格式资料的，应按照本部分提供的内容和格式（所有表格的格式可扩展）填写提交。</w:t>
      </w:r>
      <w:r>
        <w:rPr>
          <w:rFonts w:ascii="Times New Roman" w:hAnsi="Times New Roman" w:eastAsia="宋体" w:cs="Times New Roman"/>
          <w:sz w:val="24"/>
        </w:rPr>
      </w:r>
      <w:r/>
    </w:p>
    <w:p>
      <w:pPr>
        <w:pStyle w:val="775"/>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对于单一来源采购文件中标记了</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实质性格式</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文件的，</w:t>
      </w:r>
      <w:r>
        <w:rPr>
          <w:rFonts w:ascii="Times New Roman" w:hAnsi="Times New Roman"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。未标记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实质性格式</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的文件和单一来源采购文件未提供格式的内容，可由供应商自行编写</w:t>
      </w:r>
      <w:r>
        <w:rPr>
          <w:rFonts w:ascii="Times New Roman" w:hAnsi="Times New Roman" w:eastAsia="宋体" w:cs="Times New Roman"/>
          <w:sz w:val="24"/>
        </w:rPr>
      </w:r>
      <w:r/>
    </w:p>
    <w:p>
      <w:pPr>
        <w:pStyle w:val="775"/>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3、全部声明和问题的回答及所附材料必须是真实的、准确的和完整的。</w:t>
      </w:r>
      <w:r>
        <w:rPr>
          <w:rFonts w:ascii="Times New Roman" w:hAnsi="Times New Roman" w:eastAsia="宋体" w:cs="Times New Roman"/>
          <w:sz w:val="24"/>
        </w:rPr>
      </w:r>
      <w:r/>
    </w:p>
    <w:p>
      <w:pPr>
        <w:pStyle w:val="775"/>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4、实行电子化不见面交易方式的，加盖公章、签名等均通过</w:t>
      </w:r>
      <w:r>
        <w:rPr>
          <w:rFonts w:hint="eastAsia" w:ascii="Times New Roman" w:hAnsi="Times New Roman" w:eastAsia="宋体" w:cs="Times New Roman"/>
          <w:sz w:val="24"/>
          <w:lang w:val="en-US" w:eastAsia="zh-CN"/>
        </w:rPr>
        <w:t xml:space="preserve">响应</w:t>
      </w:r>
      <w:r>
        <w:rPr>
          <w:rFonts w:ascii="Times New Roman" w:hAnsi="Times New Roman" w:eastAsia="宋体" w:cs="Times New Roman"/>
          <w:sz w:val="24"/>
        </w:rPr>
        <w:t xml:space="preserve">文件编制工具加盖电子公章、</w:t>
      </w:r>
      <w:r>
        <w:rPr>
          <w:rFonts w:ascii="Times New Roman" w:hAnsi="Times New Roman" w:eastAsia="宋体" w:cs="Times New Roman"/>
          <w:color w:val="000000"/>
          <w:sz w:val="24"/>
          <w:szCs w:val="20"/>
        </w:rPr>
        <w:t xml:space="preserve">签字、签章或印鉴</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r>
      <w:r/>
    </w:p>
    <w:p>
      <w:pPr>
        <w:pStyle w:val="775"/>
        <w:jc w:val="left"/>
        <w:widowControl/>
        <w:rPr>
          <w:rFonts w:ascii="Times New Roman" w:hAnsi="Times New Roman" w:eastAsia="宋体" w:cs="Times New Roman"/>
          <w:sz w:val="24"/>
        </w:rPr>
      </w:pPr>
      <w:r>
        <w:rPr>
          <w:rFonts w:ascii="Times New Roman" w:hAnsi="Times New Roman" w:eastAsia="宋体" w:cs="Times New Roman"/>
          <w:sz w:val="24"/>
        </w:rPr>
        <w:br w:type="page" w:clear="all"/>
      </w:r>
      <w:r>
        <w:rPr>
          <w:rFonts w:ascii="Times New Roman" w:hAnsi="Times New Roman" w:eastAsia="宋体" w:cs="Times New Roman"/>
          <w:sz w:val="24"/>
        </w:rPr>
      </w:r>
      <w:r/>
    </w:p>
    <w:p>
      <w:pPr>
        <w:pStyle w:val="775"/>
        <w:rPr>
          <w:rFonts w:ascii="Times New Roman" w:hAnsi="Times New Roman" w:eastAsia="宋体" w:cs="Times New Roman"/>
          <w:b/>
          <w:spacing w:val="20"/>
          <w:szCs w:val="21"/>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rFonts w:ascii="Times New Roman" w:hAnsi="Times New Roman" w:eastAsia="宋体" w:cs="Times New Roman"/>
          <w:b/>
          <w:spacing w:val="20"/>
          <w:szCs w:val="21"/>
        </w:rPr>
      </w:r>
      <w:r/>
    </w:p>
    <w:p>
      <w:pPr>
        <w:pStyle w:val="775"/>
        <w:rPr>
          <w:rFonts w:ascii="Times New Roman" w:hAnsi="Times New Roman" w:eastAsia="宋体" w:cs="Times New Roman"/>
          <w:b/>
          <w:sz w:val="24"/>
        </w:rPr>
      </w:pPr>
      <w:r>
        <w:rPr>
          <w:rFonts w:ascii="Times New Roman" w:hAnsi="Times New Roman" w:eastAsia="宋体" w:cs="Times New Roman"/>
          <w:b/>
          <w:spacing w:val="20"/>
          <w:sz w:val="24"/>
        </w:rPr>
        <w:t xml:space="preserve">响应文件</w:t>
      </w:r>
      <w:r>
        <w:rPr>
          <w:rFonts w:ascii="Times New Roman" w:hAnsi="Times New Roman" w:eastAsia="宋体" w:cs="Times New Roman"/>
          <w:b/>
          <w:sz w:val="24"/>
        </w:rPr>
        <w:t xml:space="preserve">封面（非实质性格式）</w:t>
      </w:r>
      <w:r>
        <w:rPr>
          <w:rFonts w:ascii="Times New Roman" w:hAnsi="Times New Roman" w:eastAsia="宋体" w:cs="Times New Roman"/>
          <w:b/>
          <w:sz w:val="24"/>
        </w:rPr>
      </w:r>
      <w:r/>
    </w:p>
    <w:p>
      <w:pPr>
        <w:pStyle w:val="775"/>
        <w:jc w:val="center"/>
        <w:rPr>
          <w:rFonts w:ascii="Times New Roman" w:hAnsi="Times New Roman" w:eastAsia="宋体" w:cs="Times New Roman"/>
          <w:szCs w:val="21"/>
        </w:rPr>
      </w:pPr>
      <w:r>
        <w:rPr>
          <w:rFonts w:ascii="Times New Roman" w:hAnsi="Times New Roman" w:eastAsia="宋体" w:cs="Times New Roman"/>
          <w:szCs w:val="21"/>
        </w:rPr>
      </w:r>
      <w:r/>
    </w:p>
    <w:p>
      <w:pPr>
        <w:pStyle w:val="775"/>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r>
      <w:r/>
    </w:p>
    <w:p>
      <w:pPr>
        <w:pStyle w:val="775"/>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r>
      <w:r/>
    </w:p>
    <w:p>
      <w:pPr>
        <w:pStyle w:val="775"/>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t xml:space="preserve">响  应 文 件</w:t>
      </w:r>
      <w:r>
        <w:rPr>
          <w:rFonts w:ascii="Times New Roman" w:hAnsi="Times New Roman" w:eastAsia="宋体" w:cs="Times New Roman"/>
          <w:b/>
          <w:spacing w:val="60"/>
          <w:sz w:val="84"/>
          <w:szCs w:val="84"/>
        </w:rPr>
      </w:r>
      <w:r/>
    </w:p>
    <w:p>
      <w:pPr>
        <w:pStyle w:val="775"/>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775"/>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775"/>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775"/>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775"/>
        <w:ind w:firstLine="1084"/>
        <w:rPr>
          <w:rFonts w:ascii="Times New Roman" w:hAnsi="Times New Roman" w:eastAsia="宋体" w:cs="Times New Roman"/>
          <w:b/>
          <w:sz w:val="36"/>
        </w:rPr>
      </w:pPr>
      <w:r>
        <w:rPr>
          <w:rFonts w:ascii="Times New Roman" w:hAnsi="Times New Roman" w:eastAsia="宋体" w:cs="Times New Roman"/>
          <w:b/>
          <w:sz w:val="36"/>
        </w:rPr>
        <w:t xml:space="preserve">项 目 名 称：</w:t>
      </w:r>
      <w:r>
        <w:rPr>
          <w:rFonts w:ascii="Times New Roman" w:hAnsi="Times New Roman" w:eastAsia="宋体" w:cs="Times New Roman"/>
          <w:b/>
          <w:sz w:val="36"/>
          <w:u w:val="single"/>
        </w:rPr>
        <w:t xml:space="preserve">               </w:t>
      </w:r>
      <w:r>
        <w:rPr>
          <w:rFonts w:ascii="Times New Roman" w:hAnsi="Times New Roman" w:eastAsia="宋体" w:cs="Times New Roman"/>
          <w:b/>
          <w:sz w:val="36"/>
        </w:rPr>
      </w:r>
      <w:r/>
    </w:p>
    <w:p>
      <w:pPr>
        <w:pStyle w:val="775"/>
        <w:ind w:firstLine="1084"/>
        <w:rPr>
          <w:rFonts w:ascii="Times New Roman" w:hAnsi="Times New Roman" w:eastAsia="宋体" w:cs="Times New Roman"/>
          <w:b/>
          <w:sz w:val="36"/>
          <w:u w:val="single"/>
        </w:rPr>
      </w:pPr>
      <w:r>
        <w:rPr>
          <w:rFonts w:ascii="Times New Roman" w:hAnsi="Times New Roman" w:eastAsia="宋体" w:cs="Times New Roman"/>
          <w:b/>
          <w:sz w:val="36"/>
        </w:rPr>
        <w:t xml:space="preserve">项 目 编 号：</w:t>
      </w:r>
      <w:r>
        <w:rPr>
          <w:rFonts w:ascii="Times New Roman" w:hAnsi="Times New Roman" w:eastAsia="宋体" w:cs="Times New Roman"/>
          <w:b/>
          <w:sz w:val="36"/>
          <w:u w:val="single"/>
        </w:rPr>
        <w:t xml:space="preserve">               </w:t>
      </w:r>
      <w:r>
        <w:rPr>
          <w:rFonts w:ascii="Times New Roman" w:hAnsi="Times New Roman" w:eastAsia="宋体" w:cs="Times New Roman"/>
          <w:b/>
          <w:sz w:val="36"/>
          <w:u w:val="single"/>
        </w:rPr>
      </w:r>
      <w:r/>
    </w:p>
    <w:p>
      <w:pPr>
        <w:pStyle w:val="775"/>
        <w:rPr>
          <w:rFonts w:ascii="Times New Roman" w:hAnsi="Times New Roman" w:eastAsia="宋体" w:cs="Times New Roman"/>
          <w:b/>
          <w:sz w:val="36"/>
          <w:u w:val="single"/>
        </w:rPr>
      </w:pPr>
      <w:r>
        <w:rPr>
          <w:rFonts w:ascii="Times New Roman" w:hAnsi="Times New Roman" w:eastAsia="宋体" w:cs="Times New Roman"/>
          <w:b/>
          <w:sz w:val="36"/>
        </w:rPr>
        <w:t xml:space="preserve">      供应商名称 ：</w:t>
      </w:r>
      <w:r>
        <w:rPr>
          <w:rFonts w:ascii="Times New Roman" w:hAnsi="Times New Roman" w:eastAsia="宋体" w:cs="Times New Roman"/>
          <w:b/>
          <w:sz w:val="36"/>
          <w:u w:val="single"/>
        </w:rPr>
        <w:t xml:space="preserve">               </w:t>
      </w:r>
      <w:r>
        <w:rPr>
          <w:rFonts w:ascii="Times New Roman" w:hAnsi="Times New Roman" w:eastAsia="宋体" w:cs="Times New Roman"/>
          <w:b/>
          <w:sz w:val="36"/>
          <w:u w:val="single"/>
        </w:rPr>
      </w:r>
      <w:r/>
    </w:p>
    <w:p>
      <w:pPr>
        <w:pStyle w:val="775"/>
        <w:rPr>
          <w:rFonts w:ascii="Times New Roman" w:hAnsi="Times New Roman" w:eastAsia="宋体" w:cs="Times New Roman"/>
          <w:b/>
          <w:sz w:val="36"/>
        </w:rPr>
      </w:pPr>
      <w:r>
        <w:rPr>
          <w:rFonts w:ascii="Times New Roman" w:hAnsi="Times New Roman" w:eastAsia="宋体" w:cs="Times New Roman"/>
          <w:b/>
          <w:sz w:val="36"/>
        </w:rPr>
        <w:t xml:space="preserve">      日      期 ：</w:t>
      </w:r>
      <w:r>
        <w:rPr>
          <w:rFonts w:ascii="Times New Roman" w:hAnsi="Times New Roman" w:eastAsia="宋体" w:cs="Times New Roman"/>
          <w:b/>
          <w:sz w:val="36"/>
          <w:u w:val="single"/>
        </w:rPr>
        <w:t xml:space="preserve">               </w:t>
      </w:r>
      <w:r>
        <w:rPr>
          <w:rFonts w:ascii="Times New Roman" w:hAnsi="Times New Roman" w:eastAsia="宋体" w:cs="Times New Roman"/>
          <w:b/>
          <w:sz w:val="36"/>
        </w:rPr>
      </w:r>
      <w:r/>
    </w:p>
    <w:p>
      <w:pPr>
        <w:pStyle w:val="775"/>
        <w:jc w:val="center"/>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75"/>
        <w:rPr>
          <w:rFonts w:ascii="Times New Roman" w:hAnsi="Times New Roman" w:eastAsia="宋体" w:cs="Times New Roman"/>
          <w:b/>
        </w:rPr>
      </w:pPr>
      <w:r>
        <w:rPr>
          <w:rFonts w:ascii="Times New Roman" w:hAnsi="Times New Roman" w:eastAsia="宋体" w:cs="Times New Roman"/>
          <w:b/>
          <w:spacing w:val="20"/>
          <w:sz w:val="32"/>
          <w:szCs w:val="32"/>
        </w:rPr>
        <w:br w:type="page" w:clear="all"/>
      </w:r>
      <w:r>
        <w:rPr>
          <w:rFonts w:ascii="Times New Roman" w:hAnsi="Times New Roman" w:eastAsia="宋体" w:cs="Times New Roman"/>
          <w:b/>
        </w:rPr>
      </w:r>
      <w:r/>
    </w:p>
    <w:p>
      <w:pPr>
        <w:pStyle w:val="775"/>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1</w:t>
      </w:r>
      <w:r>
        <w:rPr>
          <w:rFonts w:ascii="Times New Roman" w:hAnsi="Times New Roman" w:eastAsia="宋体" w:cs="Times New Roman"/>
          <w:sz w:val="24"/>
        </w:rPr>
        <w:t xml:space="preserve">满足《中华人民共和国政府采购法》第二十二条规定及法律法规的其他规定</w:t>
      </w:r>
      <w:r>
        <w:rPr>
          <w:rFonts w:ascii="Times New Roman" w:hAnsi="Times New Roman" w:eastAsia="宋体" w:cs="Times New Roman"/>
          <w:color w:val="000000"/>
          <w:sz w:val="24"/>
          <w:szCs w:val="20"/>
        </w:rPr>
      </w:r>
      <w:r/>
    </w:p>
    <w:p>
      <w:pPr>
        <w:pStyle w:val="778"/>
        <w:rPr>
          <w:rFonts w:ascii="Times New Roman" w:hAnsi="Times New Roman" w:eastAsia="宋体" w:cs="Times New Roman"/>
          <w:b w:val="0"/>
          <w:bCs/>
          <w:color w:val="000000"/>
          <w:u w:val="none"/>
        </w:rPr>
      </w:pPr>
      <w:r>
        <w:rPr>
          <w:rFonts w:ascii="Times New Roman" w:hAnsi="Times New Roman" w:eastAsia="宋体" w:cs="Times New Roman"/>
          <w:b w:val="0"/>
          <w:color w:val="000000"/>
          <w:u w:val="none"/>
        </w:rPr>
        <w:t xml:space="preserve">1-1 </w:t>
      </w:r>
      <w:r>
        <w:rPr>
          <w:rFonts w:hint="eastAsia" w:ascii="Times New Roman" w:hAnsi="Times New Roman" w:eastAsia="宋体" w:cs="Times New Roman"/>
          <w:b w:val="0"/>
          <w:color w:val="000000"/>
          <w:u w:val="none"/>
          <w:lang w:val="en-US" w:eastAsia="zh-CN"/>
        </w:rPr>
        <w:t xml:space="preserve">供应商</w:t>
      </w:r>
      <w:r>
        <w:rPr>
          <w:rFonts w:ascii="Times New Roman" w:hAnsi="Times New Roman" w:eastAsia="宋体" w:cs="Times New Roman"/>
          <w:b w:val="0"/>
          <w:color w:val="000000"/>
          <w:u w:val="none"/>
        </w:rPr>
        <w:t xml:space="preserve">资格声明函（实质性格式）</w:t>
      </w:r>
      <w:r>
        <w:rPr>
          <w:rFonts w:ascii="Times New Roman" w:hAnsi="Times New Roman" w:eastAsia="宋体" w:cs="Times New Roman"/>
          <w:b w:val="0"/>
          <w:bCs/>
          <w:color w:val="000000"/>
          <w:u w:val="none"/>
        </w:rPr>
      </w:r>
      <w:r/>
    </w:p>
    <w:p>
      <w:pPr>
        <w:pStyle w:val="775"/>
        <w:jc w:val="center"/>
        <w:spacing w:before="120" w:line="360" w:lineRule="auto"/>
        <w:widowControl/>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775"/>
        <w:jc w:val="center"/>
        <w:spacing w:before="120" w:line="360" w:lineRule="auto"/>
        <w:widowControl/>
        <w:rPr>
          <w:rFonts w:ascii="Times New Roman" w:hAnsi="Times New Roman" w:eastAsia="宋体" w:cs="Times New Roman"/>
          <w:szCs w:val="21"/>
        </w:rPr>
      </w:pPr>
      <w:r>
        <w:rPr>
          <w:rFonts w:hint="eastAsia" w:ascii="Times New Roman" w:hAnsi="Times New Roman" w:eastAsia="宋体" w:cs="Times New Roman"/>
          <w:b/>
          <w:sz w:val="28"/>
          <w:szCs w:val="28"/>
          <w:lang w:val="en-US" w:eastAsia="zh-CN"/>
        </w:rPr>
        <w:t xml:space="preserve">供应商</w:t>
      </w:r>
      <w:r>
        <w:rPr>
          <w:rFonts w:ascii="Times New Roman" w:hAnsi="Times New Roman" w:eastAsia="宋体" w:cs="Times New Roman"/>
          <w:b/>
          <w:sz w:val="28"/>
          <w:szCs w:val="28"/>
        </w:rPr>
        <w:t xml:space="preserve">资格声明函</w:t>
      </w:r>
      <w:r>
        <w:rPr>
          <w:rFonts w:ascii="Times New Roman" w:hAnsi="Times New Roman" w:eastAsia="宋体" w:cs="Times New Roman"/>
          <w:szCs w:val="21"/>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致：江苏中冠工程咨询有限公司</w:t>
      </w:r>
      <w:r>
        <w:rPr>
          <w:rFonts w:ascii="Times New Roman" w:hAnsi="Times New Roman" w:eastAsia="宋体" w:cs="Times New Roman"/>
        </w:rPr>
      </w:r>
      <w:r/>
    </w:p>
    <w:p>
      <w:pPr>
        <w:pStyle w:val="791"/>
        <w:ind w:firstLine="960"/>
        <w:spacing w:line="460" w:lineRule="exact"/>
        <w:rPr>
          <w:rFonts w:ascii="Times New Roman" w:hAnsi="Times New Roman" w:eastAsia="宋体" w:cs="Times New Roman"/>
          <w:u w:val="single"/>
        </w:rPr>
      </w:pPr>
      <w:r>
        <w:rPr>
          <w:rFonts w:ascii="Times New Roman" w:hAnsi="Times New Roman" w:eastAsia="宋体" w:cs="Times New Roman"/>
          <w:u w:val="single"/>
        </w:rPr>
        <w:t xml:space="preserve">（采购人名称）</w:t>
      </w:r>
      <w:r>
        <w:rPr>
          <w:rFonts w:ascii="Times New Roman" w:hAnsi="Times New Roman" w:eastAsia="宋体" w:cs="Times New Roman"/>
          <w:u w:val="single"/>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按照《中华人民共和国政府采购法》第二十二条和</w:t>
      </w:r>
      <w:r>
        <w:rPr>
          <w:rFonts w:hint="eastAsia" w:ascii="Times New Roman" w:hAnsi="Times New Roman" w:eastAsia="宋体" w:cs="Times New Roman"/>
          <w:sz w:val="24"/>
          <w:lang w:val="en-US" w:eastAsia="zh-CN"/>
        </w:rPr>
        <w:t xml:space="preserve">采购</w:t>
      </w:r>
      <w:r>
        <w:rPr>
          <w:rFonts w:ascii="Times New Roman" w:hAnsi="Times New Roman" w:eastAsia="宋体" w:cs="Times New Roman"/>
        </w:rPr>
        <w:t xml:space="preserve">文件的规定，我单位郑重声明如下：</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一、我单位是按照中华人民共和国法律规定登记注册的，注册地点为</w:t>
      </w:r>
      <w:r>
        <w:rPr>
          <w:rFonts w:ascii="Times New Roman" w:hAnsi="Times New Roman" w:eastAsia="宋体" w:cs="Times New Roman"/>
          <w:u w:val="single"/>
        </w:rPr>
        <w:t xml:space="preserve">         </w:t>
      </w:r>
      <w:r>
        <w:rPr>
          <w:rFonts w:ascii="Times New Roman" w:hAnsi="Times New Roman" w:eastAsia="宋体" w:cs="Times New Roman"/>
        </w:rPr>
        <w:t xml:space="preserve">，全称为</w:t>
      </w:r>
      <w:r>
        <w:rPr>
          <w:rFonts w:ascii="Times New Roman" w:hAnsi="Times New Roman" w:eastAsia="宋体" w:cs="Times New Roman"/>
          <w:u w:val="single"/>
        </w:rPr>
        <w:t xml:space="preserve">        </w:t>
      </w:r>
      <w:r>
        <w:rPr>
          <w:rFonts w:ascii="Times New Roman" w:hAnsi="Times New Roman" w:eastAsia="宋体" w:cs="Times New Roman"/>
        </w:rPr>
        <w:t xml:space="preserve">，统一社会信用代码为</w:t>
      </w:r>
      <w:r>
        <w:rPr>
          <w:rFonts w:ascii="Times New Roman" w:hAnsi="Times New Roman" w:eastAsia="宋体" w:cs="Times New Roman"/>
          <w:u w:val="single"/>
        </w:rPr>
        <w:t xml:space="preserve">           </w:t>
      </w:r>
      <w:r>
        <w:rPr>
          <w:rFonts w:ascii="Times New Roman" w:hAnsi="Times New Roman" w:eastAsia="宋体" w:cs="Times New Roman"/>
        </w:rPr>
        <w:t xml:space="preserve"> ，法定代表人（单位负责人）为</w:t>
      </w:r>
      <w:r>
        <w:rPr>
          <w:rFonts w:ascii="Times New Roman" w:hAnsi="Times New Roman" w:eastAsia="宋体" w:cs="Times New Roman"/>
          <w:u w:val="single"/>
        </w:rPr>
        <w:t xml:space="preserve">         </w:t>
      </w:r>
      <w:r>
        <w:rPr>
          <w:rFonts w:ascii="Times New Roman" w:hAnsi="Times New Roman" w:eastAsia="宋体" w:cs="Times New Roman"/>
        </w:rPr>
        <w:t xml:space="preserve">，具有独立承担民事责任的能力</w:t>
      </w:r>
      <w:r>
        <w:rPr>
          <w:rFonts w:ascii="Times New Roman" w:hAnsi="Times New Roman" w:eastAsia="宋体" w:cs="Times New Roman"/>
          <w:b/>
        </w:rPr>
        <w:t xml:space="preserve">（如属于分公司经总公司授权参与项目，由总公司承担民事责任的，需提供总公司项目授权书）</w:t>
      </w:r>
      <w:r>
        <w:rPr>
          <w:rFonts w:ascii="Times New Roman" w:hAnsi="Times New Roman" w:eastAsia="宋体" w:cs="Times New Roman"/>
        </w:rPr>
        <w:t xml:space="preserve">。</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二、我单位未被</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国家企业信用信息系统</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列入经营异常名录或者严重违法企业名单。</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三、我单位具有良好的商业信誉（指</w:t>
      </w:r>
      <w:r>
        <w:rPr>
          <w:rFonts w:hint="eastAsia" w:ascii="Times New Roman" w:hAnsi="Times New Roman" w:eastAsia="宋体" w:cs="Times New Roman"/>
          <w:lang w:val="en-US" w:eastAsia="zh-CN"/>
        </w:rPr>
        <w:t xml:space="preserve">供应商</w:t>
      </w:r>
      <w:r>
        <w:rPr>
          <w:rFonts w:ascii="Times New Roman" w:hAnsi="Times New Roman" w:eastAsia="宋体" w:cs="Times New Roman"/>
        </w:rPr>
        <w:t xml:space="preserve">经营状况良好，无本资格声明第十条情形）和健全的财务会计制度。</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四、我单位依法进行纳税和社会保险申报并实际履行了义务。</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五、我单位具有履行本项目采购合同所必需的设备和专业技术能力，并具有履行合同的良好记录。为履行本项采购合同我单位具备如下主要设备和主要专业技术能力：</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主要设备有：</w:t>
      </w:r>
      <w:r>
        <w:rPr>
          <w:rFonts w:ascii="Times New Roman" w:hAnsi="Times New Roman" w:eastAsia="宋体" w:cs="Times New Roman"/>
          <w:u w:val="single"/>
        </w:rPr>
        <w:t xml:space="preserve">            </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主要专业技术能力有</w:t>
      </w:r>
      <w:r>
        <w:rPr>
          <w:rFonts w:ascii="Times New Roman" w:hAnsi="Times New Roman" w:eastAsia="宋体" w:cs="Times New Roman"/>
          <w:u w:val="single"/>
        </w:rPr>
        <w:t xml:space="preserve">                 </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较大数额罚款</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标准的；法律、法规、规章、国务院有关行政主管部门对</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较大数额罚款</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标准另有规定的，从其规定。（供应商如在参加政府采购活动前3年内因违法经营被禁止在一定期限内参加政府采购活动，期限届满的，可以参加政府采购活动。）</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七、我单位具备法律、行政法规规定的其他条件。</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八、与我单位存在</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单位负责人为同一人或者存在直接控股、管理关系</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的其他单位信息如下（如无此情形的，填写</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无</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1、与我单位的法定代表人（单位负责人）为同一人的其他单位如下：</w:t>
      </w:r>
      <w:r>
        <w:rPr>
          <w:rFonts w:ascii="Times New Roman" w:hAnsi="Times New Roman" w:eastAsia="宋体" w:cs="Times New Roman"/>
          <w:u w:val="single"/>
        </w:rPr>
        <w:t xml:space="preserve">     </w:t>
      </w:r>
      <w:r>
        <w:rPr>
          <w:rFonts w:ascii="Times New Roman" w:hAnsi="Times New Roman" w:eastAsia="宋体" w:cs="Times New Roman"/>
        </w:rPr>
        <w:t xml:space="preserve">          </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2、我单位直接控股的其他单位如下：</w:t>
      </w:r>
      <w:r>
        <w:rPr>
          <w:rFonts w:ascii="Times New Roman" w:hAnsi="Times New Roman" w:eastAsia="宋体" w:cs="Times New Roman"/>
          <w:u w:val="single"/>
        </w:rPr>
        <w:t xml:space="preserve">                    </w:t>
      </w:r>
      <w:r>
        <w:rPr>
          <w:rFonts w:ascii="Times New Roman" w:hAnsi="Times New Roman" w:eastAsia="宋体" w:cs="Times New Roman"/>
        </w:rPr>
        <w:t xml:space="preserve"> </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3、与我单位存在管理关系的其他单位如下：</w:t>
      </w:r>
      <w:r>
        <w:rPr>
          <w:rFonts w:ascii="Times New Roman" w:hAnsi="Times New Roman" w:eastAsia="宋体" w:cs="Times New Roman"/>
          <w:u w:val="single"/>
        </w:rPr>
        <w:t xml:space="preserve">              </w:t>
      </w:r>
      <w:r>
        <w:rPr>
          <w:rFonts w:ascii="Times New Roman" w:hAnsi="Times New Roman" w:eastAsia="宋体" w:cs="Times New Roman"/>
        </w:rPr>
        <w:t xml:space="preserve"> </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九、我单位不属于为本项目提供整体设计、规范编制或者项目管理、监理、检测等服务的</w:t>
      </w:r>
      <w:r>
        <w:rPr>
          <w:rFonts w:hint="eastAsia" w:ascii="Times New Roman" w:hAnsi="Times New Roman" w:eastAsia="宋体" w:cs="Times New Roman"/>
          <w:lang w:val="en-US" w:eastAsia="zh-CN"/>
        </w:rPr>
        <w:t xml:space="preserve">供应商</w:t>
      </w:r>
      <w:r>
        <w:rPr>
          <w:rFonts w:ascii="Times New Roman" w:hAnsi="Times New Roman" w:eastAsia="宋体" w:cs="Times New Roman"/>
        </w:rPr>
        <w:t xml:space="preserve">。</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十、我单位无以下不良信用记录情形：</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1、在</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信用中国</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网站被列入失信被执行人和重大税收违法案件当事人名单；</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2、在</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中国政府采购网</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网站被列入政府采购严重违法失信行为记录名单；</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3、不符合《政府采购法》第二十二条规定的条件。</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我单位保证上述声明的事项都是真实的，如有虚假，我单位愿意承担相应的法律责任，并承担因此所造成的一切损失。</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                                            </w:t>
      </w:r>
      <w:r>
        <w:rPr>
          <w:rFonts w:hint="eastAsia" w:ascii="Times New Roman" w:hAnsi="Times New Roman" w:eastAsia="宋体" w:cs="Times New Roman"/>
          <w:lang w:val="en-US" w:eastAsia="zh-CN"/>
        </w:rPr>
        <w:t xml:space="preserve">供应商</w:t>
      </w:r>
      <w:r>
        <w:rPr>
          <w:rFonts w:ascii="Times New Roman" w:hAnsi="Times New Roman" w:eastAsia="宋体" w:cs="Times New Roman"/>
        </w:rPr>
        <w:t xml:space="preserve">：（加盖公章）</w:t>
      </w:r>
      <w:r>
        <w:rPr>
          <w:rFonts w:ascii="Times New Roman" w:hAnsi="Times New Roman" w:eastAsia="宋体" w:cs="Times New Roman"/>
        </w:rPr>
      </w:r>
      <w:r/>
    </w:p>
    <w:p>
      <w:pPr>
        <w:pStyle w:val="791"/>
        <w:ind w:firstLine="480"/>
        <w:spacing w:line="460" w:lineRule="exact"/>
        <w:rPr>
          <w:rFonts w:ascii="Times New Roman" w:hAnsi="Times New Roman" w:eastAsia="宋体" w:cs="Times New Roman"/>
        </w:rPr>
      </w:pPr>
      <w:r>
        <w:rPr>
          <w:rFonts w:ascii="Times New Roman" w:hAnsi="Times New Roman" w:eastAsia="宋体" w:cs="Times New Roman"/>
        </w:rPr>
        <w:t xml:space="preserve">                                           法定代表人（或单位负责人）签字或盖章：</w:t>
      </w:r>
      <w:r>
        <w:rPr>
          <w:rFonts w:ascii="Times New Roman" w:hAnsi="Times New Roman" w:eastAsia="宋体" w:cs="Times New Roman"/>
        </w:rPr>
      </w:r>
      <w:r/>
    </w:p>
    <w:p>
      <w:pPr>
        <w:pStyle w:val="791"/>
        <w:ind w:firstLine="4920"/>
        <w:spacing w:line="460" w:lineRule="exact"/>
        <w:rPr>
          <w:rFonts w:ascii="Times New Roman" w:hAnsi="Times New Roman" w:eastAsia="宋体" w:cs="Times New Roman"/>
        </w:rPr>
      </w:pPr>
      <w:r>
        <w:rPr>
          <w:rFonts w:ascii="Times New Roman" w:hAnsi="Times New Roman" w:eastAsia="宋体" w:cs="Times New Roman"/>
        </w:rPr>
        <w:t xml:space="preserve">日期：    年    月    日</w:t>
      </w:r>
      <w:r>
        <w:rPr>
          <w:rFonts w:ascii="Times New Roman" w:hAnsi="Times New Roman" w:eastAsia="宋体" w:cs="Times New Roman"/>
        </w:rPr>
      </w:r>
      <w:r/>
    </w:p>
    <w:p>
      <w:pPr>
        <w:pStyle w:val="775"/>
        <w:spacing w:line="360" w:lineRule="auto"/>
        <w:rPr>
          <w:rFonts w:ascii="Times New Roman" w:hAnsi="Times New Roman" w:eastAsia="宋体" w:cs="Times New Roman"/>
          <w:sz w:val="24"/>
        </w:rPr>
      </w:pPr>
      <w:r>
        <w:rPr>
          <w:rFonts w:ascii="Times New Roman" w:hAnsi="Times New Roman" w:eastAsia="宋体" w:cs="Times New Roman"/>
          <w:sz w:val="24"/>
        </w:rPr>
      </w:r>
      <w:r/>
    </w:p>
    <w:p>
      <w:pPr>
        <w:pStyle w:val="775"/>
        <w:spacing w:line="360" w:lineRule="auto"/>
        <w:rPr>
          <w:rFonts w:ascii="Times New Roman" w:hAnsi="Times New Roman" w:eastAsia="宋体" w:cs="Times New Roman"/>
          <w:sz w:val="24"/>
        </w:rPr>
      </w:pPr>
      <w:r>
        <w:rPr>
          <w:rFonts w:ascii="Times New Roman" w:hAnsi="Times New Roman" w:eastAsia="宋体" w:cs="Times New Roman"/>
          <w:sz w:val="24"/>
        </w:rPr>
      </w:r>
      <w:r/>
    </w:p>
    <w:p>
      <w:pPr>
        <w:pStyle w:val="775"/>
        <w:spacing w:line="360" w:lineRule="auto"/>
        <w:rPr>
          <w:rFonts w:ascii="Times New Roman" w:hAnsi="Times New Roman" w:eastAsia="宋体" w:cs="Times New Roman"/>
          <w:sz w:val="24"/>
        </w:rPr>
      </w:pPr>
      <w:r>
        <w:rPr>
          <w:rFonts w:ascii="Times New Roman" w:hAnsi="Times New Roman" w:eastAsia="宋体" w:cs="Times New Roman"/>
          <w:sz w:val="24"/>
        </w:rPr>
      </w:r>
      <w:r/>
    </w:p>
    <w:p>
      <w:pPr>
        <w:pStyle w:val="775"/>
        <w:spacing w:line="360" w:lineRule="auto"/>
        <w:rPr>
          <w:rFonts w:ascii="Times New Roman" w:hAnsi="Times New Roman" w:eastAsia="宋体" w:cs="Times New Roman"/>
          <w:sz w:val="24"/>
        </w:rPr>
      </w:pPr>
      <w:r>
        <w:rPr>
          <w:rFonts w:ascii="Times New Roman" w:hAnsi="Times New Roman" w:eastAsia="宋体" w:cs="Times New Roman"/>
          <w:sz w:val="24"/>
        </w:rPr>
        <w:t xml:space="preserve">说明：供应商承诺不实的，依据《政府采购法》第七十七条</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提供虚假材料谋取成交的</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有关规定予以处理。</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cs="Times New Roman"/>
          <w:sz w:val="24"/>
        </w:rPr>
      </w:r>
      <w:r/>
    </w:p>
    <w:p>
      <w:pPr>
        <w:pStyle w:val="775"/>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2 落实政府采购政策需满足的资格要求</w:t>
      </w: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t xml:space="preserve">2-1 中小企业声明函</w:t>
      </w:r>
      <w:r>
        <w:rPr>
          <w:rFonts w:ascii="Times New Roman" w:hAnsi="Times New Roman" w:eastAsia="宋体" w:cs="Times New Roman"/>
          <w:sz w:val="24"/>
          <w:szCs w:val="20"/>
        </w:rPr>
      </w:r>
      <w:r/>
    </w:p>
    <w:p>
      <w:pPr>
        <w:pStyle w:val="775"/>
        <w:spacing w:line="360" w:lineRule="auto"/>
        <w:tabs>
          <w:tab w:val="left" w:pos="5580" w:leader="none"/>
        </w:tabs>
        <w:rPr>
          <w:rFonts w:hint="eastAsia" w:ascii="Times New Roman" w:hAnsi="Times New Roman" w:eastAsia="宋体" w:cs="Times New Roman"/>
          <w:b/>
          <w:bCs/>
          <w:sz w:val="24"/>
          <w:lang w:eastAsia="zh-CN"/>
        </w:rPr>
      </w:pPr>
      <w:r>
        <w:rPr>
          <w:rFonts w:ascii="Times New Roman" w:hAnsi="Times New Roman" w:eastAsia="宋体" w:cs="Times New Roman"/>
          <w:b/>
          <w:bCs/>
          <w:sz w:val="24"/>
        </w:rPr>
        <w:t xml:space="preserve">本项目不专门面向中小企业预留采购份额</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eastAsia="zh-CN"/>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（1）如本项目（包）不专门面向中小企业预留采购份额，供应商非必须提供；当小微企业拟享受中小企业扶持政策时，仍应提供《中小企业声明函》，否则不得享受相关中小企业扶持政策。</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（4）其它</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1）中小企业参加政府采购活动，应当出具此格式文件。《中小企业声明函》由参加政府采购活动的供应商出具。联合体响应的，《中小企业声明函》由牵头人出具。</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2）对于联合体中由中小企业承担的部分，或者分包给中小企业的部分，必须全部由中小企业制造、承建或者承接。供应商应当在声明函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项目名称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部分标明联合体中中小企业承担的具体内容或者中小企业的具体分包内容。</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3）对于多标的的采购项目，供应商应充分、准确地了解所投产品制造企业信息。对相关情况了解不清楚的，不建议填报本声明函。</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Times New Roman" w:hAnsi="Times New Roman" w:eastAsia="宋体" w:cs="Times New Roman"/>
          <w:sz w:val="24"/>
        </w:rPr>
      </w:r>
      <w:r/>
    </w:p>
    <w:p>
      <w:pPr>
        <w:pStyle w:val="77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775"/>
        <w:jc w:val="left"/>
        <w:widowControl/>
        <w:rPr>
          <w:rFonts w:ascii="Times New Roman" w:hAnsi="Times New Roman" w:eastAsia="宋体" w:cs="Times New Roman"/>
          <w:sz w:val="24"/>
        </w:rPr>
      </w:pPr>
      <w:r>
        <w:rPr>
          <w:rFonts w:ascii="Times New Roman" w:hAnsi="Times New Roman" w:eastAsia="宋体" w:cs="Times New Roman"/>
          <w:sz w:val="24"/>
        </w:rPr>
        <w:br w:type="page" w:clear="all"/>
      </w:r>
      <w:r>
        <w:rPr>
          <w:rFonts w:ascii="Times New Roman" w:hAnsi="Times New Roman" w:eastAsia="宋体" w:cs="Times New Roman"/>
          <w:sz w:val="24"/>
        </w:rPr>
      </w:r>
      <w:r/>
    </w:p>
    <w:p>
      <w:pPr>
        <w:pStyle w:val="775"/>
        <w:jc w:val="center"/>
        <w:spacing w:before="240" w:after="240" w:line="360" w:lineRule="auto"/>
        <w:rPr>
          <w:rFonts w:ascii="Times New Roman" w:hAnsi="Times New Roman" w:eastAsia="宋体" w:cs="Times New Roman"/>
          <w:b/>
          <w:bCs/>
          <w:sz w:val="36"/>
          <w:szCs w:val="36"/>
        </w:rPr>
      </w:pPr>
      <w:r/>
      <w:bookmarkStart w:id="700" w:name="_Hlk145586641"/>
      <w:r>
        <w:rPr>
          <w:rFonts w:ascii="Times New Roman" w:hAnsi="Times New Roman" w:eastAsia="宋体" w:cs="Times New Roman"/>
          <w:b/>
          <w:bCs/>
          <w:sz w:val="36"/>
          <w:szCs w:val="36"/>
        </w:rPr>
        <w:t xml:space="preserve">中小企业声明函（服务）格式</w:t>
      </w:r>
      <w:r>
        <w:rPr>
          <w:rFonts w:ascii="Times New Roman" w:hAnsi="Times New Roman" w:eastAsia="宋体" w:cs="Times New Roman"/>
          <w:b/>
          <w:bCs/>
          <w:sz w:val="36"/>
          <w:szCs w:val="36"/>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z w:val="24"/>
        </w:rPr>
        <w:t xml:space="preserve">（联合体）</w:t>
      </w:r>
      <w:r>
        <w:rPr>
          <w:rFonts w:ascii="Times New Roman" w:hAnsi="Times New Roman" w:eastAsia="宋体" w:cs="Times New Roman"/>
          <w:spacing w:val="6"/>
          <w:sz w:val="24"/>
        </w:rPr>
        <w:t xml:space="preserve">参加</w:t>
      </w:r>
      <w:r>
        <w:rPr>
          <w:rFonts w:ascii="Times New Roman" w:hAnsi="Times New Roman" w:eastAsia="宋体" w:cs="Times New Roman"/>
          <w:spacing w:val="6"/>
          <w:sz w:val="24"/>
          <w:u w:val="single"/>
        </w:rPr>
        <w:t xml:space="preserve">常州市新北区市政绿化管理所</w:t>
      </w:r>
      <w:r>
        <w:rPr>
          <w:rFonts w:ascii="Times New Roman" w:hAnsi="Times New Roman" w:eastAsia="宋体" w:cs="Times New Roman"/>
          <w:spacing w:val="6"/>
          <w:sz w:val="24"/>
        </w:rPr>
        <w:t xml:space="preserve">的</w:t>
      </w:r>
      <w:r>
        <w:rPr>
          <w:rFonts w:ascii="Times New Roman" w:hAnsi="Times New Roman" w:eastAsia="宋体" w:cs="Times New Roman"/>
          <w:spacing w:val="6"/>
          <w:sz w:val="24"/>
          <w:u w:val="single"/>
        </w:rPr>
        <w:t xml:space="preserve">常州市新北区环卫、市政及绿化养护服务</w:t>
      </w:r>
      <w:r>
        <w:rPr>
          <w:rFonts w:ascii="Times New Roman" w:hAnsi="Times New Roman" w:eastAsia="宋体" w:cs="Times New Roman"/>
          <w:spacing w:val="6"/>
          <w:sz w:val="24"/>
        </w:rPr>
        <w:t xml:space="preserve">（项目名称）采购活动，服务全部由符合政策要求的中小企业承接。相关企业（含联合体中的中小企业）的具体情况如下：</w:t>
      </w:r>
      <w:r>
        <w:rPr>
          <w:rFonts w:ascii="Times New Roman" w:hAnsi="Times New Roman" w:eastAsia="宋体" w:cs="Times New Roman"/>
          <w:spacing w:val="6"/>
          <w:sz w:val="24"/>
        </w:rPr>
      </w:r>
      <w:r/>
    </w:p>
    <w:p>
      <w:pPr>
        <w:pStyle w:val="775"/>
        <w:ind w:firstLine="504"/>
        <w:jc w:val="left"/>
        <w:spacing w:line="360" w:lineRule="auto"/>
        <w:tabs>
          <w:tab w:val="left" w:pos="1183" w:leader="none"/>
          <w:tab w:val="left" w:pos="1484" w:leader="none"/>
          <w:tab w:val="left" w:pos="4662" w:leader="none"/>
          <w:tab w:val="left" w:pos="6903" w:leader="none"/>
        </w:tabs>
        <w:rPr>
          <w:rFonts w:ascii="Times New Roman" w:hAnsi="Times New Roman" w:eastAsia="宋体" w:cs="Times New Roman"/>
          <w:iCs/>
          <w:sz w:val="24"/>
        </w:rPr>
      </w:pPr>
      <w:r>
        <w:rPr>
          <w:rFonts w:ascii="Times New Roman" w:hAnsi="Times New Roman" w:eastAsia="宋体" w:cs="Times New Roman"/>
          <w:spacing w:val="6"/>
          <w:sz w:val="24"/>
          <w:u w:val="single"/>
        </w:rPr>
        <w:t xml:space="preserve">常州市新北区环卫、市政及绿化养护服务</w:t>
      </w:r>
      <w:r>
        <w:rPr>
          <w:rFonts w:ascii="Times New Roman" w:hAnsi="Times New Roman" w:eastAsia="宋体" w:cs="Times New Roman"/>
          <w:iCs/>
          <w:sz w:val="24"/>
        </w:rPr>
        <w:t xml:space="preserve">，属于</w:t>
      </w:r>
      <w:r>
        <w:rPr>
          <w:rFonts w:ascii="Times New Roman" w:hAnsi="Times New Roman" w:eastAsia="宋体" w:cs="Times New Roman"/>
          <w:iCs/>
          <w:sz w:val="24"/>
          <w:u w:val="single"/>
        </w:rPr>
        <w:t xml:space="preserve">其他未列明</w:t>
      </w:r>
      <w:r>
        <w:rPr>
          <w:rFonts w:ascii="Times New Roman" w:hAnsi="Times New Roman" w:eastAsia="宋体" w:cs="Times New Roman"/>
          <w:iCs/>
          <w:sz w:val="24"/>
        </w:rPr>
        <w:t xml:space="preserve">行业；</w:t>
      </w:r>
      <w:r>
        <w:rPr>
          <w:rFonts w:ascii="Times New Roman" w:hAnsi="Times New Roman" w:eastAsia="宋体" w:cs="Times New Roman"/>
          <w:spacing w:val="6"/>
          <w:sz w:val="24"/>
        </w:rPr>
        <w:t xml:space="preserve">承接企业为</w:t>
      </w:r>
      <w:r>
        <w:rPr>
          <w:rFonts w:ascii="Times New Roman" w:hAnsi="Times New Roman" w:eastAsia="宋体" w:cs="Times New Roman"/>
          <w:spacing w:val="6"/>
          <w:sz w:val="24"/>
          <w:u w:val="single"/>
        </w:rPr>
        <w:t xml:space="preserve">             </w:t>
      </w:r>
      <w:r>
        <w:rPr>
          <w:rFonts w:ascii="Times New Roman" w:hAnsi="Times New Roman" w:eastAsia="宋体" w:cs="Times New Roman"/>
          <w:spacing w:val="6"/>
          <w:sz w:val="24"/>
        </w:rPr>
        <w:t xml:space="preserve">（企业名称），从业人员______人，营业收入为______万元，资产总额为______万元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，属于___________（大型企业、中型企业、小型企业、微型企业）；</w:t>
      </w:r>
      <w:r>
        <w:rPr>
          <w:rFonts w:ascii="Times New Roman" w:hAnsi="Times New Roman" w:eastAsia="宋体" w:cs="Times New Roman"/>
          <w:iCs/>
          <w:sz w:val="24"/>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77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775"/>
        <w:ind w:right="360" w:firstLine="480"/>
        <w:jc w:val="right"/>
        <w:spacing w:line="360" w:lineRule="auto"/>
        <w:rPr>
          <w:rFonts w:ascii="Times New Roman" w:hAnsi="Times New Roman" w:eastAsia="宋体" w:cs="Times New Roman"/>
          <w:sz w:val="24"/>
        </w:rPr>
      </w:pPr>
      <w:r>
        <w:rPr>
          <w:rFonts w:ascii="Times New Roman" w:hAnsi="Times New Roman" w:eastAsia="宋体" w:cs="Times New Roman"/>
          <w:sz w:val="24"/>
        </w:rPr>
      </w:r>
      <w:r/>
    </w:p>
    <w:p>
      <w:pPr>
        <w:pStyle w:val="775"/>
        <w:ind w:right="360" w:firstLine="480"/>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企业名称（加盖公章）：________</w:t>
      </w:r>
      <w:r>
        <w:rPr>
          <w:rFonts w:ascii="Times New Roman" w:hAnsi="Times New Roman" w:eastAsia="宋体" w:cs="Times New Roman"/>
          <w:sz w:val="24"/>
        </w:rPr>
      </w:r>
      <w:r/>
    </w:p>
    <w:p>
      <w:pPr>
        <w:pStyle w:val="775"/>
        <w:ind w:right="360" w:firstLine="480"/>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日 期：________</w:t>
      </w:r>
      <w:r>
        <w:rPr>
          <w:rFonts w:ascii="Times New Roman" w:hAnsi="Times New Roman" w:eastAsia="宋体" w:cs="Times New Roman"/>
          <w:sz w:val="24"/>
        </w:rPr>
      </w:r>
      <w:r/>
    </w:p>
    <w:p>
      <w:pPr>
        <w:pStyle w:val="775"/>
        <w:jc w:val="left"/>
        <w:rPr>
          <w:rFonts w:ascii="Times New Roman" w:hAnsi="Times New Roman" w:eastAsia="宋体" w:cs="Times New Roman"/>
          <w:sz w:val="24"/>
          <w:szCs w:val="21"/>
        </w:rPr>
      </w:pPr>
      <w:r>
        <w:rPr>
          <w:rFonts w:ascii="Times New Roman" w:hAnsi="Times New Roman" w:eastAsia="宋体" w:cs="Times New Roman"/>
          <w:sz w:val="24"/>
          <w:szCs w:val="21"/>
        </w:rPr>
      </w:r>
      <w:r/>
    </w:p>
    <w:p>
      <w:pPr>
        <w:pStyle w:val="775"/>
        <w:jc w:val="left"/>
        <w:rPr>
          <w:rFonts w:ascii="Times New Roman" w:hAnsi="Times New Roman" w:eastAsia="宋体" w:cs="Times New Roman"/>
          <w:sz w:val="24"/>
          <w:szCs w:val="21"/>
        </w:rPr>
      </w:pPr>
      <w:r>
        <w:rPr>
          <w:rFonts w:ascii="Times New Roman" w:hAnsi="Times New Roman" w:eastAsia="宋体" w:cs="Times New Roman"/>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75"/>
              <w:jc w:val="left"/>
              <w:rPr>
                <w:rFonts w:ascii="Times New Roman" w:hAnsi="Times New Roman" w:eastAsia="宋体" w:cs="Times New Roman"/>
                <w:szCs w:val="21"/>
              </w:rPr>
            </w:pPr>
            <w:r>
              <w:rPr>
                <w:rFonts w:ascii="Times New Roman" w:hAnsi="Times New Roman" w:eastAsia="宋体" w:cs="Times New Roman"/>
                <w:szCs w:val="21"/>
                <w:vertAlign w:val="superscript"/>
              </w:rPr>
              <w:t xml:space="preserve">1</w:t>
            </w:r>
            <w:r>
              <w:rPr>
                <w:rFonts w:ascii="Times New Roman" w:hAnsi="Times New Roman" w:eastAsia="宋体" w:cs="Times New Roman"/>
                <w:szCs w:val="21"/>
              </w:rPr>
              <w:t xml:space="preserve">从业人员、营业收入、资产总额填报上一年度数据，无上一年度数据的新成立企业可不填报。</w:t>
            </w:r>
            <w:r>
              <w:rPr>
                <w:rFonts w:ascii="Times New Roman" w:hAnsi="Times New Roman" w:eastAsia="宋体" w:cs="Times New Roman"/>
                <w:szCs w:val="21"/>
              </w:rPr>
            </w:r>
            <w:r/>
          </w:p>
        </w:tc>
      </w:tr>
    </w:tbl>
    <w:p>
      <w:pPr>
        <w:pStyle w:val="775"/>
        <w:jc w:val="center"/>
        <w:spacing w:before="240" w:after="240" w:line="360" w:lineRule="auto"/>
        <w:rPr>
          <w:rFonts w:ascii="Times New Roman" w:hAnsi="Times New Roman" w:eastAsia="宋体" w:cs="Times New Roman"/>
          <w:b/>
          <w:sz w:val="36"/>
          <w:szCs w:val="36"/>
        </w:rPr>
      </w:pPr>
      <w:r>
        <w:rPr>
          <w:rFonts w:ascii="Times New Roman" w:hAnsi="Times New Roman" w:eastAsia="宋体" w:cs="Times New Roman"/>
          <w:sz w:val="24"/>
        </w:rPr>
        <w:br w:type="page" w:clear="all"/>
      </w:r>
      <w:r>
        <w:rPr>
          <w:rFonts w:ascii="Times New Roman" w:hAnsi="Times New Roman" w:eastAsia="宋体" w:cs="Times New Roman"/>
          <w:b/>
          <w:sz w:val="36"/>
          <w:szCs w:val="36"/>
        </w:rPr>
        <w:t xml:space="preserve">残疾人福利性单位声明函格式</w:t>
      </w:r>
      <w:r>
        <w:rPr>
          <w:rFonts w:ascii="Times New Roman" w:hAnsi="Times New Roman" w:eastAsia="宋体" w:cs="Times New Roman"/>
          <w:b/>
          <w:sz w:val="36"/>
          <w:szCs w:val="36"/>
        </w:rPr>
      </w:r>
      <w:r/>
    </w:p>
    <w:p>
      <w:pPr>
        <w:pStyle w:val="775"/>
        <w:jc w:val="center"/>
        <w:rPr>
          <w:rFonts w:ascii="Times New Roman" w:hAnsi="Times New Roman" w:eastAsia="宋体" w:cs="Times New Roman"/>
          <w:sz w:val="36"/>
          <w:szCs w:val="36"/>
        </w:rPr>
      </w:pPr>
      <w:r>
        <w:rPr>
          <w:rFonts w:ascii="Times New Roman" w:hAnsi="Times New Roman" w:eastAsia="宋体" w:cs="Times New Roman"/>
          <w:sz w:val="36"/>
          <w:szCs w:val="36"/>
        </w:rPr>
      </w:r>
      <w:r/>
    </w:p>
    <w:p>
      <w:pPr>
        <w:pStyle w:val="77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75"/>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775"/>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775"/>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77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7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75"/>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单位名称（盖章）：</w:t>
      </w:r>
      <w:r>
        <w:rPr>
          <w:rFonts w:ascii="Times New Roman" w:hAnsi="Times New Roman" w:eastAsia="宋体" w:cs="Times New Roman"/>
          <w:spacing w:val="6"/>
          <w:sz w:val="24"/>
        </w:rPr>
      </w:r>
      <w:r/>
    </w:p>
    <w:p>
      <w:pPr>
        <w:pStyle w:val="775"/>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日  期：</w:t>
      </w:r>
      <w:r>
        <w:rPr>
          <w:rFonts w:ascii="Times New Roman" w:hAnsi="Times New Roman" w:eastAsia="宋体" w:cs="Times New Roman"/>
          <w:spacing w:val="6"/>
          <w:sz w:val="24"/>
        </w:rPr>
      </w:r>
      <w:r/>
    </w:p>
    <w:p>
      <w:pPr>
        <w:pStyle w:val="775"/>
        <w:jc w:val="left"/>
        <w:spacing w:line="360" w:lineRule="auto"/>
        <w:widowControl/>
        <w:rPr>
          <w:rFonts w:ascii="Times New Roman" w:hAnsi="Times New Roman" w:eastAsia="宋体" w:cs="Times New Roman"/>
          <w:sz w:val="24"/>
          <w:szCs w:val="20"/>
        </w:rPr>
        <w:outlineLvl w:val="2"/>
      </w:pPr>
      <w:r>
        <w:rPr>
          <w:rFonts w:ascii="Times New Roman" w:hAnsi="Times New Roman" w:eastAsia="宋体" w:cs="Times New Roman"/>
          <w:sz w:val="24"/>
          <w:szCs w:val="20"/>
        </w:rPr>
        <w:br w:type="page" w:clear="all"/>
      </w:r>
      <w:bookmarkEnd w:id="700"/>
      <w:r>
        <w:rPr>
          <w:rFonts w:ascii="Times New Roman" w:hAnsi="Times New Roman" w:eastAsia="宋体" w:cs="Times New Roman"/>
          <w:sz w:val="24"/>
          <w:szCs w:val="20"/>
        </w:rPr>
        <w:t xml:space="preserve">2-2</w:t>
      </w:r>
      <w:r>
        <w:rPr>
          <w:rFonts w:ascii="Times New Roman" w:hAnsi="Times New Roman" w:eastAsia="宋体" w:cs="Times New Roman"/>
          <w:sz w:val="24"/>
        </w:rPr>
        <w:t xml:space="preserve">其它落实政府采购政策的资格要求</w:t>
      </w:r>
      <w:r>
        <w:rPr>
          <w:rFonts w:ascii="Times New Roman" w:hAnsi="Times New Roman" w:eastAsia="宋体" w:cs="Times New Roman"/>
          <w:sz w:val="24"/>
          <w:szCs w:val="20"/>
        </w:rPr>
        <w:t xml:space="preserve">（如有）</w:t>
      </w:r>
      <w:r>
        <w:rPr>
          <w:rFonts w:ascii="Times New Roman" w:hAnsi="Times New Roman" w:eastAsia="宋体" w:cs="Times New Roman"/>
          <w:sz w:val="24"/>
          <w:szCs w:val="20"/>
        </w:rPr>
      </w:r>
      <w:r/>
    </w:p>
    <w:p>
      <w:pPr>
        <w:pStyle w:val="775"/>
        <w:ind w:firstLine="48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无。</w:t>
      </w:r>
      <w:r>
        <w:rPr>
          <w:rFonts w:ascii="Times New Roman" w:hAnsi="Times New Roman" w:eastAsia="宋体" w:cs="Times New Roman"/>
          <w:sz w:val="24"/>
          <w:szCs w:val="20"/>
        </w:rPr>
      </w:r>
      <w:r/>
    </w:p>
    <w:p>
      <w:pPr>
        <w:pStyle w:val="775"/>
        <w:jc w:val="left"/>
        <w:widowControl/>
        <w:rPr>
          <w:rFonts w:ascii="Times New Roman" w:hAnsi="Times New Roman" w:eastAsia="宋体" w:cs="Times New Roman"/>
          <w:sz w:val="24"/>
        </w:rPr>
      </w:pPr>
      <w:r>
        <w:rPr>
          <w:rFonts w:ascii="Times New Roman" w:hAnsi="Times New Roman" w:eastAsia="宋体" w:cs="Times New Roman"/>
          <w:sz w:val="24"/>
        </w:rPr>
        <w:br w:type="page" w:clear="all"/>
      </w:r>
      <w:r>
        <w:rPr>
          <w:rFonts w:ascii="Times New Roman" w:hAnsi="Times New Roman" w:eastAsia="宋体" w:cs="Times New Roman"/>
          <w:sz w:val="24"/>
        </w:rPr>
      </w:r>
      <w:r/>
    </w:p>
    <w:p>
      <w:pPr>
        <w:pStyle w:val="775"/>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3 </w:t>
      </w:r>
      <w:r>
        <w:rPr>
          <w:rFonts w:ascii="Times New Roman" w:hAnsi="Times New Roman" w:eastAsia="宋体" w:cs="Times New Roman"/>
          <w:sz w:val="24"/>
        </w:rPr>
        <w:t xml:space="preserve">本项目的特定资格要求</w:t>
      </w:r>
      <w:r>
        <w:rPr>
          <w:rFonts w:ascii="Times New Roman" w:hAnsi="Times New Roman" w:eastAsia="宋体" w:cs="Times New Roman"/>
          <w:color w:val="000000"/>
          <w:sz w:val="24"/>
          <w:szCs w:val="20"/>
        </w:rPr>
        <w:t xml:space="preserve">（如有）</w:t>
      </w:r>
      <w:r>
        <w:rPr>
          <w:rFonts w:ascii="Times New Roman" w:hAnsi="Times New Roman" w:eastAsia="宋体" w:cs="Times New Roman"/>
          <w:color w:val="000000"/>
          <w:sz w:val="24"/>
          <w:szCs w:val="20"/>
        </w:rPr>
      </w:r>
      <w:r/>
    </w:p>
    <w:p>
      <w:pPr>
        <w:pStyle w:val="775"/>
        <w:ind w:firstLine="482"/>
        <w:spacing w:line="360" w:lineRule="auto"/>
        <w:rPr>
          <w:rFonts w:ascii="Times New Roman" w:hAnsi="Times New Roman" w:eastAsia="宋体" w:cs="Times New Roman"/>
          <w:b/>
          <w:color w:val="000000"/>
          <w:sz w:val="24"/>
          <w:szCs w:val="20"/>
        </w:rPr>
      </w:pPr>
      <w:r>
        <w:rPr>
          <w:rFonts w:ascii="Times New Roman" w:hAnsi="Times New Roman" w:eastAsia="宋体" w:cs="Times New Roman"/>
          <w:b/>
          <w:color w:val="000000"/>
          <w:sz w:val="24"/>
          <w:szCs w:val="20"/>
        </w:rPr>
        <w:t xml:space="preserve">无</w:t>
      </w:r>
      <w:r>
        <w:rPr>
          <w:rFonts w:ascii="Times New Roman" w:hAnsi="Times New Roman" w:eastAsia="宋体" w:cs="Times New Roman"/>
          <w:b/>
          <w:color w:val="000000"/>
          <w:sz w:val="24"/>
          <w:szCs w:val="20"/>
        </w:rPr>
      </w:r>
      <w:r/>
    </w:p>
    <w:p>
      <w:pPr>
        <w:pStyle w:val="775"/>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pStyle w:val="775"/>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pStyle w:val="775"/>
        <w:jc w:val="left"/>
        <w:widowControl/>
        <w:rPr>
          <w:rFonts w:ascii="Times New Roman" w:hAnsi="Times New Roman" w:eastAsia="宋体" w:cs="Times New Roman"/>
          <w:color w:val="000000"/>
          <w:sz w:val="24"/>
          <w:szCs w:val="20"/>
        </w:rPr>
      </w:pPr>
      <w:r/>
      <w:bookmarkStart w:id="701" w:name="_Hlt520271212"/>
      <w:r/>
      <w:bookmarkEnd w:id="701"/>
      <w:r/>
      <w:bookmarkStart w:id="702" w:name="_Hlt520274393"/>
      <w:r/>
      <w:bookmarkEnd w:id="702"/>
      <w:r/>
      <w:bookmarkStart w:id="703" w:name="_Hlt520350918"/>
      <w:r/>
      <w:bookmarkEnd w:id="703"/>
      <w:r/>
      <w:bookmarkStart w:id="704" w:name="_Hlt520355504"/>
      <w:r/>
      <w:bookmarkEnd w:id="704"/>
      <w:r/>
      <w:bookmarkStart w:id="705" w:name="_Hlt520273711"/>
      <w:r/>
      <w:bookmarkEnd w:id="705"/>
      <w:r/>
      <w:bookmarkStart w:id="706" w:name="_Hlt520343000"/>
      <w:r/>
      <w:bookmarkEnd w:id="706"/>
      <w:r/>
      <w:bookmarkStart w:id="707" w:name="_Hlt520343392"/>
      <w:r/>
      <w:bookmarkEnd w:id="707"/>
      <w:r/>
      <w:bookmarkStart w:id="708" w:name="_Hlt520274065"/>
      <w:r/>
      <w:bookmarkEnd w:id="708"/>
      <w:r/>
      <w:bookmarkStart w:id="709" w:name="_Hlt520274121"/>
      <w:r/>
      <w:bookmarkEnd w:id="709"/>
      <w:r/>
      <w:bookmarkStart w:id="710" w:name="_Hlt520274407"/>
      <w:r/>
      <w:bookmarkEnd w:id="710"/>
      <w:r/>
      <w:bookmarkStart w:id="711" w:name="_Ref467988698"/>
      <w:r/>
      <w:bookmarkStart w:id="712" w:name="_Toc480942349"/>
      <w:r/>
      <w:bookmarkStart w:id="713" w:name="_Toc150480794"/>
      <w:r/>
      <w:bookmarkStart w:id="714" w:name="_Toc520356217"/>
      <w:r/>
      <w:bookmarkStart w:id="715" w:name="_Toc226965746"/>
      <w:r/>
      <w:bookmarkStart w:id="716" w:name="_Toc127151556"/>
      <w:r/>
      <w:bookmarkStart w:id="717" w:name="_Toc226309800"/>
      <w:r/>
      <w:bookmarkStart w:id="718" w:name="_Toc226337252"/>
      <w:r/>
      <w:bookmarkStart w:id="719" w:name="_Toc150774761"/>
      <w:r/>
      <w:bookmarkStart w:id="720" w:name="_Toc142311058"/>
      <w:r/>
      <w:bookmarkStart w:id="721" w:name="_Toc195842921"/>
      <w:r/>
      <w:bookmarkStart w:id="722" w:name="_Toc226965829"/>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outlineLvl w:val="2"/>
      </w:pPr>
      <w:r/>
      <w:bookmarkEnd w:id="711"/>
      <w:r/>
      <w:bookmarkEnd w:id="712"/>
      <w:r>
        <w:rPr>
          <w:rFonts w:hint="eastAsia" w:ascii="Times New Roman" w:hAnsi="Times New Roman" w:eastAsia="宋体" w:cs="Times New Roman"/>
          <w:color w:val="000000"/>
          <w:sz w:val="24"/>
          <w:lang w:val="en-US" w:eastAsia="zh-CN"/>
        </w:rPr>
        <w:t xml:space="preserve">4</w:t>
      </w:r>
      <w:r>
        <w:rPr>
          <w:rFonts w:ascii="Times New Roman" w:hAnsi="Times New Roman" w:eastAsia="宋体" w:cs="Times New Roman"/>
          <w:color w:val="000000"/>
          <w:sz w:val="24"/>
        </w:rPr>
        <w:t xml:space="preserve"> 响应</w:t>
      </w:r>
      <w:bookmarkEnd w:id="713"/>
      <w:r/>
      <w:bookmarkEnd w:id="714"/>
      <w:r/>
      <w:bookmarkEnd w:id="715"/>
      <w:r/>
      <w:bookmarkEnd w:id="716"/>
      <w:r/>
      <w:bookmarkEnd w:id="717"/>
      <w:r/>
      <w:bookmarkEnd w:id="718"/>
      <w:r/>
      <w:bookmarkEnd w:id="719"/>
      <w:r/>
      <w:bookmarkEnd w:id="720"/>
      <w:r/>
      <w:bookmarkEnd w:id="721"/>
      <w:r/>
      <w:bookmarkEnd w:id="722"/>
      <w:r>
        <w:rPr>
          <w:rFonts w:hint="eastAsia" w:ascii="Times New Roman" w:hAnsi="Times New Roman" w:eastAsia="宋体" w:cs="Times New Roman"/>
          <w:color w:val="000000"/>
          <w:sz w:val="24"/>
          <w:lang w:val="en-US" w:eastAsia="zh-CN"/>
        </w:rPr>
        <w:t xml:space="preserve">函</w:t>
      </w:r>
      <w:r>
        <w:rPr>
          <w:rFonts w:ascii="Times New Roman" w:hAnsi="Times New Roman" w:eastAsia="宋体" w:cs="Times New Roman"/>
          <w:b/>
          <w:bCs/>
          <w:color w:val="000000"/>
          <w:sz w:val="24"/>
          <w:szCs w:val="20"/>
        </w:rPr>
        <w:t xml:space="preserve">（实质性格式）</w:t>
      </w:r>
      <w:r>
        <w:rPr>
          <w:rFonts w:ascii="Times New Roman" w:hAnsi="Times New Roman" w:eastAsia="宋体" w:cs="Times New Roman"/>
          <w:color w:val="000000"/>
          <w:sz w:val="24"/>
          <w:szCs w:val="20"/>
        </w:rPr>
      </w:r>
      <w:r/>
    </w:p>
    <w:p>
      <w:pPr>
        <w:pStyle w:val="775"/>
        <w:spacing w:line="360" w:lineRule="auto"/>
        <w:tabs>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jc w:val="center"/>
        <w:spacing w:line="360" w:lineRule="auto"/>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响应函</w:t>
      </w:r>
      <w:r>
        <w:rPr>
          <w:rFonts w:ascii="Times New Roman" w:hAnsi="Times New Roman" w:eastAsia="宋体" w:cs="Times New Roman"/>
          <w:b/>
          <w:color w:val="000000"/>
          <w:sz w:val="36"/>
          <w:szCs w:val="36"/>
        </w:rPr>
      </w:r>
      <w:r/>
    </w:p>
    <w:p>
      <w:pPr>
        <w:pStyle w:val="775"/>
        <w:spacing w:line="360" w:lineRule="auto"/>
        <w:tabs>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致：</w:t>
      </w:r>
      <w:r>
        <w:rPr>
          <w:rFonts w:ascii="Times New Roman" w:hAnsi="Times New Roman" w:eastAsia="宋体" w:cs="Times New Roman"/>
          <w:color w:val="000000"/>
          <w:sz w:val="24"/>
          <w:u w:val="single"/>
        </w:rPr>
        <w:t xml:space="preserve">（采购人或采购代理机构）</w:t>
      </w:r>
      <w:r>
        <w:rPr>
          <w:rFonts w:ascii="Times New Roman" w:hAnsi="Times New Roman" w:eastAsia="宋体" w:cs="Times New Roman"/>
          <w:color w:val="000000"/>
          <w:sz w:val="24"/>
        </w:rPr>
      </w:r>
      <w:r/>
    </w:p>
    <w:p>
      <w:pPr>
        <w:pStyle w:val="775"/>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ind w:firstLine="408"/>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我方参加你方就_____________________（项目名称，项目编号）组织的采购活动，并对此项目进行响应。</w:t>
      </w:r>
      <w:r>
        <w:rPr>
          <w:rFonts w:ascii="Times New Roman" w:hAnsi="Times New Roman" w:eastAsia="宋体" w:cs="Times New Roman"/>
          <w:color w:val="000000"/>
          <w:sz w:val="24"/>
          <w:szCs w:val="20"/>
        </w:rPr>
      </w:r>
      <w:r/>
    </w:p>
    <w:p>
      <w:pPr>
        <w:pStyle w:val="775"/>
        <w:ind w:firstLine="408"/>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 我方</w:t>
      </w:r>
      <w:r>
        <w:rPr>
          <w:rFonts w:ascii="Times New Roman" w:hAnsi="Times New Roman" w:eastAsia="宋体" w:cs="Times New Roman"/>
          <w:color w:val="000000"/>
          <w:sz w:val="24"/>
        </w:rPr>
        <w:t xml:space="preserve">已详细审查全部单一来源采购文件</w:t>
      </w:r>
      <w:r>
        <w:rPr>
          <w:rFonts w:ascii="Times New Roman" w:hAnsi="Times New Roman" w:eastAsia="宋体" w:cs="Times New Roman"/>
          <w:color w:val="000000"/>
          <w:sz w:val="24"/>
          <w:szCs w:val="20"/>
        </w:rPr>
        <w:t xml:space="preserve">，自愿参与响应并承诺如下：</w:t>
      </w:r>
      <w:r>
        <w:rPr>
          <w:rFonts w:ascii="Times New Roman" w:hAnsi="Times New Roman" w:eastAsia="宋体" w:cs="Times New Roman"/>
          <w:color w:val="000000"/>
          <w:sz w:val="24"/>
          <w:szCs w:val="20"/>
        </w:rPr>
      </w:r>
      <w:r/>
    </w:p>
    <w:p>
      <w:pPr>
        <w:pStyle w:val="775"/>
        <w:ind w:left="360" w:firstLine="72"/>
        <w:spacing w:line="360" w:lineRule="auto"/>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（1）本响应有效期为自提交响应文件的截止之日起</w:t>
      </w:r>
      <w:r>
        <w:rPr>
          <w:rFonts w:hint="eastAsia" w:ascii="Times New Roman" w:hAnsi="Times New Roman" w:eastAsia="宋体" w:cs="Times New Roman"/>
          <w:color w:val="000000"/>
          <w:sz w:val="24"/>
          <w:szCs w:val="20"/>
          <w:lang w:val="en-US" w:eastAsia="zh-CN"/>
        </w:rPr>
        <w:t xml:space="preserve"> </w:t>
      </w:r>
      <w:r>
        <w:rPr>
          <w:rFonts w:hint="eastAsia" w:ascii="Times New Roman" w:hAnsi="Times New Roman" w:eastAsia="宋体" w:cs="Times New Roman"/>
          <w:color w:val="000000"/>
          <w:sz w:val="24"/>
          <w:szCs w:val="20"/>
          <w:u w:val="single"/>
          <w:lang w:val="en-US" w:eastAsia="zh-CN"/>
        </w:rPr>
        <w:t xml:space="preserve">60 </w:t>
      </w:r>
      <w:r>
        <w:rPr>
          <w:rFonts w:ascii="Times New Roman" w:hAnsi="Times New Roman" w:eastAsia="宋体" w:cs="Times New Roman"/>
          <w:color w:val="000000"/>
          <w:sz w:val="24"/>
          <w:szCs w:val="20"/>
        </w:rPr>
        <w:t xml:space="preserve">个日历日。</w:t>
      </w:r>
      <w:r>
        <w:rPr>
          <w:rFonts w:ascii="Times New Roman" w:hAnsi="Times New Roman" w:eastAsia="宋体" w:cs="Times New Roman"/>
          <w:color w:val="000000"/>
          <w:sz w:val="24"/>
          <w:szCs w:val="20"/>
        </w:rPr>
      </w:r>
      <w:r/>
    </w:p>
    <w:p>
      <w:pPr>
        <w:pStyle w:val="775"/>
        <w:ind w:left="360" w:firstLine="72"/>
        <w:spacing w:line="360" w:lineRule="auto"/>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（2）除合同条款及采购需求偏离表列出的偏离外，我方响应单一来源采购文件的全部要求。</w:t>
      </w:r>
      <w:r>
        <w:rPr>
          <w:rFonts w:ascii="Times New Roman" w:hAnsi="Times New Roman" w:eastAsia="宋体" w:cs="Times New Roman"/>
          <w:color w:val="000000"/>
          <w:sz w:val="24"/>
          <w:szCs w:val="20"/>
        </w:rPr>
      </w:r>
      <w:r/>
    </w:p>
    <w:p>
      <w:pPr>
        <w:pStyle w:val="775"/>
        <w:ind w:firstLine="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（3）我方已提供的全部文件资料是真实、准确的，并对此承担一切法律后果。</w:t>
      </w:r>
      <w:r>
        <w:rPr>
          <w:rFonts w:ascii="Times New Roman" w:hAnsi="Times New Roman" w:eastAsia="宋体" w:cs="Times New Roman"/>
          <w:color w:val="000000"/>
          <w:sz w:val="24"/>
          <w:szCs w:val="20"/>
        </w:rPr>
      </w:r>
      <w:r/>
    </w:p>
    <w:p>
      <w:pPr>
        <w:pStyle w:val="775"/>
        <w:ind w:firstLine="420"/>
        <w:spacing w:line="360" w:lineRule="auto"/>
        <w:tabs>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（4）如我方成交，我方将在法律规定的期限内与你方签订合同，按照单一来源采购文件要求提交履约保证金，并在合同约定的期限内完成合同规定的全部义务。</w:t>
      </w:r>
      <w:r>
        <w:rPr>
          <w:rFonts w:ascii="Times New Roman" w:hAnsi="Times New Roman" w:eastAsia="宋体" w:cs="Times New Roman"/>
          <w:color w:val="000000"/>
          <w:sz w:val="24"/>
        </w:rPr>
      </w:r>
      <w:r/>
    </w:p>
    <w:p>
      <w:pPr>
        <w:pStyle w:val="775"/>
        <w:ind w:left="42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 其他补充条款（如有）：</w:t>
      </w:r>
      <w:r>
        <w:rPr>
          <w:rFonts w:ascii="Times New Roman" w:hAnsi="Times New Roman" w:eastAsia="宋体" w:cs="Times New Roman"/>
          <w:color w:val="000000"/>
          <w:sz w:val="24"/>
          <w:szCs w:val="20"/>
        </w:rPr>
        <w:t xml:space="preserve">_____________________</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775"/>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与本响应有关的一切正式往来信函请寄：</w:t>
      </w:r>
      <w:r>
        <w:rPr>
          <w:rFonts w:ascii="Times New Roman" w:hAnsi="Times New Roman" w:eastAsia="宋体" w:cs="Times New Roman"/>
          <w:color w:val="000000"/>
          <w:sz w:val="24"/>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地址_________________________     传真____________________________</w:t>
      </w: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电话_________________________     电子函件________________________</w:t>
      </w: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供应商名称（加盖公章） _____________________</w:t>
      </w:r>
      <w:r>
        <w:rPr>
          <w:rFonts w:ascii="Times New Roman" w:hAnsi="Times New Roman" w:eastAsia="宋体" w:cs="Times New Roman"/>
          <w:color w:val="000000"/>
          <w:sz w:val="24"/>
          <w:szCs w:val="20"/>
        </w:rPr>
      </w:r>
      <w:r/>
    </w:p>
    <w:p>
      <w:pPr>
        <w:pStyle w:val="775"/>
        <w:ind w:left="420"/>
        <w:spacing w:line="360" w:lineRule="auto"/>
        <w:tabs>
          <w:tab w:val="left" w:pos="5580" w:leader="none"/>
        </w:tabs>
        <w:rPr>
          <w:rFonts w:ascii="Times New Roman" w:hAnsi="Times New Roman" w:eastAsia="宋体" w:cs="Times New Roman"/>
          <w:color w:val="000000"/>
          <w:sz w:val="24"/>
          <w:szCs w:val="20"/>
          <w:u w:val="single"/>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0"/>
          <w:u w:val="single"/>
        </w:rPr>
      </w:r>
      <w:r/>
    </w:p>
    <w:p>
      <w:pPr>
        <w:pStyle w:val="775"/>
        <w:jc w:val="left"/>
        <w:widowControl/>
        <w:rPr>
          <w:rFonts w:ascii="Times New Roman" w:hAnsi="Times New Roman" w:eastAsia="宋体" w:cs="Times New Roman"/>
          <w:color w:val="000000"/>
          <w:sz w:val="24"/>
        </w:rPr>
      </w:pPr>
      <w:r/>
      <w:bookmarkStart w:id="723" w:name="_Hlt520356243"/>
      <w:r/>
      <w:bookmarkEnd w:id="723"/>
      <w:r/>
      <w:bookmarkStart w:id="724" w:name="_Hlt520355938"/>
      <w:r/>
      <w:bookmarkEnd w:id="724"/>
      <w:r/>
      <w:bookmarkStart w:id="725" w:name="_Toc226965830"/>
      <w:r/>
      <w:bookmarkStart w:id="726" w:name="_Toc226965747"/>
      <w:r/>
      <w:bookmarkStart w:id="727" w:name="_Toc142311059"/>
      <w:r/>
      <w:bookmarkStart w:id="728" w:name="_Toc305158899"/>
      <w:r/>
      <w:bookmarkStart w:id="729" w:name="_Ref467988705"/>
      <w:r/>
      <w:bookmarkStart w:id="730" w:name="_Toc150774762"/>
      <w:r/>
      <w:bookmarkStart w:id="731" w:name="_Toc305158825"/>
      <w:r/>
      <w:bookmarkStart w:id="732" w:name="_Toc226337253"/>
      <w:r/>
      <w:bookmarkStart w:id="733" w:name="_Toc264969247"/>
      <w:r/>
      <w:bookmarkStart w:id="734" w:name="_Toc226309801"/>
      <w:r/>
      <w:bookmarkStart w:id="735" w:name="_Toc127151557"/>
      <w:r/>
      <w:bookmarkStart w:id="736" w:name="_Toc195842922"/>
      <w:r/>
      <w:bookmarkStart w:id="737" w:name="_Toc150480795"/>
      <w:r/>
      <w:bookmarkStart w:id="738" w:name="_Toc480942350"/>
      <w:r/>
      <w:bookmarkStart w:id="739" w:name="_Toc520356218"/>
      <w:r/>
      <w:bookmarkStart w:id="740" w:name="_Toc265228395"/>
      <w:r>
        <w:rPr>
          <w:rFonts w:ascii="Times New Roman" w:hAnsi="Times New Roman" w:eastAsia="宋体" w:cs="Times New Roman"/>
          <w:color w:val="000000"/>
          <w:sz w:val="24"/>
        </w:rPr>
        <w:br w:type="page" w:clear="all"/>
      </w:r>
      <w:r>
        <w:rPr>
          <w:rFonts w:ascii="Times New Roman" w:hAnsi="Times New Roman" w:eastAsia="宋体" w:cs="Times New Roman"/>
          <w:color w:val="000000"/>
          <w:sz w:val="24"/>
        </w:rPr>
      </w:r>
      <w:r/>
    </w:p>
    <w:p>
      <w:pPr>
        <w:pStyle w:val="775"/>
        <w:spacing w:line="360" w:lineRule="auto"/>
        <w:rPr>
          <w:rFonts w:ascii="Times New Roman" w:hAnsi="Times New Roman" w:eastAsia="宋体" w:cs="Times New Roman"/>
          <w:color w:val="000000"/>
          <w:sz w:val="24"/>
        </w:rPr>
        <w:outlineLvl w:val="2"/>
      </w:pPr>
      <w:r>
        <w:rPr>
          <w:rFonts w:hint="eastAsia" w:ascii="Times New Roman" w:hAnsi="Times New Roman" w:eastAsia="宋体" w:cs="Times New Roman"/>
          <w:color w:val="000000"/>
          <w:sz w:val="24"/>
          <w:lang w:val="en-US" w:eastAsia="zh-CN"/>
        </w:rPr>
        <w:t xml:space="preserve">5</w:t>
      </w:r>
      <w:r>
        <w:rPr>
          <w:rFonts w:ascii="Times New Roman" w:hAnsi="Times New Roman" w:eastAsia="宋体" w:cs="Times New Roman"/>
          <w:color w:val="000000"/>
          <w:sz w:val="24"/>
        </w:rPr>
        <w:t xml:space="preserve"> 授权委托书</w:t>
      </w:r>
      <w:r>
        <w:rPr>
          <w:rFonts w:ascii="Times New Roman" w:hAnsi="Times New Roman" w:eastAsia="宋体" w:cs="Times New Roman"/>
          <w:b/>
          <w:bCs/>
          <w:color w:val="000000"/>
          <w:sz w:val="24"/>
          <w:szCs w:val="20"/>
        </w:rPr>
        <w:t xml:space="preserve">（实质性格式）</w:t>
      </w:r>
      <w:r>
        <w:rPr>
          <w:rFonts w:ascii="Times New Roman" w:hAnsi="Times New Roman" w:eastAsia="宋体" w:cs="Times New Roman"/>
          <w:color w:val="000000"/>
          <w:sz w:val="24"/>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授权委托书</w:t>
      </w:r>
      <w:r>
        <w:rPr>
          <w:rFonts w:ascii="Times New Roman" w:hAnsi="Times New Roman" w:eastAsia="宋体" w:cs="Times New Roman"/>
          <w:b/>
          <w:color w:val="000000"/>
          <w:sz w:val="36"/>
          <w:szCs w:val="36"/>
        </w:rPr>
      </w:r>
      <w:r/>
    </w:p>
    <w:p>
      <w:pPr>
        <w:pStyle w:val="775"/>
        <w:ind w:firstLine="420"/>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ind w:firstLine="420"/>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本人</w:t>
      </w:r>
      <w:r>
        <w:rPr>
          <w:rFonts w:ascii="Times New Roman" w:hAnsi="Times New Roman" w:eastAsia="宋体" w:cs="Times New Roman"/>
          <w:color w:val="000000"/>
          <w:sz w:val="24"/>
          <w:lang w:val="zh-CN"/>
        </w:rPr>
        <w:t xml:space="preserve">_______</w:t>
      </w:r>
      <w:r>
        <w:rPr>
          <w:rFonts w:ascii="Times New Roman" w:hAnsi="Times New Roman" w:eastAsia="宋体" w:cs="Times New Roman"/>
          <w:color w:val="000000"/>
          <w:sz w:val="24"/>
          <w:szCs w:val="20"/>
        </w:rPr>
        <w:t xml:space="preserve">（姓名）系</w:t>
      </w:r>
      <w:r>
        <w:rPr>
          <w:rFonts w:ascii="Times New Roman" w:hAnsi="Times New Roman" w:eastAsia="宋体" w:cs="Times New Roman"/>
          <w:color w:val="000000"/>
          <w:sz w:val="24"/>
          <w:lang w:val="zh-CN"/>
        </w:rPr>
        <w:t xml:space="preserve">________________</w:t>
      </w:r>
      <w:r>
        <w:rPr>
          <w:rFonts w:ascii="Times New Roman" w:hAnsi="Times New Roman" w:eastAsia="宋体" w:cs="Times New Roman"/>
          <w:color w:val="000000"/>
          <w:sz w:val="24"/>
          <w:szCs w:val="20"/>
        </w:rPr>
        <w:t xml:space="preserve">（供应商名称）的法定代表人（单位负责人），现委托</w:t>
      </w:r>
      <w:r>
        <w:rPr>
          <w:rFonts w:ascii="Times New Roman" w:hAnsi="Times New Roman" w:eastAsia="宋体" w:cs="Times New Roman"/>
          <w:color w:val="000000"/>
          <w:sz w:val="24"/>
          <w:lang w:val="zh-CN"/>
        </w:rPr>
        <w:t xml:space="preserve">_______</w:t>
      </w:r>
      <w:r>
        <w:rPr>
          <w:rFonts w:ascii="Times New Roman" w:hAnsi="Times New Roman" w:eastAsia="宋体" w:cs="Times New Roman"/>
          <w:color w:val="000000"/>
          <w:sz w:val="24"/>
          <w:szCs w:val="20"/>
        </w:rPr>
        <w:t xml:space="preserve">（姓名）为我方代理人。代理人根据授权，以我方名义签署、澄清确认、递交、撤回、修改</w:t>
      </w:r>
      <w:r>
        <w:rPr>
          <w:rFonts w:ascii="Times New Roman" w:hAnsi="Times New Roman" w:eastAsia="宋体" w:cs="Times New Roman"/>
          <w:color w:val="000000"/>
          <w:sz w:val="24"/>
          <w:lang w:val="zh-CN"/>
        </w:rPr>
        <w:t xml:space="preserve">________________</w:t>
      </w:r>
      <w:r>
        <w:rPr>
          <w:rFonts w:ascii="Times New Roman" w:hAnsi="Times New Roman" w:eastAsia="宋体" w:cs="Times New Roman"/>
          <w:color w:val="000000"/>
          <w:sz w:val="24"/>
          <w:szCs w:val="20"/>
        </w:rPr>
        <w:t xml:space="preserve">（项目名称）响应文件和处理有关事宜，其法律后果由我方承担。</w:t>
      </w:r>
      <w:r>
        <w:rPr>
          <w:rFonts w:ascii="Times New Roman" w:hAnsi="Times New Roman" w:eastAsia="宋体" w:cs="Times New Roman"/>
          <w:color w:val="000000"/>
          <w:sz w:val="24"/>
          <w:szCs w:val="20"/>
        </w:rPr>
      </w:r>
      <w:r/>
    </w:p>
    <w:p>
      <w:pPr>
        <w:pStyle w:val="775"/>
        <w:ind w:firstLine="420"/>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委托期限：自本授权委托书签署之日起至响应有效期届满之日止。</w:t>
      </w:r>
      <w:r>
        <w:rPr>
          <w:rFonts w:ascii="Times New Roman" w:hAnsi="Times New Roman" w:eastAsia="宋体" w:cs="Times New Roman"/>
          <w:color w:val="000000"/>
          <w:sz w:val="24"/>
          <w:szCs w:val="20"/>
        </w:rPr>
      </w:r>
      <w:r/>
    </w:p>
    <w:p>
      <w:pPr>
        <w:pStyle w:val="775"/>
        <w:ind w:firstLine="420"/>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代理人无转委托权。</w:t>
      </w:r>
      <w:r>
        <w:rPr>
          <w:rFonts w:ascii="Times New Roman" w:hAnsi="Times New Roman" w:eastAsia="宋体" w:cs="Times New Roman"/>
          <w:color w:val="000000"/>
          <w:sz w:val="24"/>
          <w:szCs w:val="20"/>
        </w:rPr>
      </w:r>
      <w:r/>
    </w:p>
    <w:p>
      <w:pPr>
        <w:pStyle w:val="775"/>
        <w:ind w:firstLine="420"/>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：________________</w:t>
      </w:r>
      <w:r>
        <w:rPr>
          <w:rFonts w:ascii="Times New Roman" w:hAnsi="Times New Roman" w:eastAsia="宋体" w:cs="Times New Roman"/>
          <w:color w:val="000000"/>
          <w:sz w:val="24"/>
          <w:lang w:val="zh-CN"/>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法定代表人（单位负责人）（签字、签章或印鉴）：</w:t>
      </w:r>
      <w:r>
        <w:rPr>
          <w:rFonts w:ascii="Times New Roman" w:hAnsi="Times New Roman" w:eastAsia="宋体" w:cs="Times New Roman"/>
          <w:color w:val="000000"/>
          <w:sz w:val="24"/>
          <w:lang w:val="zh-CN"/>
        </w:rPr>
        <w:t xml:space="preserve">________________</w:t>
      </w: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委托代理人（签字</w:t>
      </w:r>
      <w:r>
        <w:rPr>
          <w:rFonts w:ascii="Times New Roman" w:hAnsi="Times New Roman" w:eastAsia="宋体" w:cs="Times New Roman"/>
          <w:color w:val="000000"/>
          <w:sz w:val="24"/>
          <w:szCs w:val="20"/>
        </w:rPr>
        <w:t xml:space="preserve">/签章</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lang w:val="zh-CN"/>
        </w:rPr>
        <w:t xml:space="preserve">________________</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日期：_____年______月______日</w:t>
      </w:r>
      <w:r>
        <w:rPr>
          <w:rFonts w:ascii="Times New Roman" w:hAnsi="Times New Roman" w:eastAsia="宋体" w:cs="Times New Roman"/>
          <w:color w:val="000000"/>
          <w:sz w:val="24"/>
          <w:lang w:val="zh-CN"/>
        </w:rPr>
      </w:r>
      <w:r/>
    </w:p>
    <w:p>
      <w:pPr>
        <w:pStyle w:val="775"/>
        <w:ind w:firstLine="48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法定代表人（单位负责人）有效期内的身份证</w:t>
      </w:r>
      <w:r>
        <w:rPr>
          <w:rFonts w:ascii="Times New Roman" w:hAnsi="Times New Roman" w:eastAsia="宋体" w:cs="Times New Roman"/>
          <w:b/>
          <w:color w:val="000000"/>
          <w:sz w:val="24"/>
          <w:szCs w:val="20"/>
        </w:rPr>
        <w:t xml:space="preserve">正反面</w:t>
      </w:r>
      <w:r>
        <w:rPr>
          <w:rFonts w:ascii="Times New Roman" w:hAnsi="Times New Roman" w:eastAsia="宋体" w:cs="Times New Roman"/>
          <w:color w:val="000000"/>
          <w:sz w:val="24"/>
          <w:szCs w:val="20"/>
        </w:rPr>
        <w:t xml:space="preserve">电子件：</w:t>
      </w:r>
      <w:r>
        <w:rPr>
          <w:rFonts w:ascii="Times New Roman" w:hAnsi="Times New Roman"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vAlign w:val="top"/>
            <w:textDirection w:val="lrTb"/>
            <w:noWrap w:val="false"/>
          </w:tcPr>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委托代理人有效期内的身份证</w:t>
      </w:r>
      <w:r>
        <w:rPr>
          <w:rFonts w:ascii="Times New Roman" w:hAnsi="Times New Roman" w:eastAsia="宋体" w:cs="Times New Roman"/>
          <w:b/>
          <w:color w:val="000000"/>
          <w:sz w:val="24"/>
          <w:szCs w:val="20"/>
        </w:rPr>
        <w:t xml:space="preserve">正反面</w:t>
      </w:r>
      <w:r>
        <w:rPr>
          <w:rFonts w:ascii="Times New Roman" w:hAnsi="Times New Roman" w:eastAsia="宋体" w:cs="Times New Roman"/>
          <w:color w:val="000000"/>
          <w:sz w:val="24"/>
          <w:szCs w:val="20"/>
        </w:rPr>
        <w:t xml:space="preserve">电子件：</w:t>
      </w:r>
      <w:r>
        <w:rPr>
          <w:rFonts w:ascii="Times New Roman" w:hAnsi="Times New Roman"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vAlign w:val="top"/>
            <w:textDirection w:val="lrTb"/>
            <w:noWrap w:val="false"/>
          </w:tcPr>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说明：</w:t>
      </w: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1.若供应商为事业单位或其他组织或分支机构（仅当单一来源采购文件注明允许分支机构响应的），则法定代表人（单位负责人）处的签署人可为单位负责人。</w:t>
      </w: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2.若响应文件中签字之处均为法定代表人（单位负责人）本人签署，则可不提供本《授权委托书》，但须提供《法定代表人（单位负责人）身份证明》（实质性格式）。</w:t>
      </w: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30"/>
          <w:szCs w:val="30"/>
        </w:rPr>
      </w:pPr>
      <w:r>
        <w:rPr>
          <w:rFonts w:ascii="Times New Roman" w:hAnsi="Times New Roman" w:eastAsia="宋体" w:cs="Times New Roman"/>
          <w:color w:val="000000"/>
          <w:sz w:val="24"/>
          <w:szCs w:val="20"/>
        </w:rPr>
        <w:t xml:space="preserve">3.供应商为自然人的情形，可不提供本《授权委托书》。</w:t>
      </w:r>
      <w:r>
        <w:rPr>
          <w:rFonts w:ascii="Times New Roman" w:hAnsi="Times New Roman" w:eastAsia="宋体" w:cs="Times New Roman"/>
          <w:color w:val="000000"/>
          <w:sz w:val="30"/>
          <w:szCs w:val="30"/>
        </w:rPr>
        <w:br w:type="page" w:clear="all"/>
      </w:r>
      <w:r>
        <w:rPr>
          <w:rFonts w:ascii="Times New Roman" w:hAnsi="Times New Roman" w:eastAsia="宋体" w:cs="Times New Roman"/>
          <w:color w:val="000000"/>
          <w:sz w:val="30"/>
          <w:szCs w:val="30"/>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附：法定代表人（单位负责人）身份证明</w:t>
      </w:r>
      <w:r>
        <w:rPr>
          <w:rFonts w:ascii="Times New Roman" w:hAnsi="Times New Roman" w:eastAsia="宋体" w:cs="Times New Roman"/>
          <w:b/>
          <w:color w:val="000000"/>
          <w:sz w:val="36"/>
          <w:szCs w:val="36"/>
        </w:rPr>
      </w:r>
      <w:r/>
    </w:p>
    <w:p>
      <w:pPr>
        <w:pStyle w:val="775"/>
        <w:spacing w:line="200" w:lineRule="exact"/>
        <w:rPr>
          <w:rFonts w:ascii="Times New Roman" w:hAnsi="Times New Roman" w:eastAsia="宋体" w:cs="Times New Roman"/>
          <w:sz w:val="20"/>
          <w:szCs w:val="20"/>
        </w:rPr>
      </w:pPr>
      <w:r>
        <w:rPr>
          <w:rFonts w:ascii="Times New Roman" w:hAnsi="Times New Roman" w:eastAsia="宋体" w:cs="Times New Roman"/>
          <w:sz w:val="20"/>
          <w:szCs w:val="20"/>
        </w:rPr>
      </w:r>
      <w:r/>
    </w:p>
    <w:p>
      <w:pPr>
        <w:pStyle w:val="775"/>
        <w:spacing w:line="360" w:lineRule="auto"/>
        <w:tabs>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致：</w:t>
      </w:r>
      <w:r>
        <w:rPr>
          <w:rFonts w:ascii="Times New Roman" w:hAnsi="Times New Roman" w:eastAsia="宋体" w:cs="Times New Roman"/>
          <w:color w:val="000000"/>
          <w:sz w:val="24"/>
          <w:u w:val="single"/>
        </w:rPr>
        <w:t xml:space="preserve">（采购人或采购代理机构）</w:t>
      </w:r>
      <w:r>
        <w:rPr>
          <w:rFonts w:ascii="Times New Roman" w:hAnsi="Times New Roman" w:eastAsia="宋体" w:cs="Times New Roman"/>
          <w:color w:val="000000"/>
          <w:sz w:val="24"/>
        </w:rPr>
      </w:r>
      <w:r/>
    </w:p>
    <w:p>
      <w:pPr>
        <w:pStyle w:val="807"/>
        <w:ind w:firstLine="480"/>
        <w:spacing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rPr>
      </w:pPr>
      <w:r>
        <w:rPr>
          <w:rFonts w:ascii="Times New Roman" w:hAnsi="Times New Roman" w:eastAsia="宋体" w:cs="Times New Roman"/>
        </w:rPr>
        <w:t xml:space="preserve">兹证明，</w:t>
      </w:r>
      <w:r>
        <w:rPr>
          <w:rFonts w:ascii="Times New Roman" w:hAnsi="Times New Roman" w:eastAsia="宋体" w:cs="Times New Roman"/>
        </w:rPr>
      </w:r>
      <w:r/>
    </w:p>
    <w:p>
      <w:pPr>
        <w:pStyle w:val="807"/>
        <w:spacing w:line="335" w:lineRule="exact"/>
        <w:tabs>
          <w:tab w:val="left" w:pos="567" w:leader="none"/>
          <w:tab w:val="left" w:pos="1690" w:leader="none"/>
          <w:tab w:val="left" w:pos="3400" w:leader="none"/>
          <w:tab w:val="left" w:pos="5110" w:leader="none"/>
          <w:tab w:val="left" w:pos="6821" w:leader="none"/>
        </w:tabs>
        <w:rPr>
          <w:rFonts w:ascii="Times New Roman" w:hAnsi="Times New Roman" w:eastAsia="宋体" w:cs="Times New Roman"/>
        </w:rPr>
      </w:pPr>
      <w:r>
        <w:rPr>
          <w:rFonts w:ascii="Times New Roman" w:hAnsi="Times New Roman" w:eastAsia="宋体" w:cs="Times New Roman"/>
        </w:rPr>
        <w:t xml:space="preserve">姓名：____性别：____年龄：____职务：____</w:t>
      </w:r>
      <w:r>
        <w:rPr>
          <w:rFonts w:ascii="Times New Roman" w:hAnsi="Times New Roman" w:eastAsia="宋体" w:cs="Times New Roman"/>
        </w:rPr>
      </w:r>
      <w:r/>
    </w:p>
    <w:p>
      <w:pPr>
        <w:pStyle w:val="807"/>
        <w:spacing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rPr>
      </w:pPr>
      <w:r>
        <w:rPr>
          <w:rFonts w:ascii="Times New Roman" w:hAnsi="Times New Roman" w:eastAsia="宋体" w:cs="Times New Roman"/>
        </w:rPr>
      </w:r>
      <w:r/>
    </w:p>
    <w:p>
      <w:pPr>
        <w:pStyle w:val="807"/>
        <w:spacing w:line="335" w:lineRule="exact"/>
        <w:tabs>
          <w:tab w:val="left" w:pos="2250" w:leader="none"/>
          <w:tab w:val="left" w:pos="2412" w:leader="none"/>
          <w:tab w:val="left" w:pos="3883" w:leader="none"/>
          <w:tab w:val="left" w:pos="5352" w:leader="none"/>
          <w:tab w:val="left" w:pos="6821" w:leader="none"/>
        </w:tabs>
        <w:rPr>
          <w:rFonts w:ascii="Times New Roman" w:hAnsi="Times New Roman" w:eastAsia="宋体" w:cs="Times New Roman"/>
        </w:rPr>
      </w:pPr>
      <w:r>
        <w:rPr>
          <w:rFonts w:ascii="Times New Roman" w:hAnsi="Times New Roman" w:eastAsia="宋体" w:cs="Times New Roman"/>
        </w:rPr>
        <w:t xml:space="preserve">系</w:t>
      </w:r>
      <w:r>
        <w:rPr>
          <w:rFonts w:ascii="Times New Roman" w:hAnsi="Times New Roman" w:eastAsia="宋体" w:cs="Times New Roman"/>
          <w:u w:val="single"/>
        </w:rPr>
        <w:tab/>
      </w:r>
      <w:r>
        <w:rPr>
          <w:rFonts w:ascii="Times New Roman" w:hAnsi="Times New Roman" w:eastAsia="宋体" w:cs="Times New Roman"/>
        </w:rPr>
        <w:t xml:space="preserve">（供应商名称）的法定代表人（单位负责人）。</w:t>
      </w:r>
      <w:r>
        <w:rPr>
          <w:rFonts w:ascii="Times New Roman" w:hAnsi="Times New Roman" w:eastAsia="宋体" w:cs="Times New Roman"/>
        </w:rPr>
      </w:r>
      <w:r/>
    </w:p>
    <w:p>
      <w:pPr>
        <w:pStyle w:val="807"/>
        <w:spacing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rPr>
      </w:pPr>
      <w:r>
        <w:rPr>
          <w:rFonts w:ascii="Times New Roman" w:hAnsi="Times New Roman" w:eastAsia="宋体" w:cs="Times New Roman"/>
        </w:rPr>
      </w:r>
      <w:r/>
    </w:p>
    <w:p>
      <w:pPr>
        <w:pStyle w:val="807"/>
        <w:spacing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rPr>
      </w:pPr>
      <w:r>
        <w:rPr>
          <w:rFonts w:ascii="Times New Roman" w:hAnsi="Times New Roman" w:eastAsia="宋体" w:cs="Times New Roman"/>
        </w:rPr>
      </w:r>
      <w:r/>
    </w:p>
    <w:p>
      <w:pPr>
        <w:pStyle w:val="807"/>
        <w:spacing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rPr>
      </w:pPr>
      <w:r>
        <w:rPr>
          <w:rFonts w:ascii="Times New Roman" w:hAnsi="Times New Roman" w:eastAsia="宋体" w:cs="Times New Roman"/>
        </w:rPr>
      </w:r>
      <w:r/>
    </w:p>
    <w:p>
      <w:pPr>
        <w:pStyle w:val="807"/>
        <w:ind w:right="-46"/>
        <w:spacing w:line="583" w:lineRule="auto"/>
        <w:tabs>
          <w:tab w:val="left" w:pos="567" w:leader="none"/>
        </w:tabs>
        <w:rPr>
          <w:rFonts w:ascii="Times New Roman" w:hAnsi="Times New Roman" w:eastAsia="宋体" w:cs="Times New Roman"/>
          <w:spacing w:val="-3"/>
        </w:rPr>
      </w:pPr>
      <w:r>
        <w:rPr>
          <w:rFonts w:ascii="Times New Roman" w:hAnsi="Times New Roman" w:eastAsia="宋体" w:cs="Times New Roman"/>
        </w:rPr>
        <w:t xml:space="preserve">附：</w:t>
      </w:r>
      <w:r>
        <w:rPr>
          <w:rFonts w:ascii="Times New Roman" w:hAnsi="Times New Roman" w:eastAsia="宋体" w:cs="Times New Roman"/>
          <w:spacing w:val="-3"/>
        </w:rPr>
        <w:t xml:space="preserve">法</w:t>
      </w:r>
      <w:r>
        <w:rPr>
          <w:rFonts w:ascii="Times New Roman" w:hAnsi="Times New Roman" w:eastAsia="宋体" w:cs="Times New Roman"/>
        </w:rPr>
        <w:t xml:space="preserve">定</w:t>
      </w:r>
      <w:r>
        <w:rPr>
          <w:rFonts w:ascii="Times New Roman" w:hAnsi="Times New Roman" w:eastAsia="宋体" w:cs="Times New Roman"/>
          <w:spacing w:val="-3"/>
        </w:rPr>
        <w:t xml:space="preserve">代</w:t>
      </w:r>
      <w:r>
        <w:rPr>
          <w:rFonts w:ascii="Times New Roman" w:hAnsi="Times New Roman" w:eastAsia="宋体" w:cs="Times New Roman"/>
        </w:rPr>
        <w:t xml:space="preserve">表</w:t>
      </w:r>
      <w:r>
        <w:rPr>
          <w:rFonts w:ascii="Times New Roman" w:hAnsi="Times New Roman" w:eastAsia="宋体" w:cs="Times New Roman"/>
          <w:spacing w:val="-3"/>
        </w:rPr>
        <w:t xml:space="preserve">人</w:t>
      </w:r>
      <w:r>
        <w:rPr>
          <w:rFonts w:ascii="Times New Roman" w:hAnsi="Times New Roman" w:eastAsia="宋体" w:cs="Times New Roman"/>
        </w:rPr>
        <w:t xml:space="preserve">（</w:t>
      </w:r>
      <w:r>
        <w:rPr>
          <w:rFonts w:ascii="Times New Roman" w:hAnsi="Times New Roman" w:eastAsia="宋体" w:cs="Times New Roman"/>
          <w:spacing w:val="-3"/>
        </w:rPr>
        <w:t xml:space="preserve">单</w:t>
      </w:r>
      <w:r>
        <w:rPr>
          <w:rFonts w:ascii="Times New Roman" w:hAnsi="Times New Roman" w:eastAsia="宋体" w:cs="Times New Roman"/>
        </w:rPr>
        <w:t xml:space="preserve">位</w:t>
      </w:r>
      <w:r>
        <w:rPr>
          <w:rFonts w:ascii="Times New Roman" w:hAnsi="Times New Roman" w:eastAsia="宋体" w:cs="Times New Roman"/>
          <w:spacing w:val="-3"/>
        </w:rPr>
        <w:t xml:space="preserve">负</w:t>
      </w:r>
      <w:r>
        <w:rPr>
          <w:rFonts w:ascii="Times New Roman" w:hAnsi="Times New Roman" w:eastAsia="宋体" w:cs="Times New Roman"/>
        </w:rPr>
        <w:t xml:space="preserve">责人</w:t>
      </w:r>
      <w:r>
        <w:rPr>
          <w:rFonts w:ascii="Times New Roman" w:hAnsi="Times New Roman" w:eastAsia="宋体" w:cs="Times New Roman"/>
          <w:spacing w:val="-3"/>
        </w:rPr>
        <w:t xml:space="preserve">）有效期内的身份证正反面电子件。</w:t>
      </w:r>
      <w:r>
        <w:rPr>
          <w:rFonts w:ascii="Times New Roman" w:hAnsi="Times New Roman" w:eastAsia="宋体" w:cs="Times New Roman"/>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vAlign w:val="top"/>
            <w:textDirection w:val="lrTb"/>
            <w:noWrap w:val="false"/>
          </w:tcPr>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pStyle w:val="807"/>
        <w:ind w:right="4305"/>
        <w:spacing w:line="583" w:lineRule="auto"/>
        <w:tabs>
          <w:tab w:val="left" w:pos="567" w:leader="none"/>
        </w:tabs>
        <w:rPr>
          <w:rFonts w:ascii="Times New Roman" w:hAnsi="Times New Roman" w:eastAsia="宋体" w:cs="Times New Roman"/>
          <w:spacing w:val="-3"/>
        </w:rPr>
      </w:pPr>
      <w:r>
        <w:rPr>
          <w:rFonts w:ascii="Times New Roman" w:hAnsi="Times New Roman" w:eastAsia="宋体" w:cs="Times New Roman"/>
          <w:spacing w:val="-3"/>
        </w:rPr>
      </w:r>
      <w:r/>
    </w:p>
    <w:p>
      <w:pPr>
        <w:pStyle w:val="807"/>
        <w:ind w:right="4305"/>
        <w:spacing w:line="583" w:lineRule="auto"/>
        <w:tabs>
          <w:tab w:val="left" w:pos="567" w:leader="none"/>
        </w:tabs>
        <w:rPr>
          <w:rFonts w:ascii="Times New Roman" w:hAnsi="Times New Roman" w:eastAsia="宋体" w:cs="Times New Roman"/>
          <w:spacing w:val="-3"/>
        </w:rPr>
      </w:pPr>
      <w:r>
        <w:rPr>
          <w:rFonts w:ascii="Times New Roman" w:hAnsi="Times New Roman" w:eastAsia="宋体" w:cs="Times New Roman"/>
          <w:spacing w:val="-3"/>
        </w:rPr>
      </w:r>
      <w:r/>
    </w:p>
    <w:p>
      <w:pPr>
        <w:pStyle w:val="775"/>
        <w:spacing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：________________</w:t>
      </w:r>
      <w:r>
        <w:rPr>
          <w:rFonts w:ascii="Times New Roman" w:hAnsi="Times New Roman" w:eastAsia="宋体" w:cs="Times New Roman"/>
          <w:color w:val="000000"/>
          <w:sz w:val="24"/>
          <w:lang w:val="zh-CN"/>
        </w:rPr>
      </w:r>
      <w:r/>
    </w:p>
    <w:p>
      <w:pPr>
        <w:pStyle w:val="807"/>
        <w:ind w:right="95"/>
        <w:spacing w:line="583" w:lineRule="auto"/>
        <w:tabs>
          <w:tab w:val="left" w:pos="567" w:leader="none"/>
        </w:tabs>
        <w:rPr>
          <w:rFonts w:ascii="Times New Roman" w:hAnsi="Times New Roman" w:eastAsia="宋体" w:cs="Times New Roman"/>
          <w:spacing w:val="-3"/>
        </w:rPr>
      </w:pPr>
      <w:r>
        <w:rPr>
          <w:rFonts w:ascii="Times New Roman" w:hAnsi="Times New Roman" w:eastAsia="宋体" w:cs="Times New Roman"/>
          <w:spacing w:val="-3"/>
        </w:rPr>
        <w:t xml:space="preserve">法定代表人（</w:t>
      </w:r>
      <w:r>
        <w:rPr>
          <w:rFonts w:ascii="Times New Roman" w:hAnsi="Times New Roman" w:eastAsia="宋体" w:cs="Times New Roman"/>
        </w:rPr>
        <w:t xml:space="preserve">单位负责人</w:t>
      </w:r>
      <w:r>
        <w:rPr>
          <w:rFonts w:ascii="Times New Roman" w:hAnsi="Times New Roman" w:eastAsia="宋体" w:cs="Times New Roman"/>
          <w:spacing w:val="-3"/>
        </w:rPr>
        <w:t xml:space="preserve">）（签字</w:t>
      </w:r>
      <w:r>
        <w:rPr>
          <w:rFonts w:ascii="Times New Roman" w:hAnsi="Times New Roman" w:eastAsia="宋体" w:cs="Times New Roman"/>
          <w:color w:val="000000"/>
          <w:szCs w:val="20"/>
        </w:rPr>
        <w:t xml:space="preserve">、签章</w:t>
      </w:r>
      <w:r>
        <w:rPr>
          <w:rFonts w:ascii="Times New Roman" w:hAnsi="Times New Roman" w:eastAsia="宋体" w:cs="Times New Roman"/>
          <w:spacing w:val="-3"/>
        </w:rPr>
        <w:t xml:space="preserve">或印鉴）：_____________</w:t>
      </w:r>
      <w:r>
        <w:rPr>
          <w:rFonts w:ascii="Times New Roman" w:hAnsi="Times New Roman" w:eastAsia="宋体" w:cs="Times New Roman"/>
          <w:spacing w:val="-3"/>
        </w:rPr>
      </w:r>
      <w:r/>
    </w:p>
    <w:p>
      <w:pPr>
        <w:pStyle w:val="775"/>
        <w:spacing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日期：_____年______月______日</w:t>
      </w:r>
      <w:r>
        <w:rPr>
          <w:rFonts w:ascii="Times New Roman" w:hAnsi="Times New Roman" w:eastAsia="宋体" w:cs="Times New Roman"/>
          <w:color w:val="000000"/>
          <w:sz w:val="24"/>
          <w:lang w:val="zh-CN"/>
        </w:rPr>
      </w:r>
      <w:r/>
    </w:p>
    <w:p>
      <w:pPr>
        <w:pStyle w:val="775"/>
        <w:jc w:val="left"/>
        <w:widowControl/>
        <w:rPr>
          <w:rFonts w:ascii="Times New Roman" w:hAnsi="Times New Roman" w:eastAsia="宋体" w:cs="Times New Roman"/>
          <w:i/>
          <w:color w:val="000000"/>
          <w:sz w:val="24"/>
          <w:szCs w:val="20"/>
          <w:u w:val="single"/>
        </w:rPr>
      </w:pPr>
      <w:r>
        <w:rPr>
          <w:rFonts w:ascii="Times New Roman" w:hAnsi="Times New Roman" w:eastAsia="宋体" w:cs="Times New Roman"/>
          <w:i/>
          <w:color w:val="000000"/>
          <w:sz w:val="24"/>
          <w:szCs w:val="20"/>
          <w:u w:val="single"/>
        </w:rPr>
      </w:r>
      <w:r/>
    </w:p>
    <w:p>
      <w:pPr>
        <w:pStyle w:val="775"/>
        <w:jc w:val="left"/>
        <w:widowControl/>
        <w:rPr>
          <w:rFonts w:ascii="Times New Roman" w:hAnsi="Times New Roman" w:eastAsia="宋体" w:cs="Times New Roman"/>
          <w:i/>
          <w:color w:val="000000"/>
          <w:sz w:val="24"/>
          <w:szCs w:val="20"/>
          <w:u w:val="single"/>
        </w:rPr>
      </w:pPr>
      <w:r>
        <w:rPr>
          <w:rFonts w:ascii="Times New Roman" w:hAnsi="Times New Roman" w:eastAsia="宋体" w:cs="Times New Roman"/>
          <w:i/>
          <w:color w:val="000000"/>
          <w:sz w:val="24"/>
          <w:szCs w:val="20"/>
          <w:u w:val="single"/>
        </w:rPr>
      </w:r>
      <w:r/>
    </w:p>
    <w:p>
      <w:pPr>
        <w:pStyle w:val="775"/>
        <w:jc w:val="left"/>
        <w:widowControl/>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rPr>
        <w:outlineLvl w:val="2"/>
      </w:pPr>
      <w:r>
        <w:rPr>
          <w:rFonts w:hint="eastAsia" w:ascii="Times New Roman" w:hAnsi="Times New Roman" w:eastAsia="宋体" w:cs="Times New Roman"/>
          <w:color w:val="000000"/>
          <w:sz w:val="24"/>
          <w:szCs w:val="20"/>
          <w:lang w:val="en-US" w:eastAsia="zh-CN"/>
        </w:rPr>
        <w:t xml:space="preserve">6</w:t>
      </w: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rPr>
        <w:t xml:space="preserve">政府采购供应商信用承诺书</w:t>
      </w:r>
      <w:r>
        <w:rPr>
          <w:rFonts w:ascii="Times New Roman" w:hAnsi="Times New Roman" w:eastAsia="宋体" w:cs="Times New Roman"/>
          <w:b/>
          <w:bCs/>
          <w:color w:val="000000"/>
          <w:sz w:val="24"/>
          <w:szCs w:val="20"/>
        </w:rPr>
        <w:t xml:space="preserve">（实质性格式）</w:t>
      </w:r>
      <w:r>
        <w:rPr>
          <w:rFonts w:ascii="Times New Roman" w:hAnsi="Times New Roman" w:eastAsia="宋体" w:cs="Times New Roman"/>
          <w:color w:val="000000"/>
          <w:sz w:val="24"/>
        </w:rPr>
      </w:r>
      <w:r/>
    </w:p>
    <w:p>
      <w:pPr>
        <w:pStyle w:val="775"/>
        <w:ind w:firstLine="321"/>
        <w:jc w:val="center"/>
        <w:spacing w:line="560" w:lineRule="exact"/>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75"/>
        <w:ind w:firstLine="321"/>
        <w:jc w:val="center"/>
        <w:spacing w:line="560" w:lineRule="exact"/>
        <w:rPr>
          <w:rFonts w:ascii="Times New Roman" w:hAnsi="Times New Roman" w:eastAsia="宋体" w:cs="Times New Roman"/>
          <w:b/>
          <w:sz w:val="32"/>
          <w:szCs w:val="32"/>
        </w:rPr>
      </w:pPr>
      <w:r>
        <w:rPr>
          <w:rFonts w:ascii="Times New Roman" w:hAnsi="Times New Roman" w:eastAsia="宋体" w:cs="Times New Roman"/>
          <w:b/>
          <w:sz w:val="32"/>
          <w:szCs w:val="32"/>
        </w:rPr>
        <w:t xml:space="preserve">政府采购供应商信用承诺书</w:t>
      </w:r>
      <w:r>
        <w:rPr>
          <w:rFonts w:ascii="Times New Roman" w:hAnsi="Times New Roman" w:eastAsia="宋体" w:cs="Times New Roman"/>
          <w:b/>
          <w:sz w:val="32"/>
          <w:szCs w:val="32"/>
        </w:rPr>
      </w:r>
      <w:r/>
    </w:p>
    <w:p>
      <w:pPr>
        <w:pStyle w:val="775"/>
        <w:ind w:firstLine="640"/>
        <w:rPr>
          <w:rFonts w:ascii="Times New Roman" w:hAnsi="Times New Roman" w:eastAsia="宋体" w:cs="Times New Roman"/>
        </w:rPr>
      </w:pPr>
      <w:r>
        <w:rPr>
          <w:rFonts w:ascii="Times New Roman" w:hAnsi="Times New Roman" w:eastAsia="宋体" w:cs="Times New Roman"/>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为维护公开、公平、公正的政府采购市场秩序，树立诚实守信的供应商形象，本单位在参与政府采购活动中,自愿作出以下承诺：</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一、严格遵守国家法律、法规和规章，全面履行应尽的责任和义务，全面做到履约守信，具备《政府采购法》第二十二条第一款规定的条件。</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二、本单位已经阅读并充分理解《常州市政府采购供应商信用管理暂行办法》，自愿按照《常州市政府采购供应商信用管理暂行办法》规定，发生失信行为将记录并公开到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信用常州</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、常州市政府采购网。</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四、严格依法开展生产经营活动，主动接受行业监管，自愿接受依法开展的日常检查；违法失信经营后将自愿接受约束和惩戒，并依法承担相应责任。</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五、承诺本单位自觉接受行政管理部门、行业组织、社会公众、新闻舆论的监督。 </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七、承诺本单位在信用中国（江苏）网站中无违法违规、较重或严重失信记录。 </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八、承诺本单位提出政府采购质疑和投诉坚持依法依规、诚实信用原则。</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九、根据政府采购相关法律法规的规定需要作出的其他承诺。 </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十、承诺本单位若违背承诺约定，经查实，愿意接受行业主管部门和信用管理部门相应的规定处罚，承担违约责任，并依法承担相应的法律责任。</w:t>
      </w:r>
      <w:r>
        <w:rPr>
          <w:rFonts w:ascii="Times New Roman" w:hAnsi="Times New Roman" w:eastAsia="宋体" w:cs="Times New Roman"/>
          <w:sz w:val="24"/>
        </w:rPr>
      </w:r>
      <w:r/>
    </w:p>
    <w:p>
      <w:pPr>
        <w:pStyle w:val="775"/>
        <w:ind w:firstLine="480"/>
        <w:spacing w:line="276" w:lineRule="auto"/>
        <w:rPr>
          <w:rFonts w:ascii="Times New Roman" w:hAnsi="Times New Roman" w:eastAsia="宋体" w:cs="Times New Roman"/>
          <w:sz w:val="24"/>
        </w:rPr>
      </w:pPr>
      <w:r>
        <w:rPr>
          <w:rFonts w:ascii="Times New Roman" w:hAnsi="Times New Roman" w:eastAsia="宋体" w:cs="Times New Roman"/>
          <w:sz w:val="24"/>
        </w:rPr>
        <w:t xml:space="preserve">十一、承诺本单位同意将以上承诺事项上网公示，违背承诺约定行为将作为失信信息，记录到常州市公共信用信息系统，并予以公开。</w:t>
      </w:r>
      <w:r>
        <w:rPr>
          <w:rFonts w:ascii="Times New Roman" w:hAnsi="Times New Roman" w:eastAsia="宋体" w:cs="Times New Roman"/>
          <w:sz w:val="24"/>
        </w:rPr>
      </w:r>
      <w:r/>
    </w:p>
    <w:p>
      <w:pPr>
        <w:pStyle w:val="904"/>
        <w:ind w:right="1050" w:firstLine="2880"/>
        <w:jc w:val="both"/>
        <w:spacing w:line="276" w:lineRule="auto"/>
        <w:rPr>
          <w:rFonts w:ascii="Times New Roman" w:hAnsi="Times New Roman" w:eastAsia="宋体" w:cs="Times New Roman"/>
          <w:sz w:val="24"/>
          <w:szCs w:val="22"/>
        </w:rPr>
      </w:pPr>
      <w:r>
        <w:rPr>
          <w:rFonts w:ascii="Times New Roman" w:hAnsi="Times New Roman" w:eastAsia="宋体" w:cs="Times New Roman"/>
          <w:sz w:val="24"/>
          <w:szCs w:val="22"/>
        </w:rPr>
      </w:r>
      <w:r/>
    </w:p>
    <w:p>
      <w:pPr>
        <w:pStyle w:val="775"/>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7</w:t>
      </w:r>
      <w:r>
        <w:rPr>
          <w:rFonts w:ascii="Times New Roman" w:hAnsi="Times New Roman" w:eastAsia="宋体" w:cs="Times New Roman"/>
          <w:color w:val="000000"/>
          <w:sz w:val="24"/>
          <w:szCs w:val="20"/>
        </w:rPr>
        <w:t xml:space="preserve"> 报价一览表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rFonts w:ascii="Times New Roman" w:hAnsi="Times New Roman" w:eastAsia="宋体" w:cs="Times New Roman"/>
          <w:b/>
          <w:bCs/>
          <w:color w:val="000000"/>
          <w:sz w:val="24"/>
          <w:szCs w:val="20"/>
        </w:rPr>
        <w:t xml:space="preserve">（实质性格式）</w:t>
      </w:r>
      <w:r>
        <w:rPr>
          <w:rFonts w:ascii="Times New Roman" w:hAnsi="Times New Roman" w:eastAsia="宋体" w:cs="Times New Roman"/>
          <w:color w:val="000000"/>
          <w:sz w:val="24"/>
          <w:szCs w:val="20"/>
        </w:rPr>
      </w:r>
      <w:r/>
    </w:p>
    <w:p>
      <w:pPr>
        <w:pStyle w:val="775"/>
        <w:jc w:val="center"/>
        <w:spacing w:line="360" w:lineRule="exact"/>
        <w:rPr>
          <w:rFonts w:ascii="Times New Roman" w:hAnsi="Times New Roman" w:eastAsia="宋体" w:cs="Times New Roman"/>
          <w:b/>
          <w:color w:val="000000"/>
          <w:sz w:val="36"/>
          <w:szCs w:val="36"/>
        </w:rPr>
      </w:pPr>
      <w:r/>
      <w:bookmarkStart w:id="741" w:name="_Toc226965831"/>
      <w:r/>
      <w:bookmarkStart w:id="742" w:name="_Toc226965748"/>
      <w:r/>
      <w:bookmarkStart w:id="743" w:name="_Toc305158826"/>
      <w:r/>
      <w:bookmarkStart w:id="744" w:name="_Toc164608827"/>
      <w:r/>
      <w:bookmarkStart w:id="745" w:name="_Toc164608672"/>
      <w:r/>
      <w:bookmarkStart w:id="746" w:name="_Toc195842923"/>
      <w:r/>
      <w:bookmarkStart w:id="747" w:name="_Toc305158900"/>
      <w:r/>
      <w:bookmarkStart w:id="748" w:name="_Toc264969248"/>
      <w:r/>
      <w:bookmarkStart w:id="749" w:name="_Toc265228396"/>
      <w:r/>
      <w:bookmarkStart w:id="750" w:name="_Toc226337254"/>
      <w:r/>
      <w:bookmarkStart w:id="751" w:name="_Toc226309802"/>
      <w:r>
        <w:rPr>
          <w:rFonts w:ascii="Times New Roman" w:hAnsi="Times New Roman" w:eastAsia="宋体" w:cs="Times New Roman"/>
          <w:b/>
          <w:color w:val="000000"/>
          <w:sz w:val="36"/>
          <w:szCs w:val="36"/>
        </w:rPr>
        <w:t xml:space="preserve">报价一览表</w:t>
      </w:r>
      <w:bookmarkEnd w:id="741"/>
      <w:r/>
      <w:bookmarkEnd w:id="742"/>
      <w:r/>
      <w:bookmarkEnd w:id="743"/>
      <w:r/>
      <w:bookmarkEnd w:id="744"/>
      <w:r/>
      <w:bookmarkEnd w:id="745"/>
      <w:r/>
      <w:bookmarkEnd w:id="746"/>
      <w:r/>
      <w:bookmarkEnd w:id="747"/>
      <w:r/>
      <w:bookmarkEnd w:id="748"/>
      <w:r/>
      <w:bookmarkEnd w:id="749"/>
      <w:r/>
      <w:bookmarkEnd w:id="750"/>
      <w:r/>
      <w:bookmarkEnd w:id="751"/>
      <w:r>
        <w:rPr>
          <w:rFonts w:ascii="Times New Roman" w:hAnsi="Times New Roman" w:eastAsia="宋体" w:cs="Times New Roman"/>
          <w:b/>
          <w:color w:val="000000"/>
          <w:sz w:val="36"/>
          <w:szCs w:val="36"/>
        </w:rPr>
      </w:r>
      <w:r/>
    </w:p>
    <w:p>
      <w:pPr>
        <w:pStyle w:val="775"/>
        <w:jc w:val="left"/>
        <w:spacing w:line="360" w:lineRule="auto"/>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ind w:firstLine="24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项目编号：_____________________     项目名称：_______________________</w:t>
      </w:r>
      <w:r>
        <w:rPr>
          <w:rFonts w:ascii="Times New Roman" w:hAnsi="Times New Roman" w:eastAsia="宋体" w:cs="Times New Roman"/>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775"/>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1960" w:type="dxa"/>
            <w:vAlign w:val="center"/>
            <w:vMerge w:val="restart"/>
            <w:textDirection w:val="lrTb"/>
            <w:noWrap w:val="false"/>
          </w:tcPr>
          <w:p>
            <w:pPr>
              <w:pStyle w:val="775"/>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供应商名称</w:t>
            </w:r>
            <w:r>
              <w:rPr>
                <w:rFonts w:ascii="Times New Roman" w:hAnsi="Times New Roman" w:eastAsia="宋体" w:cs="Times New Roman"/>
                <w:b/>
                <w:sz w:val="24"/>
              </w:rPr>
            </w:r>
            <w:r/>
          </w:p>
        </w:tc>
        <w:tc>
          <w:tcPr>
            <w:gridSpan w:val="2"/>
            <w:tcW w:w="4158" w:type="dxa"/>
            <w:vAlign w:val="center"/>
            <w:textDirection w:val="lrTb"/>
            <w:noWrap w:val="false"/>
          </w:tcPr>
          <w:p>
            <w:pPr>
              <w:pStyle w:val="775"/>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报价</w:t>
            </w:r>
            <w:r>
              <w:rPr>
                <w:rFonts w:ascii="Times New Roman" w:hAnsi="Times New Roman" w:eastAsia="宋体" w:cs="Times New Roman"/>
                <w:b/>
                <w:sz w:val="24"/>
              </w:rPr>
            </w:r>
            <w:r/>
          </w:p>
        </w:tc>
      </w:tr>
      <w:tr>
        <w:trPr>
          <w:trHeight w:val="674"/>
        </w:trPr>
        <w:tc>
          <w:tcPr>
            <w:tcW w:w="496" w:type="dxa"/>
            <w:vAlign w:val="center"/>
            <w:vMerge w:val="continue"/>
            <w:textDirection w:val="lrTb"/>
            <w:noWrap w:val="false"/>
          </w:tcPr>
          <w:p>
            <w:pPr>
              <w:pStyle w:val="775"/>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960" w:type="dxa"/>
            <w:vAlign w:val="center"/>
            <w:vMerge w:val="continue"/>
            <w:textDirection w:val="lrTb"/>
            <w:noWrap w:val="false"/>
          </w:tcPr>
          <w:p>
            <w:pPr>
              <w:pStyle w:val="775"/>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239" w:type="dxa"/>
            <w:vAlign w:val="center"/>
            <w:textDirection w:val="lrTb"/>
            <w:noWrap w:val="false"/>
          </w:tcPr>
          <w:p>
            <w:pPr>
              <w:pStyle w:val="775"/>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大写</w:t>
            </w:r>
            <w:r>
              <w:rPr>
                <w:rFonts w:ascii="Times New Roman" w:hAnsi="Times New Roman" w:eastAsia="宋体" w:cs="Times New Roman"/>
                <w:b/>
                <w:sz w:val="24"/>
              </w:rPr>
            </w:r>
            <w:r/>
          </w:p>
        </w:tc>
        <w:tc>
          <w:tcPr>
            <w:tcW w:w="1304" w:type="dxa"/>
            <w:vAlign w:val="center"/>
            <w:textDirection w:val="lrTb"/>
            <w:noWrap w:val="false"/>
          </w:tcPr>
          <w:p>
            <w:pPr>
              <w:pStyle w:val="775"/>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小写</w:t>
            </w:r>
            <w:r>
              <w:rPr>
                <w:rFonts w:ascii="Times New Roman" w:hAnsi="Times New Roman" w:eastAsia="宋体" w:cs="Times New Roman"/>
                <w:b/>
                <w:sz w:val="24"/>
              </w:rPr>
            </w:r>
            <w:r/>
          </w:p>
        </w:tc>
      </w:tr>
      <w:tr>
        <w:trPr>
          <w:trHeight w:val="976"/>
        </w:trPr>
        <w:tc>
          <w:tcPr>
            <w:tcW w:w="496" w:type="dxa"/>
            <w:vAlign w:val="center"/>
            <w:textDirection w:val="lrTb"/>
            <w:noWrap w:val="false"/>
          </w:tcPr>
          <w:p>
            <w:pPr>
              <w:pStyle w:val="775"/>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960" w:type="dxa"/>
            <w:vAlign w:val="center"/>
            <w:textDirection w:val="lrTb"/>
            <w:noWrap w:val="false"/>
          </w:tcPr>
          <w:p>
            <w:pPr>
              <w:pStyle w:val="775"/>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239" w:type="dxa"/>
            <w:vAlign w:val="center"/>
            <w:textDirection w:val="lrTb"/>
            <w:noWrap w:val="false"/>
          </w:tcPr>
          <w:p>
            <w:pPr>
              <w:pStyle w:val="775"/>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304" w:type="dxa"/>
            <w:vAlign w:val="center"/>
            <w:textDirection w:val="lrTb"/>
            <w:noWrap w:val="false"/>
          </w:tcPr>
          <w:p>
            <w:pPr>
              <w:pStyle w:val="775"/>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r>
    </w:tbl>
    <w:p>
      <w:pPr>
        <w:pStyle w:val="775"/>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75"/>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highlight w:val="none"/>
        </w:rPr>
        <w:t xml:space="preserve">注：</w:t>
      </w:r>
      <w:r>
        <w:rPr>
          <w:rFonts w:ascii="Times New Roman" w:hAnsi="Times New Roman" w:eastAsia="宋体" w:cs="Times New Roman"/>
          <w:b/>
          <w:color w:val="000000"/>
          <w:sz w:val="24"/>
          <w:szCs w:val="20"/>
          <w:highlight w:val="none"/>
        </w:rPr>
        <w:t xml:space="preserve">此表中，</w:t>
      </w:r>
      <w:r>
        <w:rPr>
          <w:rFonts w:ascii="Times New Roman" w:hAnsi="Times New Roman" w:eastAsia="宋体" w:cs="Times New Roman"/>
          <w:b/>
          <w:color w:val="000000"/>
          <w:sz w:val="24"/>
          <w:szCs w:val="20"/>
          <w:highlight w:val="none"/>
          <w:u w:val="single"/>
        </w:rPr>
        <w:t xml:space="preserve">报价为两年半（2026年7月1日-2028年12月31日）的总价</w:t>
      </w:r>
      <w:r>
        <w:rPr>
          <w:rFonts w:ascii="Times New Roman" w:hAnsi="Times New Roman" w:eastAsia="宋体" w:cs="Times New Roman"/>
          <w:b/>
          <w:color w:val="000000"/>
          <w:sz w:val="24"/>
          <w:szCs w:val="20"/>
          <w:highlight w:val="none"/>
        </w:rPr>
        <w:t xml:space="preserve">。</w:t>
      </w:r>
      <w:r>
        <w:rPr>
          <w:rFonts w:ascii="Times New Roman" w:hAnsi="Times New Roman" w:eastAsia="宋体" w:cs="Times New Roman"/>
          <w:color w:val="000000"/>
          <w:sz w:val="24"/>
          <w:szCs w:val="20"/>
          <w:highlight w:val="none"/>
        </w:rPr>
        <w:t xml:space="preserve">报价应和《分项报价表（零星类项目）》、《分项报价表（道路绿化养护）》、《分项报价表（公园养护）》、《分项报价表（雨水管道及泵站养护）》及《分项报价表（环卫）》的两年半（2026年7月1日-2028年12</w:t>
      </w:r>
      <w:r>
        <w:rPr>
          <w:rFonts w:ascii="Times New Roman" w:hAnsi="Times New Roman" w:eastAsia="宋体" w:cs="Times New Roman"/>
          <w:color w:val="000000"/>
          <w:sz w:val="24"/>
          <w:szCs w:val="20"/>
        </w:rPr>
        <w:t xml:space="preserve">月31日）</w:t>
      </w:r>
      <w:r>
        <w:rPr>
          <w:rFonts w:ascii="Times New Roman" w:hAnsi="Times New Roman" w:eastAsia="宋体" w:cs="Times New Roman"/>
          <w:b/>
          <w:color w:val="000000"/>
          <w:sz w:val="24"/>
          <w:szCs w:val="20"/>
          <w:u w:val="single"/>
        </w:rPr>
        <w:t xml:space="preserve">总价之和</w:t>
      </w:r>
      <w:r>
        <w:rPr>
          <w:rFonts w:ascii="Times New Roman" w:hAnsi="Times New Roman" w:eastAsia="宋体" w:cs="Times New Roman"/>
          <w:color w:val="000000"/>
          <w:sz w:val="24"/>
          <w:szCs w:val="20"/>
        </w:rPr>
        <w:t xml:space="preserve">相一致。</w:t>
      </w:r>
      <w:r>
        <w:rPr>
          <w:rFonts w:ascii="Times New Roman" w:hAnsi="Times New Roman" w:eastAsia="宋体" w:cs="Times New Roman"/>
          <w:color w:val="000000"/>
          <w:sz w:val="24"/>
          <w:szCs w:val="20"/>
        </w:rPr>
      </w:r>
      <w:r/>
    </w:p>
    <w:p>
      <w:pPr>
        <w:pStyle w:val="775"/>
        <w:ind w:firstLine="480"/>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775"/>
        <w:jc w:val="left"/>
        <w:widowControl/>
        <w:rPr>
          <w:rFonts w:ascii="Times New Roman" w:hAnsi="Times New Roman" w:eastAsia="宋体" w:cs="Times New Roman"/>
          <w:color w:val="000000"/>
          <w:sz w:val="24"/>
          <w:szCs w:val="20"/>
        </w:rPr>
      </w:pPr>
      <w:r/>
      <w:bookmarkStart w:id="752" w:name="_Toc127151558"/>
      <w:r/>
      <w:bookmarkStart w:id="753" w:name="_Toc195842924"/>
      <w:r/>
      <w:bookmarkStart w:id="754" w:name="_Toc226965832"/>
      <w:r/>
      <w:bookmarkStart w:id="755" w:name="_Toc150480796"/>
      <w:r/>
      <w:bookmarkStart w:id="756" w:name="_Toc142311060"/>
      <w:r/>
      <w:bookmarkStart w:id="757" w:name="_Toc265228397"/>
      <w:r/>
      <w:bookmarkStart w:id="758" w:name="_Toc226309803"/>
      <w:r/>
      <w:bookmarkStart w:id="759" w:name="_Toc305158901"/>
      <w:r/>
      <w:bookmarkStart w:id="760" w:name="_Toc150774763"/>
      <w:r/>
      <w:bookmarkStart w:id="761" w:name="_Toc226965749"/>
      <w:r/>
      <w:bookmarkStart w:id="762" w:name="_Toc226337255"/>
      <w:r/>
      <w:bookmarkStart w:id="763" w:name="_Toc305158827"/>
      <w:r/>
      <w:bookmarkStart w:id="764" w:name="_Toc264969249"/>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8</w:t>
      </w:r>
      <w:r>
        <w:rPr>
          <w:rFonts w:ascii="Times New Roman" w:hAnsi="Times New Roman" w:eastAsia="宋体" w:cs="Times New Roman"/>
          <w:color w:val="000000"/>
          <w:sz w:val="24"/>
          <w:szCs w:val="20"/>
        </w:rPr>
        <w:t xml:space="preserve"> 分项报价表</w:t>
      </w:r>
      <w:r>
        <w:rPr>
          <w:rFonts w:ascii="Times New Roman" w:hAnsi="Times New Roman" w:eastAsia="宋体" w:cs="Times New Roman"/>
          <w:color w:val="000000"/>
          <w:sz w:val="24"/>
          <w:szCs w:val="20"/>
        </w:rPr>
      </w:r>
      <w:r/>
    </w:p>
    <w:p>
      <w:pPr>
        <w:pStyle w:val="775"/>
        <w:jc w:val="center"/>
        <w:spacing w:line="3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分项报价表（零星类项目）</w:t>
      </w:r>
      <w:r>
        <w:rPr>
          <w:rFonts w:ascii="Times New Roman" w:hAnsi="Times New Roman" w:eastAsia="宋体" w:cs="Times New Roman"/>
          <w:b/>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项目编号：_____________________     项目名称：_______________________</w:t>
      </w:r>
      <w:r>
        <w:rPr>
          <w:rFonts w:ascii="Times New Roman" w:hAnsi="Times New Roman" w:eastAsia="宋体" w:cs="Times New Roman"/>
          <w:color w:val="000000"/>
          <w:sz w:val="24"/>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tbl>
      <w:tblPr>
        <w:tblW w:w="88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810"/>
        <w:gridCol w:w="2146"/>
        <w:gridCol w:w="2324"/>
        <w:gridCol w:w="1701"/>
      </w:tblGrid>
      <w:tr>
        <w:trPr>
          <w:cantSplit/>
          <w:trHeight w:val="762"/>
        </w:trPr>
        <w:tc>
          <w:tcPr>
            <w:tcW w:w="91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序号</w:t>
            </w:r>
            <w:r>
              <w:rPr>
                <w:rFonts w:ascii="Times New Roman" w:hAnsi="Times New Roman" w:eastAsia="宋体" w:cs="Times New Roman"/>
                <w:sz w:val="24"/>
              </w:rPr>
            </w:r>
            <w:r/>
          </w:p>
        </w:tc>
        <w:tc>
          <w:tcPr>
            <w:tcW w:w="181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分项名称</w:t>
            </w:r>
            <w:r>
              <w:rPr>
                <w:rFonts w:ascii="Times New Roman" w:hAnsi="Times New Roman" w:eastAsia="宋体" w:cs="Times New Roman"/>
                <w:sz w:val="24"/>
              </w:rPr>
            </w:r>
            <w:r/>
          </w:p>
        </w:tc>
        <w:tc>
          <w:tcPr>
            <w:tcW w:w="2146"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服务内容</w:t>
            </w:r>
            <w:r>
              <w:rPr>
                <w:rFonts w:ascii="Times New Roman" w:hAnsi="Times New Roman" w:eastAsia="宋体" w:cs="Times New Roman"/>
                <w:sz w:val="24"/>
              </w:rPr>
            </w:r>
            <w:r/>
          </w:p>
        </w:tc>
        <w:tc>
          <w:tcPr>
            <w:tcW w:w="232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优惠率</w:t>
            </w:r>
            <w:r>
              <w:rPr>
                <w:rFonts w:ascii="Times New Roman" w:hAnsi="Times New Roman" w:eastAsia="宋体" w:cs="Times New Roman"/>
                <w:sz w:val="24"/>
              </w:rPr>
            </w:r>
            <w:r/>
          </w:p>
        </w:tc>
        <w:tc>
          <w:tcPr>
            <w:tcW w:w="1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备注</w:t>
            </w:r>
            <w:r>
              <w:rPr>
                <w:rFonts w:ascii="Times New Roman" w:hAnsi="Times New Roman" w:eastAsia="宋体" w:cs="Times New Roman"/>
                <w:sz w:val="24"/>
              </w:rPr>
            </w:r>
            <w:r/>
          </w:p>
        </w:tc>
      </w:tr>
      <w:tr>
        <w:trPr>
          <w:trHeight w:val="905"/>
        </w:trPr>
        <w:tc>
          <w:tcPr>
            <w:tcW w:w="91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r>
            <w:r/>
          </w:p>
        </w:tc>
        <w:tc>
          <w:tcPr>
            <w:tcW w:w="181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sz w:val="24"/>
              </w:rPr>
              <w:t xml:space="preserve">市政类零星类项目</w:t>
            </w:r>
            <w:r>
              <w:rPr>
                <w:rFonts w:ascii="Times New Roman" w:hAnsi="Times New Roman" w:eastAsia="宋体" w:cs="Times New Roman"/>
                <w:b/>
                <w:bCs/>
                <w:sz w:val="24"/>
              </w:rPr>
            </w:r>
            <w:r/>
          </w:p>
        </w:tc>
        <w:tc>
          <w:tcPr>
            <w:tcW w:w="2146"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区管道路、桥梁及排水等设施零星维修改造、行政恢复</w:t>
            </w:r>
            <w:r>
              <w:rPr>
                <w:rFonts w:ascii="Times New Roman" w:hAnsi="Times New Roman" w:eastAsia="宋体" w:cs="Times New Roman"/>
                <w:sz w:val="24"/>
              </w:rPr>
            </w:r>
            <w:r/>
          </w:p>
        </w:tc>
        <w:tc>
          <w:tcPr>
            <w:tcW w:w="232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____%</w:t>
            </w:r>
            <w:r>
              <w:rPr>
                <w:rFonts w:ascii="Times New Roman" w:hAnsi="Times New Roman" w:eastAsia="宋体" w:cs="Times New Roman"/>
                <w:sz w:val="24"/>
              </w:rPr>
            </w:r>
            <w:r/>
          </w:p>
        </w:tc>
        <w:tc>
          <w:tcPr>
            <w:tcW w:w="1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950"/>
        </w:trPr>
        <w:tc>
          <w:tcPr>
            <w:tcW w:w="91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r>
            <w:r/>
          </w:p>
        </w:tc>
        <w:tc>
          <w:tcPr>
            <w:tcW w:w="181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sz w:val="24"/>
              </w:rPr>
              <w:t xml:space="preserve">绿化类（含景观设施）零星类项目</w:t>
            </w:r>
            <w:r>
              <w:rPr>
                <w:rFonts w:ascii="Times New Roman" w:hAnsi="Times New Roman" w:eastAsia="宋体" w:cs="Times New Roman"/>
                <w:b/>
                <w:bCs/>
                <w:sz w:val="24"/>
              </w:rPr>
            </w:r>
            <w:r/>
          </w:p>
        </w:tc>
        <w:tc>
          <w:tcPr>
            <w:tcW w:w="2146"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区管道路绿化、景观设施等零星维修改造</w:t>
            </w:r>
            <w:r>
              <w:rPr>
                <w:rFonts w:ascii="Times New Roman" w:hAnsi="Times New Roman" w:eastAsia="宋体" w:cs="Times New Roman"/>
                <w:sz w:val="24"/>
              </w:rPr>
            </w:r>
            <w:r/>
          </w:p>
        </w:tc>
        <w:tc>
          <w:tcPr>
            <w:tcW w:w="232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____%</w:t>
            </w:r>
            <w:r>
              <w:rPr>
                <w:rFonts w:ascii="Times New Roman" w:hAnsi="Times New Roman" w:eastAsia="宋体" w:cs="Times New Roman"/>
                <w:sz w:val="24"/>
              </w:rPr>
            </w:r>
            <w:r/>
          </w:p>
        </w:tc>
        <w:tc>
          <w:tcPr>
            <w:tcW w:w="1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885"/>
        </w:trPr>
        <w:tc>
          <w:tcPr>
            <w:gridSpan w:val="3"/>
            <w:tcW w:w="4866" w:type="dxa"/>
            <w:vAlign w:val="center"/>
            <w:textDirection w:val="lrTb"/>
            <w:noWrap w:val="false"/>
          </w:tcPr>
          <w:p>
            <w:pPr>
              <w:pStyle w:val="775"/>
              <w:jc w:val="center"/>
              <w:widowControl/>
              <w:rPr>
                <w:rFonts w:ascii="Times New Roman" w:hAnsi="Times New Roman" w:eastAsia="宋体" w:cs="Times New Roman"/>
                <w:color w:val="000000"/>
                <w:sz w:val="24"/>
                <w:highlight w:val="none"/>
              </w:rPr>
            </w:pPr>
            <w:r>
              <w:rPr>
                <w:rFonts w:ascii="Times New Roman" w:hAnsi="Times New Roman" w:eastAsia="宋体" w:cs="Times New Roman"/>
                <w:b/>
                <w:bCs/>
                <w:color w:val="000000"/>
                <w:sz w:val="24"/>
                <w:highlight w:val="none"/>
              </w:rPr>
              <w:t xml:space="preserve">一年总价（固定金额）</w:t>
            </w:r>
            <w:r>
              <w:rPr>
                <w:rFonts w:ascii="Times New Roman" w:hAnsi="Times New Roman" w:eastAsia="宋体" w:cs="Times New Roman"/>
                <w:color w:val="000000"/>
                <w:sz w:val="24"/>
                <w:highlight w:val="none"/>
              </w:rPr>
            </w:r>
            <w:r/>
          </w:p>
        </w:tc>
        <w:tc>
          <w:tcPr>
            <w:gridSpan w:val="2"/>
            <w:tcW w:w="4025" w:type="dxa"/>
            <w:vAlign w:val="center"/>
            <w:textDirection w:val="lrTb"/>
            <w:noWrap w:val="false"/>
          </w:tcPr>
          <w:p>
            <w:pPr>
              <w:pStyle w:val="775"/>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37943086.15元/年（按实结算）</w:t>
            </w:r>
            <w:r>
              <w:rPr>
                <w:rFonts w:ascii="Times New Roman" w:hAnsi="Times New Roman" w:eastAsia="宋体" w:cs="Times New Roman"/>
                <w:b/>
                <w:bCs/>
                <w:color w:val="000000"/>
                <w:sz w:val="24"/>
                <w:highlight w:val="none"/>
              </w:rPr>
            </w:r>
            <w:r/>
          </w:p>
        </w:tc>
      </w:tr>
      <w:tr>
        <w:trPr>
          <w:trHeight w:val="885"/>
        </w:trPr>
        <w:tc>
          <w:tcPr>
            <w:gridSpan w:val="3"/>
            <w:tcW w:w="4866" w:type="dxa"/>
            <w:vAlign w:val="center"/>
            <w:textDirection w:val="lrTb"/>
            <w:noWrap w:val="false"/>
          </w:tcPr>
          <w:p>
            <w:pPr>
              <w:pStyle w:val="775"/>
              <w:jc w:val="center"/>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两年半（2026年7月1日-2028年12月31日）总价（固定金额）</w:t>
            </w:r>
            <w:r>
              <w:rPr>
                <w:rFonts w:ascii="Times New Roman" w:hAnsi="Times New Roman" w:eastAsia="宋体" w:cs="Times New Roman"/>
                <w:b/>
                <w:bCs/>
                <w:color w:val="000000"/>
                <w:sz w:val="24"/>
                <w:highlight w:val="none"/>
              </w:rPr>
            </w:r>
            <w:r/>
          </w:p>
        </w:tc>
        <w:tc>
          <w:tcPr>
            <w:gridSpan w:val="2"/>
            <w:tcW w:w="4025" w:type="dxa"/>
            <w:vAlign w:val="center"/>
            <w:textDirection w:val="lrTb"/>
            <w:noWrap w:val="false"/>
          </w:tcPr>
          <w:p>
            <w:pPr>
              <w:pStyle w:val="775"/>
              <w:jc w:val="center"/>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val="en-US" w:eastAsia="zh-CN"/>
              </w:rPr>
              <w:t xml:space="preserve">94857715.37</w:t>
            </w:r>
            <w:r>
              <w:rPr>
                <w:rFonts w:ascii="Times New Roman" w:hAnsi="Times New Roman" w:eastAsia="宋体" w:cs="Times New Roman"/>
                <w:b/>
                <w:bCs/>
                <w:color w:val="000000"/>
                <w:sz w:val="24"/>
                <w:highlight w:val="none"/>
              </w:rPr>
              <w:t xml:space="preserve">元（按实结算）</w:t>
            </w:r>
            <w:r>
              <w:rPr>
                <w:rFonts w:ascii="Times New Roman" w:hAnsi="Times New Roman" w:eastAsia="宋体" w:cs="Times New Roman"/>
                <w:b/>
                <w:bCs/>
                <w:color w:val="000000"/>
                <w:sz w:val="24"/>
                <w:highlight w:val="none"/>
              </w:rPr>
            </w:r>
            <w:r/>
          </w:p>
        </w:tc>
      </w:tr>
    </w:tbl>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color w:val="000000"/>
          <w:sz w:val="24"/>
          <w:highlight w:val="none"/>
        </w:rPr>
        <w:t xml:space="preserve">注：</w:t>
      </w:r>
      <w:r>
        <w:rPr>
          <w:rFonts w:ascii="Times New Roman" w:hAnsi="Times New Roman" w:eastAsia="宋体" w:cs="Times New Roman"/>
          <w:b/>
          <w:bCs/>
          <w:color w:val="000000"/>
          <w:sz w:val="24"/>
          <w:highlight w:val="none"/>
        </w:rPr>
        <w:t xml:space="preserve">1.本表按优惠率进行报价，市政类中的零星类项目报价优惠率不低于18.65%，绿化类中的（含景观设施）零星类项目报价优惠率不低于19%。</w:t>
      </w:r>
      <w:r>
        <w:rPr>
          <w:rFonts w:ascii="Times New Roman" w:hAnsi="Times New Roman" w:eastAsia="宋体" w:cs="Times New Roman"/>
          <w:b/>
          <w:bCs/>
          <w:color w:val="000000"/>
          <w:sz w:val="24"/>
          <w:highlight w:val="none"/>
        </w:rPr>
        <w:t xml:space="preserve">结算单价=基准单价</w:t>
      </w:r>
      <w:r>
        <w:rPr>
          <w:rFonts w:ascii="Times New Roman" w:hAnsi="Times New Roman" w:eastAsia="宋体" w:cs="Times New Roman"/>
          <w:b/>
          <w:bCs/>
          <w:color w:val="000000"/>
          <w:sz w:val="24"/>
          <w:szCs w:val="20"/>
          <w:highlight w:val="none"/>
        </w:rPr>
        <w:t xml:space="preserve">×</w:t>
      </w:r>
      <w:r>
        <w:rPr>
          <w:rFonts w:ascii="Times New Roman" w:hAnsi="Times New Roman" w:eastAsia="宋体" w:cs="Times New Roman"/>
          <w:b/>
          <w:bCs/>
          <w:color w:val="000000"/>
          <w:sz w:val="24"/>
          <w:highlight w:val="none"/>
        </w:rPr>
        <w:t xml:space="preserve">（1-优惠率），例如：</w:t>
      </w:r>
      <w:r>
        <w:rPr>
          <w:rFonts w:hint="eastAsia" w:ascii="Times New Roman" w:hAnsi="Times New Roman" w:eastAsia="宋体" w:cs="Times New Roman"/>
          <w:b/>
          <w:bCs/>
          <w:color w:val="000000"/>
          <w:sz w:val="24"/>
          <w:highlight w:val="none"/>
          <w:lang w:val="en-US" w:eastAsia="zh-CN"/>
        </w:rPr>
        <w:t xml:space="preserve">供应商</w:t>
      </w:r>
      <w:r>
        <w:rPr>
          <w:rFonts w:ascii="Times New Roman" w:hAnsi="Times New Roman" w:eastAsia="宋体" w:cs="Times New Roman"/>
          <w:b/>
          <w:bCs/>
          <w:color w:val="000000"/>
          <w:sz w:val="24"/>
          <w:highlight w:val="none"/>
        </w:rPr>
        <w:t xml:space="preserve">所报优惠率为20%，则结算单价=基准单价</w:t>
      </w:r>
      <w:r>
        <w:rPr>
          <w:rFonts w:ascii="Times New Roman" w:hAnsi="Times New Roman" w:eastAsia="宋体" w:cs="Times New Roman"/>
          <w:b/>
          <w:bCs/>
          <w:color w:val="000000"/>
          <w:sz w:val="24"/>
          <w:szCs w:val="20"/>
          <w:highlight w:val="none"/>
        </w:rPr>
        <w:t xml:space="preserve">×（1-20%），即</w:t>
      </w:r>
      <w:r>
        <w:rPr>
          <w:rFonts w:ascii="Times New Roman" w:hAnsi="Times New Roman" w:eastAsia="宋体" w:cs="Times New Roman"/>
          <w:b/>
          <w:bCs/>
          <w:color w:val="000000"/>
          <w:sz w:val="24"/>
          <w:highlight w:val="none"/>
        </w:rPr>
        <w:t xml:space="preserve">结算单价=基准单价</w:t>
      </w:r>
      <w:r>
        <w:rPr>
          <w:rFonts w:ascii="Times New Roman" w:hAnsi="Times New Roman" w:eastAsia="宋体" w:cs="Times New Roman"/>
          <w:b/>
          <w:bCs/>
          <w:color w:val="000000"/>
          <w:sz w:val="24"/>
          <w:szCs w:val="20"/>
          <w:highlight w:val="none"/>
        </w:rPr>
        <w:t xml:space="preserve">×80%</w:t>
      </w:r>
      <w:r>
        <w:rPr>
          <w:rFonts w:ascii="Times New Roman" w:hAnsi="Times New Roman" w:eastAsia="宋体" w:cs="Times New Roman"/>
          <w:b/>
          <w:bCs/>
          <w:color w:val="000000"/>
          <w:sz w:val="24"/>
          <w:highlight w:val="none"/>
        </w:rPr>
        <w:t xml:space="preserve">。（基准单价详见附件23、24：区管道路绿化、景观设施等零星维修改造-表1、区管道路、桥梁及排水等设施零星维修改造、行政恢复-表2）</w:t>
      </w:r>
      <w:r>
        <w:rPr>
          <w:rFonts w:ascii="Times New Roman" w:hAnsi="Times New Roman" w:eastAsia="宋体" w:cs="Times New Roman"/>
          <w:b/>
          <w:bCs/>
          <w:color w:val="000000"/>
          <w:sz w:val="24"/>
          <w:highlight w:val="none"/>
        </w:rPr>
      </w:r>
      <w:r/>
    </w:p>
    <w:p>
      <w:pPr>
        <w:pStyle w:val="775"/>
        <w:ind w:firstLine="482"/>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2.零星类项目总价按固定金额</w:t>
      </w:r>
      <w:r>
        <w:rPr>
          <w:rFonts w:ascii="Times New Roman" w:hAnsi="Times New Roman" w:eastAsia="宋体" w:cs="Times New Roman"/>
          <w:b/>
          <w:bCs/>
          <w:color w:val="000000"/>
          <w:sz w:val="24"/>
          <w:highlight w:val="none"/>
          <w:lang w:val="en-US" w:eastAsia="zh-CN"/>
        </w:rPr>
        <w:t xml:space="preserve">94857715.37</w:t>
      </w:r>
      <w:r>
        <w:rPr>
          <w:rFonts w:ascii="Times New Roman" w:hAnsi="Times New Roman" w:eastAsia="宋体" w:cs="Times New Roman"/>
          <w:b/>
          <w:bCs/>
          <w:color w:val="000000"/>
          <w:sz w:val="24"/>
          <w:highlight w:val="none"/>
        </w:rPr>
        <w:t xml:space="preserve">元计入项目总报价，最终结算总金额按结算单价及工程量据实结算。</w:t>
      </w:r>
      <w:r>
        <w:rPr>
          <w:rFonts w:ascii="Times New Roman" w:hAnsi="Times New Roman" w:eastAsia="宋体" w:cs="Times New Roman"/>
          <w:b/>
          <w:bCs/>
          <w:color w:val="000000"/>
          <w:sz w:val="24"/>
          <w:highlight w:val="none"/>
        </w:rPr>
      </w:r>
      <w:r/>
    </w:p>
    <w:p>
      <w:pPr>
        <w:pStyle w:val="775"/>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3.本表行数可以按照项目分项情况增加。</w:t>
      </w:r>
      <w:r>
        <w:rPr>
          <w:rFonts w:ascii="Times New Roman" w:hAnsi="Times New Roman" w:eastAsia="宋体" w:cs="Times New Roman"/>
          <w:color w:val="000000"/>
          <w:sz w:val="24"/>
          <w:highlight w:val="none"/>
        </w:rPr>
      </w:r>
      <w:r/>
    </w:p>
    <w:p>
      <w:pPr>
        <w:pStyle w:val="775"/>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4.上述各项的详细规格、技术参数如表格中填写不下的，可以逐项另页描述。</w:t>
      </w:r>
      <w:r>
        <w:rPr>
          <w:rFonts w:ascii="Times New Roman" w:hAnsi="Times New Roman" w:eastAsia="宋体" w:cs="Times New Roman"/>
          <w:color w:val="000000"/>
          <w:sz w:val="24"/>
          <w:highlight w:val="none"/>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highlight w:val="none"/>
          <w:lang w:val="zh-CN"/>
        </w:rPr>
        <w:t xml:space="preserve">    5.</w:t>
      </w:r>
      <w:r>
        <w:rPr>
          <w:rFonts w:ascii="Times New Roman" w:hAnsi="Times New Roman" w:eastAsia="宋体" w:cs="Times New Roman"/>
          <w:b/>
          <w:bCs/>
          <w:color w:val="000000"/>
          <w:sz w:val="24"/>
          <w:highlight w:val="none"/>
        </w:rPr>
        <w:t xml:space="preserve"> 2026年7月1日-2026年12月31日的金额按一年金额*50%计算</w:t>
      </w: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w:t>
      </w:r>
      <w:r>
        <w:rPr>
          <w:rFonts w:ascii="Times New Roman" w:hAnsi="Times New Roman" w:eastAsia="宋体" w:cs="Times New Roman"/>
          <w:color w:val="000000"/>
          <w:sz w:val="24"/>
          <w:szCs w:val="20"/>
        </w:rPr>
      </w:r>
      <w:r/>
    </w:p>
    <w:p>
      <w:pPr>
        <w:pStyle w:val="775"/>
        <w:spacing w:before="25" w:after="25"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center"/>
        <w:spacing w:line="360" w:lineRule="exact"/>
        <w:rPr>
          <w:rFonts w:ascii="Times New Roman" w:hAnsi="Times New Roman" w:eastAsia="宋体" w:cs="Times New Roman"/>
          <w:b/>
          <w:color w:val="000000"/>
          <w:sz w:val="36"/>
          <w:szCs w:val="36"/>
        </w:rPr>
        <w:sectPr>
          <w:headerReference w:type="even" r:id="rId9"/>
          <w:headerReference w:type="first" r:id="rId10"/>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cs="Times New Roman"/>
          <w:b/>
          <w:color w:val="000000"/>
          <w:sz w:val="36"/>
          <w:szCs w:val="36"/>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分项报价表（道路绿化养护）</w:t>
      </w:r>
      <w:r>
        <w:rPr>
          <w:rFonts w:ascii="Times New Roman" w:hAnsi="Times New Roman" w:eastAsia="宋体" w:cs="Times New Roman"/>
          <w:b/>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项目编号：_____________________     项目名称：_______________________</w:t>
      </w:r>
      <w:r>
        <w:rPr>
          <w:rFonts w:ascii="Times New Roman" w:hAnsi="Times New Roman" w:eastAsia="宋体" w:cs="Times New Roman"/>
          <w:color w:val="000000"/>
          <w:sz w:val="24"/>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tbl>
      <w:tblPr>
        <w:tblW w:w="101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30"/>
        <w:gridCol w:w="2625"/>
        <w:gridCol w:w="1530"/>
        <w:gridCol w:w="1530"/>
        <w:gridCol w:w="1395"/>
        <w:gridCol w:w="1107"/>
      </w:tblGrid>
      <w:tr>
        <w:trPr>
          <w:cantSplit/>
          <w:trHeight w:val="277"/>
        </w:trPr>
        <w:tc>
          <w:tcPr>
            <w:tcW w:w="701"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序号</w:t>
            </w:r>
            <w:r>
              <w:rPr>
                <w:rFonts w:ascii="Times New Roman" w:hAnsi="Times New Roman" w:eastAsia="宋体" w:cs="Times New Roman"/>
                <w:sz w:val="24"/>
              </w:rPr>
            </w:r>
            <w:r/>
          </w:p>
        </w:tc>
        <w:tc>
          <w:tcPr>
            <w:tcW w:w="1230"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分项名称</w:t>
            </w:r>
            <w:r>
              <w:rPr>
                <w:rFonts w:ascii="Times New Roman" w:hAnsi="Times New Roman" w:eastAsia="宋体" w:cs="Times New Roman"/>
                <w:sz w:val="24"/>
              </w:rPr>
            </w:r>
            <w:r/>
          </w:p>
        </w:tc>
        <w:tc>
          <w:tcPr>
            <w:tcW w:w="2625"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服务内容</w:t>
            </w:r>
            <w:r>
              <w:rPr>
                <w:rFonts w:ascii="Times New Roman" w:hAnsi="Times New Roman" w:eastAsia="宋体" w:cs="Times New Roman"/>
                <w:sz w:val="24"/>
              </w:rPr>
            </w:r>
            <w:r/>
          </w:p>
        </w:tc>
        <w:tc>
          <w:tcPr>
            <w:tcW w:w="1530"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面积</w:t>
            </w:r>
            <w:r>
              <w:rPr>
                <w:rFonts w:ascii="Times New Roman" w:hAnsi="Times New Roman" w:eastAsia="宋体" w:cs="Times New Roman"/>
                <w:sz w:val="24"/>
              </w:rPr>
            </w:r>
            <w:r/>
          </w:p>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r>
            <w:r/>
          </w:p>
        </w:tc>
        <w:tc>
          <w:tcPr>
            <w:tcW w:w="1530"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单价限价（</w:t>
            </w:r>
            <w:r>
              <w:rPr>
                <w:rFonts w:ascii="Times New Roman" w:hAnsi="Times New Roman" w:eastAsia="宋体" w:cs="Times New Roman"/>
                <w:color w:val="000000"/>
                <w:sz w:val="24"/>
              </w:rPr>
              <w:t xml:space="preserve">元/</w:t>
            </w:r>
            <w:r>
              <w:rPr>
                <w:rFonts w:ascii="Times New Roman" w:hAnsi="Times New Roman" w:eastAsia="宋体" w:cs="Times New Roman"/>
                <w:sz w:val="24"/>
              </w:rPr>
              <w:t xml:space="preserve">㎡</w:t>
            </w:r>
            <w:r>
              <w:rPr>
                <w:rFonts w:ascii="Times New Roman" w:hAnsi="Times New Roman" w:eastAsia="宋体" w:cs="Times New Roman"/>
                <w:color w:val="000000"/>
                <w:sz w:val="24"/>
              </w:rPr>
              <w:t xml:space="preserve">/年</w:t>
            </w:r>
            <w:r>
              <w:rPr>
                <w:rFonts w:ascii="Times New Roman" w:hAnsi="Times New Roman" w:eastAsia="宋体" w:cs="Times New Roman"/>
                <w:sz w:val="24"/>
              </w:rPr>
              <w:t xml:space="preserve">）</w:t>
            </w:r>
            <w:r>
              <w:rPr>
                <w:rFonts w:ascii="Times New Roman" w:hAnsi="Times New Roman" w:eastAsia="宋体" w:cs="Times New Roman"/>
                <w:sz w:val="24"/>
              </w:rPr>
            </w:r>
            <w:r/>
          </w:p>
        </w:tc>
        <w:tc>
          <w:tcPr>
            <w:gridSpan w:val="2"/>
            <w:tcW w:w="2502"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报价</w:t>
            </w:r>
            <w:r>
              <w:rPr>
                <w:rFonts w:ascii="Times New Roman" w:hAnsi="Times New Roman" w:eastAsia="宋体" w:cs="Times New Roman"/>
                <w:sz w:val="24"/>
              </w:rPr>
            </w:r>
            <w:r/>
          </w:p>
        </w:tc>
      </w:tr>
      <w:tr>
        <w:trPr>
          <w:cantSplit/>
          <w:trHeight w:val="277"/>
        </w:trPr>
        <w:tc>
          <w:tcPr>
            <w:tcW w:w="701"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1230"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2625"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1530"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1530" w:type="dxa"/>
            <w:vAlign w:val="top"/>
            <w:vMerge w:val="continue"/>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单价（</w:t>
            </w:r>
            <w:r>
              <w:rPr>
                <w:rFonts w:ascii="Times New Roman" w:hAnsi="Times New Roman" w:eastAsia="宋体" w:cs="Times New Roman"/>
                <w:color w:val="000000"/>
                <w:sz w:val="24"/>
              </w:rPr>
              <w:t xml:space="preserve">元/</w:t>
            </w:r>
            <w:r>
              <w:rPr>
                <w:rFonts w:ascii="Times New Roman" w:hAnsi="Times New Roman" w:eastAsia="宋体" w:cs="Times New Roman"/>
                <w:sz w:val="24"/>
              </w:rPr>
              <w:t xml:space="preserve">㎡</w:t>
            </w:r>
            <w:r>
              <w:rPr>
                <w:rFonts w:ascii="Times New Roman" w:hAnsi="Times New Roman" w:eastAsia="宋体" w:cs="Times New Roman"/>
                <w:color w:val="000000"/>
                <w:sz w:val="24"/>
              </w:rPr>
              <w:t xml:space="preserve">/年</w:t>
            </w:r>
            <w:r>
              <w:rPr>
                <w:rFonts w:ascii="Times New Roman" w:hAnsi="Times New Roman" w:eastAsia="宋体" w:cs="Times New Roman"/>
                <w:sz w:val="24"/>
              </w:rPr>
              <w:t xml:space="preserve">）</w:t>
            </w: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合价（元/年）</w:t>
            </w: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特级</w:t>
            </w: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区管道路特级区域养护</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1431461.54</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8</w:t>
            </w: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一级</w:t>
            </w: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区管道路一级区域养护</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1172369.33</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6</w:t>
            </w: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3</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二级</w:t>
            </w: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区管道路二级区域养护</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2770924.48</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5</w:t>
            </w: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4</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三级</w:t>
            </w: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区管道路三级区域养护</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2779592.62</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4</w:t>
            </w: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5</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四级</w:t>
            </w: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区管道路四级区域养护</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3808509.84</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2.5</w:t>
            </w: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6</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苗圃</w:t>
            </w: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color w:val="000000"/>
                <w:sz w:val="24"/>
              </w:rPr>
              <w:t xml:space="preserve">苗圃绿化日常养护</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349889.03</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1.5</w:t>
            </w: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7</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闲置地块</w:t>
            </w: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color w:val="000000"/>
                <w:sz w:val="24"/>
              </w:rPr>
              <w:t xml:space="preserve">闲置地块绿化日常养护</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92910</w:t>
            </w: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0.7</w:t>
            </w: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tcW w:w="70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r>
            <w:r/>
          </w:p>
        </w:tc>
        <w:tc>
          <w:tcPr>
            <w:tcW w:w="123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r>
            <w:r/>
          </w:p>
        </w:tc>
        <w:tc>
          <w:tcPr>
            <w:tcW w:w="262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53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530" w:type="dxa"/>
            <w:vAlign w:val="top"/>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395"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gridSpan w:val="6"/>
            <w:tcW w:w="901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一年总价</w:t>
            </w: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66"/>
        </w:trPr>
        <w:tc>
          <w:tcPr>
            <w:gridSpan w:val="6"/>
            <w:tcW w:w="901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两年半（2026年7月1日-2028年12月31日）总价</w:t>
            </w:r>
            <w:r>
              <w:rPr>
                <w:rFonts w:ascii="Times New Roman" w:hAnsi="Times New Roman" w:eastAsia="宋体" w:cs="Times New Roman"/>
                <w:sz w:val="24"/>
              </w:rPr>
            </w:r>
            <w:r/>
          </w:p>
        </w:tc>
        <w:tc>
          <w:tcPr>
            <w:tcW w:w="110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bl>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注：1.特级单价不得高于8</w:t>
      </w:r>
      <w:bookmarkStart w:id="765" w:name="OLE_LINK4"/>
      <w:r/>
      <w:bookmarkStart w:id="766" w:name="OLE_LINK5"/>
      <w:r>
        <w:rPr>
          <w:rFonts w:ascii="Times New Roman" w:hAnsi="Times New Roman" w:eastAsia="宋体" w:cs="Times New Roman"/>
          <w:color w:val="000000"/>
          <w:sz w:val="24"/>
        </w:rPr>
        <w:t xml:space="preserve">元/平方米</w:t>
      </w:r>
      <w:bookmarkEnd w:id="765"/>
      <w:r/>
      <w:bookmarkEnd w:id="766"/>
      <w:r>
        <w:rPr>
          <w:rFonts w:ascii="Times New Roman" w:hAnsi="Times New Roman" w:eastAsia="宋体" w:cs="Times New Roman"/>
          <w:color w:val="000000"/>
          <w:sz w:val="24"/>
        </w:rPr>
        <w:t xml:space="preserve">，一级单价不得高于6元/平方米，二级单价不得高于5元/平方米，三级单价不得高于4元/平方米，四级单价不得高于2.5元/平方米，苗圃单价不高于1.5元/平方米，闲置地块单价不高于0.7元/平方米。数量以实际管护为准。</w:t>
      </w:r>
      <w:r>
        <w:rPr>
          <w:rFonts w:ascii="Times New Roman" w:hAnsi="Times New Roman" w:eastAsia="宋体" w:cs="Times New Roman"/>
          <w:color w:val="000000"/>
          <w:sz w:val="24"/>
        </w:rPr>
      </w:r>
      <w:r/>
    </w:p>
    <w:p>
      <w:pPr>
        <w:pStyle w:val="775"/>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2.报价含人工、绿化修剪、零星补种、病虫害防治、施肥、巡查车辆、浇水车、清运垃圾、登高车、管理费、利润及税金等所有费用。</w:t>
      </w:r>
      <w:r>
        <w:rPr>
          <w:rFonts w:ascii="Times New Roman" w:hAnsi="Times New Roman" w:eastAsia="宋体" w:cs="Times New Roman"/>
          <w:color w:val="000000"/>
          <w:sz w:val="24"/>
        </w:rPr>
      </w:r>
      <w:r/>
    </w:p>
    <w:p>
      <w:pPr>
        <w:pStyle w:val="775"/>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3.本表行数可以按照项目分项情况增加。</w:t>
      </w:r>
      <w:r>
        <w:rPr>
          <w:rFonts w:ascii="Times New Roman" w:hAnsi="Times New Roman" w:eastAsia="宋体" w:cs="Times New Roman"/>
          <w:color w:val="000000"/>
          <w:sz w:val="24"/>
          <w:highlight w:val="none"/>
        </w:rPr>
      </w:r>
      <w:r/>
    </w:p>
    <w:p>
      <w:pPr>
        <w:pStyle w:val="775"/>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4.上述各项的详细规格、技术参数如表格中填写不下的，可以逐项另页描述。</w:t>
      </w:r>
      <w:r>
        <w:rPr>
          <w:rFonts w:ascii="Times New Roman" w:hAnsi="Times New Roman" w:eastAsia="宋体" w:cs="Times New Roman"/>
          <w:color w:val="000000"/>
          <w:sz w:val="24"/>
          <w:highlight w:val="none"/>
        </w:rPr>
      </w:r>
      <w:r/>
    </w:p>
    <w:p>
      <w:pPr>
        <w:pStyle w:val="775"/>
        <w:ind w:firstLine="482"/>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b/>
          <w:bCs/>
          <w:sz w:val="24"/>
          <w:highlight w:val="none"/>
        </w:rPr>
        <w:t xml:space="preserve">5.2026年7月1日-2026年12月31日的金额按一年金额*50%计算</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rPr>
      </w:r>
      <w:r/>
    </w:p>
    <w:p>
      <w:pPr>
        <w:pStyle w:val="775"/>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w:t>
      </w:r>
      <w:r>
        <w:rPr>
          <w:rFonts w:ascii="Times New Roman" w:hAnsi="Times New Roman" w:eastAsia="宋体" w:cs="Times New Roman"/>
          <w:color w:val="000000"/>
          <w:sz w:val="24"/>
          <w:szCs w:val="20"/>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r>
      <w:r/>
    </w:p>
    <w:p>
      <w:pPr>
        <w:pStyle w:val="775"/>
        <w:jc w:val="center"/>
        <w:spacing w:line="360" w:lineRule="exact"/>
        <w:rPr>
          <w:rFonts w:ascii="Times New Roman" w:hAnsi="Times New Roman" w:eastAsia="宋体" w:cs="Times New Roman"/>
          <w:b/>
          <w:color w:val="000000"/>
          <w:sz w:val="36"/>
          <w:szCs w:val="36"/>
        </w:rPr>
        <w:sectPr>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cs="Times New Roman"/>
          <w:b/>
          <w:color w:val="000000"/>
          <w:sz w:val="36"/>
          <w:szCs w:val="36"/>
        </w:rPr>
      </w:r>
      <w:r/>
    </w:p>
    <w:p>
      <w:pPr>
        <w:pStyle w:val="775"/>
        <w:jc w:val="center"/>
        <w:spacing w:line="360" w:lineRule="exact"/>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t xml:space="preserve">分项报价表（公园养护）</w:t>
      </w:r>
      <w:r>
        <w:rPr>
          <w:rFonts w:ascii="Times New Roman" w:hAnsi="Times New Roman" w:eastAsia="宋体" w:cs="Times New Roman"/>
          <w:b/>
          <w:color w:val="000000"/>
          <w:sz w:val="36"/>
          <w:szCs w:val="36"/>
          <w:highlight w:val="none"/>
        </w:rPr>
      </w:r>
      <w:r/>
    </w:p>
    <w:p>
      <w:pPr>
        <w:pStyle w:val="775"/>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项目编号：_____________________     项目名称：_______________________</w:t>
      </w:r>
      <w:r>
        <w:rPr>
          <w:rFonts w:ascii="Times New Roman" w:hAnsi="Times New Roman" w:eastAsia="宋体" w:cs="Times New Roman"/>
          <w:color w:val="000000"/>
          <w:sz w:val="24"/>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tbl>
      <w:tblPr>
        <w:tblW w:w="98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162"/>
        <w:gridCol w:w="2104"/>
        <w:gridCol w:w="945"/>
        <w:gridCol w:w="705"/>
        <w:gridCol w:w="1080"/>
        <w:gridCol w:w="1470"/>
        <w:gridCol w:w="847"/>
        <w:gridCol w:w="810"/>
      </w:tblGrid>
      <w:tr>
        <w:trPr>
          <w:cantSplit/>
          <w:trHeight w:val="283"/>
        </w:trPr>
        <w:tc>
          <w:tcPr>
            <w:tcW w:w="705" w:type="dxa"/>
            <w:vAlign w:val="center"/>
            <w:vMerge w:val="restart"/>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序号</w:t>
            </w:r>
            <w:r>
              <w:rPr>
                <w:rFonts w:ascii="Times New Roman" w:hAnsi="Times New Roman" w:eastAsia="宋体" w:cs="Times New Roman"/>
                <w:szCs w:val="21"/>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公园名称</w:t>
            </w:r>
            <w:r>
              <w:rPr>
                <w:rFonts w:ascii="Times New Roman" w:hAnsi="Times New Roman" w:eastAsia="宋体" w:cs="Times New Roman"/>
                <w:szCs w:val="21"/>
              </w:rPr>
            </w:r>
            <w:r/>
          </w:p>
        </w:tc>
        <w:tc>
          <w:tcPr>
            <w:tcW w:w="2104" w:type="dxa"/>
            <w:vAlign w:val="center"/>
            <w:vMerge w:val="restart"/>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服务内容</w:t>
            </w:r>
            <w:r>
              <w:rPr>
                <w:rFonts w:ascii="Times New Roman" w:hAnsi="Times New Roman" w:eastAsia="宋体" w:cs="Times New Roman"/>
                <w:szCs w:val="21"/>
              </w:rPr>
            </w:r>
            <w:r/>
          </w:p>
        </w:tc>
        <w:tc>
          <w:tcPr>
            <w:tcW w:w="945" w:type="dxa"/>
            <w:vAlign w:val="center"/>
            <w:vMerge w:val="restart"/>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数量</w:t>
            </w:r>
            <w:r>
              <w:rPr>
                <w:rFonts w:ascii="Times New Roman" w:hAnsi="Times New Roman" w:eastAsia="宋体" w:cs="Times New Roman"/>
                <w:szCs w:val="21"/>
              </w:rPr>
            </w:r>
            <w:r/>
          </w:p>
        </w:tc>
        <w:tc>
          <w:tcPr>
            <w:tcW w:w="705" w:type="dxa"/>
            <w:vAlign w:val="center"/>
            <w:vMerge w:val="restart"/>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单位</w:t>
            </w:r>
            <w:r>
              <w:rPr>
                <w:rFonts w:ascii="Times New Roman" w:hAnsi="Times New Roman" w:eastAsia="宋体" w:cs="Times New Roman"/>
                <w:szCs w:val="21"/>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小计最高限价</w:t>
            </w:r>
            <w:r>
              <w:rPr>
                <w:rFonts w:ascii="Times New Roman" w:hAnsi="Times New Roman" w:eastAsia="宋体" w:cs="Times New Roman"/>
                <w:szCs w:val="21"/>
              </w:rPr>
            </w:r>
            <w:r/>
          </w:p>
        </w:tc>
        <w:tc>
          <w:tcPr>
            <w:tcW w:w="1470" w:type="dxa"/>
            <w:vAlign w:val="center"/>
            <w:vMerge w:val="restart"/>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分项最高限价</w:t>
            </w:r>
            <w:r>
              <w:rPr>
                <w:rFonts w:ascii="Times New Roman" w:hAnsi="Times New Roman" w:eastAsia="宋体" w:cs="Times New Roman"/>
                <w:szCs w:val="21"/>
              </w:rPr>
            </w:r>
            <w:r/>
          </w:p>
        </w:tc>
        <w:tc>
          <w:tcPr>
            <w:gridSpan w:val="2"/>
            <w:tcW w:w="1657" w:type="dxa"/>
            <w:vAlign w:val="center"/>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报价（元/年）</w:t>
            </w:r>
            <w:r>
              <w:rPr>
                <w:rFonts w:ascii="Times New Roman" w:hAnsi="Times New Roman" w:eastAsia="宋体" w:cs="Times New Roman"/>
                <w:szCs w:val="21"/>
              </w:rPr>
            </w:r>
            <w:r/>
          </w:p>
        </w:tc>
      </w:tr>
      <w:tr>
        <w:trPr>
          <w:cantSplit/>
          <w:trHeight w:val="285"/>
        </w:trPr>
        <w:tc>
          <w:tcPr>
            <w:tcW w:w="705" w:type="dxa"/>
            <w:vAlign w:val="center"/>
            <w:vMerge w:val="continue"/>
            <w:textDirection w:val="lrTb"/>
            <w:noWrap w:val="false"/>
          </w:tcPr>
          <w:p>
            <w:pPr>
              <w:pStyle w:val="775"/>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W w:w="1162" w:type="dxa"/>
            <w:vAlign w:val="center"/>
            <w:vMerge w:val="continue"/>
            <w:textDirection w:val="lrTb"/>
            <w:noWrap w:val="false"/>
          </w:tcPr>
          <w:p>
            <w:pPr>
              <w:pStyle w:val="775"/>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W w:w="2104" w:type="dxa"/>
            <w:vAlign w:val="center"/>
            <w:vMerge w:val="continue"/>
            <w:textDirection w:val="lrTb"/>
            <w:noWrap w:val="false"/>
          </w:tcPr>
          <w:p>
            <w:pPr>
              <w:pStyle w:val="775"/>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W w:w="945" w:type="dxa"/>
            <w:vAlign w:val="center"/>
            <w:vMerge w:val="continue"/>
            <w:textDirection w:val="lrTb"/>
            <w:noWrap w:val="false"/>
          </w:tcPr>
          <w:p>
            <w:pPr>
              <w:pStyle w:val="775"/>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W w:w="705" w:type="dxa"/>
            <w:vAlign w:val="center"/>
            <w:vMerge w:val="continue"/>
            <w:textDirection w:val="lrTb"/>
            <w:noWrap w:val="false"/>
          </w:tcPr>
          <w:p>
            <w:pPr>
              <w:pStyle w:val="775"/>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W w:w="1470" w:type="dxa"/>
            <w:vAlign w:val="center"/>
            <w:vMerge w:val="continue"/>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W w:w="847" w:type="dxa"/>
            <w:vAlign w:val="center"/>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单价</w:t>
            </w:r>
            <w:r>
              <w:rPr>
                <w:rFonts w:ascii="Times New Roman" w:hAnsi="Times New Roman" w:eastAsia="宋体" w:cs="Times New Roman"/>
                <w:szCs w:val="21"/>
              </w:rPr>
            </w:r>
            <w:r/>
          </w:p>
        </w:tc>
        <w:tc>
          <w:tcPr>
            <w:tcW w:w="810" w:type="dxa"/>
            <w:vAlign w:val="center"/>
            <w:textDirection w:val="lrTb"/>
            <w:noWrap w:val="false"/>
          </w:tcPr>
          <w:p>
            <w:pPr>
              <w:pStyle w:val="775"/>
              <w:jc w:val="center"/>
              <w:widowControl/>
              <w:rPr>
                <w:rFonts w:ascii="Times New Roman" w:hAnsi="Times New Roman" w:eastAsia="宋体" w:cs="Times New Roman"/>
                <w:szCs w:val="21"/>
              </w:rPr>
            </w:pPr>
            <w:r>
              <w:rPr>
                <w:rFonts w:ascii="Times New Roman" w:hAnsi="Times New Roman" w:eastAsia="宋体" w:cs="Times New Roman"/>
                <w:szCs w:val="21"/>
              </w:rPr>
              <w:t xml:space="preserve">合价</w:t>
            </w:r>
            <w:r>
              <w:rPr>
                <w:rFonts w:ascii="Times New Roman" w:hAnsi="Times New Roman" w:eastAsia="宋体" w:cs="Times New Roman"/>
                <w:szCs w:val="21"/>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高铁生态公园（总面积35万平方米）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254000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4929884.28元/年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8元/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67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保洁及秩序维护（总人次不少于48人）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2477537.28元/项</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水域养护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40347</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水电费</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200000</w:t>
            </w:r>
            <w:r>
              <w:rPr>
                <w:rFonts w:ascii="Times New Roman" w:hAnsi="Times New Roman" w:eastAsia="宋体" w:cs="Times New Roman"/>
                <w:color w:val="000000"/>
                <w:szCs w:val="21"/>
                <w:highlight w:val="none"/>
                <w:lang w:bidi="ar"/>
              </w:rPr>
              <w:t xml:space="preserve">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设备设施维护维修（含龙须路口袋公园体育游乐设施维保）</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180000</w:t>
            </w:r>
            <w:r>
              <w:rPr>
                <w:rFonts w:ascii="Times New Roman" w:hAnsi="Times New Roman" w:eastAsia="宋体" w:cs="Times New Roman"/>
                <w:color w:val="000000"/>
                <w:szCs w:val="21"/>
                <w:highlight w:val="none"/>
                <w:lang w:bidi="ar"/>
              </w:rPr>
              <w:t xml:space="preserve">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报价小计1</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光伏产业公园（总面积20万平方米）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150000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2186598.48元/年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保洁及秩序维护（总人次不少于18人）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929076.48元/项</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水域养护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17522</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报价小计2</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市民广场（总面积9.8万平方米）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58200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1249768.96元/年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保洁及秩序维护（总人次不少于11人）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567768.96元/项 </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大剧院水池清理</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50000 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报价小计3</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新景运动公园（总面积6万平方米）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47000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917307.52元/年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保洁及秩序维护（总人次不少于7人）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361307.52元/项 </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180000元/项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报价小计4</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世茂绿地（总面积17.3万平方米）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71200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1164956.24元/年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保洁及秩序维护（总人次不少于9人）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464538.24元/项</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水域养护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80818</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 w:val="21"/>
                <w:szCs w:val="21"/>
                <w:highlight w:val="none"/>
                <w:lang w:bidi="ar"/>
              </w:rPr>
              <w:t xml:space="preserve">1</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报价小计5</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祥龙绿地（总面积6.8万平方米）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52000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780692.16元/年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保洁及秩序维护（总人次不少于6人）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309692.16元/项</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电费</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15000元/项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报价小计6</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紫藤公园（总面积3.56万平方米）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30800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566092.16元/年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保洁及秩序维护（总人次不少于6人）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309692.16元/项</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报价小计7</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8</w:t>
            </w: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智汇公园（总面积1.5万平方米）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10600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299646.08元/年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保洁及秩序维护（总人次不少于3人）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154846.08元/项</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报价小计8</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w:t>
            </w:r>
            <w:r>
              <w:rPr>
                <w:rFonts w:ascii="Times New Roman" w:hAnsi="Times New Roman" w:eastAsia="宋体" w:cs="Times New Roman"/>
                <w:color w:val="000000"/>
                <w:szCs w:val="21"/>
                <w:highlight w:val="none"/>
              </w:rPr>
            </w:r>
            <w:r/>
          </w:p>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restart"/>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高铁小游园（总面积6.54万平方米）</w:t>
            </w: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绿化养护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54600</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center"/>
            <w:vMerge w:val="restart"/>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711932.68元/年</w:t>
            </w: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保洁及秩序维护（总人次不少于5人）</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258076.80元/项</w:t>
            </w:r>
            <w:r>
              <w:rPr>
                <w:rFonts w:ascii="Times New Roman" w:hAnsi="Times New Roman" w:eastAsia="宋体" w:cs="Times New Roman"/>
                <w:color w:val="000000"/>
                <w:szCs w:val="21"/>
                <w:highlight w:val="none"/>
                <w:lang w:bidi="ar"/>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水域养护</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7055.88</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lang w:bidi="ar"/>
              </w:rPr>
              <w:t xml:space="preserve">㎡</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tcW w:w="705" w:type="dxa"/>
            <w:vAlign w:val="center"/>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2" w:type="dxa"/>
            <w:vAlign w:val="center"/>
            <w:vMerge w:val="continue"/>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c>
        <w:tc>
          <w:tcPr>
            <w:tcW w:w="2104"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设备设施维护维修</w:t>
            </w:r>
            <w:r>
              <w:rPr>
                <w:rFonts w:ascii="Times New Roman" w:hAnsi="Times New Roman" w:eastAsia="宋体" w:cs="Times New Roman"/>
                <w:color w:val="000000"/>
                <w:szCs w:val="21"/>
                <w:highlight w:val="none"/>
              </w:rPr>
            </w:r>
            <w:r/>
          </w:p>
        </w:tc>
        <w:tc>
          <w:tcPr>
            <w:tcW w:w="94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w:t>
            </w:r>
            <w:r>
              <w:rPr>
                <w:rFonts w:ascii="Times New Roman" w:hAnsi="Times New Roman" w:eastAsia="宋体" w:cs="Times New Roman"/>
                <w:color w:val="000000"/>
                <w:szCs w:val="21"/>
                <w:highlight w:val="none"/>
              </w:rPr>
            </w:r>
            <w:r/>
          </w:p>
        </w:tc>
        <w:tc>
          <w:tcPr>
            <w:tcW w:w="705"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项</w:t>
            </w:r>
            <w:r>
              <w:rPr>
                <w:rFonts w:ascii="Times New Roman" w:hAnsi="Times New Roman" w:eastAsia="宋体" w:cs="Times New Roman"/>
                <w:color w:val="000000"/>
                <w:szCs w:val="21"/>
                <w:highlight w:val="none"/>
              </w:rPr>
            </w:r>
            <w:r/>
          </w:p>
        </w:tc>
        <w:tc>
          <w:tcPr>
            <w:tcW w:w="1080" w:type="dxa"/>
            <w:vAlign w:val="top"/>
            <w:vMerge w:val="continue"/>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7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10000元/项</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10"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报价小计9</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一年总价（小计1-9合计）</w:t>
            </w:r>
            <w:r>
              <w:rPr>
                <w:rFonts w:ascii="Times New Roman" w:hAnsi="Times New Roman" w:eastAsia="宋体" w:cs="Times New Roman"/>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80"/>
        </w:trPr>
        <w:tc>
          <w:tcPr>
            <w:gridSpan w:val="8"/>
            <w:tcW w:w="9018" w:type="dxa"/>
            <w:vAlign w:val="center"/>
            <w:textDirection w:val="lrTb"/>
            <w:noWrap w:val="false"/>
          </w:tcPr>
          <w:p>
            <w:pPr>
              <w:pStyle w:val="775"/>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两年半（2026年7月1日-2028年12月31日）总价</w:t>
            </w:r>
            <w:r>
              <w:rPr>
                <w:rFonts w:ascii="Times New Roman" w:hAnsi="Times New Roman" w:eastAsia="宋体" w:cs="Times New Roman"/>
                <w:b/>
                <w:bCs/>
                <w:color w:val="000000"/>
                <w:szCs w:val="21"/>
                <w:highlight w:val="none"/>
              </w:rPr>
            </w:r>
            <w:r/>
          </w:p>
        </w:tc>
        <w:tc>
          <w:tcPr>
            <w:tcW w:w="810" w:type="dxa"/>
            <w:vAlign w:val="top"/>
            <w:textDirection w:val="lrTb"/>
            <w:noWrap w:val="false"/>
          </w:tcPr>
          <w:p>
            <w:pPr>
              <w:pStyle w:val="775"/>
              <w:jc w:val="cente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bl>
    <w:p>
      <w:pPr>
        <w:pStyle w:val="775"/>
        <w:jc w:val="left"/>
        <w:tabs>
          <w:tab w:val="left" w:pos="1800" w:leader="none"/>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1.每个公园的报价均不得超过该公园的最高限价，其中水电费及设备设施维护维修费用为按项包干。</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2.以上各公园费用含人员和设备费用、垃圾清运费、维修费、管理费、税金及利润等所有费用。按常州市最低工资每人</w:t>
      </w:r>
      <w:r>
        <w:rPr>
          <w:rFonts w:hint="eastAsia" w:ascii="宋体" w:hAnsi="宋体" w:eastAsia="宋体" w:cs="宋体"/>
          <w:color w:val="000000"/>
          <w:sz w:val="24"/>
          <w:highlight w:val="none"/>
        </w:rPr>
        <w:t xml:space="preserve">·</w:t>
      </w:r>
      <w:r>
        <w:rPr>
          <w:rFonts w:ascii="Times New Roman" w:hAnsi="Times New Roman" w:eastAsia="宋体" w:cs="Times New Roman"/>
          <w:color w:val="000000"/>
          <w:sz w:val="24"/>
          <w:highlight w:val="none"/>
        </w:rPr>
        <w:t xml:space="preserve">月。</w:t>
      </w:r>
      <w:r>
        <w:rPr>
          <w:rFonts w:hint="eastAsia" w:ascii="Times New Roman" w:hAnsi="Times New Roman" w:eastAsia="宋体" w:cs="Times New Roman"/>
          <w:color w:val="000000"/>
          <w:sz w:val="24"/>
          <w:highlight w:val="none"/>
          <w:lang w:val="en-US" w:eastAsia="zh-CN"/>
        </w:rPr>
        <w:t xml:space="preserve">成交供应商</w:t>
      </w:r>
      <w:r>
        <w:rPr>
          <w:rFonts w:ascii="Times New Roman" w:hAnsi="Times New Roman" w:eastAsia="宋体" w:cs="Times New Roman"/>
          <w:color w:val="000000"/>
          <w:sz w:val="24"/>
          <w:highlight w:val="none"/>
        </w:rPr>
        <w:t xml:space="preserve">应按国家政策签订劳动合同，缴纳相关社保费用，如遇政策调整，自行承担。</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3.设备设施维护维修的内容包括且不限于以下：</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（1）铺装、路面、道板、构筑物立面零件、集水井盖板、围栏、栏杆、座椅、垃圾箱等基础设施破损缺失维修更换；</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（2）体育健身、游乐器材设施损坏零星维修；</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（3）公厕内感应器、水龙头、便池等设施故障维修更换；</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（4）管理用房外立面、门窗、防水等设施维修；</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（5）供水、消防等管道渗漏维修；</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（6）消防栓、灭火器、防火门、感应器等消防设施维修更换；</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highlight w:val="none"/>
        </w:rPr>
        <w:t xml:space="preserve">（7）监控等电子设备设施零星维修。</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4.本表行数可以按照项目分项情况增加。</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5.上述各项的详细规格、技术参数如表格中填写不下的，可以逐项另页描述。</w:t>
      </w:r>
      <w:r>
        <w:rPr>
          <w:rFonts w:ascii="Times New Roman" w:hAnsi="Times New Roman" w:eastAsia="宋体" w:cs="Times New Roman"/>
          <w:color w:val="000000"/>
          <w:sz w:val="24"/>
          <w:highlight w:val="none"/>
        </w:rPr>
      </w:r>
      <w:r/>
    </w:p>
    <w:p>
      <w:pPr>
        <w:pStyle w:val="775"/>
        <w:ind w:firstLine="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b/>
          <w:bCs/>
          <w:sz w:val="24"/>
          <w:highlight w:val="none"/>
        </w:rPr>
        <w:t xml:space="preserve">6.2026年7月1日-2026年12月31日的金额按一年金额*50%计算</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w:t>
      </w:r>
      <w:r>
        <w:rPr>
          <w:rFonts w:ascii="Times New Roman" w:hAnsi="Times New Roman" w:eastAsia="宋体" w:cs="Times New Roman"/>
          <w:color w:val="000000"/>
          <w:sz w:val="24"/>
          <w:szCs w:val="20"/>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r>
      <w:r/>
    </w:p>
    <w:p>
      <w:pPr>
        <w:pStyle w:val="775"/>
        <w:jc w:val="center"/>
        <w:spacing w:line="360" w:lineRule="exact"/>
        <w:rPr>
          <w:rFonts w:ascii="Times New Roman" w:hAnsi="Times New Roman" w:eastAsia="宋体" w:cs="Times New Roman"/>
          <w:b/>
          <w:color w:val="000000"/>
          <w:sz w:val="36"/>
          <w:szCs w:val="36"/>
        </w:rPr>
        <w:sectPr>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cs="Times New Roman"/>
          <w:b/>
          <w:color w:val="000000"/>
          <w:sz w:val="36"/>
          <w:szCs w:val="36"/>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分项报价表（雨水管道及泵站养护）</w:t>
      </w:r>
      <w:r>
        <w:rPr>
          <w:rFonts w:ascii="Times New Roman" w:hAnsi="Times New Roman" w:eastAsia="宋体" w:cs="Times New Roman"/>
          <w:b/>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项目编号：_____________________     项目名称：_______________________</w:t>
      </w:r>
      <w:r>
        <w:rPr>
          <w:rFonts w:ascii="Times New Roman" w:hAnsi="Times New Roman" w:eastAsia="宋体" w:cs="Times New Roman"/>
          <w:color w:val="000000"/>
          <w:sz w:val="24"/>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p>
      <w:pPr>
        <w:pStyle w:val="775"/>
        <w:tabs>
          <w:tab w:val="left" w:pos="1800" w:leader="none"/>
          <w:tab w:val="left" w:pos="5580" w:leader="none"/>
        </w:tabs>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（1）雨水管道</w:t>
      </w:r>
      <w:r>
        <w:rPr>
          <w:rFonts w:ascii="Times New Roman" w:hAnsi="Times New Roman" w:eastAsia="宋体" w:cs="Times New Roman"/>
          <w:b/>
          <w:color w:val="000000"/>
          <w:sz w:val="24"/>
        </w:rPr>
      </w:r>
      <w:r/>
    </w:p>
    <w:tbl>
      <w:tblPr>
        <w:tblW w:w="10094" w:type="dxa"/>
        <w:jc w:val="center"/>
        <w:tblInd w:w="-1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470"/>
        <w:gridCol w:w="2826"/>
        <w:gridCol w:w="1331"/>
        <w:gridCol w:w="708"/>
        <w:gridCol w:w="1134"/>
        <w:gridCol w:w="851"/>
        <w:gridCol w:w="827"/>
      </w:tblGrid>
      <w:tr>
        <w:trPr>
          <w:cantSplit/>
          <w:trHeight w:val="244"/>
        </w:trPr>
        <w:tc>
          <w:tcPr>
            <w:tcW w:w="947"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序号</w:t>
            </w:r>
            <w:r>
              <w:rPr>
                <w:rFonts w:ascii="Times New Roman" w:hAnsi="Times New Roman" w:eastAsia="宋体" w:cs="Times New Roman"/>
                <w:sz w:val="24"/>
              </w:rPr>
            </w:r>
            <w:r/>
          </w:p>
        </w:tc>
        <w:tc>
          <w:tcPr>
            <w:tcW w:w="1470"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分项名称</w:t>
            </w:r>
            <w:r>
              <w:rPr>
                <w:rFonts w:ascii="Times New Roman" w:hAnsi="Times New Roman" w:eastAsia="宋体" w:cs="Times New Roman"/>
                <w:sz w:val="24"/>
              </w:rPr>
            </w:r>
            <w:r/>
          </w:p>
        </w:tc>
        <w:tc>
          <w:tcPr>
            <w:tcW w:w="2826"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服务内容</w:t>
            </w:r>
            <w:r>
              <w:rPr>
                <w:rFonts w:ascii="Times New Roman" w:hAnsi="Times New Roman" w:eastAsia="宋体" w:cs="Times New Roman"/>
                <w:sz w:val="24"/>
              </w:rPr>
            </w:r>
            <w:r/>
          </w:p>
        </w:tc>
        <w:tc>
          <w:tcPr>
            <w:tcW w:w="1331"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数量</w:t>
            </w:r>
            <w:r>
              <w:rPr>
                <w:rFonts w:ascii="Times New Roman" w:hAnsi="Times New Roman" w:eastAsia="宋体" w:cs="Times New Roman"/>
                <w:sz w:val="24"/>
              </w:rPr>
            </w:r>
            <w:r/>
          </w:p>
        </w:tc>
        <w:tc>
          <w:tcPr>
            <w:tcW w:w="708"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单位</w:t>
            </w:r>
            <w:r>
              <w:rPr>
                <w:rFonts w:ascii="Times New Roman" w:hAnsi="Times New Roman" w:eastAsia="宋体" w:cs="Times New Roman"/>
                <w:sz w:val="24"/>
              </w:rPr>
            </w:r>
            <w:r/>
          </w:p>
        </w:tc>
        <w:tc>
          <w:tcPr>
            <w:tcW w:w="1134" w:type="dxa"/>
            <w:vAlign w:val="center"/>
            <w:vMerge w:val="restart"/>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单价限价（元/米/年）</w:t>
            </w:r>
            <w:r>
              <w:rPr>
                <w:rFonts w:ascii="Times New Roman" w:hAnsi="Times New Roman" w:eastAsia="宋体" w:cs="Times New Roman"/>
                <w:sz w:val="24"/>
              </w:rPr>
            </w:r>
            <w:r/>
          </w:p>
        </w:tc>
        <w:tc>
          <w:tcPr>
            <w:gridSpan w:val="2"/>
            <w:tcW w:w="1678"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报价（元/年）</w:t>
            </w:r>
            <w:r>
              <w:rPr>
                <w:rFonts w:ascii="Times New Roman" w:hAnsi="Times New Roman" w:eastAsia="宋体" w:cs="Times New Roman"/>
                <w:sz w:val="24"/>
              </w:rPr>
            </w:r>
            <w:r/>
          </w:p>
        </w:tc>
      </w:tr>
      <w:tr>
        <w:trPr>
          <w:cantSplit/>
          <w:trHeight w:val="244"/>
        </w:trPr>
        <w:tc>
          <w:tcPr>
            <w:tcW w:w="947"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1470"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2826"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1331"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708" w:type="dxa"/>
            <w:vAlign w:val="center"/>
            <w:vMerge w:val="continue"/>
            <w:textDirection w:val="lrTb"/>
            <w:noWrap w:val="false"/>
          </w:tcPr>
          <w:p>
            <w:pPr>
              <w:pStyle w:val="775"/>
              <w:jc w:val="left"/>
              <w:widowControl/>
              <w:rPr>
                <w:rFonts w:ascii="Times New Roman" w:hAnsi="Times New Roman" w:eastAsia="宋体" w:cs="Times New Roman"/>
                <w:sz w:val="24"/>
              </w:rPr>
            </w:pPr>
            <w:r>
              <w:rPr>
                <w:rFonts w:ascii="Times New Roman" w:hAnsi="Times New Roman" w:eastAsia="宋体" w:cs="Times New Roman"/>
                <w:sz w:val="24"/>
              </w:rPr>
            </w:r>
            <w:r/>
          </w:p>
        </w:tc>
        <w:tc>
          <w:tcPr>
            <w:tcW w:w="1134" w:type="dxa"/>
            <w:vAlign w:val="center"/>
            <w:vMerge w:val="continue"/>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85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单价</w:t>
            </w:r>
            <w:r>
              <w:rPr>
                <w:rFonts w:ascii="Times New Roman" w:hAnsi="Times New Roman" w:eastAsia="宋体" w:cs="Times New Roman"/>
                <w:sz w:val="24"/>
              </w:rPr>
            </w:r>
            <w:r/>
          </w:p>
        </w:tc>
        <w:tc>
          <w:tcPr>
            <w:tcW w:w="82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合价</w:t>
            </w:r>
            <w:r>
              <w:rPr>
                <w:rFonts w:ascii="Times New Roman" w:hAnsi="Times New Roman" w:eastAsia="宋体" w:cs="Times New Roman"/>
                <w:sz w:val="24"/>
              </w:rPr>
            </w:r>
            <w:r/>
          </w:p>
        </w:tc>
      </w:tr>
      <w:tr>
        <w:trPr>
          <w:trHeight w:val="1415"/>
        </w:trPr>
        <w:tc>
          <w:tcPr>
            <w:tcW w:w="94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r>
            <w:r/>
          </w:p>
        </w:tc>
        <w:tc>
          <w:tcPr>
            <w:tcW w:w="1470"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b/>
                <w:bCs/>
                <w:sz w:val="24"/>
              </w:rPr>
              <w:t xml:space="preserve">雨水管道日常养护</w:t>
            </w:r>
            <w:r>
              <w:rPr>
                <w:rFonts w:ascii="Times New Roman" w:hAnsi="Times New Roman" w:eastAsia="宋体" w:cs="Times New Roman"/>
                <w:b/>
                <w:bCs/>
                <w:sz w:val="24"/>
              </w:rPr>
            </w:r>
            <w:r/>
          </w:p>
        </w:tc>
        <w:tc>
          <w:tcPr>
            <w:tcW w:w="2826"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雨水管道附属的雨篦、检查井、收水支管等进行一年2遍的养护（不含主管道的CCTV疏通检测）</w:t>
            </w:r>
            <w:r>
              <w:rPr>
                <w:rFonts w:ascii="Times New Roman" w:hAnsi="Times New Roman" w:eastAsia="宋体" w:cs="Times New Roman"/>
                <w:sz w:val="24"/>
              </w:rPr>
            </w:r>
            <w:r/>
          </w:p>
        </w:tc>
        <w:tc>
          <w:tcPr>
            <w:tcW w:w="1331"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highlight w:val="none"/>
              </w:rPr>
              <w:t xml:space="preserve">567717</w:t>
            </w:r>
            <w:r>
              <w:rPr>
                <w:rFonts w:ascii="Times New Roman" w:hAnsi="Times New Roman" w:eastAsia="宋体" w:cs="Times New Roman"/>
                <w:sz w:val="24"/>
              </w:rPr>
              <w:t xml:space="preserve">*2</w:t>
            </w:r>
            <w:r>
              <w:rPr>
                <w:rFonts w:ascii="Times New Roman" w:hAnsi="Times New Roman" w:eastAsia="宋体" w:cs="Times New Roman"/>
                <w:color w:val="000000"/>
                <w:sz w:val="22"/>
                <w:szCs w:val="22"/>
              </w:rPr>
            </w:r>
            <w:r/>
          </w:p>
        </w:tc>
        <w:tc>
          <w:tcPr>
            <w:tcW w:w="708"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米</w:t>
            </w:r>
            <w:r>
              <w:rPr>
                <w:rFonts w:ascii="Times New Roman" w:hAnsi="Times New Roman" w:eastAsia="宋体" w:cs="Times New Roman"/>
                <w:sz w:val="24"/>
              </w:rPr>
            </w:r>
            <w:r/>
          </w:p>
        </w:tc>
        <w:tc>
          <w:tcPr>
            <w:tcW w:w="113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3.69</w:t>
            </w:r>
            <w:r>
              <w:rPr>
                <w:rFonts w:ascii="Times New Roman" w:hAnsi="Times New Roman" w:eastAsia="宋体" w:cs="Times New Roman"/>
                <w:sz w:val="24"/>
              </w:rPr>
            </w:r>
            <w:r/>
          </w:p>
        </w:tc>
        <w:tc>
          <w:tcPr>
            <w:tcW w:w="851"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82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491"/>
        </w:trPr>
        <w:tc>
          <w:tcPr>
            <w:gridSpan w:val="7"/>
            <w:tcW w:w="926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一年总价</w:t>
            </w:r>
            <w:r>
              <w:rPr>
                <w:rFonts w:ascii="Times New Roman" w:hAnsi="Times New Roman" w:eastAsia="宋体" w:cs="Times New Roman"/>
                <w:sz w:val="24"/>
              </w:rPr>
            </w:r>
            <w:r/>
          </w:p>
        </w:tc>
        <w:tc>
          <w:tcPr>
            <w:tcW w:w="82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501"/>
        </w:trPr>
        <w:tc>
          <w:tcPr>
            <w:gridSpan w:val="7"/>
            <w:tcW w:w="926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两年半（2026年7月1日-2028年12月31日）总价</w:t>
            </w:r>
            <w:r>
              <w:rPr>
                <w:rFonts w:ascii="Times New Roman" w:hAnsi="Times New Roman" w:eastAsia="宋体" w:cs="Times New Roman"/>
                <w:sz w:val="24"/>
              </w:rPr>
            </w:r>
            <w:r/>
          </w:p>
        </w:tc>
        <w:tc>
          <w:tcPr>
            <w:tcW w:w="827"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bl>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（2）辽河路、衡山路、龙江路下穿通道泵站运行维护</w:t>
      </w:r>
      <w:r>
        <w:rPr>
          <w:rFonts w:ascii="Times New Roman" w:hAnsi="Times New Roman" w:eastAsia="宋体" w:cs="Times New Roman"/>
          <w:b/>
          <w:color w:val="000000"/>
          <w:sz w:val="24"/>
        </w:rPr>
      </w:r>
      <w:r/>
    </w:p>
    <w:tbl>
      <w:tblPr>
        <w:tblW w:w="10170" w:type="dxa"/>
        <w:tblInd w:w="-584" w:type="dxa"/>
        <w:tblLayout w:type="fixed"/>
        <w:tblCellMar>
          <w:left w:w="108" w:type="dxa"/>
          <w:top w:w="0" w:type="dxa"/>
          <w:right w:w="108" w:type="dxa"/>
          <w:bottom w:w="0" w:type="dxa"/>
        </w:tblCellMar>
        <w:tblLook w:val="04A0" w:firstRow="1" w:lastRow="0" w:firstColumn="1" w:lastColumn="0" w:noHBand="0" w:noVBand="1"/>
      </w:tblPr>
      <w:tblGrid>
        <w:gridCol w:w="690"/>
        <w:gridCol w:w="630"/>
        <w:gridCol w:w="915"/>
        <w:gridCol w:w="2850"/>
        <w:gridCol w:w="690"/>
        <w:gridCol w:w="570"/>
        <w:gridCol w:w="1110"/>
        <w:gridCol w:w="1035"/>
        <w:gridCol w:w="855"/>
        <w:gridCol w:w="825"/>
      </w:tblGrid>
      <w:tr>
        <w:trPr>
          <w:trHeight w:val="914"/>
        </w:trPr>
        <w:tc>
          <w:tcPr>
            <w:tcBorders>
              <w:top w:val="single" w:color="000000" w:sz="8" w:space="0"/>
              <w:left w:val="single" w:color="000000" w:sz="8"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4" w:space="0"/>
            </w:tcBorders>
            <w:tcW w:w="630"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类别</w:t>
            </w:r>
            <w:r>
              <w:rPr>
                <w:rFonts w:ascii="Times New Roman" w:hAnsi="Times New Roman" w:eastAsia="宋体" w:cs="Times New Roman"/>
                <w:b/>
                <w:bCs/>
                <w:color w:val="000000"/>
                <w:sz w:val="24"/>
              </w:rPr>
            </w:r>
            <w:r/>
          </w:p>
        </w:tc>
        <w:tc>
          <w:tcPr>
            <w:tcBorders>
              <w:top w:val="single" w:color="000000" w:sz="8" w:space="0"/>
              <w:left w:val="none" w:color="000000" w:sz="4" w:space="0"/>
              <w:bottom w:val="single" w:color="000000" w:sz="4" w:space="0"/>
              <w:right w:val="single" w:color="000000" w:sz="4" w:space="0"/>
            </w:tcBorders>
            <w:tcW w:w="915"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4" w:space="0"/>
            </w:tcBorders>
            <w:tcW w:w="285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养护内容及要求</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单位</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数量</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年度运维单价限价（元/年）</w:t>
            </w:r>
            <w:r>
              <w:rPr>
                <w:rFonts w:ascii="Times New Roman" w:hAnsi="Times New Roman" w:eastAsia="宋体" w:cs="Times New Roman"/>
                <w:color w:val="000000"/>
                <w:sz w:val="24"/>
              </w:rPr>
            </w:r>
            <w:r/>
          </w:p>
        </w:tc>
        <w:tc>
          <w:tcPr>
            <w:tcBorders>
              <w:top w:val="single" w:color="000000" w:sz="8" w:space="0"/>
              <w:left w:val="single" w:color="000000" w:sz="4" w:space="0"/>
              <w:bottom w:val="single" w:color="000000" w:sz="4" w:space="0"/>
              <w:right w:val="single" w:color="000000" w:sz="4" w:space="0"/>
            </w:tcBorders>
            <w:tcW w:w="103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年度运维单价（元/年）</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4" w:space="0"/>
            </w:tcBorders>
            <w:tcW w:w="85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年度运维费（元/年）</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8" w:space="0"/>
            </w:tcBorders>
            <w:tcW w:w="825"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备注</w:t>
            </w:r>
            <w:r>
              <w:rPr>
                <w:rFonts w:ascii="Times New Roman" w:hAnsi="Times New Roman" w:eastAsia="宋体" w:cs="Times New Roman"/>
                <w:color w:val="000000"/>
                <w:sz w:val="24"/>
              </w:rPr>
            </w:r>
            <w:r/>
          </w:p>
        </w:tc>
      </w:tr>
      <w:tr>
        <w:trPr>
          <w:trHeight w:val="1227"/>
        </w:trPr>
        <w:tc>
          <w:tcPr>
            <w:tcBorders>
              <w:top w:val="none" w:color="000000" w:sz="4" w:space="0"/>
              <w:left w:val="single" w:color="000000" w:sz="8" w:space="0"/>
              <w:bottom w:val="single" w:color="000000" w:sz="4" w:space="0"/>
              <w:right w:val="single" w:color="000000" w:sz="4" w:space="0"/>
            </w:tcBorders>
            <w:tcW w:w="690" w:type="dxa"/>
            <w:vAlign w:val="center"/>
            <w:vMerge w:val="restart"/>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一</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定期巡检及保洁</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定期巡检</w:t>
            </w: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每周巡检1次，针对设备运行情况进行检查，做好泵站保洁工作，确保站容站貌整洁无杂物。</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5座</w:t>
            </w: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18250</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1029"/>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汛期值守人员</w:t>
            </w: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汛期5-10月份24小时值守，做好应急抢修，确保设备正常运行。</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人</w:t>
            </w: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37431.5</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596"/>
        </w:trPr>
        <w:tc>
          <w:tcPr>
            <w:gridSpan w:val="8"/>
            <w:tcBorders>
              <w:top w:val="single" w:color="000000" w:sz="4" w:space="0"/>
              <w:left w:val="single" w:color="000000" w:sz="8" w:space="0"/>
              <w:bottom w:val="single" w:color="000000" w:sz="4" w:space="0"/>
              <w:right w:val="single" w:color="000000" w:sz="4" w:space="0"/>
            </w:tcBorders>
            <w:tcW w:w="8490"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b/>
                <w:bCs/>
                <w:color w:val="000000"/>
                <w:sz w:val="24"/>
              </w:rPr>
              <w:t xml:space="preserve">小计1</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552"/>
        </w:trPr>
        <w:tc>
          <w:tcPr>
            <w:tcBorders>
              <w:top w:val="none" w:color="000000" w:sz="4" w:space="0"/>
              <w:left w:val="single" w:color="000000" w:sz="8"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4"/>
              </w:rPr>
              <w:t xml:space="preserve">二</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4"/>
              </w:rPr>
              <w:t xml:space="preserve">特种设备管理</w:t>
            </w:r>
            <w:r>
              <w:rPr>
                <w:rFonts w:ascii="Times New Roman" w:hAnsi="Times New Roman" w:eastAsia="宋体" w:cs="Times New Roman"/>
                <w:b/>
                <w:bCs/>
                <w:color w:val="000000"/>
                <w:sz w:val="22"/>
                <w:szCs w:val="22"/>
              </w:rPr>
            </w:r>
            <w:r/>
          </w:p>
        </w:tc>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4"/>
              </w:rPr>
              <w:t xml:space="preserve">户内变压器（特种设备）电试</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预防性实验：包括10kV/1000kVA以下电力变压器系统调试、10kV以下交流供电负荷隔离开关调试、10kV以下母线调试、10kV以下避雷器调试、电缆试验泄露测试、接地网调式及出具报告。</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台/年</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1466.67</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552"/>
        </w:trPr>
        <w:tc>
          <w:tcPr>
            <w:gridSpan w:val="8"/>
            <w:tcBorders>
              <w:top w:val="none" w:color="000000" w:sz="4" w:space="0"/>
              <w:left w:val="single" w:color="000000" w:sz="8" w:space="0"/>
              <w:bottom w:val="single" w:color="000000" w:sz="4" w:space="0"/>
              <w:right w:val="single" w:color="000000" w:sz="4" w:space="0"/>
            </w:tcBorders>
            <w:tcW w:w="84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b/>
                <w:bCs/>
                <w:color w:val="000000"/>
                <w:sz w:val="24"/>
              </w:rPr>
              <w:t xml:space="preserve">小计2</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552"/>
        </w:trPr>
        <w:tc>
          <w:tcPr>
            <w:tcBorders>
              <w:top w:val="none" w:color="000000" w:sz="4" w:space="0"/>
              <w:left w:val="single" w:color="000000" w:sz="8" w:space="0"/>
              <w:bottom w:val="single" w:color="000000" w:sz="4" w:space="0"/>
              <w:right w:val="single" w:color="000000" w:sz="4" w:space="0"/>
            </w:tcBorders>
            <w:tcW w:w="690" w:type="dxa"/>
            <w:vAlign w:val="center"/>
            <w:vMerge w:val="restart"/>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三</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设备定期养护</w:t>
            </w:r>
            <w:r>
              <w:rPr>
                <w:rFonts w:ascii="Times New Roman" w:hAnsi="Times New Roman" w:eastAsia="宋体" w:cs="Times New Roman"/>
                <w:b/>
                <w:bCs/>
                <w:color w:val="000000"/>
                <w:sz w:val="22"/>
                <w:szCs w:val="22"/>
              </w:rPr>
            </w:r>
            <w:r/>
          </w:p>
        </w:tc>
        <w:tc>
          <w:tcPr>
            <w:tcBorders>
              <w:top w:val="non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水泵定期保养和检查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离心泵（型号：上海上一200WQ700-11-37，6台；预防性保养，结合CJJ68-2016城镇排水管渠与泵站运行、维护及安全技术规程，每年1次：检查轴承润滑并按需加注润滑剂；检查轴封处应无积水和污垢按需添加填料；检查机、泵及管道连接螺栓紧固；检查水泵机组外表应无灰尘、油垢和锈迹按要求清洗除锈刷防腐漆；检查轴封机构、轴套、轴承等部位。</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6</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1560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4040"/>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离心泵（型号：250WQ625-4.5-18.5，2台；预防性保养，结合CJJ68-2016城镇排水管渠与泵站运行、维护及安全技术规程，每年1次：检查轴承润滑并按需加注润滑剂；检查轴封处应无积水和污垢按需添加填料；检查机、泵及管道连接螺栓紧固；检查水泵机组外表应无灰尘、油垢和锈迹按要求清洗除锈刷防腐漆；检查轴封机构、轴套、轴承等部位。</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780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90"/>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上海上一100WQ120-11-7.5，2台；；预防性保养，结合CJJ68-2016城镇排水管渠与泵站运行、维护及安全技术规程，每年1次：检查轴承润滑并按需加注润滑剂；检查轴封处应无积水和污垢按需添加填料；检查机、泵及管道连接螺栓紧固；检查水泵机组外表应无灰尘、油垢和锈迹按要求清洗除锈刷防腐漆；检查轴封机构、轴套、轴承等部位。</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559</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835"/>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上海上一100WQ108-11-5.5，3台；预防性保养，结合CJJ68-2016城镇排水管渠与泵站运行、维护及安全技术规程，每年1次：检查轴承润滑并按需加注润滑剂；检查轴封处应无积水和污垢按需添加填料；检查机、泵及管道连接螺栓紧固；检查水泵机组外表应无灰尘、油垢和锈迹按要求清洗除锈刷防腐漆；检查轴封机构、轴套、轴承等部位。</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377</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2011"/>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水泵控制柜定期保养和检查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1820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629"/>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水泵控制柜定期保养和检查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AP1[2200*800*600]预防性保养，频次每年1次：检查线路老化情况；检查螺丝是否松动；检查仪表是否正常；检查电缆和保护装置是否完好；检查设备电气性能；发生异常立即到场处置。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750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629"/>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水泵控制柜定期保养和检查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AP2[2200*1000*600/防水等级：IP65]预防性保养，频次每年1次：检查线路老化情况；检查螺丝是否松动；检查仪表是否正常；检查电缆和保护装置是否完好；检查设备电气性能；发生异常立即到场处置。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450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629"/>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水泵控制柜定期保养和检查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PLC[2200*800*600/防水等级：IP65]预防性保养，频次每年1次：检查线路老化情况；检查螺丝是否松动；检查仪表是否正常；检查电缆和保护装置是否完好；检查设备电气性能；发生异常立即到场处置。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540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629"/>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水泵辅助柜定期保养和检查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65</w:t>
            </w:r>
            <w:r>
              <w:rPr>
                <w:rFonts w:ascii="Times New Roman" w:hAnsi="Times New Roman" w:eastAsia="宋体" w:cs="Times New Roman"/>
                <w:color w:val="000000"/>
                <w:sz w:val="22"/>
                <w:szCs w:val="22"/>
              </w:rPr>
            </w:r>
            <w:r/>
          </w:p>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77"/>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闸门、蝶阀、排气阀和伸缩接头定期保养和检查（DN400)</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口径DN50-DN1500预防性保养，结合CJJ68-2016城镇排水管渠与泵站运行、维护及安全技术规程，频次每年1次：检查设备外表应无灰尘、油垢和锈迹按要求清洗除锈刷防腐漆；检查阀杆可操作性，润滑检查并按需添加润滑剂；检查紧固件。</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只</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18</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227.5</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2805"/>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闸门、蝶阀、排气阀和伸缩接头定期保养和检查(DN200)</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口径DN50-DN1500预防性保养，结合CJJ68-2016城镇排水管渠与泵站运行、维护及安全技术规程，频次每年1次：检查设备外表应无灰尘、油垢和锈迹按要求清洗除锈刷防腐漆；检查阀杆可操作性，润滑检查并按需添加润滑剂；检查紧固件。</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只</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104</w:t>
            </w:r>
            <w:r>
              <w:rPr>
                <w:rFonts w:ascii="Times New Roman" w:hAnsi="Times New Roman" w:eastAsia="宋体" w:cs="Times New Roman"/>
                <w:color w:val="000000"/>
                <w:sz w:val="22"/>
                <w:szCs w:val="22"/>
              </w:rPr>
            </w:r>
            <w:r/>
          </w:p>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3760"/>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电动单梁悬挂起重机定期保养和检查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起重机（型号：MD(1)2-12D，2台；MD(1)0.5-9D，1台）预防性保养，结合CJJ68-2016城镇排水管渠与泵站运行、维护及安全技术规程，频次每一年1次，检查吊索润滑并按需加注润滑剂；检查行走机构、承重梁外表应无灰尘、油垢和锈迹按要求清洗除锈刷防腐漆；检查电缆和保护装置是否完好；检查动作性能。</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780</w:t>
            </w:r>
            <w:r>
              <w:rPr>
                <w:rFonts w:ascii="Times New Roman" w:hAnsi="Times New Roman" w:eastAsia="宋体" w:cs="Times New Roman"/>
                <w:color w:val="000000"/>
                <w:sz w:val="22"/>
                <w:szCs w:val="22"/>
              </w:rPr>
            </w:r>
            <w:r/>
          </w:p>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195"/>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液位计</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超声波液位计</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325</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195"/>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潜水轴流泵</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型号[QZ1980-6.5-55]预防性保养，频次每年1次：检查线路老化情况；检查螺丝是否松动；检查仪表是否正常；检查电缆和保护装置是否完好；检查设备电气性能；发生异常立即到场处置。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3</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2340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195"/>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明杆铸铁镶铜闸门定期保养和检查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预防性保养，频次每年1次</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检查设备外表应无灰尘、油垢和锈迹按要求清洗除锈刷防腐漆</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检查阀杆可操作性，润滑检查并按需添加润滑剂</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检查紧固件。</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个</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3</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930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195"/>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回转式格栅除污机</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预防性保养，频次每年1次</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检查设备外表应无灰尘、油垢和锈迹按要求清洗除锈刷防腐漆</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检查阀杆可操作性，润滑检查并按需添加润滑剂</w:t>
            </w:r>
            <w:r>
              <w:rPr>
                <w:rFonts w:hint="eastAsia" w:ascii="Times New Roman" w:hAnsi="Times New Roman" w:eastAsia="宋体" w:cs="Times New Roman"/>
                <w:color w:val="000000"/>
                <w:sz w:val="22"/>
                <w:szCs w:val="22"/>
                <w:lang w:eastAsia="zh-CN" w:bidi="ar"/>
              </w:rPr>
              <w:t xml:space="preserve">；</w:t>
            </w:r>
            <w:r>
              <w:rPr>
                <w:rFonts w:ascii="Times New Roman" w:hAnsi="Times New Roman" w:eastAsia="宋体" w:cs="Times New Roman"/>
                <w:color w:val="000000"/>
                <w:sz w:val="22"/>
                <w:szCs w:val="22"/>
                <w:lang w:bidi="ar"/>
              </w:rPr>
              <w:t xml:space="preserve">检查紧固件。</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2850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195"/>
        </w:trPr>
        <w:tc>
          <w:tcPr>
            <w:tcBorders>
              <w:top w:val="non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格栅压榨机</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ø200，材质304，国产减速机</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840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496"/>
        </w:trPr>
        <w:tc>
          <w:tcPr>
            <w:gridSpan w:val="8"/>
            <w:tcBorders>
              <w:top w:val="single" w:color="000000" w:sz="4" w:space="0"/>
              <w:left w:val="single" w:color="000000" w:sz="8" w:space="0"/>
              <w:bottom w:val="single" w:color="000000" w:sz="4" w:space="0"/>
              <w:right w:val="single" w:color="000000" w:sz="4" w:space="0"/>
            </w:tcBorders>
            <w:tcW w:w="849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b/>
                <w:bCs/>
                <w:color w:val="000000"/>
                <w:sz w:val="22"/>
                <w:szCs w:val="22"/>
              </w:rPr>
              <w:t xml:space="preserve">小 计3</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　</w:t>
            </w:r>
            <w:r>
              <w:rPr>
                <w:rFonts w:ascii="Times New Roman" w:hAnsi="Times New Roman" w:eastAsia="宋体" w:cs="Times New Roman"/>
                <w:color w:val="000000"/>
                <w:sz w:val="22"/>
                <w:szCs w:val="22"/>
              </w:rPr>
            </w:r>
            <w:r/>
          </w:p>
        </w:tc>
      </w:tr>
      <w:tr>
        <w:trPr>
          <w:trHeight w:val="1492"/>
        </w:trPr>
        <w:tc>
          <w:tcPr>
            <w:tcBorders>
              <w:top w:val="none" w:color="000000" w:sz="4" w:space="0"/>
              <w:left w:val="single" w:color="000000" w:sz="8" w:space="0"/>
              <w:bottom w:val="none" w:color="000000" w:sz="4" w:space="0"/>
              <w:right w:val="single" w:color="000000" w:sz="4" w:space="0"/>
            </w:tcBorders>
            <w:tcW w:w="690"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四</w:t>
            </w:r>
            <w:r>
              <w:rPr>
                <w:rFonts w:ascii="Times New Roman" w:hAnsi="Times New Roman" w:eastAsia="宋体" w:cs="Times New Roman"/>
                <w:b/>
                <w:bCs/>
                <w:color w:val="000000"/>
                <w:sz w:val="22"/>
                <w:szCs w:val="22"/>
              </w:rPr>
            </w:r>
            <w:r/>
          </w:p>
        </w:tc>
        <w:tc>
          <w:tcPr>
            <w:tcBorders>
              <w:top w:val="none" w:color="000000" w:sz="4" w:space="0"/>
              <w:left w:val="none" w:color="000000" w:sz="4" w:space="0"/>
              <w:bottom w:val="none" w:color="000000" w:sz="4" w:space="0"/>
              <w:right w:val="single" w:color="000000" w:sz="4" w:space="0"/>
            </w:tcBorders>
            <w:tcW w:w="630"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清淤</w:t>
            </w: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泵池清淤</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2850"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每年对泵池进行1次清淤，包括淤泥外运、处置，检查构建筑物是否存在结构性问题，确保泵池无杂物。</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座</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70"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5000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103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每年清淤1次，</w:t>
            </w:r>
            <w:r>
              <w:rPr>
                <w:rFonts w:ascii="Times New Roman" w:hAnsi="Times New Roman" w:eastAsia="宋体" w:cs="Times New Roman"/>
                <w:color w:val="000000"/>
                <w:sz w:val="22"/>
                <w:szCs w:val="22"/>
              </w:rPr>
              <w:br w:type="textWrapping" w:clear="all"/>
            </w:r>
            <w:r>
              <w:rPr>
                <w:rFonts w:ascii="Times New Roman" w:hAnsi="Times New Roman" w:eastAsia="宋体" w:cs="Times New Roman"/>
                <w:color w:val="000000"/>
                <w:sz w:val="22"/>
                <w:szCs w:val="22"/>
              </w:rPr>
              <w:t xml:space="preserve">含通风等设备</w:t>
            </w:r>
            <w:r>
              <w:rPr>
                <w:rFonts w:ascii="Times New Roman" w:hAnsi="Times New Roman" w:eastAsia="宋体" w:cs="Times New Roman"/>
                <w:color w:val="000000"/>
                <w:sz w:val="22"/>
                <w:szCs w:val="22"/>
              </w:rPr>
            </w:r>
            <w:r/>
          </w:p>
        </w:tc>
      </w:tr>
      <w:tr>
        <w:trPr>
          <w:trHeight w:val="511"/>
        </w:trPr>
        <w:tc>
          <w:tcPr>
            <w:gridSpan w:val="8"/>
            <w:tcBorders>
              <w:top w:val="single" w:color="000000" w:sz="4" w:space="0"/>
              <w:left w:val="single" w:color="000000" w:sz="8" w:space="0"/>
              <w:bottom w:val="single" w:color="000000" w:sz="4" w:space="0"/>
              <w:right w:val="single" w:color="000000" w:sz="4" w:space="0"/>
            </w:tcBorders>
            <w:tcW w:w="849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b/>
                <w:bCs/>
                <w:color w:val="000000"/>
                <w:sz w:val="22"/>
                <w:szCs w:val="22"/>
              </w:rPr>
              <w:t xml:space="preserve">小 计4</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82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　</w:t>
            </w:r>
            <w:r>
              <w:rPr>
                <w:rFonts w:ascii="Times New Roman" w:hAnsi="Times New Roman" w:eastAsia="宋体" w:cs="Times New Roman"/>
                <w:color w:val="000000"/>
                <w:sz w:val="22"/>
                <w:szCs w:val="22"/>
              </w:rPr>
            </w:r>
            <w:r/>
          </w:p>
        </w:tc>
      </w:tr>
      <w:tr>
        <w:trPr>
          <w:trHeight w:val="519"/>
        </w:trPr>
        <w:tc>
          <w:tcPr>
            <w:gridSpan w:val="8"/>
            <w:tcBorders>
              <w:top w:val="single" w:color="000000" w:sz="4" w:space="0"/>
              <w:left w:val="single" w:color="000000" w:sz="8" w:space="0"/>
              <w:bottom w:val="single" w:color="000000" w:sz="4" w:space="0"/>
              <w:right w:val="single" w:color="000000" w:sz="4" w:space="0"/>
            </w:tcBorders>
            <w:tcW w:w="8490"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b/>
                <w:bCs/>
                <w:color w:val="000000"/>
                <w:sz w:val="22"/>
                <w:szCs w:val="22"/>
              </w:rPr>
              <w:t xml:space="preserve">一年总价（小计1-4合计）</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single" w:color="000000" w:sz="4" w:space="0"/>
              <w:bottom w:val="single" w:color="000000" w:sz="4" w:space="0"/>
              <w:right w:val="single" w:color="000000" w:sz="8" w:space="0"/>
            </w:tcBorders>
            <w:tcW w:w="825" w:type="dxa"/>
            <w:vAlign w:val="center"/>
            <w:textDirection w:val="lrTb"/>
            <w:noWrap/>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　</w:t>
            </w:r>
            <w:r>
              <w:rPr>
                <w:rFonts w:ascii="Times New Roman" w:hAnsi="Times New Roman" w:eastAsia="宋体" w:cs="Times New Roman"/>
                <w:color w:val="000000"/>
                <w:sz w:val="22"/>
                <w:szCs w:val="22"/>
              </w:rPr>
            </w:r>
            <w:r/>
          </w:p>
        </w:tc>
      </w:tr>
      <w:tr>
        <w:trPr>
          <w:trHeight w:val="519"/>
        </w:trPr>
        <w:tc>
          <w:tcPr>
            <w:gridSpan w:val="8"/>
            <w:tcBorders>
              <w:top w:val="single" w:color="000000" w:sz="4" w:space="0"/>
              <w:left w:val="single" w:color="000000" w:sz="8" w:space="0"/>
              <w:bottom w:val="single" w:color="000000" w:sz="8" w:space="0"/>
              <w:right w:val="single" w:color="000000" w:sz="4" w:space="0"/>
            </w:tcBorders>
            <w:tcW w:w="8490"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两年半（2026年7月1日-2028年12月31日）总价</w:t>
            </w:r>
            <w:r>
              <w:rPr>
                <w:rFonts w:ascii="Times New Roman" w:hAnsi="Times New Roman" w:eastAsia="宋体" w:cs="Times New Roman"/>
                <w:b/>
                <w:bCs/>
                <w:color w:val="000000"/>
                <w:sz w:val="22"/>
                <w:szCs w:val="22"/>
              </w:rPr>
            </w:r>
            <w:r/>
          </w:p>
        </w:tc>
        <w:tc>
          <w:tcPr>
            <w:tcBorders>
              <w:top w:val="single" w:color="000000" w:sz="4" w:space="0"/>
              <w:left w:val="none" w:color="000000" w:sz="4" w:space="0"/>
              <w:bottom w:val="single" w:color="000000" w:sz="8" w:space="0"/>
              <w:right w:val="single" w:color="000000" w:sz="4" w:space="0"/>
            </w:tcBorders>
            <w:tcW w:w="855"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single" w:color="000000" w:sz="4" w:space="0"/>
              <w:left w:val="single" w:color="000000" w:sz="4" w:space="0"/>
              <w:bottom w:val="single" w:color="000000" w:sz="8" w:space="0"/>
              <w:right w:val="single" w:color="000000" w:sz="8" w:space="0"/>
            </w:tcBorders>
            <w:tcW w:w="825" w:type="dxa"/>
            <w:vAlign w:val="center"/>
            <w:textDirection w:val="lrTb"/>
            <w:noWrap/>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bl>
    <w:p>
      <w:pPr>
        <w:pStyle w:val="775"/>
        <w:jc w:val="left"/>
        <w:tabs>
          <w:tab w:val="left" w:pos="1800" w:leader="none"/>
          <w:tab w:val="left" w:pos="5580" w:leader="none"/>
        </w:tabs>
        <w:rPr>
          <w:rFonts w:ascii="Times New Roman" w:hAnsi="Times New Roman" w:eastAsia="宋体" w:cs="Times New Roman"/>
          <w:b/>
          <w:color w:val="000000"/>
          <w:sz w:val="24"/>
        </w:rPr>
      </w:pPr>
      <w:r>
        <w:rPr>
          <w:rFonts w:ascii="Times New Roman" w:hAnsi="Times New Roman" w:eastAsia="宋体" w:cs="Times New Roman"/>
          <w:b/>
          <w:color w:val="000000"/>
          <w:sz w:val="24"/>
        </w:rPr>
      </w:r>
      <w:r/>
    </w:p>
    <w:p>
      <w:pPr>
        <w:pStyle w:val="775"/>
        <w:jc w:val="left"/>
        <w:tabs>
          <w:tab w:val="left" w:pos="1800" w:leader="none"/>
          <w:tab w:val="left" w:pos="5580" w:leader="none"/>
        </w:tabs>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（3）再生水泵站运行维护</w:t>
      </w:r>
      <w:r>
        <w:rPr>
          <w:rFonts w:ascii="Times New Roman" w:hAnsi="Times New Roman" w:eastAsia="宋体" w:cs="Times New Roman"/>
          <w:b/>
          <w:color w:val="000000"/>
          <w:sz w:val="24"/>
        </w:rPr>
      </w:r>
      <w:r/>
    </w:p>
    <w:tbl>
      <w:tblPr>
        <w:tblW w:w="5482" w:type="pct"/>
        <w:tblInd w:w="-599" w:type="dxa"/>
        <w:tblLayout w:type="fixed"/>
        <w:tblCellMar>
          <w:left w:w="108" w:type="dxa"/>
          <w:top w:w="0" w:type="dxa"/>
          <w:right w:w="108" w:type="dxa"/>
          <w:bottom w:w="0" w:type="dxa"/>
        </w:tblCellMar>
        <w:tblLook w:val="04A0" w:firstRow="1" w:lastRow="0" w:firstColumn="1" w:lastColumn="0" w:noHBand="0" w:noVBand="1"/>
      </w:tblPr>
      <w:tblGrid>
        <w:gridCol w:w="705"/>
        <w:gridCol w:w="690"/>
        <w:gridCol w:w="810"/>
        <w:gridCol w:w="2130"/>
        <w:gridCol w:w="825"/>
        <w:gridCol w:w="705"/>
        <w:gridCol w:w="1200"/>
        <w:gridCol w:w="1125"/>
        <w:gridCol w:w="1110"/>
        <w:gridCol w:w="885"/>
      </w:tblGrid>
      <w:tr>
        <w:trPr>
          <w:trHeight w:val="915"/>
        </w:trPr>
        <w:tc>
          <w:tcPr>
            <w:tcBorders>
              <w:top w:val="single" w:color="000000" w:sz="8" w:space="0"/>
              <w:left w:val="single" w:color="000000" w:sz="8"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序号</w:t>
            </w:r>
            <w:r>
              <w:rPr>
                <w:rFonts w:ascii="Times New Roman" w:hAnsi="Times New Roman" w:eastAsia="宋体" w:cs="Times New Roman"/>
                <w:b/>
                <w:bCs/>
                <w:color w:val="000000"/>
                <w:sz w:val="24"/>
              </w:rPr>
            </w:r>
            <w:r/>
          </w:p>
        </w:tc>
        <w:tc>
          <w:tcPr>
            <w:tcBorders>
              <w:top w:val="single" w:color="000000" w:sz="8" w:space="0"/>
              <w:left w:val="none" w:color="000000" w:sz="4" w:space="0"/>
              <w:bottom w:val="single" w:color="000000" w:sz="4" w:space="0"/>
              <w:right w:val="single" w:color="000000" w:sz="4" w:space="0"/>
            </w:tcBorders>
            <w:tcW w:w="338"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类别</w:t>
            </w:r>
            <w:r>
              <w:rPr>
                <w:rFonts w:ascii="Times New Roman" w:hAnsi="Times New Roman" w:eastAsia="宋体" w:cs="Times New Roman"/>
                <w:b/>
                <w:bCs/>
                <w:color w:val="000000"/>
                <w:sz w:val="24"/>
              </w:rPr>
            </w:r>
            <w:r/>
          </w:p>
        </w:tc>
        <w:tc>
          <w:tcPr>
            <w:tcBorders>
              <w:top w:val="single" w:color="000000" w:sz="8" w:space="0"/>
              <w:left w:val="none" w:color="000000" w:sz="4" w:space="0"/>
              <w:bottom w:val="single" w:color="000000" w:sz="4" w:space="0"/>
              <w:right w:val="single" w:color="000000" w:sz="4" w:space="0"/>
            </w:tcBorders>
            <w:tcW w:w="397"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项目</w:t>
            </w:r>
            <w:r>
              <w:rPr>
                <w:rFonts w:ascii="Times New Roman" w:hAnsi="Times New Roman" w:eastAsia="宋体" w:cs="Times New Roman"/>
                <w:b/>
                <w:bCs/>
                <w:color w:val="000000"/>
                <w:sz w:val="24"/>
              </w:rPr>
            </w:r>
            <w:r/>
          </w:p>
        </w:tc>
        <w:tc>
          <w:tcPr>
            <w:tcBorders>
              <w:top w:val="single" w:color="000000" w:sz="8" w:space="0"/>
              <w:left w:val="none" w:color="000000" w:sz="4" w:space="0"/>
              <w:bottom w:val="single" w:color="000000" w:sz="4" w:space="0"/>
              <w:right w:val="single" w:color="000000" w:sz="4" w:space="0"/>
            </w:tcBorders>
            <w:tcW w:w="1045"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养护内容及要求</w:t>
            </w:r>
            <w:r>
              <w:rPr>
                <w:rFonts w:ascii="Times New Roman" w:hAnsi="Times New Roman" w:eastAsia="宋体" w:cs="Times New Roman"/>
                <w:b/>
                <w:bCs/>
                <w:color w:val="000000"/>
                <w:sz w:val="24"/>
              </w:rPr>
            </w:r>
            <w:r/>
          </w:p>
        </w:tc>
        <w:tc>
          <w:tcPr>
            <w:tcBorders>
              <w:top w:val="single" w:color="000000" w:sz="8"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单位</w:t>
            </w:r>
            <w:r>
              <w:rPr>
                <w:rFonts w:ascii="Times New Roman" w:hAnsi="Times New Roman" w:eastAsia="宋体" w:cs="Times New Roman"/>
                <w:b/>
                <w:bCs/>
                <w:color w:val="000000"/>
                <w:sz w:val="24"/>
              </w:rPr>
            </w:r>
            <w:r/>
          </w:p>
        </w:tc>
        <w:tc>
          <w:tcPr>
            <w:tcBorders>
              <w:top w:val="single" w:color="000000" w:sz="8"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数量</w:t>
            </w:r>
            <w:r>
              <w:rPr>
                <w:rFonts w:ascii="Times New Roman" w:hAnsi="Times New Roman" w:eastAsia="宋体" w:cs="Times New Roman"/>
                <w:b/>
                <w:bCs/>
                <w:color w:val="000000"/>
                <w:sz w:val="24"/>
              </w:rPr>
            </w:r>
            <w:r/>
          </w:p>
        </w:tc>
        <w:tc>
          <w:tcPr>
            <w:tcBorders>
              <w:top w:val="single" w:color="000000" w:sz="8" w:space="0"/>
              <w:left w:val="none" w:color="000000" w:sz="4" w:space="0"/>
              <w:bottom w:val="single" w:color="000000" w:sz="4" w:space="0"/>
              <w:right w:val="single" w:color="000000" w:sz="4" w:space="0"/>
            </w:tcBorders>
            <w:tcW w:w="589" w:type="dxa"/>
            <w:vAlign w:val="top"/>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年度运维</w:t>
            </w:r>
            <w:r>
              <w:rPr>
                <w:rFonts w:ascii="Times New Roman" w:hAnsi="Times New Roman" w:eastAsia="宋体" w:cs="Times New Roman"/>
                <w:color w:val="000000"/>
                <w:sz w:val="24"/>
              </w:rPr>
              <w:br w:type="textWrapping" w:clear="all"/>
            </w:r>
            <w:r>
              <w:rPr>
                <w:rFonts w:ascii="Times New Roman" w:hAnsi="Times New Roman" w:eastAsia="宋体" w:cs="Times New Roman"/>
                <w:color w:val="000000"/>
                <w:sz w:val="24"/>
              </w:rPr>
              <w:t xml:space="preserve">单价限价（元/年）</w:t>
            </w:r>
            <w:r>
              <w:rPr>
                <w:rFonts w:ascii="Times New Roman" w:hAnsi="Times New Roman" w:eastAsia="宋体" w:cs="Times New Roman"/>
                <w:color w:val="000000"/>
                <w:sz w:val="24"/>
              </w:rPr>
            </w:r>
            <w:r/>
          </w:p>
        </w:tc>
        <w:tc>
          <w:tcPr>
            <w:tcBorders>
              <w:top w:val="single" w:color="000000" w:sz="8" w:space="0"/>
              <w:left w:val="single" w:color="000000" w:sz="4" w:space="0"/>
              <w:bottom w:val="single" w:color="000000" w:sz="4" w:space="0"/>
              <w:right w:val="single" w:color="000000" w:sz="4" w:space="0"/>
            </w:tcBorders>
            <w:tcW w:w="552"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年度运维单价（元/年）</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4" w:space="0"/>
            </w:tcBorders>
            <w:tcW w:w="544"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年度运维费（元/年）</w:t>
            </w:r>
            <w:r>
              <w:rPr>
                <w:rFonts w:ascii="Times New Roman" w:hAnsi="Times New Roman" w:eastAsia="宋体" w:cs="Times New Roman"/>
                <w:color w:val="000000"/>
                <w:sz w:val="24"/>
              </w:rPr>
            </w:r>
            <w:r/>
          </w:p>
        </w:tc>
        <w:tc>
          <w:tcPr>
            <w:tcBorders>
              <w:top w:val="single" w:color="000000" w:sz="8" w:space="0"/>
              <w:left w:val="none" w:color="000000" w:sz="4" w:space="0"/>
              <w:bottom w:val="single" w:color="000000" w:sz="4" w:space="0"/>
              <w:right w:val="single" w:color="000000" w:sz="8" w:space="0"/>
            </w:tcBorders>
            <w:tcW w:w="434" w:type="dxa"/>
            <w:vAlign w:val="center"/>
            <w:textDirection w:val="lrTb"/>
            <w:noWrap/>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备注</w:t>
            </w:r>
            <w:r>
              <w:rPr>
                <w:rFonts w:ascii="Times New Roman" w:hAnsi="Times New Roman" w:eastAsia="宋体" w:cs="Times New Roman"/>
                <w:b/>
                <w:bCs/>
                <w:color w:val="000000"/>
                <w:sz w:val="24"/>
              </w:rPr>
            </w:r>
            <w:r/>
          </w:p>
        </w:tc>
      </w:tr>
      <w:tr>
        <w:trPr>
          <w:trHeight w:val="1452"/>
        </w:trPr>
        <w:tc>
          <w:tcPr>
            <w:tcBorders>
              <w:top w:val="non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restart"/>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常规人员配备</w:t>
            </w: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运行工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24小时三班倒，站内值守、维持站内秩序、操作运行各类设备（除配电设备）及形成操作台账、做好交接班工作并填写交接班记录</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名/年</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56147.25</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righ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按全年9个月计算全运行</w:t>
            </w:r>
            <w:r>
              <w:rPr>
                <w:rFonts w:ascii="Times New Roman" w:hAnsi="Times New Roman" w:eastAsia="宋体" w:cs="Times New Roman"/>
                <w:color w:val="000000"/>
                <w:sz w:val="22"/>
                <w:szCs w:val="22"/>
              </w:rPr>
            </w:r>
            <w:r/>
          </w:p>
        </w:tc>
      </w:tr>
      <w:tr>
        <w:trPr>
          <w:trHeight w:val="1314"/>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高压电工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常白班，监视配电间电力设施设备运行情况，填写运行日志、监盘抄表、故障恢复、紧急事故处理。持证上岗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名/年</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78459.75</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righ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按全年9个月计算全运行</w:t>
            </w:r>
            <w:r>
              <w:rPr>
                <w:rFonts w:ascii="Times New Roman" w:hAnsi="Times New Roman" w:eastAsia="宋体" w:cs="Times New Roman"/>
                <w:color w:val="000000"/>
                <w:sz w:val="22"/>
                <w:szCs w:val="22"/>
              </w:rPr>
            </w:r>
            <w:r/>
          </w:p>
        </w:tc>
      </w:tr>
      <w:tr>
        <w:trPr>
          <w:trHeight w:val="717"/>
        </w:trPr>
        <w:tc>
          <w:tcPr>
            <w:gridSpan w:val="8"/>
            <w:tcBorders>
              <w:top w:val="single" w:color="000000" w:sz="4" w:space="0"/>
              <w:left w:val="single" w:color="000000" w:sz="8" w:space="0"/>
              <w:bottom w:val="none" w:color="000000" w:sz="4"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小计1</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2289"/>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4" w:space="0"/>
              <w:right w:val="none" w:color="000000" w:sz="4" w:space="0"/>
            </w:tcBorders>
            <w:tcW w:w="338"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2"/>
                <w:szCs w:val="22"/>
              </w:rPr>
              <w:t xml:space="preserve">定期巡检</w:t>
            </w:r>
            <w:r>
              <w:rPr>
                <w:rFonts w:ascii="Times New Roman" w:hAnsi="Times New Roman" w:eastAsia="宋体"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2"/>
                <w:szCs w:val="22"/>
              </w:rPr>
              <w:t xml:space="preserve">定期巡检</w:t>
            </w: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每周巡检1次，针对设备运行情况进行检查，做好泵站保洁工作，确保站容站貌整洁无杂物，做好设备故障维修及应急抢修事宜。</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座</w:t>
            </w: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rPr>
              <w:t xml:space="preserve">10400</w:t>
            </w: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按全年3个月计算</w:t>
            </w:r>
            <w:r>
              <w:rPr>
                <w:rFonts w:ascii="Times New Roman" w:hAnsi="Times New Roman" w:eastAsia="宋体" w:cs="Times New Roman"/>
                <w:color w:val="000000"/>
                <w:sz w:val="22"/>
                <w:szCs w:val="22"/>
              </w:rPr>
            </w:r>
            <w:r/>
          </w:p>
        </w:tc>
      </w:tr>
      <w:tr>
        <w:trPr>
          <w:trHeight w:val="717"/>
        </w:trPr>
        <w:tc>
          <w:tcPr>
            <w:gridSpan w:val="8"/>
            <w:tcBorders>
              <w:top w:val="single" w:color="000000" w:sz="4" w:space="0"/>
              <w:left w:val="single" w:color="000000" w:sz="8" w:space="0"/>
              <w:bottom w:val="single" w:color="000000" w:sz="4"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小计2</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c>
      </w:tr>
      <w:tr>
        <w:trPr>
          <w:trHeight w:val="2330"/>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w:t>
            </w: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4" w:space="0"/>
              <w:right w:val="single" w:color="000000" w:sz="4" w:space="0"/>
            </w:tcBorders>
            <w:tcW w:w="338"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特种设备管理</w:t>
            </w:r>
            <w:r>
              <w:rPr>
                <w:rFonts w:ascii="Times New Roman" w:hAnsi="Times New Roman" w:eastAsia="宋体" w:cs="Times New Roman"/>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户内变压器（特种设备）电试</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预防性实验：包括10kV/1000kVA以下电力变压器系统调试、10kV以下交流供电负荷隔离开关调试、10kV以下母线调试、10kV以下避雷器调试、电缆试验泄露测试、接地网调式及出具报告。</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台/年</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1466.67</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righ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717"/>
        </w:trPr>
        <w:tc>
          <w:tcPr>
            <w:gridSpan w:val="8"/>
            <w:tcBorders>
              <w:top w:val="single" w:color="000000" w:sz="4" w:space="0"/>
              <w:left w:val="single" w:color="000000" w:sz="8" w:space="0"/>
              <w:bottom w:val="none" w:color="000000" w:sz="4"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小计3</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c>
      </w:tr>
      <w:tr>
        <w:trPr>
          <w:trHeight w:val="410"/>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w:t>
            </w: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restart"/>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设备定期养护</w:t>
            </w:r>
            <w:r>
              <w:rPr>
                <w:rFonts w:ascii="Times New Roman" w:hAnsi="Times New Roman" w:eastAsia="宋体" w:cs="Times New Roman"/>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水泵定期保养和检查</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水泵电机+水泵 （电机型号：上海东方威尔YE2-355M-4)4台；预防性保养，结合CJJ68-2016城镇排水管渠与泵站运行、维护及安全技术规程，每年1次：检查轴承润滑并按需加注润滑剂；检查轴封处应无积水和污垢按需添加填料；检查机、泵及管道连接螺栓紧固；检查水泵机组外表应无灰尘、油垢和锈迹按要求清洗除锈刷防腐漆；检查轴封机构、轴套、轴承等部位。</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4700.00</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2133"/>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水泵控制柜定期保养和检查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3600.00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90"/>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7</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水泵控制室电源柜定期保养和检查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预防性保养，频次每年1次：检查线路老化情况；检查螺丝是否松动；检查仪表是否正常；检查电缆和保护装置是否完好；检查设备电气性能；发生异常立即到场处置。</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套</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700.00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693"/>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8</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闸门、蝶阀、排气阀和伸缩接头定期保养和检查（DN700)</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口径DN50-DN1500预防性保养，结合CJJ68-2016城镇排水管渠与泵站运行、维护及安全技术规程，频次每年1次：检查设备外表应无灰尘、油垢和锈迹按要求清洗除锈刷防腐漆；检查阀杆可操作性，润滑检查并按需添加润滑剂；检查紧固件。</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只</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16</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425.00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363"/>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9</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闸门、蝶阀、排气阀和伸缩接头定期保养和检查(DN400)</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口径DN50-DN1500预防性保养，结合CJJ68-2016城镇排水管渠与泵站运行、维护及安全技术规程，频次每年1次：检查设备外表应无灰尘、油垢和锈迹按要求清洗除锈刷防腐漆；检查阀杆可操作性，润滑检查并按需添加润滑剂；检查紧固件。</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只</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225.00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3185"/>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10</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电动单梁悬挂起重机定期保养和检查</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起重机（型号：2.95，）预防性保养，结合CJJ68-2016城镇排水管渠与泵站运行、维护及安全技术规程，频次每一年1次，检查吊索润滑并按需加注润滑剂；检查行走机构、承重梁外表应无灰尘、油垢和锈迹按要求清洗除锈刷防腐漆；检查电缆和保护装置是否完好；检查动作性能。</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1800.00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465"/>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11</w:t>
            </w:r>
            <w:r>
              <w:rPr>
                <w:rFonts w:ascii="Times New Roman" w:hAnsi="Times New Roman" w:eastAsia="宋体" w:cs="Times New Roman"/>
                <w:color w:val="000000"/>
                <w:sz w:val="24"/>
              </w:rPr>
            </w:r>
            <w:r/>
          </w:p>
        </w:tc>
        <w:tc>
          <w:tcPr>
            <w:tcBorders>
              <w:top w:val="non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775"/>
              <w:jc w:val="left"/>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流量计</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电磁流量计</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台</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2325.00</w:t>
            </w:r>
            <w:r>
              <w:rPr>
                <w:rFonts w:ascii="Times New Roman" w:hAnsi="Times New Roman" w:eastAsia="宋体" w:cs="Times New Roman"/>
                <w:color w:val="000000"/>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717"/>
        </w:trPr>
        <w:tc>
          <w:tcPr>
            <w:gridSpan w:val="8"/>
            <w:tcBorders>
              <w:top w:val="single" w:color="000000" w:sz="4" w:space="0"/>
              <w:left w:val="single" w:color="000000" w:sz="8" w:space="0"/>
              <w:bottom w:val="single" w:color="000000" w:sz="4"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小计4</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1389"/>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12</w:t>
            </w:r>
            <w:r>
              <w:rPr>
                <w:rFonts w:ascii="Times New Roman" w:hAnsi="Times New Roman" w:eastAsia="宋体" w:cs="Times New Roman"/>
                <w:color w:val="000000"/>
                <w:sz w:val="24"/>
              </w:rPr>
            </w:r>
            <w:r/>
          </w:p>
        </w:tc>
        <w:tc>
          <w:tcPr>
            <w:tcBorders>
              <w:top w:val="none" w:color="000000" w:sz="4" w:space="0"/>
              <w:left w:val="none" w:color="000000" w:sz="4" w:space="0"/>
              <w:bottom w:val="none" w:color="000000" w:sz="4" w:space="0"/>
              <w:right w:val="single" w:color="000000" w:sz="4" w:space="0"/>
            </w:tcBorders>
            <w:tcW w:w="338"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构建筑物养护</w:t>
            </w: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室内保洁</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每月一次室内保洁，检查构建筑物是否存在结构性问题，确保泵池无杂物。</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座</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w:t>
            </w: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sz w:val="22"/>
                <w:szCs w:val="22"/>
              </w:rPr>
            </w:pPr>
            <w:r>
              <w:rPr>
                <w:rFonts w:ascii="Times New Roman" w:hAnsi="Times New Roman" w:eastAsia="宋体" w:cs="Times New Roman"/>
                <w:color w:val="000000"/>
                <w:sz w:val="22"/>
                <w:szCs w:val="22"/>
              </w:rPr>
              <w:t xml:space="preserve">14400.00</w:t>
            </w:r>
            <w:r>
              <w:rPr>
                <w:rFonts w:ascii="Times New Roman" w:hAnsi="Times New Roman" w:eastAsia="宋体" w:cs="Times New Roman"/>
                <w:sz w:val="22"/>
                <w:szCs w:val="22"/>
              </w:rPr>
            </w:r>
            <w:r/>
          </w:p>
        </w:tc>
        <w:tc>
          <w:tcPr>
            <w:tcBorders>
              <w:top w:val="non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r>
      <w:tr>
        <w:trPr>
          <w:trHeight w:val="717"/>
        </w:trPr>
        <w:tc>
          <w:tcPr>
            <w:gridSpan w:val="8"/>
            <w:tcBorders>
              <w:top w:val="single" w:color="000000" w:sz="4" w:space="0"/>
              <w:left w:val="single" w:color="000000" w:sz="8" w:space="0"/>
              <w:bottom w:val="single" w:color="000000" w:sz="4"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小计5</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　</w:t>
            </w:r>
            <w:r>
              <w:rPr>
                <w:rFonts w:ascii="Times New Roman" w:hAnsi="Times New Roman" w:eastAsia="宋体" w:cs="Times New Roman"/>
                <w:color w:val="000000"/>
                <w:sz w:val="22"/>
                <w:szCs w:val="22"/>
              </w:rPr>
            </w:r>
            <w:r/>
          </w:p>
        </w:tc>
      </w:tr>
      <w:tr>
        <w:trPr>
          <w:trHeight w:val="1374"/>
        </w:trPr>
        <w:tc>
          <w:tcPr>
            <w:tcBorders>
              <w:top w:val="single" w:color="000000" w:sz="4" w:space="0"/>
              <w:left w:val="single" w:color="000000" w:sz="8" w:space="0"/>
              <w:bottom w:val="non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13</w:t>
            </w:r>
            <w:r>
              <w:rPr>
                <w:rFonts w:ascii="Times New Roman" w:hAnsi="Times New Roman" w:eastAsia="宋体" w:cs="Times New Roman"/>
                <w:color w:val="000000"/>
                <w:sz w:val="24"/>
              </w:rPr>
            </w:r>
            <w:r/>
          </w:p>
        </w:tc>
        <w:tc>
          <w:tcPr>
            <w:tcBorders>
              <w:top w:val="single" w:color="000000" w:sz="4" w:space="0"/>
              <w:left w:val="none" w:color="000000" w:sz="4" w:space="0"/>
              <w:bottom w:val="none" w:color="000000" w:sz="4" w:space="0"/>
              <w:right w:val="single" w:color="000000" w:sz="4" w:space="0"/>
            </w:tcBorders>
            <w:tcW w:w="338" w:type="dxa"/>
            <w:vAlign w:val="center"/>
            <w:textDirection w:val="lrTb"/>
            <w:noWrap w:val="false"/>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电费</w:t>
            </w:r>
            <w:r>
              <w:rPr>
                <w:rFonts w:ascii="Times New Roman" w:hAnsi="Times New Roman" w:eastAsia="宋体" w:cs="Times New Roman"/>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　</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5"/>
              <w:jc w:val="lef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再生水泵站运行维护所需要的电费。根据实际发生的费用结算</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405"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项</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1000000.00</w:t>
            </w: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1000000.00 </w:t>
            </w:r>
            <w:r>
              <w:rPr>
                <w:rFonts w:ascii="Times New Roman" w:hAnsi="Times New Roman" w:eastAsia="宋体" w:cs="Times New Roman"/>
                <w:color w:val="000000"/>
                <w:sz w:val="22"/>
                <w:szCs w:val="22"/>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1000000.00（固定金额） </w:t>
            </w:r>
            <w:r>
              <w:rPr>
                <w:rFonts w:ascii="Times New Roman" w:hAnsi="Times New Roman" w:eastAsia="宋体" w:cs="Times New Roman"/>
                <w:b/>
                <w:bCs/>
                <w:color w:val="000000"/>
                <w:sz w:val="22"/>
                <w:szCs w:val="22"/>
              </w:rPr>
            </w:r>
            <w:r/>
          </w:p>
        </w:tc>
        <w:tc>
          <w:tcPr>
            <w:tcBorders>
              <w:top w:val="singl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按实结算</w:t>
            </w:r>
            <w:r>
              <w:rPr>
                <w:rFonts w:ascii="Times New Roman" w:hAnsi="Times New Roman" w:eastAsia="宋体" w:cs="Times New Roman"/>
                <w:color w:val="000000"/>
                <w:sz w:val="22"/>
                <w:szCs w:val="22"/>
              </w:rPr>
            </w:r>
            <w:r/>
          </w:p>
        </w:tc>
      </w:tr>
      <w:tr>
        <w:trPr>
          <w:trHeight w:val="717"/>
        </w:trPr>
        <w:tc>
          <w:tcPr>
            <w:gridSpan w:val="8"/>
            <w:tcBorders>
              <w:top w:val="single" w:color="000000" w:sz="4" w:space="0"/>
              <w:left w:val="single" w:color="000000" w:sz="8" w:space="0"/>
              <w:bottom w:val="none" w:color="000000" w:sz="4"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小计6</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t xml:space="preserve">1000000.00 </w:t>
            </w: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tcPr>
          <w:p>
            <w:pPr>
              <w:pStyle w:val="775"/>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　</w:t>
            </w:r>
            <w:r>
              <w:rPr>
                <w:rFonts w:ascii="Times New Roman" w:hAnsi="Times New Roman" w:eastAsia="宋体" w:cs="Times New Roman"/>
                <w:color w:val="000000"/>
                <w:sz w:val="22"/>
                <w:szCs w:val="22"/>
              </w:rPr>
            </w:r>
            <w:r/>
          </w:p>
        </w:tc>
      </w:tr>
      <w:tr>
        <w:trPr>
          <w:trHeight w:val="717"/>
        </w:trPr>
        <w:tc>
          <w:tcPr>
            <w:gridSpan w:val="8"/>
            <w:tcBorders>
              <w:top w:val="single" w:color="000000" w:sz="4" w:space="0"/>
              <w:left w:val="single" w:color="000000" w:sz="8" w:space="0"/>
              <w:bottom w:val="single" w:color="000000" w:sz="4"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一年总价（小计1-6合计）</w:t>
            </w:r>
            <w:r>
              <w:rPr>
                <w:rFonts w:ascii="Times New Roman" w:hAnsi="Times New Roman" w:eastAsia="宋体" w:cs="Times New Roman"/>
                <w:b/>
                <w:bCs/>
                <w:color w:val="000000"/>
                <w:sz w:val="24"/>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none" w:color="000000" w:sz="4" w:space="0"/>
              <w:left w:val="none" w:color="000000" w:sz="4" w:space="0"/>
              <w:bottom w:val="single" w:color="000000" w:sz="4" w:space="0"/>
              <w:right w:val="single" w:color="000000" w:sz="8" w:space="0"/>
            </w:tcBorders>
            <w:tcW w:w="434" w:type="dxa"/>
            <w:vAlign w:val="center"/>
            <w:textDirection w:val="lrTb"/>
            <w:noWrap w:val="false"/>
          </w:tcPr>
          <w:p>
            <w:pPr>
              <w:pStyle w:val="775"/>
              <w:jc w:val="center"/>
              <w:widowControl/>
              <w:rPr>
                <w:rFonts w:ascii="Times New Roman" w:hAnsi="Times New Roman" w:eastAsia="宋体" w:cs="Times New Roman"/>
                <w:b/>
                <w:bCs/>
                <w:sz w:val="22"/>
                <w:szCs w:val="22"/>
              </w:rPr>
            </w:pPr>
            <w:r>
              <w:rPr>
                <w:rFonts w:ascii="Times New Roman" w:hAnsi="Times New Roman" w:eastAsia="宋体" w:cs="Times New Roman"/>
                <w:b/>
                <w:bCs/>
                <w:sz w:val="22"/>
                <w:szCs w:val="22"/>
              </w:rPr>
            </w:r>
            <w:r/>
          </w:p>
        </w:tc>
      </w:tr>
      <w:tr>
        <w:trPr>
          <w:trHeight w:val="717"/>
        </w:trPr>
        <w:tc>
          <w:tcPr>
            <w:gridSpan w:val="8"/>
            <w:tcBorders>
              <w:top w:val="single" w:color="000000" w:sz="4" w:space="0"/>
              <w:left w:val="single" w:color="000000" w:sz="8" w:space="0"/>
              <w:bottom w:val="single" w:color="000000" w:sz="8" w:space="0"/>
              <w:right w:val="single" w:color="000000" w:sz="4" w:space="0"/>
            </w:tcBorders>
            <w:tcW w:w="8190" w:type="dxa"/>
            <w:vAlign w:val="center"/>
            <w:textDirection w:val="lrTb"/>
            <w:noWrap w:val="false"/>
          </w:tcPr>
          <w:p>
            <w:pPr>
              <w:pStyle w:val="775"/>
              <w:jc w:val="center"/>
              <w:widowControl/>
              <w:rPr>
                <w:rFonts w:ascii="Times New Roman" w:hAnsi="Times New Roman" w:eastAsia="宋体" w:cs="Times New Roman"/>
                <w:color w:val="000000"/>
                <w:sz w:val="24"/>
              </w:rPr>
            </w:pPr>
            <w:r>
              <w:rPr>
                <w:rFonts w:ascii="Times New Roman" w:hAnsi="Times New Roman" w:eastAsia="宋体" w:cs="Times New Roman"/>
                <w:b/>
                <w:bCs/>
                <w:color w:val="000000"/>
                <w:sz w:val="24"/>
              </w:rPr>
              <w:t xml:space="preserve">两年半（2026年7月1日-2028年12月31日）总价</w:t>
            </w:r>
            <w:r>
              <w:rPr>
                <w:rFonts w:ascii="Times New Roman" w:hAnsi="Times New Roman" w:eastAsia="宋体" w:cs="Times New Roman"/>
                <w:color w:val="000000"/>
                <w:sz w:val="24"/>
              </w:rPr>
            </w:r>
            <w:r/>
          </w:p>
        </w:tc>
        <w:tc>
          <w:tcPr>
            <w:tcBorders>
              <w:top w:val="single" w:color="000000" w:sz="4" w:space="0"/>
              <w:left w:val="none" w:color="000000" w:sz="4" w:space="0"/>
              <w:bottom w:val="single" w:color="000000" w:sz="8" w:space="0"/>
              <w:right w:val="single" w:color="000000" w:sz="4" w:space="0"/>
            </w:tcBorders>
            <w:tcW w:w="544" w:type="dxa"/>
            <w:vAlign w:val="center"/>
            <w:textDirection w:val="lrTb"/>
            <w:noWrap/>
          </w:tcPr>
          <w:p>
            <w:pPr>
              <w:pStyle w:val="775"/>
              <w:jc w:val="center"/>
              <w:widowControl/>
              <w:rPr>
                <w:rFonts w:ascii="Times New Roman" w:hAnsi="Times New Roman" w:eastAsia="宋体" w:cs="Times New Roman"/>
                <w:b/>
                <w:bCs/>
                <w:color w:val="000000"/>
                <w:sz w:val="22"/>
                <w:szCs w:val="22"/>
              </w:rPr>
            </w:pPr>
            <w:r>
              <w:rPr>
                <w:rFonts w:ascii="Times New Roman" w:hAnsi="Times New Roman" w:eastAsia="宋体" w:cs="Times New Roman"/>
                <w:b/>
                <w:bCs/>
                <w:color w:val="000000"/>
                <w:sz w:val="22"/>
                <w:szCs w:val="22"/>
              </w:rPr>
            </w:r>
            <w:r/>
          </w:p>
        </w:tc>
        <w:tc>
          <w:tcPr>
            <w:tcBorders>
              <w:top w:val="single" w:color="000000" w:sz="4" w:space="0"/>
              <w:left w:val="none" w:color="000000" w:sz="4" w:space="0"/>
              <w:bottom w:val="single" w:color="000000" w:sz="8" w:space="0"/>
              <w:right w:val="single" w:color="000000" w:sz="8" w:space="0"/>
            </w:tcBorders>
            <w:tcW w:w="434" w:type="dxa"/>
            <w:vAlign w:val="center"/>
            <w:textDirection w:val="lrTb"/>
            <w:noWrap w:val="false"/>
          </w:tcPr>
          <w:p>
            <w:pPr>
              <w:pStyle w:val="775"/>
              <w:jc w:val="center"/>
              <w:widowControl/>
              <w:rPr>
                <w:rFonts w:ascii="Times New Roman" w:hAnsi="Times New Roman" w:eastAsia="宋体" w:cs="Times New Roman"/>
                <w:b/>
                <w:bCs/>
                <w:sz w:val="22"/>
                <w:szCs w:val="22"/>
              </w:rPr>
            </w:pPr>
            <w:r>
              <w:rPr>
                <w:rFonts w:ascii="Times New Roman" w:hAnsi="Times New Roman" w:eastAsia="宋体" w:cs="Times New Roman"/>
                <w:b/>
                <w:bCs/>
                <w:sz w:val="22"/>
                <w:szCs w:val="22"/>
              </w:rPr>
            </w:r>
            <w:r/>
          </w:p>
        </w:tc>
      </w:tr>
    </w:tbl>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color w:val="000000"/>
          <w:sz w:val="24"/>
          <w:highlight w:val="none"/>
        </w:rPr>
        <w:t xml:space="preserve">注：</w:t>
      </w:r>
      <w:r>
        <w:rPr>
          <w:rFonts w:ascii="Times New Roman" w:hAnsi="Times New Roman" w:eastAsia="宋体" w:cs="Times New Roman"/>
          <w:b/>
          <w:bCs/>
          <w:color w:val="000000"/>
          <w:sz w:val="24"/>
          <w:highlight w:val="none"/>
        </w:rPr>
        <w:t xml:space="preserve">1.管道养护内容包括：道路两侧支管冲洗</w:t>
      </w:r>
      <w:r>
        <w:rPr>
          <w:rFonts w:ascii="Times New Roman" w:hAnsi="Times New Roman" w:eastAsia="宋体" w:cs="Times New Roman"/>
          <w:b/>
          <w:bCs/>
          <w:color w:val="000000"/>
          <w:sz w:val="24"/>
          <w:highlight w:val="none"/>
          <w:lang w:val="en-US" w:eastAsia="zh-CN"/>
        </w:rPr>
        <w:t xml:space="preserve">2</w:t>
      </w:r>
      <w:r>
        <w:rPr>
          <w:rFonts w:ascii="Times New Roman" w:hAnsi="Times New Roman" w:eastAsia="宋体" w:cs="Times New Roman"/>
          <w:b/>
          <w:bCs/>
          <w:color w:val="000000"/>
          <w:sz w:val="24"/>
          <w:highlight w:val="none"/>
        </w:rPr>
        <w:t xml:space="preserve">次，收水井清掏</w:t>
      </w:r>
      <w:r>
        <w:rPr>
          <w:rFonts w:ascii="Times New Roman" w:hAnsi="Times New Roman" w:eastAsia="宋体" w:cs="Times New Roman"/>
          <w:b/>
          <w:bCs/>
          <w:color w:val="000000"/>
          <w:sz w:val="24"/>
          <w:highlight w:val="none"/>
          <w:lang w:val="en-US" w:eastAsia="zh-CN"/>
        </w:rPr>
        <w:t xml:space="preserve">6</w:t>
      </w:r>
      <w:r>
        <w:rPr>
          <w:rFonts w:ascii="Times New Roman" w:hAnsi="Times New Roman" w:eastAsia="宋体" w:cs="Times New Roman"/>
          <w:b/>
          <w:bCs/>
          <w:color w:val="000000"/>
          <w:sz w:val="24"/>
          <w:highlight w:val="none"/>
        </w:rPr>
        <w:t xml:space="preserve">次，检查井</w:t>
      </w:r>
      <w:r>
        <w:rPr>
          <w:rFonts w:ascii="Times New Roman" w:hAnsi="Times New Roman" w:eastAsia="宋体" w:cs="Times New Roman"/>
          <w:b/>
          <w:bCs/>
          <w:color w:val="000000"/>
          <w:sz w:val="24"/>
          <w:highlight w:val="none"/>
          <w:lang w:val="en-US" w:eastAsia="zh-CN"/>
        </w:rPr>
        <w:t xml:space="preserve">3</w:t>
      </w:r>
      <w:r>
        <w:rPr>
          <w:rFonts w:ascii="Times New Roman" w:hAnsi="Times New Roman" w:eastAsia="宋体" w:cs="Times New Roman"/>
          <w:b/>
          <w:bCs/>
          <w:color w:val="000000"/>
          <w:sz w:val="24"/>
          <w:highlight w:val="none"/>
        </w:rPr>
        <w:t xml:space="preserve">次，总计约4189751.46元/年。</w:t>
      </w:r>
      <w:r>
        <w:rPr>
          <w:rFonts w:ascii="Times New Roman" w:hAnsi="Times New Roman" w:eastAsia="宋体" w:cs="Times New Roman"/>
          <w:b/>
          <w:bCs/>
          <w:color w:val="000000"/>
          <w:sz w:val="24"/>
          <w:highlight w:val="none"/>
        </w:rPr>
      </w:r>
      <w:r/>
    </w:p>
    <w:p>
      <w:pPr>
        <w:pStyle w:val="775"/>
        <w:ind w:firstLine="482"/>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2.泵站养护：</w:t>
      </w:r>
      <w:r>
        <w:rPr>
          <w:rFonts w:ascii="Times New Roman" w:hAnsi="Times New Roman" w:eastAsia="宋体" w:cs="Times New Roman"/>
          <w:b/>
          <w:color w:val="000000"/>
          <w:sz w:val="24"/>
          <w:highlight w:val="none"/>
        </w:rPr>
        <w:t xml:space="preserve">辽河路、衡山路、龙江路下穿通道泵站运行维护费用限价为165902.67元/年，再生水泵站运行维护</w:t>
      </w:r>
      <w:r>
        <w:rPr>
          <w:rFonts w:ascii="Times New Roman" w:hAnsi="Times New Roman" w:eastAsia="宋体" w:cs="Times New Roman"/>
          <w:b/>
          <w:bCs/>
          <w:color w:val="000000"/>
          <w:sz w:val="24"/>
          <w:highlight w:val="none"/>
        </w:rPr>
        <w:t xml:space="preserve">费用限价为1324334.83元/年，除电费外，其他按项包干。</w:t>
      </w:r>
      <w:r>
        <w:rPr>
          <w:rFonts w:ascii="Times New Roman" w:hAnsi="Times New Roman" w:eastAsia="宋体" w:cs="Times New Roman"/>
          <w:b/>
          <w:bCs/>
          <w:color w:val="000000"/>
          <w:sz w:val="24"/>
          <w:highlight w:val="none"/>
        </w:rPr>
      </w:r>
      <w:r/>
    </w:p>
    <w:p>
      <w:pPr>
        <w:pStyle w:val="775"/>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3.本表行数可以按照项目分项情况增加。</w:t>
      </w:r>
      <w:r>
        <w:rPr>
          <w:rFonts w:ascii="Times New Roman" w:hAnsi="Times New Roman" w:eastAsia="宋体" w:cs="Times New Roman"/>
          <w:color w:val="000000"/>
          <w:sz w:val="24"/>
          <w:highlight w:val="none"/>
        </w:rPr>
      </w:r>
      <w:r/>
    </w:p>
    <w:p>
      <w:pPr>
        <w:pStyle w:val="775"/>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4.上述各项的详细规格、技术参数如表格中填写不下的，可以逐项另页描述。</w:t>
      </w:r>
      <w:r>
        <w:rPr>
          <w:rFonts w:ascii="Times New Roman" w:hAnsi="Times New Roman" w:eastAsia="宋体" w:cs="Times New Roman"/>
          <w:color w:val="000000"/>
          <w:sz w:val="24"/>
          <w:highlight w:val="none"/>
        </w:rPr>
      </w:r>
      <w:r/>
    </w:p>
    <w:p>
      <w:pPr>
        <w:pStyle w:val="775"/>
        <w:ind w:firstLine="482"/>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b/>
          <w:bCs/>
          <w:sz w:val="24"/>
          <w:highlight w:val="none"/>
        </w:rPr>
        <w:t xml:space="preserve">5.2026年7月1日-2026年12月31日的金额按一年金额*50%计算</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rPr>
      </w:r>
      <w:r/>
    </w:p>
    <w:p>
      <w:pPr>
        <w:pStyle w:val="775"/>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w:t>
      </w:r>
      <w:r>
        <w:rPr>
          <w:rFonts w:ascii="Times New Roman" w:hAnsi="Times New Roman" w:eastAsia="宋体" w:cs="Times New Roman"/>
          <w:color w:val="000000"/>
          <w:sz w:val="24"/>
          <w:szCs w:val="20"/>
        </w:rPr>
      </w:r>
      <w:r/>
    </w:p>
    <w:p>
      <w:pPr>
        <w:pStyle w:val="775"/>
        <w:jc w:val="center"/>
        <w:spacing w:line="360" w:lineRule="exact"/>
        <w:rPr>
          <w:rFonts w:ascii="Times New Roman" w:hAnsi="Times New Roman" w:eastAsia="宋体" w:cs="Times New Roman"/>
          <w:b/>
          <w:color w:val="000000"/>
          <w:sz w:val="36"/>
          <w:szCs w:val="36"/>
        </w:rPr>
        <w:sectPr>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cs="Times New Roman"/>
          <w:b/>
          <w:color w:val="000000"/>
          <w:sz w:val="36"/>
          <w:szCs w:val="36"/>
        </w:rPr>
      </w:r>
      <w:r/>
    </w:p>
    <w:p>
      <w:pPr>
        <w:pStyle w:val="775"/>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分项报价表（环卫）</w:t>
      </w:r>
      <w:r>
        <w:rPr>
          <w:rFonts w:ascii="Times New Roman" w:hAnsi="Times New Roman" w:eastAsia="宋体" w:cs="Times New Roman"/>
          <w:b/>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项目编号：_____________________     项目名称：_______________________</w:t>
      </w:r>
      <w:r>
        <w:rPr>
          <w:rFonts w:ascii="Times New Roman" w:hAnsi="Times New Roman" w:eastAsia="宋体" w:cs="Times New Roman"/>
          <w:color w:val="000000"/>
          <w:sz w:val="24"/>
        </w:rPr>
      </w:r>
      <w:r/>
    </w:p>
    <w:p>
      <w:pPr>
        <w:pStyle w:val="775"/>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tbl>
      <w:tblPr>
        <w:tblW w:w="9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148"/>
        <w:gridCol w:w="2190"/>
        <w:gridCol w:w="1509"/>
        <w:gridCol w:w="2409"/>
        <w:gridCol w:w="1184"/>
      </w:tblGrid>
      <w:tr>
        <w:trPr>
          <w:cantSplit/>
          <w:trHeight w:val="585"/>
        </w:trPr>
        <w:tc>
          <w:tcPr>
            <w:tcW w:w="733"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序号</w:t>
            </w:r>
            <w:r>
              <w:rPr>
                <w:rFonts w:ascii="Times New Roman" w:hAnsi="Times New Roman" w:eastAsia="宋体" w:cs="Times New Roman"/>
                <w:sz w:val="24"/>
              </w:rPr>
            </w:r>
            <w:r/>
          </w:p>
        </w:tc>
        <w:tc>
          <w:tcPr>
            <w:tcW w:w="1148"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分项名称</w:t>
            </w:r>
            <w:r>
              <w:rPr>
                <w:rFonts w:ascii="Times New Roman" w:hAnsi="Times New Roman" w:eastAsia="宋体" w:cs="Times New Roman"/>
                <w:sz w:val="24"/>
              </w:rPr>
            </w:r>
            <w:r/>
          </w:p>
        </w:tc>
        <w:tc>
          <w:tcPr>
            <w:tcW w:w="219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服务内容</w:t>
            </w:r>
            <w:r>
              <w:rPr>
                <w:rFonts w:ascii="Times New Roman" w:hAnsi="Times New Roman" w:eastAsia="宋体" w:cs="Times New Roman"/>
                <w:sz w:val="24"/>
              </w:rPr>
            </w:r>
            <w:r/>
          </w:p>
        </w:tc>
        <w:tc>
          <w:tcPr>
            <w:tcW w:w="1509"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限价</w:t>
            </w:r>
            <w:r>
              <w:rPr>
                <w:rFonts w:ascii="Times New Roman" w:hAnsi="Times New Roman" w:eastAsia="宋体" w:cs="Times New Roman"/>
                <w:sz w:val="24"/>
              </w:rPr>
            </w:r>
            <w:r/>
          </w:p>
        </w:tc>
        <w:tc>
          <w:tcPr>
            <w:tcW w:w="2409" w:type="dxa"/>
            <w:vAlign w:val="center"/>
            <w:textDirection w:val="lrTb"/>
            <w:noWrap w:val="false"/>
          </w:tcPr>
          <w:p>
            <w:pPr>
              <w:pStyle w:val="775"/>
              <w:jc w:val="center"/>
              <w:widowControl/>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报</w:t>
            </w:r>
            <w:r>
              <w:rPr>
                <w:rFonts w:ascii="Times New Roman" w:hAnsi="Times New Roman" w:eastAsia="宋体" w:cs="Times New Roman"/>
                <w:sz w:val="24"/>
              </w:rPr>
              <w:t xml:space="preserve">价（元/年）</w:t>
            </w:r>
            <w:r>
              <w:rPr>
                <w:rFonts w:ascii="Times New Roman" w:hAnsi="Times New Roman" w:eastAsia="宋体" w:cs="Times New Roman"/>
                <w:sz w:val="24"/>
              </w:rPr>
            </w:r>
            <w:r/>
          </w:p>
        </w:tc>
        <w:tc>
          <w:tcPr>
            <w:tcW w:w="118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备注</w:t>
            </w:r>
            <w:r>
              <w:rPr>
                <w:rFonts w:ascii="Times New Roman" w:hAnsi="Times New Roman" w:eastAsia="宋体" w:cs="Times New Roman"/>
                <w:sz w:val="24"/>
              </w:rPr>
            </w:r>
            <w:r/>
          </w:p>
        </w:tc>
      </w:tr>
      <w:tr>
        <w:trPr>
          <w:trHeight w:val="1480"/>
        </w:trPr>
        <w:tc>
          <w:tcPr>
            <w:tcW w:w="733"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r>
            <w:r/>
          </w:p>
        </w:tc>
        <w:tc>
          <w:tcPr>
            <w:tcW w:w="1148" w:type="dxa"/>
            <w:vAlign w:val="center"/>
            <w:textDirection w:val="lrTb"/>
            <w:noWrap w:val="false"/>
          </w:tcPr>
          <w:p>
            <w:pPr>
              <w:pStyle w:val="775"/>
              <w:jc w:val="center"/>
              <w:widowControl/>
              <w:rPr>
                <w:rFonts w:ascii="Times New Roman" w:hAnsi="Times New Roman" w:eastAsia="宋体" w:cs="Times New Roman"/>
                <w:b/>
                <w:bCs/>
                <w:sz w:val="24"/>
              </w:rPr>
            </w:pPr>
            <w:r>
              <w:rPr>
                <w:rFonts w:ascii="Times New Roman" w:hAnsi="Times New Roman" w:eastAsia="宋体" w:cs="Times New Roman"/>
                <w:sz w:val="24"/>
              </w:rPr>
              <w:t xml:space="preserve">环卫</w:t>
            </w:r>
            <w:r>
              <w:rPr>
                <w:rFonts w:ascii="Times New Roman" w:hAnsi="Times New Roman" w:eastAsia="宋体" w:cs="Times New Roman"/>
                <w:b/>
                <w:bCs/>
                <w:sz w:val="24"/>
              </w:rPr>
            </w:r>
            <w:r/>
          </w:p>
        </w:tc>
        <w:tc>
          <w:tcPr>
            <w:tcW w:w="219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bCs/>
                <w:color w:val="000000"/>
                <w:sz w:val="24"/>
              </w:rPr>
              <w:t xml:space="preserve">道路道板和绿化带清扫保洁、环卫日常作业、大气应急业务、公共厕所管理、垃圾转运站日常管理、垃圾转运服务</w:t>
            </w:r>
            <w:r>
              <w:rPr>
                <w:rFonts w:ascii="Times New Roman" w:hAnsi="Times New Roman" w:eastAsia="宋体" w:cs="Times New Roman"/>
                <w:sz w:val="24"/>
              </w:rPr>
            </w:r>
            <w:r/>
          </w:p>
        </w:tc>
        <w:tc>
          <w:tcPr>
            <w:tcW w:w="1509"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color w:val="000000"/>
                <w:sz w:val="24"/>
              </w:rPr>
              <w:t xml:space="preserve">16128万元/年</w:t>
            </w:r>
            <w:r>
              <w:rPr>
                <w:rFonts w:ascii="Times New Roman" w:hAnsi="Times New Roman" w:eastAsia="宋体" w:cs="Times New Roman"/>
                <w:sz w:val="24"/>
              </w:rPr>
            </w:r>
            <w:r/>
          </w:p>
        </w:tc>
        <w:tc>
          <w:tcPr>
            <w:tcW w:w="2409"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8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671"/>
        </w:trPr>
        <w:tc>
          <w:tcPr>
            <w:gridSpan w:val="4"/>
            <w:tcW w:w="558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一年总价</w:t>
            </w:r>
            <w:r>
              <w:rPr>
                <w:rFonts w:ascii="Times New Roman" w:hAnsi="Times New Roman" w:eastAsia="宋体" w:cs="Times New Roman"/>
                <w:sz w:val="24"/>
              </w:rPr>
            </w:r>
            <w:r/>
          </w:p>
        </w:tc>
        <w:tc>
          <w:tcPr>
            <w:tcW w:w="2409" w:type="dxa"/>
            <w:vAlign w:val="top"/>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8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r>
        <w:trPr>
          <w:trHeight w:val="671"/>
        </w:trPr>
        <w:tc>
          <w:tcPr>
            <w:gridSpan w:val="4"/>
            <w:tcW w:w="5580"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t xml:space="preserve">两年半（2026年7月1日-2028年12月31日）总价</w:t>
            </w:r>
            <w:r>
              <w:rPr>
                <w:rFonts w:ascii="Times New Roman" w:hAnsi="Times New Roman" w:eastAsia="宋体" w:cs="Times New Roman"/>
                <w:sz w:val="24"/>
              </w:rPr>
            </w:r>
            <w:r/>
          </w:p>
        </w:tc>
        <w:tc>
          <w:tcPr>
            <w:tcW w:w="2409" w:type="dxa"/>
            <w:vAlign w:val="top"/>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c>
          <w:tcPr>
            <w:tcW w:w="1184" w:type="dxa"/>
            <w:vAlign w:val="center"/>
            <w:textDirection w:val="lrTb"/>
            <w:noWrap w:val="false"/>
          </w:tcPr>
          <w:p>
            <w:pPr>
              <w:pStyle w:val="775"/>
              <w:jc w:val="center"/>
              <w:widowControl/>
              <w:rPr>
                <w:rFonts w:ascii="Times New Roman" w:hAnsi="Times New Roman" w:eastAsia="宋体" w:cs="Times New Roman"/>
                <w:sz w:val="24"/>
              </w:rPr>
            </w:pPr>
            <w:r>
              <w:rPr>
                <w:rFonts w:ascii="Times New Roman" w:hAnsi="Times New Roman" w:eastAsia="宋体" w:cs="Times New Roman"/>
                <w:sz w:val="24"/>
              </w:rPr>
            </w:r>
            <w:r/>
          </w:p>
        </w:tc>
      </w:tr>
    </w:tbl>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注：1.上述各项的详细规格、技术参数如表格中填写不下的，可以逐项另页描述。</w:t>
      </w:r>
      <w:r>
        <w:rPr>
          <w:rFonts w:ascii="Times New Roman" w:hAnsi="Times New Roman" w:eastAsia="宋体" w:cs="Times New Roman"/>
          <w:color w:val="000000"/>
          <w:sz w:val="24"/>
        </w:rPr>
      </w:r>
      <w:r/>
    </w:p>
    <w:p>
      <w:pPr>
        <w:pStyle w:val="775"/>
        <w:ind w:firstLine="482"/>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b/>
          <w:bCs/>
          <w:sz w:val="24"/>
          <w:highlight w:val="none"/>
        </w:rPr>
        <w:t xml:space="preserve">2.2026年7月1日-2026年12月31日的金额按一年金额*50%计算</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w:t>
      </w:r>
      <w:r>
        <w:rPr>
          <w:rFonts w:ascii="Times New Roman" w:hAnsi="Times New Roman" w:eastAsia="宋体" w:cs="Times New Roman"/>
          <w:color w:val="000000"/>
          <w:sz w:val="24"/>
          <w:szCs w:val="20"/>
        </w:rPr>
      </w:r>
      <w:r/>
    </w:p>
    <w:p>
      <w:pPr>
        <w:pStyle w:val="775"/>
        <w:jc w:val="left"/>
        <w:widowControl/>
        <w:rPr>
          <w:rFonts w:ascii="Times New Roman" w:hAnsi="Times New Roman" w:eastAsia="宋体" w:cs="Times New Roman"/>
          <w:color w:val="000000"/>
          <w:sz w:val="24"/>
          <w:szCs w:val="20"/>
        </w:rPr>
        <w:sectPr>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cs="Times New Roman"/>
          <w:color w:val="000000"/>
          <w:sz w:val="24"/>
          <w:szCs w:val="20"/>
        </w:rPr>
      </w:r>
      <w:r/>
    </w:p>
    <w:p>
      <w:pPr>
        <w:pStyle w:val="807"/>
        <w:tabs>
          <w:tab w:val="left" w:pos="567" w:leader="none"/>
        </w:tabs>
        <w:rPr>
          <w:rFonts w:ascii="Times New Roman" w:hAnsi="Times New Roman" w:eastAsia="宋体" w:cs="Times New Roman"/>
        </w:rPr>
      </w:pPr>
      <w:r>
        <w:rPr>
          <w:rFonts w:ascii="Times New Roman" w:hAnsi="Times New Roman" w:eastAsia="宋体" w:cs="Times New Roman"/>
        </w:rPr>
      </w:r>
      <w:r/>
    </w:p>
    <w:p>
      <w:pPr>
        <w:pStyle w:val="775"/>
        <w:spacing w:line="360" w:lineRule="auto"/>
        <w:rPr>
          <w:rFonts w:ascii="Times New Roman" w:hAnsi="Times New Roman" w:eastAsia="宋体" w:cs="Times New Roman"/>
          <w:color w:val="000000"/>
          <w:sz w:val="24"/>
          <w:szCs w:val="20"/>
        </w:rPr>
        <w:outlineLvl w:val="2"/>
      </w:pPr>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Start w:id="767" w:name="_Toc142311062"/>
      <w:r/>
      <w:bookmarkStart w:id="768" w:name="_Toc265228400"/>
      <w:r/>
      <w:bookmarkStart w:id="769" w:name="_Toc150774765"/>
      <w:r/>
      <w:bookmarkStart w:id="770" w:name="_Toc226337258"/>
      <w:r/>
      <w:bookmarkStart w:id="771" w:name="_Toc226965752"/>
      <w:r/>
      <w:bookmarkStart w:id="772" w:name="_Toc305158830"/>
      <w:r/>
      <w:bookmarkStart w:id="773" w:name="_Toc264969252"/>
      <w:r/>
      <w:bookmarkStart w:id="774" w:name="_Toc150480798"/>
      <w:r/>
      <w:bookmarkStart w:id="775" w:name="_Toc226965835"/>
      <w:r/>
      <w:bookmarkStart w:id="776" w:name="_Toc195842927"/>
      <w:r/>
      <w:bookmarkStart w:id="777" w:name="_Toc305158904"/>
      <w:r/>
      <w:bookmarkStart w:id="778" w:name="_Toc127151562"/>
      <w:r/>
      <w:bookmarkStart w:id="779" w:name="_Toc226309806"/>
      <w:r/>
      <w:bookmarkStart w:id="780" w:name="_Toc305158903"/>
      <w:r/>
      <w:bookmarkStart w:id="781" w:name="_Toc226965834"/>
      <w:r/>
      <w:bookmarkStart w:id="782" w:name="_Toc226965751"/>
      <w:r/>
      <w:bookmarkStart w:id="783" w:name="_Toc142311061"/>
      <w:r/>
      <w:bookmarkStart w:id="784" w:name="_Toc265228399"/>
      <w:r/>
      <w:bookmarkStart w:id="785" w:name="_Toc305158829"/>
      <w:r/>
      <w:bookmarkStart w:id="786" w:name="_Toc127151561"/>
      <w:r/>
      <w:bookmarkStart w:id="787" w:name="_Toc226309805"/>
      <w:r/>
      <w:bookmarkStart w:id="788" w:name="_Toc226337257"/>
      <w:r/>
      <w:bookmarkStart w:id="789" w:name="_Toc150480797"/>
      <w:r/>
      <w:bookmarkStart w:id="790" w:name="_Toc195842926"/>
      <w:r/>
      <w:bookmarkStart w:id="791" w:name="_Toc264969251"/>
      <w:r/>
      <w:bookmarkStart w:id="792" w:name="_Toc150774764"/>
      <w:r>
        <w:rPr>
          <w:rFonts w:hint="eastAsia" w:ascii="Times New Roman" w:hAnsi="Times New Roman" w:eastAsia="宋体" w:cs="Times New Roman"/>
          <w:color w:val="000000"/>
          <w:sz w:val="24"/>
          <w:szCs w:val="20"/>
          <w:lang w:val="en-US" w:eastAsia="zh-CN"/>
        </w:rPr>
        <w:t xml:space="preserve">9</w:t>
      </w:r>
      <w:r>
        <w:rPr>
          <w:rFonts w:ascii="Times New Roman" w:hAnsi="Times New Roman" w:eastAsia="宋体" w:cs="Times New Roman"/>
          <w:color w:val="000000"/>
          <w:sz w:val="24"/>
          <w:szCs w:val="20"/>
        </w:rPr>
        <w:t xml:space="preserve"> 合同条款偏离表</w:t>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Pr>
          <w:rFonts w:ascii="Times New Roman" w:hAnsi="Times New Roman" w:eastAsia="宋体" w:cs="Times New Roman"/>
          <w:b/>
          <w:bCs/>
          <w:color w:val="000000"/>
          <w:sz w:val="24"/>
          <w:szCs w:val="20"/>
        </w:rPr>
        <w:t xml:space="preserve">（实质性格式）</w:t>
      </w: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2775" w:leader="none"/>
          <w:tab w:val="center" w:pos="4153" w:leader="none"/>
        </w:tabs>
        <w:rPr>
          <w:rFonts w:ascii="Times New Roman" w:hAnsi="Times New Roman" w:eastAsia="宋体" w:cs="Times New Roman"/>
          <w:b/>
          <w:color w:val="000000"/>
          <w:sz w:val="36"/>
          <w:szCs w:val="36"/>
        </w:rPr>
      </w:pPr>
      <w:r>
        <w:rPr>
          <w:rFonts w:ascii="Times New Roman" w:hAnsi="Times New Roman" w:eastAsia="宋体" w:cs="Times New Roman"/>
          <w:color w:val="000000"/>
          <w:sz w:val="36"/>
          <w:szCs w:val="36"/>
        </w:rPr>
        <w:tab/>
      </w:r>
      <w:r>
        <w:rPr>
          <w:rFonts w:ascii="Times New Roman" w:hAnsi="Times New Roman" w:eastAsia="宋体" w:cs="Times New Roman"/>
          <w:b/>
          <w:color w:val="000000"/>
          <w:sz w:val="36"/>
          <w:szCs w:val="36"/>
        </w:rPr>
        <w:tab/>
      </w:r>
      <w:r>
        <w:rPr>
          <w:rFonts w:ascii="Times New Roman" w:hAnsi="Times New Roman" w:eastAsia="宋体" w:cs="Times New Roman"/>
          <w:b/>
          <w:color w:val="000000"/>
          <w:sz w:val="36"/>
          <w:szCs w:val="36"/>
        </w:rPr>
        <w:t xml:space="preserve">合同条款偏离表</w:t>
      </w:r>
      <w:r>
        <w:rPr>
          <w:rFonts w:ascii="Times New Roman" w:hAnsi="Times New Roman" w:eastAsia="宋体" w:cs="Times New Roman"/>
          <w:b/>
          <w:color w:val="000000"/>
          <w:sz w:val="36"/>
          <w:szCs w:val="36"/>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jc w:val="left"/>
        <w:spacing w:line="360" w:lineRule="auto"/>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项目编号：_____________________     项目名称：________________________</w:t>
      </w:r>
      <w:r>
        <w:rPr>
          <w:rFonts w:ascii="Times New Roman" w:hAnsi="Times New Roman" w:eastAsia="宋体" w:cs="Times New Roman"/>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75"/>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对本项目合同条款的偏离情况（请进行勾选）：</w:t>
            </w:r>
            <w:r>
              <w:rPr>
                <w:rFonts w:ascii="Times New Roman" w:hAnsi="Times New Roman" w:eastAsia="宋体" w:cs="Times New Roman"/>
                <w:b/>
                <w:color w:val="000000"/>
                <w:sz w:val="24"/>
              </w:rPr>
            </w:r>
            <w:r/>
          </w:p>
          <w:p>
            <w:pPr>
              <w:pStyle w:val="775"/>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775"/>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如有负偏离，</w:t>
            </w:r>
            <w:r>
              <w:rPr>
                <w:rFonts w:ascii="Times New Roman" w:hAnsi="Times New Roman" w:eastAsia="宋体" w:cs="Times New Roman"/>
                <w:color w:val="000000"/>
                <w:sz w:val="24"/>
              </w:rPr>
              <w:t xml:space="preserve">则须在本表中对负偏离项逐一列明）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W w:w="1301"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单一来源采购文件</w:t>
            </w:r>
            <w:r>
              <w:rPr>
                <w:rFonts w:ascii="Times New Roman" w:hAnsi="Times New Roman" w:eastAsia="宋体" w:cs="Times New Roman"/>
                <w:color w:val="000000"/>
                <w:sz w:val="24"/>
              </w:rPr>
              <w:t xml:space="preserve">条目号（页码）</w:t>
            </w:r>
            <w:r>
              <w:rPr>
                <w:rFonts w:ascii="Times New Roman" w:hAnsi="Times New Roman" w:eastAsia="宋体" w:cs="Times New Roman"/>
                <w:color w:val="000000"/>
                <w:sz w:val="24"/>
              </w:rPr>
            </w:r>
            <w:r/>
          </w:p>
        </w:tc>
        <w:tc>
          <w:tcPr>
            <w:tcW w:w="2007"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单一来源采购文件</w:t>
            </w:r>
            <w:r>
              <w:rPr>
                <w:rFonts w:ascii="Times New Roman" w:hAnsi="Times New Roman" w:eastAsia="宋体" w:cs="Times New Roman"/>
                <w:color w:val="000000"/>
                <w:sz w:val="24"/>
              </w:rPr>
              <w:t xml:space="preserve">要求</w:t>
            </w:r>
            <w:r>
              <w:rPr>
                <w:rFonts w:ascii="Times New Roman" w:hAnsi="Times New Roman" w:eastAsia="宋体" w:cs="Times New Roman"/>
                <w:color w:val="000000"/>
                <w:sz w:val="24"/>
              </w:rPr>
            </w:r>
            <w:r/>
          </w:p>
        </w:tc>
        <w:tc>
          <w:tcPr>
            <w:tcW w:w="200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响应内容</w:t>
            </w:r>
            <w:r>
              <w:rPr>
                <w:rFonts w:ascii="Times New Roman" w:hAnsi="Times New Roman" w:eastAsia="宋体" w:cs="Times New Roman"/>
                <w:color w:val="000000"/>
                <w:sz w:val="24"/>
              </w:rPr>
            </w:r>
            <w:r/>
          </w:p>
        </w:tc>
        <w:tc>
          <w:tcPr>
            <w:tcW w:w="245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偏离情况</w:t>
            </w:r>
            <w:r>
              <w:rPr>
                <w:rFonts w:ascii="Times New Roman" w:hAnsi="Times New Roman" w:eastAsia="宋体" w:cs="Times New Roman"/>
                <w:color w:val="000000"/>
                <w:sz w:val="24"/>
              </w:rPr>
            </w:r>
            <w:r/>
          </w:p>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（据实填写）</w:t>
            </w:r>
            <w:r>
              <w:rPr>
                <w:rFonts w:ascii="Times New Roman" w:hAnsi="Times New Roman" w:eastAsia="宋体" w:cs="Times New Roman"/>
                <w:color w:val="000000"/>
                <w:sz w:val="24"/>
              </w:rPr>
            </w:r>
            <w:r/>
          </w:p>
        </w:tc>
        <w:tc>
          <w:tcPr>
            <w:tcW w:w="78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301"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7"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0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45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1. </w:t>
      </w:r>
      <w:r>
        <w:rPr>
          <w:rFonts w:ascii="Times New Roman" w:hAnsi="Times New Roman" w:eastAsia="宋体" w:cs="Times New Roman"/>
          <w:sz w:val="24"/>
        </w:rPr>
        <w:t xml:space="preserve">对合同条款中的所有要求，除本表所列明的所有偏离外，均视作供应商已对之理解和响应。</w:t>
      </w:r>
      <w:r>
        <w:rPr>
          <w:rFonts w:ascii="Times New Roman" w:hAnsi="Times New Roman" w:eastAsia="宋体" w:cs="Times New Roman"/>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2. </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偏离情况</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列应</w:t>
      </w:r>
      <w:r>
        <w:rPr>
          <w:rFonts w:ascii="Times New Roman" w:hAnsi="Times New Roman" w:eastAsia="宋体" w:cs="Times New Roman"/>
          <w:color w:val="000000"/>
          <w:sz w:val="24"/>
        </w:rPr>
        <w:t xml:space="preserve">据实</w:t>
      </w:r>
      <w:r>
        <w:rPr>
          <w:rFonts w:ascii="Times New Roman" w:hAnsi="Times New Roman" w:eastAsia="宋体" w:cs="Times New Roman"/>
          <w:sz w:val="24"/>
        </w:rPr>
        <w:t xml:space="preserve">填写</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无</w:t>
      </w:r>
      <w:r>
        <w:rPr>
          <w:rFonts w:ascii="Times New Roman" w:hAnsi="Times New Roman" w:eastAsia="宋体" w:cs="Times New Roman"/>
          <w:sz w:val="24"/>
        </w:rPr>
        <w:t xml:space="preserve">偏离</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或</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有偏离</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color w:val="000000"/>
          <w:sz w:val="24"/>
        </w:rPr>
      </w:r>
      <w:r/>
    </w:p>
    <w:p>
      <w:pPr>
        <w:pStyle w:val="775"/>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775"/>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t xml:space="preserve">1</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Times New Roman" w:hAnsi="Times New Roman" w:eastAsia="宋体" w:cs="Times New Roman"/>
          <w:color w:val="000000"/>
          <w:sz w:val="24"/>
          <w:szCs w:val="20"/>
          <w:lang w:val="en-US" w:eastAsia="zh-CN"/>
        </w:rPr>
        <w:t xml:space="preserve">0</w:t>
      </w:r>
      <w:r>
        <w:rPr>
          <w:rFonts w:ascii="Times New Roman" w:hAnsi="Times New Roman" w:eastAsia="宋体" w:cs="Times New Roman"/>
          <w:color w:val="000000"/>
          <w:sz w:val="24"/>
          <w:szCs w:val="20"/>
        </w:rPr>
        <w:t xml:space="preserve"> 采购需求偏离表</w:t>
      </w:r>
      <w:r>
        <w:rPr>
          <w:rFonts w:ascii="Times New Roman" w:hAnsi="Times New Roman" w:eastAsia="宋体" w:cs="Times New Roman"/>
          <w:b/>
          <w:bCs/>
          <w:color w:val="000000"/>
          <w:sz w:val="24"/>
          <w:szCs w:val="20"/>
        </w:rPr>
        <w:t xml:space="preserve">（实质性格式）</w:t>
      </w:r>
      <w:r>
        <w:rPr>
          <w:rFonts w:ascii="Times New Roman" w:hAnsi="Times New Roman" w:eastAsia="宋体" w:cs="Times New Roman"/>
          <w:color w:val="000000"/>
          <w:sz w:val="24"/>
          <w:szCs w:val="20"/>
        </w:rPr>
      </w:r>
      <w:r/>
    </w:p>
    <w:p>
      <w:pPr>
        <w:pStyle w:val="775"/>
        <w:jc w:val="center"/>
        <w:spacing w:line="360" w:lineRule="auto"/>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采购需求偏离表</w:t>
      </w:r>
      <w:r>
        <w:rPr>
          <w:rFonts w:ascii="Times New Roman" w:hAnsi="Times New Roman" w:eastAsia="宋体" w:cs="Times New Roman"/>
          <w:b/>
          <w:color w:val="000000"/>
          <w:sz w:val="36"/>
          <w:szCs w:val="36"/>
        </w:rPr>
      </w:r>
      <w:r/>
    </w:p>
    <w:p>
      <w:pPr>
        <w:pStyle w:val="775"/>
        <w:ind w:firstLine="36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项目编号：_____________________     项目名称：_______________________</w:t>
      </w:r>
      <w:r>
        <w:rPr>
          <w:rFonts w:ascii="Times New Roman" w:hAnsi="Times New Roman" w:eastAsia="宋体" w:cs="Times New Roman"/>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W w:w="1482"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单一来源采购文件条目号(页码)</w:t>
            </w:r>
            <w:r>
              <w:rPr>
                <w:rFonts w:ascii="Times New Roman" w:hAnsi="Times New Roman" w:eastAsia="宋体" w:cs="Times New Roman"/>
                <w:color w:val="000000"/>
                <w:sz w:val="24"/>
              </w:rPr>
            </w:r>
            <w:r/>
          </w:p>
        </w:tc>
        <w:tc>
          <w:tcPr>
            <w:tcW w:w="270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单一来源采购文件要求</w:t>
            </w:r>
            <w:r>
              <w:rPr>
                <w:rFonts w:ascii="Times New Roman" w:hAnsi="Times New Roman" w:eastAsia="宋体" w:cs="Times New Roman"/>
                <w:color w:val="000000"/>
                <w:sz w:val="24"/>
              </w:rPr>
            </w:r>
            <w:r/>
          </w:p>
        </w:tc>
        <w:tc>
          <w:tcPr>
            <w:tcW w:w="181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响应内容</w:t>
            </w:r>
            <w:r>
              <w:rPr>
                <w:rFonts w:ascii="Times New Roman" w:hAnsi="Times New Roman" w:eastAsia="宋体" w:cs="Times New Roman"/>
                <w:color w:val="000000"/>
                <w:sz w:val="24"/>
              </w:rPr>
            </w:r>
            <w:r/>
          </w:p>
        </w:tc>
        <w:tc>
          <w:tcPr>
            <w:tcW w:w="18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偏离情况</w:t>
            </w:r>
            <w:r>
              <w:rPr>
                <w:rFonts w:ascii="Times New Roman" w:hAnsi="Times New Roman" w:eastAsia="宋体" w:cs="Times New Roman"/>
                <w:color w:val="000000"/>
                <w:sz w:val="24"/>
              </w:rPr>
            </w:r>
            <w:r/>
          </w:p>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（据实填写）</w:t>
            </w:r>
            <w:r>
              <w:rPr>
                <w:rFonts w:ascii="Times New Roman" w:hAnsi="Times New Roman" w:eastAsia="宋体" w:cs="Times New Roman"/>
                <w:color w:val="000000"/>
                <w:sz w:val="24"/>
              </w:rPr>
            </w:r>
            <w:r/>
          </w:p>
        </w:tc>
        <w:tc>
          <w:tcPr>
            <w:tcW w:w="1009"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70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1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70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1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70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1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70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1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70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1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70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10"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775"/>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775"/>
        <w:ind w:firstLine="36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r>
      <w:r/>
    </w:p>
    <w:p>
      <w:pPr>
        <w:pStyle w:val="775"/>
        <w:ind w:firstLine="36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1. </w:t>
      </w:r>
      <w:r>
        <w:rPr>
          <w:rFonts w:ascii="Times New Roman" w:hAnsi="Times New Roman" w:eastAsia="宋体" w:cs="Times New Roman"/>
          <w:sz w:val="24"/>
        </w:rPr>
        <w:t xml:space="preserve">对单一来源采购文件中的所有商务、技术要求，除本表所列明的所有偏离外，均视作供应商已对之理解和响应。此表中若无任何文字说明，内容为空白，则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2.</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偏离情况</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列应</w:t>
      </w:r>
      <w:r>
        <w:rPr>
          <w:rFonts w:ascii="Times New Roman" w:hAnsi="Times New Roman" w:eastAsia="宋体" w:cs="Times New Roman"/>
          <w:color w:val="000000"/>
          <w:sz w:val="24"/>
        </w:rPr>
        <w:t xml:space="preserve">据实</w:t>
      </w:r>
      <w:r>
        <w:rPr>
          <w:rFonts w:ascii="Times New Roman" w:hAnsi="Times New Roman" w:eastAsia="宋体" w:cs="Times New Roman"/>
          <w:sz w:val="24"/>
        </w:rPr>
        <w:t xml:space="preserve">填写</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正偏离</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负偏离</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或</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无偏离</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color w:val="000000"/>
          <w:sz w:val="24"/>
        </w:rPr>
      </w:r>
      <w:r/>
    </w:p>
    <w:p>
      <w:pPr>
        <w:pStyle w:val="775"/>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75"/>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775"/>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rPr>
      </w:r>
      <w:r/>
    </w:p>
    <w:p>
      <w:pPr>
        <w:pStyle w:val="775"/>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75"/>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en-US" w:eastAsia="zh-CN"/>
        </w:rPr>
        <w:t xml:space="preserve">1</w:t>
      </w:r>
      <w:r>
        <w:rPr>
          <w:rFonts w:ascii="Times New Roman" w:hAnsi="Times New Roman" w:eastAsia="宋体" w:cs="Times New Roman"/>
          <w:color w:val="000000"/>
          <w:sz w:val="24"/>
          <w:szCs w:val="20"/>
        </w:rPr>
        <w:t xml:space="preserve"> 单一来源采购文件要求提供或供应商认为应附的其他材料</w:t>
      </w:r>
      <w:r>
        <w:rPr>
          <w:rFonts w:ascii="Times New Roman" w:hAnsi="Times New Roman" w:eastAsia="宋体" w:cs="Times New Roman"/>
          <w:color w:val="000000"/>
          <w:sz w:val="24"/>
          <w:szCs w:val="20"/>
        </w:rPr>
      </w:r>
      <w:r/>
    </w:p>
    <w:p>
      <w:pPr>
        <w:pStyle w:val="775"/>
        <w:numPr>
          <w:ilvl w:val="0"/>
          <w:numId w:val="0"/>
        </w:numPr>
        <w:ind w:firstLine="482"/>
        <w:spacing w:line="360" w:lineRule="auto"/>
        <w:rPr>
          <w:rFonts w:hint="eastAsia" w:ascii="宋体" w:hAnsi="宋体" w:eastAsia="宋体" w:cs="Times New Roman"/>
          <w:b/>
          <w:sz w:val="24"/>
          <w:highlight w:val="none"/>
          <w:lang w:val="en-US" w:eastAsia="zh-CN"/>
        </w:rPr>
        <w:outlineLvl w:val="9"/>
      </w:pPr>
      <w:r>
        <w:rPr>
          <w:rFonts w:hint="eastAsia" w:ascii="宋体" w:hAnsi="宋体" w:eastAsia="宋体" w:cs="Times New Roman"/>
          <w:b/>
          <w:sz w:val="24"/>
          <w:szCs w:val="24"/>
          <w:lang w:val="en-US" w:eastAsia="zh-CN" w:bidi="ar-SA"/>
        </w:rPr>
        <w:t xml:space="preserve">（1）</w:t>
      </w:r>
      <w:r>
        <w:rPr>
          <w:rFonts w:hint="eastAsia" w:ascii="宋体" w:hAnsi="宋体" w:eastAsia="宋体" w:cs="Times New Roman"/>
          <w:b/>
          <w:sz w:val="24"/>
          <w:highlight w:val="none"/>
          <w:lang w:val="en-US" w:eastAsia="zh-CN"/>
        </w:rPr>
        <w:t xml:space="preserve">营业执照；</w:t>
      </w:r>
      <w:r>
        <w:rPr>
          <w:rFonts w:hint="eastAsia" w:ascii="宋体" w:hAnsi="宋体" w:eastAsia="宋体" w:cs="Times New Roman"/>
          <w:b/>
          <w:sz w:val="24"/>
          <w:highlight w:val="none"/>
          <w:lang w:val="en-US" w:eastAsia="zh-CN"/>
        </w:rPr>
      </w:r>
      <w:r/>
    </w:p>
    <w:p>
      <w:pPr>
        <w:pStyle w:val="775"/>
        <w:numPr>
          <w:ilvl w:val="0"/>
          <w:numId w:val="0"/>
        </w:numPr>
        <w:ind w:firstLine="482"/>
        <w:spacing w:line="360" w:lineRule="auto"/>
        <w:rPr>
          <w:rFonts w:hint="eastAsia" w:ascii="宋体" w:hAnsi="宋体" w:eastAsia="宋体" w:cs="Times New Roman"/>
          <w:b/>
          <w:sz w:val="24"/>
          <w:highlight w:val="none"/>
          <w:lang w:val="en-US" w:eastAsia="zh-CN"/>
        </w:rPr>
        <w:outlineLvl w:val="9"/>
      </w:pPr>
      <w:r>
        <w:rPr>
          <w:rFonts w:hint="eastAsia" w:ascii="宋体" w:hAnsi="宋体" w:eastAsia="宋体" w:cs="Times New Roman"/>
          <w:b/>
          <w:sz w:val="24"/>
          <w:szCs w:val="24"/>
          <w:lang w:val="en-US" w:eastAsia="zh-CN" w:bidi="ar-SA"/>
        </w:rPr>
        <w:t xml:space="preserve">（2）</w:t>
      </w:r>
      <w:r>
        <w:rPr>
          <w:rFonts w:hint="eastAsia" w:ascii="宋体" w:hAnsi="宋体" w:eastAsia="宋体" w:cs="Times New Roman"/>
          <w:b/>
          <w:sz w:val="24"/>
          <w:highlight w:val="none"/>
          <w:lang w:val="en-US" w:eastAsia="zh-CN"/>
        </w:rPr>
        <w:t xml:space="preserve">服务方案（包括但不限于人员安排、设备投入、应急措施等）（格式自拟）</w:t>
      </w:r>
      <w:r>
        <w:rPr>
          <w:rFonts w:hint="eastAsia" w:ascii="宋体" w:hAnsi="宋体" w:eastAsia="宋体" w:cs="Times New Roman"/>
          <w:b/>
          <w:sz w:val="24"/>
          <w:highlight w:val="none"/>
          <w:lang w:val="en-US" w:eastAsia="zh-CN"/>
        </w:rPr>
      </w:r>
      <w:r/>
    </w:p>
    <w:p>
      <w:pPr>
        <w:pStyle w:val="775"/>
        <w:ind w:firstLine="482"/>
        <w:spacing w:line="360" w:lineRule="auto"/>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t xml:space="preserve">（3）其他供应商认为应附的材料。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Tahoma">
    <w:panose1 w:val="020B0604030504040204"/>
  </w:font>
  <w:font w:name="Symbol">
    <w:panose1 w:val="05050102010706020507"/>
  </w:font>
  <w:font w:name="MingLiU">
    <w:panose1 w:val="02020500000000000000"/>
  </w:font>
  <w:font w:name="Cambria Math">
    <w:panose1 w:val="02040503050406030204"/>
  </w:font>
  <w:font w:name="楷体_GB2312">
    <w:panose1 w:val="02010609060101010101"/>
  </w:font>
  <w:font w:name="ˎ̥">
    <w:panose1 w:val="020B0503020202020204"/>
  </w:font>
  <w:font w:name="方正小标宋简体">
    <w:panose1 w:val="020B0503020202020204"/>
  </w:font>
  <w:font w:name="Courier New">
    <w:panose1 w:val="02070309020205020404"/>
  </w:font>
  <w:font w:name="黑体">
    <w:panose1 w:val="02010609060101010101"/>
  </w:font>
  <w:font w:name="Century Gothic">
    <w:panose1 w:val="020B0502020202020204"/>
  </w:font>
  <w:font w:name="华文中宋">
    <w:panose1 w:val="0201060004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 xml:space="preserve">5</w:t>
    </w:r>
    <w:r>
      <w:rPr>
        <w:rFonts w:ascii="Times New Roman" w:hAnsi="Times New Roman" w:cs="Times New Roman"/>
      </w:rPr>
      <w:fldChar w:fldCharType="end"/>
    </w:r>
    <w:r>
      <w:rPr>
        <w:rFonts w:ascii="Times New Roman" w:hAnsi="Times New Roman"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rPr>
        <w:rStyle w:val="848"/>
      </w:rPr>
      <w:framePr w:wrap="around" w:vAnchor="text" w:hAnchor="margin" w:xAlign="right" w:y="1"/>
    </w:pPr>
    <w:r>
      <w:rPr>
        <w:rStyle w:val="848"/>
      </w:rPr>
    </w:r>
    <w:r/>
  </w:p>
  <w:p>
    <w:pPr>
      <w:pStyle w:val="824"/>
      <w:ind w:right="360"/>
      <w:jc w:val="center"/>
      <w:tabs>
        <w:tab w:val="center" w:pos="4153" w:leader="none"/>
        <w:tab w:val="right" w:pos="8306" w:leader="none"/>
      </w:tabs>
    </w:pPr>
    <w:r>
      <w:rPr>
        <w:rFonts w:ascii="Arial Unicode MS"/>
      </w:rPr>
      <w:fldChar w:fldCharType="begin"/>
    </w:r>
    <w:r>
      <w:rPr>
        <w:rFonts w:ascii="Arial Unicode MS"/>
      </w:rPr>
      <w:instrText xml:space="preserve">PAGE   \* MERGEFORMAT</w:instrText>
    </w:r>
    <w:r>
      <w:rPr>
        <w:rFonts w:ascii="Arial Unicode MS"/>
      </w:rPr>
      <w:fldChar w:fldCharType="separate"/>
    </w:r>
    <w:r>
      <w:rPr>
        <w:rFonts w:ascii="Arial Unicode MS"/>
        <w:lang w:val="zh-CN"/>
      </w:rPr>
      <w:t xml:space="preserve">6</w:t>
    </w:r>
    <w:r>
      <w:rPr>
        <w:rFonts w:ascii="Arial Unicode MS"/>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rPr>
        <w:rFonts w:ascii="Courier New" w:hAnsi="Courier New" w:eastAsia="Courier New" w:cs="Courier New"/>
        <w:szCs w:val="18"/>
      </w:rPr>
    </w:pPr>
    <w:r>
      <w:rPr>
        <w:rFonts w:ascii="Arial Unicode MS"/>
      </w:rPr>
      <w:fldChar w:fldCharType="begin"/>
    </w:r>
    <w:r>
      <w:rPr>
        <w:rFonts w:ascii="Arial Unicode MS"/>
      </w:rPr>
      <w:instrText xml:space="preserve">PAGE   \* MERGEFORMAT</w:instrText>
    </w:r>
    <w:r>
      <w:rPr>
        <w:rFonts w:ascii="Arial Unicode MS"/>
      </w:rPr>
      <w:fldChar w:fldCharType="separate"/>
    </w:r>
    <w:r>
      <w:rPr>
        <w:rFonts w:ascii="Arial Unicode MS"/>
        <w:lang w:val="zh-CN"/>
      </w:rPr>
      <w:t xml:space="preserve">33</w:t>
    </w:r>
    <w:r>
      <w:rPr>
        <w:rFonts w:ascii="Arial Unicode MS"/>
      </w:rPr>
      <w:fldChar w:fldCharType="end"/>
    </w:r>
    <w:r>
      <w:rPr>
        <w:rFonts w:ascii="Courier New" w:hAnsi="Courier New" w:eastAsia="Courier New" w:cs="Courier New"/>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 xml:space="preserve">35</w:t>
    </w:r>
    <w:r>
      <w:rPr>
        <w:rFonts w:ascii="Times New Roman" w:hAnsi="Times New Roman" w:cs="Times New Roman"/>
      </w:rPr>
      <w:fldChar w:fldCharType="end"/>
    </w:r>
    <w:r>
      <w:rPr>
        <w:rFonts w:ascii="Times New Roman" w:hAnsi="Times New Roman"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rPr>
        <w:rStyle w:val="848"/>
      </w:rPr>
      <w:framePr w:wrap="around" w:vAnchor="text" w:hAnchor="margin" w:xAlign="right" w:y="1"/>
    </w:pPr>
    <w:r>
      <w:rPr>
        <w:rStyle w:val="848"/>
      </w:rPr>
      <w:fldChar w:fldCharType="begin"/>
    </w:r>
    <w:r>
      <w:rPr>
        <w:rStyle w:val="848"/>
      </w:rPr>
      <w:instrText xml:space="preserve">PAGE  </w:instrText>
    </w:r>
    <w:r>
      <w:rPr>
        <w:rStyle w:val="848"/>
      </w:rPr>
      <w:fldChar w:fldCharType="end"/>
    </w:r>
    <w:r>
      <w:rPr>
        <w:rStyle w:val="848"/>
      </w:rPr>
    </w:r>
    <w:r/>
  </w:p>
  <w:p>
    <w:pPr>
      <w:pStyle w:val="824"/>
      <w:ind w:right="360"/>
      <w:tabs>
        <w:tab w:val="center" w:pos="4153" w:leader="none"/>
        <w:tab w:val="right" w:pos="8306" w:leader="none"/>
      </w:tabs>
    </w:pPr>
    <w:r/>
    <w:r/>
  </w:p>
  <w:p>
    <w:pPr>
      <w:pStyle w:val="77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Pr>
    <w:r/>
    <w:r/>
  </w:p>
  <w:p>
    <w:pPr>
      <w:pStyle w:val="77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75"/>
        <w:ind w:left="900" w:hanging="900"/>
        <w:tabs>
          <w:tab w:val="num" w:pos="900" w:leader="none"/>
        </w:tabs>
      </w:pPr>
      <w:rPr>
        <w:rFonts w:hint="eastAsia"/>
      </w:rPr>
    </w:lvl>
    <w:lvl w:ilvl="1">
      <w:start w:val="1"/>
      <w:numFmt w:val="decimal"/>
      <w:isLgl w:val="false"/>
      <w:suff w:val="tab"/>
      <w:lvlText w:val="%1.%2"/>
      <w:lvlJc w:val="left"/>
      <w:pPr>
        <w:pStyle w:val="775"/>
        <w:ind w:left="5012" w:hanging="900"/>
        <w:tabs>
          <w:tab w:val="num" w:pos="5133" w:leader="none"/>
        </w:tabs>
      </w:pPr>
      <w:rPr>
        <w:rFonts w:ascii="Times New Roman" w:hAnsi="Times New Roman" w:cs="Times New Roman"/>
        <w:b w:val="0"/>
        <w:bCs/>
        <w:sz w:val="24"/>
        <w:szCs w:val="24"/>
      </w:rPr>
    </w:lvl>
    <w:lvl w:ilvl="2">
      <w:start w:val="1"/>
      <w:numFmt w:val="decimal"/>
      <w:isLgl w:val="false"/>
      <w:suff w:val="tab"/>
      <w:lvlText w:val="%1.%2.%3"/>
      <w:lvlJc w:val="left"/>
      <w:pPr>
        <w:pStyle w:val="775"/>
        <w:ind w:left="1980" w:hanging="900"/>
        <w:tabs>
          <w:tab w:val="num" w:pos="1980" w:leader="none"/>
        </w:tabs>
      </w:pPr>
      <w:rPr>
        <w:rFonts w:hint="eastAsia"/>
      </w:rPr>
    </w:lvl>
    <w:lvl w:ilvl="3">
      <w:start w:val="1"/>
      <w:numFmt w:val="decimal"/>
      <w:isLgl w:val="false"/>
      <w:suff w:val="tab"/>
      <w:lvlText w:val="%1.2.3.%4"/>
      <w:lvlJc w:val="left"/>
      <w:pPr>
        <w:pStyle w:val="775"/>
        <w:ind w:left="900" w:hanging="900"/>
        <w:tabs>
          <w:tab w:val="num" w:pos="900" w:leader="none"/>
        </w:tabs>
      </w:pPr>
      <w:rPr>
        <w:rFonts w:hint="eastAsia"/>
      </w:rPr>
    </w:lvl>
    <w:lvl w:ilvl="4">
      <w:start w:val="1"/>
      <w:numFmt w:val="decimal"/>
      <w:isLgl w:val="false"/>
      <w:suff w:val="tab"/>
      <w:lvlText w:val="%1.%2.%3.%4.%5"/>
      <w:lvlJc w:val="left"/>
      <w:pPr>
        <w:pStyle w:val="775"/>
        <w:ind w:left="900" w:hanging="900"/>
        <w:tabs>
          <w:tab w:val="num" w:pos="900" w:leader="none"/>
        </w:tabs>
      </w:pPr>
      <w:rPr>
        <w:rFonts w:hint="eastAsia"/>
      </w:rPr>
    </w:lvl>
    <w:lvl w:ilvl="5">
      <w:start w:val="1"/>
      <w:numFmt w:val="decimal"/>
      <w:isLgl w:val="false"/>
      <w:suff w:val="tab"/>
      <w:lvlText w:val="%1.%2.%3.%4.%5.%6"/>
      <w:lvlJc w:val="left"/>
      <w:pPr>
        <w:pStyle w:val="775"/>
        <w:ind w:left="900" w:hanging="900"/>
        <w:tabs>
          <w:tab w:val="num" w:pos="900" w:leader="none"/>
        </w:tabs>
      </w:pPr>
      <w:rPr>
        <w:rFonts w:hint="eastAsia"/>
      </w:rPr>
    </w:lvl>
    <w:lvl w:ilvl="6">
      <w:start w:val="1"/>
      <w:numFmt w:val="decimal"/>
      <w:isLgl w:val="false"/>
      <w:suff w:val="tab"/>
      <w:lvlText w:val="%1.%2.%3.%4.%5.%6.%7"/>
      <w:lvlJc w:val="left"/>
      <w:pPr>
        <w:pStyle w:val="775"/>
        <w:ind w:left="900" w:hanging="900"/>
        <w:tabs>
          <w:tab w:val="num" w:pos="900" w:leader="none"/>
        </w:tabs>
      </w:pPr>
      <w:rPr>
        <w:rFonts w:hint="eastAsia"/>
      </w:rPr>
    </w:lvl>
    <w:lvl w:ilvl="7">
      <w:start w:val="1"/>
      <w:numFmt w:val="decimal"/>
      <w:isLgl w:val="false"/>
      <w:suff w:val="tab"/>
      <w:lvlText w:val="%1.%2.%3.%4.%5.%6.%7.%8"/>
      <w:lvlJc w:val="left"/>
      <w:pPr>
        <w:pStyle w:val="775"/>
        <w:ind w:left="900" w:hanging="900"/>
        <w:tabs>
          <w:tab w:val="num" w:pos="900" w:leader="none"/>
        </w:tabs>
      </w:pPr>
      <w:rPr>
        <w:rFonts w:hint="eastAsia"/>
      </w:rPr>
    </w:lvl>
    <w:lvl w:ilvl="8">
      <w:start w:val="1"/>
      <w:numFmt w:val="decimal"/>
      <w:isLgl w:val="false"/>
      <w:suff w:val="tab"/>
      <w:lvlText w:val="%1.%2.%3.%4.%5.%6.%7.%8.%9"/>
      <w:lvlJc w:val="left"/>
      <w:pPr>
        <w:pStyle w:val="775"/>
        <w:ind w:left="900" w:hanging="900"/>
        <w:tabs>
          <w:tab w:val="num" w:pos="90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775"/>
        <w:ind w:left="5225" w:hanging="1140"/>
        <w:tabs>
          <w:tab w:val="num" w:pos="5225" w:leader="none"/>
        </w:tabs>
      </w:pPr>
      <w:rPr>
        <w:rFonts w:hint="eastAsia"/>
      </w:rPr>
    </w:lvl>
    <w:lvl w:ilvl="1">
      <w:start w:val="1"/>
      <w:numFmt w:val="lowerLetter"/>
      <w:isLgl w:val="false"/>
      <w:suff w:val="tab"/>
      <w:lvlText w:val="%2)"/>
      <w:lvlJc w:val="left"/>
      <w:pPr>
        <w:pStyle w:val="775"/>
        <w:ind w:left="4925" w:hanging="420"/>
        <w:tabs>
          <w:tab w:val="num" w:pos="4925" w:leader="none"/>
        </w:tabs>
      </w:pPr>
    </w:lvl>
    <w:lvl w:ilvl="2">
      <w:start w:val="1"/>
      <w:numFmt w:val="lowerRoman"/>
      <w:isLgl w:val="false"/>
      <w:suff w:val="tab"/>
      <w:lvlText w:val="%3."/>
      <w:lvlJc w:val="right"/>
      <w:pPr>
        <w:pStyle w:val="775"/>
        <w:ind w:left="5345" w:hanging="420"/>
        <w:tabs>
          <w:tab w:val="num" w:pos="5345" w:leader="none"/>
        </w:tabs>
      </w:pPr>
    </w:lvl>
    <w:lvl w:ilvl="3">
      <w:start w:val="1"/>
      <w:numFmt w:val="decimal"/>
      <w:isLgl w:val="false"/>
      <w:suff w:val="tab"/>
      <w:lvlText w:val="%4."/>
      <w:lvlJc w:val="left"/>
      <w:pPr>
        <w:pStyle w:val="775"/>
        <w:ind w:left="5765" w:hanging="420"/>
        <w:tabs>
          <w:tab w:val="num" w:pos="5765" w:leader="none"/>
        </w:tabs>
      </w:pPr>
    </w:lvl>
    <w:lvl w:ilvl="4">
      <w:start w:val="1"/>
      <w:numFmt w:val="lowerLetter"/>
      <w:isLgl w:val="false"/>
      <w:suff w:val="tab"/>
      <w:lvlText w:val="%5)"/>
      <w:lvlJc w:val="left"/>
      <w:pPr>
        <w:pStyle w:val="775"/>
        <w:ind w:left="6185" w:hanging="420"/>
        <w:tabs>
          <w:tab w:val="num" w:pos="6185" w:leader="none"/>
        </w:tabs>
      </w:pPr>
    </w:lvl>
    <w:lvl w:ilvl="5">
      <w:start w:val="1"/>
      <w:numFmt w:val="lowerRoman"/>
      <w:isLgl w:val="false"/>
      <w:suff w:val="tab"/>
      <w:lvlText w:val="%6."/>
      <w:lvlJc w:val="right"/>
      <w:pPr>
        <w:pStyle w:val="775"/>
        <w:ind w:left="6605" w:hanging="420"/>
        <w:tabs>
          <w:tab w:val="num" w:pos="6605" w:leader="none"/>
        </w:tabs>
      </w:pPr>
    </w:lvl>
    <w:lvl w:ilvl="6">
      <w:start w:val="1"/>
      <w:numFmt w:val="decimal"/>
      <w:isLgl w:val="false"/>
      <w:suff w:val="tab"/>
      <w:lvlText w:val="%7."/>
      <w:lvlJc w:val="left"/>
      <w:pPr>
        <w:pStyle w:val="775"/>
        <w:ind w:left="7025" w:hanging="420"/>
        <w:tabs>
          <w:tab w:val="num" w:pos="7025" w:leader="none"/>
        </w:tabs>
      </w:pPr>
    </w:lvl>
    <w:lvl w:ilvl="7">
      <w:start w:val="1"/>
      <w:numFmt w:val="lowerLetter"/>
      <w:isLgl w:val="false"/>
      <w:suff w:val="tab"/>
      <w:lvlText w:val="%8)"/>
      <w:lvlJc w:val="left"/>
      <w:pPr>
        <w:pStyle w:val="775"/>
        <w:ind w:left="7445" w:hanging="420"/>
        <w:tabs>
          <w:tab w:val="num" w:pos="7445" w:leader="none"/>
        </w:tabs>
      </w:pPr>
    </w:lvl>
    <w:lvl w:ilvl="8">
      <w:start w:val="1"/>
      <w:numFmt w:val="lowerRoman"/>
      <w:isLgl w:val="false"/>
      <w:suff w:val="tab"/>
      <w:lvlText w:val="%9."/>
      <w:lvlJc w:val="right"/>
      <w:pPr>
        <w:pStyle w:val="775"/>
        <w:ind w:left="7865" w:hanging="420"/>
        <w:tabs>
          <w:tab w:val="num" w:pos="7865" w:leader="none"/>
        </w:tabs>
      </w:pPr>
    </w:lvl>
  </w:abstractNum>
  <w:abstractNum w:abstractNumId="2">
    <w:multiLevelType w:val="hybridMultilevel"/>
    <w:lvl w:ilvl="0">
      <w:start w:val="1"/>
      <w:numFmt w:val="decimal"/>
      <w:pStyle w:val="960"/>
      <w:isLgl w:val="false"/>
      <w:suff w:val="tab"/>
      <w:lvlText w:val="%1."/>
      <w:lvlJc w:val="left"/>
      <w:pPr>
        <w:pStyle w:val="775"/>
        <w:ind w:left="420" w:hanging="420"/>
      </w:pPr>
    </w:lvl>
    <w:lvl w:ilvl="1">
      <w:start w:val="1"/>
      <w:numFmt w:val="decimal"/>
      <w:isLgl w:val="false"/>
      <w:suff w:val="tab"/>
      <w:lvlText w:val="（%2）"/>
      <w:lvlJc w:val="left"/>
      <w:pPr>
        <w:pStyle w:val="775"/>
        <w:ind w:left="1140" w:hanging="720"/>
        <w:tabs>
          <w:tab w:val="num" w:pos="1140" w:leader="none"/>
        </w:tabs>
      </w:pPr>
      <w:rPr>
        <w:rFonts w:hint="eastAsia"/>
      </w:r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3">
    <w:multiLevelType w:val="hybridMultilevel"/>
    <w:lvl w:ilvl="0">
      <w:start w:val="1"/>
      <w:numFmt w:val="lowerLetter"/>
      <w:pStyle w:val="930"/>
      <w:isLgl w:val="false"/>
      <w:suff w:val="tab"/>
      <w:lvlText w:val="%1)"/>
      <w:lvlJc w:val="left"/>
      <w:pPr>
        <w:pStyle w:val="775"/>
        <w:ind w:left="902" w:hanging="420"/>
      </w:pPr>
      <w:rPr>
        <w:color w:val="000000"/>
      </w:rPr>
    </w:lvl>
    <w:lvl w:ilvl="1">
      <w:start w:val="1"/>
      <w:numFmt w:val="lowerLetter"/>
      <w:isLgl w:val="false"/>
      <w:suff w:val="tab"/>
      <w:lvlText w:val="%2)"/>
      <w:lvlJc w:val="left"/>
      <w:pPr>
        <w:pStyle w:val="775"/>
        <w:ind w:left="1322" w:hanging="420"/>
      </w:pPr>
    </w:lvl>
    <w:lvl w:ilvl="2">
      <w:start w:val="1"/>
      <w:numFmt w:val="lowerRoman"/>
      <w:isLgl w:val="false"/>
      <w:suff w:val="tab"/>
      <w:lvlText w:val="%3."/>
      <w:lvlJc w:val="right"/>
      <w:pPr>
        <w:pStyle w:val="775"/>
        <w:ind w:left="1742" w:hanging="420"/>
      </w:pPr>
    </w:lvl>
    <w:lvl w:ilvl="3">
      <w:start w:val="1"/>
      <w:numFmt w:val="decimal"/>
      <w:isLgl w:val="false"/>
      <w:suff w:val="tab"/>
      <w:lvlText w:val="%4."/>
      <w:lvlJc w:val="left"/>
      <w:pPr>
        <w:pStyle w:val="775"/>
        <w:ind w:left="2162" w:hanging="420"/>
      </w:pPr>
    </w:lvl>
    <w:lvl w:ilvl="4">
      <w:start w:val="1"/>
      <w:numFmt w:val="lowerLetter"/>
      <w:isLgl w:val="false"/>
      <w:suff w:val="tab"/>
      <w:lvlText w:val="%5)"/>
      <w:lvlJc w:val="left"/>
      <w:pPr>
        <w:pStyle w:val="775"/>
        <w:ind w:left="2582" w:hanging="420"/>
      </w:pPr>
    </w:lvl>
    <w:lvl w:ilvl="5">
      <w:start w:val="1"/>
      <w:numFmt w:val="lowerRoman"/>
      <w:isLgl w:val="false"/>
      <w:suff w:val="tab"/>
      <w:lvlText w:val="%6."/>
      <w:lvlJc w:val="right"/>
      <w:pPr>
        <w:pStyle w:val="775"/>
        <w:ind w:left="3002" w:hanging="420"/>
      </w:pPr>
    </w:lvl>
    <w:lvl w:ilvl="6">
      <w:start w:val="1"/>
      <w:numFmt w:val="decimal"/>
      <w:isLgl w:val="false"/>
      <w:suff w:val="tab"/>
      <w:lvlText w:val="%7."/>
      <w:lvlJc w:val="left"/>
      <w:pPr>
        <w:pStyle w:val="775"/>
        <w:ind w:left="3422" w:hanging="420"/>
      </w:pPr>
    </w:lvl>
    <w:lvl w:ilvl="7">
      <w:start w:val="1"/>
      <w:numFmt w:val="lowerLetter"/>
      <w:isLgl w:val="false"/>
      <w:suff w:val="tab"/>
      <w:lvlText w:val="%8)"/>
      <w:lvlJc w:val="left"/>
      <w:pPr>
        <w:pStyle w:val="775"/>
        <w:ind w:left="3842" w:hanging="420"/>
      </w:pPr>
    </w:lvl>
    <w:lvl w:ilvl="8">
      <w:start w:val="1"/>
      <w:numFmt w:val="lowerRoman"/>
      <w:isLgl w:val="false"/>
      <w:suff w:val="tab"/>
      <w:lvlText w:val="%9."/>
      <w:lvlJc w:val="right"/>
      <w:pPr>
        <w:pStyle w:val="775"/>
        <w:ind w:left="4262" w:hanging="420"/>
      </w:pPr>
    </w:lvl>
  </w:abstractNum>
  <w:abstractNum w:abstractNumId="4">
    <w:multiLevelType w:val="hybridMultilevel"/>
    <w:lvl w:ilvl="0">
      <w:start w:val="1"/>
      <w:numFmt w:val="decimal"/>
      <w:pStyle w:val="937"/>
      <w:isLgl w:val="false"/>
      <w:suff w:val="tab"/>
      <w:lvlText w:val="%1."/>
      <w:lvlJc w:val="left"/>
      <w:pPr>
        <w:pStyle w:val="7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8"/>
      <w:isLgl w:val="false"/>
      <w:suff w:val="nothing"/>
      <w:lvlText w:val="%1　"/>
      <w:lvlJc w:val="left"/>
      <w:pPr>
        <w:pStyle w:val="775"/>
        <w:ind w:left="-25" w:firstLine="0"/>
      </w:pPr>
      <w:rPr>
        <w:rFonts w:ascii="Arial Unicode MS" w:hAnsi="Arial Unicode MS" w:eastAsia="Century Gothic"/>
        <w:b/>
        <w:i w:val="0"/>
        <w:color w:val="000000"/>
        <w:sz w:val="28"/>
        <w:u w:val="none"/>
      </w:rPr>
    </w:lvl>
    <w:lvl w:ilvl="1">
      <w:start w:val="1"/>
      <w:numFmt w:val="decimal"/>
      <w:isLgl w:val="false"/>
      <w:suff w:val="nothing"/>
      <w:lvlText w:val="%1.%2　"/>
      <w:lvlJc w:val="left"/>
      <w:pPr>
        <w:pStyle w:val="775"/>
        <w:ind w:left="-25" w:firstLine="0"/>
      </w:pPr>
      <w:rPr>
        <w:rFonts w:ascii="Arial Unicode MS" w:hAnsi="Arial Unicode MS" w:eastAsia="Century Gothic"/>
        <w:b/>
        <w:i w:val="0"/>
        <w:color w:val="000000"/>
        <w:spacing w:val="0"/>
        <w:sz w:val="28"/>
        <w:u w:val="none"/>
      </w:rPr>
    </w:lvl>
    <w:lvl w:ilvl="2">
      <w:start w:val="1"/>
      <w:numFmt w:val="decimal"/>
      <w:isLgl w:val="false"/>
      <w:suff w:val="nothing"/>
      <w:lvlText w:val="%1.%2.%3　"/>
      <w:lvlJc w:val="left"/>
      <w:pPr>
        <w:pStyle w:val="775"/>
        <w:ind w:left="-25" w:firstLine="0"/>
      </w:pPr>
      <w:rPr>
        <w:rFonts w:ascii="Arial Unicode MS" w:hAnsi="Arial Unicode MS" w:eastAsia="楷体_GB2312"/>
        <w:b/>
        <w:i w:val="0"/>
        <w:sz w:val="28"/>
      </w:rPr>
    </w:lvl>
    <w:lvl w:ilvl="3">
      <w:start w:val="1"/>
      <w:numFmt w:val="decimal"/>
      <w:pStyle w:val="1005"/>
      <w:isLgl w:val="false"/>
      <w:suff w:val="nothing"/>
      <w:lvlText w:val="%1.%2.%3.%4　"/>
      <w:lvlJc w:val="left"/>
      <w:pPr>
        <w:pStyle w:val="775"/>
        <w:ind w:left="-25" w:firstLine="0"/>
      </w:pPr>
      <w:rPr>
        <w:rFonts w:ascii="Arial Unicode MS" w:hAnsi="Arial Unicode MS" w:eastAsia="Century Gothic"/>
        <w:b/>
        <w:i w:val="0"/>
        <w:color w:val="000000"/>
        <w:sz w:val="28"/>
        <w:u w:val="none"/>
      </w:rPr>
    </w:lvl>
    <w:lvl w:ilvl="4">
      <w:start w:val="1"/>
      <w:numFmt w:val="decimal"/>
      <w:isLgl w:val="false"/>
      <w:suff w:val="nothing"/>
      <w:lvlText w:val="%1.%2.%3.%4.%5　"/>
      <w:lvlJc w:val="left"/>
      <w:pPr>
        <w:pStyle w:val="775"/>
        <w:ind w:left="-25" w:firstLine="0"/>
      </w:pPr>
      <w:rPr>
        <w:rFonts w:ascii="Arial Unicode MS" w:hAnsi="Arial Unicode MS" w:eastAsia="Century Gothic"/>
        <w:b/>
        <w:i w:val="0"/>
        <w:color w:val="000000"/>
        <w:sz w:val="28"/>
        <w:u w:val="none"/>
      </w:rPr>
    </w:lvl>
    <w:lvl w:ilvl="5">
      <w:start w:val="1"/>
      <w:numFmt w:val="decimal"/>
      <w:isLgl w:val="false"/>
      <w:suff w:val="nothing"/>
      <w:lvlText w:val="%1.%2.%3.%4.%5.%6　"/>
      <w:lvlJc w:val="left"/>
      <w:pPr>
        <w:pStyle w:val="775"/>
        <w:ind w:left="-25" w:firstLine="0"/>
      </w:pPr>
      <w:rPr>
        <w:rFonts w:ascii="Arial Unicode MS" w:hAnsi="Arial Unicode MS" w:eastAsia="Century Gothic"/>
        <w:b/>
        <w:i w:val="0"/>
        <w:sz w:val="28"/>
      </w:rPr>
    </w:lvl>
    <w:lvl w:ilvl="6">
      <w:start w:val="1"/>
      <w:numFmt w:val="lowerLetter"/>
      <w:pStyle w:val="965"/>
      <w:isLgl w:val="false"/>
      <w:suff w:val="tab"/>
      <w:lvlText w:val="%7) "/>
      <w:lvlJc w:val="left"/>
      <w:pPr>
        <w:pStyle w:val="775"/>
        <w:ind w:left="-125" w:firstLine="400"/>
        <w:tabs>
          <w:tab w:val="num" w:pos="635" w:leader="none"/>
        </w:tabs>
      </w:pPr>
      <w:rPr>
        <w:rFonts w:ascii="Arial Unicode MS" w:hAnsi="Arial Unicode MS" w:eastAsia="Century Gothic"/>
        <w:b/>
        <w:i w:val="0"/>
        <w:color w:val="000000"/>
        <w:sz w:val="28"/>
        <w:u w:val="none"/>
      </w:rPr>
    </w:lvl>
    <w:lvl w:ilvl="7">
      <w:start w:val="1"/>
      <w:numFmt w:val="decimal"/>
      <w:pStyle w:val="918"/>
      <w:isLgl w:val="false"/>
      <w:suff w:val="tab"/>
      <w:lvlText w:val="%8) "/>
      <w:lvlJc w:val="left"/>
      <w:pPr>
        <w:pStyle w:val="775"/>
        <w:ind w:left="500" w:firstLine="0"/>
        <w:tabs>
          <w:tab w:val="num" w:pos="860" w:leader="none"/>
        </w:tabs>
      </w:pPr>
      <w:rPr>
        <w:rFonts w:ascii="Arial Unicode MS" w:hAnsi="Arial Unicode MS" w:eastAsia="Century Gothic"/>
        <w:b/>
        <w:i w:val="0"/>
        <w:color w:val="000000"/>
        <w:sz w:val="28"/>
        <w:u w:val="none"/>
      </w:rPr>
    </w:lvl>
    <w:lvl w:ilvl="8">
      <w:start w:val="1"/>
      <w:numFmt w:val="decimal"/>
      <w:isLgl w:val="false"/>
      <w:suff w:val="tab"/>
      <w:lvlText w:val="%9"/>
      <w:lvlJc w:val="left"/>
      <w:pPr>
        <w:pStyle w:val="775"/>
        <w:ind w:left="500" w:firstLine="0"/>
        <w:tabs>
          <w:tab w:val="num" w:pos="860" w:leader="none"/>
        </w:tabs>
      </w:pPr>
      <w:rPr>
        <w:rFonts w:hint="eastAsia" w:ascii="Century Gothic" w:eastAsia="Century Gothic"/>
        <w:b w:val="0"/>
        <w:i w:val="0"/>
        <w:color w:val="000000"/>
        <w:sz w:val="28"/>
        <w:u w:val="none"/>
      </w:rPr>
    </w:lvl>
  </w:abstractNum>
  <w:abstractNum w:abstractNumId="6">
    <w:multiLevelType w:val="hybridMultilevel"/>
    <w:lvl w:ilvl="0">
      <w:start w:val="1"/>
      <w:numFmt w:val="decimal"/>
      <w:isLgl w:val="false"/>
      <w:suff w:val="tab"/>
      <w:lvlText w:val="%1．"/>
      <w:lvlJc w:val="left"/>
      <w:pPr>
        <w:pStyle w:val="775"/>
        <w:ind w:left="768" w:hanging="360"/>
        <w:tabs>
          <w:tab w:val="num" w:pos="768" w:leader="none"/>
        </w:tabs>
      </w:pPr>
      <w:rPr>
        <w:rFonts w:hint="eastAsia"/>
      </w:rPr>
    </w:lvl>
    <w:lvl w:ilvl="1">
      <w:start w:val="1"/>
      <w:numFmt w:val="decimal"/>
      <w:pStyle w:val="989"/>
      <w:isLgl w:val="false"/>
      <w:suff w:val="tab"/>
      <w:lvlText w:val="%2、"/>
      <w:lvlJc w:val="left"/>
      <w:pPr>
        <w:pStyle w:val="775"/>
        <w:ind w:left="1188" w:hanging="360"/>
        <w:tabs>
          <w:tab w:val="num" w:pos="1188" w:leader="none"/>
        </w:tabs>
      </w:pPr>
      <w:rPr>
        <w:rFonts w:hint="eastAsia"/>
      </w:rPr>
    </w:lvl>
    <w:lvl w:ilvl="2">
      <w:start w:val="1"/>
      <w:numFmt w:val="decimal"/>
      <w:isLgl w:val="false"/>
      <w:suff w:val="tab"/>
      <w:lvlText w:val="（%3）"/>
      <w:lvlJc w:val="left"/>
      <w:pPr>
        <w:pStyle w:val="775"/>
        <w:ind w:left="1968" w:hanging="720"/>
        <w:tabs>
          <w:tab w:val="num" w:pos="1968" w:leader="none"/>
        </w:tabs>
      </w:pPr>
      <w:rPr>
        <w:rFonts w:hint="eastAsia"/>
        <w:u w:val="none"/>
      </w:rPr>
    </w:lvl>
    <w:lvl w:ilvl="3">
      <w:start w:val="1"/>
      <w:numFmt w:val="decimal"/>
      <w:isLgl w:val="false"/>
      <w:suff w:val="tab"/>
      <w:lvlText w:val="%4."/>
      <w:lvlJc w:val="left"/>
      <w:pPr>
        <w:pStyle w:val="775"/>
        <w:ind w:left="2088" w:hanging="420"/>
        <w:tabs>
          <w:tab w:val="num" w:pos="2088" w:leader="none"/>
        </w:tabs>
      </w:pPr>
    </w:lvl>
    <w:lvl w:ilvl="4">
      <w:start w:val="1"/>
      <w:numFmt w:val="lowerLetter"/>
      <w:isLgl w:val="false"/>
      <w:suff w:val="tab"/>
      <w:lvlText w:val="%5)"/>
      <w:lvlJc w:val="left"/>
      <w:pPr>
        <w:pStyle w:val="775"/>
        <w:ind w:left="2508" w:hanging="420"/>
        <w:tabs>
          <w:tab w:val="num" w:pos="2508" w:leader="none"/>
        </w:tabs>
      </w:pPr>
    </w:lvl>
    <w:lvl w:ilvl="5">
      <w:start w:val="1"/>
      <w:numFmt w:val="lowerRoman"/>
      <w:isLgl w:val="false"/>
      <w:suff w:val="tab"/>
      <w:lvlText w:val="%6."/>
      <w:lvlJc w:val="right"/>
      <w:pPr>
        <w:pStyle w:val="775"/>
        <w:ind w:left="2928" w:hanging="420"/>
        <w:tabs>
          <w:tab w:val="num" w:pos="2928" w:leader="none"/>
        </w:tabs>
      </w:pPr>
    </w:lvl>
    <w:lvl w:ilvl="6">
      <w:start w:val="1"/>
      <w:numFmt w:val="decimal"/>
      <w:isLgl w:val="false"/>
      <w:suff w:val="tab"/>
      <w:lvlText w:val="%7."/>
      <w:lvlJc w:val="left"/>
      <w:pPr>
        <w:pStyle w:val="775"/>
        <w:ind w:left="3348" w:hanging="420"/>
        <w:tabs>
          <w:tab w:val="num" w:pos="3348" w:leader="none"/>
        </w:tabs>
      </w:pPr>
    </w:lvl>
    <w:lvl w:ilvl="7">
      <w:start w:val="1"/>
      <w:numFmt w:val="lowerLetter"/>
      <w:isLgl w:val="false"/>
      <w:suff w:val="tab"/>
      <w:lvlText w:val="%8)"/>
      <w:lvlJc w:val="left"/>
      <w:pPr>
        <w:pStyle w:val="775"/>
        <w:ind w:left="3768" w:hanging="420"/>
        <w:tabs>
          <w:tab w:val="num" w:pos="3768" w:leader="none"/>
        </w:tabs>
      </w:pPr>
    </w:lvl>
    <w:lvl w:ilvl="8">
      <w:start w:val="1"/>
      <w:numFmt w:val="lowerRoman"/>
      <w:isLgl w:val="false"/>
      <w:suff w:val="tab"/>
      <w:lvlText w:val="%9."/>
      <w:lvlJc w:val="right"/>
      <w:pPr>
        <w:pStyle w:val="77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75"/>
        <w:ind w:left="900" w:hanging="900"/>
        <w:tabs>
          <w:tab w:val="num" w:pos="900" w:leader="none"/>
        </w:tabs>
      </w:pPr>
      <w:rPr>
        <w:rFonts w:hint="eastAsia"/>
      </w:rPr>
    </w:lvl>
    <w:lvl w:ilvl="1">
      <w:start w:val="1"/>
      <w:numFmt w:val="decimal"/>
      <w:isLgl w:val="false"/>
      <w:suff w:val="tab"/>
      <w:lvlText w:val="%1.%2"/>
      <w:lvlJc w:val="left"/>
      <w:pPr>
        <w:pStyle w:val="77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5"/>
        <w:ind w:left="1980" w:hanging="900"/>
        <w:tabs>
          <w:tab w:val="num" w:pos="1980" w:leader="none"/>
        </w:tabs>
      </w:pPr>
      <w:rPr>
        <w:rFonts w:hint="eastAsia"/>
      </w:rPr>
    </w:lvl>
    <w:lvl w:ilvl="3">
      <w:start w:val="1"/>
      <w:numFmt w:val="decimal"/>
      <w:isLgl w:val="false"/>
      <w:suff w:val="tab"/>
      <w:lvlText w:val="%1.%2.%3.%4"/>
      <w:lvlJc w:val="left"/>
      <w:pPr>
        <w:pStyle w:val="775"/>
        <w:ind w:left="900" w:hanging="900"/>
        <w:tabs>
          <w:tab w:val="num" w:pos="900" w:leader="none"/>
        </w:tabs>
      </w:pPr>
      <w:rPr>
        <w:rFonts w:hint="eastAsia"/>
      </w:rPr>
    </w:lvl>
    <w:lvl w:ilvl="4">
      <w:start w:val="1"/>
      <w:numFmt w:val="decimal"/>
      <w:isLgl w:val="false"/>
      <w:suff w:val="tab"/>
      <w:lvlText w:val="%1.%2.%3.%4.%5"/>
      <w:lvlJc w:val="left"/>
      <w:pPr>
        <w:pStyle w:val="775"/>
        <w:ind w:left="900" w:hanging="900"/>
        <w:tabs>
          <w:tab w:val="num" w:pos="900" w:leader="none"/>
        </w:tabs>
      </w:pPr>
      <w:rPr>
        <w:rFonts w:hint="eastAsia"/>
      </w:rPr>
    </w:lvl>
    <w:lvl w:ilvl="5">
      <w:start w:val="1"/>
      <w:numFmt w:val="decimal"/>
      <w:isLgl w:val="false"/>
      <w:suff w:val="tab"/>
      <w:lvlText w:val="%1.%2.%3.%4.%5.%6"/>
      <w:lvlJc w:val="left"/>
      <w:pPr>
        <w:pStyle w:val="775"/>
        <w:ind w:left="900" w:hanging="900"/>
        <w:tabs>
          <w:tab w:val="num" w:pos="900" w:leader="none"/>
        </w:tabs>
      </w:pPr>
      <w:rPr>
        <w:rFonts w:hint="eastAsia"/>
      </w:rPr>
    </w:lvl>
    <w:lvl w:ilvl="6">
      <w:start w:val="1"/>
      <w:numFmt w:val="decimal"/>
      <w:isLgl w:val="false"/>
      <w:suff w:val="tab"/>
      <w:lvlText w:val="%1.%2.%3.%4.%5.%6.%7"/>
      <w:lvlJc w:val="left"/>
      <w:pPr>
        <w:pStyle w:val="775"/>
        <w:ind w:left="900" w:hanging="900"/>
        <w:tabs>
          <w:tab w:val="num" w:pos="900" w:leader="none"/>
        </w:tabs>
      </w:pPr>
      <w:rPr>
        <w:rFonts w:hint="eastAsia"/>
      </w:rPr>
    </w:lvl>
    <w:lvl w:ilvl="7">
      <w:start w:val="1"/>
      <w:numFmt w:val="decimal"/>
      <w:isLgl w:val="false"/>
      <w:suff w:val="tab"/>
      <w:lvlText w:val="%1.%2.%3.%4.%5.%6.%7.%8"/>
      <w:lvlJc w:val="left"/>
      <w:pPr>
        <w:pStyle w:val="775"/>
        <w:ind w:left="900" w:hanging="900"/>
        <w:tabs>
          <w:tab w:val="num" w:pos="900" w:leader="none"/>
        </w:tabs>
      </w:pPr>
      <w:rPr>
        <w:rFonts w:hint="eastAsia"/>
      </w:rPr>
    </w:lvl>
    <w:lvl w:ilvl="8">
      <w:start w:val="1"/>
      <w:numFmt w:val="decimal"/>
      <w:isLgl w:val="false"/>
      <w:suff w:val="tab"/>
      <w:lvlText w:val="%1.%2.%3.%4.%5.%6.%7.%8.%9"/>
      <w:lvlJc w:val="left"/>
      <w:pPr>
        <w:pStyle w:val="775"/>
        <w:ind w:left="900" w:hanging="900"/>
        <w:tabs>
          <w:tab w:val="num" w:pos="900" w:leader="none"/>
        </w:tabs>
      </w:pPr>
      <w:rPr>
        <w:rFonts w:hint="eastAsia"/>
      </w:rPr>
    </w:lvl>
  </w:abstractNum>
  <w:abstractNum w:abstractNumId="8">
    <w:multiLevelType w:val="hybridMultilevel"/>
    <w:lvl w:ilvl="0">
      <w:start w:val="1"/>
      <w:numFmt w:val="decimal"/>
      <w:pStyle w:val="959"/>
      <w:isLgl w:val="false"/>
      <w:suff w:val="tab"/>
      <w:lvlText w:val="%1)"/>
      <w:lvlJc w:val="left"/>
      <w:pPr>
        <w:pStyle w:val="775"/>
        <w:ind w:left="420" w:hanging="420"/>
      </w:p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9">
    <w:multiLevelType w:val="hybridMultilevel"/>
    <w:lvl w:ilvl="0">
      <w:start w:val="1"/>
      <w:numFmt w:val="decimal"/>
      <w:pStyle w:val="920"/>
      <w:isLgl w:val="false"/>
      <w:suff w:val="tab"/>
      <w:lvlText w:val="%1"/>
      <w:lvlJc w:val="left"/>
      <w:pPr>
        <w:pStyle w:val="775"/>
        <w:ind w:left="680" w:hanging="680"/>
      </w:pPr>
      <w:rPr>
        <w:rFonts w:hint="eastAsia" w:ascii="Century Gothic" w:hAnsi="Century Gothic" w:eastAsia="Century Gothic"/>
      </w:rPr>
    </w:lvl>
    <w:lvl w:ilvl="1">
      <w:start w:val="1"/>
      <w:numFmt w:val="decimal"/>
      <w:pStyle w:val="997"/>
      <w:isLgl w:val="false"/>
      <w:suff w:val="tab"/>
      <w:lvlText w:val="%1.%2"/>
      <w:lvlJc w:val="left"/>
      <w:pPr>
        <w:pStyle w:val="775"/>
        <w:ind w:left="851" w:hanging="851"/>
      </w:pPr>
      <w:rPr>
        <w:rFonts w:hint="eastAsia" w:ascii="Century Gothic" w:hAnsi="Century Gothic" w:eastAsia="Century Gothic"/>
        <w:color w:val="000000"/>
      </w:rPr>
    </w:lvl>
    <w:lvl w:ilvl="2">
      <w:start w:val="1"/>
      <w:numFmt w:val="decimal"/>
      <w:pStyle w:val="914"/>
      <w:isLgl w:val="false"/>
      <w:suff w:val="tab"/>
      <w:lvlText w:val="%1.%2.%3"/>
      <w:lvlJc w:val="left"/>
      <w:pPr>
        <w:pStyle w:val="775"/>
        <w:ind w:left="851" w:hanging="851"/>
      </w:pPr>
      <w:rPr>
        <w:rFonts w:hint="eastAsia"/>
      </w:rPr>
    </w:lvl>
    <w:lvl w:ilvl="3">
      <w:start w:val="1"/>
      <w:numFmt w:val="decimal"/>
      <w:isLgl w:val="false"/>
      <w:suff w:val="tab"/>
      <w:lvlText w:val="%1.%2.%3.%4"/>
      <w:lvlJc w:val="left"/>
      <w:pPr>
        <w:pStyle w:val="775"/>
        <w:ind w:left="680" w:hanging="680"/>
      </w:pPr>
      <w:rPr>
        <w:rFonts w:hint="eastAsia"/>
      </w:rPr>
    </w:lvl>
    <w:lvl w:ilvl="4">
      <w:start w:val="1"/>
      <w:numFmt w:val="decimal"/>
      <w:isLgl w:val="false"/>
      <w:suff w:val="tab"/>
      <w:lvlText w:val="%1.%2.%3.%4.%5"/>
      <w:lvlJc w:val="left"/>
      <w:pPr>
        <w:pStyle w:val="775"/>
        <w:ind w:left="680" w:hanging="680"/>
      </w:pPr>
      <w:rPr>
        <w:rFonts w:hint="eastAsia"/>
      </w:rPr>
    </w:lvl>
    <w:lvl w:ilvl="5">
      <w:start w:val="1"/>
      <w:numFmt w:val="decimal"/>
      <w:isLgl w:val="false"/>
      <w:suff w:val="tab"/>
      <w:lvlText w:val="%1.%2.%3.%4.%5.%6"/>
      <w:lvlJc w:val="left"/>
      <w:pPr>
        <w:pStyle w:val="775"/>
        <w:ind w:left="680" w:hanging="680"/>
      </w:pPr>
      <w:rPr>
        <w:rFonts w:hint="eastAsia"/>
      </w:rPr>
    </w:lvl>
    <w:lvl w:ilvl="6">
      <w:start w:val="1"/>
      <w:numFmt w:val="decimal"/>
      <w:isLgl w:val="false"/>
      <w:suff w:val="tab"/>
      <w:lvlText w:val="%1.%2.%3.%4.%5.%6.%7"/>
      <w:lvlJc w:val="left"/>
      <w:pPr>
        <w:pStyle w:val="775"/>
        <w:ind w:left="680" w:hanging="680"/>
      </w:pPr>
      <w:rPr>
        <w:rFonts w:hint="eastAsia"/>
      </w:rPr>
    </w:lvl>
    <w:lvl w:ilvl="7">
      <w:start w:val="1"/>
      <w:numFmt w:val="decimal"/>
      <w:isLgl w:val="false"/>
      <w:suff w:val="tab"/>
      <w:lvlText w:val="%1.%2.%3.%4.%5.%6.%7.%8"/>
      <w:lvlJc w:val="left"/>
      <w:pPr>
        <w:pStyle w:val="775"/>
        <w:ind w:left="680" w:hanging="680"/>
      </w:pPr>
      <w:rPr>
        <w:rFonts w:hint="eastAsia"/>
      </w:rPr>
    </w:lvl>
    <w:lvl w:ilvl="8">
      <w:start w:val="1"/>
      <w:numFmt w:val="decimal"/>
      <w:isLgl w:val="false"/>
      <w:suff w:val="tab"/>
      <w:lvlText w:val="%1.%2.%3.%4.%5.%6.%7.%8.%9"/>
      <w:lvlJc w:val="left"/>
      <w:pPr>
        <w:pStyle w:val="775"/>
        <w:ind w:left="680" w:hanging="680"/>
      </w:pPr>
      <w:rPr>
        <w:rFonts w:hint="eastAsia"/>
      </w:rPr>
    </w:lvl>
  </w:abstractNum>
  <w:abstractNum w:abstractNumId="10">
    <w:multiLevelType w:val="hybridMultilevel"/>
    <w:lvl w:ilvl="0">
      <w:start w:val="1"/>
      <w:numFmt w:val="decimal"/>
      <w:isLgl w:val="false"/>
      <w:suff w:val="tab"/>
      <w:lvlText w:val="%1"/>
      <w:lvlJc w:val="left"/>
      <w:pPr>
        <w:pStyle w:val="775"/>
        <w:ind w:left="900" w:hanging="900"/>
        <w:tabs>
          <w:tab w:val="num" w:pos="900" w:leader="none"/>
        </w:tabs>
      </w:pPr>
      <w:rPr>
        <w:rFonts w:hint="eastAsia"/>
      </w:rPr>
    </w:lvl>
    <w:lvl w:ilvl="1">
      <w:start w:val="1"/>
      <w:numFmt w:val="decimal"/>
      <w:isLgl w:val="false"/>
      <w:suff w:val="tab"/>
      <w:lvlText w:val="1.%2"/>
      <w:lvlJc w:val="left"/>
      <w:pPr>
        <w:pStyle w:val="775"/>
        <w:ind w:left="1326" w:hanging="900"/>
        <w:tabs>
          <w:tab w:val="num" w:pos="1447" w:leader="none"/>
        </w:tabs>
      </w:pPr>
      <w:rPr>
        <w:rFonts w:hint="eastAsia"/>
        <w:sz w:val="24"/>
        <w:szCs w:val="24"/>
      </w:rPr>
    </w:lvl>
    <w:lvl w:ilvl="2">
      <w:start w:val="1"/>
      <w:numFmt w:val="decimal"/>
      <w:isLgl w:val="false"/>
      <w:suff w:val="tab"/>
      <w:lvlText w:val="1.2.%3."/>
      <w:lvlJc w:val="left"/>
      <w:pPr>
        <w:pStyle w:val="775"/>
        <w:ind w:left="1980" w:hanging="900"/>
        <w:tabs>
          <w:tab w:val="num" w:pos="1980" w:leader="none"/>
        </w:tabs>
      </w:pPr>
      <w:rPr>
        <w:rFonts w:hint="eastAsia"/>
      </w:rPr>
    </w:lvl>
    <w:lvl w:ilvl="3">
      <w:start w:val="1"/>
      <w:numFmt w:val="decimal"/>
      <w:isLgl w:val="false"/>
      <w:suff w:val="tab"/>
      <w:lvlText w:val="%1.%2.%3.%4"/>
      <w:lvlJc w:val="left"/>
      <w:pPr>
        <w:pStyle w:val="775"/>
        <w:ind w:left="900" w:hanging="900"/>
        <w:tabs>
          <w:tab w:val="num" w:pos="900" w:leader="none"/>
        </w:tabs>
      </w:pPr>
      <w:rPr>
        <w:rFonts w:hint="eastAsia"/>
      </w:rPr>
    </w:lvl>
    <w:lvl w:ilvl="4">
      <w:start w:val="1"/>
      <w:numFmt w:val="decimal"/>
      <w:isLgl w:val="false"/>
      <w:suff w:val="tab"/>
      <w:lvlText w:val="%1.%2.%3.%4.%5"/>
      <w:lvlJc w:val="left"/>
      <w:pPr>
        <w:pStyle w:val="775"/>
        <w:ind w:left="900" w:hanging="900"/>
        <w:tabs>
          <w:tab w:val="num" w:pos="900" w:leader="none"/>
        </w:tabs>
      </w:pPr>
      <w:rPr>
        <w:rFonts w:hint="eastAsia"/>
      </w:rPr>
    </w:lvl>
    <w:lvl w:ilvl="5">
      <w:start w:val="1"/>
      <w:numFmt w:val="decimal"/>
      <w:isLgl w:val="false"/>
      <w:suff w:val="tab"/>
      <w:lvlText w:val="%1.%2.%3.%4.%5.%6"/>
      <w:lvlJc w:val="left"/>
      <w:pPr>
        <w:pStyle w:val="775"/>
        <w:ind w:left="900" w:hanging="900"/>
        <w:tabs>
          <w:tab w:val="num" w:pos="900" w:leader="none"/>
        </w:tabs>
      </w:pPr>
      <w:rPr>
        <w:rFonts w:hint="eastAsia"/>
      </w:rPr>
    </w:lvl>
    <w:lvl w:ilvl="6">
      <w:start w:val="1"/>
      <w:numFmt w:val="decimal"/>
      <w:isLgl w:val="false"/>
      <w:suff w:val="tab"/>
      <w:lvlText w:val="%1.%2.%3.%4.%5.%6.%7"/>
      <w:lvlJc w:val="left"/>
      <w:pPr>
        <w:pStyle w:val="775"/>
        <w:ind w:left="900" w:hanging="900"/>
        <w:tabs>
          <w:tab w:val="num" w:pos="900" w:leader="none"/>
        </w:tabs>
      </w:pPr>
      <w:rPr>
        <w:rFonts w:hint="eastAsia"/>
      </w:rPr>
    </w:lvl>
    <w:lvl w:ilvl="7">
      <w:start w:val="1"/>
      <w:numFmt w:val="decimal"/>
      <w:isLgl w:val="false"/>
      <w:suff w:val="tab"/>
      <w:lvlText w:val="%1.%2.%3.%4.%5.%6.%7.%8"/>
      <w:lvlJc w:val="left"/>
      <w:pPr>
        <w:pStyle w:val="775"/>
        <w:ind w:left="900" w:hanging="900"/>
        <w:tabs>
          <w:tab w:val="num" w:pos="900" w:leader="none"/>
        </w:tabs>
      </w:pPr>
      <w:rPr>
        <w:rFonts w:hint="eastAsia"/>
      </w:rPr>
    </w:lvl>
    <w:lvl w:ilvl="8">
      <w:start w:val="1"/>
      <w:numFmt w:val="decimal"/>
      <w:isLgl w:val="false"/>
      <w:suff w:val="tab"/>
      <w:lvlText w:val="%1.%2.%3.%4.%5.%6.%7.%8.%9"/>
      <w:lvlJc w:val="left"/>
      <w:pPr>
        <w:pStyle w:val="77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75"/>
        <w:ind w:left="900" w:hanging="900"/>
        <w:tabs>
          <w:tab w:val="num" w:pos="900" w:leader="none"/>
        </w:tabs>
      </w:pPr>
      <w:rPr>
        <w:rFonts w:hint="eastAsia"/>
      </w:rPr>
    </w:lvl>
    <w:lvl w:ilvl="1">
      <w:start w:val="1"/>
      <w:numFmt w:val="decimal"/>
      <w:isLgl w:val="false"/>
      <w:suff w:val="tab"/>
      <w:lvlText w:val="%1.%2"/>
      <w:lvlJc w:val="left"/>
      <w:pPr>
        <w:pStyle w:val="775"/>
        <w:ind w:left="1468" w:hanging="900"/>
        <w:tabs>
          <w:tab w:val="num" w:pos="1589" w:leader="none"/>
        </w:tabs>
      </w:pPr>
      <w:rPr>
        <w:rFonts w:ascii="Arial Unicode MS" w:hAnsi="Arial Unicode MS" w:cs="Arial Unicode MS"/>
        <w:sz w:val="24"/>
        <w:szCs w:val="24"/>
      </w:rPr>
    </w:lvl>
    <w:lvl w:ilvl="2">
      <w:start w:val="1"/>
      <w:numFmt w:val="decimal"/>
      <w:isLgl w:val="false"/>
      <w:suff w:val="tab"/>
      <w:lvlText w:val="%1.%2.%3"/>
      <w:lvlJc w:val="left"/>
      <w:pPr>
        <w:pStyle w:val="775"/>
        <w:ind w:left="1980" w:hanging="900"/>
        <w:tabs>
          <w:tab w:val="num" w:pos="1980" w:leader="none"/>
        </w:tabs>
      </w:pPr>
      <w:rPr>
        <w:rFonts w:hint="eastAsia"/>
      </w:rPr>
    </w:lvl>
    <w:lvl w:ilvl="3">
      <w:start w:val="1"/>
      <w:numFmt w:val="decimal"/>
      <w:isLgl w:val="false"/>
      <w:suff w:val="tab"/>
      <w:lvlText w:val="3.2.1.%4."/>
      <w:lvlJc w:val="left"/>
      <w:pPr>
        <w:pStyle w:val="775"/>
        <w:ind w:left="900" w:hanging="900"/>
        <w:tabs>
          <w:tab w:val="num" w:pos="900" w:leader="none"/>
        </w:tabs>
      </w:pPr>
      <w:rPr>
        <w:rFonts w:hint="eastAsia"/>
      </w:rPr>
    </w:lvl>
    <w:lvl w:ilvl="4">
      <w:start w:val="1"/>
      <w:numFmt w:val="decimal"/>
      <w:isLgl w:val="false"/>
      <w:suff w:val="tab"/>
      <w:lvlText w:val="%1.%2.%3.%4.%5"/>
      <w:lvlJc w:val="left"/>
      <w:pPr>
        <w:pStyle w:val="775"/>
        <w:ind w:left="900" w:hanging="900"/>
        <w:tabs>
          <w:tab w:val="num" w:pos="900" w:leader="none"/>
        </w:tabs>
      </w:pPr>
      <w:rPr>
        <w:rFonts w:hint="eastAsia"/>
      </w:rPr>
    </w:lvl>
    <w:lvl w:ilvl="5">
      <w:start w:val="1"/>
      <w:numFmt w:val="decimal"/>
      <w:isLgl w:val="false"/>
      <w:suff w:val="tab"/>
      <w:lvlText w:val="%1.%2.%3.%4.%5.%6"/>
      <w:lvlJc w:val="left"/>
      <w:pPr>
        <w:pStyle w:val="775"/>
        <w:ind w:left="900" w:hanging="900"/>
        <w:tabs>
          <w:tab w:val="num" w:pos="900" w:leader="none"/>
        </w:tabs>
      </w:pPr>
      <w:rPr>
        <w:rFonts w:hint="eastAsia"/>
      </w:rPr>
    </w:lvl>
    <w:lvl w:ilvl="6">
      <w:start w:val="1"/>
      <w:numFmt w:val="decimal"/>
      <w:isLgl w:val="false"/>
      <w:suff w:val="tab"/>
      <w:lvlText w:val="%1.%2.%3.%4.%5.%6.%7"/>
      <w:lvlJc w:val="left"/>
      <w:pPr>
        <w:pStyle w:val="775"/>
        <w:ind w:left="900" w:hanging="900"/>
        <w:tabs>
          <w:tab w:val="num" w:pos="900" w:leader="none"/>
        </w:tabs>
      </w:pPr>
      <w:rPr>
        <w:rFonts w:hint="eastAsia"/>
      </w:rPr>
    </w:lvl>
    <w:lvl w:ilvl="7">
      <w:start w:val="1"/>
      <w:numFmt w:val="decimal"/>
      <w:isLgl w:val="false"/>
      <w:suff w:val="tab"/>
      <w:lvlText w:val="%1.%2.%3.%4.%5.%6.%7.%8"/>
      <w:lvlJc w:val="left"/>
      <w:pPr>
        <w:pStyle w:val="775"/>
        <w:ind w:left="900" w:hanging="900"/>
        <w:tabs>
          <w:tab w:val="num" w:pos="900" w:leader="none"/>
        </w:tabs>
      </w:pPr>
      <w:rPr>
        <w:rFonts w:hint="eastAsia"/>
      </w:rPr>
    </w:lvl>
    <w:lvl w:ilvl="8">
      <w:start w:val="1"/>
      <w:numFmt w:val="decimal"/>
      <w:isLgl w:val="false"/>
      <w:suff w:val="tab"/>
      <w:lvlText w:val="%1.%2.%3.%4.%5.%6.%7.%8.%9"/>
      <w:lvlJc w:val="left"/>
      <w:pPr>
        <w:pStyle w:val="77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775"/>
        <w:ind w:left="900" w:hanging="900"/>
        <w:tabs>
          <w:tab w:val="num" w:pos="900" w:leader="none"/>
        </w:tabs>
      </w:pPr>
      <w:rPr>
        <w:rFonts w:hint="eastAsia"/>
      </w:rPr>
    </w:lvl>
    <w:lvl w:ilvl="1">
      <w:start w:val="1"/>
      <w:numFmt w:val="decimal"/>
      <w:isLgl w:val="false"/>
      <w:suff w:val="tab"/>
      <w:lvlText w:val="%1.%2"/>
      <w:lvlJc w:val="left"/>
      <w:pPr>
        <w:pStyle w:val="775"/>
        <w:ind w:left="1468" w:hanging="900"/>
        <w:tabs>
          <w:tab w:val="num" w:pos="1589" w:leader="none"/>
        </w:tabs>
      </w:pPr>
      <w:rPr>
        <w:rFonts w:ascii="Arial Unicode MS" w:hAnsi="Arial Unicode MS" w:cs="Arial Unicode MS"/>
        <w:sz w:val="24"/>
        <w:szCs w:val="24"/>
      </w:rPr>
    </w:lvl>
    <w:lvl w:ilvl="2">
      <w:start w:val="1"/>
      <w:numFmt w:val="decimal"/>
      <w:isLgl w:val="false"/>
      <w:suff w:val="tab"/>
      <w:lvlText w:val="%1.%2.%3"/>
      <w:lvlJc w:val="left"/>
      <w:pPr>
        <w:pStyle w:val="775"/>
        <w:ind w:left="1980" w:hanging="900"/>
        <w:tabs>
          <w:tab w:val="num" w:pos="1980" w:leader="none"/>
        </w:tabs>
      </w:pPr>
      <w:rPr>
        <w:rFonts w:hint="eastAsia"/>
      </w:rPr>
    </w:lvl>
    <w:lvl w:ilvl="3">
      <w:start w:val="1"/>
      <w:numFmt w:val="decimal"/>
      <w:isLgl w:val="false"/>
      <w:suff w:val="tab"/>
      <w:lvlText w:val="3.2.3.%4."/>
      <w:lvlJc w:val="left"/>
      <w:pPr>
        <w:pStyle w:val="775"/>
        <w:ind w:left="900" w:hanging="900"/>
        <w:tabs>
          <w:tab w:val="num" w:pos="900" w:leader="none"/>
        </w:tabs>
      </w:pPr>
      <w:rPr>
        <w:rFonts w:hint="eastAsia"/>
      </w:rPr>
    </w:lvl>
    <w:lvl w:ilvl="4">
      <w:start w:val="1"/>
      <w:numFmt w:val="decimal"/>
      <w:isLgl w:val="false"/>
      <w:suff w:val="tab"/>
      <w:lvlText w:val="%1.%2.%3.%4.%5"/>
      <w:lvlJc w:val="left"/>
      <w:pPr>
        <w:pStyle w:val="775"/>
        <w:ind w:left="900" w:hanging="900"/>
        <w:tabs>
          <w:tab w:val="num" w:pos="900" w:leader="none"/>
        </w:tabs>
      </w:pPr>
      <w:rPr>
        <w:rFonts w:hint="eastAsia"/>
      </w:rPr>
    </w:lvl>
    <w:lvl w:ilvl="5">
      <w:start w:val="1"/>
      <w:numFmt w:val="decimal"/>
      <w:isLgl w:val="false"/>
      <w:suff w:val="tab"/>
      <w:lvlText w:val="%1.%2.%3.%4.%5.%6"/>
      <w:lvlJc w:val="left"/>
      <w:pPr>
        <w:pStyle w:val="775"/>
        <w:ind w:left="900" w:hanging="900"/>
        <w:tabs>
          <w:tab w:val="num" w:pos="900" w:leader="none"/>
        </w:tabs>
      </w:pPr>
      <w:rPr>
        <w:rFonts w:hint="eastAsia"/>
      </w:rPr>
    </w:lvl>
    <w:lvl w:ilvl="6">
      <w:start w:val="1"/>
      <w:numFmt w:val="decimal"/>
      <w:isLgl w:val="false"/>
      <w:suff w:val="tab"/>
      <w:lvlText w:val="%1.%2.%3.%4.%5.%6.%7"/>
      <w:lvlJc w:val="left"/>
      <w:pPr>
        <w:pStyle w:val="775"/>
        <w:ind w:left="900" w:hanging="900"/>
        <w:tabs>
          <w:tab w:val="num" w:pos="900" w:leader="none"/>
        </w:tabs>
      </w:pPr>
      <w:rPr>
        <w:rFonts w:hint="eastAsia"/>
      </w:rPr>
    </w:lvl>
    <w:lvl w:ilvl="7">
      <w:start w:val="1"/>
      <w:numFmt w:val="decimal"/>
      <w:isLgl w:val="false"/>
      <w:suff w:val="tab"/>
      <w:lvlText w:val="%1.%2.%3.%4.%5.%6.%7.%8"/>
      <w:lvlJc w:val="left"/>
      <w:pPr>
        <w:pStyle w:val="775"/>
        <w:ind w:left="900" w:hanging="900"/>
        <w:tabs>
          <w:tab w:val="num" w:pos="900" w:leader="none"/>
        </w:tabs>
      </w:pPr>
      <w:rPr>
        <w:rFonts w:hint="eastAsia"/>
      </w:rPr>
    </w:lvl>
    <w:lvl w:ilvl="8">
      <w:start w:val="1"/>
      <w:numFmt w:val="decimal"/>
      <w:isLgl w:val="false"/>
      <w:suff w:val="tab"/>
      <w:lvlText w:val="%1.%2.%3.%4.%5.%6.%7.%8.%9"/>
      <w:lvlJc w:val="left"/>
      <w:pPr>
        <w:pStyle w:val="775"/>
        <w:ind w:left="900" w:hanging="900"/>
        <w:tabs>
          <w:tab w:val="num" w:pos="900" w:leader="none"/>
        </w:tabs>
      </w:pPr>
      <w:rPr>
        <w:rFonts w:hint="eastAsia"/>
      </w:rPr>
    </w:lvl>
  </w:abstractNum>
  <w:num w:numId="1">
    <w:abstractNumId w:val="5"/>
  </w:num>
  <w:num w:numId="2">
    <w:abstractNumId w:val="9"/>
  </w:num>
  <w:num w:numId="3">
    <w:abstractNumId w:val="3"/>
  </w:num>
  <w:num w:numId="4">
    <w:abstractNumId w:val="4"/>
  </w:num>
  <w:num w:numId="5">
    <w:abstractNumId w:val="2"/>
  </w:num>
  <w:num w:numId="6">
    <w:abstractNumId w:val="8"/>
  </w:num>
  <w:num w:numId="7">
    <w:abstractNumId w:val="6"/>
  </w:num>
  <w:num w:numId="8">
    <w:abstractNumId w:val="7"/>
  </w:num>
  <w:num w:numId="9">
    <w:abstractNumId w:val="11"/>
  </w:num>
  <w:num w:numId="10">
    <w:abstractNumId w:val="12"/>
  </w:num>
  <w:num w:numId="11">
    <w:abstractNumId w:val="1"/>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5"/>
    <w:next w:val="7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5"/>
    <w:next w:val="7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5"/>
    <w:next w:val="7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5"/>
    <w:next w:val="7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5"/>
    <w:next w:val="7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5"/>
    <w:next w:val="77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5"/>
    <w:next w:val="7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5"/>
    <w:next w:val="7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5"/>
    <w:next w:val="775"/>
    <w:uiPriority w:val="39"/>
    <w:unhideWhenUsed/>
    <w:pPr>
      <w:ind w:left="0" w:right="0" w:firstLine="0"/>
      <w:spacing w:after="57"/>
    </w:pPr>
  </w:style>
  <w:style w:type="paragraph" w:styleId="181">
    <w:name w:val="toc 2"/>
    <w:basedOn w:val="775"/>
    <w:next w:val="775"/>
    <w:uiPriority w:val="39"/>
    <w:unhideWhenUsed/>
    <w:pPr>
      <w:ind w:left="283" w:right="0" w:firstLine="0"/>
      <w:spacing w:after="57"/>
    </w:pPr>
  </w:style>
  <w:style w:type="paragraph" w:styleId="182">
    <w:name w:val="toc 3"/>
    <w:basedOn w:val="775"/>
    <w:next w:val="775"/>
    <w:uiPriority w:val="39"/>
    <w:unhideWhenUsed/>
    <w:pPr>
      <w:ind w:left="567" w:right="0" w:firstLine="0"/>
      <w:spacing w:after="57"/>
    </w:pPr>
  </w:style>
  <w:style w:type="paragraph" w:styleId="183">
    <w:name w:val="toc 4"/>
    <w:basedOn w:val="775"/>
    <w:next w:val="775"/>
    <w:uiPriority w:val="39"/>
    <w:unhideWhenUsed/>
    <w:pPr>
      <w:ind w:left="850" w:right="0" w:firstLine="0"/>
      <w:spacing w:after="57"/>
    </w:p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6">
    <w:name w:val="toc 7"/>
    <w:basedOn w:val="775"/>
    <w:next w:val="775"/>
    <w:uiPriority w:val="39"/>
    <w:unhideWhenUsed/>
    <w:pPr>
      <w:ind w:left="1701"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sz w:val="21"/>
      <w:szCs w:val="24"/>
      <w:lang w:val="en-US" w:eastAsia="zh-CN" w:bidi="ar-SA"/>
    </w:rPr>
  </w:style>
  <w:style w:type="paragraph" w:styleId="776">
    <w:name w:val="标题 1"/>
    <w:basedOn w:val="775"/>
    <w:next w:val="775"/>
    <w:link w:val="787"/>
    <w:qFormat/>
    <w:pPr>
      <w:jc w:val="center"/>
      <w:keepLines/>
      <w:keepNext/>
      <w:spacing w:before="240" w:after="120" w:line="300" w:lineRule="auto"/>
      <w:outlineLvl w:val="0"/>
    </w:pPr>
    <w:rPr>
      <w:rFonts w:ascii="Century Gothic"/>
      <w:b/>
      <w:sz w:val="32"/>
      <w:szCs w:val="20"/>
    </w:rPr>
  </w:style>
  <w:style w:type="paragraph" w:styleId="777">
    <w:name w:val="标题 2"/>
    <w:basedOn w:val="775"/>
    <w:next w:val="775"/>
    <w:link w:val="788"/>
    <w:qFormat/>
    <w:pPr>
      <w:jc w:val="center"/>
      <w:keepLines/>
      <w:keepNext/>
      <w:spacing w:before="120" w:line="300" w:lineRule="auto"/>
      <w:outlineLvl w:val="1"/>
    </w:pPr>
    <w:rPr>
      <w:rFonts w:ascii="Courier New" w:hAnsi="Courier New" w:eastAsia="楷体_GB2312"/>
      <w:b/>
      <w:sz w:val="30"/>
      <w:szCs w:val="20"/>
    </w:rPr>
  </w:style>
  <w:style w:type="paragraph" w:styleId="778">
    <w:name w:val="标题 3"/>
    <w:basedOn w:val="775"/>
    <w:next w:val="790"/>
    <w:link w:val="789"/>
    <w:qFormat/>
    <w:pPr>
      <w:jc w:val="left"/>
      <w:keepLines/>
      <w:keepNext/>
      <w:spacing w:before="360" w:after="120"/>
      <w:outlineLvl w:val="2"/>
    </w:pPr>
    <w:rPr>
      <w:rFonts w:ascii="Century Gothic"/>
      <w:b/>
      <w:sz w:val="24"/>
      <w:szCs w:val="20"/>
      <w:u w:val="single"/>
    </w:rPr>
  </w:style>
  <w:style w:type="paragraph" w:styleId="779">
    <w:name w:val="标题 4"/>
    <w:basedOn w:val="775"/>
    <w:next w:val="775"/>
    <w:link w:val="793"/>
    <w:qFormat/>
    <w:pPr>
      <w:keepLines/>
      <w:keepNext/>
      <w:spacing w:before="280" w:after="290" w:line="376" w:lineRule="atLeast"/>
      <w:outlineLvl w:val="3"/>
    </w:pPr>
    <w:rPr>
      <w:rFonts w:ascii="Courier New" w:hAnsi="Courier New" w:eastAsia="楷体_GB2312"/>
      <w:b/>
      <w:sz w:val="28"/>
      <w:szCs w:val="20"/>
    </w:rPr>
  </w:style>
  <w:style w:type="paragraph" w:styleId="780">
    <w:name w:val="标题 5"/>
    <w:basedOn w:val="775"/>
    <w:next w:val="775"/>
    <w:link w:val="794"/>
    <w:qFormat/>
    <w:pPr>
      <w:keepLines/>
      <w:keepNext/>
      <w:spacing w:before="280" w:after="290" w:line="376" w:lineRule="atLeast"/>
      <w:outlineLvl w:val="4"/>
    </w:pPr>
    <w:rPr>
      <w:b/>
      <w:sz w:val="28"/>
      <w:szCs w:val="20"/>
    </w:rPr>
  </w:style>
  <w:style w:type="paragraph" w:styleId="781">
    <w:name w:val="标题 6"/>
    <w:basedOn w:val="775"/>
    <w:next w:val="775"/>
    <w:link w:val="795"/>
    <w:qFormat/>
    <w:pPr>
      <w:keepLines/>
      <w:keepNext/>
      <w:spacing w:before="240" w:after="64" w:line="320" w:lineRule="atLeast"/>
      <w:outlineLvl w:val="5"/>
    </w:pPr>
    <w:rPr>
      <w:rFonts w:ascii="Courier New" w:hAnsi="Courier New" w:eastAsia="楷体_GB2312"/>
      <w:b/>
      <w:sz w:val="24"/>
      <w:szCs w:val="20"/>
    </w:rPr>
  </w:style>
  <w:style w:type="paragraph" w:styleId="782">
    <w:name w:val="标题 7"/>
    <w:basedOn w:val="775"/>
    <w:next w:val="775"/>
    <w:link w:val="796"/>
    <w:qFormat/>
    <w:pPr>
      <w:keepLines/>
      <w:keepNext/>
      <w:spacing w:before="240" w:after="64" w:line="320" w:lineRule="atLeast"/>
      <w:outlineLvl w:val="6"/>
    </w:pPr>
    <w:rPr>
      <w:b/>
      <w:sz w:val="24"/>
      <w:szCs w:val="20"/>
    </w:rPr>
  </w:style>
  <w:style w:type="paragraph" w:styleId="783">
    <w:name w:val="标题 8"/>
    <w:basedOn w:val="775"/>
    <w:next w:val="775"/>
    <w:link w:val="797"/>
    <w:qFormat/>
    <w:pPr>
      <w:keepLines/>
      <w:keepNext/>
      <w:spacing w:before="240" w:after="64" w:line="320" w:lineRule="atLeast"/>
      <w:outlineLvl w:val="7"/>
    </w:pPr>
    <w:rPr>
      <w:rFonts w:ascii="Courier New" w:hAnsi="Courier New" w:eastAsia="楷体_GB2312"/>
      <w:sz w:val="24"/>
      <w:szCs w:val="20"/>
    </w:rPr>
  </w:style>
  <w:style w:type="paragraph" w:styleId="784">
    <w:name w:val="标题 9"/>
    <w:basedOn w:val="775"/>
    <w:next w:val="775"/>
    <w:link w:val="798"/>
    <w:qFormat/>
    <w:pPr>
      <w:keepLines/>
      <w:keepNext/>
      <w:spacing w:before="240" w:after="64" w:line="320" w:lineRule="atLeast"/>
      <w:outlineLvl w:val="8"/>
    </w:pPr>
    <w:rPr>
      <w:rFonts w:ascii="Courier New" w:hAnsi="Courier New" w:eastAsia="楷体_GB2312"/>
      <w:szCs w:val="20"/>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标题 1 Char"/>
    <w:next w:val="787"/>
    <w:link w:val="776"/>
    <w:qFormat/>
    <w:rPr>
      <w:rFonts w:ascii="Century Gothic"/>
      <w:b/>
      <w:sz w:val="32"/>
    </w:rPr>
  </w:style>
  <w:style w:type="character" w:styleId="788">
    <w:name w:val="标题 2 Char1"/>
    <w:next w:val="788"/>
    <w:link w:val="777"/>
    <w:qFormat/>
    <w:rPr>
      <w:rFonts w:ascii="Courier New" w:hAnsi="Courier New" w:eastAsia="楷体_GB2312"/>
      <w:b/>
      <w:sz w:val="30"/>
      <w:lang w:val="en-US" w:eastAsia="zh-CN" w:bidi="ar-SA"/>
    </w:rPr>
  </w:style>
  <w:style w:type="character" w:styleId="789">
    <w:name w:val="标题 3 Char1"/>
    <w:next w:val="789"/>
    <w:link w:val="778"/>
    <w:qFormat/>
    <w:rPr>
      <w:rFonts w:ascii="Century Gothic" w:eastAsia="Century Gothic"/>
      <w:b/>
      <w:sz w:val="24"/>
      <w:u w:val="single"/>
      <w:lang w:val="en-US" w:eastAsia="zh-CN" w:bidi="ar-SA"/>
    </w:rPr>
  </w:style>
  <w:style w:type="paragraph" w:styleId="790">
    <w:name w:val="Í¼±íÕýÎÄ"/>
    <w:basedOn w:val="775"/>
    <w:next w:val="791"/>
    <w:link w:val="775"/>
    <w:qFormat/>
    <w:pPr>
      <w:ind w:firstLine="420"/>
    </w:pPr>
    <w:rPr>
      <w:sz w:val="24"/>
      <w:szCs w:val="20"/>
    </w:rPr>
  </w:style>
  <w:style w:type="paragraph" w:styleId="791">
    <w:name w:val="正文缩进"/>
    <w:basedOn w:val="775"/>
    <w:next w:val="775"/>
    <w:link w:val="792"/>
    <w:qFormat/>
    <w:pPr>
      <w:ind w:firstLine="420"/>
      <w:jc w:val="left"/>
    </w:pPr>
    <w:rPr>
      <w:rFonts w:ascii="Century Gothic"/>
      <w:sz w:val="24"/>
    </w:rPr>
  </w:style>
  <w:style w:type="character" w:styleId="792">
    <w:name w:val="正文缩进 Char1"/>
    <w:next w:val="792"/>
    <w:link w:val="791"/>
    <w:qFormat/>
    <w:rPr>
      <w:rFonts w:ascii="Century Gothic" w:eastAsia="Century Gothic"/>
      <w:sz w:val="24"/>
      <w:szCs w:val="24"/>
      <w:lang w:val="en-US" w:eastAsia="zh-CN" w:bidi="ar-SA"/>
    </w:rPr>
  </w:style>
  <w:style w:type="character" w:styleId="793">
    <w:name w:val="标题 4 Char"/>
    <w:next w:val="793"/>
    <w:link w:val="779"/>
    <w:qFormat/>
    <w:rPr>
      <w:rFonts w:ascii="Courier New" w:hAnsi="Courier New" w:eastAsia="楷体_GB2312"/>
      <w:b/>
      <w:sz w:val="28"/>
    </w:rPr>
  </w:style>
  <w:style w:type="character" w:styleId="794">
    <w:name w:val="标题 5 Char"/>
    <w:next w:val="794"/>
    <w:link w:val="780"/>
    <w:qFormat/>
    <w:rPr>
      <w:b/>
      <w:sz w:val="28"/>
    </w:rPr>
  </w:style>
  <w:style w:type="character" w:styleId="795">
    <w:name w:val="标题 6 Char"/>
    <w:next w:val="795"/>
    <w:link w:val="781"/>
    <w:qFormat/>
    <w:rPr>
      <w:rFonts w:ascii="Courier New" w:hAnsi="Courier New" w:eastAsia="楷体_GB2312"/>
      <w:b/>
      <w:sz w:val="24"/>
    </w:rPr>
  </w:style>
  <w:style w:type="character" w:styleId="796">
    <w:name w:val="标题 7 Char"/>
    <w:next w:val="796"/>
    <w:link w:val="782"/>
    <w:qFormat/>
    <w:rPr>
      <w:b/>
      <w:sz w:val="24"/>
    </w:rPr>
  </w:style>
  <w:style w:type="character" w:styleId="797">
    <w:name w:val="标题 8 Char"/>
    <w:next w:val="797"/>
    <w:link w:val="783"/>
    <w:qFormat/>
    <w:rPr>
      <w:rFonts w:ascii="Courier New" w:hAnsi="Courier New" w:eastAsia="楷体_GB2312"/>
      <w:sz w:val="24"/>
    </w:rPr>
  </w:style>
  <w:style w:type="character" w:styleId="798">
    <w:name w:val="标题 9 Char"/>
    <w:next w:val="798"/>
    <w:link w:val="784"/>
    <w:qFormat/>
    <w:rPr>
      <w:rFonts w:ascii="Courier New" w:hAnsi="Courier New" w:eastAsia="楷体_GB2312"/>
      <w:sz w:val="21"/>
    </w:rPr>
  </w:style>
  <w:style w:type="paragraph" w:styleId="799">
    <w:name w:val="目录 7"/>
    <w:basedOn w:val="775"/>
    <w:next w:val="775"/>
    <w:link w:val="775"/>
    <w:qFormat/>
    <w:pPr>
      <w:ind w:left="2520"/>
    </w:pPr>
  </w:style>
  <w:style w:type="paragraph" w:styleId="800">
    <w:name w:val="题注"/>
    <w:basedOn w:val="775"/>
    <w:next w:val="775"/>
    <w:link w:val="775"/>
    <w:qFormat/>
    <w:pPr>
      <w:spacing w:line="480" w:lineRule="auto"/>
    </w:pPr>
    <w:rPr>
      <w:rFonts w:ascii="MingLiU" w:hAnsi="MingLiU" w:eastAsia="MingLiU"/>
      <w:sz w:val="36"/>
      <w:szCs w:val="20"/>
    </w:rPr>
  </w:style>
  <w:style w:type="paragraph" w:styleId="801">
    <w:name w:val="文档结构图"/>
    <w:basedOn w:val="775"/>
    <w:next w:val="801"/>
    <w:link w:val="802"/>
    <w:qFormat/>
    <w:pPr>
      <w:shd w:val="clear" w:color="auto" w:fill="000080"/>
    </w:pPr>
  </w:style>
  <w:style w:type="character" w:styleId="802">
    <w:name w:val="文档结构图 Char"/>
    <w:next w:val="802"/>
    <w:link w:val="801"/>
    <w:qFormat/>
    <w:rPr>
      <w:sz w:val="21"/>
      <w:szCs w:val="24"/>
      <w:shd w:val="clear" w:color="auto" w:fill="000080"/>
    </w:rPr>
  </w:style>
  <w:style w:type="paragraph" w:styleId="803">
    <w:name w:val="批注文字"/>
    <w:basedOn w:val="775"/>
    <w:next w:val="803"/>
    <w:link w:val="804"/>
    <w:qFormat/>
    <w:pPr>
      <w:jc w:val="left"/>
    </w:pPr>
  </w:style>
  <w:style w:type="character" w:styleId="804">
    <w:name w:val="批注文字 Char1"/>
    <w:next w:val="804"/>
    <w:link w:val="803"/>
    <w:uiPriority w:val="99"/>
    <w:qFormat/>
    <w:rPr>
      <w:sz w:val="21"/>
      <w:szCs w:val="24"/>
    </w:rPr>
  </w:style>
  <w:style w:type="paragraph" w:styleId="805">
    <w:name w:val="正文文本 3"/>
    <w:basedOn w:val="775"/>
    <w:next w:val="805"/>
    <w:link w:val="806"/>
    <w:qFormat/>
    <w:pPr>
      <w:spacing w:after="120"/>
    </w:pPr>
    <w:rPr>
      <w:sz w:val="16"/>
      <w:szCs w:val="16"/>
    </w:rPr>
  </w:style>
  <w:style w:type="character" w:styleId="806">
    <w:name w:val="正文文本 3 Char"/>
    <w:next w:val="806"/>
    <w:link w:val="805"/>
    <w:qFormat/>
    <w:rPr>
      <w:sz w:val="16"/>
      <w:szCs w:val="16"/>
    </w:rPr>
  </w:style>
  <w:style w:type="paragraph" w:styleId="807">
    <w:name w:val="正文文本"/>
    <w:basedOn w:val="775"/>
    <w:next w:val="775"/>
    <w:link w:val="808"/>
    <w:qFormat/>
    <w:pPr>
      <w:spacing w:before="120" w:line="22" w:lineRule="atLeast"/>
      <w:tabs>
        <w:tab w:val="left" w:pos="567" w:leader="none"/>
      </w:tabs>
    </w:pPr>
    <w:rPr>
      <w:rFonts w:ascii="Century Gothic" w:hAnsi="Century Gothic"/>
      <w:sz w:val="24"/>
    </w:rPr>
  </w:style>
  <w:style w:type="character" w:styleId="808">
    <w:name w:val="正文文本 Char"/>
    <w:next w:val="808"/>
    <w:link w:val="807"/>
    <w:qFormat/>
    <w:rPr>
      <w:rFonts w:ascii="Century Gothic" w:hAnsi="Century Gothic"/>
      <w:sz w:val="24"/>
      <w:szCs w:val="24"/>
    </w:rPr>
  </w:style>
  <w:style w:type="paragraph" w:styleId="809">
    <w:name w:val="正文文本缩进"/>
    <w:basedOn w:val="775"/>
    <w:next w:val="809"/>
    <w:link w:val="810"/>
    <w:qFormat/>
    <w:pPr>
      <w:ind w:firstLine="570"/>
      <w:spacing w:line="360" w:lineRule="auto"/>
    </w:pPr>
    <w:rPr>
      <w:sz w:val="24"/>
    </w:rPr>
  </w:style>
  <w:style w:type="character" w:styleId="810">
    <w:name w:val="正文文本缩进 Char2"/>
    <w:next w:val="810"/>
    <w:link w:val="809"/>
    <w:qFormat/>
    <w:rPr>
      <w:rFonts w:eastAsia="Century Gothic"/>
      <w:sz w:val="24"/>
      <w:szCs w:val="24"/>
      <w:lang w:val="en-US" w:eastAsia="zh-CN" w:bidi="ar-SA"/>
    </w:rPr>
  </w:style>
  <w:style w:type="paragraph" w:styleId="811">
    <w:name w:val="列表 2"/>
    <w:basedOn w:val="775"/>
    <w:next w:val="811"/>
    <w:link w:val="775"/>
    <w:qFormat/>
    <w:pPr>
      <w:ind w:left="100" w:hanging="200"/>
    </w:pPr>
  </w:style>
  <w:style w:type="paragraph" w:styleId="812">
    <w:name w:val="文本块"/>
    <w:basedOn w:val="775"/>
    <w:next w:val="812"/>
    <w:link w:val="775"/>
    <w:qFormat/>
    <w:pPr>
      <w:ind w:left="480" w:right="-341" w:firstLine="513"/>
      <w:widowControl/>
    </w:pPr>
    <w:rPr>
      <w:sz w:val="24"/>
      <w:szCs w:val="20"/>
    </w:rPr>
  </w:style>
  <w:style w:type="paragraph" w:styleId="813">
    <w:name w:val="目录 5"/>
    <w:basedOn w:val="775"/>
    <w:next w:val="775"/>
    <w:link w:val="775"/>
    <w:qFormat/>
    <w:pPr>
      <w:ind w:left="1680"/>
    </w:pPr>
  </w:style>
  <w:style w:type="paragraph" w:styleId="814">
    <w:name w:val="目录 3"/>
    <w:basedOn w:val="775"/>
    <w:next w:val="775"/>
    <w:link w:val="775"/>
    <w:uiPriority w:val="39"/>
    <w:qFormat/>
    <w:pPr>
      <w:ind w:left="840"/>
    </w:pPr>
  </w:style>
  <w:style w:type="paragraph" w:styleId="815">
    <w:name w:val="纯文本"/>
    <w:basedOn w:val="775"/>
    <w:next w:val="815"/>
    <w:link w:val="816"/>
    <w:qFormat/>
    <w:rPr>
      <w:rFonts w:hint="eastAsia" w:ascii="Century Gothic" w:hAnsi="Symbol"/>
      <w:szCs w:val="20"/>
    </w:rPr>
  </w:style>
  <w:style w:type="character" w:styleId="816">
    <w:name w:val="纯文本 Char"/>
    <w:next w:val="816"/>
    <w:link w:val="815"/>
    <w:qFormat/>
    <w:rPr>
      <w:rFonts w:hint="eastAsia" w:ascii="Century Gothic" w:hAnsi="Symbol" w:eastAsia="Century Gothic" w:cs="Century Gothic"/>
      <w:sz w:val="21"/>
    </w:rPr>
  </w:style>
  <w:style w:type="paragraph" w:styleId="817">
    <w:name w:val="目录 8"/>
    <w:basedOn w:val="775"/>
    <w:next w:val="775"/>
    <w:link w:val="775"/>
    <w:qFormat/>
    <w:pPr>
      <w:ind w:left="2940"/>
    </w:pPr>
  </w:style>
  <w:style w:type="paragraph" w:styleId="818">
    <w:name w:val="日期"/>
    <w:basedOn w:val="775"/>
    <w:next w:val="775"/>
    <w:link w:val="819"/>
    <w:qFormat/>
    <w:pPr>
      <w:ind w:left="100"/>
    </w:pPr>
    <w:rPr>
      <w:rFonts w:ascii="Cambria Math" w:hAnsi="Century Gothic" w:eastAsia="Cambria Math"/>
      <w:color w:val="000000"/>
      <w:sz w:val="24"/>
    </w:rPr>
  </w:style>
  <w:style w:type="character" w:styleId="819">
    <w:name w:val="日期 Char"/>
    <w:next w:val="819"/>
    <w:link w:val="818"/>
    <w:qFormat/>
    <w:rPr>
      <w:rFonts w:ascii="Cambria Math" w:hAnsi="Century Gothic" w:eastAsia="Cambria Math"/>
      <w:color w:val="000000"/>
      <w:sz w:val="24"/>
      <w:szCs w:val="24"/>
    </w:rPr>
  </w:style>
  <w:style w:type="paragraph" w:styleId="820">
    <w:name w:val="正文文本缩进 2"/>
    <w:basedOn w:val="775"/>
    <w:next w:val="820"/>
    <w:link w:val="821"/>
    <w:qFormat/>
    <w:pPr>
      <w:ind w:firstLine="480"/>
    </w:pPr>
    <w:rPr>
      <w:rFonts w:ascii="Cambria Math" w:eastAsia="Cambria Math"/>
      <w:sz w:val="24"/>
    </w:rPr>
  </w:style>
  <w:style w:type="character" w:styleId="821">
    <w:name w:val="正文文本缩进 2 Char"/>
    <w:next w:val="821"/>
    <w:link w:val="820"/>
    <w:qFormat/>
    <w:rPr>
      <w:rFonts w:ascii="Cambria Math" w:eastAsia="Cambria Math"/>
      <w:sz w:val="24"/>
      <w:szCs w:val="24"/>
    </w:rPr>
  </w:style>
  <w:style w:type="paragraph" w:styleId="822">
    <w:name w:val="批注框文本"/>
    <w:basedOn w:val="775"/>
    <w:next w:val="822"/>
    <w:link w:val="823"/>
    <w:qFormat/>
    <w:rPr>
      <w:sz w:val="18"/>
      <w:szCs w:val="18"/>
    </w:rPr>
  </w:style>
  <w:style w:type="character" w:styleId="823">
    <w:name w:val="批注框文本 Char"/>
    <w:next w:val="823"/>
    <w:link w:val="822"/>
    <w:qFormat/>
    <w:rPr>
      <w:sz w:val="18"/>
      <w:szCs w:val="18"/>
    </w:rPr>
  </w:style>
  <w:style w:type="paragraph" w:styleId="824">
    <w:name w:val="页脚"/>
    <w:basedOn w:val="775"/>
    <w:next w:val="824"/>
    <w:link w:val="825"/>
    <w:uiPriority w:val="99"/>
    <w:qFormat/>
    <w:pPr>
      <w:jc w:val="left"/>
      <w:tabs>
        <w:tab w:val="center" w:pos="4153" w:leader="none"/>
        <w:tab w:val="right" w:pos="8306" w:leader="none"/>
      </w:tabs>
    </w:pPr>
    <w:rPr>
      <w:rFonts w:ascii="Century Gothic"/>
      <w:sz w:val="18"/>
      <w:szCs w:val="20"/>
    </w:rPr>
  </w:style>
  <w:style w:type="character" w:styleId="825">
    <w:name w:val="页脚 Char1"/>
    <w:next w:val="825"/>
    <w:link w:val="824"/>
    <w:uiPriority w:val="99"/>
    <w:qFormat/>
    <w:rPr>
      <w:rFonts w:ascii="Century Gothic" w:eastAsia="Century Gothic"/>
      <w:sz w:val="18"/>
      <w:lang w:val="en-US" w:eastAsia="zh-CN" w:bidi="ar-SA"/>
    </w:rPr>
  </w:style>
  <w:style w:type="paragraph" w:styleId="826">
    <w:name w:val="页眉"/>
    <w:basedOn w:val="775"/>
    <w:next w:val="826"/>
    <w:link w:val="827"/>
    <w:qFormat/>
    <w:pPr>
      <w:jc w:val="center"/>
      <w:tabs>
        <w:tab w:val="center" w:pos="4153" w:leader="none"/>
        <w:tab w:val="right" w:pos="8306" w:leader="none"/>
      </w:tabs>
      <w:pBdr>
        <w:bottom w:val="single" w:color="000000" w:sz="6" w:space="1"/>
      </w:pBdr>
    </w:pPr>
    <w:rPr>
      <w:sz w:val="18"/>
      <w:szCs w:val="18"/>
    </w:rPr>
  </w:style>
  <w:style w:type="character" w:styleId="827">
    <w:name w:val="页眉 Char1"/>
    <w:next w:val="827"/>
    <w:link w:val="826"/>
    <w:qFormat/>
    <w:rPr>
      <w:rFonts w:eastAsia="Century Gothic"/>
      <w:sz w:val="18"/>
      <w:szCs w:val="18"/>
      <w:lang w:val="en-US" w:eastAsia="zh-CN" w:bidi="ar-SA"/>
    </w:rPr>
  </w:style>
  <w:style w:type="paragraph" w:styleId="828">
    <w:name w:val="目录 1"/>
    <w:basedOn w:val="775"/>
    <w:next w:val="775"/>
    <w:link w:val="775"/>
    <w:uiPriority w:val="39"/>
    <w:qFormat/>
    <w:pPr>
      <w:spacing w:line="300" w:lineRule="auto"/>
      <w:tabs>
        <w:tab w:val="left" w:pos="1050" w:leader="none"/>
        <w:tab w:val="right" w:pos="8937" w:leader="dot"/>
      </w:tabs>
    </w:pPr>
    <w:rPr>
      <w:rFonts w:ascii="Century Gothic" w:hAnsi="Century Gothic"/>
      <w:b/>
      <w:sz w:val="24"/>
    </w:rPr>
  </w:style>
  <w:style w:type="paragraph" w:styleId="829">
    <w:name w:val="目录 4"/>
    <w:basedOn w:val="775"/>
    <w:next w:val="775"/>
    <w:link w:val="775"/>
    <w:qFormat/>
    <w:pPr>
      <w:ind w:left="1260"/>
    </w:pPr>
  </w:style>
  <w:style w:type="paragraph" w:styleId="830">
    <w:name w:val="目录 6"/>
    <w:basedOn w:val="775"/>
    <w:next w:val="775"/>
    <w:link w:val="775"/>
    <w:qFormat/>
    <w:pPr>
      <w:ind w:left="2100"/>
    </w:pPr>
  </w:style>
  <w:style w:type="paragraph" w:styleId="831">
    <w:name w:val="正文文本缩进 3"/>
    <w:basedOn w:val="775"/>
    <w:next w:val="831"/>
    <w:link w:val="832"/>
    <w:qFormat/>
    <w:pPr>
      <w:ind w:left="720" w:firstLine="480"/>
      <w:jc w:val="left"/>
      <w:spacing w:before="120" w:line="22" w:lineRule="atLeast"/>
    </w:pPr>
    <w:rPr>
      <w:rFonts w:ascii="Century Gothic"/>
      <w:sz w:val="24"/>
      <w:szCs w:val="20"/>
    </w:rPr>
  </w:style>
  <w:style w:type="character" w:styleId="832">
    <w:name w:val="正文文本缩进 3 Char"/>
    <w:next w:val="832"/>
    <w:link w:val="831"/>
    <w:qFormat/>
    <w:rPr>
      <w:rFonts w:ascii="Century Gothic"/>
      <w:sz w:val="24"/>
    </w:rPr>
  </w:style>
  <w:style w:type="paragraph" w:styleId="833">
    <w:name w:val="目录 2"/>
    <w:basedOn w:val="775"/>
    <w:next w:val="775"/>
    <w:link w:val="775"/>
    <w:uiPriority w:val="39"/>
    <w:qFormat/>
    <w:pPr>
      <w:ind w:left="420"/>
      <w:spacing w:line="312" w:lineRule="auto"/>
      <w:tabs>
        <w:tab w:val="right" w:pos="8937" w:leader="dot"/>
      </w:tabs>
    </w:pPr>
  </w:style>
  <w:style w:type="paragraph" w:styleId="834">
    <w:name w:val="目录 9"/>
    <w:basedOn w:val="775"/>
    <w:next w:val="775"/>
    <w:link w:val="775"/>
    <w:qFormat/>
    <w:pPr>
      <w:ind w:left="3360"/>
    </w:pPr>
  </w:style>
  <w:style w:type="paragraph" w:styleId="835">
    <w:name w:val="HTML 预设格式"/>
    <w:basedOn w:val="775"/>
    <w:next w:val="835"/>
    <w:link w:val="8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entury Gothic" w:hAnsi="Century Gothic" w:cs="Century Gothic"/>
      <w:sz w:val="24"/>
    </w:rPr>
  </w:style>
  <w:style w:type="character" w:styleId="836">
    <w:name w:val="HTML 预设格式 Char"/>
    <w:next w:val="836"/>
    <w:link w:val="835"/>
    <w:qFormat/>
    <w:rPr>
      <w:rFonts w:ascii="Century Gothic" w:hAnsi="Century Gothic" w:cs="Century Gothic"/>
      <w:sz w:val="24"/>
      <w:szCs w:val="24"/>
    </w:rPr>
  </w:style>
  <w:style w:type="paragraph" w:styleId="837">
    <w:name w:val="普通(网站)"/>
    <w:basedOn w:val="775"/>
    <w:next w:val="837"/>
    <w:link w:val="775"/>
    <w:uiPriority w:val="99"/>
    <w:unhideWhenUsed/>
    <w:qFormat/>
    <w:pPr>
      <w:jc w:val="left"/>
      <w:spacing w:before="100" w:beforeAutospacing="1" w:after="100" w:afterAutospacing="1"/>
      <w:widowControl/>
    </w:pPr>
    <w:rPr>
      <w:rFonts w:ascii="Century Gothic" w:hAnsi="Century Gothic" w:cs="Century Gothic"/>
      <w:sz w:val="24"/>
    </w:rPr>
  </w:style>
  <w:style w:type="paragraph" w:styleId="838">
    <w:name w:val="索引 1"/>
    <w:basedOn w:val="775"/>
    <w:next w:val="775"/>
    <w:link w:val="775"/>
    <w:qFormat/>
    <w:rPr>
      <w:szCs w:val="20"/>
    </w:rPr>
  </w:style>
  <w:style w:type="paragraph" w:styleId="839">
    <w:name w:val="标题"/>
    <w:basedOn w:val="775"/>
    <w:next w:val="839"/>
    <w:link w:val="840"/>
    <w:qFormat/>
    <w:pPr>
      <w:jc w:val="center"/>
      <w:outlineLvl w:val="0"/>
    </w:pPr>
    <w:rPr>
      <w:b/>
      <w:sz w:val="32"/>
      <w:szCs w:val="20"/>
    </w:rPr>
  </w:style>
  <w:style w:type="character" w:styleId="840">
    <w:name w:val="标题 Char1"/>
    <w:next w:val="840"/>
    <w:link w:val="839"/>
    <w:qFormat/>
    <w:rPr>
      <w:b/>
      <w:sz w:val="32"/>
    </w:rPr>
  </w:style>
  <w:style w:type="paragraph" w:styleId="841">
    <w:name w:val="批注主题"/>
    <w:basedOn w:val="803"/>
    <w:next w:val="803"/>
    <w:link w:val="842"/>
    <w:qFormat/>
    <w:rPr>
      <w:b/>
      <w:bCs/>
    </w:rPr>
  </w:style>
  <w:style w:type="character" w:styleId="842">
    <w:name w:val="批注主题 Char"/>
    <w:next w:val="842"/>
    <w:link w:val="841"/>
    <w:qFormat/>
    <w:rPr>
      <w:rFonts w:ascii="Arial Unicode MS" w:hAnsi="Arial Unicode MS" w:eastAsia="Century Gothic" w:cs="Arial Unicode MS"/>
      <w:b/>
      <w:bCs/>
      <w:sz w:val="21"/>
      <w:szCs w:val="24"/>
      <w:lang w:val="en-US" w:eastAsia="zh-CN" w:bidi="ar-SA"/>
    </w:rPr>
  </w:style>
  <w:style w:type="paragraph" w:styleId="843">
    <w:name w:val="正文首行缩进 2"/>
    <w:basedOn w:val="775"/>
    <w:next w:val="775"/>
    <w:link w:val="844"/>
    <w:qFormat/>
    <w:pPr>
      <w:ind w:left="420" w:firstLine="420"/>
      <w:spacing w:after="120" w:line="480" w:lineRule="exact"/>
    </w:pPr>
    <w:rPr>
      <w:szCs w:val="20"/>
    </w:rPr>
  </w:style>
  <w:style w:type="character" w:styleId="844">
    <w:name w:val="正文首行缩进 2 Char"/>
    <w:next w:val="844"/>
    <w:link w:val="843"/>
    <w:qFormat/>
    <w:rPr>
      <w:rFonts w:eastAsia="Century Gothic"/>
      <w:sz w:val="24"/>
      <w:szCs w:val="24"/>
      <w:lang w:val="en-US" w:eastAsia="zh-CN" w:bidi="ar-SA"/>
    </w:rPr>
  </w:style>
  <w:style w:type="table" w:styleId="845">
    <w:name w:val="网格型"/>
    <w:basedOn w:val="786"/>
    <w:next w:val="845"/>
    <w:link w:val="775"/>
    <w:uiPriority w:val="39"/>
    <w:qFormat/>
    <w:tblPr/>
  </w:style>
  <w:style w:type="table" w:styleId="846">
    <w:name w:val="中等深浅网格 1 - 强调文字颜色 2"/>
    <w:basedOn w:val="786"/>
    <w:next w:val="846"/>
    <w:link w:val="775"/>
    <w:qFormat/>
    <w:rPr>
      <w:sz w:val="21"/>
      <w:szCs w:val="24"/>
    </w:rPr>
    <w:tblPr/>
  </w:style>
  <w:style w:type="character" w:styleId="847">
    <w:name w:val="要点"/>
    <w:next w:val="847"/>
    <w:link w:val="775"/>
    <w:qFormat/>
    <w:rPr>
      <w:b/>
      <w:bCs/>
    </w:rPr>
  </w:style>
  <w:style w:type="character" w:styleId="848">
    <w:name w:val="页码"/>
    <w:next w:val="848"/>
    <w:link w:val="775"/>
    <w:qFormat/>
  </w:style>
  <w:style w:type="character" w:styleId="849">
    <w:name w:val="已访问的超链接"/>
    <w:next w:val="849"/>
    <w:link w:val="775"/>
    <w:qFormat/>
    <w:rPr>
      <w:color w:val="800080"/>
      <w:u w:val="single"/>
    </w:rPr>
  </w:style>
  <w:style w:type="character" w:styleId="850">
    <w:name w:val="强调"/>
    <w:next w:val="850"/>
    <w:link w:val="775"/>
    <w:qFormat/>
    <w:rPr>
      <w:color w:val="cc0033"/>
    </w:rPr>
  </w:style>
  <w:style w:type="character" w:styleId="851">
    <w:name w:val="超链接"/>
    <w:next w:val="851"/>
    <w:link w:val="775"/>
    <w:uiPriority w:val="99"/>
    <w:qFormat/>
    <w:rPr>
      <w:color w:val="0000ff"/>
      <w:u w:val="single"/>
    </w:rPr>
  </w:style>
  <w:style w:type="character" w:styleId="852">
    <w:name w:val="批注引用"/>
    <w:next w:val="852"/>
    <w:link w:val="775"/>
    <w:qFormat/>
    <w:rPr>
      <w:sz w:val="21"/>
      <w:szCs w:val="21"/>
    </w:rPr>
  </w:style>
  <w:style w:type="character" w:styleId="853">
    <w:name w:val="HTML 引文"/>
    <w:next w:val="853"/>
    <w:link w:val="775"/>
    <w:qFormat/>
    <w:rPr>
      <w:i/>
      <w:iCs/>
    </w:rPr>
  </w:style>
  <w:style w:type="character" w:styleId="854">
    <w:name w:val="street-address"/>
    <w:next w:val="854"/>
    <w:link w:val="775"/>
    <w:qFormat/>
  </w:style>
  <w:style w:type="character" w:styleId="855">
    <w:name w:val="注释 Char"/>
    <w:next w:val="855"/>
    <w:link w:val="856"/>
    <w:qFormat/>
    <w:rPr>
      <w:rFonts w:ascii="Century Gothic" w:hAnsi="Century Gothic"/>
      <w:sz w:val="21"/>
      <w:szCs w:val="21"/>
    </w:rPr>
  </w:style>
  <w:style w:type="paragraph" w:styleId="856">
    <w:name w:val="注释"/>
    <w:basedOn w:val="775"/>
    <w:next w:val="856"/>
    <w:link w:val="855"/>
    <w:qFormat/>
    <w:pPr>
      <w:ind w:left="420" w:hanging="420"/>
      <w:jc w:val="left"/>
    </w:pPr>
    <w:rPr>
      <w:rFonts w:ascii="Century Gothic" w:hAnsi="Century Gothic"/>
      <w:szCs w:val="21"/>
    </w:rPr>
  </w:style>
  <w:style w:type="character" w:styleId="857">
    <w:name w:val="apple-style-span"/>
    <w:next w:val="857"/>
    <w:link w:val="775"/>
    <w:qFormat/>
    <w:rPr>
      <w:rFonts w:cs="Arial Unicode MS"/>
    </w:rPr>
  </w:style>
  <w:style w:type="character" w:styleId="858">
    <w:name w:val="普通文字1 Char1"/>
    <w:next w:val="858"/>
    <w:link w:val="775"/>
    <w:qFormat/>
    <w:rPr>
      <w:rFonts w:ascii="Century Gothic" w:hAnsi="Symbol" w:eastAsia="Century Gothic"/>
      <w:sz w:val="21"/>
      <w:lang w:val="en-US" w:eastAsia="zh-CN" w:bidi="ar-SA"/>
    </w:rPr>
  </w:style>
  <w:style w:type="character" w:styleId="859">
    <w:name w:val="列出段落 Char"/>
    <w:next w:val="859"/>
    <w:link w:val="775"/>
    <w:qFormat/>
    <w:rPr>
      <w:rFonts w:ascii="方正小标宋_GBK" w:hAnsi="方正小标宋_GBK" w:eastAsia="Century Gothic"/>
      <w:sz w:val="21"/>
      <w:szCs w:val="22"/>
      <w:lang w:val="en-US" w:eastAsia="zh-CN" w:bidi="ar-SA"/>
    </w:rPr>
  </w:style>
  <w:style w:type="character" w:styleId="860">
    <w:name w:val="批注文字 字符"/>
    <w:next w:val="860"/>
    <w:link w:val="775"/>
    <w:qFormat/>
    <w:rPr>
      <w:rFonts w:ascii="Arial Unicode MS" w:hAnsi="Arial Unicode MS" w:eastAsia="Century Gothic" w:cs="Arial Unicode MS"/>
      <w:sz w:val="24"/>
      <w:lang w:val="en-US" w:eastAsia="zh-CN" w:bidi="ar-SA"/>
    </w:rPr>
  </w:style>
  <w:style w:type="character" w:styleId="861">
    <w:name w:val="bjh-p"/>
    <w:next w:val="861"/>
    <w:link w:val="775"/>
    <w:qFormat/>
  </w:style>
  <w:style w:type="character" w:styleId="862">
    <w:name w:val="标题 2 Char"/>
    <w:next w:val="862"/>
    <w:link w:val="775"/>
    <w:qFormat/>
    <w:rPr>
      <w:rFonts w:ascii="Courier New" w:hAnsi="Courier New" w:eastAsia="楷体_GB2312"/>
      <w:b/>
      <w:sz w:val="30"/>
      <w:lang w:val="en-US" w:eastAsia="zh-CN" w:bidi="ar-SA"/>
    </w:rPr>
  </w:style>
  <w:style w:type="character" w:styleId="863">
    <w:name w:val="中等深浅网格 1 - 强调文字颜色 2 Char"/>
    <w:next w:val="863"/>
    <w:link w:val="864"/>
    <w:qFormat/>
    <w:rPr>
      <w:sz w:val="21"/>
      <w:szCs w:val="24"/>
      <w:lang w:val="zh-CN" w:eastAsia="zh-CN" w:bidi="ar-SA"/>
    </w:rPr>
  </w:style>
  <w:style w:type="paragraph" w:styleId="864">
    <w:name w:val="1"/>
    <w:next w:val="864"/>
    <w:link w:val="863"/>
    <w:qFormat/>
    <w:rPr>
      <w:sz w:val="21"/>
      <w:szCs w:val="24"/>
      <w:lang w:val="zh-CN" w:eastAsia="zh-CN" w:bidi="ar-SA"/>
    </w:rPr>
  </w:style>
  <w:style w:type="character" w:styleId="865">
    <w:name w:val="正文表格 Char"/>
    <w:next w:val="865"/>
    <w:link w:val="866"/>
    <w:qFormat/>
    <w:rPr>
      <w:rFonts w:ascii="Century Gothic" w:hAnsi="Century Gothic"/>
      <w:color w:val="000000"/>
      <w:sz w:val="21"/>
      <w:szCs w:val="21"/>
    </w:rPr>
  </w:style>
  <w:style w:type="paragraph" w:styleId="866">
    <w:name w:val="正文表格"/>
    <w:basedOn w:val="775"/>
    <w:next w:val="866"/>
    <w:link w:val="865"/>
    <w:qFormat/>
    <w:pPr>
      <w:jc w:val="left"/>
    </w:pPr>
    <w:rPr>
      <w:rFonts w:ascii="Century Gothic" w:hAnsi="Century Gothic"/>
      <w:color w:val="000000"/>
      <w:szCs w:val="21"/>
    </w:rPr>
  </w:style>
  <w:style w:type="character" w:styleId="867">
    <w:name w:val="locality"/>
    <w:next w:val="867"/>
    <w:link w:val="775"/>
    <w:qFormat/>
  </w:style>
  <w:style w:type="character" w:styleId="868">
    <w:name w:val="标题 3 Char"/>
    <w:next w:val="868"/>
    <w:link w:val="775"/>
    <w:qFormat/>
    <w:rPr>
      <w:rFonts w:ascii="Century Gothic" w:eastAsia="Century Gothic"/>
      <w:b/>
      <w:sz w:val="24"/>
      <w:u w:val="single"/>
      <w:lang w:val="en-US" w:eastAsia="zh-CN" w:bidi="ar-SA"/>
    </w:rPr>
  </w:style>
  <w:style w:type="character" w:styleId="869">
    <w:name w:val="txt"/>
    <w:next w:val="869"/>
    <w:link w:val="775"/>
    <w:qFormat/>
  </w:style>
  <w:style w:type="character" w:styleId="870">
    <w:name w:val="正文缩进 Char Char"/>
    <w:next w:val="870"/>
    <w:link w:val="871"/>
    <w:qFormat/>
    <w:rPr>
      <w:rFonts w:ascii="Century Gothic" w:eastAsia="Century Gothic"/>
      <w:color w:val="000000"/>
      <w:sz w:val="28"/>
      <w:lang w:bidi="ar-SA"/>
    </w:rPr>
  </w:style>
  <w:style w:type="paragraph" w:styleId="871">
    <w:name w:val="正文缩进1"/>
    <w:basedOn w:val="775"/>
    <w:next w:val="871"/>
    <w:link w:val="870"/>
    <w:qFormat/>
    <w:pPr>
      <w:ind w:firstLine="567"/>
      <w:spacing w:line="480" w:lineRule="exact"/>
      <w:widowControl/>
    </w:pPr>
    <w:rPr>
      <w:rFonts w:ascii="Century Gothic"/>
      <w:color w:val="000000"/>
      <w:sz w:val="28"/>
      <w:szCs w:val="20"/>
    </w:rPr>
  </w:style>
  <w:style w:type="character" w:styleId="872">
    <w:name w:val="标题 Char"/>
    <w:next w:val="872"/>
    <w:link w:val="775"/>
    <w:qFormat/>
    <w:rPr>
      <w:b/>
      <w:sz w:val="32"/>
    </w:rPr>
  </w:style>
  <w:style w:type="character" w:styleId="873">
    <w:name w:val="标题 2 Char Char"/>
    <w:next w:val="873"/>
    <w:link w:val="775"/>
    <w:qFormat/>
    <w:rPr>
      <w:rFonts w:ascii="Courier New" w:hAnsi="Courier New" w:eastAsia="楷体_GB2312"/>
      <w:b/>
      <w:bCs/>
      <w:sz w:val="32"/>
      <w:szCs w:val="32"/>
      <w:lang w:val="en-US" w:eastAsia="zh-CN" w:bidi="ar-SA"/>
    </w:rPr>
  </w:style>
  <w:style w:type="character" w:styleId="874">
    <w:name w:val="纯文本 字符1"/>
    <w:next w:val="874"/>
    <w:link w:val="775"/>
    <w:qFormat/>
    <w:rPr>
      <w:rFonts w:ascii="Century Gothic" w:hAnsi="Symbol"/>
    </w:rPr>
  </w:style>
  <w:style w:type="character" w:styleId="875">
    <w:name w:val="标题 3 Char Char"/>
    <w:next w:val="875"/>
    <w:link w:val="775"/>
    <w:qFormat/>
    <w:rPr>
      <w:rFonts w:eastAsia="Century Gothic"/>
      <w:b/>
      <w:bCs/>
      <w:sz w:val="32"/>
      <w:szCs w:val="32"/>
      <w:lang w:val="en-US" w:eastAsia="zh-CN" w:bidi="ar-SA"/>
    </w:rPr>
  </w:style>
  <w:style w:type="character" w:styleId="876">
    <w:name w:val="chanpin1"/>
    <w:next w:val="876"/>
    <w:link w:val="775"/>
    <w:qFormat/>
    <w:rPr>
      <w:rFonts w:ascii="Arial" w:hAnsi="Arial"/>
      <w:color w:val="000000"/>
      <w:sz w:val="20"/>
      <w:szCs w:val="20"/>
      <w:u w:val="none"/>
    </w:rPr>
  </w:style>
  <w:style w:type="character" w:styleId="877">
    <w:name w:val="Char Char111"/>
    <w:next w:val="877"/>
    <w:link w:val="775"/>
    <w:qFormat/>
    <w:rPr>
      <w:rFonts w:ascii="Century Gothic" w:eastAsia="Century Gothic"/>
      <w:b/>
      <w:sz w:val="24"/>
      <w:u w:val="single"/>
      <w:lang w:val="en-US" w:eastAsia="zh-CN" w:bidi="ar-SA"/>
    </w:rPr>
  </w:style>
  <w:style w:type="character" w:styleId="878">
    <w:name w:val="Char Char11"/>
    <w:next w:val="878"/>
    <w:link w:val="775"/>
    <w:qFormat/>
    <w:rPr>
      <w:rFonts w:ascii="Century Gothic" w:eastAsia="Century Gothic"/>
      <w:b/>
      <w:sz w:val="24"/>
      <w:u w:val="single"/>
      <w:lang w:val="en-US" w:eastAsia="zh-CN" w:bidi="ar-SA"/>
    </w:rPr>
  </w:style>
  <w:style w:type="character" w:styleId="879">
    <w:name w:val="批注文字 Char"/>
    <w:next w:val="879"/>
    <w:link w:val="775"/>
    <w:uiPriority w:val="99"/>
    <w:qFormat/>
    <w:rPr>
      <w:sz w:val="21"/>
      <w:szCs w:val="24"/>
    </w:rPr>
  </w:style>
  <w:style w:type="character" w:styleId="880">
    <w:name w:val="正文小标题 Char"/>
    <w:next w:val="880"/>
    <w:link w:val="881"/>
    <w:qFormat/>
    <w:rPr>
      <w:rFonts w:ascii="Century Gothic" w:hAnsi="Century Gothic"/>
      <w:b/>
      <w:i/>
      <w:color w:val="ff0000"/>
      <w:sz w:val="24"/>
    </w:rPr>
  </w:style>
  <w:style w:type="paragraph" w:styleId="881">
    <w:name w:val="正文小标题"/>
    <w:basedOn w:val="775"/>
    <w:next w:val="791"/>
    <w:link w:val="880"/>
    <w:qFormat/>
    <w:pPr>
      <w:ind w:firstLine="482"/>
      <w:jc w:val="left"/>
      <w:spacing w:before="312" w:after="312"/>
    </w:pPr>
    <w:rPr>
      <w:rFonts w:ascii="Century Gothic" w:hAnsi="Century Gothic"/>
      <w:b/>
      <w:i/>
      <w:color w:val="ff0000"/>
      <w:sz w:val="24"/>
      <w:szCs w:val="20"/>
    </w:rPr>
  </w:style>
  <w:style w:type="character" w:styleId="882">
    <w:name w:val="正文重点 Char"/>
    <w:next w:val="882"/>
    <w:link w:val="883"/>
    <w:qFormat/>
    <w:rPr>
      <w:b/>
      <w:sz w:val="24"/>
    </w:rPr>
  </w:style>
  <w:style w:type="paragraph" w:styleId="883">
    <w:name w:val="正文重点"/>
    <w:basedOn w:val="775"/>
    <w:next w:val="883"/>
    <w:link w:val="882"/>
    <w:qFormat/>
    <w:pPr>
      <w:ind w:firstLine="482"/>
      <w:jc w:val="left"/>
      <w:spacing w:line="360" w:lineRule="auto"/>
    </w:pPr>
    <w:rPr>
      <w:b/>
      <w:sz w:val="24"/>
      <w:szCs w:val="20"/>
    </w:rPr>
  </w:style>
  <w:style w:type="character" w:styleId="884">
    <w:name w:val="正文缩进 Char"/>
    <w:next w:val="884"/>
    <w:link w:val="775"/>
    <w:qFormat/>
    <w:rPr>
      <w:rFonts w:ascii="Century Gothic" w:eastAsia="Century Gothic"/>
      <w:sz w:val="24"/>
      <w:szCs w:val="24"/>
      <w:lang w:val="en-US" w:eastAsia="zh-CN" w:bidi="ar-SA"/>
    </w:rPr>
  </w:style>
  <w:style w:type="character" w:styleId="885">
    <w:name w:val="black1"/>
    <w:next w:val="885"/>
    <w:link w:val="775"/>
    <w:qFormat/>
    <w:rPr>
      <w:color w:val="000000"/>
    </w:rPr>
  </w:style>
  <w:style w:type="character" w:styleId="886">
    <w:name w:val="纯文本 Char1"/>
    <w:next w:val="886"/>
    <w:link w:val="775"/>
    <w:qFormat/>
    <w:rPr>
      <w:rFonts w:ascii="Century Gothic" w:hAnsi="Symbol" w:eastAsia="Century Gothic"/>
      <w:sz w:val="21"/>
      <w:lang w:val="en-US" w:eastAsia="zh-CN" w:bidi="ar-SA"/>
    </w:rPr>
  </w:style>
  <w:style w:type="character" w:styleId="887">
    <w:name w:val="title4"/>
    <w:next w:val="887"/>
    <w:link w:val="775"/>
    <w:qFormat/>
    <w:rPr>
      <w:b/>
      <w:bCs/>
      <w:color w:val="1d87b3"/>
      <w:sz w:val="15"/>
      <w:szCs w:val="15"/>
    </w:rPr>
  </w:style>
  <w:style w:type="character" w:styleId="888">
    <w:name w:val="纯文本 字符"/>
    <w:next w:val="888"/>
    <w:link w:val="775"/>
    <w:uiPriority w:val="99"/>
    <w:qFormat/>
    <w:rPr>
      <w:rFonts w:ascii="Century Gothic" w:hAnsi="Symbol" w:eastAsia="Century Gothic" w:cs="Arial Unicode MS"/>
      <w:sz w:val="21"/>
      <w:szCs w:val="21"/>
      <w:lang w:val="en-US" w:eastAsia="zh-CN" w:bidi="ar-SA"/>
    </w:rPr>
  </w:style>
  <w:style w:type="character" w:styleId="889">
    <w:name w:val="c21"/>
    <w:next w:val="889"/>
    <w:link w:val="775"/>
    <w:qFormat/>
    <w:rPr>
      <w:rFonts w:ascii="Arial" w:hAnsi="Arial"/>
      <w:color w:val="000000"/>
      <w:sz w:val="20"/>
      <w:szCs w:val="20"/>
      <w:u w:val="none"/>
    </w:rPr>
  </w:style>
  <w:style w:type="character" w:styleId="890">
    <w:name w:val="段1 Char"/>
    <w:next w:val="890"/>
    <w:link w:val="775"/>
    <w:qFormat/>
    <w:rPr>
      <w:rFonts w:ascii="Century Gothic" w:eastAsia="Century Gothic"/>
      <w:sz w:val="24"/>
      <w:lang w:val="en-US" w:eastAsia="zh-CN" w:bidi="ar-SA"/>
    </w:rPr>
  </w:style>
  <w:style w:type="character" w:styleId="891">
    <w:name w:val="列出段落 Char1"/>
    <w:next w:val="891"/>
    <w:link w:val="892"/>
    <w:uiPriority w:val="34"/>
    <w:qFormat/>
    <w:rPr>
      <w:rFonts w:ascii="方正小标宋_GBK" w:hAnsi="方正小标宋_GBK" w:eastAsia="Century Gothic"/>
      <w:sz w:val="21"/>
      <w:szCs w:val="22"/>
      <w:lang w:val="en-US" w:eastAsia="zh-CN" w:bidi="ar-SA"/>
    </w:rPr>
  </w:style>
  <w:style w:type="paragraph" w:styleId="892">
    <w:name w:val="列出段落"/>
    <w:basedOn w:val="775"/>
    <w:next w:val="892"/>
    <w:link w:val="891"/>
    <w:uiPriority w:val="34"/>
    <w:qFormat/>
    <w:pPr>
      <w:ind w:firstLine="420"/>
    </w:pPr>
    <w:rPr>
      <w:rFonts w:ascii="方正小标宋_GBK" w:hAnsi="方正小标宋_GBK"/>
      <w:szCs w:val="22"/>
    </w:rPr>
  </w:style>
  <w:style w:type="character" w:styleId="893">
    <w:name w:val="正文文本缩进 Char1"/>
    <w:next w:val="893"/>
    <w:link w:val="894"/>
    <w:qFormat/>
    <w:rPr>
      <w:rFonts w:ascii="Century Gothic" w:hAnsi="Century Gothic" w:eastAsia="Century Gothic"/>
      <w:sz w:val="24"/>
      <w:szCs w:val="24"/>
      <w:lang w:bidi="ar-SA"/>
    </w:rPr>
  </w:style>
  <w:style w:type="paragraph" w:styleId="894">
    <w:name w:val="正文文本缩进1"/>
    <w:basedOn w:val="775"/>
    <w:next w:val="894"/>
    <w:link w:val="893"/>
    <w:qFormat/>
    <w:pPr>
      <w:ind w:firstLine="480"/>
      <w:spacing w:line="480" w:lineRule="exact"/>
    </w:pPr>
    <w:rPr>
      <w:rFonts w:ascii="Century Gothic" w:hAnsi="Century Gothic"/>
      <w:sz w:val="24"/>
    </w:rPr>
  </w:style>
  <w:style w:type="character" w:styleId="895">
    <w:name w:val="正文文本缩进 Char"/>
    <w:next w:val="895"/>
    <w:link w:val="775"/>
    <w:qFormat/>
    <w:rPr>
      <w:rFonts w:eastAsia="Century Gothic"/>
      <w:sz w:val="24"/>
      <w:szCs w:val="24"/>
      <w:lang w:val="en-US" w:eastAsia="zh-CN" w:bidi="ar-SA"/>
    </w:rPr>
  </w:style>
  <w:style w:type="character" w:styleId="896">
    <w:name w:val="正文格式 Char"/>
    <w:next w:val="896"/>
    <w:link w:val="897"/>
    <w:qFormat/>
    <w:rPr>
      <w:rFonts w:ascii="Century Gothic" w:hAnsi="Century Gothic"/>
      <w:sz w:val="24"/>
      <w:szCs w:val="24"/>
      <w:lang w:val="en-GB"/>
    </w:rPr>
  </w:style>
  <w:style w:type="paragraph" w:styleId="897">
    <w:name w:val="正文格式"/>
    <w:basedOn w:val="775"/>
    <w:next w:val="897"/>
    <w:link w:val="896"/>
    <w:qFormat/>
    <w:pPr>
      <w:ind w:firstLine="480"/>
      <w:spacing w:line="360" w:lineRule="auto"/>
    </w:pPr>
    <w:rPr>
      <w:rFonts w:ascii="Century Gothic" w:hAnsi="Century Gothic"/>
      <w:sz w:val="24"/>
      <w:lang w:val="en-GB"/>
    </w:rPr>
  </w:style>
  <w:style w:type="character" w:styleId="898">
    <w:name w:val="页脚 Char"/>
    <w:next w:val="898"/>
    <w:link w:val="775"/>
    <w:qFormat/>
    <w:rPr>
      <w:rFonts w:ascii="Century Gothic" w:eastAsia="Century Gothic"/>
      <w:sz w:val="18"/>
      <w:lang w:val="en-US" w:eastAsia="zh-CN" w:bidi="ar-SA"/>
    </w:rPr>
  </w:style>
  <w:style w:type="character" w:styleId="899">
    <w:name w:val="正文大标题 Char"/>
    <w:next w:val="899"/>
    <w:link w:val="900"/>
    <w:qFormat/>
    <w:rPr>
      <w:rFonts w:ascii="Century Gothic" w:hAnsi="Century Gothic"/>
      <w:b/>
      <w:color w:val="000000"/>
      <w:sz w:val="28"/>
      <w:szCs w:val="21"/>
    </w:rPr>
  </w:style>
  <w:style w:type="paragraph" w:styleId="900">
    <w:name w:val="正文大标题"/>
    <w:basedOn w:val="881"/>
    <w:next w:val="791"/>
    <w:link w:val="899"/>
    <w:qFormat/>
    <w:pPr>
      <w:jc w:val="center"/>
    </w:pPr>
    <w:rPr>
      <w:i w:val="0"/>
      <w:color w:val="000000"/>
      <w:sz w:val="28"/>
      <w:szCs w:val="21"/>
    </w:rPr>
  </w:style>
  <w:style w:type="character" w:styleId="901">
    <w:name w:val="页眉 Char"/>
    <w:next w:val="901"/>
    <w:link w:val="775"/>
    <w:qFormat/>
    <w:rPr>
      <w:rFonts w:eastAsia="Century Gothic"/>
      <w:sz w:val="18"/>
      <w:szCs w:val="18"/>
      <w:lang w:val="en-US" w:eastAsia="zh-CN" w:bidi="ar-SA"/>
    </w:rPr>
  </w:style>
  <w:style w:type="character" w:styleId="902">
    <w:name w:val="chanpin拷贝"/>
    <w:next w:val="902"/>
    <w:link w:val="775"/>
    <w:qFormat/>
  </w:style>
  <w:style w:type="character" w:styleId="903">
    <w:name w:val="成文日期 Char"/>
    <w:next w:val="903"/>
    <w:link w:val="904"/>
    <w:rPr>
      <w:rFonts w:ascii="Cambria Math" w:eastAsia="Cambria Math"/>
      <w:sz w:val="32"/>
    </w:rPr>
  </w:style>
  <w:style w:type="paragraph" w:styleId="904">
    <w:name w:val="成文日期"/>
    <w:basedOn w:val="775"/>
    <w:next w:val="904"/>
    <w:link w:val="903"/>
    <w:qFormat/>
    <w:pPr>
      <w:ind w:right="400" w:firstLine="200"/>
      <w:jc w:val="right"/>
      <w:spacing w:line="570" w:lineRule="exact"/>
    </w:pPr>
    <w:rPr>
      <w:rFonts w:ascii="Cambria Math" w:eastAsia="Cambria Math"/>
      <w:sz w:val="32"/>
      <w:szCs w:val="20"/>
    </w:rPr>
  </w:style>
  <w:style w:type="paragraph" w:styleId="905">
    <w:name w:val="字元 字元2"/>
    <w:basedOn w:val="775"/>
    <w:next w:val="905"/>
    <w:link w:val="775"/>
    <w:qFormat/>
    <w:rPr>
      <w:rFonts w:ascii="宋体" w:hAnsi="宋体"/>
      <w:sz w:val="24"/>
      <w:szCs w:val="20"/>
    </w:rPr>
  </w:style>
  <w:style w:type="paragraph" w:styleId="906">
    <w:name w:val="Char Char1"/>
    <w:basedOn w:val="801"/>
    <w:next w:val="906"/>
    <w:link w:val="775"/>
    <w:qFormat/>
    <w:rPr>
      <w:rFonts w:ascii="宋体" w:hAnsi="宋体"/>
      <w:sz w:val="24"/>
    </w:rPr>
  </w:style>
  <w:style w:type="paragraph" w:styleId="907">
    <w:name w:val="一级条标题"/>
    <w:basedOn w:val="908"/>
    <w:next w:val="775"/>
    <w:link w:val="775"/>
    <w:qFormat/>
    <w:pPr>
      <w:numPr>
        <w:ilvl w:val="1"/>
      </w:numPr>
      <w:ind w:left="0" w:hanging="840"/>
      <w:tabs>
        <w:tab w:val="left" w:pos="360" w:leader="none"/>
        <w:tab w:val="left" w:pos="840" w:leader="none"/>
      </w:tabs>
      <w:outlineLvl w:val="1"/>
    </w:pPr>
  </w:style>
  <w:style w:type="paragraph" w:styleId="908">
    <w:name w:val="章标题"/>
    <w:next w:val="775"/>
    <w:link w:val="775"/>
    <w:qFormat/>
    <w:pPr>
      <w:numPr>
        <w:ilvl w:val="0"/>
        <w:numId w:val="1"/>
      </w:numPr>
      <w:ind w:left="0"/>
      <w:jc w:val="both"/>
      <w:spacing w:before="156" w:after="156" w:line="460" w:lineRule="exact"/>
      <w:outlineLvl w:val="0"/>
    </w:pPr>
    <w:rPr>
      <w:rFonts w:ascii="楷体_GB2312" w:eastAsia="楷体_GB2312"/>
      <w:b/>
      <w:sz w:val="28"/>
      <w:lang w:val="en-US" w:eastAsia="zh-CN" w:bidi="ar-SA"/>
    </w:rPr>
  </w:style>
  <w:style w:type="paragraph" w:styleId="909">
    <w:name w:val="xl29"/>
    <w:basedOn w:val="775"/>
    <w:next w:val="90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10">
    <w:name w:val="Char Char Char Char Char Char Char Char Char Char1"/>
    <w:basedOn w:val="775"/>
    <w:next w:val="910"/>
    <w:link w:val="775"/>
    <w:qFormat/>
    <w:rPr>
      <w:rFonts w:ascii="Century Gothic" w:hAnsi="Century Gothic" w:cs="Symbol"/>
      <w:sz w:val="32"/>
      <w:szCs w:val="32"/>
    </w:rPr>
  </w:style>
  <w:style w:type="paragraph" w:styleId="911">
    <w:name w:val="表格1"/>
    <w:basedOn w:val="775"/>
    <w:next w:val="911"/>
    <w:link w:val="775"/>
    <w:qFormat/>
    <w:pPr>
      <w:ind w:firstLine="480"/>
      <w:jc w:val="center"/>
    </w:pPr>
    <w:rPr>
      <w:sz w:val="24"/>
      <w:szCs w:val="20"/>
    </w:rPr>
  </w:style>
  <w:style w:type="paragraph" w:styleId="912">
    <w:name w:val="Char Char4"/>
    <w:basedOn w:val="775"/>
    <w:next w:val="912"/>
    <w:link w:val="775"/>
    <w:qFormat/>
    <w:pPr>
      <w:jc w:val="center"/>
      <w:spacing w:line="400" w:lineRule="exact"/>
      <w:widowControl/>
    </w:pPr>
  </w:style>
  <w:style w:type="paragraph" w:styleId="913">
    <w:name w:val="default"/>
    <w:basedOn w:val="775"/>
    <w:next w:val="913"/>
    <w:link w:val="775"/>
    <w:qFormat/>
    <w:pPr>
      <w:jc w:val="left"/>
      <w:spacing w:before="100" w:beforeAutospacing="1" w:after="100" w:afterAutospacing="1"/>
      <w:widowControl/>
    </w:pPr>
    <w:rPr>
      <w:rFonts w:ascii="Century Gothic" w:hAnsi="Century Gothic" w:cs="Century Gothic"/>
      <w:sz w:val="24"/>
    </w:rPr>
  </w:style>
  <w:style w:type="paragraph" w:styleId="914">
    <w:name w:val="正文须知-3级"/>
    <w:basedOn w:val="775"/>
    <w:next w:val="914"/>
    <w:link w:val="775"/>
    <w:qFormat/>
    <w:pPr>
      <w:numPr>
        <w:ilvl w:val="2"/>
        <w:numId w:val="2"/>
      </w:numPr>
      <w:ind w:hanging="355"/>
      <w:spacing w:line="300" w:lineRule="auto"/>
    </w:pPr>
    <w:rPr>
      <w:rFonts w:ascii="Century Gothic" w:hAnsi="方正小标宋_GBK"/>
      <w:sz w:val="24"/>
      <w:szCs w:val="21"/>
    </w:rPr>
  </w:style>
  <w:style w:type="paragraph" w:styleId="915">
    <w:name w:val="修订"/>
    <w:next w:val="915"/>
    <w:link w:val="775"/>
    <w:uiPriority w:val="99"/>
    <w:unhideWhenUsed/>
    <w:rPr>
      <w:sz w:val="21"/>
      <w:szCs w:val="24"/>
      <w:lang w:val="en-US" w:eastAsia="zh-CN" w:bidi="ar-SA"/>
    </w:rPr>
  </w:style>
  <w:style w:type="paragraph" w:styleId="916">
    <w:name w:val="列出段落1"/>
    <w:basedOn w:val="775"/>
    <w:next w:val="916"/>
    <w:link w:val="775"/>
    <w:qFormat/>
    <w:pPr>
      <w:ind w:firstLine="420"/>
    </w:pPr>
    <w:rPr>
      <w:rFonts w:ascii="方正小标宋_GBK" w:hAnsi="方正小标宋_GBK"/>
      <w:szCs w:val="22"/>
    </w:rPr>
  </w:style>
  <w:style w:type="paragraph" w:styleId="917">
    <w:name w:val="22222222222222"/>
    <w:basedOn w:val="775"/>
    <w:next w:val="917"/>
    <w:link w:val="775"/>
    <w:qFormat/>
    <w:pPr>
      <w:ind w:firstLine="480"/>
      <w:jc w:val="left"/>
      <w:spacing w:line="360" w:lineRule="auto"/>
      <w:widowControl/>
    </w:pPr>
    <w:rPr>
      <w:color w:val="ff0000"/>
      <w:sz w:val="24"/>
      <w:szCs w:val="20"/>
    </w:rPr>
  </w:style>
  <w:style w:type="paragraph" w:styleId="918">
    <w:name w:val="正文列项_数字"/>
    <w:basedOn w:val="775"/>
    <w:next w:val="918"/>
    <w:link w:val="775"/>
    <w:qFormat/>
    <w:pPr>
      <w:numPr>
        <w:ilvl w:val="7"/>
        <w:numId w:val="1"/>
      </w:numPr>
      <w:ind w:left="680" w:hanging="150"/>
      <w:spacing w:line="460" w:lineRule="exact"/>
      <w:tabs>
        <w:tab w:val="clear" w:pos="860" w:leader="none"/>
      </w:tabs>
      <w:outlineLvl w:val="7"/>
    </w:pPr>
    <w:rPr>
      <w:rFonts w:ascii="Century Gothic"/>
      <w:sz w:val="28"/>
      <w:szCs w:val="20"/>
    </w:rPr>
  </w:style>
  <w:style w:type="paragraph" w:styleId="919">
    <w:name w:val="font9"/>
    <w:basedOn w:val="775"/>
    <w:next w:val="919"/>
    <w:link w:val="775"/>
    <w:qFormat/>
    <w:pPr>
      <w:jc w:val="left"/>
      <w:spacing w:before="100" w:beforeAutospacing="1" w:after="100" w:afterAutospacing="1"/>
      <w:widowControl/>
    </w:pPr>
    <w:rPr>
      <w:rFonts w:hint="eastAsia" w:ascii="Century Gothic" w:hAnsi="Century Gothic" w:cs="方正小标宋简体"/>
      <w:color w:val="000000"/>
      <w:sz w:val="20"/>
      <w:szCs w:val="20"/>
    </w:rPr>
  </w:style>
  <w:style w:type="paragraph" w:styleId="920">
    <w:name w:val="正文须知-1级"/>
    <w:basedOn w:val="775"/>
    <w:next w:val="775"/>
    <w:link w:val="775"/>
    <w:qFormat/>
    <w:pPr>
      <w:numPr>
        <w:ilvl w:val="0"/>
        <w:numId w:val="2"/>
      </w:numPr>
      <w:spacing w:line="300" w:lineRule="auto"/>
    </w:pPr>
    <w:rPr>
      <w:rFonts w:ascii="Century Gothic" w:hAnsi="方正小标宋_GBK"/>
      <w:sz w:val="24"/>
      <w:szCs w:val="21"/>
    </w:rPr>
  </w:style>
  <w:style w:type="paragraph" w:styleId="921">
    <w:name w:val="缺省文本"/>
    <w:basedOn w:val="775"/>
    <w:next w:val="921"/>
    <w:link w:val="775"/>
    <w:qFormat/>
    <w:pPr>
      <w:jc w:val="left"/>
    </w:pPr>
    <w:rPr>
      <w:sz w:val="24"/>
    </w:rPr>
  </w:style>
  <w:style w:type="paragraph" w:styleId="922">
    <w:name w:val="图例"/>
    <w:basedOn w:val="775"/>
    <w:next w:val="922"/>
    <w:link w:val="775"/>
    <w:qFormat/>
    <w:pPr>
      <w:jc w:val="center"/>
      <w:spacing w:before="120" w:after="120" w:line="360" w:lineRule="auto"/>
    </w:pPr>
    <w:rPr>
      <w:rFonts w:eastAsia="Cambria Math"/>
      <w:b/>
      <w:sz w:val="24"/>
      <w:szCs w:val="20"/>
    </w:rPr>
  </w:style>
  <w:style w:type="paragraph" w:styleId="923">
    <w:name w:val="Char Char1 Char Char Char Char Char Char"/>
    <w:basedOn w:val="775"/>
    <w:next w:val="923"/>
    <w:link w:val="775"/>
    <w:qFormat/>
    <w:pPr>
      <w:jc w:val="left"/>
      <w:spacing w:after="160" w:line="240" w:lineRule="exact"/>
      <w:widowControl/>
    </w:pPr>
    <w:rPr>
      <w:rFonts w:ascii="华文中宋" w:hAnsi="华文中宋" w:eastAsia="Cambria Math"/>
      <w:sz w:val="24"/>
      <w:szCs w:val="20"/>
      <w:lang w:eastAsia="en-US"/>
    </w:rPr>
  </w:style>
  <w:style w:type="paragraph" w:styleId="924">
    <w:name w:val="二级条标题"/>
    <w:basedOn w:val="907"/>
    <w:next w:val="775"/>
    <w:link w:val="775"/>
    <w:qFormat/>
    <w:pPr>
      <w:numPr>
        <w:ilvl w:val="0"/>
        <w:numId w:val="0"/>
      </w:numPr>
      <w:ind w:hanging="840"/>
      <w:tabs>
        <w:tab w:val="left" w:pos="360" w:leader="none"/>
        <w:tab w:val="left" w:pos="840" w:leader="none"/>
      </w:tabs>
      <w:outlineLvl w:val="2"/>
    </w:pPr>
    <w:rPr>
      <w:rFonts w:ascii="Century Gothic" w:eastAsia="Century Gothic"/>
      <w:b w:val="0"/>
    </w:rPr>
  </w:style>
  <w:style w:type="paragraph" w:styleId="925">
    <w:name w:val="xl25"/>
    <w:basedOn w:val="775"/>
    <w:next w:val="925"/>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20"/>
      <w:szCs w:val="20"/>
    </w:rPr>
  </w:style>
  <w:style w:type="paragraph" w:styleId="926">
    <w:name w:val="font5"/>
    <w:basedOn w:val="775"/>
    <w:next w:val="926"/>
    <w:link w:val="775"/>
    <w:qFormat/>
    <w:pPr>
      <w:jc w:val="left"/>
      <w:spacing w:before="100" w:beforeAutospacing="1" w:after="100" w:afterAutospacing="1"/>
      <w:widowControl/>
    </w:pPr>
    <w:rPr>
      <w:rFonts w:ascii="Century Gothic" w:hAnsi="Century Gothic" w:cs="Century Gothic"/>
      <w:sz w:val="18"/>
      <w:szCs w:val="18"/>
    </w:rPr>
  </w:style>
  <w:style w:type="paragraph" w:styleId="927">
    <w:name w:val="xl48"/>
    <w:basedOn w:val="775"/>
    <w:next w:val="92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22"/>
      <w:szCs w:val="22"/>
    </w:rPr>
  </w:style>
  <w:style w:type="paragraph" w:styleId="928">
    <w:name w:val="xl30"/>
    <w:basedOn w:val="775"/>
    <w:next w:val="92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color w:val="000000"/>
      <w:sz w:val="20"/>
      <w:szCs w:val="20"/>
    </w:rPr>
  </w:style>
  <w:style w:type="paragraph" w:styleId="929">
    <w:name w:val="Other|1"/>
    <w:basedOn w:val="775"/>
    <w:next w:val="929"/>
    <w:link w:val="775"/>
    <w:qFormat/>
    <w:pPr>
      <w:ind w:firstLine="400"/>
      <w:jc w:val="left"/>
      <w:spacing w:line="331" w:lineRule="auto"/>
    </w:pPr>
    <w:rPr>
      <w:rFonts w:ascii="Century Gothic" w:hAnsi="Century Gothic" w:eastAsia="Century Gothic" w:cs="Century Gothic"/>
      <w:color w:val="000000"/>
      <w:sz w:val="20"/>
      <w:szCs w:val="20"/>
      <w:lang w:val="zh-TW" w:eastAsia="zh-TW" w:bidi="zh-TW"/>
    </w:rPr>
  </w:style>
  <w:style w:type="paragraph" w:styleId="930">
    <w:name w:val="项目编号3"/>
    <w:basedOn w:val="931"/>
    <w:next w:val="930"/>
    <w:link w:val="775"/>
    <w:qFormat/>
    <w:pPr>
      <w:numPr>
        <w:ilvl w:val="0"/>
        <w:numId w:val="3"/>
      </w:numPr>
    </w:pPr>
  </w:style>
  <w:style w:type="paragraph" w:styleId="931">
    <w:name w:val="正文文本样式"/>
    <w:basedOn w:val="775"/>
    <w:next w:val="931"/>
    <w:link w:val="775"/>
    <w:qFormat/>
    <w:pPr>
      <w:ind w:firstLine="482"/>
      <w:spacing w:line="360" w:lineRule="auto"/>
    </w:pPr>
    <w:rPr>
      <w:rFonts w:cs="Century Gothic"/>
      <w:sz w:val="24"/>
      <w:szCs w:val="20"/>
    </w:rPr>
  </w:style>
  <w:style w:type="paragraph" w:styleId="932">
    <w:name w:val="xl23"/>
    <w:basedOn w:val="775"/>
    <w:next w:val="932"/>
    <w:link w:val="775"/>
    <w:qFormat/>
    <w:pPr>
      <w:spacing w:before="100" w:beforeAutospacing="1" w:after="100" w:afterAutospacing="1" w:line="360" w:lineRule="auto"/>
      <w:widowControl/>
    </w:pPr>
    <w:rPr>
      <w:sz w:val="24"/>
      <w:szCs w:val="20"/>
    </w:rPr>
  </w:style>
  <w:style w:type="paragraph" w:styleId="933">
    <w:name w:val="xl24"/>
    <w:basedOn w:val="775"/>
    <w:next w:val="933"/>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20"/>
      <w:szCs w:val="20"/>
    </w:rPr>
  </w:style>
  <w:style w:type="paragraph" w:styleId="934">
    <w:name w:val="样式 宋体 五号 行距: 单倍行距"/>
    <w:basedOn w:val="775"/>
    <w:next w:val="934"/>
    <w:link w:val="775"/>
    <w:qFormat/>
    <w:pPr>
      <w:jc w:val="left"/>
    </w:pPr>
    <w:rPr>
      <w:rFonts w:ascii="Century Gothic" w:hAnsi="Century Gothic"/>
      <w:szCs w:val="20"/>
    </w:rPr>
  </w:style>
  <w:style w:type="paragraph" w:styleId="935">
    <w:name w:val="xl53"/>
    <w:basedOn w:val="775"/>
    <w:next w:val="93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20"/>
      <w:szCs w:val="20"/>
    </w:rPr>
  </w:style>
  <w:style w:type="paragraph" w:styleId="936">
    <w:name w:val="Table Paragraph"/>
    <w:basedOn w:val="775"/>
    <w:next w:val="936"/>
    <w:link w:val="775"/>
    <w:uiPriority w:val="1"/>
    <w:qFormat/>
    <w:pPr>
      <w:jc w:val="left"/>
    </w:pPr>
    <w:rPr>
      <w:rFonts w:ascii="Century Gothic" w:hAnsi="Century Gothic" w:cs="Century Gothic"/>
      <w:sz w:val="22"/>
      <w:szCs w:val="22"/>
      <w:lang w:eastAsia="en-US"/>
    </w:rPr>
  </w:style>
  <w:style w:type="paragraph" w:styleId="937">
    <w:name w:val="1名"/>
    <w:basedOn w:val="775"/>
    <w:next w:val="937"/>
    <w:link w:val="775"/>
    <w:qFormat/>
    <w:pPr>
      <w:numPr>
        <w:ilvl w:val="0"/>
        <w:numId w:val="4"/>
      </w:numPr>
      <w:spacing w:before="120"/>
      <w:tabs>
        <w:tab w:val="left" w:pos="360" w:leader="none"/>
      </w:tabs>
    </w:pPr>
    <w:rPr>
      <w:rFonts w:ascii="Century Gothic"/>
      <w:sz w:val="28"/>
      <w:szCs w:val="20"/>
    </w:rPr>
  </w:style>
  <w:style w:type="paragraph" w:styleId="938">
    <w:name w:val="项目符号1"/>
    <w:basedOn w:val="931"/>
    <w:next w:val="938"/>
    <w:link w:val="775"/>
    <w:qFormat/>
    <w:pPr>
      <w:ind w:left="-25" w:firstLine="0"/>
    </w:pPr>
  </w:style>
  <w:style w:type="paragraph" w:styleId="939">
    <w:name w:val="Char Char Char Char Char Char Char Char Char Char"/>
    <w:basedOn w:val="775"/>
    <w:next w:val="939"/>
    <w:link w:val="775"/>
    <w:qFormat/>
  </w:style>
  <w:style w:type="paragraph" w:styleId="940">
    <w:name w:val="xl45"/>
    <w:basedOn w:val="775"/>
    <w:next w:val="940"/>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方正小标宋简体" w:hAnsi="方正小标宋简体" w:eastAsia="方正小标宋简体" w:cs="方正小标宋简体"/>
      <w:b/>
      <w:bCs/>
      <w:color w:val="000000"/>
      <w:sz w:val="20"/>
      <w:szCs w:val="20"/>
    </w:rPr>
  </w:style>
  <w:style w:type="paragraph" w:styleId="941">
    <w:name w:val="xl52"/>
    <w:basedOn w:val="775"/>
    <w:next w:val="941"/>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16"/>
      <w:szCs w:val="16"/>
    </w:rPr>
  </w:style>
  <w:style w:type="paragraph" w:styleId="942">
    <w:name w:val="图文"/>
    <w:basedOn w:val="775"/>
    <w:next w:val="942"/>
    <w:link w:val="775"/>
    <w:qFormat/>
    <w:pPr>
      <w:spacing w:after="50" w:line="360" w:lineRule="auto"/>
    </w:pPr>
    <w:rPr>
      <w:sz w:val="24"/>
    </w:rPr>
  </w:style>
  <w:style w:type="paragraph" w:styleId="943">
    <w:name w:val="xl46"/>
    <w:basedOn w:val="775"/>
    <w:next w:val="943"/>
    <w:link w:val="775"/>
    <w:qFormat/>
    <w:pPr>
      <w:jc w:val="left"/>
      <w:spacing w:before="100" w:beforeAutospacing="1" w:after="100" w:afterAutospacing="1"/>
      <w:widowControl/>
      <w:pBdr>
        <w:top w:val="single" w:color="000000" w:sz="4" w:space="0"/>
        <w:bottom w:val="single" w:color="000000" w:sz="4" w:space="0"/>
      </w:pBdr>
    </w:pPr>
    <w:rPr>
      <w:rFonts w:ascii="方正小标宋简体" w:hAnsi="方正小标宋简体" w:eastAsia="方正小标宋简体" w:cs="方正小标宋简体"/>
      <w:b/>
      <w:bCs/>
      <w:color w:val="000000"/>
      <w:sz w:val="20"/>
      <w:szCs w:val="20"/>
    </w:rPr>
  </w:style>
  <w:style w:type="paragraph" w:styleId="944">
    <w:name w:val="xl49"/>
    <w:basedOn w:val="775"/>
    <w:next w:val="94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color w:val="000000"/>
      <w:sz w:val="22"/>
      <w:szCs w:val="22"/>
    </w:rPr>
  </w:style>
  <w:style w:type="paragraph" w:styleId="945">
    <w:name w:val="xl39"/>
    <w:basedOn w:val="775"/>
    <w:next w:val="94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color w:val="000000"/>
      <w:sz w:val="20"/>
      <w:szCs w:val="20"/>
    </w:rPr>
  </w:style>
  <w:style w:type="paragraph" w:styleId="946">
    <w:name w:val="Char2 Char Char Char Char Char Char1"/>
    <w:basedOn w:val="775"/>
    <w:next w:val="946"/>
    <w:link w:val="775"/>
    <w:qFormat/>
    <w:pPr>
      <w:jc w:val="center"/>
      <w:spacing w:line="400" w:lineRule="exact"/>
      <w:widowControl/>
    </w:pPr>
  </w:style>
  <w:style w:type="paragraph" w:styleId="947">
    <w:name w:val="图中文字"/>
    <w:basedOn w:val="775"/>
    <w:next w:val="947"/>
    <w:link w:val="775"/>
    <w:qFormat/>
    <w:pPr>
      <w:jc w:val="center"/>
      <w:spacing w:line="0" w:lineRule="atLeast"/>
    </w:pPr>
    <w:rPr>
      <w:sz w:val="24"/>
      <w:szCs w:val="20"/>
    </w:rPr>
  </w:style>
  <w:style w:type="paragraph" w:styleId="948">
    <w:name w:val="表格文字"/>
    <w:basedOn w:val="809"/>
    <w:next w:val="948"/>
    <w:link w:val="775"/>
    <w:qFormat/>
    <w:pPr>
      <w:ind w:firstLine="0"/>
      <w:spacing w:before="20" w:after="20" w:line="240" w:lineRule="auto"/>
    </w:pPr>
    <w:rPr>
      <w:rFonts w:ascii="Times New Roman" w:hAnsi="Times New Roman"/>
      <w:sz w:val="20"/>
      <w:szCs w:val="20"/>
    </w:rPr>
  </w:style>
  <w:style w:type="paragraph" w:styleId="949">
    <w:name w:val="正文 + 宋体"/>
    <w:basedOn w:val="775"/>
    <w:next w:val="949"/>
    <w:link w:val="775"/>
    <w:qFormat/>
    <w:pPr>
      <w:ind w:left="360" w:hanging="360"/>
      <w:jc w:val="left"/>
      <w:widowControl/>
    </w:pPr>
    <w:rPr>
      <w:rFonts w:ascii="Century Gothic" w:hAnsi="Century Gothic" w:cs="Century Gothic"/>
      <w:b/>
      <w:bCs/>
      <w:color w:val="000000"/>
      <w:sz w:val="18"/>
      <w:szCs w:val="18"/>
    </w:rPr>
  </w:style>
  <w:style w:type="paragraph" w:styleId="950">
    <w:name w:val="字元 字元1"/>
    <w:basedOn w:val="775"/>
    <w:next w:val="950"/>
    <w:link w:val="775"/>
    <w:qFormat/>
    <w:rPr>
      <w:rFonts w:ascii="宋体" w:hAnsi="宋体"/>
      <w:sz w:val="24"/>
      <w:szCs w:val="20"/>
    </w:rPr>
  </w:style>
  <w:style w:type="paragraph" w:styleId="951">
    <w:name w:val="Char3"/>
    <w:basedOn w:val="775"/>
    <w:next w:val="951"/>
    <w:link w:val="775"/>
    <w:qFormat/>
    <w:pPr>
      <w:tabs>
        <w:tab w:val="left" w:pos="360" w:leader="none"/>
      </w:tabs>
    </w:pPr>
    <w:rPr>
      <w:sz w:val="24"/>
    </w:rPr>
  </w:style>
  <w:style w:type="paragraph" w:styleId="952">
    <w:name w:val="Char Char1 Char Char Char Char Char Char1"/>
    <w:basedOn w:val="775"/>
    <w:next w:val="952"/>
    <w:link w:val="775"/>
    <w:qFormat/>
    <w:pPr>
      <w:jc w:val="left"/>
      <w:spacing w:after="160" w:line="240" w:lineRule="exact"/>
      <w:widowControl/>
    </w:pPr>
    <w:rPr>
      <w:rFonts w:ascii="华文中宋" w:hAnsi="华文中宋" w:eastAsia="Cambria Math"/>
      <w:sz w:val="24"/>
      <w:szCs w:val="20"/>
      <w:lang w:eastAsia="en-US"/>
    </w:rPr>
  </w:style>
  <w:style w:type="paragraph" w:styleId="953">
    <w:name w:val="xl36"/>
    <w:basedOn w:val="775"/>
    <w:next w:val="953"/>
    <w:link w:val="775"/>
    <w:qFormat/>
    <w:pPr>
      <w:jc w:val="center"/>
      <w:spacing w:before="100" w:beforeAutospacing="1" w:after="100" w:afterAutospacing="1"/>
      <w:widowControl/>
    </w:pPr>
    <w:rPr>
      <w:rFonts w:ascii="方正小标宋简体" w:hAnsi="方正小标宋简体" w:eastAsia="方正小标宋简体" w:cs="方正小标宋简体"/>
      <w:color w:val="000000"/>
      <w:sz w:val="20"/>
      <w:szCs w:val="20"/>
    </w:rPr>
  </w:style>
  <w:style w:type="paragraph" w:styleId="954">
    <w:name w:val="正文缩进2"/>
    <w:basedOn w:val="775"/>
    <w:next w:val="954"/>
    <w:link w:val="775"/>
    <w:qFormat/>
    <w:pPr>
      <w:ind w:firstLine="567"/>
      <w:spacing w:line="480" w:lineRule="exact"/>
      <w:widowControl/>
    </w:pPr>
    <w:rPr>
      <w:rFonts w:ascii="Century Gothic"/>
      <w:color w:val="000000"/>
      <w:sz w:val="28"/>
      <w:szCs w:val="20"/>
      <w:lang w:val="zh-CN" w:eastAsia="zh-CN"/>
    </w:rPr>
  </w:style>
  <w:style w:type="paragraph" w:styleId="955">
    <w:name w:val="Char Char Char"/>
    <w:basedOn w:val="775"/>
    <w:next w:val="955"/>
    <w:link w:val="775"/>
    <w:qFormat/>
    <w:rPr>
      <w:rFonts w:ascii="宋体" w:hAnsi="宋体"/>
      <w:sz w:val="24"/>
      <w:szCs w:val="20"/>
    </w:rPr>
  </w:style>
  <w:style w:type="paragraph" w:styleId="956">
    <w:name w:val="Char22"/>
    <w:basedOn w:val="775"/>
    <w:next w:val="956"/>
    <w:link w:val="775"/>
    <w:qFormat/>
    <w:rPr>
      <w:rFonts w:ascii="宋体" w:hAnsi="宋体"/>
      <w:sz w:val="24"/>
      <w:szCs w:val="20"/>
    </w:rPr>
  </w:style>
  <w:style w:type="paragraph" w:styleId="957">
    <w:name w:val="xl51"/>
    <w:basedOn w:val="775"/>
    <w:next w:val="957"/>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20"/>
      <w:szCs w:val="20"/>
    </w:rPr>
  </w:style>
  <w:style w:type="paragraph" w:styleId="958">
    <w:name w:val="xl27"/>
    <w:basedOn w:val="775"/>
    <w:next w:val="95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方正小标宋简体"/>
      <w:color w:val="000000"/>
      <w:sz w:val="20"/>
      <w:szCs w:val="20"/>
    </w:rPr>
  </w:style>
  <w:style w:type="paragraph" w:styleId="959">
    <w:name w:val="项目编号2"/>
    <w:basedOn w:val="960"/>
    <w:next w:val="959"/>
    <w:link w:val="775"/>
    <w:qFormat/>
    <w:pPr>
      <w:numPr>
        <w:numId w:val="6"/>
      </w:numPr>
    </w:pPr>
  </w:style>
  <w:style w:type="paragraph" w:styleId="960">
    <w:name w:val="项目编号1"/>
    <w:basedOn w:val="775"/>
    <w:next w:val="960"/>
    <w:link w:val="775"/>
    <w:qFormat/>
    <w:pPr>
      <w:numPr>
        <w:ilvl w:val="0"/>
        <w:numId w:val="5"/>
      </w:numPr>
      <w:spacing w:before="100" w:beforeAutospacing="1" w:after="100" w:afterAutospacing="1" w:line="360" w:lineRule="auto"/>
    </w:pPr>
    <w:rPr>
      <w:sz w:val="24"/>
    </w:rPr>
  </w:style>
  <w:style w:type="paragraph" w:styleId="961">
    <w:name w:val="Char Char Char Char Char Char Char Char Char Char Char Char Char Char Char Char1"/>
    <w:basedOn w:val="775"/>
    <w:next w:val="961"/>
    <w:link w:val="775"/>
    <w:qFormat/>
    <w:pPr>
      <w:jc w:val="center"/>
      <w:spacing w:after="160" w:line="240" w:lineRule="exact"/>
      <w:widowControl/>
    </w:pPr>
    <w:rPr>
      <w:rFonts w:ascii="Century Gothic" w:hAnsi="Century Gothic"/>
      <w:b/>
      <w:sz w:val="30"/>
      <w:szCs w:val="30"/>
      <w:lang w:eastAsia="en-US"/>
    </w:rPr>
  </w:style>
  <w:style w:type="paragraph" w:styleId="962">
    <w:name w:val="Char1"/>
    <w:basedOn w:val="775"/>
    <w:next w:val="962"/>
    <w:link w:val="775"/>
    <w:qFormat/>
    <w:pPr>
      <w:tabs>
        <w:tab w:val="left" w:pos="360" w:leader="none"/>
      </w:tabs>
    </w:pPr>
    <w:rPr>
      <w:sz w:val="24"/>
    </w:rPr>
  </w:style>
  <w:style w:type="paragraph" w:styleId="963">
    <w:name w:val="Char Char Char Char Char Char Char Char Char Char2"/>
    <w:basedOn w:val="775"/>
    <w:next w:val="963"/>
    <w:link w:val="775"/>
    <w:qFormat/>
    <w:rPr>
      <w:rFonts w:ascii="Century Gothic" w:hAnsi="Century Gothic" w:cs="Symbol"/>
      <w:sz w:val="32"/>
      <w:szCs w:val="32"/>
    </w:rPr>
  </w:style>
  <w:style w:type="paragraph" w:styleId="964">
    <w:name w:val="Char Char Char2"/>
    <w:basedOn w:val="775"/>
    <w:next w:val="964"/>
    <w:link w:val="775"/>
    <w:qFormat/>
    <w:rPr>
      <w:rFonts w:ascii="宋体" w:hAnsi="宋体"/>
      <w:sz w:val="24"/>
      <w:szCs w:val="20"/>
    </w:rPr>
  </w:style>
  <w:style w:type="paragraph" w:styleId="965">
    <w:name w:val="正文列项_字母"/>
    <w:basedOn w:val="775"/>
    <w:next w:val="965"/>
    <w:link w:val="775"/>
    <w:qFormat/>
    <w:pPr>
      <w:numPr>
        <w:ilvl w:val="6"/>
        <w:numId w:val="1"/>
      </w:numPr>
      <w:ind w:left="480" w:hanging="180"/>
      <w:spacing w:line="460" w:lineRule="exact"/>
      <w:tabs>
        <w:tab w:val="clear" w:pos="635" w:leader="none"/>
      </w:tabs>
      <w:outlineLvl w:val="6"/>
    </w:pPr>
    <w:rPr>
      <w:rFonts w:ascii="Century Gothic"/>
      <w:sz w:val="28"/>
      <w:szCs w:val="20"/>
    </w:rPr>
  </w:style>
  <w:style w:type="paragraph" w:styleId="966">
    <w:name w:val="xl47"/>
    <w:basedOn w:val="775"/>
    <w:next w:val="966"/>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20"/>
      <w:szCs w:val="20"/>
    </w:rPr>
  </w:style>
  <w:style w:type="paragraph" w:styleId="967">
    <w:name w:val="正文文本1"/>
    <w:basedOn w:val="775"/>
    <w:next w:val="775"/>
    <w:link w:val="775"/>
    <w:qFormat/>
    <w:pPr>
      <w:spacing w:before="120" w:line="22" w:lineRule="atLeast"/>
      <w:tabs>
        <w:tab w:val="left" w:pos="567" w:leader="none"/>
      </w:tabs>
    </w:pPr>
    <w:rPr>
      <w:rFonts w:ascii="Century Gothic" w:hAnsi="Century Gothic"/>
      <w:sz w:val="24"/>
    </w:rPr>
  </w:style>
  <w:style w:type="paragraph" w:styleId="968">
    <w:name w:val="1 Char Char Char Char"/>
    <w:basedOn w:val="775"/>
    <w:next w:val="968"/>
    <w:link w:val="775"/>
    <w:qFormat/>
    <w:rPr>
      <w:rFonts w:ascii="宋体" w:hAnsi="宋体"/>
      <w:sz w:val="24"/>
      <w:szCs w:val="20"/>
    </w:rPr>
  </w:style>
  <w:style w:type="paragraph" w:styleId="969">
    <w:name w:val="无标题条"/>
    <w:next w:val="775"/>
    <w:link w:val="775"/>
    <w:qFormat/>
    <w:pPr>
      <w:jc w:val="both"/>
    </w:pPr>
    <w:rPr>
      <w:sz w:val="21"/>
      <w:lang w:val="en-US" w:eastAsia="zh-CN" w:bidi="ar-SA"/>
    </w:rPr>
  </w:style>
  <w:style w:type="paragraph" w:styleId="970">
    <w:name w:val="*正文"/>
    <w:basedOn w:val="775"/>
    <w:next w:val="970"/>
    <w:link w:val="775"/>
    <w:qFormat/>
    <w:pPr>
      <w:ind w:firstLine="480"/>
      <w:spacing w:line="360" w:lineRule="auto"/>
    </w:pPr>
    <w:rPr>
      <w:rFonts w:ascii="Century Gothic" w:hAnsi="Century Gothic" w:eastAsia="Century Gothic" w:cs="Arial Unicode MS"/>
      <w:sz w:val="24"/>
      <w:szCs w:val="20"/>
    </w:rPr>
  </w:style>
  <w:style w:type="paragraph" w:styleId="971">
    <w:name w:val="xl28"/>
    <w:basedOn w:val="775"/>
    <w:next w:val="97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color w:val="000000"/>
      <w:sz w:val="20"/>
      <w:szCs w:val="20"/>
    </w:rPr>
  </w:style>
  <w:style w:type="paragraph" w:styleId="972">
    <w:name w:val="Char Char Char Char Char Char Char"/>
    <w:basedOn w:val="775"/>
    <w:next w:val="972"/>
    <w:link w:val="775"/>
    <w:qFormat/>
    <w:pPr>
      <w:ind w:firstLine="200"/>
      <w:spacing w:line="360" w:lineRule="auto"/>
    </w:pPr>
    <w:rPr>
      <w:rFonts w:eastAsia="Cambria Math"/>
      <w:sz w:val="24"/>
    </w:rPr>
  </w:style>
  <w:style w:type="paragraph" w:styleId="973">
    <w:name w:val="文档正文"/>
    <w:basedOn w:val="775"/>
    <w:next w:val="973"/>
    <w:link w:val="775"/>
    <w:qFormat/>
    <w:pPr>
      <w:spacing w:before="120" w:after="120" w:line="180" w:lineRule="auto"/>
    </w:pPr>
    <w:rPr>
      <w:rFonts w:ascii="Courier New" w:hAnsi="Courier New"/>
      <w:szCs w:val="20"/>
    </w:rPr>
  </w:style>
  <w:style w:type="paragraph" w:styleId="974">
    <w:name w:val="font7"/>
    <w:basedOn w:val="775"/>
    <w:next w:val="974"/>
    <w:link w:val="775"/>
    <w:qFormat/>
    <w:pPr>
      <w:jc w:val="left"/>
      <w:spacing w:before="100" w:beforeAutospacing="1" w:after="100" w:afterAutospacing="1"/>
      <w:widowControl/>
    </w:pPr>
    <w:rPr>
      <w:rFonts w:eastAsia="方正小标宋简体"/>
      <w:b/>
      <w:bCs/>
      <w:color w:val="000000"/>
      <w:sz w:val="20"/>
      <w:szCs w:val="20"/>
    </w:rPr>
  </w:style>
  <w:style w:type="paragraph" w:styleId="975">
    <w:name w:val="Char Char Char Char Char Char Char1"/>
    <w:basedOn w:val="775"/>
    <w:next w:val="975"/>
    <w:link w:val="775"/>
    <w:qFormat/>
    <w:pPr>
      <w:ind w:firstLine="200"/>
      <w:spacing w:line="360" w:lineRule="auto"/>
    </w:pPr>
    <w:rPr>
      <w:rFonts w:eastAsia="Cambria Math"/>
      <w:sz w:val="24"/>
    </w:rPr>
  </w:style>
  <w:style w:type="paragraph" w:styleId="976">
    <w:name w:val="列出段落2"/>
    <w:basedOn w:val="775"/>
    <w:next w:val="976"/>
    <w:link w:val="775"/>
    <w:qFormat/>
    <w:pPr>
      <w:ind w:firstLine="420"/>
    </w:pPr>
    <w:rPr>
      <w:rFonts w:ascii="方正小标宋_GBK" w:hAnsi="方正小标宋_GBK"/>
      <w:szCs w:val="22"/>
    </w:rPr>
  </w:style>
  <w:style w:type="paragraph" w:styleId="977">
    <w:name w:val="Char Char41"/>
    <w:basedOn w:val="775"/>
    <w:next w:val="977"/>
    <w:link w:val="775"/>
    <w:qFormat/>
    <w:pPr>
      <w:jc w:val="center"/>
      <w:spacing w:line="400" w:lineRule="exact"/>
      <w:widowControl/>
    </w:pPr>
  </w:style>
  <w:style w:type="paragraph" w:styleId="978">
    <w:name w:val="Char Char1 Char Char Char Char Char Char Char Char"/>
    <w:basedOn w:val="775"/>
    <w:next w:val="978"/>
    <w:link w:val="775"/>
    <w:qFormat/>
    <w:pPr>
      <w:jc w:val="left"/>
      <w:spacing w:after="160" w:line="240" w:lineRule="exact"/>
      <w:widowControl/>
    </w:pPr>
    <w:rPr>
      <w:rFonts w:ascii="华文中宋" w:hAnsi="华文中宋"/>
      <w:sz w:val="20"/>
      <w:szCs w:val="20"/>
      <w:lang w:eastAsia="en-US"/>
    </w:rPr>
  </w:style>
  <w:style w:type="paragraph" w:styleId="979">
    <w:name w:val="xl31"/>
    <w:basedOn w:val="775"/>
    <w:next w:val="979"/>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方正小标宋简体"/>
      <w:color w:val="000000"/>
      <w:sz w:val="20"/>
      <w:szCs w:val="20"/>
    </w:rPr>
  </w:style>
  <w:style w:type="paragraph" w:styleId="980">
    <w:name w:val="正文 + 楷体_GB2312"/>
    <w:basedOn w:val="775"/>
    <w:next w:val="980"/>
    <w:link w:val="775"/>
    <w:qFormat/>
    <w:pPr>
      <w:jc w:val="left"/>
      <w:widowControl/>
    </w:pPr>
    <w:rPr>
      <w:rFonts w:ascii="黑体" w:eastAsia="黑体" w:cs="Courier New"/>
      <w:sz w:val="24"/>
    </w:rPr>
  </w:style>
  <w:style w:type="paragraph" w:styleId="981">
    <w:name w:val="xl44"/>
    <w:basedOn w:val="775"/>
    <w:next w:val="981"/>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方正小标宋简体" w:hAnsi="方正小标宋简体" w:eastAsia="方正小标宋简体" w:cs="方正小标宋简体"/>
      <w:sz w:val="24"/>
    </w:rPr>
  </w:style>
  <w:style w:type="paragraph" w:styleId="982">
    <w:name w:val="Body text|1"/>
    <w:basedOn w:val="775"/>
    <w:next w:val="982"/>
    <w:link w:val="775"/>
    <w:qFormat/>
    <w:pPr>
      <w:ind w:firstLine="400"/>
      <w:spacing w:line="422" w:lineRule="auto"/>
      <w:shd w:val="clear" w:color="auto" w:fill="ffffff"/>
    </w:pPr>
    <w:rPr>
      <w:rFonts w:ascii="Tahoma" w:hAnsi="Tahoma" w:eastAsia="Tahoma" w:cs="Tahoma"/>
      <w:sz w:val="22"/>
      <w:szCs w:val="22"/>
      <w:lang w:val="zh-CN" w:eastAsia="zh-CN" w:bidi="zh-CN"/>
    </w:rPr>
  </w:style>
  <w:style w:type="paragraph" w:styleId="983">
    <w:name w:val="_Style 350"/>
    <w:basedOn w:val="775"/>
    <w:next w:val="892"/>
    <w:link w:val="775"/>
    <w:uiPriority w:val="99"/>
    <w:qFormat/>
    <w:pPr>
      <w:ind w:firstLine="420"/>
    </w:pPr>
    <w:rPr>
      <w:rFonts w:ascii="方正小标宋_GBK" w:hAnsi="方正小标宋_GBK" w:eastAsia="Century Gothic" w:cs="Arial Unicode MS"/>
    </w:rPr>
  </w:style>
  <w:style w:type="paragraph" w:styleId="984">
    <w:name w:val="Char1 Char Char Char1"/>
    <w:basedOn w:val="775"/>
    <w:next w:val="984"/>
    <w:link w:val="775"/>
    <w:qFormat/>
    <w:rPr>
      <w:rFonts w:ascii="宋体" w:hAnsi="宋体" w:cs="Cambria Math"/>
      <w:sz w:val="24"/>
      <w:szCs w:val="28"/>
    </w:rPr>
  </w:style>
  <w:style w:type="paragraph" w:styleId="985">
    <w:name w:val="xl41"/>
    <w:basedOn w:val="775"/>
    <w:next w:val="985"/>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方正小标宋简体" w:hAnsi="方正小标宋简体" w:eastAsia="方正小标宋简体" w:cs="方正小标宋简体"/>
      <w:color w:val="000000"/>
      <w:sz w:val="20"/>
      <w:szCs w:val="20"/>
    </w:rPr>
  </w:style>
  <w:style w:type="paragraph" w:styleId="986">
    <w:name w:val="标题1-附件"/>
    <w:basedOn w:val="776"/>
    <w:next w:val="986"/>
    <w:link w:val="775"/>
    <w:qFormat/>
    <w:pPr>
      <w:jc w:val="left"/>
    </w:pPr>
    <w:rPr>
      <w:sz w:val="24"/>
      <w:szCs w:val="24"/>
    </w:rPr>
  </w:style>
  <w:style w:type="paragraph" w:styleId="987">
    <w:name w:val="Char"/>
    <w:basedOn w:val="775"/>
    <w:next w:val="987"/>
    <w:link w:val="775"/>
    <w:qFormat/>
    <w:pPr>
      <w:tabs>
        <w:tab w:val="left" w:pos="360" w:leader="none"/>
      </w:tabs>
    </w:pPr>
    <w:rPr>
      <w:sz w:val="24"/>
    </w:rPr>
  </w:style>
  <w:style w:type="paragraph" w:styleId="988">
    <w:name w:val="xl35"/>
    <w:basedOn w:val="775"/>
    <w:next w:val="988"/>
    <w:link w:val="775"/>
    <w:qFormat/>
    <w:pPr>
      <w:jc w:val="left"/>
      <w:spacing w:before="100" w:beforeAutospacing="1" w:after="100" w:afterAutospacing="1"/>
      <w:widowControl/>
    </w:pPr>
    <w:rPr>
      <w:rFonts w:ascii="方正小标宋简体" w:hAnsi="方正小标宋简体" w:eastAsia="方正小标宋简体" w:cs="方正小标宋简体"/>
      <w:color w:val="000000"/>
      <w:sz w:val="20"/>
      <w:szCs w:val="20"/>
    </w:rPr>
  </w:style>
  <w:style w:type="paragraph" w:styleId="989">
    <w:name w:val="样式 标题 2 + 宋体 五号 行距: 单倍行距"/>
    <w:basedOn w:val="777"/>
    <w:next w:val="989"/>
    <w:link w:val="775"/>
    <w:qFormat/>
    <w:pPr>
      <w:numPr>
        <w:ilvl w:val="1"/>
        <w:numId w:val="7"/>
      </w:numPr>
      <w:jc w:val="left"/>
      <w:spacing w:before="260" w:after="260" w:line="240" w:lineRule="auto"/>
      <w:tabs>
        <w:tab w:val="left" w:pos="1188" w:leader="none"/>
      </w:tabs>
    </w:pPr>
    <w:rPr>
      <w:rFonts w:ascii="Century Gothic" w:hAnsi="Century Gothic" w:eastAsia="Century Gothic"/>
      <w:bCs/>
      <w:sz w:val="21"/>
    </w:rPr>
  </w:style>
  <w:style w:type="paragraph" w:styleId="990">
    <w:name w:val="Char Char Char Char Char Char Char2"/>
    <w:basedOn w:val="775"/>
    <w:next w:val="990"/>
    <w:link w:val="775"/>
    <w:qFormat/>
    <w:pPr>
      <w:ind w:firstLine="200"/>
      <w:spacing w:line="360" w:lineRule="auto"/>
    </w:pPr>
    <w:rPr>
      <w:rFonts w:eastAsia="Cambria Math"/>
      <w:sz w:val="24"/>
    </w:rPr>
  </w:style>
  <w:style w:type="paragraph" w:styleId="991">
    <w:name w:val="Char3 Char Char Char"/>
    <w:basedOn w:val="775"/>
    <w:next w:val="991"/>
    <w:link w:val="775"/>
    <w:qFormat/>
    <w:rPr>
      <w:rFonts w:ascii="宋体" w:hAnsi="宋体"/>
      <w:sz w:val="24"/>
      <w:szCs w:val="20"/>
    </w:rPr>
  </w:style>
  <w:style w:type="paragraph" w:styleId="992">
    <w:name w:val="Char Char Char1 Char2"/>
    <w:basedOn w:val="775"/>
    <w:next w:val="992"/>
    <w:link w:val="775"/>
    <w:qFormat/>
    <w:rPr>
      <w:rFonts w:ascii="宋体" w:hAnsi="宋体"/>
      <w:sz w:val="24"/>
      <w:szCs w:val="20"/>
    </w:rPr>
  </w:style>
  <w:style w:type="paragraph" w:styleId="993">
    <w:name w:val="??"/>
    <w:next w:val="993"/>
    <w:link w:val="775"/>
    <w:qFormat/>
    <w:pPr>
      <w:jc w:val="both"/>
      <w:widowControl w:val="off"/>
    </w:pPr>
    <w:rPr>
      <w:sz w:val="21"/>
      <w:lang w:val="en-US" w:eastAsia="en-US" w:bidi="ar-SA"/>
    </w:rPr>
  </w:style>
  <w:style w:type="paragraph" w:styleId="994">
    <w:name w:val="xl43"/>
    <w:basedOn w:val="775"/>
    <w:next w:val="994"/>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方正小标宋简体" w:hAnsi="方正小标宋简体" w:eastAsia="方正小标宋简体" w:cs="方正小标宋简体"/>
      <w:color w:val="000000"/>
      <w:sz w:val="20"/>
      <w:szCs w:val="20"/>
    </w:rPr>
  </w:style>
  <w:style w:type="paragraph" w:styleId="995">
    <w:name w:val="Default"/>
    <w:next w:val="995"/>
    <w:link w:val="775"/>
    <w:qFormat/>
    <w:pPr>
      <w:widowControl w:val="off"/>
    </w:pPr>
    <w:rPr>
      <w:rFonts w:ascii="ˎ̥" w:hAnsi="ˎ̥" w:cs="ˎ̥"/>
      <w:color w:val="000000"/>
      <w:sz w:val="24"/>
      <w:szCs w:val="24"/>
      <w:lang w:val="en-US" w:eastAsia="zh-CN" w:bidi="ar-SA"/>
    </w:rPr>
  </w:style>
  <w:style w:type="paragraph" w:styleId="996">
    <w:name w:val="xl37"/>
    <w:basedOn w:val="775"/>
    <w:next w:val="996"/>
    <w:link w:val="775"/>
    <w:qFormat/>
    <w:pPr>
      <w:jc w:val="left"/>
      <w:spacing w:before="100" w:beforeAutospacing="1" w:after="100" w:afterAutospacing="1"/>
      <w:widowControl/>
    </w:pPr>
    <w:rPr>
      <w:rFonts w:ascii="方正小标宋简体" w:hAnsi="方正小标宋简体" w:eastAsia="方正小标宋简体" w:cs="方正小标宋简体"/>
      <w:color w:val="000000"/>
      <w:sz w:val="20"/>
      <w:szCs w:val="20"/>
    </w:rPr>
  </w:style>
  <w:style w:type="paragraph" w:styleId="997">
    <w:name w:val="正文须知-2级"/>
    <w:basedOn w:val="775"/>
    <w:next w:val="997"/>
    <w:link w:val="775"/>
    <w:qFormat/>
    <w:pPr>
      <w:numPr>
        <w:ilvl w:val="1"/>
        <w:numId w:val="2"/>
      </w:numPr>
      <w:spacing w:line="300" w:lineRule="auto"/>
    </w:pPr>
    <w:rPr>
      <w:rFonts w:ascii="Century Gothic" w:hAnsi="方正小标宋_GBK"/>
      <w:sz w:val="24"/>
      <w:szCs w:val="21"/>
    </w:rPr>
  </w:style>
  <w:style w:type="paragraph" w:styleId="998">
    <w:name w:val="xl50"/>
    <w:basedOn w:val="775"/>
    <w:next w:val="99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b/>
      <w:bCs/>
      <w:color w:val="000000"/>
      <w:sz w:val="32"/>
      <w:szCs w:val="32"/>
    </w:rPr>
  </w:style>
  <w:style w:type="paragraph" w:styleId="999">
    <w:name w:val="Char3 Char Char Char1"/>
    <w:basedOn w:val="775"/>
    <w:next w:val="999"/>
    <w:link w:val="775"/>
    <w:qFormat/>
    <w:rPr>
      <w:rFonts w:ascii="宋体" w:hAnsi="宋体"/>
      <w:sz w:val="24"/>
      <w:szCs w:val="20"/>
    </w:rPr>
  </w:style>
  <w:style w:type="paragraph" w:styleId="1000">
    <w:name w:val="Char Char Char1 Char1"/>
    <w:basedOn w:val="775"/>
    <w:next w:val="1000"/>
    <w:link w:val="775"/>
    <w:qFormat/>
    <w:rPr>
      <w:rFonts w:ascii="宋体" w:hAnsi="宋体"/>
      <w:sz w:val="24"/>
      <w:szCs w:val="20"/>
    </w:rPr>
  </w:style>
  <w:style w:type="paragraph" w:styleId="1001">
    <w:name w:val="正文文本缩进2"/>
    <w:basedOn w:val="775"/>
    <w:next w:val="1001"/>
    <w:link w:val="775"/>
    <w:qFormat/>
    <w:pPr>
      <w:ind w:firstLine="480"/>
      <w:spacing w:line="480" w:lineRule="exact"/>
    </w:pPr>
    <w:rPr>
      <w:rFonts w:ascii="Century Gothic" w:hAnsi="Century Gothic"/>
      <w:sz w:val="24"/>
      <w:lang w:val="zh-CN" w:eastAsia="zh-CN"/>
    </w:rPr>
  </w:style>
  <w:style w:type="paragraph" w:styleId="1002">
    <w:name w:val="_Style 160"/>
    <w:next w:val="1002"/>
    <w:link w:val="775"/>
    <w:qFormat/>
    <w:rPr>
      <w:sz w:val="21"/>
      <w:szCs w:val="24"/>
      <w:lang w:val="en-US" w:eastAsia="zh-CN" w:bidi="ar-SA"/>
    </w:rPr>
  </w:style>
  <w:style w:type="paragraph" w:styleId="1003">
    <w:name w:val="List Paragraph1"/>
    <w:basedOn w:val="775"/>
    <w:next w:val="1003"/>
    <w:link w:val="775"/>
    <w:qFormat/>
    <w:pPr>
      <w:ind w:firstLine="420"/>
    </w:pPr>
    <w:rPr>
      <w:rFonts w:ascii="方正小标宋_GBK" w:hAnsi="方正小标宋_GBK"/>
      <w:szCs w:val="22"/>
    </w:rPr>
  </w:style>
  <w:style w:type="paragraph" w:styleId="1004">
    <w:name w:val="四级条标题"/>
    <w:basedOn w:val="1005"/>
    <w:next w:val="775"/>
    <w:link w:val="775"/>
    <w:qFormat/>
    <w:pPr>
      <w:numPr>
        <w:ilvl w:val="4"/>
      </w:numPr>
      <w:ind w:left="0" w:hanging="840"/>
      <w:tabs>
        <w:tab w:val="left" w:pos="360" w:leader="none"/>
        <w:tab w:val="left" w:pos="840" w:leader="none"/>
      </w:tabs>
      <w:outlineLvl w:val="4"/>
    </w:pPr>
  </w:style>
  <w:style w:type="paragraph" w:styleId="1005">
    <w:name w:val="三级条标题"/>
    <w:basedOn w:val="924"/>
    <w:next w:val="775"/>
    <w:link w:val="775"/>
    <w:qFormat/>
    <w:pPr>
      <w:numPr>
        <w:ilvl w:val="3"/>
        <w:numId w:val="1"/>
      </w:numPr>
      <w:ind w:left="0" w:hanging="840"/>
      <w:tabs>
        <w:tab w:val="left" w:pos="360" w:leader="none"/>
        <w:tab w:val="left" w:pos="840" w:leader="none"/>
      </w:tabs>
      <w:outlineLvl w:val="3"/>
    </w:pPr>
  </w:style>
  <w:style w:type="paragraph" w:styleId="1006">
    <w:name w:val="Revision"/>
    <w:next w:val="1006"/>
    <w:link w:val="775"/>
    <w:qFormat/>
    <w:rPr>
      <w:sz w:val="21"/>
      <w:szCs w:val="24"/>
      <w:lang w:val="en-US" w:eastAsia="zh-CN" w:bidi="ar-SA"/>
    </w:rPr>
  </w:style>
  <w:style w:type="paragraph" w:styleId="1007">
    <w:name w:val="font6"/>
    <w:basedOn w:val="775"/>
    <w:next w:val="1007"/>
    <w:link w:val="775"/>
    <w:qFormat/>
    <w:pPr>
      <w:jc w:val="left"/>
      <w:spacing w:before="100" w:beforeAutospacing="1" w:after="100" w:afterAutospacing="1"/>
      <w:widowControl/>
    </w:pPr>
    <w:rPr>
      <w:rFonts w:ascii="Century Gothic" w:hAnsi="Century Gothic" w:cs="Century Gothic"/>
      <w:sz w:val="20"/>
      <w:szCs w:val="20"/>
    </w:rPr>
  </w:style>
  <w:style w:type="paragraph" w:styleId="1008">
    <w:name w:val="xl40"/>
    <w:basedOn w:val="775"/>
    <w:next w:val="100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color w:val="000000"/>
      <w:sz w:val="20"/>
      <w:szCs w:val="20"/>
    </w:rPr>
  </w:style>
  <w:style w:type="paragraph" w:styleId="1009">
    <w:name w:val="Char2 Char Char Char Char Char Char"/>
    <w:basedOn w:val="775"/>
    <w:next w:val="1009"/>
    <w:link w:val="775"/>
    <w:qFormat/>
    <w:pPr>
      <w:jc w:val="center"/>
      <w:spacing w:line="400" w:lineRule="exact"/>
      <w:widowControl/>
    </w:pPr>
  </w:style>
  <w:style w:type="paragraph" w:styleId="1010">
    <w:name w:val="字元 字元"/>
    <w:basedOn w:val="775"/>
    <w:next w:val="1010"/>
    <w:link w:val="775"/>
    <w:qFormat/>
    <w:rPr>
      <w:rFonts w:ascii="宋体" w:hAnsi="宋体"/>
      <w:sz w:val="24"/>
      <w:szCs w:val="20"/>
    </w:rPr>
  </w:style>
  <w:style w:type="paragraph" w:styleId="1011">
    <w:name w:val="xl33"/>
    <w:basedOn w:val="775"/>
    <w:next w:val="101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方正小标宋简体"/>
      <w:color w:val="000000"/>
      <w:sz w:val="20"/>
      <w:szCs w:val="20"/>
    </w:rPr>
  </w:style>
  <w:style w:type="paragraph" w:styleId="1012">
    <w:name w:val="Char2"/>
    <w:basedOn w:val="775"/>
    <w:next w:val="1012"/>
    <w:link w:val="775"/>
    <w:qFormat/>
    <w:rPr>
      <w:rFonts w:ascii="宋体" w:hAnsi="宋体"/>
      <w:sz w:val="24"/>
      <w:szCs w:val="20"/>
    </w:rPr>
  </w:style>
  <w:style w:type="paragraph" w:styleId="1013">
    <w:name w:val="font8"/>
    <w:basedOn w:val="775"/>
    <w:next w:val="1013"/>
    <w:link w:val="775"/>
    <w:qFormat/>
    <w:pPr>
      <w:jc w:val="left"/>
      <w:spacing w:before="100" w:beforeAutospacing="1" w:after="100" w:afterAutospacing="1"/>
      <w:widowControl/>
    </w:pPr>
    <w:rPr>
      <w:sz w:val="36"/>
      <w:szCs w:val="36"/>
    </w:rPr>
  </w:style>
  <w:style w:type="paragraph" w:styleId="1014">
    <w:name w:val="无间隔"/>
    <w:next w:val="1014"/>
    <w:link w:val="775"/>
    <w:qFormat/>
    <w:pPr>
      <w:jc w:val="both"/>
      <w:widowControl w:val="off"/>
    </w:pPr>
    <w:rPr>
      <w:sz w:val="21"/>
      <w:szCs w:val="24"/>
      <w:lang w:val="en-US" w:eastAsia="zh-CN" w:bidi="ar-SA"/>
    </w:rPr>
  </w:style>
  <w:style w:type="paragraph" w:styleId="1015">
    <w:name w:val="xl26"/>
    <w:basedOn w:val="775"/>
    <w:next w:val="101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方正小标宋简体"/>
      <w:color w:val="000000"/>
      <w:sz w:val="22"/>
      <w:szCs w:val="22"/>
    </w:rPr>
  </w:style>
  <w:style w:type="paragraph" w:styleId="1016">
    <w:name w:val="Char21"/>
    <w:basedOn w:val="775"/>
    <w:next w:val="1016"/>
    <w:link w:val="775"/>
    <w:qFormat/>
    <w:rPr>
      <w:rFonts w:ascii="宋体" w:hAnsi="宋体"/>
      <w:sz w:val="24"/>
      <w:szCs w:val="20"/>
    </w:rPr>
  </w:style>
  <w:style w:type="paragraph" w:styleId="1017">
    <w:name w:val="正文文本样式 加粗"/>
    <w:basedOn w:val="931"/>
    <w:next w:val="1017"/>
    <w:link w:val="775"/>
    <w:qFormat/>
    <w:rPr>
      <w:b/>
    </w:rPr>
  </w:style>
  <w:style w:type="paragraph" w:styleId="1018">
    <w:name w:val="xl42"/>
    <w:basedOn w:val="775"/>
    <w:next w:val="1018"/>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方正小标宋简体"/>
      <w:b/>
      <w:bCs/>
      <w:color w:val="000000"/>
      <w:sz w:val="20"/>
      <w:szCs w:val="20"/>
    </w:rPr>
  </w:style>
  <w:style w:type="paragraph" w:styleId="1019">
    <w:name w:val="xl32"/>
    <w:basedOn w:val="775"/>
    <w:next w:val="1019"/>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color w:val="000000"/>
      <w:sz w:val="20"/>
      <w:szCs w:val="20"/>
    </w:rPr>
  </w:style>
  <w:style w:type="paragraph" w:styleId="1020">
    <w:name w:val="样式2"/>
    <w:basedOn w:val="838"/>
    <w:next w:val="1020"/>
    <w:link w:val="775"/>
    <w:qFormat/>
    <w:pPr>
      <w:jc w:val="center"/>
      <w:spacing w:line="360" w:lineRule="auto"/>
    </w:pPr>
    <w:rPr>
      <w:sz w:val="24"/>
    </w:rPr>
  </w:style>
  <w:style w:type="paragraph" w:styleId="1021">
    <w:name w:val="默认段落字体 Para Char Char Char Char"/>
    <w:basedOn w:val="775"/>
    <w:next w:val="1021"/>
    <w:link w:val="775"/>
    <w:qFormat/>
    <w:rPr>
      <w:rFonts w:ascii="Courier New" w:hAnsi="Courier New" w:cs="Courier New"/>
      <w:szCs w:val="21"/>
    </w:rPr>
  </w:style>
  <w:style w:type="paragraph" w:styleId="1022">
    <w:name w:val="Char Char Char1 Char"/>
    <w:basedOn w:val="775"/>
    <w:next w:val="1022"/>
    <w:link w:val="775"/>
    <w:qFormat/>
    <w:rPr>
      <w:rFonts w:ascii="宋体" w:hAnsi="宋体"/>
      <w:sz w:val="24"/>
      <w:szCs w:val="20"/>
    </w:rPr>
  </w:style>
  <w:style w:type="paragraph" w:styleId="1023">
    <w:name w:val="五级条标题"/>
    <w:basedOn w:val="1004"/>
    <w:next w:val="775"/>
    <w:link w:val="775"/>
    <w:qFormat/>
    <w:pPr>
      <w:numPr>
        <w:ilvl w:val="5"/>
      </w:numPr>
      <w:ind w:left="0" w:hanging="840"/>
      <w:tabs>
        <w:tab w:val="left" w:pos="360" w:leader="none"/>
        <w:tab w:val="left" w:pos="840" w:leader="none"/>
      </w:tabs>
      <w:outlineLvl w:val="5"/>
    </w:pPr>
  </w:style>
  <w:style w:type="paragraph" w:styleId="1024">
    <w:name w:val="xl38"/>
    <w:basedOn w:val="775"/>
    <w:next w:val="102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小标宋简体" w:hAnsi="方正小标宋简体" w:eastAsia="方正小标宋简体" w:cs="方正小标宋简体"/>
      <w:color w:val="000000"/>
      <w:sz w:val="16"/>
      <w:szCs w:val="16"/>
    </w:rPr>
  </w:style>
  <w:style w:type="paragraph" w:styleId="1025">
    <w:name w:val="Char Char Char Char Char Char Char Char Char Char Char Char Char Char Char Char"/>
    <w:basedOn w:val="775"/>
    <w:next w:val="1025"/>
    <w:link w:val="775"/>
    <w:qFormat/>
    <w:pPr>
      <w:jc w:val="center"/>
      <w:spacing w:after="160" w:line="240" w:lineRule="exact"/>
      <w:widowControl/>
    </w:pPr>
    <w:rPr>
      <w:rFonts w:ascii="Century Gothic" w:hAnsi="Century Gothic"/>
      <w:b/>
      <w:sz w:val="30"/>
      <w:szCs w:val="30"/>
      <w:lang w:eastAsia="en-US"/>
    </w:rPr>
  </w:style>
  <w:style w:type="paragraph" w:styleId="1026">
    <w:name w:val="Char Char Char1"/>
    <w:basedOn w:val="775"/>
    <w:next w:val="1026"/>
    <w:link w:val="775"/>
    <w:qFormat/>
    <w:rPr>
      <w:rFonts w:ascii="宋体" w:hAnsi="宋体"/>
      <w:sz w:val="24"/>
      <w:szCs w:val="20"/>
    </w:rPr>
  </w:style>
  <w:style w:type="paragraph" w:styleId="1027">
    <w:name w:val="Char3 Char Char Char2"/>
    <w:basedOn w:val="775"/>
    <w:next w:val="1027"/>
    <w:link w:val="775"/>
    <w:qFormat/>
    <w:rPr>
      <w:rFonts w:ascii="宋体" w:hAnsi="宋体"/>
      <w:sz w:val="24"/>
      <w:szCs w:val="20"/>
    </w:rPr>
  </w:style>
  <w:style w:type="paragraph" w:styleId="1028">
    <w:name w:val="background1"/>
    <w:basedOn w:val="775"/>
    <w:next w:val="1028"/>
    <w:link w:val="775"/>
    <w:qFormat/>
    <w:pPr>
      <w:jc w:val="left"/>
      <w:spacing w:before="100" w:beforeAutospacing="1" w:after="100" w:afterAutospacing="1"/>
      <w:widowControl/>
    </w:pPr>
    <w:rPr>
      <w:rFonts w:ascii="Century Gothic" w:hAnsi="Century Gothic" w:cs="Century Gothic"/>
      <w:sz w:val="24"/>
    </w:rPr>
  </w:style>
  <w:style w:type="paragraph" w:styleId="1029">
    <w:name w:val="xl34"/>
    <w:basedOn w:val="775"/>
    <w:next w:val="102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table" w:styleId="1030">
    <w:name w:val="Table Normal"/>
    <w:next w:val="1030"/>
    <w:link w:val="775"/>
    <w:uiPriority w:val="2"/>
    <w:unhideWhenUsed/>
    <w:qFormat/>
    <w:pPr>
      <w:widowControl w:val="off"/>
    </w:pPr>
    <w:rPr>
      <w:rFonts w:ascii="方正小标宋_GBK" w:hAnsi="方正小标宋_GBK"/>
      <w:sz w:val="22"/>
      <w:szCs w:val="22"/>
      <w:lang w:val="en-US" w:eastAsia="en-US" w:bidi="ar-SA"/>
    </w:rPr>
    <w:tblPr/>
  </w:style>
  <w:style w:type="paragraph" w:styleId="1031">
    <w:name w:val="首行缩进"/>
    <w:basedOn w:val="775"/>
    <w:next w:val="1031"/>
    <w:link w:val="775"/>
    <w:qFormat/>
    <w:pPr>
      <w:ind w:firstLine="480"/>
      <w:jc w:val="left"/>
      <w:widowControl/>
    </w:pPr>
    <w:rPr>
      <w:lang w:val="zh-CN"/>
    </w:rPr>
  </w:style>
  <w:style w:type="character" w:styleId="28903" w:default="1">
    <w:name w:val="Default Paragraph Font"/>
    <w:uiPriority w:val="1"/>
    <w:semiHidden/>
    <w:unhideWhenUsed/>
  </w:style>
  <w:style w:type="numbering" w:styleId="28904" w:default="1">
    <w:name w:val="No List"/>
    <w:uiPriority w:val="99"/>
    <w:semiHidden/>
    <w:unhideWhenUsed/>
  </w:style>
  <w:style w:type="table" w:styleId="289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朱丹俊</cp:lastModifiedBy>
  <cp:revision>2</cp:revision>
  <dcterms:created xsi:type="dcterms:W3CDTF">2026-06-02T08:33:00Z</dcterms:created>
  <dcterms:modified xsi:type="dcterms:W3CDTF">2026-06-17T03:01:43Z</dcterms:modified>
</cp:coreProperties>
</file>