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sz w:val="48"/>
          <w:szCs w:val="48"/>
        </w:rPr>
      </w:pPr>
      <w:r/>
      <w:bookmarkStart w:id="0" w:name="_Hlk77778371"/>
      <w:r/>
      <w:bookmarkStart w:id="1" w:name="_Hlk74841385"/>
      <w:r/>
      <w:r/>
    </w:p>
    <w:p>
      <w:pPr>
        <w:pStyle w:val="1015"/>
        <w:rPr>
          <w:rFonts w:ascii="宋体" w:hAnsi="宋体" w:cs="宋体"/>
        </w:rPr>
      </w:pPr>
      <w:r>
        <w:rPr>
          <w:rFonts w:ascii="宋体" w:hAnsi="宋体" w:cs="宋体"/>
        </w:rPr>
      </w:r>
      <w:r/>
    </w:p>
    <w:p>
      <w:pPr>
        <w:jc w:val="center"/>
        <w:spacing w:line="360" w:lineRule="auto"/>
        <w:widowControl/>
        <w:rPr>
          <w:rFonts w:ascii="宋体" w:hAnsi="宋体" w:cs="宋体"/>
          <w:b/>
          <w:sz w:val="72"/>
          <w:szCs w:val="72"/>
        </w:rPr>
      </w:pPr>
      <w:r>
        <w:rPr>
          <w:rFonts w:hint="eastAsia" w:ascii="宋体" w:hAnsi="宋体" w:cs="宋体"/>
          <w:b/>
          <w:bCs/>
          <w:sz w:val="72"/>
          <w:szCs w:val="72"/>
        </w:rPr>
        <w:t xml:space="preserve">南京师范大学学生宿舍家具采购项目</w:t>
      </w:r>
      <w:r/>
    </w:p>
    <w:p>
      <w:pPr>
        <w:pStyle w:val="1015"/>
        <w:rPr>
          <w:rFonts w:ascii="宋体" w:hAnsi="宋体" w:cs="宋体"/>
        </w:rPr>
      </w:pPr>
      <w:r>
        <w:rPr>
          <w:rFonts w:ascii="宋体" w:hAnsi="宋体" w:cs="宋体"/>
        </w:rPr>
      </w:r>
      <w:r/>
    </w:p>
    <w:p>
      <w:pPr>
        <w:pStyle w:val="1015"/>
        <w:rPr>
          <w:rFonts w:ascii="宋体" w:hAnsi="宋体" w:cs="宋体"/>
        </w:rPr>
      </w:pPr>
      <w:r>
        <w:rPr>
          <w:rFonts w:ascii="宋体" w:hAnsi="宋体" w:cs="宋体"/>
        </w:rPr>
      </w:r>
      <w:r/>
    </w:p>
    <w:p>
      <w:pPr>
        <w:pStyle w:val="1015"/>
        <w:rPr>
          <w:rFonts w:ascii="宋体" w:hAnsi="宋体" w:cs="宋体"/>
        </w:rPr>
      </w:pPr>
      <w:r>
        <w:rPr>
          <w:rFonts w:ascii="宋体" w:hAnsi="宋体" w:cs="宋体"/>
        </w:rPr>
      </w:r>
      <w:r/>
    </w:p>
    <w:p>
      <w:pPr>
        <w:pStyle w:val="1015"/>
        <w:rPr>
          <w:rFonts w:ascii="宋体" w:hAnsi="宋体" w:cs="宋体"/>
        </w:rPr>
      </w:pPr>
      <w:r>
        <w:rPr>
          <w:rFonts w:ascii="宋体" w:hAnsi="宋体" w:cs="宋体"/>
        </w:rPr>
      </w:r>
      <w:r/>
    </w:p>
    <w:p>
      <w:pPr>
        <w:pStyle w:val="1015"/>
        <w:rPr>
          <w:rFonts w:ascii="宋体" w:hAnsi="宋体" w:cs="宋体"/>
        </w:rPr>
      </w:pPr>
      <w:r>
        <w:rPr>
          <w:rFonts w:ascii="宋体" w:hAnsi="宋体"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项目编号：JSZC-320000-JCEC-G2026-0178</w:t>
      </w:r>
      <w:r/>
    </w:p>
    <w:p>
      <w:pPr>
        <w:jc w:val="center"/>
        <w:spacing w:line="360" w:lineRule="auto"/>
        <w:widowControl/>
        <w:rPr>
          <w:rFonts w:ascii="宋体" w:hAnsi="宋体" w:cs="宋体"/>
          <w:b/>
          <w:sz w:val="32"/>
          <w:szCs w:val="32"/>
        </w:rPr>
      </w:pPr>
      <w:r>
        <w:rPr>
          <w:rFonts w:ascii="宋体" w:hAnsi="宋体" w:cs="宋体"/>
          <w:b/>
          <w:sz w:val="32"/>
          <w:szCs w:val="32"/>
        </w:rPr>
      </w:r>
      <w:r/>
    </w:p>
    <w:p>
      <w:pPr>
        <w:jc w:val="left"/>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28"/>
          <w:szCs w:val="28"/>
        </w:rPr>
      </w:pPr>
      <w:r>
        <w:rPr>
          <w:rFonts w:ascii="宋体" w:hAnsi="宋体" w:cs="宋体"/>
          <w:b/>
          <w:sz w:val="28"/>
          <w:szCs w:val="28"/>
        </w:rPr>
      </w:r>
      <w:r/>
    </w:p>
    <w:p>
      <w:pPr>
        <w:spacing w:line="360" w:lineRule="auto"/>
        <w:shd w:val="clear" w:color="auto" w:fill="ffffff"/>
        <w:widowControl/>
        <w:rPr>
          <w:rFonts w:ascii="宋体" w:hAnsi="宋体" w:cs="宋体"/>
          <w:b/>
          <w:sz w:val="36"/>
          <w:szCs w:val="36"/>
        </w:rPr>
      </w:pPr>
      <w:r>
        <w:rPr>
          <w:rFonts w:hint="eastAsia" w:ascii="宋体" w:hAnsi="宋体" w:cs="宋体"/>
          <w:sz w:val="32"/>
          <w:szCs w:val="32"/>
        </w:rPr>
        <w:t xml:space="preserve">  </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rPr>
          <w:rFonts w:ascii="Arial" w:hAnsi="宋体" w:cs="Arial"/>
          <w:b/>
          <w:color w:val="000000"/>
          <w:sz w:val="32"/>
          <w:szCs w:val="32"/>
        </w:rPr>
      </w:pPr>
      <w:r>
        <w:rPr>
          <w:rFonts w:hint="eastAsia" w:ascii="Arial" w:hAnsi="宋体" w:cs="Arial"/>
          <w:b/>
          <w:color w:val="000000"/>
          <w:sz w:val="32"/>
          <w:szCs w:val="32"/>
        </w:rPr>
        <w:t xml:space="preserve">采购人：南京师范大学</w:t>
      </w:r>
      <w:r/>
    </w:p>
    <w:p>
      <w:pPr>
        <w:jc w:val="center"/>
        <w:spacing w:line="360" w:lineRule="auto"/>
        <w:rPr>
          <w:rFonts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p>
    <w:p>
      <w:pPr>
        <w:jc w:val="center"/>
        <w:spacing w:line="360" w:lineRule="auto"/>
        <w:rPr>
          <w:rFonts w:ascii="Arial" w:hAnsi="宋体" w:cs="Arial"/>
          <w:b/>
          <w:color w:val="000000"/>
          <w:sz w:val="32"/>
          <w:szCs w:val="32"/>
        </w:rPr>
      </w:pPr>
      <w:r>
        <w:rPr>
          <w:rFonts w:hint="eastAsia" w:ascii="Arial" w:hAnsi="宋体" w:cs="Arial"/>
          <w:b/>
          <w:color w:val="000000"/>
          <w:sz w:val="32"/>
          <w:szCs w:val="32"/>
        </w:rPr>
        <w:t xml:space="preserve">2026年</w:t>
      </w:r>
      <w:r>
        <w:rPr>
          <w:rFonts w:hint="eastAsia" w:ascii="Arial" w:hAnsi="宋体" w:cs="Arial"/>
          <w:b/>
          <w:color w:val="000000"/>
          <w:sz w:val="32"/>
          <w:szCs w:val="32"/>
          <w:lang w:val="en-US" w:eastAsia="zh-CN"/>
        </w:rPr>
        <w:t xml:space="preserve">6</w:t>
      </w:r>
      <w:r>
        <w:rPr>
          <w:rFonts w:hint="eastAsia" w:ascii="Arial" w:hAnsi="宋体" w:cs="Arial"/>
          <w:b/>
          <w:color w:val="000000"/>
          <w:sz w:val="32"/>
          <w:szCs w:val="32"/>
        </w:rPr>
        <w:t xml:space="preserve">月</w:t>
      </w:r>
      <w:r>
        <w:rPr>
          <w:rFonts w:hint="eastAsia" w:ascii="Arial" w:hAnsi="宋体" w:cs="Arial"/>
          <w:b/>
          <w:color w:val="000000"/>
          <w:sz w:val="32"/>
          <w:szCs w:val="32"/>
          <w:lang w:val="en-US" w:eastAsia="zh-CN"/>
        </w:rPr>
        <w:t xml:space="preserve">5</w:t>
      </w:r>
      <w:r>
        <w:rPr>
          <w:rFonts w:hint="eastAsia" w:ascii="Arial" w:hAnsi="宋体" w:cs="Arial"/>
          <w:b/>
          <w:color w:val="000000"/>
          <w:sz w:val="32"/>
          <w:szCs w:val="32"/>
        </w:rPr>
        <w:t xml:space="preserve">日</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br w:type="page" w:clear="all"/>
      </w:r>
      <w:r/>
    </w:p>
    <w:p>
      <w:pPr>
        <w:pStyle w:val="1119"/>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991"/>
        <w:tabs>
          <w:tab w:val="right" w:pos="8296" w:leader="dot"/>
        </w:tabs>
        <w:rPr>
          <w:rFonts w:ascii="宋体" w:hAnsi="宋体" w:cs="宋体"/>
          <w:sz w:val="28"/>
          <w:szCs w:val="28"/>
        </w:rPr>
      </w:pPr>
      <w:r>
        <w:rPr>
          <w:rFonts w:ascii="宋体" w:hAnsi="宋体" w:cs="宋体"/>
          <w:sz w:val="28"/>
          <w:szCs w:val="28"/>
        </w:rPr>
      </w:r>
      <w:r/>
    </w:p>
    <w:p>
      <w:pPr>
        <w:pStyle w:val="991"/>
        <w:tabs>
          <w:tab w:val="right" w:pos="8299" w:leader="dot"/>
        </w:tabs>
      </w:pPr>
      <w:r>
        <w:rPr>
          <w:rFonts w:hint="eastAsia" w:ascii="宋体" w:hAnsi="宋体" w:cs="宋体"/>
          <w:sz w:val="52"/>
          <w:szCs w:val="52"/>
        </w:rPr>
        <w:fldChar w:fldCharType="begin"/>
      </w:r>
      <w:r>
        <w:rPr>
          <w:rFonts w:hint="eastAsia" w:ascii="宋体" w:hAnsi="宋体" w:cs="宋体"/>
          <w:sz w:val="52"/>
          <w:szCs w:val="52"/>
        </w:rPr>
        <w:instrText xml:space="preserve">TOC \o "1-1" \h \u </w:instrText>
      </w:r>
      <w:r>
        <w:rPr>
          <w:rFonts w:hint="eastAsia" w:ascii="宋体" w:hAnsi="宋体" w:cs="宋体"/>
          <w:sz w:val="52"/>
          <w:szCs w:val="52"/>
        </w:rPr>
        <w:fldChar w:fldCharType="separate"/>
      </w:r>
      <w:r>
        <w:fldChar w:fldCharType="begin"/>
      </w:r>
      <w:r>
        <w:instrText xml:space="preserve"> HYPERLINK \l "_Toc19155" </w:instrText>
      </w:r>
      <w:r>
        <w:fldChar w:fldCharType="separate"/>
      </w:r>
      <w:r>
        <w:rPr>
          <w:rFonts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_Toc19155 \h </w:instrText>
      </w:r>
      <w:r>
        <w:fldChar w:fldCharType="separate"/>
      </w:r>
      <w:r>
        <w:t xml:space="preserve">1</w:t>
      </w:r>
      <w:r>
        <w:fldChar w:fldCharType="end"/>
      </w:r>
      <w:r>
        <w:fldChar w:fldCharType="end"/>
      </w:r>
      <w:r/>
    </w:p>
    <w:p>
      <w:pPr>
        <w:pStyle w:val="991"/>
        <w:tabs>
          <w:tab w:val="right" w:pos="8299" w:leader="dot"/>
        </w:tabs>
      </w:pPr>
      <w:r>
        <w:fldChar w:fldCharType="begin"/>
      </w:r>
      <w:r>
        <w:instrText xml:space="preserve"> HYPERLINK \l "_Toc6926" </w:instrText>
      </w:r>
      <w:r>
        <w:fldChar w:fldCharType="separate"/>
      </w:r>
      <w:r>
        <w:rPr>
          <w:rFonts w:hint="eastAsia" w:ascii="宋体" w:hAnsi="宋体" w:cs="宋体"/>
        </w:rPr>
        <w:t xml:space="preserve">第二章 供应商须知</w:t>
      </w:r>
      <w:r>
        <w:tab/>
      </w:r>
      <w:r>
        <w:fldChar w:fldCharType="begin"/>
      </w:r>
      <w:r>
        <w:instrText xml:space="preserve"> PAGEREF _Toc6926 \h </w:instrText>
      </w:r>
      <w:r>
        <w:fldChar w:fldCharType="separate"/>
      </w:r>
      <w:r>
        <w:t xml:space="preserve">5</w:t>
      </w:r>
      <w:r>
        <w:fldChar w:fldCharType="end"/>
      </w:r>
      <w:r>
        <w:fldChar w:fldCharType="end"/>
      </w:r>
      <w:r/>
    </w:p>
    <w:p>
      <w:pPr>
        <w:pStyle w:val="991"/>
        <w:tabs>
          <w:tab w:val="right" w:pos="8299" w:leader="dot"/>
        </w:tabs>
      </w:pPr>
      <w:r>
        <w:fldChar w:fldCharType="begin"/>
      </w:r>
      <w:r>
        <w:instrText xml:space="preserve"> HYPERLINK \l "_Toc695" </w:instrText>
      </w:r>
      <w:r>
        <w:fldChar w:fldCharType="separate"/>
      </w:r>
      <w:r>
        <w:rPr>
          <w:rFonts w:hint="eastAsia" w:ascii="宋体" w:hAnsi="宋体" w:cs="宋体"/>
        </w:rPr>
        <w:t xml:space="preserve">第三章 评标标准</w:t>
      </w:r>
      <w:r>
        <w:tab/>
      </w:r>
      <w:r>
        <w:fldChar w:fldCharType="begin"/>
      </w:r>
      <w:r>
        <w:instrText xml:space="preserve"> PAGEREF _Toc695 \h </w:instrText>
      </w:r>
      <w:r>
        <w:fldChar w:fldCharType="separate"/>
      </w:r>
      <w:r>
        <w:t xml:space="preserve">20</w:t>
      </w:r>
      <w:r>
        <w:fldChar w:fldCharType="end"/>
      </w:r>
      <w:r>
        <w:fldChar w:fldCharType="end"/>
      </w:r>
      <w:r/>
    </w:p>
    <w:p>
      <w:pPr>
        <w:pStyle w:val="991"/>
        <w:tabs>
          <w:tab w:val="right" w:pos="8299" w:leader="dot"/>
        </w:tabs>
      </w:pPr>
      <w:r>
        <w:fldChar w:fldCharType="begin"/>
      </w:r>
      <w:r>
        <w:instrText xml:space="preserve"> HYPERLINK \l "_Toc20257" </w:instrText>
      </w:r>
      <w:r>
        <w:fldChar w:fldCharType="separate"/>
      </w:r>
      <w:r>
        <w:rPr>
          <w:rFonts w:hint="eastAsia" w:ascii="宋体" w:hAnsi="宋体" w:cs="宋体"/>
        </w:rPr>
        <w:t xml:space="preserve">第四章 采购需求</w:t>
      </w:r>
      <w:r>
        <w:tab/>
      </w:r>
      <w:r>
        <w:fldChar w:fldCharType="begin"/>
      </w:r>
      <w:r>
        <w:instrText xml:space="preserve"> PAGEREF _Toc20257 \h </w:instrText>
      </w:r>
      <w:r>
        <w:fldChar w:fldCharType="separate"/>
      </w:r>
      <w:r>
        <w:t xml:space="preserve">27</w:t>
      </w:r>
      <w:r>
        <w:fldChar w:fldCharType="end"/>
      </w:r>
      <w:r>
        <w:fldChar w:fldCharType="end"/>
      </w:r>
      <w:r/>
    </w:p>
    <w:p>
      <w:pPr>
        <w:pStyle w:val="991"/>
        <w:tabs>
          <w:tab w:val="right" w:pos="8299" w:leader="dot"/>
        </w:tabs>
      </w:pPr>
      <w:r>
        <w:fldChar w:fldCharType="begin"/>
      </w:r>
      <w:r>
        <w:instrText xml:space="preserve"> HYPERLINK \l "_Toc31329" </w:instrText>
      </w:r>
      <w:r>
        <w:fldChar w:fldCharType="separate"/>
      </w:r>
      <w:r>
        <w:rPr>
          <w:rFonts w:hint="eastAsia" w:ascii="宋体" w:hAnsi="宋体" w:cs="宋体"/>
        </w:rPr>
        <w:t xml:space="preserve">第五章 合同主要条款及格式</w:t>
      </w:r>
      <w:r>
        <w:tab/>
      </w:r>
      <w:r>
        <w:fldChar w:fldCharType="begin"/>
      </w:r>
      <w:r>
        <w:instrText xml:space="preserve"> PAGEREF _Toc31329 \h </w:instrText>
      </w:r>
      <w:r>
        <w:fldChar w:fldCharType="separate"/>
      </w:r>
      <w:r>
        <w:t xml:space="preserve">42</w:t>
      </w:r>
      <w:r>
        <w:fldChar w:fldCharType="end"/>
      </w:r>
      <w:r>
        <w:fldChar w:fldCharType="end"/>
      </w:r>
      <w:r/>
    </w:p>
    <w:p>
      <w:pPr>
        <w:pStyle w:val="991"/>
        <w:tabs>
          <w:tab w:val="right" w:pos="8299" w:leader="dot"/>
        </w:tabs>
      </w:pPr>
      <w:r>
        <w:fldChar w:fldCharType="begin"/>
      </w:r>
      <w:r>
        <w:instrText xml:space="preserve"> HYPERLINK \l "_Toc14111" </w:instrText>
      </w:r>
      <w:r>
        <w:fldChar w:fldCharType="separate"/>
      </w:r>
      <w:r>
        <w:rPr>
          <w:rFonts w:hint="eastAsia" w:ascii="宋体" w:hAnsi="宋体" w:cs="宋体"/>
        </w:rPr>
        <w:t xml:space="preserve">第六章 附件</w:t>
      </w:r>
      <w:r>
        <w:tab/>
      </w:r>
      <w:r>
        <w:fldChar w:fldCharType="begin"/>
      </w:r>
      <w:r>
        <w:instrText xml:space="preserve"> PAGEREF _Toc14111 \h </w:instrText>
      </w:r>
      <w:r>
        <w:fldChar w:fldCharType="separate"/>
      </w:r>
      <w:r>
        <w:t xml:space="preserve">47</w:t>
      </w:r>
      <w:r>
        <w:fldChar w:fldCharType="end"/>
      </w:r>
      <w:r>
        <w:fldChar w:fldCharType="end"/>
      </w:r>
      <w:r/>
    </w:p>
    <w:p>
      <w:pPr>
        <w:spacing w:line="360" w:lineRule="auto"/>
        <w:rPr>
          <w:rFonts w:ascii="宋体" w:hAnsi="宋体" w:cs="宋体"/>
          <w:b/>
          <w:sz w:val="36"/>
          <w:szCs w:val="36"/>
        </w:rPr>
      </w:pPr>
      <w:r>
        <w:rPr>
          <w:rFonts w:hint="eastAsia" w:ascii="宋体" w:hAnsi="宋体" w:cs="宋体"/>
          <w:szCs w:val="52"/>
        </w:rPr>
        <w:fldChar w:fldCharType="end"/>
      </w:r>
      <w:r/>
    </w:p>
    <w:p>
      <w:pPr>
        <w:pStyle w:val="959"/>
        <w:rPr>
          <w:rFonts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959"/>
        <w:rPr>
          <w:rFonts w:ascii="宋体" w:hAnsi="宋体" w:cs="宋体"/>
          <w:szCs w:val="21"/>
        </w:rPr>
      </w:pPr>
      <w:r>
        <w:rPr>
          <w:rFonts w:hint="eastAsia" w:ascii="宋体" w:hAnsi="宋体" w:cs="宋体"/>
          <w:sz w:val="36"/>
          <w:szCs w:val="36"/>
          <w:shd w:val="clear" w:color="auto" w:fill="ffffff"/>
        </w:rPr>
        <w:t xml:space="preserve"> </w:t>
      </w:r>
      <w:bookmarkStart w:id="3" w:name="_Toc19155"/>
      <w:r/>
      <w:bookmarkStart w:id="4" w:name="_Hlk85716974"/>
      <w:r>
        <w:rPr>
          <w:rFonts w:hint="eastAsia" w:ascii="宋体" w:hAnsi="宋体" w:cs="宋体"/>
        </w:rPr>
        <w:t xml:space="preserve">招标公告</w:t>
      </w:r>
      <w:bookmarkEnd w:id="2"/>
      <w:r/>
      <w:bookmarkEnd w:id="3"/>
      <w:r/>
      <w:bookmarkStart w:id="5" w:name="OLE_LINK1"/>
      <w:r/>
      <w:bookmarkStart w:id="6" w:name="OLE_LINK5"/>
      <w:r/>
      <w:bookmarkStart w:id="7" w:name="OLE_LINK7"/>
      <w:r/>
      <w:bookmarkStart w:id="8" w:name="OLE_LINK6"/>
      <w:r/>
      <w:bookmarkStart w:id="9" w:name="_Hlk74842529"/>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cs="宋体"/>
          <w:b/>
          <w:bCs/>
          <w:spacing w:val="8"/>
          <w:szCs w:val="21"/>
        </w:rPr>
        <w:t xml:space="preserve">项目概况</w:t>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南京师范大学学生宿舍家具采购项目</w:t>
      </w:r>
      <w:r>
        <w:rPr>
          <w:rFonts w:hint="eastAsia" w:ascii="宋体" w:hAnsi="宋体" w:cs="宋体"/>
          <w:spacing w:val="8"/>
          <w:szCs w:val="21"/>
        </w:rPr>
        <w:t xml:space="preserve">招标项目的潜在供应商应在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pacing w:val="8"/>
          <w:szCs w:val="21"/>
        </w:rPr>
        <w:t xml:space="preserve">获取招标文件，并于</w:t>
      </w:r>
      <w:r>
        <w:rPr>
          <w:rFonts w:hint="eastAsia" w:ascii="宋体" w:hAnsi="宋体" w:cs="宋体"/>
          <w:b/>
          <w:bCs/>
          <w:szCs w:val="21"/>
          <w:u w:val="single"/>
          <w:lang w:eastAsia="zh-CN"/>
        </w:rPr>
        <w:t xml:space="preserve">2026年6月26日</w:t>
      </w:r>
      <w:r>
        <w:rPr>
          <w:rFonts w:hint="eastAsia" w:ascii="宋体" w:hAnsi="宋体" w:cs="宋体"/>
          <w:b/>
          <w:bCs/>
          <w:szCs w:val="21"/>
          <w:u w:val="single"/>
          <w:lang w:val="en-US" w:eastAsia="zh-CN"/>
        </w:rPr>
        <w:t xml:space="preserve">09</w:t>
      </w:r>
      <w:r>
        <w:rPr>
          <w:rFonts w:hint="eastAsia" w:ascii="宋体" w:hAnsi="宋体" w:cs="宋体"/>
          <w:b/>
          <w:bCs/>
          <w:szCs w:val="21"/>
          <w:u w:val="single"/>
        </w:rPr>
        <w:t xml:space="preserve">点</w:t>
      </w:r>
      <w:r>
        <w:rPr>
          <w:rFonts w:hint="eastAsia" w:ascii="宋体" w:hAnsi="宋体" w:cs="宋体"/>
          <w:b/>
          <w:bCs/>
          <w:szCs w:val="21"/>
          <w:u w:val="single"/>
          <w:lang w:val="en-US" w:eastAsia="zh-CN"/>
        </w:rPr>
        <w:t xml:space="preserve">3</w:t>
      </w:r>
      <w:r>
        <w:rPr>
          <w:rFonts w:hint="eastAsia" w:ascii="宋体" w:hAnsi="宋体" w:cs="宋体"/>
          <w:b/>
          <w:bCs/>
          <w:szCs w:val="21"/>
          <w:u w:val="single"/>
        </w:rPr>
        <w:t xml:space="preserve">0分</w:t>
      </w:r>
      <w:r>
        <w:rPr>
          <w:rFonts w:hint="eastAsia" w:ascii="宋体" w:hAnsi="宋体" w:cs="宋体"/>
          <w:spacing w:val="8"/>
          <w:szCs w:val="21"/>
        </w:rPr>
        <w:t xml:space="preserve">（北京时间）前递交投标文件。</w:t>
      </w:r>
      <w:r/>
    </w:p>
    <w:p>
      <w:pPr>
        <w:rPr>
          <w:rFonts w:ascii="宋体" w:hAnsi="宋体" w:cs="宋体"/>
        </w:rPr>
      </w:pPr>
      <w:r>
        <w:rPr>
          <w:rFonts w:ascii="宋体" w:hAnsi="宋体" w:cs="宋体"/>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1.1项目编号：JSZC-320000-JCEC-G2026-0178</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1.2项目名称：南京师范大学学生宿舍家具采购项目</w:t>
      </w:r>
      <w:r/>
    </w:p>
    <w:p>
      <w:pPr>
        <w:ind w:firstLine="452"/>
        <w:spacing w:line="360" w:lineRule="auto"/>
        <w:shd w:val="clear" w:color="auto" w:fill="ffffff" w:themeFill="background1"/>
        <w:widowControl/>
        <w:rPr>
          <w:rFonts w:ascii="宋体" w:hAnsi="宋体" w:cs="宋体"/>
          <w:spacing w:val="8"/>
          <w:szCs w:val="21"/>
          <w:highlight w:val="none"/>
        </w:rPr>
      </w:pPr>
      <w:r>
        <w:rPr>
          <w:rFonts w:hint="eastAsia" w:ascii="宋体" w:hAnsi="宋体" w:cs="宋体"/>
          <w:spacing w:val="8"/>
          <w:szCs w:val="21"/>
          <w:highlight w:val="none"/>
        </w:rPr>
        <w:t xml:space="preserve">1.3预算金额：1000万元</w:t>
      </w:r>
      <w:r/>
    </w:p>
    <w:p>
      <w:pPr>
        <w:ind w:firstLine="452"/>
        <w:spacing w:line="360" w:lineRule="auto"/>
        <w:shd w:val="clear" w:color="auto" w:fill="ffffff" w:themeFill="background1"/>
        <w:widowControl/>
        <w:rPr>
          <w:rFonts w:ascii="宋体" w:hAnsi="宋体" w:cs="宋体"/>
          <w:spacing w:val="8"/>
          <w:szCs w:val="21"/>
          <w:highlight w:val="none"/>
        </w:rPr>
      </w:pPr>
      <w:r>
        <w:rPr>
          <w:rFonts w:hint="eastAsia" w:ascii="宋体" w:hAnsi="宋体" w:cs="宋体"/>
          <w:spacing w:val="8"/>
          <w:szCs w:val="21"/>
          <w:highlight w:val="none"/>
        </w:rPr>
        <w:t xml:space="preserve">包一：预算金额665.7万元</w:t>
      </w:r>
      <w:r/>
    </w:p>
    <w:p>
      <w:pPr>
        <w:ind w:firstLine="452"/>
        <w:spacing w:line="360" w:lineRule="auto"/>
        <w:shd w:val="clear" w:color="auto" w:fill="ffffff" w:themeFill="background1"/>
        <w:widowControl/>
        <w:rPr>
          <w:rFonts w:ascii="宋体" w:hAnsi="宋体" w:cs="宋体"/>
          <w:spacing w:val="8"/>
          <w:szCs w:val="21"/>
          <w:highlight w:val="none"/>
        </w:rPr>
      </w:pPr>
      <w:r>
        <w:rPr>
          <w:rFonts w:hint="eastAsia" w:ascii="宋体" w:hAnsi="宋体" w:cs="宋体"/>
          <w:spacing w:val="8"/>
          <w:szCs w:val="21"/>
          <w:highlight w:val="none"/>
        </w:rPr>
        <w:t xml:space="preserve">包二：预算金额334.3万元</w:t>
      </w:r>
      <w:r/>
    </w:p>
    <w:p>
      <w:pPr>
        <w:ind w:firstLine="452"/>
        <w:spacing w:line="360" w:lineRule="auto"/>
        <w:shd w:val="clear" w:color="auto" w:fill="ffffff" w:themeFill="background1"/>
        <w:widowControl/>
        <w:rPr>
          <w:rFonts w:ascii="宋体" w:hAnsi="宋体" w:cs="宋体"/>
          <w:spacing w:val="8"/>
          <w:szCs w:val="21"/>
          <w:highlight w:val="none"/>
        </w:rPr>
      </w:pPr>
      <w:r>
        <w:rPr>
          <w:rFonts w:hint="eastAsia" w:ascii="宋体" w:hAnsi="宋体" w:cs="宋体"/>
          <w:spacing w:val="8"/>
          <w:szCs w:val="21"/>
          <w:highlight w:val="none"/>
        </w:rPr>
        <w:t xml:space="preserve">1.4最高限价（总价）：1000万元</w:t>
      </w:r>
      <w:r/>
    </w:p>
    <w:p>
      <w:pPr>
        <w:ind w:firstLine="452"/>
        <w:spacing w:line="360" w:lineRule="auto"/>
        <w:shd w:val="clear" w:color="auto" w:fill="ffffff" w:themeFill="background1"/>
        <w:widowControl/>
        <w:rPr>
          <w:rFonts w:ascii="宋体" w:hAnsi="宋体" w:cs="宋体"/>
          <w:spacing w:val="8"/>
          <w:szCs w:val="21"/>
          <w:highlight w:val="none"/>
        </w:rPr>
      </w:pPr>
      <w:r>
        <w:rPr>
          <w:rFonts w:hint="eastAsia" w:ascii="宋体" w:hAnsi="宋体" w:cs="宋体"/>
          <w:spacing w:val="8"/>
          <w:szCs w:val="21"/>
          <w:highlight w:val="none"/>
        </w:rPr>
        <w:t xml:space="preserve">包一：最高限价665.7万元</w:t>
      </w:r>
      <w:r/>
    </w:p>
    <w:p>
      <w:pPr>
        <w:ind w:firstLine="452"/>
        <w:spacing w:line="360" w:lineRule="auto"/>
        <w:shd w:val="clear" w:color="auto" w:fill="ffffff" w:themeFill="background1"/>
        <w:widowControl/>
        <w:rPr>
          <w:rFonts w:ascii="宋体" w:hAnsi="宋体" w:cs="宋体"/>
          <w:spacing w:val="8"/>
          <w:szCs w:val="21"/>
          <w:highlight w:val="none"/>
        </w:rPr>
      </w:pPr>
      <w:r>
        <w:rPr>
          <w:rFonts w:hint="eastAsia" w:ascii="宋体" w:hAnsi="宋体" w:cs="宋体"/>
          <w:spacing w:val="8"/>
          <w:szCs w:val="21"/>
          <w:highlight w:val="none"/>
        </w:rPr>
        <w:t xml:space="preserve">包二：最高限价334.3万元</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highlight w:val="none"/>
        </w:rPr>
        <w:t xml:space="preserve">1.5标包划分：本次招标分为2个标</w:t>
      </w:r>
      <w:r>
        <w:rPr>
          <w:rFonts w:hint="eastAsia" w:ascii="宋体" w:hAnsi="宋体" w:cs="宋体"/>
          <w:spacing w:val="8"/>
          <w:szCs w:val="21"/>
        </w:rPr>
        <w:t xml:space="preserve">包</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包一：南京师范大学学生宿舍家具采购包一：第02幢、04幢； </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包二：南京师范大学学生宿舍家具采购包二：第12幢；</w:t>
      </w:r>
      <w:r/>
    </w:p>
    <w:p>
      <w:pPr>
        <w:ind w:firstLine="454"/>
        <w:spacing w:line="360" w:lineRule="auto"/>
        <w:shd w:val="clear" w:color="auto" w:fill="ffffff" w:themeFill="background1"/>
        <w:widowControl/>
        <w:rPr>
          <w:rFonts w:ascii="宋体" w:hAnsi="宋体" w:cs="宋体"/>
          <w:spacing w:val="8"/>
          <w:szCs w:val="21"/>
        </w:rPr>
      </w:pPr>
      <w:r>
        <w:rPr>
          <w:rFonts w:hint="eastAsia" w:ascii="宋体" w:hAnsi="宋体" w:cs="宋体"/>
          <w:b/>
          <w:bCs/>
          <w:spacing w:val="8"/>
          <w:szCs w:val="21"/>
        </w:rPr>
        <w:t xml:space="preserve">本项目评标顺序依次为包一、包二,各供应商可以参与一个或多个标包的投标，但最多只能中标一个标包，已经中标的供应商可以参加后续标包的评审，但不再被推荐为中标候选人。</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1.5采购需求：南京师范大学仙林校区02幢、04幢、12幢学生公寓改造，需采购两连体双层床，书桌，公寓椅。详见采购文件第四章采购需求。</w:t>
      </w:r>
      <w:r/>
    </w:p>
    <w:p>
      <w:pPr>
        <w:ind w:firstLine="420"/>
        <w:spacing w:line="360" w:lineRule="auto"/>
        <w:rPr>
          <w:rFonts w:ascii="宋体" w:hAnsi="宋体" w:cs="宋体"/>
          <w:bCs/>
          <w:szCs w:val="21"/>
        </w:rPr>
      </w:pPr>
      <w:r>
        <w:rPr>
          <w:rFonts w:hint="eastAsia" w:ascii="宋体" w:hAnsi="宋体" w:cs="宋体"/>
          <w:bCs/>
          <w:szCs w:val="21"/>
        </w:rPr>
        <w:t xml:space="preserve">1.6合同履行期限：</w:t>
      </w:r>
      <w:r>
        <w:rPr>
          <w:rFonts w:hint="eastAsia" w:ascii="宋体" w:hAnsi="宋体" w:cs="宋体"/>
          <w:spacing w:val="8"/>
          <w:szCs w:val="21"/>
        </w:rPr>
        <w:t xml:space="preserve">至所有合同内容履行完毕。</w:t>
      </w:r>
      <w:r/>
    </w:p>
    <w:p>
      <w:pPr>
        <w:ind w:firstLine="420"/>
        <w:spacing w:line="360" w:lineRule="auto"/>
        <w:rPr>
          <w:rFonts w:ascii="宋体" w:hAnsi="宋体" w:cs="宋体"/>
          <w:bCs/>
          <w:szCs w:val="21"/>
        </w:rPr>
      </w:pPr>
      <w:r>
        <w:rPr>
          <w:rFonts w:hint="eastAsia" w:ascii="宋体" w:hAnsi="宋体" w:cs="宋体"/>
          <w:bCs/>
          <w:szCs w:val="21"/>
        </w:rPr>
        <w:t xml:space="preserve">1.7行业划分</w:t>
      </w:r>
      <w:r>
        <w:rPr>
          <w:rFonts w:hint="eastAsia" w:ascii="Arial" w:hAnsi="Arial" w:cs="Arial"/>
          <w:spacing w:val="8"/>
          <w:szCs w:val="21"/>
        </w:rPr>
        <w:t xml:space="preserve">：工业。</w:t>
      </w:r>
      <w:r/>
    </w:p>
    <w:p>
      <w:pPr>
        <w:ind w:firstLine="420"/>
        <w:spacing w:line="360" w:lineRule="auto"/>
        <w:rPr>
          <w:rFonts w:ascii="宋体" w:hAnsi="宋体" w:cs="宋体"/>
          <w:bCs/>
          <w:szCs w:val="21"/>
        </w:rPr>
      </w:pPr>
      <w:r>
        <w:rPr>
          <w:rFonts w:hint="eastAsia" w:ascii="宋体" w:hAnsi="宋体" w:cs="宋体"/>
          <w:bCs/>
          <w:szCs w:val="21"/>
        </w:rPr>
        <w:t xml:space="preserve">1.8本项目非专门面向中小企业（或监狱企业或残疾人福利性单位），执行价格扣除优惠政策，详见第三章评标标准。</w:t>
      </w:r>
      <w:r/>
    </w:p>
    <w:p>
      <w:pPr>
        <w:ind w:firstLine="420"/>
        <w:spacing w:line="360" w:lineRule="auto"/>
        <w:rPr>
          <w:rFonts w:ascii="宋体" w:hAnsi="宋体" w:cs="宋体"/>
          <w:bCs/>
          <w:szCs w:val="21"/>
        </w:rPr>
      </w:pPr>
      <w:r>
        <w:rPr>
          <w:rFonts w:hint="eastAsia" w:ascii="宋体" w:hAnsi="宋体" w:cs="宋体"/>
          <w:bCs/>
          <w:szCs w:val="21"/>
        </w:rPr>
        <w:t xml:space="preserve">1.9本项目不接受联合体投标。</w:t>
      </w:r>
      <w:r/>
    </w:p>
    <w:p>
      <w:pPr>
        <w:ind w:firstLine="420"/>
        <w:spacing w:line="360" w:lineRule="auto"/>
        <w:rPr>
          <w:rFonts w:ascii="宋体" w:hAnsi="宋体" w:cs="宋体"/>
          <w:bCs/>
          <w:szCs w:val="21"/>
        </w:rPr>
      </w:pPr>
      <w:r>
        <w:rPr>
          <w:rFonts w:hint="eastAsia" w:ascii="宋体" w:hAnsi="宋体" w:cs="宋体"/>
          <w:bCs/>
          <w:szCs w:val="21"/>
        </w:rPr>
        <w:t xml:space="preserve">1.10本项目不接受进口产品投标。</w:t>
      </w:r>
      <w:r/>
    </w:p>
    <w:p>
      <w:pPr>
        <w:ind w:firstLine="420"/>
        <w:spacing w:line="360" w:lineRule="auto"/>
        <w:rPr>
          <w:rFonts w:ascii="宋体" w:hAnsi="宋体" w:cs="宋体"/>
          <w:bCs/>
          <w:szCs w:val="21"/>
        </w:rPr>
      </w:pPr>
      <w:r>
        <w:rPr>
          <w:rFonts w:ascii="宋体" w:hAnsi="宋体" w:cs="宋体"/>
          <w:bCs/>
          <w:szCs w:val="21"/>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p>
    <w:p>
      <w:pPr>
        <w:ind w:firstLine="420"/>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2.3采购人根据采购项目的特殊要求规定的特定条件，并提供符合特殊要求的证明材料或者情况说明：</w:t>
      </w:r>
      <w:r>
        <w:rPr>
          <w:rFonts w:hint="eastAsia" w:ascii="宋体" w:hAnsi="宋体" w:cs="宋体"/>
          <w:b/>
          <w:bCs/>
          <w:spacing w:val="8"/>
          <w:szCs w:val="21"/>
        </w:rPr>
        <w:t xml:space="preserve">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2.4 拒绝下述供应商参加本次招标活动：</w:t>
      </w:r>
      <w:r/>
    </w:p>
    <w:p>
      <w:pPr>
        <w:ind w:firstLine="452"/>
        <w:spacing w:line="360" w:lineRule="auto"/>
        <w:rPr>
          <w:rFonts w:ascii="宋体" w:hAnsi="宋体" w:cs="宋体"/>
          <w:bCs/>
          <w:spacing w:val="8"/>
          <w:szCs w:val="21"/>
        </w:rPr>
      </w:pPr>
      <w:r>
        <w:rPr>
          <w:rFonts w:hint="eastAsia" w:ascii="宋体" w:hAnsi="宋体" w:cs="宋体"/>
          <w:bCs/>
          <w:spacing w:val="8"/>
          <w:szCs w:val="21"/>
        </w:rPr>
        <w:t xml:space="preserve">（1）单位负责人为同一人或者存在直接控股、管理关系的不同供应商，不得参加同一合同项下的政府采购活动。</w:t>
      </w:r>
      <w:r/>
    </w:p>
    <w:p>
      <w:pPr>
        <w:ind w:firstLine="452"/>
        <w:spacing w:line="360" w:lineRule="auto"/>
        <w:rPr>
          <w:rFonts w:ascii="宋体" w:hAnsi="宋体" w:cs="宋体"/>
          <w:bCs/>
          <w:spacing w:val="8"/>
          <w:szCs w:val="21"/>
        </w:rPr>
      </w:pPr>
      <w:r>
        <w:rPr>
          <w:rFonts w:hint="eastAsia" w:ascii="宋体" w:hAnsi="宋体" w:cs="宋体"/>
          <w:bCs/>
          <w:spacing w:val="8"/>
          <w:szCs w:val="21"/>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szCs w:val="21"/>
        </w:rPr>
      </w:pPr>
      <w:r>
        <w:rPr>
          <w:rFonts w:hint="eastAsia" w:ascii="宋体" w:hAnsi="宋体" w:cs="宋体"/>
          <w:bCs/>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 xml:space="preserve">。</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3.2地点：江苏政府采购网苏采云系统注册登记成功后系统内免费下载 </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 </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四、提交投标文件开始时间、截止时间、地点和开标时间、地点</w:t>
      </w:r>
      <w:r/>
    </w:p>
    <w:p>
      <w:pPr>
        <w:ind w:firstLine="420"/>
        <w:spacing w:line="360" w:lineRule="auto"/>
        <w:rPr>
          <w:rFonts w:ascii="宋体" w:hAnsi="宋体" w:cs="宋体"/>
          <w:bCs/>
          <w:szCs w:val="21"/>
        </w:rPr>
      </w:pPr>
      <w:r>
        <w:rPr>
          <w:rFonts w:hint="eastAsia" w:ascii="宋体" w:hAnsi="宋体" w:cs="宋体"/>
          <w:bCs/>
          <w:szCs w:val="21"/>
        </w:rPr>
        <w:t xml:space="preserve">4.1提交投标文件截止时间、开标时间：</w:t>
      </w:r>
      <w:r>
        <w:rPr>
          <w:rFonts w:hint="eastAsia" w:ascii="宋体" w:hAnsi="宋体" w:cs="宋体"/>
          <w:bCs/>
          <w:szCs w:val="21"/>
          <w:lang w:eastAsia="zh-CN"/>
        </w:rPr>
        <w:t xml:space="preserve">2026年6月26日</w:t>
      </w:r>
      <w:r>
        <w:rPr>
          <w:rFonts w:hint="eastAsia" w:ascii="宋体" w:hAnsi="宋体" w:cs="宋体"/>
          <w:bCs/>
          <w:szCs w:val="21"/>
          <w:lang w:val="en-US" w:eastAsia="zh-CN"/>
        </w:rPr>
        <w:t xml:space="preserve">09</w:t>
      </w:r>
      <w:r>
        <w:rPr>
          <w:rFonts w:hint="eastAsia" w:ascii="宋体" w:hAnsi="宋体" w:cs="宋体"/>
          <w:bCs/>
          <w:szCs w:val="21"/>
        </w:rPr>
        <w:t xml:space="preserve">点</w:t>
      </w:r>
      <w:r>
        <w:rPr>
          <w:rFonts w:hint="eastAsia" w:ascii="宋体" w:hAnsi="宋体" w:cs="宋体"/>
          <w:bCs/>
          <w:szCs w:val="21"/>
          <w:lang w:val="en-US" w:eastAsia="zh-CN"/>
        </w:rPr>
        <w:t xml:space="preserve">3</w:t>
      </w:r>
      <w:r>
        <w:rPr>
          <w:rFonts w:hint="eastAsia" w:ascii="宋体" w:hAnsi="宋体" w:cs="宋体"/>
          <w:bCs/>
          <w:szCs w:val="21"/>
        </w:rPr>
        <w:t xml:space="preserve">0分（北京时间）</w:t>
      </w:r>
      <w:r/>
    </w:p>
    <w:p>
      <w:pPr>
        <w:ind w:firstLine="420"/>
        <w:spacing w:line="360" w:lineRule="auto"/>
        <w:rPr>
          <w:rFonts w:ascii="宋体" w:hAnsi="宋体" w:cs="宋体"/>
          <w:bCs/>
          <w:szCs w:val="21"/>
        </w:rPr>
      </w:pPr>
      <w:r>
        <w:rPr>
          <w:rFonts w:hint="eastAsia" w:ascii="宋体" w:hAnsi="宋体" w:cs="宋体"/>
          <w:bCs/>
          <w:szCs w:val="21"/>
        </w:rPr>
        <w:t xml:space="preserve">4.2提交投标文件地点：江苏省政府采购管理交易系统（苏采云）（以下简称“苏采云”）（网址：http://jszfcg.jsczt.cn/）</w:t>
      </w:r>
      <w:r/>
    </w:p>
    <w:p>
      <w:pPr>
        <w:ind w:firstLine="420"/>
        <w:spacing w:line="360" w:lineRule="auto"/>
        <w:rPr>
          <w:rFonts w:ascii="宋体" w:hAnsi="宋体" w:cs="宋体"/>
          <w:bCs/>
          <w:szCs w:val="21"/>
        </w:rPr>
      </w:pPr>
      <w:r>
        <w:rPr>
          <w:rFonts w:hint="eastAsia" w:ascii="宋体" w:hAnsi="宋体" w:cs="宋体"/>
          <w:bCs/>
          <w:szCs w:val="21"/>
        </w:rPr>
        <w:t xml:space="preserve">4.3开标地点：“苏采云”网上开标大厅。</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五、公告期限</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六、其他补充事宜</w:t>
      </w:r>
      <w:r/>
    </w:p>
    <w:p>
      <w:pPr>
        <w:ind w:firstLine="420"/>
        <w:spacing w:line="360" w:lineRule="auto"/>
        <w:shd w:val="clear" w:color="auto" w:fill="ffffff"/>
        <w:widowControl/>
        <w:rPr>
          <w:rFonts w:ascii="宋体" w:hAnsi="宋体" w:cs="宋体"/>
          <w:shd w:val="clear" w:color="auto" w:fill="ffffff"/>
          <w:lang w:val="zh-CN"/>
        </w:rPr>
      </w:pPr>
      <w:r>
        <w:rPr>
          <w:rFonts w:hint="eastAsia" w:ascii="宋体" w:hAnsi="宋体" w:cs="宋体"/>
          <w:shd w:val="clear" w:color="auto" w:fill="ffffff"/>
          <w:lang w:val="zh-CN"/>
        </w:rPr>
        <w:t xml:space="preserve">6.1本项目在</w:t>
      </w:r>
      <w:r>
        <w:rPr>
          <w:rFonts w:hint="eastAsia" w:ascii="Arial" w:hAnsi="Arial" w:cs="Arial"/>
          <w:b/>
          <w:szCs w:val="21"/>
          <w:u w:val="single"/>
        </w:rPr>
        <w:t xml:space="preserve">江苏政府采购网、中国政府采购网</w:t>
      </w:r>
      <w:r>
        <w:rPr>
          <w:rFonts w:hint="eastAsia" w:ascii="宋体" w:hAnsi="宋体" w:cs="宋体"/>
          <w:shd w:val="clear" w:color="auto" w:fill="ffffff"/>
          <w:lang w:val="zh-CN"/>
        </w:rPr>
        <w:t xml:space="preserve">发布公告。</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6.2勘察现场：无。</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③“CA数字证书”的获取：</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“苏采云”</w:t>
      </w:r>
      <w:r>
        <w:rPr>
          <w:rFonts w:hint="eastAsia" w:ascii="宋体" w:hAnsi="宋体" w:cs="宋体"/>
          <w:shd w:val="clear" w:color="auto" w:fill="ffffff"/>
          <w:lang w:val="en-US" w:eastAsia="zh-CN"/>
        </w:rPr>
        <w:t xml:space="preserve">江苏省</w:t>
      </w:r>
      <w:r>
        <w:rPr>
          <w:rFonts w:hint="eastAsia" w:ascii="宋体" w:hAnsi="宋体" w:cs="宋体"/>
          <w:shd w:val="clear" w:color="auto" w:fill="ffffff"/>
        </w:rPr>
        <w:t xml:space="preserve">客服热线025-83633744、025-83633743。</w:t>
      </w:r>
      <w:r/>
    </w:p>
    <w:p>
      <w:pPr>
        <w:ind w:firstLine="420"/>
        <w:spacing w:line="360" w:lineRule="auto"/>
        <w:shd w:val="clear" w:color="auto" w:fill="ffffff"/>
        <w:widowControl/>
        <w:rPr>
          <w:rFonts w:ascii="宋体" w:hAnsi="宋体" w:cs="宋体"/>
          <w:shd w:val="clear" w:color="auto" w:fill="ffffff"/>
        </w:rPr>
      </w:pPr>
      <w:r>
        <w:rPr>
          <w:rFonts w:hint="eastAsia" w:ascii="宋体" w:hAnsi="宋体" w:cs="宋体"/>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ascii="宋体" w:hAnsi="宋体" w:cs="宋体"/>
          <w:b/>
          <w:spacing w:val="8"/>
          <w:sz w:val="24"/>
        </w:rPr>
      </w:pPr>
      <w:r>
        <w:rPr>
          <w:rFonts w:ascii="宋体" w:hAnsi="宋体" w:cs="宋体"/>
          <w:b/>
          <w:spacing w:val="8"/>
          <w:sz w:val="24"/>
        </w:rPr>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7.1采购人信息</w:t>
      </w:r>
      <w:bookmarkEnd w:id="4"/>
      <w:r/>
      <w:bookmarkEnd w:id="9"/>
      <w:r/>
      <w:bookmarkEnd w:id="13"/>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名称：南京师范大学</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地    址：南京师范大学仙林校区</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联系人：任老师</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联系电话：025-85891187</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7.2采购代理机构信息</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名称：江苏省设备成套股份有限公司</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联 系 人：褚晶晶 左卢成</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电    话：025-83314167</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电子邮箱：chujj@jcec.cn</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7.3项目联系方式</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项目联系人：褚晶晶 左卢成</w:t>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电话：025-83314167</w:t>
      </w:r>
      <w:r/>
    </w:p>
    <w:p>
      <w:pPr>
        <w:rPr>
          <w:rFonts w:ascii="宋体" w:hAnsi="宋体" w:cs="宋体"/>
          <w:spacing w:val="15"/>
          <w:shd w:val="clear" w:color="auto" w:fill="ffffff"/>
        </w:rPr>
      </w:pPr>
      <w:r>
        <w:rPr>
          <w:rFonts w:hint="eastAsia" w:ascii="宋体" w:hAnsi="宋体" w:cs="宋体"/>
          <w:spacing w:val="15"/>
          <w:shd w:val="clear" w:color="auto" w:fill="ffffff"/>
        </w:rPr>
        <w:br w:type="page" w:clear="all"/>
      </w:r>
      <w:r/>
    </w:p>
    <w:p>
      <w:pPr>
        <w:ind w:firstLine="480"/>
        <w:spacing w:line="360" w:lineRule="auto"/>
        <w:shd w:val="clear" w:color="auto" w:fill="ffffff"/>
        <w:widowControl/>
        <w:rPr>
          <w:rFonts w:ascii="宋体" w:hAnsi="宋体" w:cs="宋体"/>
          <w:spacing w:val="15"/>
          <w:shd w:val="clear" w:color="auto" w:fill="ffffff"/>
        </w:rPr>
      </w:pPr>
      <w:r>
        <w:rPr>
          <w:rFonts w:hint="eastAsia" w:ascii="宋体" w:hAnsi="宋体" w:cs="宋体"/>
          <w:spacing w:val="15"/>
          <w:shd w:val="clear" w:color="auto" w:fill="ffffff"/>
        </w:rPr>
        <w:t xml:space="preserve"> </w:t>
      </w:r>
      <w:r/>
    </w:p>
    <w:p>
      <w:pPr>
        <w:pStyle w:val="959"/>
        <w:numPr>
          <w:ilvl w:val="0"/>
          <w:numId w:val="0"/>
        </w:numPr>
        <w:rPr>
          <w:rFonts w:ascii="宋体" w:hAnsi="宋体" w:cs="宋体"/>
        </w:rPr>
      </w:pPr>
      <w:r/>
      <w:bookmarkStart w:id="14" w:name="_Toc6926"/>
      <w:r>
        <w:rPr>
          <w:rFonts w:hint="eastAsia" w:ascii="宋体" w:hAnsi="宋体" w:cs="宋体"/>
        </w:rPr>
        <w:t xml:space="preserve">第二章</w:t>
      </w:r>
      <w:bookmarkStart w:id="15" w:name="_Toc452625218"/>
      <w:r>
        <w:rPr>
          <w:rFonts w:hint="eastAsia" w:ascii="宋体" w:hAnsi="宋体" w:cs="宋体"/>
        </w:rPr>
        <w:t xml:space="preserve"> 供应商须知</w:t>
      </w:r>
      <w:bookmarkEnd w:id="14"/>
      <w:r/>
      <w:bookmarkEnd w:id="15"/>
      <w:r/>
      <w:r/>
    </w:p>
    <w:p>
      <w:pPr>
        <w:ind w:firstLine="424"/>
        <w:spacing w:line="360" w:lineRule="auto"/>
        <w:shd w:val="clear" w:color="auto" w:fill="ffffff"/>
        <w:widowControl/>
        <w:rPr>
          <w:rFonts w:ascii="宋体" w:hAnsi="宋体" w:cs="宋体"/>
          <w:szCs w:val="21"/>
        </w:rPr>
      </w:pPr>
      <w:r/>
      <w:bookmarkStart w:id="16" w:name="_Toc25340"/>
      <w:r/>
      <w:bookmarkStart w:id="17" w:name="_Toc481057145"/>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”）的技术条款在投标文件中提供技术支持资料（如白皮书、彩页、手册、检测报告等），具体以招标文件需求要求为准，未提供技术支持资料的，视为未对招标文件实质性要求作出响应，评审时不予认可。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（3）投标人资格资信证明文件：</w:t>
      </w:r>
      <w:r/>
    </w:p>
    <w:p>
      <w:pPr>
        <w:numPr>
          <w:ilvl w:val="1"/>
          <w:numId w:val="5"/>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（6）第三章评标标准中对应的所需证明材料（如有自行添加）；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ascii="宋体" w:hAnsi="宋体" w:cs="宋体"/>
          <w:szCs w:val="21"/>
        </w:rPr>
      </w:pPr>
      <w:r>
        <w:rPr>
          <w:rFonts w:hint="eastAsia" w:ascii="宋体" w:hAnsi="宋体" w:cs="宋体"/>
          <w:b/>
          <w:bCs/>
          <w:szCs w:val="21"/>
        </w:rPr>
        <w:t xml:space="preserve">11.</w:t>
      </w:r>
      <w:r>
        <w:rPr>
          <w:rFonts w:hint="eastAsia" w:ascii="宋体" w:hAnsi="宋体" w:cs="宋体"/>
          <w:b/>
          <w:bCs/>
          <w:szCs w:val="21"/>
          <w:lang w:val="en-US" w:eastAsia="zh-CN"/>
        </w:rPr>
        <w:t xml:space="preserve">6</w:t>
      </w:r>
      <w:r>
        <w:rPr>
          <w:rFonts w:hint="eastAsia" w:ascii="宋体" w:hAnsi="宋体" w:cs="宋体"/>
          <w:b/>
          <w:bCs/>
          <w:szCs w:val="21"/>
        </w:rPr>
        <w:t xml:space="preserve">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新宋体" w:hAnsi="新宋体" w:eastAsia="新宋体" w:cs="新宋体"/>
          <w:bCs/>
          <w:szCs w:val="21"/>
        </w:rPr>
      </w:pPr>
      <w:r>
        <w:rPr>
          <w:rFonts w:hint="eastAsia" w:ascii="宋体" w:hAnsi="宋体" w:cs="宋体"/>
          <w:bCs/>
          <w:szCs w:val="21"/>
        </w:rPr>
        <w:t xml:space="preserve">16.2 招标代理服务费</w:t>
      </w:r>
      <w:r>
        <w:rPr>
          <w:rFonts w:hint="eastAsia" w:ascii="新宋体" w:hAnsi="新宋体" w:eastAsia="新宋体" w:cs="新宋体"/>
          <w:bCs/>
          <w:szCs w:val="21"/>
        </w:rPr>
        <w:t xml:space="preserve">：本次招标，中标人依据中标金额按照按《国家计委关于印发〈招标代理服务收费管理暂行办法〉的通知》（计价格〔2002〕1980 号）所列收费标准差额累进计算后的6折收取。单个项目按照以上标准计算低于4000元时，按照保底代理费4000元/项目收取</w:t>
      </w:r>
      <w:r>
        <w:rPr>
          <w:rFonts w:hint="eastAsia" w:ascii="新宋体" w:hAnsi="新宋体" w:eastAsia="新宋体" w:cs="新宋体"/>
          <w:bCs/>
          <w:szCs w:val="21"/>
          <w:lang w:eastAsia="zh-CN"/>
        </w:rPr>
        <w:t xml:space="preserve">。</w:t>
      </w:r>
      <w:r>
        <w:rPr>
          <w:rFonts w:hint="eastAsia" w:ascii="新宋体" w:hAnsi="新宋体" w:eastAsia="新宋体" w:cs="新宋体"/>
          <w:bCs/>
          <w:szCs w:val="21"/>
        </w:rPr>
        <w:t xml:space="preserve">单个项目按照以上标准计算</w:t>
      </w:r>
      <w:r>
        <w:rPr>
          <w:rFonts w:hint="eastAsia" w:ascii="新宋体" w:hAnsi="新宋体" w:eastAsia="新宋体" w:cs="新宋体"/>
          <w:bCs/>
          <w:szCs w:val="21"/>
          <w:lang w:val="en-US" w:eastAsia="zh-CN"/>
        </w:rPr>
        <w:t xml:space="preserve">高</w:t>
      </w:r>
      <w:r>
        <w:rPr>
          <w:rFonts w:hint="eastAsia" w:ascii="新宋体" w:hAnsi="新宋体" w:eastAsia="新宋体" w:cs="新宋体"/>
          <w:bCs/>
          <w:szCs w:val="21"/>
        </w:rPr>
        <w:t xml:space="preserve">于</w:t>
      </w:r>
      <w:r>
        <w:rPr>
          <w:rFonts w:hint="eastAsia" w:ascii="新宋体" w:hAnsi="新宋体" w:eastAsia="新宋体" w:cs="新宋体"/>
          <w:bCs/>
          <w:szCs w:val="21"/>
          <w:lang w:eastAsia="zh-CN"/>
        </w:rPr>
        <w:t xml:space="preserve">25000元</w:t>
      </w:r>
      <w:r>
        <w:rPr>
          <w:rFonts w:hint="eastAsia" w:ascii="新宋体" w:hAnsi="新宋体" w:eastAsia="新宋体" w:cs="新宋体"/>
          <w:bCs/>
          <w:szCs w:val="21"/>
        </w:rPr>
        <w:t xml:space="preserve">，按照</w:t>
      </w:r>
      <w:r>
        <w:rPr>
          <w:rFonts w:hint="eastAsia" w:ascii="新宋体" w:hAnsi="新宋体" w:eastAsia="新宋体" w:cs="新宋体"/>
          <w:bCs/>
          <w:szCs w:val="21"/>
          <w:lang w:val="en-US" w:eastAsia="zh-CN"/>
        </w:rPr>
        <w:t xml:space="preserve">最高</w:t>
      </w:r>
      <w:r>
        <w:rPr>
          <w:rFonts w:hint="eastAsia" w:ascii="新宋体" w:hAnsi="新宋体" w:eastAsia="新宋体" w:cs="新宋体"/>
          <w:bCs/>
          <w:szCs w:val="21"/>
        </w:rPr>
        <w:t xml:space="preserve">代理费</w:t>
      </w:r>
      <w:r>
        <w:rPr>
          <w:rFonts w:hint="eastAsia" w:ascii="新宋体" w:hAnsi="新宋体" w:eastAsia="新宋体" w:cs="新宋体"/>
          <w:bCs/>
          <w:szCs w:val="21"/>
          <w:lang w:val="en-US" w:eastAsia="zh-CN"/>
        </w:rPr>
        <w:t xml:space="preserve">25</w:t>
      </w:r>
      <w:r>
        <w:rPr>
          <w:rFonts w:hint="eastAsia" w:ascii="新宋体" w:hAnsi="新宋体" w:eastAsia="新宋体" w:cs="新宋体"/>
          <w:bCs/>
          <w:szCs w:val="21"/>
        </w:rPr>
        <w:t xml:space="preserve">000元/项目收取。由中标人向招标代理机构支付中标服务费。本项费用无需在投标报价表中单列。</w:t>
      </w:r>
      <w:r/>
    </w:p>
    <w:tbl>
      <w:tblPr>
        <w:tblStyle w:val="969"/>
        <w:tblW w:w="8506" w:type="dxa"/>
        <w:jc w:val="center"/>
        <w:tblCellSpacing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2694"/>
        <w:gridCol w:w="1937"/>
        <w:gridCol w:w="1937"/>
        <w:gridCol w:w="1938"/>
      </w:tblGrid>
      <w:tr>
        <w:trPr>
          <w:jc w:val="center"/>
          <w:tblCellSpacing w:w="0" w:type="dxa"/>
          <w:trHeight w:val="112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94" w:type="dxa"/>
            <w:textDirection w:val="lrTb"/>
            <w:noWrap w:val="false"/>
          </w:tcPr>
          <w:p>
            <w:pPr>
              <w:ind w:firstLine="1050"/>
              <w:spacing w:line="560" w:lineRule="exact"/>
              <w:tabs>
                <w:tab w:val="left" w:pos="900" w:leader="none"/>
              </w:tabs>
              <w:rPr>
                <w:rFonts w:ascii="宋体" w:hAnsi="宋体"/>
                <w:szCs w:val="21"/>
              </w:rPr>
            </w:pPr>
            <w:r>
              <w:rPr>
                <w:rFonts w:hint="eastAsia" w:ascii="宋体" w:hAnsi="宋体"/>
                <w:szCs w:val="21"/>
              </w:rPr>
              <w:t xml:space="preserve">服务费率类型</w:t>
            </w:r>
            <w:r/>
          </w:p>
          <w:p>
            <w:pPr>
              <w:spacing w:line="560" w:lineRule="exact"/>
              <w:tabs>
                <w:tab w:val="left" w:pos="900" w:leader="none"/>
              </w:tabs>
              <w:rPr>
                <w:rFonts w:ascii="宋体" w:hAnsi="宋体"/>
                <w:szCs w:val="21"/>
              </w:rPr>
            </w:pPr>
            <w:r>
              <w:rPr>
                <w:rFonts w:hint="eastAsia" w:ascii="宋体" w:hAnsi="宋体"/>
                <w:szCs w:val="21"/>
              </w:rPr>
              <w:t xml:space="preserve">中标金额（万元）</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货物项目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服务项目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工程项目</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100以下</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1.0%</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100-500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1.1%</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0.7%</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500-1000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0.45%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firstLine="420"/>
              <w:spacing w:line="560" w:lineRule="exact"/>
              <w:tabs>
                <w:tab w:val="left" w:pos="900" w:leader="none"/>
              </w:tabs>
              <w:rPr>
                <w:rFonts w:ascii="宋体" w:hAnsi="宋体"/>
                <w:szCs w:val="21"/>
              </w:rPr>
            </w:pPr>
            <w:r>
              <w:rPr>
                <w:rFonts w:hint="eastAsia" w:ascii="宋体" w:hAnsi="宋体"/>
                <w:szCs w:val="21"/>
              </w:rPr>
              <w:t xml:space="preserve">0.55%</w:t>
            </w:r>
            <w:r/>
          </w:p>
        </w:tc>
      </w:tr>
    </w:tbl>
    <w:p>
      <w:pPr>
        <w:ind w:firstLine="420"/>
        <w:spacing w:line="360" w:lineRule="auto"/>
        <w:shd w:val="clear" w:color="auto" w:fill="ffffff"/>
        <w:widowControl/>
        <w:rPr>
          <w:rFonts w:hint="eastAsia" w:ascii="宋体" w:hAnsi="宋体" w:cs="宋体"/>
          <w:b w:val="0"/>
          <w:bCs w:val="0"/>
          <w:szCs w:val="21"/>
        </w:rPr>
      </w:pPr>
      <w:r>
        <w:rPr>
          <w:rFonts w:hint="eastAsia" w:ascii="宋体" w:hAnsi="宋体" w:cs="宋体"/>
          <w:b w:val="0"/>
          <w:bCs w:val="0"/>
          <w:szCs w:val="21"/>
        </w:rPr>
        <w:t xml:space="preserve">本项目供应商报价应包含完成</w:t>
      </w:r>
      <w:r>
        <w:rPr>
          <w:rFonts w:hint="eastAsia" w:ascii="宋体" w:hAnsi="宋体" w:cs="宋体"/>
          <w:b w:val="0"/>
          <w:bCs w:val="0"/>
          <w:szCs w:val="21"/>
          <w:lang w:val="en-US" w:eastAsia="zh-CN"/>
        </w:rPr>
        <w:t xml:space="preserve">本项目工作</w:t>
      </w:r>
      <w:r>
        <w:rPr>
          <w:rFonts w:hint="eastAsia" w:ascii="宋体" w:hAnsi="宋体" w:cs="宋体"/>
          <w:b w:val="0"/>
          <w:bCs w:val="0"/>
          <w:szCs w:val="21"/>
        </w:rPr>
        <w:t xml:space="preserve">所需的全部费用，包括但不限于提供合同约定产品的报酬及乙方提供合同中产品所支出的必要的税、及上下力资费、运输费、安装费用等税金、利润及采购代理费等。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rPr>
          <w:rFonts w:hint="eastAsia" w:ascii="Arial" w:hAnsi="宋体" w:cs="Arial"/>
          <w:szCs w:val="21"/>
        </w:rPr>
        <w:t xml:space="preserve">（苏教法</w:t>
      </w:r>
      <w:r>
        <w:rPr>
          <w:rFonts w:ascii="Arial" w:hAnsi="宋体" w:cs="Arial"/>
          <w:szCs w:val="21"/>
        </w:rPr>
        <w:t xml:space="preserve">[2017]14</w:t>
      </w:r>
      <w:r>
        <w:rPr>
          <w:rFonts w:hint="eastAsia" w:ascii="Arial" w:hAnsi="宋体" w:cs="Arial"/>
          <w:szCs w:val="21"/>
        </w:rPr>
        <w:t xml:space="preserve">号</w:t>
      </w:r>
      <w:r>
        <w:rPr>
          <w:rFonts w:ascii="Arial" w:hAnsi="宋体" w:cs="Arial"/>
          <w:szCs w:val="21"/>
        </w:rPr>
        <w:t xml:space="preserve"> </w:t>
      </w:r>
      <w:r>
        <w:rPr>
          <w:rFonts w:hint="eastAsia" w:ascii="Arial" w:hAnsi="宋体" w:cs="Arial"/>
          <w:szCs w:val="21"/>
        </w:rPr>
        <w:t xml:space="preserve">江苏省深化高等教育领域简政放权放管结合优化服务改革实施办法，第四条完善高校经费和资产使用管理制度（十三）优化高校办学设备招标采购流程。急需设备首次招标如不足</w:t>
      </w:r>
      <w:r>
        <w:rPr>
          <w:rFonts w:ascii="Arial" w:hAnsi="宋体" w:cs="Arial"/>
          <w:szCs w:val="21"/>
        </w:rPr>
        <w:t xml:space="preserve">3</w:t>
      </w:r>
      <w:r>
        <w:rPr>
          <w:rFonts w:hint="eastAsia" w:ascii="Arial" w:hAnsi="宋体" w:cs="Arial"/>
          <w:szCs w:val="21"/>
        </w:rPr>
        <w:t xml:space="preserve">家供应商的，可依据专家评委意见，并经得采购人同意，现场采用竞争性谈判或单一来源采购方式。简化科研仪器设备采购管理，高校对集中采购目录内的项目可自行采购和选择评审专家。对进口仪器设备实行备案制。</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（2）投标文件未按照招标文件要求加盖电子公章的或者签字；</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p>
    <w:p>
      <w:pPr>
        <w:ind w:firstLine="420"/>
        <w:spacing w:line="360" w:lineRule="auto"/>
        <w:shd w:val="clear" w:color="auto" w:fill="ffffff"/>
        <w:widowControl/>
        <w:rPr>
          <w:rFonts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22.2.5相同品牌产品的投标</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widowControl/>
        <w:rPr>
          <w:rFonts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widowControl/>
        <w:rPr>
          <w:rFonts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5</w:t>
      </w:r>
      <w:r>
        <w:rPr>
          <w:rFonts w:hint="eastAsia" w:ascii="宋体" w:hAnsi="宋体" w:cs="宋体"/>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6</w:t>
      </w:r>
      <w:r>
        <w:rPr>
          <w:rFonts w:hint="eastAsia" w:ascii="宋体" w:hAnsi="宋体" w:cs="宋体"/>
          <w:szCs w:val="21"/>
        </w:rPr>
        <w:t xml:space="preserve">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rPr>
          <w:rFonts w:ascii="宋体" w:hAnsi="宋体" w:cs="宋体"/>
          <w:szCs w:val="20"/>
        </w:rPr>
      </w:pPr>
      <w:r>
        <w:rPr>
          <w:rFonts w:ascii="宋体" w:hAnsi="宋体" w:cs="宋体"/>
          <w:szCs w:val="20"/>
        </w:rPr>
      </w:r>
      <w:r/>
    </w:p>
    <w:p>
      <w:pPr>
        <w:rPr>
          <w:rFonts w:ascii="宋体" w:hAnsi="宋体" w:cs="宋体"/>
        </w:rPr>
      </w:pPr>
      <w:r>
        <w:rPr>
          <w:rFonts w:hint="eastAsia" w:ascii="宋体" w:hAnsi="宋体" w:cs="宋体"/>
        </w:rPr>
        <w:br w:type="page" w:clear="all"/>
      </w:r>
      <w:r/>
    </w:p>
    <w:p>
      <w:pPr>
        <w:pStyle w:val="959"/>
        <w:numPr>
          <w:ilvl w:val="0"/>
          <w:numId w:val="0"/>
        </w:numPr>
        <w:rPr>
          <w:rFonts w:ascii="宋体" w:hAnsi="宋体" w:cs="宋体"/>
        </w:rPr>
      </w:pPr>
      <w:r/>
      <w:bookmarkStart w:id="18" w:name="_Toc695"/>
      <w:r>
        <w:rPr>
          <w:rFonts w:hint="eastAsia" w:ascii="宋体" w:hAnsi="宋体" w:cs="宋体"/>
        </w:rPr>
        <w:t xml:space="preserve">第三章 评标标准</w:t>
      </w:r>
      <w:bookmarkEnd w:id="16"/>
      <w:r/>
      <w:bookmarkEnd w:id="18"/>
      <w:r/>
      <w:bookmarkEnd w:id="17"/>
      <w:r/>
      <w:r/>
    </w:p>
    <w:p>
      <w:pPr>
        <w:ind w:firstLine="420"/>
        <w:spacing w:line="360" w:lineRule="auto"/>
        <w:rPr>
          <w:rFonts w:ascii="宋体" w:hAnsi="宋体" w:cs="宋体"/>
        </w:rPr>
      </w:pPr>
      <w:r/>
      <w:bookmarkStart w:id="19" w:name="_Toc481057147"/>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969"/>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192"/>
        <w:gridCol w:w="6983"/>
        <w:gridCol w:w="742"/>
      </w:tblGrid>
      <w:tr>
        <w:trPr>
          <w:jc w:val="center"/>
          <w:trHeight w:val="424"/>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192"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评分因素</w:t>
            </w:r>
            <w:r/>
          </w:p>
        </w:tc>
        <w:tc>
          <w:tcPr>
            <w:tcW w:w="698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szCs w:val="21"/>
              </w:rPr>
              <w:t xml:space="preserve">评审标准</w:t>
            </w:r>
            <w:r/>
          </w:p>
        </w:tc>
        <w:tc>
          <w:tcPr>
            <w:tcW w:w="742"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分值</w:t>
            </w:r>
            <w:r/>
          </w:p>
        </w:tc>
      </w:tr>
      <w:tr>
        <w:trPr>
          <w:jc w:val="center"/>
          <w:trHeight w:val="350"/>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b/>
                <w:bCs/>
              </w:rPr>
              <w:t xml:space="preserve">1</w:t>
            </w:r>
            <w:r/>
          </w:p>
        </w:tc>
        <w:tc>
          <w:tcPr>
            <w:tcW w:w="1192" w:type="dxa"/>
            <w:vAlign w:val="center"/>
            <w:textDirection w:val="lrTb"/>
            <w:noWrap/>
          </w:tcPr>
          <w:p>
            <w:pPr>
              <w:jc w:val="center"/>
              <w:rPr>
                <w:rFonts w:ascii="宋体" w:hAnsi="宋体"/>
                <w:b/>
                <w:bCs/>
              </w:rPr>
            </w:pPr>
            <w:r>
              <w:rPr>
                <w:rFonts w:hint="eastAsia" w:ascii="宋体" w:hAnsi="宋体"/>
                <w:b/>
                <w:bCs/>
              </w:rPr>
              <w:t xml:space="preserve">价格</w:t>
            </w:r>
            <w:r/>
          </w:p>
          <w:p>
            <w:pPr>
              <w:jc w:val="center"/>
              <w:rPr>
                <w:rFonts w:ascii="宋体" w:hAnsi="宋体" w:cs="宋体"/>
                <w:b/>
                <w:bCs/>
                <w:szCs w:val="21"/>
              </w:rPr>
            </w:pPr>
            <w:r>
              <w:rPr>
                <w:rFonts w:hint="eastAsia" w:ascii="宋体" w:hAnsi="宋体"/>
                <w:b/>
                <w:bCs/>
              </w:rPr>
              <w:t xml:space="preserve">30分</w:t>
            </w:r>
            <w:r/>
          </w:p>
        </w:tc>
        <w:tc>
          <w:tcPr>
            <w:tcW w:w="6983" w:type="dxa"/>
            <w:vAlign w:val="center"/>
            <w:textDirection w:val="lrTb"/>
            <w:noWrap/>
          </w:tcPr>
          <w:p>
            <w:pPr>
              <w:spacing w:line="360" w:lineRule="auto"/>
              <w:rPr>
                <w:shd w:val="clear" w:color="auto" w:fill="ffffff"/>
              </w:rPr>
            </w:pPr>
            <w:r>
              <w:rPr>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w:t>
            </w:r>
            <w:r>
              <w:rPr>
                <w:rFonts w:hint="eastAsia"/>
                <w:shd w:val="clear" w:color="auto" w:fill="ffffff"/>
              </w:rPr>
              <w:t xml:space="preserve">30。</w:t>
            </w:r>
            <w:r/>
          </w:p>
        </w:tc>
        <w:tc>
          <w:tcPr>
            <w:tcW w:w="742"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30</w:t>
            </w:r>
            <w:r/>
          </w:p>
        </w:tc>
      </w:tr>
      <w:tr>
        <w:trPr>
          <w:jc w:val="center"/>
          <w:trHeight w:val="350"/>
        </w:trPr>
        <w:tc>
          <w:tcPr>
            <w:tcW w:w="753" w:type="dxa"/>
            <w:vAlign w:val="center"/>
            <w:textDirection w:val="lrTb"/>
            <w:noWrap/>
          </w:tcPr>
          <w:p>
            <w:pPr>
              <w:jc w:val="center"/>
              <w:widowControl/>
              <w:rPr>
                <w:rFonts w:ascii="宋体" w:hAnsi="宋体"/>
                <w:b/>
                <w:bCs/>
              </w:rPr>
            </w:pPr>
            <w:r>
              <w:rPr>
                <w:rFonts w:hint="eastAsia" w:ascii="宋体" w:hAnsi="宋体"/>
                <w:b/>
                <w:bCs/>
              </w:rPr>
              <w:t xml:space="preserve">2</w:t>
            </w:r>
            <w:r/>
          </w:p>
        </w:tc>
        <w:tc>
          <w:tcPr>
            <w:tcW w:w="1192" w:type="dxa"/>
            <w:vAlign w:val="center"/>
            <w:textDirection w:val="lrTb"/>
            <w:noWrap/>
          </w:tcPr>
          <w:p>
            <w:pPr>
              <w:jc w:val="center"/>
              <w:rPr>
                <w:rFonts w:hint="eastAsia" w:ascii="宋体" w:hAnsi="宋体"/>
                <w:b/>
                <w:bCs/>
              </w:rPr>
            </w:pPr>
            <w:r>
              <w:rPr>
                <w:rFonts w:hint="eastAsia" w:ascii="宋体" w:hAnsi="宋体"/>
                <w:b/>
                <w:bCs/>
              </w:rPr>
              <w:t xml:space="preserve">产品指标响应情况</w:t>
            </w:r>
            <w:r/>
          </w:p>
          <w:p>
            <w:pPr>
              <w:jc w:val="center"/>
              <w:rPr>
                <w:rFonts w:ascii="宋体" w:hAnsi="宋体"/>
                <w:b/>
                <w:bCs/>
              </w:rPr>
            </w:pPr>
            <w:r>
              <w:rPr>
                <w:rFonts w:hint="eastAsia" w:ascii="宋体" w:hAnsi="宋体"/>
                <w:b/>
                <w:bCs/>
                <w:lang w:val="en-US" w:eastAsia="zh-CN"/>
              </w:rPr>
              <w:t xml:space="preserve">8</w:t>
            </w:r>
            <w:r>
              <w:rPr>
                <w:rFonts w:hint="eastAsia" w:ascii="宋体" w:hAnsi="宋体"/>
                <w:b/>
                <w:bCs/>
              </w:rPr>
              <w:t xml:space="preserve">分</w:t>
            </w:r>
            <w:r/>
          </w:p>
        </w:tc>
        <w:tc>
          <w:tcPr>
            <w:tcW w:w="6983" w:type="dxa"/>
            <w:vAlign w:val="center"/>
            <w:textDirection w:val="lrTb"/>
            <w:noWrap/>
          </w:tcPr>
          <w:p>
            <w:pPr>
              <w:spacing w:line="340" w:lineRule="exact"/>
              <w:rPr>
                <w:rFonts w:ascii="宋体" w:hAnsi="宋体" w:cs="宋体"/>
                <w:szCs w:val="21"/>
              </w:rPr>
            </w:pPr>
            <w:r>
              <w:rPr>
                <w:rFonts w:hint="eastAsia" w:ascii="宋体" w:hAnsi="宋体" w:cs="宋体"/>
                <w:bCs/>
                <w:szCs w:val="21"/>
              </w:rPr>
              <w:t xml:space="preserve">评标委员会根据</w:t>
            </w:r>
            <w:r>
              <w:rPr>
                <w:rFonts w:hint="eastAsia" w:ascii="宋体" w:hAnsi="宋体" w:cs="宋体"/>
                <w:b/>
                <w:szCs w:val="21"/>
              </w:rPr>
              <w:t xml:space="preserve">采购标的需满足的质量、安全、技术规格、物理特性等要求</w:t>
            </w:r>
            <w:r>
              <w:rPr>
                <w:rFonts w:hint="eastAsia" w:ascii="宋体" w:hAnsi="宋体" w:cs="宋体"/>
                <w:szCs w:val="21"/>
              </w:rPr>
              <w:t xml:space="preserve">方面进行评分：</w:t>
            </w:r>
            <w:r/>
          </w:p>
          <w:p>
            <w:pPr>
              <w:jc w:val="left"/>
              <w:spacing w:line="360" w:lineRule="exact"/>
              <w:rPr>
                <w:rFonts w:ascii="宋体" w:hAnsi="宋体" w:cs="宋体"/>
                <w:szCs w:val="21"/>
              </w:rPr>
            </w:pPr>
            <w:r>
              <w:rPr>
                <w:rFonts w:hint="eastAsia" w:ascii="宋体" w:hAnsi="宋体" w:cs="宋体"/>
                <w:szCs w:val="21"/>
              </w:rPr>
              <w:t xml:space="preserve">无标记的指标是一般技术条款，出现负偏离每条减0.5分，共1</w:t>
            </w:r>
            <w:r>
              <w:rPr>
                <w:rFonts w:hint="eastAsia" w:ascii="宋体" w:hAnsi="宋体" w:cs="宋体"/>
                <w:szCs w:val="21"/>
                <w:lang w:val="en-US" w:eastAsia="zh-CN"/>
              </w:rPr>
              <w:t xml:space="preserve">6</w:t>
            </w:r>
            <w:r>
              <w:rPr>
                <w:rFonts w:hint="eastAsia" w:ascii="宋体" w:hAnsi="宋体" w:cs="宋体"/>
                <w:szCs w:val="21"/>
              </w:rPr>
              <w:t xml:space="preserve">条；扣完为止。</w:t>
            </w:r>
            <w:r/>
          </w:p>
          <w:p>
            <w:pPr>
              <w:jc w:val="left"/>
              <w:spacing w:line="36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本项最高得</w:t>
            </w:r>
            <w:r>
              <w:rPr>
                <w:rFonts w:hint="eastAsia" w:asciiTheme="minorEastAsia" w:hAnsiTheme="minorEastAsia" w:eastAsiaTheme="minorEastAsia" w:cstheme="minorEastAsia"/>
                <w:szCs w:val="21"/>
                <w:lang w:val="en-US" w:eastAsia="zh-CN"/>
              </w:rPr>
              <w:t xml:space="preserve">8</w:t>
            </w:r>
            <w:r>
              <w:rPr>
                <w:rFonts w:hint="eastAsia" w:asciiTheme="minorEastAsia" w:hAnsiTheme="minorEastAsia" w:eastAsiaTheme="minorEastAsia" w:cstheme="minorEastAsia"/>
                <w:szCs w:val="21"/>
              </w:rPr>
              <w:t xml:space="preserve">分。</w:t>
            </w:r>
            <w:r/>
          </w:p>
          <w:p>
            <w:pPr>
              <w:pStyle w:val="976"/>
              <w:rPr>
                <w:rFonts w:eastAsiaTheme="minorEastAsia"/>
                <w:shd w:val="clear" w:color="auto" w:fill="ffffff"/>
              </w:rPr>
            </w:pPr>
            <w:r>
              <w:rPr>
                <w:rFonts w:hint="eastAsia" w:asciiTheme="minorEastAsia" w:hAnsiTheme="minorEastAsia" w:eastAsiaTheme="minorEastAsia" w:cstheme="minorEastAsia"/>
                <w:b/>
                <w:bCs/>
                <w:szCs w:val="21"/>
              </w:rPr>
              <w:t xml:space="preserve">供应商须提供《采购需求偏离表》，如招标文件要求提供相应证明材料的，应在偏离表中注明证明材料所在投标文件的页码位置，如不提供按照负偏离处理。</w:t>
            </w:r>
            <w:r/>
          </w:p>
        </w:tc>
        <w:tc>
          <w:tcPr>
            <w:tcW w:w="742" w:type="dxa"/>
            <w:vAlign w:val="center"/>
            <w:textDirection w:val="lrTb"/>
            <w:noWrap/>
          </w:tcPr>
          <w:p>
            <w:pPr>
              <w:jc w:val="center"/>
              <w:widowControl/>
              <w:rPr>
                <w:rFonts w:hint="eastAsia" w:ascii="宋体" w:hAnsi="宋体" w:eastAsia="宋体" w:cs="宋体"/>
                <w:b/>
                <w:szCs w:val="21"/>
                <w:lang w:eastAsia="zh-CN"/>
              </w:rPr>
            </w:pPr>
            <w:r>
              <w:rPr>
                <w:rFonts w:hint="eastAsia" w:ascii="宋体" w:hAnsi="宋体" w:cs="宋体"/>
                <w:b/>
                <w:szCs w:val="21"/>
                <w:lang w:val="en-US" w:eastAsia="zh-CN"/>
              </w:rPr>
              <w:t xml:space="preserve">8</w:t>
            </w:r>
            <w:r/>
          </w:p>
        </w:tc>
      </w:tr>
      <w:tr>
        <w:trPr>
          <w:jc w:val="center"/>
          <w:trHeight w:val="90"/>
        </w:trPr>
        <w:tc>
          <w:tcPr>
            <w:tcW w:w="753" w:type="dxa"/>
            <w:vAlign w:val="center"/>
            <w:textDirection w:val="lrTb"/>
            <w:noWrap/>
          </w:tcPr>
          <w:p>
            <w:pPr>
              <w:jc w:val="center"/>
              <w:widowControl/>
              <w:rPr>
                <w:rFonts w:ascii="宋体" w:hAnsi="宋体"/>
                <w:b/>
                <w:bCs/>
              </w:rPr>
            </w:pPr>
            <w:r>
              <w:rPr>
                <w:rFonts w:hint="eastAsia" w:ascii="宋体" w:hAnsi="宋体"/>
                <w:b/>
                <w:bCs/>
              </w:rPr>
              <w:t xml:space="preserve">3</w:t>
            </w:r>
            <w:r/>
          </w:p>
        </w:tc>
        <w:tc>
          <w:tcPr>
            <w:tcW w:w="1192" w:type="dxa"/>
            <w:vAlign w:val="center"/>
            <w:textDirection w:val="lrTb"/>
            <w:noWrap/>
          </w:tcPr>
          <w:p>
            <w:pPr>
              <w:jc w:val="center"/>
              <w:rPr>
                <w:rFonts w:ascii="宋体" w:hAnsi="宋体"/>
                <w:b/>
                <w:bCs/>
              </w:rPr>
            </w:pPr>
            <w:r>
              <w:rPr>
                <w:rFonts w:hint="eastAsia" w:ascii="宋体" w:hAnsi="宋体"/>
                <w:b/>
                <w:bCs/>
              </w:rPr>
              <w:t xml:space="preserve">业绩</w:t>
            </w:r>
            <w:r/>
          </w:p>
          <w:p>
            <w:pPr>
              <w:jc w:val="center"/>
              <w:rPr>
                <w:rFonts w:ascii="宋体" w:hAnsi="宋体"/>
                <w:b/>
                <w:bCs/>
              </w:rPr>
            </w:pPr>
            <w:r>
              <w:rPr>
                <w:rFonts w:hint="eastAsia" w:ascii="宋体" w:hAnsi="宋体"/>
                <w:b/>
                <w:bCs/>
                <w:lang w:val="en-US" w:eastAsia="zh-CN"/>
              </w:rPr>
              <w:t xml:space="preserve">4</w:t>
            </w:r>
            <w:r>
              <w:rPr>
                <w:rFonts w:hint="eastAsia" w:ascii="宋体" w:hAnsi="宋体"/>
                <w:b/>
                <w:bCs/>
              </w:rPr>
              <w:t xml:space="preserve">分</w:t>
            </w:r>
            <w:r/>
          </w:p>
        </w:tc>
        <w:tc>
          <w:tcPr>
            <w:tcW w:w="6983" w:type="dxa"/>
            <w:vAlign w:val="center"/>
            <w:textDirection w:val="lrTb"/>
            <w:noWrap/>
          </w:tcPr>
          <w:p>
            <w:pPr>
              <w:jc w:val="left"/>
              <w:spacing w:line="360" w:lineRule="exact"/>
              <w:widowControl/>
              <w:rPr>
                <w:rFonts w:ascii="宋体" w:hAnsi="宋体" w:cs="宋体"/>
                <w:szCs w:val="21"/>
              </w:rPr>
            </w:pPr>
            <w:r>
              <w:rPr>
                <w:rFonts w:hint="eastAsia" w:ascii="宋体" w:hAnsi="宋体" w:cs="宋体"/>
                <w:szCs w:val="21"/>
              </w:rPr>
              <w:t xml:space="preserve">供应商自2022年1月1日以来</w:t>
            </w:r>
            <w:r>
              <w:rPr>
                <w:rFonts w:hint="eastAsia" w:ascii="宋体" w:hAnsi="宋体" w:cs="宋体"/>
                <w:b/>
                <w:bCs/>
                <w:szCs w:val="21"/>
              </w:rPr>
              <w:t xml:space="preserve">（以合同签订时间为准）</w:t>
            </w:r>
            <w:r>
              <w:rPr>
                <w:rFonts w:hint="eastAsia" w:ascii="宋体" w:hAnsi="宋体" w:cs="宋体"/>
                <w:szCs w:val="21"/>
              </w:rPr>
              <w:t xml:space="preserve">具有类似家具业绩，每提供一份得1分，最多得</w:t>
            </w:r>
            <w:r>
              <w:rPr>
                <w:rFonts w:hint="eastAsia" w:ascii="宋体" w:hAnsi="宋体" w:cs="宋体"/>
                <w:szCs w:val="21"/>
                <w:lang w:val="en-US" w:eastAsia="zh-CN"/>
              </w:rPr>
              <w:t xml:space="preserve">4</w:t>
            </w:r>
            <w:r>
              <w:rPr>
                <w:rFonts w:hint="eastAsia" w:ascii="宋体" w:hAnsi="宋体" w:cs="宋体"/>
                <w:szCs w:val="21"/>
              </w:rPr>
              <w:t xml:space="preserve">分。</w:t>
            </w:r>
            <w:r/>
          </w:p>
          <w:p>
            <w:pPr>
              <w:jc w:val="left"/>
              <w:spacing w:line="360" w:lineRule="exact"/>
              <w:widowControl/>
              <w:rPr>
                <w:rFonts w:asciiTheme="minorEastAsia" w:hAnsiTheme="minorEastAsia" w:eastAsiaTheme="minorEastAsia" w:cstheme="minorEastAsia"/>
                <w:b/>
                <w:bCs/>
                <w:szCs w:val="21"/>
              </w:rPr>
            </w:pPr>
            <w:r>
              <w:rPr>
                <w:rFonts w:hint="eastAsia"/>
                <w:szCs w:val="21"/>
              </w:rPr>
              <w:t xml:space="preserve">注：提供合同复印件</w:t>
            </w:r>
            <w:r>
              <w:rPr>
                <w:rFonts w:hint="eastAsia" w:ascii="宋体" w:hAnsi="宋体" w:cs="宋体"/>
                <w:szCs w:val="21"/>
              </w:rPr>
              <w:t xml:space="preserve">和对应的</w:t>
            </w:r>
            <w:r>
              <w:rPr>
                <w:rFonts w:hint="eastAsia" w:ascii="宋体" w:hAnsi="宋体" w:cs="宋体"/>
                <w:b/>
                <w:bCs/>
                <w:szCs w:val="21"/>
              </w:rPr>
              <w:t xml:space="preserve">合同期内任意一笔款项的发票复印件</w:t>
            </w:r>
            <w:r>
              <w:rPr>
                <w:rFonts w:hint="eastAsia"/>
                <w:szCs w:val="21"/>
              </w:rPr>
              <w:t xml:space="preserve">加盖公章，</w:t>
            </w:r>
            <w:r>
              <w:rPr>
                <w:rFonts w:hint="eastAsia" w:ascii="宋体" w:hAnsi="宋体" w:cs="宋体"/>
                <w:szCs w:val="21"/>
              </w:rPr>
              <w:t xml:space="preserve">缺一不可，</w:t>
            </w:r>
            <w:r>
              <w:rPr>
                <w:rFonts w:hint="eastAsia"/>
                <w:szCs w:val="21"/>
              </w:rPr>
              <w:t xml:space="preserve">合同须能体现项目名称、主要标的物，签章清晰可见，否则不得分，</w:t>
            </w:r>
            <w:r>
              <w:rPr>
                <w:rFonts w:hint="eastAsia" w:ascii="宋体" w:hAnsi="宋体" w:cs="宋体"/>
                <w:szCs w:val="21"/>
              </w:rPr>
              <w:t xml:space="preserve">中标后原件核查</w:t>
            </w:r>
            <w:r>
              <w:rPr>
                <w:rFonts w:hint="eastAsia"/>
                <w:szCs w:val="21"/>
              </w:rPr>
              <w:t xml:space="preserve">。</w:t>
            </w:r>
            <w:r/>
          </w:p>
        </w:tc>
        <w:tc>
          <w:tcPr>
            <w:tcW w:w="742" w:type="dxa"/>
            <w:vAlign w:val="center"/>
            <w:textDirection w:val="lrTb"/>
            <w:noWrap/>
          </w:tcPr>
          <w:p>
            <w:pPr>
              <w:jc w:val="center"/>
              <w:widowControl/>
              <w:rPr>
                <w:rFonts w:hint="eastAsia" w:ascii="宋体" w:hAnsi="宋体" w:eastAsia="宋体" w:cs="宋体"/>
                <w:b/>
                <w:szCs w:val="21"/>
                <w:lang w:eastAsia="zh-CN"/>
              </w:rPr>
            </w:pPr>
            <w:r>
              <w:rPr>
                <w:rFonts w:hint="eastAsia" w:ascii="宋体" w:hAnsi="宋体" w:cs="宋体"/>
                <w:b/>
                <w:szCs w:val="21"/>
                <w:lang w:val="en-US" w:eastAsia="zh-CN"/>
              </w:rPr>
              <w:t xml:space="preserve">4</w:t>
            </w:r>
            <w:r/>
          </w:p>
        </w:tc>
      </w:tr>
      <w:tr>
        <w:trPr>
          <w:jc w:val="center"/>
          <w:trHeight w:val="90"/>
        </w:trPr>
        <w:tc>
          <w:tcPr>
            <w:tcW w:w="753" w:type="dxa"/>
            <w:vAlign w:val="center"/>
            <w:textDirection w:val="lrTb"/>
            <w:noWrap/>
          </w:tcPr>
          <w:p>
            <w:pPr>
              <w:jc w:val="center"/>
              <w:widowControl/>
              <w:rPr>
                <w:rFonts w:ascii="宋体" w:hAnsi="宋体"/>
                <w:b/>
                <w:bCs/>
              </w:rPr>
            </w:pPr>
            <w:r>
              <w:rPr>
                <w:rFonts w:ascii="宋体" w:hAnsi="宋体"/>
                <w:b/>
                <w:bCs/>
              </w:rPr>
              <w:t xml:space="preserve">4</w:t>
            </w:r>
            <w:r>
              <w:rPr>
                <w:rFonts w:hint="eastAsia" w:ascii="宋体" w:hAnsi="宋体"/>
                <w:b/>
                <w:bCs/>
              </w:rPr>
              <w:t xml:space="preserve">.1</w:t>
            </w:r>
            <w:r/>
          </w:p>
        </w:tc>
        <w:tc>
          <w:tcPr>
            <w:tcW w:w="1192" w:type="dxa"/>
            <w:vAlign w:val="center"/>
            <w:vMerge w:val="restart"/>
            <w:textDirection w:val="lrTb"/>
            <w:noWrap/>
          </w:tcPr>
          <w:p>
            <w:pPr>
              <w:jc w:val="center"/>
              <w:rPr>
                <w:rFonts w:ascii="宋体" w:hAnsi="宋体"/>
                <w:b/>
                <w:bCs/>
              </w:rPr>
            </w:pPr>
            <w:r>
              <w:rPr>
                <w:rFonts w:hint="eastAsia" w:ascii="宋体" w:hAnsi="宋体" w:cs="宋体"/>
                <w:b/>
                <w:color w:val="000000"/>
              </w:rPr>
              <w:t xml:space="preserve">成品检测报告</w:t>
            </w:r>
            <w:r>
              <w:rPr>
                <w:rFonts w:hint="eastAsia" w:ascii="宋体" w:hAnsi="宋体"/>
                <w:b/>
                <w:bCs/>
                <w:lang w:val="en-US" w:eastAsia="zh-CN"/>
              </w:rPr>
              <w:t xml:space="preserve">6</w:t>
            </w:r>
            <w:r>
              <w:rPr>
                <w:rFonts w:hint="eastAsia" w:ascii="宋体" w:hAnsi="宋体"/>
                <w:b/>
                <w:bCs/>
              </w:rPr>
              <w:t xml:space="preserve">分</w:t>
            </w:r>
            <w:r/>
          </w:p>
        </w:tc>
        <w:tc>
          <w:tcPr>
            <w:tcW w:w="6983" w:type="dxa"/>
            <w:textDirection w:val="lrTb"/>
            <w:noWrap/>
          </w:tcPr>
          <w:p>
            <w:pPr>
              <w:spacing w:line="360" w:lineRule="auto"/>
              <w:rPr>
                <w:rFonts w:hint="eastAsia"/>
                <w:shd w:val="clear" w:color="auto" w:fill="ffffff"/>
              </w:rPr>
            </w:pPr>
            <w:r>
              <w:rPr>
                <w:rFonts w:hint="eastAsia"/>
                <w:shd w:val="clear" w:color="auto" w:fill="ffffff"/>
              </w:rPr>
              <w:t xml:space="preserve">双层床检验报告</w:t>
            </w:r>
            <w:r/>
          </w:p>
          <w:p>
            <w:pPr>
              <w:spacing w:line="360" w:lineRule="auto"/>
              <w:rPr>
                <w:shd w:val="clear" w:color="auto" w:fill="ffffff"/>
              </w:rPr>
            </w:pPr>
            <w:r>
              <w:rPr>
                <w:rFonts w:hint="eastAsia"/>
                <w:shd w:val="clear" w:color="auto" w:fill="ffffff"/>
              </w:rPr>
              <w:t xml:space="preserve">应符合GB/T 33</w:t>
            </w:r>
            <w:r>
              <w:rPr>
                <w:rFonts w:hint="eastAsia"/>
                <w:highlight w:val="none"/>
                <w:shd w:val="clear" w:color="auto" w:fill="ffffff"/>
              </w:rPr>
              <w:t xml:space="preserve">25-2024《金属家具通用技术条件》、GB 28008-2024《家具结构安全技术规范》、GB/T 10125-2021《人造气氛腐蚀试验 盐雾试验》标准的要求，检测项目包括但不限于：外观；理化性能；力学性能中强度和耐久性、</w:t>
            </w:r>
            <w:r>
              <w:rPr>
                <w:rFonts w:hint="eastAsia" w:cs="Times New Roman"/>
                <w:b w:val="0"/>
                <w:bCs w:val="0"/>
                <w:color w:val="auto"/>
                <w:sz w:val="21"/>
                <w:szCs w:val="24"/>
                <w:highlight w:val="none"/>
                <w:shd w:val="clear" w:color="auto" w:fill="ffffff"/>
                <w:lang w:val="en-US" w:eastAsia="zh-CN" w:bidi="ar-SA"/>
              </w:rPr>
              <w:t xml:space="preserve">双层床</w:t>
            </w:r>
            <w:r>
              <w:rPr>
                <w:rFonts w:hint="eastAsia"/>
                <w:highlight w:val="none"/>
                <w:shd w:val="clear" w:color="auto" w:fill="ffffff"/>
              </w:rPr>
              <w:t xml:space="preserve">稳定性；安全性能中的结构安全，其中金属涂层中性盐雾试验（NSS）时长为96小时，以上检测均为合格。完全符合得</w:t>
            </w:r>
            <w:r>
              <w:rPr>
                <w:rFonts w:hint="eastAsia"/>
                <w:highlight w:val="none"/>
                <w:shd w:val="clear" w:color="auto" w:fill="ffffff"/>
                <w:lang w:val="en-US" w:eastAsia="zh-CN"/>
              </w:rPr>
              <w:t xml:space="preserve">2</w:t>
            </w:r>
            <w:r>
              <w:rPr>
                <w:rFonts w:hint="eastAsia"/>
                <w:highlight w:val="none"/>
                <w:shd w:val="clear" w:color="auto" w:fill="ffffff"/>
              </w:rPr>
              <w:t xml:space="preserve">分，</w:t>
            </w:r>
            <w:r>
              <w:rPr>
                <w:rFonts w:hint="eastAsia"/>
                <w:shd w:val="clear" w:color="auto" w:fill="ffffff"/>
              </w:rPr>
              <w:t xml:space="preserve">提供复印件加盖供应商公章，中标后原件备查。</w:t>
            </w:r>
            <w:r/>
          </w:p>
        </w:tc>
        <w:tc>
          <w:tcPr>
            <w:tcW w:w="742" w:type="dxa"/>
            <w:vAlign w:val="center"/>
            <w:textDirection w:val="lrTb"/>
            <w:noWrap/>
          </w:tcPr>
          <w:p>
            <w:pPr>
              <w:jc w:val="center"/>
              <w:widowControl/>
              <w:rPr>
                <w:rFonts w:hint="eastAsia" w:ascii="宋体" w:hAnsi="宋体" w:eastAsia="宋体" w:cs="宋体"/>
                <w:b/>
                <w:szCs w:val="21"/>
                <w:lang w:eastAsia="zh-CN"/>
              </w:rPr>
            </w:pPr>
            <w:r>
              <w:rPr>
                <w:rFonts w:hint="eastAsia" w:ascii="宋体" w:hAnsi="宋体" w:cs="宋体"/>
                <w:b/>
                <w:szCs w:val="21"/>
                <w:lang w:val="en-US" w:eastAsia="zh-CN"/>
              </w:rPr>
              <w:t xml:space="preserve">2</w:t>
            </w:r>
            <w:r/>
          </w:p>
        </w:tc>
      </w:tr>
      <w:tr>
        <w:trPr>
          <w:jc w:val="center"/>
          <w:trHeight w:val="350"/>
        </w:trPr>
        <w:tc>
          <w:tcPr>
            <w:tcW w:w="753" w:type="dxa"/>
            <w:vAlign w:val="center"/>
            <w:textDirection w:val="lrTb"/>
            <w:noWrap/>
          </w:tcPr>
          <w:p>
            <w:pPr>
              <w:jc w:val="center"/>
              <w:widowControl/>
              <w:rPr>
                <w:rFonts w:ascii="宋体" w:hAnsi="宋体"/>
                <w:b/>
                <w:bCs/>
              </w:rPr>
            </w:pPr>
            <w:r>
              <w:rPr>
                <w:rFonts w:ascii="宋体" w:hAnsi="宋体"/>
                <w:b/>
                <w:bCs/>
              </w:rPr>
              <w:t xml:space="preserve">4</w:t>
            </w:r>
            <w:r>
              <w:rPr>
                <w:rFonts w:hint="eastAsia" w:ascii="宋体" w:hAnsi="宋体"/>
                <w:b/>
                <w:bCs/>
              </w:rPr>
              <w:t xml:space="preserve">.2</w:t>
            </w:r>
            <w:r/>
          </w:p>
        </w:tc>
        <w:tc>
          <w:tcPr>
            <w:tcW w:w="1192" w:type="dxa"/>
            <w:vAlign w:val="center"/>
            <w:vMerge w:val="continue"/>
            <w:textDirection w:val="lrTb"/>
            <w:noWrap/>
          </w:tcPr>
          <w:p>
            <w:pPr>
              <w:jc w:val="center"/>
              <w:rPr>
                <w:rFonts w:ascii="宋体" w:hAnsi="宋体"/>
                <w:b/>
                <w:bCs/>
              </w:rPr>
            </w:pPr>
            <w:r>
              <w:rPr>
                <w:rFonts w:ascii="宋体" w:hAnsi="宋体"/>
                <w:b/>
                <w:bCs/>
              </w:rPr>
            </w:r>
            <w:r/>
          </w:p>
        </w:tc>
        <w:tc>
          <w:tcPr>
            <w:tcW w:w="6983" w:type="dxa"/>
            <w:textDirection w:val="lrTb"/>
            <w:noWrap/>
          </w:tcPr>
          <w:p>
            <w:pPr>
              <w:spacing w:line="360" w:lineRule="auto"/>
              <w:rPr>
                <w:rFonts w:hint="eastAsia"/>
                <w:highlight w:val="none"/>
                <w:shd w:val="clear" w:color="auto" w:fill="ffffff"/>
              </w:rPr>
            </w:pPr>
            <w:r>
              <w:rPr>
                <w:rFonts w:hint="eastAsia"/>
                <w:highlight w:val="none"/>
                <w:shd w:val="clear" w:color="auto" w:fill="ffffff"/>
              </w:rPr>
              <w:t xml:space="preserve">书桌检验报告</w:t>
            </w:r>
            <w:r/>
          </w:p>
          <w:p>
            <w:pPr>
              <w:spacing w:line="360" w:lineRule="auto"/>
              <w:rPr>
                <w:highlight w:val="none"/>
                <w:shd w:val="clear" w:color="auto" w:fill="ffffff"/>
              </w:rPr>
            </w:pPr>
            <w:r>
              <w:rPr>
                <w:rFonts w:hint="eastAsia"/>
                <w:highlight w:val="none"/>
                <w:shd w:val="clear" w:color="auto" w:fill="ffffff"/>
              </w:rPr>
              <w:t xml:space="preserve">应符合GB/T 3324-2024《木家具通用技术条件》标准的要求，检测项目包括但不限于：外观；理化性能；力学性能中强度和耐久性、桌类稳定性；结构安全</w:t>
            </w:r>
            <w:r>
              <w:rPr>
                <w:rFonts w:hint="eastAsia"/>
                <w:highlight w:val="none"/>
                <w:shd w:val="clear" w:color="auto" w:fill="ffffff"/>
                <w:lang w:val="en-US" w:eastAsia="zh-CN"/>
              </w:rPr>
              <w:t xml:space="preserve">性</w:t>
            </w:r>
            <w:r>
              <w:rPr>
                <w:rFonts w:hint="eastAsia"/>
                <w:highlight w:val="none"/>
                <w:shd w:val="clear" w:color="auto" w:fill="ffffff"/>
              </w:rPr>
              <w:t xml:space="preserve">；有害物质限量；以上检测均为合格。完全符合得</w:t>
            </w:r>
            <w:r>
              <w:rPr>
                <w:rFonts w:hint="eastAsia"/>
                <w:highlight w:val="none"/>
                <w:shd w:val="clear" w:color="auto" w:fill="ffffff"/>
                <w:lang w:val="en-US" w:eastAsia="zh-CN"/>
              </w:rPr>
              <w:t xml:space="preserve">2</w:t>
            </w:r>
            <w:r>
              <w:rPr>
                <w:rFonts w:hint="eastAsia"/>
                <w:highlight w:val="none"/>
                <w:shd w:val="clear" w:color="auto" w:fill="ffffff"/>
              </w:rPr>
              <w:t xml:space="preserve">分，提供复印件加盖供应商公章，中标后原件备查。</w:t>
            </w:r>
            <w:r/>
          </w:p>
        </w:tc>
        <w:tc>
          <w:tcPr>
            <w:tcW w:w="742" w:type="dxa"/>
            <w:vAlign w:val="center"/>
            <w:textDirection w:val="lrTb"/>
            <w:noWrap/>
          </w:tcPr>
          <w:p>
            <w:pPr>
              <w:jc w:val="center"/>
              <w:widowControl/>
              <w:rPr>
                <w:rFonts w:hint="eastAsia" w:ascii="宋体" w:hAnsi="宋体" w:eastAsia="宋体" w:cs="宋体"/>
                <w:b/>
                <w:szCs w:val="21"/>
                <w:lang w:eastAsia="zh-CN"/>
              </w:rPr>
            </w:pPr>
            <w:r>
              <w:rPr>
                <w:rFonts w:hint="eastAsia" w:ascii="宋体" w:hAnsi="宋体" w:cs="宋体"/>
                <w:b/>
                <w:szCs w:val="21"/>
                <w:lang w:val="en-US" w:eastAsia="zh-CN"/>
              </w:rPr>
              <w:t xml:space="preserve">2</w:t>
            </w:r>
            <w:r/>
          </w:p>
        </w:tc>
      </w:tr>
      <w:tr>
        <w:trPr>
          <w:jc w:val="center"/>
          <w:trHeight w:val="350"/>
        </w:trPr>
        <w:tc>
          <w:tcPr>
            <w:tcW w:w="753" w:type="dxa"/>
            <w:vAlign w:val="center"/>
            <w:textDirection w:val="lrTb"/>
            <w:noWrap/>
          </w:tcPr>
          <w:p>
            <w:pPr>
              <w:jc w:val="center"/>
              <w:widowControl/>
              <w:rPr>
                <w:rFonts w:ascii="宋体" w:hAnsi="宋体"/>
                <w:b/>
                <w:bCs/>
              </w:rPr>
            </w:pPr>
            <w:r>
              <w:rPr>
                <w:rFonts w:ascii="宋体" w:hAnsi="宋体"/>
                <w:b/>
                <w:bCs/>
              </w:rPr>
              <w:t xml:space="preserve">4</w:t>
            </w:r>
            <w:r>
              <w:rPr>
                <w:rFonts w:hint="eastAsia" w:ascii="宋体" w:hAnsi="宋体"/>
                <w:b/>
                <w:bCs/>
              </w:rPr>
              <w:t xml:space="preserve">.3</w:t>
            </w:r>
            <w:r/>
          </w:p>
        </w:tc>
        <w:tc>
          <w:tcPr>
            <w:tcW w:w="1192" w:type="dxa"/>
            <w:vAlign w:val="center"/>
            <w:vMerge w:val="continue"/>
            <w:textDirection w:val="lrTb"/>
            <w:noWrap/>
          </w:tcPr>
          <w:p>
            <w:pPr>
              <w:jc w:val="center"/>
              <w:rPr>
                <w:rFonts w:ascii="宋体" w:hAnsi="宋体"/>
                <w:b/>
                <w:bCs/>
              </w:rPr>
            </w:pPr>
            <w:r>
              <w:rPr>
                <w:rFonts w:ascii="宋体" w:hAnsi="宋体"/>
                <w:b/>
                <w:bCs/>
              </w:rPr>
            </w:r>
            <w:r/>
          </w:p>
        </w:tc>
        <w:tc>
          <w:tcPr>
            <w:tcW w:w="6983" w:type="dxa"/>
            <w:textDirection w:val="lrTb"/>
            <w:noWrap/>
          </w:tcPr>
          <w:p>
            <w:pPr>
              <w:spacing w:line="360" w:lineRule="auto"/>
              <w:rPr>
                <w:rFonts w:hint="eastAsia"/>
                <w:highlight w:val="none"/>
                <w:shd w:val="clear" w:color="auto" w:fill="ffffff"/>
              </w:rPr>
            </w:pPr>
            <w:r>
              <w:rPr>
                <w:rFonts w:hint="eastAsia"/>
                <w:highlight w:val="none"/>
                <w:shd w:val="clear" w:color="auto" w:fill="ffffff"/>
              </w:rPr>
              <w:t xml:space="preserve">公寓椅检验报告</w:t>
            </w:r>
            <w:r/>
          </w:p>
          <w:p>
            <w:pPr>
              <w:spacing w:line="360" w:lineRule="auto"/>
              <w:rPr>
                <w:highlight w:val="none"/>
                <w:shd w:val="clear" w:color="auto" w:fill="ffffff"/>
              </w:rPr>
            </w:pPr>
            <w:r>
              <w:rPr>
                <w:rFonts w:hint="eastAsia"/>
                <w:highlight w:val="none"/>
                <w:shd w:val="clear" w:color="auto" w:fill="ffffff"/>
              </w:rPr>
              <w:t xml:space="preserve">应符合</w:t>
            </w:r>
            <w:r>
              <w:rPr>
                <w:rFonts w:hint="eastAsia"/>
                <w:color w:val="auto"/>
                <w:highlight w:val="none"/>
                <w:shd w:val="clear" w:color="auto" w:fill="ffffff"/>
                <w:lang w:val="en-US" w:eastAsia="zh-CN"/>
              </w:rPr>
              <w:t xml:space="preserve">GB/T 3325-2024《金属家具通用技术条件》</w:t>
            </w:r>
            <w:r>
              <w:rPr>
                <w:rFonts w:hint="eastAsia"/>
                <w:highlight w:val="none"/>
                <w:shd w:val="clear" w:color="auto" w:fill="ffffff"/>
              </w:rPr>
              <w:t xml:space="preserve">标准的要求，检测项目包括但不限于：力学性能中的椅凳类强度和耐久性、椅凳类稳定性；以上检测均为合格。完全符合得</w:t>
            </w:r>
            <w:r>
              <w:rPr>
                <w:rFonts w:hint="eastAsia"/>
                <w:highlight w:val="none"/>
                <w:shd w:val="clear" w:color="auto" w:fill="ffffff"/>
                <w:lang w:val="en-US" w:eastAsia="zh-CN"/>
              </w:rPr>
              <w:t xml:space="preserve">2</w:t>
            </w:r>
            <w:r>
              <w:rPr>
                <w:rFonts w:hint="eastAsia"/>
                <w:highlight w:val="none"/>
                <w:shd w:val="clear" w:color="auto" w:fill="ffffff"/>
              </w:rPr>
              <w:t xml:space="preserve">分，提供复印件加盖供应商公章，中标后原件备查。</w:t>
            </w:r>
            <w:r/>
          </w:p>
        </w:tc>
        <w:tc>
          <w:tcPr>
            <w:tcW w:w="742" w:type="dxa"/>
            <w:vAlign w:val="center"/>
            <w:textDirection w:val="lrTb"/>
            <w:noWrap/>
          </w:tcPr>
          <w:p>
            <w:pPr>
              <w:jc w:val="center"/>
              <w:widowControl/>
              <w:rPr>
                <w:rFonts w:hint="eastAsia" w:ascii="宋体" w:hAnsi="宋体" w:eastAsia="宋体" w:cs="宋体"/>
                <w:b/>
                <w:szCs w:val="21"/>
                <w:lang w:eastAsia="zh-CN"/>
              </w:rPr>
            </w:pPr>
            <w:r>
              <w:rPr>
                <w:rFonts w:hint="eastAsia" w:ascii="宋体" w:hAnsi="宋体" w:cs="宋体"/>
                <w:b/>
                <w:szCs w:val="21"/>
                <w:lang w:val="en-US" w:eastAsia="zh-CN"/>
              </w:rPr>
              <w:t xml:space="preserve">2</w:t>
            </w:r>
            <w:r/>
          </w:p>
        </w:tc>
      </w:tr>
      <w:tr>
        <w:trPr>
          <w:jc w:val="center"/>
          <w:trHeight w:val="350"/>
        </w:trPr>
        <w:tc>
          <w:tcPr>
            <w:gridSpan w:val="4"/>
            <w:tcW w:w="9670" w:type="dxa"/>
            <w:vAlign w:val="center"/>
            <w:textDirection w:val="lrTb"/>
            <w:noWrap/>
          </w:tcPr>
          <w:p>
            <w:pPr>
              <w:jc w:val="left"/>
              <w:widowControl/>
              <w:tabs>
                <w:tab w:val="left" w:pos="1667" w:leader="none"/>
              </w:tabs>
              <w:rPr>
                <w:rFonts w:ascii="宋体" w:hAnsi="宋体" w:cs="宋体"/>
                <w:b/>
                <w:bCs/>
                <w:color w:val="000000"/>
                <w:szCs w:val="21"/>
              </w:rPr>
            </w:pPr>
            <w:r>
              <w:rPr>
                <w:rFonts w:hint="eastAsia" w:ascii="宋体" w:hAnsi="宋体" w:cs="宋体"/>
                <w:b/>
                <w:szCs w:val="21"/>
              </w:rPr>
              <w:t xml:space="preserve">注：针对第</w:t>
            </w:r>
            <w:r>
              <w:rPr>
                <w:rFonts w:hint="eastAsia" w:ascii="宋体" w:hAnsi="宋体" w:cs="宋体"/>
                <w:b/>
                <w:szCs w:val="21"/>
                <w:lang w:val="en-US" w:eastAsia="zh-CN"/>
              </w:rPr>
              <w:t xml:space="preserve">四</w:t>
            </w:r>
            <w:r>
              <w:rPr>
                <w:rFonts w:hint="eastAsia" w:ascii="宋体" w:hAnsi="宋体" w:cs="宋体"/>
                <w:b/>
                <w:szCs w:val="21"/>
              </w:rPr>
              <w:t xml:space="preserve">条成品检测报告：</w:t>
            </w:r>
            <w:r>
              <w:rPr>
                <w:rFonts w:hint="eastAsia"/>
                <w:b/>
                <w:bCs/>
              </w:rPr>
              <w:t xml:space="preserve">供应商或者所投产品制造商</w:t>
            </w:r>
            <w:r>
              <w:rPr>
                <w:rFonts w:hint="eastAsia" w:ascii="宋体" w:hAnsi="宋体" w:cs="宋体"/>
                <w:b/>
                <w:bCs/>
                <w:color w:val="000000"/>
                <w:szCs w:val="21"/>
              </w:rPr>
              <w:t xml:space="preserve">提供2022年以来带CMA标志的成品检测报告；</w:t>
            </w:r>
            <w:r/>
          </w:p>
          <w:p>
            <w:pPr>
              <w:jc w:val="left"/>
              <w:widowControl/>
              <w:tabs>
                <w:tab w:val="left" w:pos="1667" w:leader="none"/>
              </w:tabs>
              <w:rPr>
                <w:rFonts w:ascii="宋体" w:hAnsi="宋体" w:cs="宋体"/>
                <w:b/>
                <w:szCs w:val="21"/>
              </w:rPr>
            </w:pPr>
            <w:r>
              <w:rPr>
                <w:rFonts w:hint="eastAsia" w:ascii="宋体" w:hAnsi="宋体" w:cs="宋体"/>
                <w:b/>
                <w:bCs/>
                <w:color w:val="000000"/>
                <w:szCs w:val="21"/>
              </w:rPr>
              <w:t xml:space="preserve">评分标准中所述的检测报告名称的产品名称以实现本次采购功能为准，不以个别文字差异否定提供的检测报告，具体由评标委员会现场统一认定。</w:t>
            </w:r>
            <w:r>
              <w:rPr>
                <w:rFonts w:hint="eastAsia" w:ascii="宋体" w:hAnsi="宋体" w:cs="宋体"/>
                <w:color w:val="000000"/>
              </w:rPr>
              <w:t xml:space="preserve">为方便评委评审，功能参数可用箭头、标红或下划线等进行明显标注。</w:t>
            </w:r>
            <w:r/>
          </w:p>
        </w:tc>
      </w:tr>
      <w:tr>
        <w:trPr>
          <w:jc w:val="center"/>
          <w:trHeight w:val="916"/>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.1</w:t>
            </w:r>
            <w:r/>
          </w:p>
        </w:tc>
        <w:tc>
          <w:tcPr>
            <w:tcW w:w="1192" w:type="dxa"/>
            <w:vAlign w:val="center"/>
            <w:vMerge w:val="restart"/>
            <w:textDirection w:val="lrTb"/>
            <w:noWrap/>
          </w:tcPr>
          <w:p>
            <w:pPr>
              <w:jc w:val="center"/>
              <w:spacing w:line="360" w:lineRule="auto"/>
              <w:widowControl/>
              <w:rPr>
                <w:rFonts w:ascii="宋体" w:hAnsi="宋体" w:cs="宋体"/>
                <w:b/>
                <w:color w:val="000000"/>
              </w:rPr>
            </w:pPr>
            <w:r>
              <w:rPr>
                <w:rFonts w:hint="eastAsia" w:ascii="宋体" w:hAnsi="宋体" w:cs="宋体"/>
                <w:b/>
                <w:color w:val="000000"/>
              </w:rPr>
              <w:t xml:space="preserve">原材料检测报告</w:t>
            </w:r>
            <w:r/>
          </w:p>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b/>
                <w:bCs/>
                <w:lang w:val="en-US" w:eastAsia="zh-CN"/>
              </w:rPr>
              <w:t xml:space="preserve">9</w:t>
            </w:r>
            <w:r>
              <w:rPr>
                <w:rFonts w:hint="eastAsia" w:ascii="宋体" w:hAnsi="宋体"/>
                <w:b/>
                <w:bCs/>
              </w:rPr>
              <w:t xml:space="preserve">分</w:t>
            </w:r>
            <w:r/>
          </w:p>
        </w:tc>
        <w:tc>
          <w:tcPr>
            <w:tcW w:w="6983" w:type="dxa"/>
            <w:vAlign w:val="center"/>
            <w:textDirection w:val="lrTb"/>
            <w:noWrap/>
          </w:tcPr>
          <w:p>
            <w:pPr>
              <w:pStyle w:val="1232"/>
              <w:ind w:firstLine="0"/>
              <w:rPr>
                <w:szCs w:val="24"/>
                <w:shd w:val="clear" w:color="auto" w:fill="ffffff"/>
              </w:rPr>
            </w:pPr>
            <w:r>
              <w:rPr>
                <w:rFonts w:hint="eastAsia"/>
                <w:szCs w:val="24"/>
                <w:shd w:val="clear" w:color="auto" w:fill="ffffff"/>
              </w:rPr>
              <w:t xml:space="preserve">铰链检验报告</w:t>
            </w:r>
            <w:r>
              <w:rPr>
                <w:rFonts w:hint="eastAsia"/>
                <w:szCs w:val="24"/>
                <w:shd w:val="clear" w:color="auto" w:fill="ffffff"/>
                <w:lang w:eastAsia="zh-CN"/>
              </w:rPr>
              <w:t xml:space="preserve">：</w:t>
            </w:r>
            <w:r>
              <w:rPr>
                <w:rFonts w:hint="eastAsia"/>
                <w:szCs w:val="24"/>
                <w:shd w:val="clear" w:color="auto" w:fill="ffffff"/>
              </w:rPr>
              <w:t xml:space="preserve">应符合QB/T 2189-2013《家具五金 杯状暗铰链》标准的要求，检测内容至少包括：过载检测合格。完全符合得</w:t>
            </w:r>
            <w:r>
              <w:rPr>
                <w:rFonts w:hint="eastAsia"/>
                <w:szCs w:val="24"/>
                <w:shd w:val="clear" w:color="auto" w:fill="ffffff"/>
                <w:lang w:val="en-US" w:eastAsia="zh-CN"/>
              </w:rPr>
              <w:t xml:space="preserve">1</w:t>
            </w:r>
            <w:r>
              <w:rPr>
                <w:rFonts w:hint="eastAsia"/>
                <w:szCs w:val="24"/>
                <w:shd w:val="clear" w:color="auto" w:fill="ffffff"/>
              </w:rPr>
              <w:t xml:space="preserve">分，提供复印件加盖供应商公章，中标后原件备查。</w:t>
            </w:r>
            <w:r/>
          </w:p>
        </w:tc>
        <w:tc>
          <w:tcPr>
            <w:tcW w:w="742"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1</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.2</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32"/>
              <w:ind w:firstLine="0"/>
              <w:rPr>
                <w:szCs w:val="24"/>
                <w:shd w:val="clear" w:color="auto" w:fill="ffffff"/>
              </w:rPr>
            </w:pPr>
            <w:r>
              <w:rPr>
                <w:rFonts w:hint="eastAsia"/>
                <w:szCs w:val="24"/>
                <w:shd w:val="clear" w:color="auto" w:fill="ffffff"/>
              </w:rPr>
              <w:t xml:space="preserve">导轨检验报告</w:t>
            </w:r>
            <w:r>
              <w:rPr>
                <w:rFonts w:hint="eastAsia"/>
                <w:szCs w:val="24"/>
                <w:shd w:val="clear" w:color="auto" w:fill="ffffff"/>
                <w:lang w:eastAsia="zh-CN"/>
              </w:rPr>
              <w:t xml:space="preserve">：</w:t>
            </w:r>
            <w:r>
              <w:rPr>
                <w:rFonts w:hint="eastAsia"/>
                <w:szCs w:val="24"/>
                <w:shd w:val="clear" w:color="auto" w:fill="ffffff"/>
              </w:rPr>
              <w:t xml:space="preserve">应符合QB/T 2454-2013《家具五金 抽屉导轨》标准的要求，检测内容至少包括：过载检测合格。完全符合得</w:t>
            </w:r>
            <w:r>
              <w:rPr>
                <w:rFonts w:hint="eastAsia"/>
                <w:szCs w:val="24"/>
                <w:shd w:val="clear" w:color="auto" w:fill="ffffff"/>
                <w:lang w:val="en-US" w:eastAsia="zh-CN"/>
              </w:rPr>
              <w:t xml:space="preserve">1</w:t>
            </w:r>
            <w:r>
              <w:rPr>
                <w:rFonts w:hint="eastAsia"/>
                <w:szCs w:val="24"/>
                <w:shd w:val="clear" w:color="auto" w:fill="ffffff"/>
              </w:rPr>
              <w:t xml:space="preserve">分，提供复印件加盖供应商公章，中标后原件备查。</w:t>
            </w:r>
            <w:r/>
          </w:p>
        </w:tc>
        <w:tc>
          <w:tcPr>
            <w:tcW w:w="742"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1</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.3</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spacing w:line="360" w:lineRule="auto"/>
              <w:rPr>
                <w:shd w:val="clear" w:color="auto" w:fill="ffffff"/>
              </w:rPr>
            </w:pPr>
            <w:r>
              <w:rPr>
                <w:rFonts w:hint="eastAsia"/>
                <w:shd w:val="clear" w:color="auto" w:fill="ffffff"/>
              </w:rPr>
              <w:t xml:space="preserve">封边条检验报告</w:t>
            </w:r>
            <w:r>
              <w:rPr>
                <w:rFonts w:hint="eastAsia"/>
                <w:shd w:val="clear" w:color="auto" w:fill="ffffff"/>
                <w:lang w:eastAsia="zh-CN"/>
              </w:rPr>
              <w:t xml:space="preserve">：</w:t>
            </w:r>
            <w:r>
              <w:rPr>
                <w:rFonts w:hint="eastAsia"/>
                <w:shd w:val="clear" w:color="auto" w:fill="ffffff"/>
              </w:rPr>
              <w:t xml:space="preserve">应符合QB/T 4463-2025《家具用封边条》标准的要求，检测内容至少包括：理化性能检测合格；可迁移元素含量检测合格；氯乙烯单体含量检测合格。完全符合得</w:t>
            </w:r>
            <w:r>
              <w:rPr>
                <w:rFonts w:hint="eastAsia"/>
                <w:shd w:val="clear" w:color="auto" w:fill="ffffff"/>
                <w:lang w:val="en-US" w:eastAsia="zh-CN"/>
              </w:rPr>
              <w:t xml:space="preserve">1</w:t>
            </w:r>
            <w:r>
              <w:rPr>
                <w:rFonts w:hint="eastAsia"/>
                <w:shd w:val="clear" w:color="auto" w:fill="ffffff"/>
              </w:rPr>
              <w:t xml:space="preserve">分，提供复印件加盖供应商公章，中标后原件备查。</w:t>
            </w:r>
            <w:r/>
          </w:p>
        </w:tc>
        <w:tc>
          <w:tcPr>
            <w:tcW w:w="742" w:type="dxa"/>
            <w:vAlign w:val="center"/>
            <w:textDirection w:val="lrTb"/>
            <w:noWrap/>
          </w:tcPr>
          <w:p>
            <w:pPr>
              <w:jc w:val="center"/>
              <w:rPr>
                <w:rFonts w:hint="eastAsia" w:ascii="宋体" w:hAnsi="宋体" w:eastAsia="宋体" w:cs="宋体"/>
                <w:b/>
                <w:bCs/>
                <w:szCs w:val="21"/>
                <w:lang w:eastAsia="zh-CN"/>
              </w:rPr>
            </w:pPr>
            <w:r>
              <w:rPr>
                <w:rFonts w:hint="eastAsia" w:ascii="宋体" w:hAnsi="宋体" w:cs="宋体"/>
                <w:b/>
                <w:bCs/>
                <w:szCs w:val="21"/>
                <w:lang w:val="en-US" w:eastAsia="zh-CN"/>
              </w:rPr>
              <w:t xml:space="preserve">1</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.4</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spacing w:line="360" w:lineRule="auto"/>
              <w:rPr>
                <w:highlight w:val="none"/>
                <w:shd w:val="clear" w:color="auto" w:fill="ffffff"/>
              </w:rPr>
            </w:pPr>
            <w:r>
              <w:rPr>
                <w:rFonts w:hint="eastAsia"/>
                <w:highlight w:val="none"/>
                <w:shd w:val="clear" w:color="auto" w:fill="ffffff"/>
              </w:rPr>
              <w:t xml:space="preserve">塑粉检验报告</w:t>
            </w:r>
            <w:r>
              <w:rPr>
                <w:rFonts w:hint="eastAsia"/>
                <w:highlight w:val="none"/>
                <w:shd w:val="clear" w:color="auto" w:fill="ffffff"/>
                <w:lang w:eastAsia="zh-CN"/>
              </w:rPr>
              <w:t xml:space="preserve">：</w:t>
            </w:r>
            <w:r>
              <w:rPr>
                <w:rFonts w:hint="eastAsia"/>
                <w:highlight w:val="none"/>
                <w:shd w:val="clear" w:color="auto" w:fill="ffffff"/>
              </w:rPr>
              <w:t xml:space="preserve">应符合HG/T 2006-2022 《热固性和热塑性粉末涂料》 标准的要求，检测内容至少包括：耐盐雾性检测合格；</w:t>
            </w:r>
            <w:r>
              <w:rPr>
                <w:rFonts w:hint="eastAsia"/>
                <w:highlight w:val="none"/>
                <w:lang w:eastAsia="zh-CN"/>
              </w:rPr>
              <w:t xml:space="preserve">耐湿性</w:t>
            </w:r>
            <w:r>
              <w:rPr>
                <w:rFonts w:hint="eastAsia"/>
                <w:highlight w:val="none"/>
                <w:shd w:val="clear" w:color="auto" w:fill="ffffff"/>
              </w:rPr>
              <w:t xml:space="preserve">检测合格。完全符合得</w:t>
            </w:r>
            <w:r>
              <w:rPr>
                <w:rFonts w:hint="eastAsia"/>
                <w:highlight w:val="none"/>
                <w:shd w:val="clear" w:color="auto" w:fill="ffffff"/>
                <w:lang w:val="en-US" w:eastAsia="zh-CN"/>
              </w:rPr>
              <w:t xml:space="preserve">1</w:t>
            </w:r>
            <w:r>
              <w:rPr>
                <w:rFonts w:hint="eastAsia"/>
                <w:highlight w:val="none"/>
                <w:shd w:val="clear" w:color="auto" w:fill="ffffff"/>
              </w:rPr>
              <w:t xml:space="preserve">分，提供复印件加盖供应商公章，中标后原件备查。</w:t>
            </w:r>
            <w:r/>
          </w:p>
        </w:tc>
        <w:tc>
          <w:tcPr>
            <w:tcW w:w="742" w:type="dxa"/>
            <w:vAlign w:val="center"/>
            <w:textDirection w:val="lrTb"/>
            <w:noWrap/>
          </w:tcPr>
          <w:p>
            <w:pPr>
              <w:jc w:val="center"/>
              <w:rPr>
                <w:rFonts w:hint="eastAsia" w:ascii="宋体" w:hAnsi="宋体" w:eastAsia="宋体" w:cs="宋体"/>
                <w:b/>
                <w:bCs/>
                <w:szCs w:val="21"/>
                <w:lang w:eastAsia="zh-CN"/>
              </w:rPr>
            </w:pPr>
            <w:r>
              <w:rPr>
                <w:rFonts w:hint="eastAsia" w:ascii="宋体" w:hAnsi="宋体" w:cs="宋体"/>
                <w:b/>
                <w:bCs/>
                <w:szCs w:val="21"/>
                <w:lang w:val="en-US" w:eastAsia="zh-CN"/>
              </w:rPr>
              <w:t xml:space="preserve">1</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.5</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spacing w:line="360" w:lineRule="auto"/>
              <w:rPr>
                <w:highlight w:val="none"/>
                <w:shd w:val="clear" w:color="auto" w:fill="ffffff"/>
              </w:rPr>
            </w:pPr>
            <w:r>
              <w:rPr>
                <w:rFonts w:hint="eastAsia"/>
                <w:highlight w:val="none"/>
                <w:shd w:val="clear" w:color="auto" w:fill="ffffff"/>
              </w:rPr>
              <w:t xml:space="preserve">床立柱抽样检验报告</w:t>
            </w:r>
            <w:r>
              <w:rPr>
                <w:rFonts w:hint="eastAsia"/>
                <w:highlight w:val="none"/>
                <w:shd w:val="clear" w:color="auto" w:fill="ffffff"/>
                <w:lang w:eastAsia="zh-CN"/>
              </w:rPr>
              <w:t xml:space="preserve">：</w:t>
            </w:r>
            <w:r>
              <w:rPr>
                <w:rFonts w:hint="eastAsia"/>
                <w:highlight w:val="none"/>
                <w:shd w:val="clear" w:color="auto" w:fill="ffffff"/>
              </w:rPr>
              <w:t xml:space="preserve">应符合GB/T 3325-2024《金属家具通用技术条件》标准，检测内容至少包括：外观性能金属件喷漆（塑）涂层检测合格；理化性能金属喷漆（塑）涂层检测合格。完全符合得</w:t>
            </w:r>
            <w:r>
              <w:rPr>
                <w:rFonts w:hint="eastAsia"/>
                <w:highlight w:val="none"/>
                <w:shd w:val="clear" w:color="auto" w:fill="ffffff"/>
                <w:lang w:val="en-US" w:eastAsia="zh-CN"/>
              </w:rPr>
              <w:t xml:space="preserve">1</w:t>
            </w:r>
            <w:r>
              <w:rPr>
                <w:rFonts w:hint="eastAsia"/>
                <w:highlight w:val="none"/>
                <w:shd w:val="clear" w:color="auto" w:fill="ffffff"/>
              </w:rPr>
              <w:t xml:space="preserve">分，提供复印件加盖供应商公章，中标后原件备查。</w:t>
            </w:r>
            <w:r/>
          </w:p>
        </w:tc>
        <w:tc>
          <w:tcPr>
            <w:tcW w:w="742" w:type="dxa"/>
            <w:vAlign w:val="center"/>
            <w:textDirection w:val="lrTb"/>
            <w:noWrap/>
          </w:tcPr>
          <w:p>
            <w:pPr>
              <w:jc w:val="center"/>
              <w:rPr>
                <w:rFonts w:hint="eastAsia" w:ascii="宋体" w:hAnsi="宋体" w:eastAsia="宋体" w:cs="宋体"/>
                <w:b/>
                <w:bCs/>
                <w:szCs w:val="21"/>
                <w:highlight w:val="none"/>
                <w:lang w:eastAsia="zh-CN"/>
              </w:rPr>
            </w:pPr>
            <w:r>
              <w:rPr>
                <w:rFonts w:hint="eastAsia" w:ascii="宋体" w:hAnsi="宋体" w:cs="宋体"/>
                <w:b/>
                <w:bCs/>
                <w:szCs w:val="21"/>
                <w:highlight w:val="none"/>
                <w:lang w:val="en-US" w:eastAsia="zh-CN"/>
              </w:rPr>
              <w:t xml:space="preserve">1</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.6</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spacing w:line="360" w:lineRule="auto"/>
              <w:rPr>
                <w:highlight w:val="none"/>
                <w:shd w:val="clear" w:color="auto" w:fill="ffffff"/>
              </w:rPr>
            </w:pPr>
            <w:r>
              <w:rPr>
                <w:rFonts w:hint="eastAsia"/>
                <w:highlight w:val="none"/>
                <w:shd w:val="clear" w:color="auto" w:fill="ffffff"/>
              </w:rPr>
              <w:t xml:space="preserve">床梁抽样检验报告</w:t>
            </w:r>
            <w:r>
              <w:rPr>
                <w:rFonts w:hint="eastAsia"/>
                <w:highlight w:val="none"/>
                <w:shd w:val="clear" w:color="auto" w:fill="ffffff"/>
                <w:lang w:eastAsia="zh-CN"/>
              </w:rPr>
              <w:t xml:space="preserve">：</w:t>
            </w:r>
            <w:r>
              <w:rPr>
                <w:rFonts w:hint="eastAsia"/>
                <w:highlight w:val="none"/>
                <w:shd w:val="clear" w:color="auto" w:fill="ffffff"/>
              </w:rPr>
              <w:t xml:space="preserve">应符合GB/T 3325-2024《金属家具通用技术条件》，检测内容至少包括：外观性能金属件喷漆（塑）涂层检测合格；理化性能金属喷漆（塑）涂层检测合格。完全符合得</w:t>
            </w:r>
            <w:r>
              <w:rPr>
                <w:rFonts w:hint="eastAsia"/>
                <w:highlight w:val="none"/>
                <w:shd w:val="clear" w:color="auto" w:fill="ffffff"/>
                <w:lang w:val="en-US" w:eastAsia="zh-CN"/>
              </w:rPr>
              <w:t xml:space="preserve">1</w:t>
            </w:r>
            <w:r>
              <w:rPr>
                <w:rFonts w:hint="eastAsia"/>
                <w:highlight w:val="none"/>
                <w:shd w:val="clear" w:color="auto" w:fill="ffffff"/>
              </w:rPr>
              <w:t xml:space="preserve">分，提供复印件加盖供应商公章，中标后原件备查。</w:t>
            </w:r>
            <w:r/>
          </w:p>
        </w:tc>
        <w:tc>
          <w:tcPr>
            <w:tcW w:w="742" w:type="dxa"/>
            <w:vAlign w:val="center"/>
            <w:textDirection w:val="lrTb"/>
            <w:noWrap/>
          </w:tcPr>
          <w:p>
            <w:pPr>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.7</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spacing w:line="360" w:lineRule="auto"/>
              <w:rPr>
                <w:rFonts w:hint="eastAsia"/>
                <w:color w:val="auto"/>
                <w:highlight w:val="none"/>
                <w:shd w:val="clear" w:color="auto" w:fill="ffffff"/>
                <w:lang w:eastAsia="zh-CN"/>
              </w:rPr>
            </w:pPr>
            <w:r>
              <w:rPr>
                <w:rFonts w:hint="eastAsia"/>
                <w:highlight w:val="none"/>
                <w:shd w:val="clear" w:color="auto" w:fill="ffffff"/>
              </w:rPr>
              <w:t xml:space="preserve">防火板检验报告：应符</w:t>
            </w:r>
            <w:r>
              <w:rPr>
                <w:rFonts w:hint="eastAsia"/>
                <w:color w:val="auto"/>
                <w:highlight w:val="none"/>
                <w:shd w:val="clear" w:color="auto" w:fill="ffffff"/>
              </w:rPr>
              <w:t xml:space="preserve">合</w:t>
            </w:r>
            <w:r>
              <w:rPr>
                <w:rFonts w:hint="eastAsia" w:ascii="宋体" w:hAnsi="宋体"/>
                <w:color w:val="auto"/>
                <w:sz w:val="21"/>
                <w:szCs w:val="21"/>
                <w:highlight w:val="none"/>
                <w:shd w:val="clear" w:color="auto" w:fill="ffffff"/>
                <w:lang w:val="en-US" w:eastAsia="zh-CN"/>
              </w:rPr>
              <w:t xml:space="preserve">GB/T 7911-2024《热固性树脂浸渍纸高压装饰层积板》</w:t>
            </w:r>
            <w:r>
              <w:rPr>
                <w:rFonts w:hint="eastAsia"/>
                <w:color w:val="auto"/>
                <w:highlight w:val="none"/>
                <w:shd w:val="clear" w:color="auto" w:fill="ffffff"/>
              </w:rPr>
              <w:t xml:space="preserve">标准的要求，</w:t>
            </w:r>
            <w:r>
              <w:rPr>
                <w:rFonts w:ascii="宋体" w:hAnsi="宋体"/>
                <w:sz w:val="21"/>
                <w:szCs w:val="21"/>
                <w:highlight w:val="none"/>
                <w:shd w:val="clear" w:color="auto" w:fill="ffffff"/>
              </w:rPr>
              <w:t xml:space="preserve">检测项目至少包括：密度、</w:t>
            </w:r>
            <w:r>
              <w:rPr>
                <w:rFonts w:hint="eastAsia" w:ascii="宋体" w:hAnsi="宋体"/>
                <w:sz w:val="21"/>
                <w:szCs w:val="21"/>
                <w:highlight w:val="none"/>
                <w:shd w:val="clear" w:color="auto" w:fill="ffffff"/>
                <w:lang w:eastAsia="zh-CN"/>
              </w:rPr>
              <w:t xml:space="preserve">表面耐磨</w:t>
            </w:r>
            <w:r>
              <w:rPr>
                <w:rFonts w:ascii="宋体" w:hAnsi="宋体"/>
                <w:sz w:val="21"/>
                <w:szCs w:val="21"/>
                <w:highlight w:val="none"/>
                <w:shd w:val="clear" w:color="auto" w:fill="ffffff"/>
              </w:rPr>
              <w:t xml:space="preserve">、</w:t>
            </w:r>
            <w:r>
              <w:rPr>
                <w:rFonts w:hint="eastAsia" w:ascii="宋体" w:hAnsi="宋体"/>
                <w:sz w:val="21"/>
                <w:szCs w:val="21"/>
                <w:highlight w:val="none"/>
                <w:shd w:val="clear" w:color="auto" w:fill="ffffff"/>
                <w:lang w:eastAsia="zh-CN"/>
              </w:rPr>
              <w:t xml:space="preserve">耐沸水</w:t>
            </w:r>
            <w:r>
              <w:rPr>
                <w:rFonts w:ascii="宋体" w:hAnsi="宋体"/>
                <w:sz w:val="21"/>
                <w:szCs w:val="21"/>
                <w:highlight w:val="none"/>
                <w:shd w:val="clear" w:color="auto" w:fill="ffffff"/>
              </w:rPr>
              <w:t xml:space="preserve">、甲醛释放量、</w:t>
            </w:r>
            <w:r>
              <w:rPr>
                <w:rFonts w:hint="eastAsia" w:ascii="宋体" w:hAnsi="宋体"/>
                <w:sz w:val="21"/>
                <w:szCs w:val="21"/>
                <w:highlight w:val="none"/>
                <w:shd w:val="clear" w:color="auto" w:fill="ffffff"/>
                <w:lang w:eastAsia="zh-CN"/>
              </w:rPr>
              <w:t xml:space="preserve">苯酚释放量</w:t>
            </w:r>
            <w:r>
              <w:rPr>
                <w:rFonts w:ascii="宋体" w:hAnsi="宋体"/>
                <w:sz w:val="21"/>
                <w:szCs w:val="21"/>
                <w:highlight w:val="none"/>
                <w:shd w:val="clear" w:color="auto" w:fill="ffffff"/>
              </w:rPr>
              <w:t xml:space="preserve">、阻燃性</w:t>
            </w:r>
            <w:r>
              <w:rPr>
                <w:rFonts w:ascii="宋体" w:hAnsi="宋体"/>
                <w:color w:val="auto"/>
                <w:sz w:val="21"/>
                <w:szCs w:val="21"/>
                <w:highlight w:val="none"/>
                <w:shd w:val="clear" w:color="auto" w:fill="ffffff"/>
              </w:rPr>
              <w:t xml:space="preserve">能</w:t>
            </w:r>
            <w:r>
              <w:rPr>
                <w:rFonts w:hint="eastAsia"/>
                <w:color w:val="auto"/>
                <w:highlight w:val="none"/>
                <w:shd w:val="clear" w:color="auto" w:fill="ffffff"/>
                <w:lang w:eastAsia="zh-CN"/>
              </w:rPr>
              <w:t xml:space="preserve">。</w:t>
            </w:r>
            <w:r/>
          </w:p>
          <w:p>
            <w:pPr>
              <w:spacing w:line="360" w:lineRule="auto"/>
              <w:rPr>
                <w:highlight w:val="none"/>
                <w:shd w:val="clear" w:color="auto" w:fill="ffffff"/>
              </w:rPr>
            </w:pPr>
            <w:r>
              <w:rPr>
                <w:rFonts w:hint="eastAsia"/>
                <w:color w:val="auto"/>
                <w:highlight w:val="none"/>
                <w:shd w:val="clear" w:color="auto" w:fill="ffffff"/>
              </w:rPr>
              <w:t xml:space="preserve">其中GB/T 39600-2021《人造板及其制品甲醛释放量分级》，甲醛释放量达到 E0 级（≤0.050 mg/m³），</w:t>
            </w:r>
            <w:r>
              <w:rPr>
                <w:rFonts w:hint="eastAsia" w:ascii="宋体" w:hAnsi="宋体"/>
                <w:color w:val="auto"/>
                <w:sz w:val="21"/>
                <w:szCs w:val="21"/>
                <w:highlight w:val="none"/>
                <w:shd w:val="clear" w:color="auto" w:fill="ffffff"/>
                <w:lang w:val="en-US" w:eastAsia="zh-CN"/>
              </w:rPr>
              <w:t xml:space="preserve">GB/T 7911-2024《热固性树脂浸渍纸高压</w:t>
            </w:r>
            <w:r>
              <w:rPr>
                <w:rFonts w:hint="eastAsia" w:ascii="宋体" w:hAnsi="宋体"/>
                <w:sz w:val="21"/>
                <w:szCs w:val="21"/>
                <w:highlight w:val="none"/>
                <w:shd w:val="clear" w:color="auto" w:fill="ffffff"/>
                <w:lang w:val="en-US" w:eastAsia="zh-CN"/>
              </w:rPr>
              <w:t xml:space="preserve">装饰层积板》</w:t>
            </w:r>
            <w:r>
              <w:rPr>
                <w:rFonts w:hint="eastAsia" w:ascii="宋体" w:hAnsi="宋体"/>
                <w:sz w:val="21"/>
                <w:szCs w:val="21"/>
                <w:highlight w:val="none"/>
                <w:shd w:val="clear" w:color="auto" w:fill="ffffff"/>
                <w:lang w:eastAsia="zh-CN"/>
              </w:rPr>
              <w:t xml:space="preserve">）</w:t>
            </w:r>
            <w:r>
              <w:rPr>
                <w:rFonts w:ascii="宋体" w:hAnsi="宋体"/>
                <w:sz w:val="21"/>
                <w:szCs w:val="21"/>
                <w:highlight w:val="none"/>
                <w:shd w:val="clear" w:color="auto" w:fill="ffffff"/>
              </w:rPr>
              <w:t xml:space="preserve">，燃烧性能达到B1 级（难燃）；密度、</w:t>
            </w:r>
            <w:r>
              <w:rPr>
                <w:rFonts w:hint="eastAsia" w:ascii="宋体" w:hAnsi="宋体"/>
                <w:sz w:val="21"/>
                <w:szCs w:val="21"/>
                <w:highlight w:val="none"/>
                <w:shd w:val="clear" w:color="auto" w:fill="ffffff"/>
                <w:lang w:eastAsia="zh-CN"/>
              </w:rPr>
              <w:t xml:space="preserve">表面耐磨</w:t>
            </w:r>
            <w:r>
              <w:rPr>
                <w:rFonts w:ascii="宋体" w:hAnsi="宋体"/>
                <w:sz w:val="21"/>
                <w:szCs w:val="21"/>
                <w:highlight w:val="none"/>
                <w:shd w:val="clear" w:color="auto" w:fill="ffffff"/>
              </w:rPr>
              <w:t xml:space="preserve">、</w:t>
            </w:r>
            <w:r>
              <w:rPr>
                <w:rFonts w:hint="eastAsia" w:ascii="宋体" w:hAnsi="宋体"/>
                <w:sz w:val="21"/>
                <w:szCs w:val="21"/>
                <w:highlight w:val="none"/>
                <w:shd w:val="clear" w:color="auto" w:fill="ffffff"/>
                <w:lang w:eastAsia="zh-CN"/>
              </w:rPr>
              <w:t xml:space="preserve">耐沸水</w:t>
            </w:r>
            <w:r>
              <w:rPr>
                <w:rFonts w:hint="eastAsia"/>
                <w:color w:val="ffffff" w:themeColor="background1"/>
                <w:highlight w:val="none"/>
                <w:shd w:val="clear" w:color="auto" w:fill="ffffff"/>
                <w:lang w:eastAsia="zh-CN"/>
                <w14:textFill>
                  <w14:solidFill>
                    <w14:schemeClr w14:val="bg1"/>
                  </w14:solidFill>
                </w14:textFill>
              </w:rPr>
              <w:t xml:space="preserve">、</w:t>
            </w:r>
            <w:r>
              <w:rPr>
                <w:rFonts w:hint="eastAsia" w:ascii="宋体" w:hAnsi="宋体"/>
                <w:sz w:val="21"/>
                <w:szCs w:val="21"/>
                <w:highlight w:val="none"/>
                <w:shd w:val="clear" w:color="auto" w:fill="ffffff"/>
                <w:lang w:eastAsia="zh-CN"/>
              </w:rPr>
              <w:t xml:space="preserve">苯酚释放量</w:t>
            </w:r>
            <w:r>
              <w:rPr>
                <w:rFonts w:ascii="宋体" w:hAnsi="宋体"/>
                <w:sz w:val="21"/>
                <w:szCs w:val="21"/>
                <w:highlight w:val="none"/>
                <w:shd w:val="clear" w:color="auto" w:fill="ffffff"/>
              </w:rPr>
              <w:t xml:space="preserve">含量</w:t>
            </w:r>
            <w:r>
              <w:rPr>
                <w:rFonts w:hint="eastAsia" w:ascii="宋体" w:hAnsi="宋体"/>
                <w:sz w:val="21"/>
                <w:szCs w:val="21"/>
                <w:highlight w:val="none"/>
                <w:shd w:val="clear" w:color="auto" w:fill="ffffff"/>
                <w:lang w:eastAsia="zh-CN"/>
              </w:rPr>
              <w:t xml:space="preserve">，</w:t>
            </w:r>
            <w:r>
              <w:rPr>
                <w:rFonts w:ascii="宋体" w:hAnsi="宋体"/>
                <w:sz w:val="21"/>
                <w:szCs w:val="21"/>
                <w:highlight w:val="none"/>
                <w:shd w:val="clear" w:color="auto" w:fill="ffffff"/>
              </w:rPr>
              <w:t xml:space="preserve">结果均合</w:t>
            </w:r>
            <w:r>
              <w:rPr>
                <w:rFonts w:ascii="宋体" w:hAnsi="宋体"/>
                <w:color w:val="auto"/>
                <w:sz w:val="21"/>
                <w:szCs w:val="21"/>
                <w:highlight w:val="none"/>
                <w:shd w:val="clear" w:color="auto" w:fill="ffffff"/>
              </w:rPr>
              <w:t xml:space="preserve">格</w:t>
            </w:r>
            <w:r>
              <w:rPr>
                <w:rFonts w:hint="eastAsia"/>
                <w:color w:val="auto"/>
                <w:highlight w:val="none"/>
                <w:shd w:val="clear" w:color="auto" w:fill="ffffff"/>
              </w:rPr>
              <w:t xml:space="preserve">。完全符合得</w:t>
            </w:r>
            <w:r>
              <w:rPr>
                <w:rFonts w:ascii="宋体" w:hAnsi="宋体" w:cs="宋体"/>
                <w:b/>
                <w:bCs/>
                <w:color w:val="auto"/>
                <w:szCs w:val="21"/>
                <w:highlight w:val="none"/>
              </w:rPr>
              <w:t xml:space="preserve">1</w:t>
            </w:r>
            <w:r>
              <w:rPr>
                <w:rFonts w:hint="eastAsia"/>
                <w:color w:val="auto"/>
                <w:highlight w:val="none"/>
                <w:shd w:val="clear" w:color="auto" w:fill="ffffff"/>
              </w:rPr>
              <w:t xml:space="preserve">分，提供复印件加盖供应商公章，中标后原件备查。</w:t>
            </w:r>
            <w:r/>
          </w:p>
        </w:tc>
        <w:tc>
          <w:tcPr>
            <w:tcW w:w="742" w:type="dxa"/>
            <w:vAlign w:val="center"/>
            <w:textDirection w:val="lrTb"/>
            <w:noWrap/>
          </w:tcPr>
          <w:p>
            <w:pPr>
              <w:jc w:val="center"/>
              <w:rPr>
                <w:rFonts w:ascii="宋体" w:hAnsi="宋体" w:cs="宋体"/>
                <w:b/>
                <w:bCs/>
                <w:szCs w:val="21"/>
                <w:highlight w:val="none"/>
              </w:rPr>
            </w:pPr>
            <w:r>
              <w:rPr>
                <w:rFonts w:ascii="宋体" w:hAnsi="宋体" w:cs="宋体"/>
                <w:b/>
                <w:bCs/>
                <w:szCs w:val="21"/>
                <w:highlight w:val="none"/>
              </w:rPr>
              <w:t xml:space="preserve">1</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14:textFill>
                  <w14:solidFill>
                    <w14:schemeClr w14:val="tx1"/>
                  </w14:solidFill>
                </w14:textFill>
              </w:rPr>
              <w:t xml:space="preserve">.8</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spacing w:line="360" w:lineRule="auto"/>
              <w:rPr>
                <w:shd w:val="clear" w:color="auto" w:fill="ffffff"/>
              </w:rPr>
            </w:pPr>
            <w:r>
              <w:rPr>
                <w:rFonts w:hint="eastAsia"/>
                <w:shd w:val="clear" w:color="auto" w:fill="ffffff"/>
              </w:rPr>
              <w:t xml:space="preserve">胶合板（实木多层板）检验报告</w:t>
            </w:r>
            <w:r>
              <w:rPr>
                <w:rFonts w:hint="eastAsia"/>
                <w:shd w:val="clear" w:color="auto" w:fill="ffffff"/>
                <w:lang w:eastAsia="zh-CN"/>
              </w:rPr>
              <w:t xml:space="preserve">：</w:t>
            </w:r>
            <w:r>
              <w:rPr>
                <w:rFonts w:hint="eastAsia"/>
                <w:shd w:val="clear" w:color="auto" w:fill="ffffff"/>
              </w:rPr>
              <w:t xml:space="preserve">应符合 GB/T 9846-2015《普通胶合板》 要求，检测项目至少包括：胶合强度、静曲强度、甲醛释放量；胶合强度、静曲强度检测结果均合格，在合格的基础上甲醛释放量应符合 GB/T 39600-2021《人造板及其制品甲醛释放量分级》，E1得0.5分，E0得1分，ENF级得</w:t>
            </w:r>
            <w:r>
              <w:rPr>
                <w:shd w:val="clear" w:color="auto" w:fill="ffffff"/>
              </w:rPr>
              <w:t xml:space="preserve">2</w:t>
            </w:r>
            <w:r>
              <w:rPr>
                <w:rFonts w:hint="eastAsia"/>
                <w:shd w:val="clear" w:color="auto" w:fill="ffffff"/>
              </w:rPr>
              <w:t xml:space="preserve">分，提供复印件加盖供应商公章，中标后原件备查。</w:t>
            </w:r>
            <w:r/>
          </w:p>
        </w:tc>
        <w:tc>
          <w:tcPr>
            <w:tcW w:w="742" w:type="dxa"/>
            <w:vAlign w:val="center"/>
            <w:textDirection w:val="lrTb"/>
            <w:noWrap/>
          </w:tcPr>
          <w:p>
            <w:pPr>
              <w:jc w:val="center"/>
              <w:rPr>
                <w:rFonts w:ascii="宋体" w:hAnsi="宋体" w:cs="宋体"/>
                <w:b/>
                <w:bCs/>
                <w:szCs w:val="21"/>
              </w:rPr>
            </w:pPr>
            <w:r>
              <w:rPr>
                <w:rFonts w:ascii="宋体" w:hAnsi="宋体" w:cs="宋体"/>
                <w:b/>
                <w:bCs/>
                <w:szCs w:val="21"/>
              </w:rPr>
              <w:t xml:space="preserve">2</w:t>
            </w:r>
            <w:r/>
          </w:p>
        </w:tc>
      </w:tr>
      <w:tr>
        <w:trPr>
          <w:jc w:val="center"/>
          <w:trHeight w:val="601"/>
        </w:trPr>
        <w:tc>
          <w:tcPr>
            <w:gridSpan w:val="4"/>
            <w:tcW w:w="9670" w:type="dxa"/>
            <w:vAlign w:val="center"/>
            <w:textDirection w:val="lrTb"/>
            <w:noWrap/>
          </w:tcPr>
          <w:p>
            <w:pPr>
              <w:jc w:val="left"/>
              <w:widowControl/>
              <w:tabs>
                <w:tab w:val="left" w:pos="1667" w:leader="none"/>
              </w:tabs>
              <w:rPr>
                <w:rFonts w:ascii="宋体" w:hAnsi="宋体" w:cs="宋体"/>
                <w:b/>
                <w:bCs/>
                <w:color w:val="000000"/>
                <w:szCs w:val="21"/>
              </w:rPr>
            </w:pPr>
            <w:r>
              <w:rPr>
                <w:rFonts w:hint="eastAsia" w:ascii="宋体" w:hAnsi="宋体" w:cs="宋体"/>
                <w:b/>
                <w:szCs w:val="21"/>
              </w:rPr>
              <w:t xml:space="preserve">注：针对第五条原材料检测报告：</w:t>
            </w:r>
            <w:r>
              <w:rPr>
                <w:rFonts w:hint="eastAsia"/>
                <w:b/>
                <w:bCs/>
              </w:rPr>
              <w:t xml:space="preserve">供应商或者所投产品制造商</w:t>
            </w:r>
            <w:r>
              <w:rPr>
                <w:rFonts w:hint="eastAsia" w:ascii="宋体" w:hAnsi="宋体" w:cs="宋体"/>
                <w:b/>
                <w:bCs/>
                <w:color w:val="000000"/>
                <w:szCs w:val="21"/>
              </w:rPr>
              <w:t xml:space="preserve">提供2022年以来带CMA标志的</w:t>
            </w:r>
            <w:r>
              <w:rPr>
                <w:rFonts w:hint="eastAsia" w:ascii="宋体" w:hAnsi="宋体" w:cs="宋体"/>
                <w:b/>
                <w:szCs w:val="21"/>
              </w:rPr>
              <w:t xml:space="preserve">原材料</w:t>
            </w:r>
            <w:r>
              <w:rPr>
                <w:rFonts w:hint="eastAsia" w:ascii="宋体" w:hAnsi="宋体" w:cs="宋体"/>
                <w:b/>
                <w:bCs/>
                <w:color w:val="000000"/>
                <w:szCs w:val="21"/>
              </w:rPr>
              <w:t xml:space="preserve">检测报告；</w:t>
            </w:r>
            <w:r/>
          </w:p>
          <w:p>
            <w:pPr>
              <w:jc w:val="left"/>
              <w:rPr>
                <w:rFonts w:ascii="宋体" w:hAnsi="宋体" w:cs="宋体"/>
                <w:b/>
                <w:bCs/>
                <w:szCs w:val="21"/>
              </w:rPr>
            </w:pPr>
            <w:r>
              <w:rPr>
                <w:rFonts w:hint="eastAsia" w:ascii="宋体" w:hAnsi="宋体" w:cs="宋体"/>
                <w:b/>
                <w:bCs/>
                <w:color w:val="000000"/>
                <w:szCs w:val="21"/>
              </w:rPr>
              <w:t xml:space="preserve">评分标准中所述的检测报告名称的产品名称以实现本次采购功能为准，不以个别文字差异否定提供的检测报告，具体由评标委员会现场统一认定。</w:t>
            </w:r>
            <w:r>
              <w:rPr>
                <w:rFonts w:hint="eastAsia" w:ascii="宋体" w:hAnsi="宋体" w:cs="宋体"/>
                <w:color w:val="000000"/>
              </w:rPr>
              <w:t xml:space="preserve">为方便评委评审，功能参数可用箭头、标红或下划线等进行明显标注。</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6</w:t>
            </w:r>
            <w:r>
              <w:rPr>
                <w:rFonts w:hint="eastAsia" w:ascii="宋体" w:hAnsi="宋体" w:cs="宋体"/>
                <w:b/>
                <w:bCs/>
                <w:color w:val="000000" w:themeColor="text1"/>
                <w:szCs w:val="21"/>
                <w14:textFill>
                  <w14:solidFill>
                    <w14:schemeClr w14:val="tx1"/>
                  </w14:solidFill>
                </w14:textFill>
              </w:rPr>
              <w:t xml:space="preserve">.1</w:t>
            </w:r>
            <w:r/>
          </w:p>
        </w:tc>
        <w:tc>
          <w:tcPr>
            <w:tcW w:w="1192" w:type="dxa"/>
            <w:vAlign w:val="center"/>
            <w:vMerge w:val="restart"/>
            <w:textDirection w:val="lrTb"/>
            <w:noWrap/>
          </w:tcPr>
          <w:p>
            <w:pPr>
              <w:jc w:val="center"/>
              <w:spacing w:line="360" w:lineRule="auto"/>
              <w:widowControl/>
              <w:rPr>
                <w:rFonts w:ascii="宋体" w:hAnsi="宋体" w:cs="宋体"/>
                <w:b/>
                <w:bCs/>
                <w:szCs w:val="21"/>
              </w:rPr>
            </w:pPr>
            <w:r>
              <w:rPr>
                <w:rFonts w:hint="eastAsia" w:ascii="宋体" w:hAnsi="宋体" w:cs="宋体"/>
                <w:b/>
                <w:bCs/>
                <w:szCs w:val="21"/>
              </w:rPr>
              <w:t xml:space="preserve">总体方案30分</w:t>
            </w:r>
            <w:r/>
          </w:p>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rFonts w:hint="eastAsia" w:eastAsia="宋体"/>
                <w:sz w:val="21"/>
                <w:szCs w:val="21"/>
                <w:lang w:eastAsia="zh-CN"/>
              </w:rPr>
            </w:pPr>
            <w:r>
              <w:rPr>
                <w:rFonts w:hint="eastAsia"/>
                <w:b/>
                <w:bCs/>
                <w:sz w:val="21"/>
                <w:szCs w:val="21"/>
              </w:rPr>
              <w:t xml:space="preserve">产品质量保证方案</w:t>
            </w:r>
            <w:r>
              <w:rPr>
                <w:rFonts w:hint="eastAsia"/>
                <w:sz w:val="21"/>
                <w:szCs w:val="21"/>
                <w:lang w:eastAsia="zh-CN"/>
              </w:rPr>
              <w:t xml:space="preserve">：</w:t>
            </w:r>
            <w:r/>
          </w:p>
          <w:p>
            <w:pPr>
              <w:pStyle w:val="1229"/>
              <w:ind w:firstLine="0"/>
              <w:spacing w:line="240" w:lineRule="auto"/>
              <w:rPr>
                <w:sz w:val="21"/>
                <w:szCs w:val="21"/>
                <w:highlight w:val="none"/>
              </w:rPr>
            </w:pPr>
            <w:r>
              <w:rPr>
                <w:rFonts w:hint="eastAsia"/>
                <w:sz w:val="21"/>
                <w:szCs w:val="21"/>
              </w:rPr>
              <w:t xml:space="preserve">供应商应根据招标文件要求提供具体详实的项目产品质量保证方案：包括原材料采购质量方案，产品质量目标的设定，以及产品质量检测方案；方案需全面详实、安排合理得当、保证项目的顺利实施</w:t>
            </w:r>
            <w:r>
              <w:rPr>
                <w:rFonts w:hint="eastAsia"/>
                <w:sz w:val="21"/>
                <w:szCs w:val="21"/>
                <w:lang w:eastAsia="zh-CN"/>
              </w:rPr>
              <w:t xml:space="preserve">，</w:t>
            </w:r>
            <w:r>
              <w:rPr>
                <w:rFonts w:hint="eastAsia"/>
                <w:sz w:val="21"/>
                <w:szCs w:val="21"/>
              </w:rPr>
              <w:t xml:space="preserve">以上每项内容逐条阐述。</w:t>
            </w:r>
            <w:r/>
          </w:p>
          <w:p>
            <w:pPr>
              <w:pStyle w:val="1229"/>
              <w:ind w:firstLine="0"/>
              <w:spacing w:line="240" w:lineRule="auto"/>
              <w:rPr>
                <w:rFonts w:hint="default" w:eastAsia="宋体"/>
                <w:sz w:val="21"/>
                <w:szCs w:val="21"/>
                <w:highlight w:val="none"/>
                <w:lang w:val="en-US" w:eastAsia="zh-CN"/>
              </w:rPr>
            </w:pPr>
            <w:r>
              <w:rPr>
                <w:rFonts w:hint="eastAsia"/>
                <w:sz w:val="21"/>
                <w:szCs w:val="21"/>
                <w:highlight w:val="none"/>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w:t>
            </w:r>
            <w:r>
              <w:rPr>
                <w:rFonts w:hint="eastAsia"/>
                <w:sz w:val="21"/>
                <w:szCs w:val="21"/>
                <w:highlight w:val="none"/>
                <w:lang w:val="en-US" w:eastAsia="zh-CN"/>
              </w:rPr>
              <w:t xml:space="preserve">得6分；</w:t>
            </w:r>
            <w:r/>
          </w:p>
          <w:p>
            <w:pPr>
              <w:pStyle w:val="1229"/>
              <w:ind w:firstLine="0"/>
              <w:spacing w:line="240" w:lineRule="auto"/>
              <w:rPr>
                <w:rFonts w:hint="default"/>
                <w:color w:val="000000"/>
                <w:sz w:val="21"/>
                <w:szCs w:val="21"/>
                <w:lang w:val="en-US" w:eastAsia="zh-CN"/>
              </w:rPr>
            </w:pPr>
            <w:r>
              <w:rPr>
                <w:rFonts w:hint="eastAsia"/>
                <w:color w:val="000000"/>
                <w:sz w:val="21"/>
                <w:szCs w:val="21"/>
                <w:highlight w:val="none"/>
                <w:lang w:val="en-US" w:eastAsia="zh-CN"/>
              </w:rPr>
              <w:t xml:space="preserve">2）原材料采购、质量目标、质量检测内</w:t>
            </w:r>
            <w:r>
              <w:rPr>
                <w:rFonts w:hint="eastAsia"/>
                <w:color w:val="000000"/>
                <w:sz w:val="21"/>
                <w:szCs w:val="21"/>
                <w:lang w:val="en-US" w:eastAsia="zh-CN"/>
              </w:rPr>
              <w:t xml:space="preserve">容基本完整；有基础管控流程与检测要求，基本遵循招标文件及国家规范；具备常规进场检测、库存管理，可满足项目基础质量需求，流程完善、缺乏精细化管控得4分；</w:t>
            </w:r>
            <w:r/>
          </w:p>
          <w:p>
            <w:pPr>
              <w:pStyle w:val="1229"/>
              <w:ind w:firstLine="0"/>
              <w:spacing w:line="240" w:lineRule="auto"/>
              <w:rPr>
                <w:rFonts w:hint="eastAsia"/>
                <w:color w:val="000000"/>
                <w:sz w:val="21"/>
                <w:szCs w:val="21"/>
                <w:lang w:val="en-US" w:eastAsia="zh-CN"/>
              </w:rPr>
            </w:pPr>
            <w:r>
              <w:rPr>
                <w:rFonts w:hint="eastAsia"/>
                <w:color w:val="000000"/>
                <w:sz w:val="21"/>
                <w:szCs w:val="21"/>
                <w:lang w:val="en-US" w:eastAsia="zh-CN"/>
              </w:rPr>
              <w:t xml:space="preserve">3)仅覆盖原材料采购质量管控、产品质量目标设定、产品质量检测三项基础内容中的部分内容，内容完整性较差；管控流程、检测规则简单笼统，仅提及基础管控方向，未明确具体执行流程、检测标准与实施细节，无全流程管控体系，问题溯源机制；管控不成体系、无闭环管理，质量保障能力薄弱得2分；</w:t>
            </w:r>
            <w:r/>
          </w:p>
          <w:p>
            <w:pPr>
              <w:pStyle w:val="1229"/>
              <w:ind w:firstLine="0"/>
              <w:spacing w:line="240" w:lineRule="auto"/>
              <w:rPr>
                <w:sz w:val="21"/>
                <w:szCs w:val="21"/>
              </w:rPr>
            </w:pPr>
            <w:r>
              <w:rPr>
                <w:rFonts w:hint="eastAsia"/>
                <w:color w:val="000000"/>
                <w:sz w:val="21"/>
                <w:szCs w:val="21"/>
                <w:lang w:val="en-US" w:eastAsia="zh-CN"/>
              </w:rPr>
              <w:t xml:space="preserve">4</w:t>
            </w:r>
            <w:r>
              <w:rPr>
                <w:rFonts w:hint="eastAsia"/>
                <w:color w:val="000000"/>
                <w:sz w:val="21"/>
                <w:szCs w:val="21"/>
              </w:rPr>
              <w:t xml:space="preserve">）</w:t>
            </w:r>
            <w:r>
              <w:rPr>
                <w:rFonts w:hint="eastAsia"/>
                <w:sz w:val="21"/>
                <w:szCs w:val="21"/>
              </w:rPr>
              <w:t xml:space="preserve">有缺陷（缺陷是指：存在不适用项目实际情况的情形、凭空编造、方案中内容前后不一致、前后逻辑错误、涉及的规范及标准</w:t>
            </w:r>
            <w:r>
              <w:rPr>
                <w:rFonts w:hint="eastAsia"/>
                <w:sz w:val="21"/>
                <w:szCs w:val="21"/>
                <w:lang w:val="en-US" w:eastAsia="zh-CN"/>
              </w:rPr>
              <w:t xml:space="preserve">不完善</w:t>
            </w:r>
            <w:r>
              <w:rPr>
                <w:rFonts w:hint="eastAsia"/>
                <w:sz w:val="21"/>
                <w:szCs w:val="21"/>
              </w:rPr>
              <w:t xml:space="preserve">、不</w:t>
            </w:r>
            <w:r>
              <w:rPr>
                <w:rFonts w:hint="eastAsia"/>
                <w:sz w:val="21"/>
                <w:szCs w:val="21"/>
                <w:lang w:val="en-US" w:eastAsia="zh-CN"/>
              </w:rPr>
              <w:t xml:space="preserve">完全</w:t>
            </w:r>
            <w:r>
              <w:rPr>
                <w:rFonts w:hint="eastAsia"/>
                <w:sz w:val="21"/>
                <w:szCs w:val="21"/>
              </w:rPr>
              <w:t xml:space="preserve">符合项目实际情况等）得</w:t>
            </w:r>
            <w:r>
              <w:rPr>
                <w:rFonts w:hint="eastAsia"/>
                <w:sz w:val="21"/>
                <w:szCs w:val="21"/>
                <w:lang w:val="en-US" w:eastAsia="zh-CN"/>
              </w:rPr>
              <w:t xml:space="preserve">1</w:t>
            </w:r>
            <w:r>
              <w:rPr>
                <w:rFonts w:hint="eastAsia"/>
                <w:sz w:val="21"/>
                <w:szCs w:val="21"/>
              </w:rPr>
              <w:t xml:space="preserve">分；</w:t>
            </w:r>
            <w:r/>
          </w:p>
          <w:p>
            <w:pPr>
              <w:pStyle w:val="1229"/>
              <w:ind w:firstLine="0"/>
              <w:spacing w:line="240" w:lineRule="auto"/>
              <w:rPr>
                <w:sz w:val="21"/>
                <w:szCs w:val="21"/>
              </w:rPr>
            </w:pPr>
            <w:r>
              <w:rPr>
                <w:rFonts w:hint="eastAsia"/>
                <w:sz w:val="21"/>
                <w:szCs w:val="21"/>
                <w:lang w:val="en-US" w:eastAsia="zh-CN"/>
              </w:rPr>
              <w:t xml:space="preserve">5</w:t>
            </w:r>
            <w:r>
              <w:rPr>
                <w:rFonts w:hint="eastAsia"/>
                <w:sz w:val="21"/>
                <w:szCs w:val="21"/>
              </w:rPr>
              <w:t xml:space="preserve">）未提供的不得分。</w:t>
            </w:r>
            <w:r/>
          </w:p>
        </w:tc>
        <w:tc>
          <w:tcPr>
            <w:tcW w:w="742" w:type="dxa"/>
            <w:vAlign w:val="center"/>
            <w:textDirection w:val="lrTb"/>
            <w:noWrap/>
          </w:tcPr>
          <w:p>
            <w:pPr>
              <w:jc w:val="center"/>
              <w:rPr>
                <w:rFonts w:hint="eastAsia" w:ascii="宋体" w:hAnsi="宋体" w:eastAsia="宋体" w:cs="宋体"/>
                <w:b/>
                <w:bCs/>
                <w:szCs w:val="21"/>
                <w:lang w:eastAsia="zh-CN"/>
              </w:rPr>
            </w:pPr>
            <w:r>
              <w:rPr>
                <w:rFonts w:hint="eastAsia" w:ascii="宋体" w:hAnsi="宋体" w:cs="宋体"/>
                <w:b/>
                <w:bCs/>
                <w:szCs w:val="21"/>
                <w:lang w:val="en-US" w:eastAsia="zh-CN"/>
              </w:rPr>
              <w:t xml:space="preserve">6</w:t>
            </w:r>
            <w:r/>
          </w:p>
        </w:tc>
      </w:tr>
      <w:tr>
        <w:trPr>
          <w:jc w:val="center"/>
          <w:trHeight w:val="601"/>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6</w:t>
            </w:r>
            <w:r>
              <w:rPr>
                <w:rFonts w:hint="eastAsia" w:ascii="宋体" w:hAnsi="宋体" w:cs="宋体"/>
                <w:b/>
                <w:bCs/>
                <w:color w:val="000000" w:themeColor="text1"/>
                <w:szCs w:val="21"/>
                <w14:textFill>
                  <w14:solidFill>
                    <w14:schemeClr w14:val="tx1"/>
                  </w14:solidFill>
                </w14:textFill>
              </w:rPr>
              <w:t xml:space="preserve">.2</w:t>
            </w:r>
            <w:r/>
          </w:p>
        </w:tc>
        <w:tc>
          <w:tcPr>
            <w:tcW w:w="1192" w:type="dxa"/>
            <w:vAlign w:val="center"/>
            <w:vMerge w:val="continue"/>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rFonts w:hint="eastAsia"/>
                <w:b/>
                <w:bCs/>
                <w:sz w:val="21"/>
                <w:szCs w:val="21"/>
                <w:lang w:val="en-US" w:eastAsia="zh-CN"/>
              </w:rPr>
            </w:pPr>
            <w:r>
              <w:rPr>
                <w:rFonts w:hint="eastAsia"/>
                <w:b/>
                <w:bCs/>
                <w:sz w:val="21"/>
                <w:szCs w:val="21"/>
                <w:lang w:val="en-US" w:eastAsia="zh-CN"/>
              </w:rPr>
              <w:t xml:space="preserve">生产过程监督方案：</w:t>
            </w:r>
            <w:r/>
          </w:p>
          <w:p>
            <w:pPr>
              <w:pStyle w:val="1229"/>
              <w:ind w:firstLine="0"/>
              <w:spacing w:line="240" w:lineRule="auto"/>
              <w:rPr>
                <w:sz w:val="21"/>
                <w:szCs w:val="21"/>
              </w:rPr>
            </w:pPr>
            <w:r>
              <w:rPr>
                <w:rFonts w:hint="eastAsia"/>
                <w:sz w:val="21"/>
                <w:szCs w:val="21"/>
              </w:rPr>
              <w:t xml:space="preserve">供应商应根据招标文件要求提供具体详实的生产过程监督方案：包括</w:t>
            </w:r>
            <w:r>
              <w:rPr>
                <w:rFonts w:hint="eastAsia"/>
                <w:sz w:val="21"/>
                <w:szCs w:val="21"/>
                <w:lang w:val="en-US" w:eastAsia="zh-CN"/>
              </w:rPr>
              <w:t xml:space="preserve">方案完整性、落地可行性、管控细致度、履约保障性</w:t>
            </w:r>
            <w:r>
              <w:rPr>
                <w:rFonts w:hint="eastAsia"/>
                <w:sz w:val="21"/>
                <w:szCs w:val="21"/>
              </w:rPr>
              <w:t xml:space="preserve">。以上每项内容逐条阐述。</w:t>
            </w:r>
            <w:r/>
          </w:p>
          <w:p>
            <w:pPr>
              <w:pStyle w:val="1229"/>
              <w:numPr>
                <w:ilvl w:val="0"/>
                <w:numId w:val="6"/>
              </w:numPr>
              <w:ind w:firstLine="0"/>
              <w:spacing w:line="240" w:lineRule="auto"/>
              <w:rPr>
                <w:rFonts w:hint="eastAsia"/>
                <w:sz w:val="21"/>
                <w:szCs w:val="21"/>
                <w:highlight w:val="none"/>
                <w:lang w:val="en-US" w:eastAsia="zh-CN"/>
              </w:rPr>
            </w:pPr>
            <w:r>
              <w:rPr>
                <w:rFonts w:hint="eastAsia"/>
                <w:sz w:val="21"/>
                <w:szCs w:val="21"/>
                <w:lang w:val="en-US" w:eastAsia="zh-CN"/>
              </w:rPr>
              <w:t xml:space="preserve">生产过程监督方案体系完整、内容详实、落地性极强。完整包含原材料进场报审、封样比对、随机抽检等全流程管控措施；明确生产全域开放、专人对接、工艺核查、台账可追溯等全过程甲方监督配合机制；建立完善的整改复核体系；履约追责、监督配合承诺全面到位，所有管控环节贴合本项目采购要求，无缺失、无漏洞，可全程落地执行</w:t>
            </w:r>
            <w:r>
              <w:rPr>
                <w:rFonts w:hint="eastAsia"/>
                <w:sz w:val="21"/>
                <w:szCs w:val="21"/>
                <w:highlight w:val="none"/>
                <w:lang w:val="en-US" w:eastAsia="zh-CN"/>
              </w:rPr>
              <w:t xml:space="preserve">得6分；</w:t>
            </w:r>
            <w:r/>
          </w:p>
          <w:p>
            <w:pPr>
              <w:pStyle w:val="1229"/>
              <w:numPr>
                <w:ilvl w:val="0"/>
                <w:numId w:val="6"/>
              </w:numPr>
              <w:ind w:firstLine="0"/>
              <w:spacing w:line="240" w:lineRule="auto"/>
              <w:rPr>
                <w:rFonts w:hint="default"/>
                <w:sz w:val="21"/>
                <w:szCs w:val="21"/>
                <w:highlight w:val="none"/>
                <w:lang w:val="en-US" w:eastAsia="zh-CN"/>
              </w:rPr>
            </w:pPr>
            <w:r>
              <w:rPr>
                <w:rFonts w:hint="default"/>
                <w:sz w:val="21"/>
                <w:szCs w:val="21"/>
                <w:highlight w:val="none"/>
                <w:lang w:val="en-US" w:eastAsia="zh-CN"/>
              </w:rPr>
              <w:t xml:space="preserve">生产过程监督方案整体框架完整，覆盖原材料管控、生产现场监督、质量抽检、进度管控、履约保障全部核心维度。但部分管控细节细化不足，台账管理、整改闭环、进度动态保障、监督对接细则等内容描述较为简略，整体方案合规可行，无原则性缺失、无违规内容，可基本满足项目全过程监督要求</w:t>
            </w:r>
            <w:r>
              <w:rPr>
                <w:rFonts w:hint="eastAsia"/>
                <w:sz w:val="21"/>
                <w:szCs w:val="21"/>
                <w:highlight w:val="none"/>
                <w:lang w:val="en-US" w:eastAsia="zh-CN"/>
              </w:rPr>
              <w:t xml:space="preserve">得4分；</w:t>
            </w:r>
            <w:r/>
          </w:p>
          <w:p>
            <w:pPr>
              <w:pStyle w:val="1229"/>
              <w:numPr>
                <w:ilvl w:val="0"/>
                <w:numId w:val="6"/>
              </w:numPr>
              <w:ind w:firstLine="0"/>
              <w:spacing w:line="240" w:lineRule="auto"/>
              <w:rPr>
                <w:rFonts w:hint="default"/>
                <w:sz w:val="21"/>
                <w:szCs w:val="21"/>
                <w:highlight w:val="none"/>
                <w:lang w:val="en-US" w:eastAsia="zh-CN"/>
              </w:rPr>
            </w:pPr>
            <w:r>
              <w:rPr>
                <w:rFonts w:hint="default"/>
                <w:sz w:val="21"/>
                <w:szCs w:val="21"/>
                <w:highlight w:val="none"/>
                <w:lang w:val="en-US" w:eastAsia="zh-CN"/>
              </w:rPr>
              <w:t xml:space="preserve">仅搭建基础的生产监督方案框架，覆盖核心管控维度，但内容笼统单一，无具体执行细则、无专项保障措施、无闭环管理机制。仅简单阐述配合甲方监督、原材料核查、进度管控等基础内容，落地性、针对性较弱，仅满足最低采购管控要求</w:t>
            </w:r>
            <w:r>
              <w:rPr>
                <w:rFonts w:hint="eastAsia"/>
                <w:sz w:val="21"/>
                <w:szCs w:val="21"/>
                <w:highlight w:val="none"/>
                <w:lang w:val="en-US" w:eastAsia="zh-CN"/>
              </w:rPr>
              <w:t xml:space="preserve">得2分；</w:t>
            </w:r>
            <w:r/>
          </w:p>
          <w:p>
            <w:pPr>
              <w:pStyle w:val="1229"/>
              <w:numPr>
                <w:ilvl w:val="0"/>
                <w:numId w:val="6"/>
              </w:numPr>
              <w:ind w:firstLine="0"/>
              <w:spacing w:line="240" w:lineRule="auto"/>
              <w:rPr>
                <w:rFonts w:hint="default"/>
                <w:sz w:val="21"/>
                <w:szCs w:val="21"/>
                <w:highlight w:val="none"/>
                <w:lang w:val="en-US" w:eastAsia="zh-CN"/>
              </w:rPr>
            </w:pPr>
            <w:r>
              <w:rPr>
                <w:rFonts w:hint="default"/>
                <w:sz w:val="21"/>
                <w:szCs w:val="21"/>
                <w:highlight w:val="none"/>
                <w:lang w:val="en-US" w:eastAsia="zh-CN"/>
              </w:rPr>
              <w:t xml:space="preserve">有缺陷（缺陷是指：存在不适用项目实际情况的情形、凭空编造、方案中内容前后不一致、前后逻辑错误、涉及的规范及标准不完善、不完全符合项目实际情况等）得</w:t>
            </w:r>
            <w:r>
              <w:rPr>
                <w:rFonts w:hint="eastAsia"/>
                <w:sz w:val="21"/>
                <w:szCs w:val="21"/>
                <w:highlight w:val="none"/>
                <w:lang w:val="en-US" w:eastAsia="zh-CN"/>
              </w:rPr>
              <w:t xml:space="preserve">1</w:t>
            </w:r>
            <w:r>
              <w:rPr>
                <w:rFonts w:hint="default"/>
                <w:sz w:val="21"/>
                <w:szCs w:val="21"/>
                <w:highlight w:val="none"/>
                <w:lang w:val="en-US" w:eastAsia="zh-CN"/>
              </w:rPr>
              <w:t xml:space="preserve">分；</w:t>
            </w:r>
            <w:r/>
          </w:p>
          <w:p>
            <w:pPr>
              <w:pStyle w:val="1229"/>
              <w:numPr>
                <w:ilvl w:val="0"/>
                <w:numId w:val="6"/>
              </w:numPr>
              <w:ind w:firstLine="0"/>
              <w:spacing w:line="240" w:lineRule="auto"/>
              <w:rPr>
                <w:sz w:val="21"/>
                <w:szCs w:val="21"/>
              </w:rPr>
            </w:pPr>
            <w:r>
              <w:rPr>
                <w:rFonts w:hint="default"/>
                <w:sz w:val="21"/>
                <w:szCs w:val="21"/>
                <w:highlight w:val="none"/>
                <w:lang w:val="en-US" w:eastAsia="zh-CN"/>
              </w:rPr>
              <w:t xml:space="preserve">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lang w:val="en-US" w:eastAsia="zh-CN"/>
              </w:rPr>
              <w:t xml:space="preserve">6</w:t>
            </w:r>
            <w:r/>
          </w:p>
        </w:tc>
      </w:tr>
      <w:tr>
        <w:trPr>
          <w:jc w:val="center"/>
          <w:trHeight w:val="450"/>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6</w:t>
            </w:r>
            <w:r>
              <w:rPr>
                <w:rFonts w:hint="eastAsia" w:ascii="宋体" w:hAnsi="宋体" w:cs="宋体"/>
                <w:b/>
                <w:bCs/>
                <w:color w:val="000000" w:themeColor="text1"/>
                <w:szCs w:val="21"/>
                <w14:textFill>
                  <w14:solidFill>
                    <w14:schemeClr w14:val="tx1"/>
                  </w14:solidFill>
                </w14:textFill>
              </w:rPr>
              <w:t xml:space="preserve">.3</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rFonts w:hint="eastAsia" w:eastAsia="宋体"/>
                <w:b/>
                <w:bCs/>
                <w:sz w:val="21"/>
                <w:szCs w:val="21"/>
                <w:lang w:eastAsia="zh-CN"/>
              </w:rPr>
            </w:pPr>
            <w:r>
              <w:rPr>
                <w:rFonts w:hint="eastAsia"/>
                <w:b/>
                <w:bCs/>
                <w:sz w:val="21"/>
                <w:szCs w:val="21"/>
                <w:lang w:val="en-US" w:eastAsia="zh-CN"/>
              </w:rPr>
              <w:t xml:space="preserve">项目</w:t>
            </w:r>
            <w:r>
              <w:rPr>
                <w:rFonts w:hint="eastAsia"/>
                <w:b/>
                <w:bCs/>
                <w:sz w:val="21"/>
                <w:szCs w:val="21"/>
              </w:rPr>
              <w:t xml:space="preserve">实施方案</w:t>
            </w:r>
            <w:r>
              <w:rPr>
                <w:rFonts w:hint="eastAsia"/>
                <w:b/>
                <w:bCs/>
                <w:sz w:val="21"/>
                <w:szCs w:val="21"/>
                <w:lang w:eastAsia="zh-CN"/>
              </w:rPr>
              <w:t xml:space="preserve">：</w:t>
            </w:r>
            <w:r/>
          </w:p>
          <w:p>
            <w:pPr>
              <w:pStyle w:val="1229"/>
              <w:ind w:firstLine="0"/>
              <w:spacing w:line="240" w:lineRule="auto"/>
              <w:rPr>
                <w:sz w:val="21"/>
                <w:szCs w:val="21"/>
              </w:rPr>
            </w:pPr>
            <w:r>
              <w:rPr>
                <w:rFonts w:hint="eastAsia"/>
                <w:sz w:val="21"/>
                <w:szCs w:val="21"/>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pStyle w:val="1229"/>
              <w:numPr>
                <w:ilvl w:val="0"/>
                <w:numId w:val="7"/>
              </w:numPr>
              <w:ind w:firstLine="0"/>
              <w:spacing w:line="240" w:lineRule="auto"/>
              <w:rPr>
                <w:rFonts w:hint="eastAsia"/>
                <w:sz w:val="21"/>
                <w:szCs w:val="21"/>
                <w:highlight w:val="none"/>
                <w:lang w:val="en-US" w:eastAsia="zh-CN"/>
              </w:rPr>
            </w:pPr>
            <w:r>
              <w:rPr>
                <w:rFonts w:hint="eastAsia"/>
                <w:sz w:val="21"/>
                <w:szCs w:val="21"/>
              </w:rPr>
              <w:t xml:space="preserve">生产计划安排科学详实、生产工艺流程规范完善、拟投入设备充足且适配，三者衔接顺畅、安排合理得当，完全符合招标文件要求，能够全面保障项目顺利实施</w:t>
            </w:r>
            <w:r>
              <w:rPr>
                <w:rFonts w:hint="eastAsia"/>
                <w:sz w:val="21"/>
                <w:szCs w:val="21"/>
                <w:highlight w:val="none"/>
                <w:lang w:val="en-US" w:eastAsia="zh-CN"/>
              </w:rPr>
              <w:t xml:space="preserve">得6分；</w:t>
            </w:r>
            <w:r/>
          </w:p>
          <w:p>
            <w:pPr>
              <w:pStyle w:val="1229"/>
              <w:numPr>
                <w:ilvl w:val="0"/>
                <w:numId w:val="7"/>
              </w:numPr>
              <w:ind w:firstLine="0"/>
              <w:spacing w:line="240" w:lineRule="auto"/>
              <w:rPr>
                <w:rFonts w:hint="eastAsia"/>
                <w:sz w:val="21"/>
                <w:szCs w:val="21"/>
                <w:highlight w:val="none"/>
                <w:lang w:val="en-US" w:eastAsia="zh-CN"/>
              </w:rPr>
            </w:pPr>
            <w:r>
              <w:rPr>
                <w:rFonts w:hint="eastAsia"/>
                <w:sz w:val="21"/>
                <w:szCs w:val="21"/>
                <w:highlight w:val="none"/>
                <w:lang w:val="en-US" w:eastAsia="zh-CN"/>
              </w:rPr>
              <w:t xml:space="preserve">生产计划安排基本合理、生产工艺流程基本完整、拟投入设备基本适配，能够基本满足招标文件要求，生产过程基本可控，可保障项目基本顺利实施得4分；</w:t>
            </w:r>
            <w:r/>
          </w:p>
          <w:p>
            <w:pPr>
              <w:pStyle w:val="1229"/>
              <w:numPr>
                <w:ilvl w:val="0"/>
                <w:numId w:val="7"/>
              </w:numPr>
              <w:ind w:left="0" w:firstLine="0"/>
              <w:spacing w:line="240" w:lineRule="auto"/>
              <w:rPr>
                <w:rFonts w:hint="eastAsia"/>
                <w:sz w:val="21"/>
                <w:szCs w:val="21"/>
                <w:highlight w:val="none"/>
                <w:lang w:val="en-US" w:eastAsia="zh-CN"/>
              </w:rPr>
            </w:pPr>
            <w:r>
              <w:rPr>
                <w:rFonts w:hint="eastAsia"/>
                <w:sz w:val="21"/>
                <w:szCs w:val="21"/>
              </w:rPr>
              <w:t xml:space="preserve">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w:t>
            </w:r>
            <w:r>
              <w:rPr>
                <w:rFonts w:hint="eastAsia"/>
                <w:sz w:val="21"/>
                <w:szCs w:val="21"/>
                <w:lang w:val="en-US" w:eastAsia="zh-CN"/>
              </w:rPr>
              <w:t xml:space="preserve">薄弱</w:t>
            </w:r>
            <w:r>
              <w:rPr>
                <w:rFonts w:hint="eastAsia"/>
                <w:sz w:val="21"/>
                <w:szCs w:val="21"/>
              </w:rPr>
              <w:t xml:space="preserve">，仅可勉强满足项目最低落地要求，项目实施保障能力不足</w:t>
            </w:r>
            <w:r>
              <w:rPr>
                <w:rFonts w:hint="eastAsia"/>
                <w:sz w:val="21"/>
                <w:szCs w:val="21"/>
                <w:highlight w:val="none"/>
                <w:lang w:val="en-US" w:eastAsia="zh-CN"/>
              </w:rPr>
              <w:t xml:space="preserve">得2分；</w:t>
            </w:r>
            <w:r/>
          </w:p>
          <w:p>
            <w:pPr>
              <w:pStyle w:val="1229"/>
              <w:numPr>
                <w:ilvl w:val="0"/>
                <w:numId w:val="7"/>
              </w:numPr>
              <w:ind w:left="0" w:firstLine="0"/>
              <w:spacing w:line="240" w:lineRule="auto"/>
              <w:rPr>
                <w:sz w:val="21"/>
                <w:szCs w:val="21"/>
              </w:rPr>
            </w:pPr>
            <w:r>
              <w:rPr>
                <w:rFonts w:hint="eastAsia"/>
                <w:sz w:val="21"/>
                <w:szCs w:val="21"/>
              </w:rPr>
              <w:t xml:space="preserve">有缺陷（缺陷是指：存在不适用项目实际情况的情形、凭空编造、方案中内容前后不一致、前后逻辑错误、涉及的规范及标准</w:t>
            </w:r>
            <w:r>
              <w:rPr>
                <w:rFonts w:hint="eastAsia"/>
                <w:sz w:val="21"/>
                <w:szCs w:val="21"/>
                <w:lang w:val="en-US" w:eastAsia="zh-CN"/>
              </w:rPr>
              <w:t xml:space="preserve">不完善</w:t>
            </w:r>
            <w:r>
              <w:rPr>
                <w:rFonts w:hint="eastAsia"/>
                <w:sz w:val="21"/>
                <w:szCs w:val="21"/>
              </w:rPr>
              <w:t xml:space="preserve">、不</w:t>
            </w:r>
            <w:r>
              <w:rPr>
                <w:rFonts w:hint="eastAsia"/>
                <w:sz w:val="21"/>
                <w:szCs w:val="21"/>
                <w:lang w:val="en-US" w:eastAsia="zh-CN"/>
              </w:rPr>
              <w:t xml:space="preserve">完全</w:t>
            </w:r>
            <w:r>
              <w:rPr>
                <w:rFonts w:hint="eastAsia"/>
                <w:sz w:val="21"/>
                <w:szCs w:val="21"/>
              </w:rPr>
              <w:t xml:space="preserve">符合项目实际情况等）得</w:t>
            </w:r>
            <w:r>
              <w:rPr>
                <w:rFonts w:hint="eastAsia"/>
                <w:sz w:val="21"/>
                <w:szCs w:val="21"/>
                <w:lang w:val="en-US" w:eastAsia="zh-CN"/>
              </w:rPr>
              <w:t xml:space="preserve">1</w:t>
            </w:r>
            <w:r>
              <w:rPr>
                <w:rFonts w:hint="eastAsia"/>
                <w:sz w:val="21"/>
                <w:szCs w:val="21"/>
              </w:rPr>
              <w:t xml:space="preserve">分；</w:t>
            </w:r>
            <w:r/>
          </w:p>
          <w:p>
            <w:pPr>
              <w:pStyle w:val="1229"/>
              <w:ind w:firstLine="0"/>
              <w:spacing w:line="240" w:lineRule="auto"/>
              <w:rPr>
                <w:sz w:val="21"/>
                <w:szCs w:val="21"/>
              </w:rPr>
            </w:pPr>
            <w:r>
              <w:rPr>
                <w:rFonts w:hint="eastAsia"/>
                <w:sz w:val="21"/>
                <w:szCs w:val="21"/>
                <w:lang w:val="en-US" w:eastAsia="zh-CN"/>
              </w:rPr>
              <w:t xml:space="preserve">5</w:t>
            </w:r>
            <w:r>
              <w:rPr>
                <w:rFonts w:hint="eastAsia"/>
                <w:sz w:val="21"/>
                <w:szCs w:val="21"/>
              </w:rPr>
              <w:t xml:space="preserve">）未提供的不得分。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lang w:val="en-US" w:eastAsia="zh-CN"/>
              </w:rPr>
              <w:t xml:space="preserve">6</w:t>
            </w:r>
            <w:r/>
          </w:p>
        </w:tc>
      </w:tr>
      <w:tr>
        <w:trPr>
          <w:jc w:val="center"/>
          <w:trHeight w:val="450"/>
        </w:trPr>
        <w:tc>
          <w:tcPr>
            <w:tcW w:w="753" w:type="dxa"/>
            <w:vAlign w:val="center"/>
            <w:textDirection w:val="lrTb"/>
            <w:noWrap/>
          </w:tcPr>
          <w:p>
            <w:pPr>
              <w:jc w:val="center"/>
              <w:widowControl/>
              <w:rPr>
                <w:rFonts w:hint="default" w:ascii="宋体" w:hAnsi="宋体" w:eastAsia="宋体" w:cs="宋体"/>
                <w:b/>
                <w:bCs/>
                <w:color w:val="000000" w:themeColor="text1"/>
                <w:szCs w:val="21"/>
                <w:lang w:val="en-US" w:eastAsia="zh-CN"/>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6.</w:t>
            </w:r>
            <w:r>
              <w:rPr>
                <w:rFonts w:hint="eastAsia" w:ascii="宋体" w:hAnsi="宋体" w:cs="宋体"/>
                <w:b/>
                <w:bCs/>
                <w:color w:val="000000" w:themeColor="text1"/>
                <w:szCs w:val="21"/>
                <w:lang w:val="en-US" w:eastAsia="zh-CN"/>
                <w14:textFill>
                  <w14:solidFill>
                    <w14:schemeClr w14:val="tx1"/>
                  </w14:solidFill>
                </w14:textFill>
              </w:rPr>
              <w:t xml:space="preserve">4</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rFonts w:hint="eastAsia"/>
                <w:b/>
                <w:bCs/>
                <w:color w:val="auto"/>
                <w:sz w:val="21"/>
                <w:szCs w:val="21"/>
                <w:lang w:eastAsia="zh-CN"/>
              </w:rPr>
            </w:pPr>
            <w:r>
              <w:rPr>
                <w:rFonts w:hint="eastAsia"/>
                <w:b/>
                <w:bCs/>
                <w:color w:val="auto"/>
                <w:sz w:val="21"/>
                <w:szCs w:val="21"/>
              </w:rPr>
              <w:t xml:space="preserve">产品安装方案</w:t>
            </w:r>
            <w:r>
              <w:rPr>
                <w:rFonts w:hint="eastAsia"/>
                <w:b/>
                <w:bCs/>
                <w:color w:val="auto"/>
                <w:sz w:val="21"/>
                <w:szCs w:val="21"/>
                <w:lang w:eastAsia="zh-CN"/>
              </w:rPr>
              <w:t xml:space="preserve">：</w:t>
            </w:r>
            <w:r/>
          </w:p>
          <w:p>
            <w:pPr>
              <w:pStyle w:val="1229"/>
              <w:ind w:firstLine="0"/>
              <w:spacing w:line="240" w:lineRule="auto"/>
              <w:rPr>
                <w:color w:val="auto"/>
                <w:sz w:val="21"/>
                <w:szCs w:val="21"/>
              </w:rPr>
            </w:pPr>
            <w:r>
              <w:rPr>
                <w:rFonts w:hint="eastAsia"/>
                <w:color w:val="auto"/>
                <w:sz w:val="21"/>
                <w:szCs w:val="21"/>
              </w:rPr>
              <w:t xml:space="preserve">供应商应根据招标文件要求提供具体详实的产品安装方案：包括：产品的安装措施、</w:t>
            </w:r>
            <w:r>
              <w:rPr>
                <w:rFonts w:hint="eastAsia"/>
                <w:color w:val="auto"/>
                <w:sz w:val="21"/>
                <w:szCs w:val="21"/>
                <w:lang w:val="en-US" w:eastAsia="zh-CN"/>
              </w:rPr>
              <w:t xml:space="preserve">安装</w:t>
            </w:r>
            <w:r>
              <w:rPr>
                <w:rFonts w:hint="eastAsia"/>
                <w:color w:val="auto"/>
                <w:sz w:val="21"/>
                <w:szCs w:val="21"/>
              </w:rPr>
              <w:t xml:space="preserve">工期的安排、拟投入的人员计划；方案需全面详实、安排合理得当、保证项目的顺利实施。以上每项内容逐条阐述。</w:t>
            </w:r>
            <w:r/>
          </w:p>
          <w:p>
            <w:pPr>
              <w:pStyle w:val="1229"/>
              <w:numPr>
                <w:ilvl w:val="0"/>
                <w:numId w:val="8"/>
              </w:numPr>
              <w:ind w:firstLine="0"/>
              <w:spacing w:line="240" w:lineRule="auto"/>
              <w:rPr>
                <w:rFonts w:hint="eastAsia"/>
                <w:color w:val="auto"/>
                <w:sz w:val="21"/>
                <w:szCs w:val="21"/>
                <w:lang w:val="en-US" w:eastAsia="zh-CN"/>
              </w:rPr>
            </w:pPr>
            <w:r>
              <w:rPr>
                <w:rFonts w:hint="eastAsia"/>
                <w:color w:val="auto"/>
                <w:sz w:val="21"/>
                <w:szCs w:val="21"/>
              </w:rPr>
              <w:t xml:space="preserve">安装措施全面详实，严格贴合招标文件及产品安装规范，涵盖全流程，措施科学可行，能有效规避安装风险；项目工期安排合理得当，明确各阶段起止时间、进度节点，有完善的工期管控及延误应对措施，确保按期完成；拟投入人员计划配置充足、专业达标，人员分工清晰，能保障安装工作高效有序推进</w:t>
            </w:r>
            <w:r>
              <w:rPr>
                <w:rFonts w:hint="eastAsia"/>
                <w:color w:val="auto"/>
                <w:sz w:val="21"/>
                <w:szCs w:val="21"/>
                <w:lang w:val="en-US" w:eastAsia="zh-CN"/>
              </w:rPr>
              <w:t xml:space="preserve">得</w:t>
            </w:r>
            <w:r>
              <w:rPr>
                <w:rFonts w:hint="eastAsia"/>
                <w:b w:val="0"/>
                <w:bCs w:val="0"/>
                <w:color w:val="auto"/>
                <w:sz w:val="21"/>
                <w:szCs w:val="21"/>
                <w:lang w:val="en-US" w:eastAsia="zh-CN"/>
              </w:rPr>
              <w:t xml:space="preserve">6</w:t>
            </w:r>
            <w:r>
              <w:rPr>
                <w:rFonts w:hint="eastAsia"/>
                <w:color w:val="auto"/>
                <w:sz w:val="21"/>
                <w:szCs w:val="21"/>
                <w:lang w:val="en-US" w:eastAsia="zh-CN"/>
              </w:rPr>
              <w:t xml:space="preserve">分；</w:t>
            </w:r>
            <w:r/>
          </w:p>
          <w:p>
            <w:pPr>
              <w:pStyle w:val="1229"/>
              <w:ind w:firstLine="0"/>
              <w:spacing w:line="240" w:lineRule="auto"/>
              <w:rPr>
                <w:rFonts w:hint="default"/>
                <w:color w:val="auto"/>
                <w:sz w:val="21"/>
                <w:szCs w:val="21"/>
                <w:lang w:val="en-US" w:eastAsia="zh-CN"/>
              </w:rPr>
            </w:pPr>
            <w:r>
              <w:rPr>
                <w:rFonts w:hint="eastAsia"/>
                <w:color w:val="auto"/>
                <w:sz w:val="21"/>
                <w:szCs w:val="21"/>
                <w:lang w:val="en-US" w:eastAsia="zh-CN"/>
              </w:rPr>
              <w:t xml:space="preserve">2）</w:t>
            </w:r>
            <w:r>
              <w:rPr>
                <w:rFonts w:hint="default"/>
                <w:color w:val="auto"/>
                <w:sz w:val="21"/>
                <w:szCs w:val="21"/>
                <w:lang w:val="en-US" w:eastAsia="zh-CN"/>
              </w:rPr>
              <w:t xml:space="preserve">安装措施明确，基本符合招标文件要求，涵盖安装核心流程，措施基本可行，能应对常见安装问题；项目工期安排基本合理，有基础的工期管控措施，基本能保证按期完成；拟投入人员计划基本满足需求，人员分工基本清晰，配置数量达标，无明显人员短板</w:t>
            </w:r>
            <w:r>
              <w:rPr>
                <w:rFonts w:hint="eastAsia"/>
                <w:color w:val="auto"/>
                <w:sz w:val="21"/>
                <w:szCs w:val="21"/>
                <w:lang w:val="en-US" w:eastAsia="zh-CN"/>
              </w:rPr>
              <w:t xml:space="preserve">得4分；</w:t>
            </w:r>
            <w:r/>
          </w:p>
          <w:p>
            <w:pPr>
              <w:pStyle w:val="1229"/>
              <w:ind w:firstLine="0"/>
              <w:spacing w:line="240" w:lineRule="auto"/>
              <w:rPr>
                <w:rFonts w:hint="eastAsia"/>
                <w:color w:val="auto"/>
                <w:sz w:val="21"/>
                <w:szCs w:val="21"/>
                <w:lang w:val="en-US" w:eastAsia="zh-CN"/>
              </w:rPr>
            </w:pPr>
            <w:r>
              <w:rPr>
                <w:rFonts w:hint="eastAsia"/>
                <w:color w:val="auto"/>
                <w:sz w:val="21"/>
                <w:szCs w:val="21"/>
                <w:lang w:val="en-US" w:eastAsia="zh-CN"/>
              </w:rPr>
              <w:t xml:space="preserve">3）仅覆盖安装措施、工期安排、人员计划三项内容中的部分模块，整体内容缺失较多；方案内容表述笼统粗糙，仅存在基础框架，无细化落地实施细则；安装措施不完善、工期无明确节点管控、人员配置及分工规划模糊，系统性不足；安装工期管控薄弱，仅能勉强满足项目最低安装落地需求，整体实施保障能力不足得2分；</w:t>
            </w:r>
            <w:r/>
          </w:p>
          <w:p>
            <w:pPr>
              <w:pStyle w:val="1229"/>
              <w:ind w:firstLine="0"/>
              <w:spacing w:line="240" w:lineRule="auto"/>
              <w:rPr>
                <w:color w:val="auto"/>
                <w:sz w:val="21"/>
                <w:szCs w:val="21"/>
              </w:rPr>
            </w:pPr>
            <w:r>
              <w:rPr>
                <w:rFonts w:hint="eastAsia"/>
                <w:color w:val="auto"/>
                <w:sz w:val="21"/>
                <w:szCs w:val="21"/>
                <w:lang w:val="en-US" w:eastAsia="zh-CN"/>
              </w:rPr>
              <w:t xml:space="preserve">4</w:t>
            </w:r>
            <w:r>
              <w:rPr>
                <w:rFonts w:hint="eastAsia"/>
                <w:color w:val="auto"/>
                <w:sz w:val="21"/>
                <w:szCs w:val="21"/>
              </w:rPr>
              <w:t xml:space="preserve">）有缺陷（缺陷是指：存在不适用项目实际情况的情形、凭空编造、方案中内容前后不一致、前后逻辑错误、</w:t>
            </w:r>
            <w:r>
              <w:rPr>
                <w:rFonts w:hint="eastAsia"/>
                <w:sz w:val="21"/>
                <w:szCs w:val="21"/>
              </w:rPr>
              <w:t xml:space="preserve">涉及的规范及标准</w:t>
            </w:r>
            <w:r>
              <w:rPr>
                <w:rFonts w:hint="eastAsia"/>
                <w:sz w:val="21"/>
                <w:szCs w:val="21"/>
                <w:lang w:val="en-US" w:eastAsia="zh-CN"/>
              </w:rPr>
              <w:t xml:space="preserve">不完善</w:t>
            </w:r>
            <w:r>
              <w:rPr>
                <w:rFonts w:hint="eastAsia"/>
                <w:sz w:val="21"/>
                <w:szCs w:val="21"/>
              </w:rPr>
              <w:t xml:space="preserve">、不</w:t>
            </w:r>
            <w:r>
              <w:rPr>
                <w:rFonts w:hint="eastAsia"/>
                <w:sz w:val="21"/>
                <w:szCs w:val="21"/>
                <w:lang w:val="en-US" w:eastAsia="zh-CN"/>
              </w:rPr>
              <w:t xml:space="preserve">完全</w:t>
            </w:r>
            <w:r>
              <w:rPr>
                <w:rFonts w:hint="eastAsia"/>
                <w:sz w:val="21"/>
                <w:szCs w:val="21"/>
              </w:rPr>
              <w:t xml:space="preserve">符合项目实际情况等</w:t>
            </w:r>
            <w:r>
              <w:rPr>
                <w:rFonts w:hint="eastAsia"/>
                <w:color w:val="auto"/>
                <w:sz w:val="21"/>
                <w:szCs w:val="21"/>
              </w:rPr>
              <w:t xml:space="preserve">）得</w:t>
            </w:r>
            <w:r>
              <w:rPr>
                <w:rFonts w:hint="eastAsia"/>
                <w:color w:val="auto"/>
                <w:sz w:val="21"/>
                <w:szCs w:val="21"/>
                <w:lang w:val="en-US" w:eastAsia="zh-CN"/>
              </w:rPr>
              <w:t xml:space="preserve">1</w:t>
            </w:r>
            <w:r>
              <w:rPr>
                <w:rFonts w:hint="eastAsia"/>
                <w:color w:val="auto"/>
                <w:sz w:val="21"/>
                <w:szCs w:val="21"/>
              </w:rPr>
              <w:t xml:space="preserve">分；</w:t>
            </w:r>
            <w:r/>
          </w:p>
          <w:p>
            <w:pPr>
              <w:pStyle w:val="1229"/>
              <w:numPr>
                <w:ilvl w:val="0"/>
                <w:numId w:val="0"/>
              </w:numPr>
              <w:ind w:left="0" w:firstLine="0"/>
              <w:spacing w:line="240" w:lineRule="auto"/>
              <w:rPr>
                <w:rFonts w:hint="eastAsia"/>
                <w:sz w:val="21"/>
                <w:szCs w:val="21"/>
                <w:lang w:val="en-US" w:eastAsia="zh-CN"/>
              </w:rPr>
            </w:pPr>
            <w:r>
              <w:rPr>
                <w:rFonts w:hint="eastAsia"/>
                <w:color w:val="auto"/>
                <w:sz w:val="21"/>
                <w:szCs w:val="21"/>
                <w:lang w:val="en-US" w:eastAsia="zh-CN"/>
              </w:rPr>
              <w:t xml:space="preserve">5</w:t>
            </w:r>
            <w:r>
              <w:rPr>
                <w:rFonts w:hint="eastAsia"/>
                <w:color w:val="auto"/>
                <w:sz w:val="21"/>
                <w:szCs w:val="21"/>
              </w:rPr>
              <w:t xml:space="preserve">）未提供的不得分。</w:t>
            </w:r>
            <w:r/>
          </w:p>
        </w:tc>
        <w:tc>
          <w:tcPr>
            <w:tcW w:w="742" w:type="dxa"/>
            <w:vAlign w:val="center"/>
            <w:textDirection w:val="lrTb"/>
            <w:noWrap/>
          </w:tcPr>
          <w:p>
            <w:pPr>
              <w:jc w:val="center"/>
              <w:rPr>
                <w:rFonts w:hint="eastAsia" w:ascii="宋体" w:hAnsi="宋体" w:cs="宋体"/>
                <w:b/>
                <w:bCs/>
                <w:szCs w:val="21"/>
                <w:lang w:val="en-US" w:eastAsia="zh-CN"/>
              </w:rPr>
            </w:pPr>
            <w:r>
              <w:rPr>
                <w:rFonts w:hint="eastAsia" w:ascii="宋体" w:hAnsi="宋体" w:cs="宋体"/>
                <w:b/>
                <w:bCs/>
                <w:szCs w:val="21"/>
                <w:lang w:val="en-US" w:eastAsia="zh-CN"/>
              </w:rPr>
              <w:t xml:space="preserve">6</w:t>
            </w:r>
            <w:r/>
          </w:p>
        </w:tc>
      </w:tr>
      <w:tr>
        <w:trPr>
          <w:jc w:val="center"/>
          <w:trHeight w:val="450"/>
        </w:trPr>
        <w:tc>
          <w:tcPr>
            <w:tcW w:w="753" w:type="dxa"/>
            <w:vAlign w:val="center"/>
            <w:textDirection w:val="lrTb"/>
            <w:noWrap/>
          </w:tcPr>
          <w:p>
            <w:pPr>
              <w:jc w:val="center"/>
              <w:widowControl/>
              <w:rPr>
                <w:rFonts w:hint="eastAsia" w:ascii="宋体" w:hAnsi="宋体" w:eastAsia="宋体" w:cs="宋体"/>
                <w:b/>
                <w:bCs/>
                <w:color w:val="000000" w:themeColor="text1"/>
                <w:szCs w:val="21"/>
                <w:lang w:eastAsia="zh-CN"/>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6</w:t>
            </w:r>
            <w:r>
              <w:rPr>
                <w:rFonts w:hint="eastAsia" w:ascii="宋体" w:hAnsi="宋体" w:cs="宋体"/>
                <w:b/>
                <w:bCs/>
                <w:color w:val="000000" w:themeColor="text1"/>
                <w:szCs w:val="21"/>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5</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售后服务方案</w:t>
            </w:r>
            <w:r/>
          </w:p>
          <w:p>
            <w:pPr>
              <w:pStyle w:val="1229"/>
              <w:ind w:firstLine="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供应商应根据招标文件要求提供具体详实的售后服务方案：包括：1.售后服务响应时间；2.售后服务体系；3.故障解决方案；4.人员保障方案。以上每项内容逐条阐述。</w:t>
            </w:r>
            <w:r/>
          </w:p>
          <w:p>
            <w:pPr>
              <w:pStyle w:val="1229"/>
              <w:ind w:firstLine="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cs="宋体"/>
                <w:b w:val="0"/>
                <w:bCs w:val="0"/>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229"/>
              <w:ind w:firstLine="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2）售后有明确响应时间，基本符合要求，响应效率基本可行；售后体系基本完整，有基础分工，流程较简单。有基础解决方案，可处理常见故障，效率一般。有基础保障人员，人员专业配置基本满足需求的得</w:t>
            </w:r>
            <w:r>
              <w:rPr>
                <w:rFonts w:hint="eastAsia"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1229"/>
              <w:ind w:firstLine="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w:t>
            </w:r>
            <w:r>
              <w:rPr>
                <w:rFonts w:hint="eastAsia"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1229"/>
              <w:ind w:firstLine="0"/>
              <w:spacing w:line="240" w:lineRule="auto"/>
              <w:rPr>
                <w:rFonts w:hint="eastAsia" w:ascii="宋体" w:hAnsi="宋体" w:eastAsia="宋体" w:cs="宋体"/>
                <w:color w:val="auto"/>
                <w:sz w:val="21"/>
                <w:szCs w:val="21"/>
              </w:rPr>
            </w:pPr>
            <w:r>
              <w:rPr>
                <w:rFonts w:hint="eastAsia" w:cs="宋体"/>
                <w:color w:val="auto"/>
                <w:sz w:val="21"/>
                <w:szCs w:val="21"/>
                <w:lang w:val="en-US" w:eastAsia="zh-CN"/>
              </w:rPr>
              <w:t xml:space="preserve">4）</w:t>
            </w:r>
            <w:r>
              <w:rPr>
                <w:rFonts w:hint="eastAsia" w:ascii="宋体" w:hAnsi="宋体" w:eastAsia="宋体" w:cs="宋体"/>
                <w:color w:val="auto"/>
                <w:sz w:val="21"/>
                <w:szCs w:val="21"/>
              </w:rPr>
              <w:t xml:space="preserve">有缺陷（缺陷是指：存在不适用项目实际情况的情形、凭空编造、方案中内容前后不一致、前后逻辑错误、</w:t>
            </w:r>
            <w:r>
              <w:rPr>
                <w:rFonts w:hint="eastAsia"/>
                <w:sz w:val="21"/>
                <w:szCs w:val="21"/>
              </w:rPr>
              <w:t xml:space="preserve">涉及的规范及标准</w:t>
            </w:r>
            <w:r>
              <w:rPr>
                <w:rFonts w:hint="eastAsia"/>
                <w:sz w:val="21"/>
                <w:szCs w:val="21"/>
                <w:lang w:val="en-US" w:eastAsia="zh-CN"/>
              </w:rPr>
              <w:t xml:space="preserve">不完善</w:t>
            </w:r>
            <w:r>
              <w:rPr>
                <w:rFonts w:hint="eastAsia"/>
                <w:sz w:val="21"/>
                <w:szCs w:val="21"/>
              </w:rPr>
              <w:t xml:space="preserve">、不</w:t>
            </w:r>
            <w:r>
              <w:rPr>
                <w:rFonts w:hint="eastAsia"/>
                <w:sz w:val="21"/>
                <w:szCs w:val="21"/>
                <w:lang w:val="en-US" w:eastAsia="zh-CN"/>
              </w:rPr>
              <w:t xml:space="preserve">完全</w:t>
            </w:r>
            <w:r>
              <w:rPr>
                <w:rFonts w:hint="eastAsia"/>
                <w:sz w:val="21"/>
                <w:szCs w:val="21"/>
              </w:rPr>
              <w:t xml:space="preserve">符合项目实际情况等</w:t>
            </w:r>
            <w:r>
              <w:rPr>
                <w:rFonts w:hint="eastAsia" w:ascii="宋体" w:hAnsi="宋体" w:eastAsia="宋体" w:cs="宋体"/>
                <w:color w:val="auto"/>
                <w:sz w:val="21"/>
                <w:szCs w:val="21"/>
              </w:rPr>
              <w:t xml:space="preserve">）得</w:t>
            </w:r>
            <w:r>
              <w:rPr>
                <w:rFonts w:hint="eastAsia"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pStyle w:val="1229"/>
              <w:ind w:firstLine="0"/>
              <w:spacing w:line="240" w:lineRule="auto"/>
              <w:rPr>
                <w:sz w:val="21"/>
                <w:szCs w:val="21"/>
              </w:rPr>
            </w:pPr>
            <w:r>
              <w:rPr>
                <w:rFonts w:hint="eastAsia" w:cs="宋体"/>
                <w:color w:val="auto"/>
                <w:sz w:val="21"/>
                <w:szCs w:val="21"/>
                <w:lang w:val="en-US" w:eastAsia="zh-CN"/>
              </w:rPr>
              <w:t xml:space="preserve">5</w:t>
            </w:r>
            <w:r>
              <w:rPr>
                <w:rFonts w:hint="eastAsia" w:ascii="宋体" w:hAnsi="宋体" w:eastAsia="宋体" w:cs="宋体"/>
                <w:color w:val="auto"/>
                <w:sz w:val="21"/>
                <w:szCs w:val="21"/>
              </w:rPr>
              <w:t xml:space="preserve">）未提供的不得分。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lang w:val="en-US" w:eastAsia="zh-CN"/>
              </w:rPr>
              <w:t xml:space="preserve">6</w:t>
            </w:r>
            <w:r/>
          </w:p>
        </w:tc>
      </w:tr>
      <w:tr>
        <w:trPr>
          <w:jc w:val="center"/>
          <w:trHeight w:val="397"/>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7</w:t>
            </w:r>
            <w:r>
              <w:rPr>
                <w:rFonts w:hint="eastAsia" w:ascii="宋体" w:hAnsi="宋体" w:cs="宋体"/>
                <w:b/>
                <w:bCs/>
                <w:color w:val="000000" w:themeColor="text1"/>
                <w:szCs w:val="21"/>
                <w14:textFill>
                  <w14:solidFill>
                    <w14:schemeClr w14:val="tx1"/>
                  </w14:solidFill>
                </w14:textFill>
              </w:rPr>
              <w:t xml:space="preserve">.1</w:t>
            </w:r>
            <w:r/>
          </w:p>
        </w:tc>
        <w:tc>
          <w:tcPr>
            <w:tcW w:w="1192" w:type="dxa"/>
            <w:vAlign w:val="center"/>
            <w:vMerge w:val="restart"/>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样品12分</w:t>
            </w:r>
            <w:r/>
          </w:p>
        </w:tc>
        <w:tc>
          <w:tcPr>
            <w:tcW w:w="6983" w:type="dxa"/>
            <w:vAlign w:val="center"/>
            <w:textDirection w:val="lrTb"/>
            <w:noWrap/>
          </w:tcPr>
          <w:p>
            <w:pPr>
              <w:pStyle w:val="1229"/>
              <w:ind w:firstLine="0"/>
              <w:spacing w:line="240" w:lineRule="auto"/>
              <w:rPr>
                <w:sz w:val="21"/>
                <w:szCs w:val="21"/>
              </w:rPr>
            </w:pPr>
            <w:r>
              <w:rPr>
                <w:rFonts w:hint="eastAsia"/>
                <w:sz w:val="21"/>
                <w:szCs w:val="21"/>
              </w:rPr>
              <w:t xml:space="preserve">样品1，根据样品的外观、制作工艺要求，优于招标文件要求的得2分，符合招标文件要求每个得1分，不符合或未提供的不得分。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2</w:t>
            </w:r>
            <w:r/>
          </w:p>
        </w:tc>
      </w:tr>
      <w:tr>
        <w:trPr>
          <w:jc w:val="center"/>
          <w:trHeight w:val="397"/>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7</w:t>
            </w:r>
            <w:r>
              <w:rPr>
                <w:rFonts w:hint="eastAsia" w:ascii="宋体" w:hAnsi="宋体" w:cs="宋体"/>
                <w:b/>
                <w:bCs/>
                <w:color w:val="000000" w:themeColor="text1"/>
                <w:szCs w:val="21"/>
                <w14:textFill>
                  <w14:solidFill>
                    <w14:schemeClr w14:val="tx1"/>
                  </w14:solidFill>
                </w14:textFill>
              </w:rPr>
              <w:t xml:space="preserve">.2</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sz w:val="21"/>
                <w:szCs w:val="21"/>
              </w:rPr>
            </w:pPr>
            <w:r>
              <w:rPr>
                <w:rFonts w:hint="eastAsia"/>
                <w:sz w:val="21"/>
                <w:szCs w:val="21"/>
              </w:rPr>
              <w:t xml:space="preserve">样品2，根据样品的外观、制作工艺要求，优于招标文件要求的得2分，符合招标文件要求得1分，不符合或未提供的不得分。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2</w:t>
            </w:r>
            <w:r/>
          </w:p>
        </w:tc>
      </w:tr>
      <w:tr>
        <w:trPr>
          <w:jc w:val="center"/>
          <w:trHeight w:val="397"/>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7</w:t>
            </w:r>
            <w:r>
              <w:rPr>
                <w:rFonts w:hint="eastAsia" w:ascii="宋体" w:hAnsi="宋体" w:cs="宋体"/>
                <w:b/>
                <w:bCs/>
                <w:color w:val="000000" w:themeColor="text1"/>
                <w:szCs w:val="21"/>
                <w14:textFill>
                  <w14:solidFill>
                    <w14:schemeClr w14:val="tx1"/>
                  </w14:solidFill>
                </w14:textFill>
              </w:rPr>
              <w:t xml:space="preserve">.3</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sz w:val="21"/>
                <w:szCs w:val="21"/>
              </w:rPr>
            </w:pPr>
            <w:r>
              <w:rPr>
                <w:rFonts w:hint="eastAsia"/>
                <w:sz w:val="21"/>
                <w:szCs w:val="21"/>
              </w:rPr>
              <w:t xml:space="preserve">样品3，根据样品的外观、制作工艺要求，优于招标文件要求的得2分，符合招标文件要求得1分，不符合或未提供的不得分。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2</w:t>
            </w:r>
            <w:r/>
          </w:p>
        </w:tc>
      </w:tr>
      <w:tr>
        <w:trPr>
          <w:jc w:val="center"/>
          <w:trHeight w:val="397"/>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7</w:t>
            </w:r>
            <w:r>
              <w:rPr>
                <w:rFonts w:hint="eastAsia" w:ascii="宋体" w:hAnsi="宋体" w:cs="宋体"/>
                <w:b/>
                <w:bCs/>
                <w:color w:val="000000" w:themeColor="text1"/>
                <w:szCs w:val="21"/>
                <w14:textFill>
                  <w14:solidFill>
                    <w14:schemeClr w14:val="tx1"/>
                  </w14:solidFill>
                </w14:textFill>
              </w:rPr>
              <w:t xml:space="preserve">.4</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sz w:val="21"/>
                <w:szCs w:val="21"/>
              </w:rPr>
            </w:pPr>
            <w:r>
              <w:rPr>
                <w:rFonts w:hint="eastAsia"/>
                <w:sz w:val="21"/>
                <w:szCs w:val="21"/>
              </w:rPr>
              <w:t xml:space="preserve">样品4，根据样品的外观、制作工艺要求，优于招标文件要求的得2分，符合招标文件要求得1分，不符合或未提供的不得分。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2</w:t>
            </w:r>
            <w:r/>
          </w:p>
        </w:tc>
      </w:tr>
      <w:tr>
        <w:trPr>
          <w:jc w:val="center"/>
          <w:trHeight w:val="397"/>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7</w:t>
            </w:r>
            <w:r>
              <w:rPr>
                <w:rFonts w:hint="eastAsia" w:ascii="宋体" w:hAnsi="宋体" w:cs="宋体"/>
                <w:b/>
                <w:bCs/>
                <w:color w:val="000000" w:themeColor="text1"/>
                <w:szCs w:val="21"/>
                <w14:textFill>
                  <w14:solidFill>
                    <w14:schemeClr w14:val="tx1"/>
                  </w14:solidFill>
                </w14:textFill>
              </w:rPr>
              <w:t xml:space="preserve">.5</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sz w:val="21"/>
                <w:szCs w:val="21"/>
              </w:rPr>
            </w:pPr>
            <w:r>
              <w:rPr>
                <w:rFonts w:hint="eastAsia"/>
                <w:sz w:val="21"/>
                <w:szCs w:val="21"/>
              </w:rPr>
              <w:t xml:space="preserve">样品5，根据样品的外观、制作工艺要求，优于招标文件要求的得2分，符合招标文件要求得1分，不符合或未提供的不得分。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2</w:t>
            </w:r>
            <w:r/>
          </w:p>
        </w:tc>
      </w:tr>
      <w:tr>
        <w:trPr>
          <w:jc w:val="center"/>
          <w:trHeight w:val="397"/>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7</w:t>
            </w:r>
            <w:r>
              <w:rPr>
                <w:rFonts w:hint="eastAsia" w:ascii="宋体" w:hAnsi="宋体" w:cs="宋体"/>
                <w:b/>
                <w:bCs/>
                <w:color w:val="000000" w:themeColor="text1"/>
                <w:szCs w:val="21"/>
                <w14:textFill>
                  <w14:solidFill>
                    <w14:schemeClr w14:val="tx1"/>
                  </w14:solidFill>
                </w14:textFill>
              </w:rPr>
              <w:t xml:space="preserve">.6</w:t>
            </w:r>
            <w:r/>
          </w:p>
        </w:tc>
        <w:tc>
          <w:tcPr>
            <w:tcW w:w="1192" w:type="dxa"/>
            <w:vAlign w:val="center"/>
            <w:vMerge w:val="continue"/>
            <w:textDirection w:val="lrTb"/>
            <w:noWrap/>
          </w:tcPr>
          <w:p>
            <w:pPr>
              <w:jc w:val="left"/>
              <w:spacing w:line="360" w:lineRule="auto"/>
              <w:widowControl/>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tcW w:w="6983" w:type="dxa"/>
            <w:vAlign w:val="center"/>
            <w:textDirection w:val="lrTb"/>
            <w:noWrap/>
          </w:tcPr>
          <w:p>
            <w:pPr>
              <w:pStyle w:val="1229"/>
              <w:ind w:firstLine="0"/>
              <w:spacing w:line="240" w:lineRule="auto"/>
              <w:rPr>
                <w:sz w:val="21"/>
                <w:szCs w:val="21"/>
              </w:rPr>
            </w:pPr>
            <w:r>
              <w:rPr>
                <w:rFonts w:hint="eastAsia"/>
                <w:sz w:val="21"/>
                <w:szCs w:val="21"/>
              </w:rPr>
              <w:t xml:space="preserve">样品6，根据样品的外观、制作工艺要求，优于招标文件要求的得2分，符合招标文件要求得1分，不符合或未提供的不得分。</w:t>
            </w:r>
            <w:r/>
          </w:p>
        </w:tc>
        <w:tc>
          <w:tcPr>
            <w:tcW w:w="7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2</w:t>
            </w:r>
            <w:r/>
          </w:p>
        </w:tc>
      </w:tr>
      <w:tr>
        <w:trPr>
          <w:jc w:val="center"/>
          <w:trHeight w:val="397"/>
        </w:trPr>
        <w:tc>
          <w:tcPr>
            <w:tcW w:w="753" w:type="dxa"/>
            <w:vAlign w:val="center"/>
            <w:textDirection w:val="lrTb"/>
            <w:noWrap/>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8</w:t>
            </w:r>
            <w:r/>
          </w:p>
        </w:tc>
        <w:tc>
          <w:tcPr>
            <w:tcW w:w="1192" w:type="dxa"/>
            <w:vAlign w:val="center"/>
            <w:textDirection w:val="lrTb"/>
            <w:noWrap/>
          </w:tcPr>
          <w:p>
            <w:pPr>
              <w:jc w:val="left"/>
              <w:spacing w:line="360" w:lineRule="auto"/>
              <w:widowControl/>
              <w:rPr>
                <w:rFonts w:ascii="宋体" w:hAnsi="宋体" w:cs="宋体"/>
                <w:b/>
                <w:bCs/>
                <w:szCs w:val="21"/>
              </w:rPr>
            </w:pPr>
            <w:r>
              <w:rPr>
                <w:rFonts w:hint="eastAsia" w:ascii="宋体" w:hAnsi="宋体" w:cs="宋体"/>
                <w:b/>
                <w:bCs/>
                <w:szCs w:val="21"/>
              </w:rPr>
              <w:t xml:space="preserve">节能环保</w:t>
            </w:r>
            <w:r/>
          </w:p>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 xml:space="preserve">1分</w:t>
            </w:r>
            <w:r/>
          </w:p>
        </w:tc>
        <w:tc>
          <w:tcPr>
            <w:tcW w:w="6983" w:type="dxa"/>
            <w:vAlign w:val="center"/>
            <w:textDirection w:val="lrTb"/>
            <w:noWrap/>
          </w:tcPr>
          <w:p>
            <w:pPr>
              <w:pStyle w:val="1229"/>
              <w:ind w:firstLine="0"/>
              <w:spacing w:line="240" w:lineRule="auto"/>
              <w:rPr>
                <w:sz w:val="21"/>
                <w:szCs w:val="21"/>
              </w:rPr>
            </w:pPr>
            <w:r>
              <w:rPr>
                <w:rFonts w:hint="eastAsia"/>
                <w:sz w:val="21"/>
                <w:szCs w:val="21"/>
              </w:rPr>
              <w:t xml:space="preserve">1投标产品属于财政部、国家发改委公布的“节能产品品目清单”范围内的，投标人提供国家确定的认证机构出具的、处于有效期之内的该节能产品认证证书复印件的，有1个得0.5分，最多得0.5分。</w:t>
            </w:r>
            <w:r>
              <w:rPr>
                <w:rFonts w:hint="eastAsia"/>
                <w:b/>
                <w:bCs/>
                <w:sz w:val="21"/>
                <w:szCs w:val="21"/>
              </w:rPr>
              <w:t xml:space="preserve">如投标产品均属于政府强制采购节能产品品目清单范围内，本项不得分。</w:t>
            </w:r>
            <w:r/>
          </w:p>
          <w:p>
            <w:pPr>
              <w:pStyle w:val="1229"/>
              <w:ind w:firstLine="0"/>
              <w:spacing w:line="240" w:lineRule="auto"/>
              <w:rPr>
                <w:rFonts w:hint="eastAsia"/>
                <w:sz w:val="21"/>
                <w:szCs w:val="21"/>
              </w:rPr>
            </w:pPr>
            <w:r>
              <w:rPr>
                <w:rFonts w:hint="eastAsia"/>
                <w:sz w:val="21"/>
                <w:szCs w:val="21"/>
              </w:rPr>
              <w:t xml:space="preserve">2投标产品属于财政部、生态环境部公布的“环境标志产品品目清单”范围内的，投标人提供国家确定的认证机构出具的、处于有效期内的该环保产品认证证书复印件的，有1个得0.5分，最多得0.5分。</w:t>
            </w:r>
            <w:r/>
          </w:p>
        </w:tc>
        <w:tc>
          <w:tcPr>
            <w:tcW w:w="742" w:type="dxa"/>
            <w:vAlign w:val="center"/>
            <w:textDirection w:val="lrTb"/>
            <w:noWrap/>
          </w:tcPr>
          <w:p>
            <w:pPr>
              <w:jc w:val="center"/>
              <w:rPr>
                <w:rFonts w:hint="eastAsia" w:ascii="宋体" w:hAnsi="宋体" w:cs="宋体"/>
                <w:b/>
                <w:bCs/>
                <w:szCs w:val="21"/>
              </w:rPr>
            </w:pPr>
            <w:r>
              <w:rPr>
                <w:rFonts w:hint="eastAsia" w:ascii="宋体" w:hAnsi="宋体" w:cs="宋体"/>
                <w:b/>
                <w:bCs/>
                <w:color w:val="000000" w:themeColor="text1"/>
                <w:szCs w:val="21"/>
                <w14:textFill>
                  <w14:solidFill>
                    <w14:schemeClr w14:val="tx1"/>
                  </w14:solidFill>
                </w14:textFill>
              </w:rPr>
              <w:t xml:space="preserve">1</w:t>
            </w:r>
            <w:r/>
          </w:p>
        </w:tc>
      </w:tr>
      <w:tr>
        <w:trPr>
          <w:jc w:val="center"/>
          <w:trHeight w:val="673"/>
        </w:trPr>
        <w:tc>
          <w:tcPr>
            <w:tcW w:w="753" w:type="dxa"/>
            <w:vAlign w:val="center"/>
            <w:textDirection w:val="lrTb"/>
            <w:noWrap/>
          </w:tcPr>
          <w:p>
            <w:pPr>
              <w:jc w:val="center"/>
              <w:widowControl/>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9</w:t>
            </w:r>
            <w:r/>
          </w:p>
        </w:tc>
        <w:tc>
          <w:tcPr>
            <w:tcW w:w="1192" w:type="dxa"/>
            <w:vAlign w:val="center"/>
            <w:textDirection w:val="lrTb"/>
            <w:noWrap/>
          </w:tcPr>
          <w:p>
            <w:pPr>
              <w:jc w:val="center"/>
              <w:spacing w:line="360" w:lineRule="auto"/>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合计</w:t>
            </w:r>
            <w:r/>
          </w:p>
        </w:tc>
        <w:tc>
          <w:tcPr>
            <w:tcW w:w="6983" w:type="dxa"/>
            <w:vAlign w:val="center"/>
            <w:textDirection w:val="lrTb"/>
            <w:noWrap/>
          </w:tcPr>
          <w:p>
            <w:pPr>
              <w:rPr>
                <w:rFonts w:ascii="宋体" w:hAnsi="宋体" w:cs="宋体"/>
                <w:szCs w:val="21"/>
              </w:rPr>
            </w:pPr>
            <w:r>
              <w:rPr>
                <w:rFonts w:ascii="宋体" w:hAnsi="宋体" w:cs="宋体"/>
                <w:szCs w:val="21"/>
              </w:rPr>
            </w:r>
            <w:r/>
          </w:p>
        </w:tc>
        <w:tc>
          <w:tcPr>
            <w:tcW w:w="742"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100</w:t>
            </w:r>
            <w:r/>
          </w:p>
        </w:tc>
      </w:tr>
    </w:tbl>
    <w:p>
      <w:pPr>
        <w:ind w:firstLine="420"/>
        <w:spacing w:line="360" w:lineRule="auto"/>
        <w:rPr>
          <w:rFonts w:ascii="宋体" w:hAnsi="宋体" w:cs="宋体"/>
        </w:rPr>
      </w:pPr>
      <w:r>
        <w:rPr>
          <w:rFonts w:ascii="宋体" w:hAnsi="宋体" w:cs="宋体"/>
        </w:rPr>
      </w:r>
      <w:r/>
    </w:p>
    <w:p>
      <w:pPr>
        <w:ind w:firstLine="440"/>
        <w:spacing w:line="360" w:lineRule="auto"/>
        <w:rPr>
          <w:rFonts w:ascii="宋体" w:hAnsi="宋体" w:cs="宋体"/>
          <w:bCs/>
          <w:sz w:val="22"/>
          <w:szCs w:val="28"/>
        </w:rPr>
      </w:pPr>
      <w:r>
        <w:rPr>
          <w:rFonts w:hint="eastAsia" w:ascii="宋体" w:hAnsi="宋体" w:cs="宋体"/>
          <w:bCs/>
          <w:sz w:val="22"/>
          <w:szCs w:val="28"/>
        </w:rPr>
        <w:t xml:space="preserve">说明：1.所有认证、证明和业绩均以有效清晰的证明文件的复印件为依据，原件备查。</w:t>
      </w:r>
      <w:r/>
    </w:p>
    <w:p>
      <w:pPr>
        <w:ind w:firstLine="440"/>
        <w:spacing w:line="360" w:lineRule="auto"/>
        <w:rPr>
          <w:rFonts w:ascii="宋体" w:hAnsi="宋体" w:cs="宋体"/>
          <w:bCs/>
          <w:sz w:val="22"/>
          <w:szCs w:val="28"/>
        </w:rPr>
      </w:pPr>
      <w:r>
        <w:rPr>
          <w:rFonts w:hint="eastAsia" w:ascii="宋体" w:hAnsi="宋体" w:cs="宋体"/>
          <w:bCs/>
          <w:sz w:val="22"/>
          <w:szCs w:val="28"/>
        </w:rPr>
        <w:t xml:space="preserve">2.小微企业价格扣除</w:t>
      </w:r>
      <w:r/>
    </w:p>
    <w:p>
      <w:pPr>
        <w:ind w:firstLine="440"/>
        <w:spacing w:line="360" w:lineRule="auto"/>
        <w:rPr>
          <w:rFonts w:ascii="宋体" w:hAnsi="宋体" w:cs="宋体"/>
          <w:bCs/>
        </w:rPr>
      </w:pPr>
      <w:r>
        <w:rPr>
          <w:rFonts w:hint="eastAsia" w:ascii="宋体" w:hAnsi="宋体" w:cs="宋体"/>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ascii="宋体" w:hAnsi="宋体" w:cs="宋体"/>
          <w:bCs/>
          <w:sz w:val="22"/>
          <w:szCs w:val="28"/>
        </w:rPr>
      </w:pPr>
      <w:r>
        <w:rPr>
          <w:rFonts w:hint="eastAsia" w:ascii="宋体" w:hAnsi="宋体" w:cs="宋体"/>
          <w:bCs/>
          <w:sz w:val="22"/>
          <w:szCs w:val="28"/>
        </w:rPr>
        <w:t xml:space="preserve">3.监狱和戒毒企业的价格扣除</w:t>
      </w:r>
      <w:r/>
    </w:p>
    <w:p>
      <w:pPr>
        <w:ind w:firstLine="440"/>
        <w:spacing w:line="360" w:lineRule="auto"/>
        <w:rPr>
          <w:rFonts w:ascii="宋体" w:hAnsi="宋体" w:cs="宋体"/>
          <w:bCs/>
          <w:sz w:val="22"/>
          <w:szCs w:val="28"/>
        </w:rPr>
      </w:pPr>
      <w:r>
        <w:rPr>
          <w:rFonts w:hint="eastAsia" w:ascii="宋体" w:hAnsi="宋体" w:cs="宋体"/>
          <w:bCs/>
          <w:sz w:val="22"/>
          <w:szCs w:val="28"/>
        </w:rPr>
        <w:t xml:space="preserve">3.1 本项目对监狱和戒毒企业，给予10%的价格扣除，用扣除后的价格参与评审。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3.2 监狱企业需提供由省级以上监狱管理局、戒毒管理局（含新疆生产建设兵团）出具的属于监狱企业的证明文件。</w:t>
      </w:r>
      <w:r/>
    </w:p>
    <w:p>
      <w:pPr>
        <w:ind w:firstLine="440"/>
        <w:spacing w:line="360" w:lineRule="auto"/>
        <w:rPr>
          <w:rFonts w:ascii="宋体" w:hAnsi="宋体" w:cs="宋体"/>
          <w:bCs/>
          <w:sz w:val="22"/>
          <w:szCs w:val="28"/>
        </w:rPr>
      </w:pPr>
      <w:r>
        <w:rPr>
          <w:rFonts w:hint="eastAsia" w:ascii="宋体" w:hAnsi="宋体" w:cs="宋体"/>
          <w:bCs/>
          <w:sz w:val="22"/>
          <w:szCs w:val="28"/>
        </w:rPr>
        <w:t xml:space="preserve">3.3 监狱企业标准请参照《关于政府采购支持监狱企业发展有关问题的通知》（财库〔2014〕68号）。</w:t>
      </w:r>
      <w:r/>
    </w:p>
    <w:p>
      <w:pPr>
        <w:ind w:firstLine="440"/>
        <w:spacing w:line="360" w:lineRule="auto"/>
        <w:rPr>
          <w:rFonts w:ascii="宋体" w:hAnsi="宋体" w:cs="宋体"/>
          <w:bCs/>
          <w:sz w:val="22"/>
          <w:szCs w:val="28"/>
        </w:rPr>
      </w:pPr>
      <w:r>
        <w:rPr>
          <w:rFonts w:hint="eastAsia" w:ascii="宋体" w:hAnsi="宋体" w:cs="宋体"/>
          <w:bCs/>
          <w:sz w:val="22"/>
          <w:szCs w:val="28"/>
        </w:rPr>
        <w:t xml:space="preserve">4.残疾人福利性单位的价格扣除</w:t>
      </w:r>
      <w:r/>
    </w:p>
    <w:p>
      <w:pPr>
        <w:ind w:firstLine="440"/>
        <w:spacing w:line="360" w:lineRule="auto"/>
        <w:rPr>
          <w:rFonts w:ascii="宋体" w:hAnsi="宋体" w:cs="宋体"/>
          <w:bCs/>
          <w:sz w:val="22"/>
          <w:szCs w:val="28"/>
        </w:rPr>
      </w:pPr>
      <w:r>
        <w:rPr>
          <w:rFonts w:hint="eastAsia" w:ascii="宋体" w:hAnsi="宋体" w:cs="宋体"/>
          <w:bCs/>
          <w:sz w:val="22"/>
          <w:szCs w:val="28"/>
        </w:rPr>
        <w:t xml:space="preserve">4.1 本项目对残疾人福利性单位，给予10%的价格扣除，用扣除后的价格参与评审。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4.2 残疾人福利性单位需提供《残疾人福利性单位声明函》</w:t>
      </w:r>
      <w:r/>
    </w:p>
    <w:p>
      <w:pPr>
        <w:ind w:firstLine="440"/>
        <w:spacing w:line="360" w:lineRule="auto"/>
        <w:rPr>
          <w:rFonts w:ascii="宋体" w:hAnsi="宋体" w:cs="宋体"/>
          <w:bCs/>
          <w:sz w:val="22"/>
          <w:szCs w:val="28"/>
        </w:rPr>
      </w:pPr>
      <w:r>
        <w:rPr>
          <w:rFonts w:hint="eastAsia" w:ascii="宋体" w:hAnsi="宋体" w:cs="宋体"/>
          <w:bCs/>
          <w:sz w:val="22"/>
          <w:szCs w:val="28"/>
        </w:rPr>
        <w:t xml:space="preserve">4.3 残疾人福利性单位标准请参照《关于促进残疾人就业政府采购政策的通知》（财库〔2017〕141号）。</w:t>
      </w:r>
      <w:r/>
    </w:p>
    <w:p>
      <w:pPr>
        <w:ind w:firstLine="440"/>
        <w:spacing w:line="360" w:lineRule="auto"/>
        <w:rPr>
          <w:rFonts w:ascii="宋体" w:hAnsi="宋体" w:cs="宋体"/>
          <w:bCs/>
          <w:sz w:val="22"/>
          <w:szCs w:val="28"/>
        </w:rPr>
      </w:pPr>
      <w:r>
        <w:rPr>
          <w:rFonts w:hint="eastAsia" w:ascii="宋体" w:hAnsi="宋体" w:cs="宋体"/>
          <w:bCs/>
          <w:sz w:val="22"/>
          <w:szCs w:val="28"/>
        </w:rPr>
        <w:t xml:space="preserve">5. 监狱企业、残疾人福利性单位属于小型、微型企业的，不重复享受政策。</w:t>
      </w:r>
      <w:r/>
    </w:p>
    <w:p>
      <w:pPr>
        <w:ind w:firstLine="440"/>
        <w:spacing w:line="360" w:lineRule="auto"/>
        <w:rPr>
          <w:rFonts w:ascii="宋体" w:hAnsi="宋体" w:cs="宋体"/>
          <w:bCs/>
          <w:sz w:val="22"/>
          <w:szCs w:val="28"/>
        </w:rPr>
      </w:pPr>
      <w:r>
        <w:rPr>
          <w:rFonts w:hint="eastAsia" w:ascii="宋体" w:hAnsi="宋体" w:cs="宋体"/>
          <w:bCs/>
          <w:sz w:val="22"/>
          <w:szCs w:val="28"/>
        </w:rPr>
        <w:t xml:space="preserve">6.本国产品的价格扣除</w:t>
      </w:r>
      <w:r/>
    </w:p>
    <w:p>
      <w:pPr>
        <w:ind w:firstLine="440"/>
        <w:spacing w:line="360" w:lineRule="auto"/>
        <w:rPr>
          <w:rFonts w:ascii="宋体" w:hAnsi="宋体" w:cs="宋体"/>
          <w:bCs/>
          <w:sz w:val="22"/>
          <w:szCs w:val="28"/>
        </w:rPr>
      </w:pPr>
      <w:r>
        <w:rPr>
          <w:rFonts w:hint="eastAsia" w:ascii="宋体" w:hAnsi="宋体" w:cs="宋体"/>
          <w:bCs/>
          <w:sz w:val="22"/>
          <w:szCs w:val="28"/>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ascii="宋体" w:hAnsi="宋体" w:cs="宋体"/>
          <w:bCs/>
          <w:sz w:val="22"/>
          <w:szCs w:val="28"/>
        </w:rPr>
      </w:pPr>
      <w:r>
        <w:rPr>
          <w:rFonts w:hint="eastAsia" w:ascii="宋体" w:hAnsi="宋体" w:cs="宋体"/>
          <w:bCs/>
          <w:sz w:val="22"/>
          <w:szCs w:val="28"/>
        </w:rPr>
        <w:t xml:space="preserve">6.2 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bCs/>
          <w:sz w:val="22"/>
          <w:szCs w:val="28"/>
        </w:rPr>
      </w:pPr>
      <w:r>
        <w:rPr>
          <w:rFonts w:hint="eastAsia" w:ascii="宋体" w:hAnsi="宋体" w:cs="宋体"/>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sz w:val="22"/>
          <w:szCs w:val="28"/>
        </w:rPr>
      </w:pPr>
      <w:r>
        <w:rPr>
          <w:rFonts w:hint="eastAsia" w:ascii="宋体" w:hAnsi="宋体" w:cs="宋体"/>
          <w:bCs/>
          <w:sz w:val="22"/>
          <w:szCs w:val="28"/>
        </w:rPr>
        <w:br w:type="page" w:clear="all"/>
      </w:r>
      <w:r/>
    </w:p>
    <w:p>
      <w:pPr>
        <w:ind w:firstLine="440"/>
        <w:spacing w:line="360" w:lineRule="auto"/>
        <w:rPr>
          <w:rFonts w:ascii="宋体" w:hAnsi="宋体" w:cs="宋体"/>
          <w:bCs/>
          <w:sz w:val="22"/>
          <w:szCs w:val="28"/>
        </w:rPr>
      </w:pPr>
      <w:r>
        <w:rPr>
          <w:rFonts w:ascii="宋体" w:hAnsi="宋体" w:cs="宋体"/>
          <w:bCs/>
          <w:sz w:val="22"/>
          <w:szCs w:val="28"/>
        </w:rPr>
      </w:r>
      <w:r/>
    </w:p>
    <w:p>
      <w:pPr>
        <w:pStyle w:val="959"/>
        <w:numPr>
          <w:ilvl w:val="0"/>
          <w:numId w:val="0"/>
        </w:numPr>
        <w:rPr>
          <w:rFonts w:ascii="宋体" w:hAnsi="宋体" w:cs="宋体"/>
        </w:rPr>
      </w:pPr>
      <w:r/>
      <w:bookmarkStart w:id="20" w:name="_Toc20257"/>
      <w:r>
        <w:rPr>
          <w:rFonts w:hint="eastAsia" w:ascii="宋体" w:hAnsi="宋体" w:cs="宋体"/>
        </w:rPr>
        <w:t xml:space="preserve">第四章 采购需求</w:t>
      </w:r>
      <w:bookmarkEnd w:id="20"/>
      <w:r/>
      <w:r/>
    </w:p>
    <w:p>
      <w:pPr>
        <w:spacing w:line="500" w:lineRule="exact"/>
        <w:rPr>
          <w:rFonts w:ascii="宋体" w:hAnsi="宋体" w:cs="宋体"/>
          <w:b/>
          <w:szCs w:val="21"/>
        </w:rPr>
      </w:pPr>
      <w:r>
        <w:rPr>
          <w:rFonts w:hint="eastAsia" w:ascii="宋体" w:hAnsi="宋体" w:cs="宋体"/>
          <w:b/>
          <w:szCs w:val="21"/>
        </w:rPr>
        <w:t xml:space="preserve">一、项目需求</w:t>
      </w:r>
      <w:r/>
    </w:p>
    <w:p>
      <w:pPr>
        <w:spacing w:line="500" w:lineRule="exact"/>
        <w:rPr>
          <w:rFonts w:ascii="宋体" w:hAnsi="宋体" w:cs="宋体"/>
          <w:b/>
          <w:szCs w:val="21"/>
        </w:rPr>
      </w:pPr>
      <w:r>
        <w:rPr>
          <w:rFonts w:hint="eastAsia" w:ascii="宋体" w:hAnsi="宋体" w:cs="宋体"/>
          <w:b/>
          <w:szCs w:val="21"/>
        </w:rPr>
        <w:t xml:space="preserve">（一）采购标的清单</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711"/>
        <w:gridCol w:w="2999"/>
        <w:gridCol w:w="3059"/>
      </w:tblGrid>
      <w:tr>
        <w:trPr>
          <w:cantSplit/>
          <w:jc w:val="center"/>
          <w:trHeight w:val="1002"/>
        </w:trPr>
        <w:tc>
          <w:tcPr>
            <w:tcW w:w="988" w:type="dxa"/>
            <w:vAlign w:val="center"/>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采购包</w:t>
            </w:r>
            <w:r/>
          </w:p>
        </w:tc>
        <w:tc>
          <w:tcPr>
            <w:tcW w:w="711" w:type="dxa"/>
            <w:vAlign w:val="center"/>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序号</w:t>
            </w:r>
            <w:r/>
          </w:p>
        </w:tc>
        <w:tc>
          <w:tcPr>
            <w:tcW w:w="2999" w:type="dxa"/>
            <w:vAlign w:val="center"/>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采购标的</w:t>
            </w:r>
            <w:r/>
          </w:p>
        </w:tc>
        <w:tc>
          <w:tcPr>
            <w:tcW w:w="3059" w:type="dxa"/>
            <w:vAlign w:val="center"/>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对应中小企业划分标准所属行业</w:t>
            </w:r>
            <w:r/>
          </w:p>
        </w:tc>
      </w:tr>
      <w:tr>
        <w:trPr>
          <w:cantSplit/>
          <w:jc w:val="center"/>
          <w:trHeight w:val="341"/>
        </w:trPr>
        <w:tc>
          <w:tcPr>
            <w:tcW w:w="988" w:type="dxa"/>
            <w:vAlign w:val="center"/>
            <w:vMerge w:val="restart"/>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1</w:t>
            </w:r>
            <w:r/>
          </w:p>
        </w:tc>
        <w:tc>
          <w:tcPr>
            <w:tcW w:w="711"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1</w:t>
            </w:r>
            <w:r/>
          </w:p>
        </w:tc>
        <w:tc>
          <w:tcPr>
            <w:tcW w:w="299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两连体双层床</w:t>
            </w:r>
            <w:r>
              <w:rPr>
                <w:rFonts w:hint="eastAsia" w:ascii="宋体" w:hAnsi="宋体" w:cs="宋体"/>
                <w:b/>
                <w:bCs/>
                <w:color w:val="000000"/>
                <w:szCs w:val="21"/>
                <w:lang w:bidi="ar"/>
              </w:rPr>
              <w:t xml:space="preserve">（核心产品）</w:t>
            </w:r>
            <w:r/>
          </w:p>
        </w:tc>
        <w:tc>
          <w:tcPr>
            <w:tcW w:w="3059"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工业</w:t>
            </w:r>
            <w:r/>
          </w:p>
        </w:tc>
      </w:tr>
      <w:tr>
        <w:trPr>
          <w:cantSplit/>
          <w:jc w:val="center"/>
          <w:trHeight w:val="341"/>
        </w:trPr>
        <w:tc>
          <w:tcPr>
            <w:tcW w:w="988" w:type="dxa"/>
            <w:vAlign w:val="center"/>
            <w:vMerge w:val="continue"/>
            <w:textDirection w:val="lrTb"/>
            <w:noWrap w:val="false"/>
          </w:tcPr>
          <w:p>
            <w:pPr>
              <w:jc w:val="center"/>
              <w:spacing w:line="0" w:lineRule="atLeast"/>
              <w:rPr>
                <w:rFonts w:ascii="宋体" w:hAnsi="宋体" w:cs="宋体"/>
                <w:color w:val="000000"/>
                <w:szCs w:val="21"/>
              </w:rPr>
            </w:pPr>
            <w:r>
              <w:rPr>
                <w:rFonts w:ascii="宋体" w:hAnsi="宋体" w:cs="宋体"/>
                <w:color w:val="000000"/>
                <w:szCs w:val="21"/>
              </w:rPr>
            </w:r>
            <w:r/>
          </w:p>
        </w:tc>
        <w:tc>
          <w:tcPr>
            <w:tcW w:w="711"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2</w:t>
            </w:r>
            <w:r/>
          </w:p>
        </w:tc>
        <w:tc>
          <w:tcPr>
            <w:tcW w:w="2999"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书桌</w:t>
            </w:r>
            <w:r/>
          </w:p>
        </w:tc>
        <w:tc>
          <w:tcPr>
            <w:tcW w:w="3059"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工业</w:t>
            </w:r>
            <w:r/>
          </w:p>
        </w:tc>
      </w:tr>
      <w:tr>
        <w:trPr>
          <w:cantSplit/>
          <w:jc w:val="center"/>
          <w:trHeight w:val="341"/>
        </w:trPr>
        <w:tc>
          <w:tcPr>
            <w:tcW w:w="988" w:type="dxa"/>
            <w:vAlign w:val="center"/>
            <w:vMerge w:val="continue"/>
            <w:textDirection w:val="lrTb"/>
            <w:noWrap w:val="false"/>
          </w:tcPr>
          <w:p>
            <w:pPr>
              <w:jc w:val="center"/>
              <w:spacing w:line="0" w:lineRule="atLeast"/>
              <w:rPr>
                <w:rFonts w:ascii="宋体" w:hAnsi="宋体" w:cs="宋体"/>
                <w:color w:val="000000"/>
                <w:szCs w:val="21"/>
              </w:rPr>
            </w:pPr>
            <w:r>
              <w:rPr>
                <w:rFonts w:ascii="宋体" w:hAnsi="宋体" w:cs="宋体"/>
                <w:color w:val="000000"/>
                <w:szCs w:val="21"/>
              </w:rPr>
            </w:r>
            <w:r/>
          </w:p>
        </w:tc>
        <w:tc>
          <w:tcPr>
            <w:tcW w:w="711"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3</w:t>
            </w:r>
            <w:r/>
          </w:p>
        </w:tc>
        <w:tc>
          <w:tcPr>
            <w:tcW w:w="299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公寓椅</w:t>
            </w:r>
            <w:r/>
          </w:p>
        </w:tc>
        <w:tc>
          <w:tcPr>
            <w:tcW w:w="3059"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工业</w:t>
            </w:r>
            <w:r/>
          </w:p>
        </w:tc>
      </w:tr>
      <w:tr>
        <w:trPr>
          <w:cantSplit/>
          <w:jc w:val="center"/>
          <w:trHeight w:val="341"/>
        </w:trPr>
        <w:tc>
          <w:tcPr>
            <w:tcW w:w="988" w:type="dxa"/>
            <w:vAlign w:val="center"/>
            <w:vMerge w:val="restart"/>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2</w:t>
            </w:r>
            <w:r/>
          </w:p>
        </w:tc>
        <w:tc>
          <w:tcPr>
            <w:tcW w:w="711"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1</w:t>
            </w:r>
            <w:r/>
          </w:p>
        </w:tc>
        <w:tc>
          <w:tcPr>
            <w:tcW w:w="2999"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两连体双层床</w:t>
            </w:r>
            <w:r>
              <w:rPr>
                <w:rFonts w:hint="eastAsia" w:ascii="宋体" w:hAnsi="宋体" w:cs="宋体"/>
                <w:b/>
                <w:bCs/>
                <w:color w:val="000000"/>
                <w:szCs w:val="21"/>
                <w:lang w:bidi="ar"/>
              </w:rPr>
              <w:t xml:space="preserve">（核心产品）</w:t>
            </w:r>
            <w:r/>
          </w:p>
        </w:tc>
        <w:tc>
          <w:tcPr>
            <w:tcW w:w="3059"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工业</w:t>
            </w:r>
            <w:r/>
          </w:p>
        </w:tc>
      </w:tr>
      <w:tr>
        <w:trPr>
          <w:cantSplit/>
          <w:jc w:val="center"/>
          <w:trHeight w:val="341"/>
        </w:trPr>
        <w:tc>
          <w:tcPr>
            <w:tcW w:w="988" w:type="dxa"/>
            <w:vMerge w:val="continue"/>
            <w:textDirection w:val="lrTb"/>
            <w:noWrap w:val="false"/>
          </w:tcPr>
          <w:p>
            <w:pPr>
              <w:jc w:val="center"/>
              <w:spacing w:line="0" w:lineRule="atLeast"/>
              <w:rPr>
                <w:rFonts w:ascii="宋体" w:hAnsi="宋体" w:cs="宋体"/>
                <w:color w:val="000000"/>
                <w:szCs w:val="21"/>
              </w:rPr>
            </w:pPr>
            <w:r>
              <w:rPr>
                <w:rFonts w:ascii="宋体" w:hAnsi="宋体" w:cs="宋体"/>
                <w:color w:val="000000"/>
                <w:szCs w:val="21"/>
              </w:rPr>
            </w:r>
            <w:r/>
          </w:p>
        </w:tc>
        <w:tc>
          <w:tcPr>
            <w:tcW w:w="711"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2</w:t>
            </w:r>
            <w:r/>
          </w:p>
        </w:tc>
        <w:tc>
          <w:tcPr>
            <w:tcW w:w="2999"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书桌</w:t>
            </w:r>
            <w:r/>
          </w:p>
        </w:tc>
        <w:tc>
          <w:tcPr>
            <w:tcW w:w="3059"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工业</w:t>
            </w:r>
            <w:r/>
          </w:p>
        </w:tc>
      </w:tr>
      <w:tr>
        <w:trPr>
          <w:cantSplit/>
          <w:jc w:val="center"/>
          <w:trHeight w:val="341"/>
        </w:trPr>
        <w:tc>
          <w:tcPr>
            <w:tcW w:w="988" w:type="dxa"/>
            <w:vMerge w:val="continue"/>
            <w:textDirection w:val="lrTb"/>
            <w:noWrap w:val="false"/>
          </w:tcPr>
          <w:p>
            <w:pPr>
              <w:jc w:val="center"/>
              <w:spacing w:line="0" w:lineRule="atLeast"/>
              <w:rPr>
                <w:rFonts w:ascii="宋体" w:hAnsi="宋体" w:cs="宋体"/>
                <w:color w:val="000000"/>
                <w:szCs w:val="21"/>
              </w:rPr>
            </w:pPr>
            <w:r>
              <w:rPr>
                <w:rFonts w:ascii="宋体" w:hAnsi="宋体" w:cs="宋体"/>
                <w:color w:val="000000"/>
                <w:szCs w:val="21"/>
              </w:rPr>
            </w:r>
            <w:r/>
          </w:p>
        </w:tc>
        <w:tc>
          <w:tcPr>
            <w:tcW w:w="711"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3</w:t>
            </w:r>
            <w:r/>
          </w:p>
        </w:tc>
        <w:tc>
          <w:tcPr>
            <w:tcW w:w="2999"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公寓椅</w:t>
            </w:r>
            <w:r/>
          </w:p>
        </w:tc>
        <w:tc>
          <w:tcPr>
            <w:tcW w:w="3059" w:type="dxa"/>
            <w:textDirection w:val="lrTb"/>
            <w:noWrap w:val="false"/>
          </w:tcPr>
          <w:p>
            <w:pPr>
              <w:jc w:val="center"/>
              <w:spacing w:line="0" w:lineRule="atLeast"/>
              <w:rPr>
                <w:rFonts w:ascii="宋体" w:hAnsi="宋体" w:cs="宋体"/>
                <w:color w:val="000000"/>
                <w:szCs w:val="21"/>
              </w:rPr>
            </w:pPr>
            <w:r>
              <w:rPr>
                <w:rFonts w:hint="eastAsia" w:ascii="宋体" w:hAnsi="宋体" w:cs="宋体"/>
                <w:color w:val="000000"/>
                <w:szCs w:val="21"/>
              </w:rPr>
              <w:t xml:space="preserve">工业</w:t>
            </w:r>
            <w:r/>
          </w:p>
        </w:tc>
      </w:tr>
    </w:tbl>
    <w:p>
      <w:pPr>
        <w:spacing w:line="500" w:lineRule="exact"/>
        <w:rPr>
          <w:rFonts w:ascii="宋体" w:hAnsi="宋体" w:cs="宋体"/>
          <w:b/>
          <w:szCs w:val="21"/>
        </w:rPr>
      </w:pPr>
      <w:r>
        <w:rPr>
          <w:rFonts w:hint="eastAsia" w:ascii="宋体" w:hAnsi="宋体" w:cs="宋体"/>
          <w:b/>
          <w:szCs w:val="21"/>
        </w:rPr>
        <w:t xml:space="preserve">（二）采购清单</w:t>
      </w:r>
      <w:r/>
    </w:p>
    <w:p>
      <w:pPr>
        <w:spacing w:line="0" w:lineRule="atLeast"/>
        <w:rPr>
          <w:rFonts w:ascii="宋体" w:hAnsi="宋体" w:cs="宋体"/>
          <w:color w:val="000000"/>
          <w:szCs w:val="21"/>
        </w:rPr>
      </w:pPr>
      <w:r>
        <w:rPr>
          <w:rFonts w:hint="eastAsia" w:ascii="宋体" w:hAnsi="宋体" w:cs="宋体"/>
          <w:b/>
          <w:bCs/>
          <w:color w:val="000000"/>
          <w:szCs w:val="21"/>
        </w:rPr>
        <w:t xml:space="preserve">分包一：</w:t>
      </w:r>
      <w:r/>
    </w:p>
    <w:tbl>
      <w:tblPr>
        <w:tblStyle w:val="969"/>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093"/>
        <w:gridCol w:w="1093"/>
        <w:gridCol w:w="2060"/>
        <w:gridCol w:w="870"/>
        <w:gridCol w:w="915"/>
        <w:gridCol w:w="2400"/>
      </w:tblGrid>
      <w:tr>
        <w:trPr>
          <w:trHeight w:val="968"/>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标段号</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尺寸规格</w:t>
            </w:r>
            <w:r/>
          </w:p>
        </w:tc>
      </w:tr>
      <w:tr>
        <w:trPr>
          <w:trHeight w:val="1415"/>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标段一</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两连体双层床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474</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长4000mm*宽 900mm*高2900mm</w:t>
            </w:r>
            <w:r/>
          </w:p>
        </w:tc>
      </w:tr>
      <w:tr>
        <w:trPr>
          <w:trHeight w:val="968"/>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书桌</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948</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长1700mm*宽600mm*高2850mm</w:t>
            </w:r>
            <w:r/>
          </w:p>
        </w:tc>
      </w:tr>
      <w:tr>
        <w:trPr>
          <w:trHeight w:val="968"/>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公寓椅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1896</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不小于高810 mm*宽530mm*深510mm</w:t>
            </w:r>
            <w:r/>
          </w:p>
        </w:tc>
      </w:tr>
    </w:tbl>
    <w:p>
      <w:pPr>
        <w:widowControl/>
        <w:rPr>
          <w:rFonts w:ascii="宋体" w:hAnsi="宋体" w:cs="宋体"/>
          <w:b/>
          <w:bCs/>
          <w:color w:val="000000"/>
          <w:szCs w:val="21"/>
        </w:rPr>
      </w:pPr>
      <w:r>
        <w:rPr>
          <w:rFonts w:ascii="宋体" w:hAnsi="宋体" w:cs="宋体"/>
          <w:b/>
          <w:bCs/>
          <w:color w:val="000000"/>
          <w:szCs w:val="21"/>
        </w:rPr>
      </w:r>
      <w:r/>
    </w:p>
    <w:p>
      <w:pPr>
        <w:widowControl/>
        <w:rPr>
          <w:rFonts w:ascii="宋体" w:hAnsi="宋体" w:cs="宋体"/>
          <w:b/>
          <w:bCs/>
          <w:color w:val="000000"/>
          <w:szCs w:val="21"/>
        </w:rPr>
      </w:pPr>
      <w:r>
        <w:rPr>
          <w:rFonts w:ascii="宋体" w:hAnsi="宋体" w:cs="宋体"/>
          <w:b/>
          <w:bCs/>
          <w:color w:val="000000"/>
          <w:szCs w:val="21"/>
        </w:rPr>
      </w:r>
      <w:r/>
    </w:p>
    <w:p>
      <w:pPr>
        <w:widowControl/>
        <w:rPr>
          <w:rFonts w:ascii="宋体" w:hAnsi="宋体" w:cs="宋体"/>
          <w:color w:val="000000"/>
          <w:szCs w:val="21"/>
          <w:lang w:bidi="ar"/>
        </w:rPr>
      </w:pPr>
      <w:r>
        <w:rPr>
          <w:rFonts w:hint="eastAsia" w:ascii="宋体" w:hAnsi="宋体" w:cs="宋体"/>
          <w:b/>
          <w:bCs/>
          <w:color w:val="000000"/>
          <w:szCs w:val="21"/>
        </w:rPr>
        <w:t xml:space="preserve">分包二：</w:t>
      </w:r>
      <w:r/>
    </w:p>
    <w:tbl>
      <w:tblPr>
        <w:tblStyle w:val="969"/>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299"/>
        <w:gridCol w:w="1300"/>
        <w:gridCol w:w="1647"/>
        <w:gridCol w:w="870"/>
        <w:gridCol w:w="915"/>
        <w:gridCol w:w="2400"/>
      </w:tblGrid>
      <w:tr>
        <w:trPr>
          <w:trHeight w:val="1023"/>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标段号</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尺寸规格</w:t>
            </w:r>
            <w:r/>
          </w:p>
        </w:tc>
      </w:tr>
      <w:tr>
        <w:trPr>
          <w:trHeight w:val="1685"/>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标段二</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两连体双层床</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长4000mm*宽 900mm*高2900mm</w:t>
            </w:r>
            <w:r/>
          </w:p>
        </w:tc>
      </w:tr>
      <w:tr>
        <w:trPr>
          <w:trHeight w:val="1023"/>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书桌</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476</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长1700mm*宽600mm*高2850mm</w:t>
            </w:r>
            <w:r/>
          </w:p>
        </w:tc>
      </w:tr>
      <w:tr>
        <w:trPr>
          <w:trHeight w:val="1023"/>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公寓椅</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952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不小于高810 mm*宽530mm*深510mm</w:t>
            </w:r>
            <w:r/>
          </w:p>
        </w:tc>
      </w:tr>
    </w:tbl>
    <w:p>
      <w:pPr>
        <w:ind w:firstLine="420"/>
        <w:spacing w:line="360" w:lineRule="auto"/>
        <w:rPr>
          <w:rFonts w:ascii="宋体" w:hAnsi="宋体" w:cs="宋体"/>
          <w:bCs/>
          <w:szCs w:val="21"/>
        </w:rPr>
      </w:pPr>
      <w:r>
        <w:rPr>
          <w:rFonts w:ascii="宋体" w:hAnsi="宋体" w:cs="宋体"/>
          <w:bCs/>
          <w:szCs w:val="21"/>
        </w:rPr>
      </w:r>
      <w:r/>
    </w:p>
    <w:p>
      <w:pPr>
        <w:numPr>
          <w:ilvl w:val="0"/>
          <w:numId w:val="9"/>
        </w:numPr>
        <w:spacing w:line="360" w:lineRule="auto"/>
        <w:rPr>
          <w:rFonts w:ascii="宋体" w:hAnsi="宋体" w:cs="宋体"/>
          <w:b/>
          <w:szCs w:val="21"/>
        </w:rPr>
      </w:pPr>
      <w:r>
        <w:rPr>
          <w:rFonts w:hint="eastAsia" w:ascii="宋体" w:hAnsi="宋体" w:cs="宋体"/>
          <w:b/>
          <w:szCs w:val="21"/>
        </w:rPr>
        <w:t xml:space="preserve">采购标的需满足的质量、安全、技术规格、物理特性等要求</w:t>
      </w:r>
      <w:r/>
    </w:p>
    <w:p>
      <w:pPr>
        <w:ind w:firstLine="632"/>
        <w:spacing w:line="500" w:lineRule="exact"/>
        <w:rPr>
          <w:rFonts w:ascii="宋体" w:hAnsi="宋体" w:cs="宋体"/>
          <w:b/>
          <w:szCs w:val="21"/>
        </w:rPr>
      </w:pPr>
      <w:r>
        <w:rPr>
          <w:rFonts w:hint="eastAsia" w:ascii="宋体" w:hAnsi="宋体" w:cs="宋体"/>
          <w:b/>
          <w:szCs w:val="21"/>
        </w:rPr>
        <w:t xml:space="preserve">1.两连体双层床:尺寸规格长4000mm×宽900mm×高2900mm</w:t>
      </w:r>
      <w:r/>
    </w:p>
    <w:p>
      <w:pPr>
        <w:ind w:firstLine="630"/>
        <w:spacing w:line="500" w:lineRule="exact"/>
        <w:rPr>
          <w:shd w:val="clear" w:color="auto" w:fill="ffffff"/>
        </w:rPr>
      </w:pPr>
      <w:r>
        <w:rPr>
          <w:rFonts w:hint="eastAsia"/>
          <w:shd w:val="clear" w:color="auto" w:fill="ffffff"/>
        </w:rPr>
        <w:t xml:space="preserve">应符合GB/T 3325-2024《金属家具通用技术条件》、GB 28008-2024《家具结构安全技术规范》、</w:t>
      </w:r>
      <w:r>
        <w:rPr>
          <w:rFonts w:hint="eastAsia" w:ascii="宋体" w:hAnsi="宋体" w:cs="宋体"/>
          <w:bCs/>
          <w:szCs w:val="21"/>
        </w:rPr>
        <w:t xml:space="preserve">GB/T 35607-2024《绿色产品评价家具》、GB 18580-2025《室内装饰装修材料人造板及其制品中甲醛释放限量》</w:t>
      </w:r>
      <w:r>
        <w:rPr>
          <w:rFonts w:hint="eastAsia" w:ascii="宋体" w:hAnsi="宋体" w:cs="宋体"/>
          <w:bCs/>
          <w:szCs w:val="21"/>
          <w:lang w:val="en-US" w:eastAsia="zh-CN"/>
        </w:rPr>
        <w:t xml:space="preserve">相关标准</w:t>
      </w:r>
      <w:r>
        <w:rPr>
          <w:rFonts w:hint="eastAsia" w:ascii="宋体" w:hAnsi="宋体" w:cs="宋体"/>
          <w:bCs/>
          <w:szCs w:val="21"/>
        </w:rPr>
        <w:t xml:space="preserve">。</w:t>
      </w:r>
      <w:r/>
    </w:p>
    <w:p>
      <w:pPr>
        <w:ind w:firstLine="630"/>
        <w:spacing w:line="500" w:lineRule="exact"/>
        <w:rPr>
          <w:rFonts w:ascii="宋体" w:hAnsi="宋体" w:cs="宋体"/>
          <w:bCs/>
          <w:szCs w:val="21"/>
          <w:highlight w:val="none"/>
        </w:rPr>
      </w:pPr>
      <w:r>
        <w:rPr>
          <w:rFonts w:hint="eastAsia" w:ascii="宋体" w:hAnsi="宋体" w:cs="宋体"/>
          <w:bCs/>
          <w:szCs w:val="21"/>
        </w:rPr>
        <w:t xml:space="preserve">（1）、边立柱：采用不低于长70mm×宽70</w:t>
      </w:r>
      <w:r>
        <w:rPr>
          <w:rFonts w:hint="eastAsia" w:ascii="宋体" w:hAnsi="宋体" w:cs="宋体"/>
          <w:bCs/>
          <w:szCs w:val="21"/>
          <w:highlight w:val="none"/>
        </w:rPr>
        <w:t xml:space="preserve">mm，壁厚不低于1.5mm的Q235A</w:t>
      </w:r>
      <w:r>
        <w:rPr>
          <w:rFonts w:hint="eastAsia" w:ascii="宋体" w:hAnsi="宋体" w:cs="宋体"/>
          <w:b w:val="0"/>
          <w:bCs/>
          <w:color w:val="auto"/>
          <w:szCs w:val="21"/>
          <w:highlight w:val="none"/>
          <w:lang w:val="en-US" w:eastAsia="zh-CN"/>
        </w:rPr>
        <w:t xml:space="preserve">直缝电焊钢管</w:t>
      </w:r>
      <w:r>
        <w:rPr>
          <w:rFonts w:hint="eastAsia" w:ascii="宋体" w:hAnsi="宋体" w:cs="宋体"/>
          <w:bCs/>
          <w:szCs w:val="21"/>
          <w:highlight w:val="none"/>
        </w:rPr>
        <w:t xml:space="preserve">，表面采用热固性粉末涂料喷涂，须带加强筋；</w:t>
      </w:r>
      <w:r>
        <w:rPr>
          <w:rFonts w:hint="eastAsia" w:ascii="宋体" w:hAnsi="宋体" w:cs="宋体"/>
          <w:b w:val="0"/>
          <w:bCs/>
          <w:color w:val="auto"/>
          <w:szCs w:val="21"/>
          <w:highlight w:val="none"/>
          <w:lang w:val="en-US" w:eastAsia="zh-CN"/>
        </w:rPr>
        <w:t xml:space="preserve">横截面做</w:t>
      </w:r>
      <w:r>
        <w:rPr>
          <w:rFonts w:hint="eastAsia" w:ascii="宋体" w:hAnsi="宋体" w:cs="宋体"/>
          <w:b w:val="0"/>
          <w:bCs/>
          <w:color w:val="auto"/>
          <w:szCs w:val="21"/>
          <w:highlight w:val="none"/>
        </w:rPr>
        <w:t xml:space="preserve">封闭</w:t>
      </w:r>
      <w:r>
        <w:rPr>
          <w:rFonts w:hint="eastAsia" w:ascii="宋体" w:hAnsi="宋体" w:cs="宋体"/>
          <w:b w:val="0"/>
          <w:bCs/>
          <w:color w:val="auto"/>
          <w:szCs w:val="21"/>
          <w:highlight w:val="none"/>
          <w:lang w:val="en-US" w:eastAsia="zh-CN"/>
        </w:rPr>
        <w:t xml:space="preserve">处理</w:t>
      </w:r>
      <w:r>
        <w:rPr>
          <w:rFonts w:hint="eastAsia" w:ascii="宋体" w:hAnsi="宋体" w:cs="宋体"/>
          <w:bCs/>
          <w:szCs w:val="21"/>
          <w:highlight w:val="none"/>
        </w:rPr>
        <w:t xml:space="preserve">，立柱做倒角处理，底部配有PP材质脚套。</w:t>
      </w:r>
      <w:r/>
    </w:p>
    <w:p>
      <w:pPr>
        <w:ind w:firstLine="630"/>
        <w:spacing w:line="500" w:lineRule="exact"/>
        <w:rPr>
          <w:rFonts w:ascii="宋体" w:hAnsi="宋体" w:cs="宋体"/>
          <w:bCs/>
          <w:szCs w:val="21"/>
          <w:highlight w:val="none"/>
        </w:rPr>
      </w:pPr>
      <w:r>
        <w:rPr>
          <w:rFonts w:hint="eastAsia" w:ascii="宋体" w:hAnsi="宋体" w:cs="宋体"/>
          <w:bCs/>
          <w:szCs w:val="21"/>
          <w:highlight w:val="none"/>
        </w:rPr>
        <w:t xml:space="preserve">（2）、床梁：不低于长100mm×宽40mm，壁厚不低于1.5mm的Q235A</w:t>
      </w:r>
      <w:r>
        <w:rPr>
          <w:rFonts w:hint="eastAsia" w:ascii="宋体" w:hAnsi="宋体" w:cs="宋体"/>
          <w:b w:val="0"/>
          <w:bCs/>
          <w:color w:val="auto"/>
          <w:szCs w:val="21"/>
          <w:highlight w:val="none"/>
          <w:lang w:val="en-US" w:eastAsia="zh-CN"/>
        </w:rPr>
        <w:t xml:space="preserve">直缝电焊钢管</w:t>
      </w:r>
      <w:r>
        <w:rPr>
          <w:rFonts w:hint="eastAsia" w:ascii="宋体" w:hAnsi="宋体" w:cs="宋体"/>
          <w:bCs/>
          <w:szCs w:val="21"/>
        </w:rPr>
        <w:t xml:space="preserve">，表面采用热固性粉末涂料喷涂，带两根加强筋；床厅下部为圆边，上部为直边使连接件与前床厅齐平整体美观，下部为圆弧造型。</w:t>
      </w:r>
      <w:r/>
    </w:p>
    <w:p>
      <w:pPr>
        <w:ind w:firstLine="630"/>
        <w:spacing w:line="500" w:lineRule="exact"/>
        <w:rPr>
          <w:rFonts w:ascii="宋体" w:hAnsi="宋体" w:cs="宋体"/>
          <w:bCs/>
          <w:szCs w:val="21"/>
          <w:highlight w:val="none"/>
        </w:rPr>
      </w:pPr>
      <w:r>
        <w:rPr>
          <w:rFonts w:hint="eastAsia" w:ascii="宋体" w:hAnsi="宋体" w:cs="宋体"/>
          <w:bCs/>
          <w:szCs w:val="21"/>
          <w:highlight w:val="none"/>
        </w:rPr>
        <w:t xml:space="preserve">（3）、中间立柱采用不低于长 80mm×宽40mm，壁厚不低于1.5mm的</w:t>
      </w:r>
      <w:bookmarkStart w:id="21" w:name="OLE_LINK8"/>
      <w:r>
        <w:rPr>
          <w:rFonts w:hint="eastAsia" w:ascii="宋体" w:hAnsi="宋体" w:cs="宋体"/>
          <w:bCs/>
          <w:szCs w:val="21"/>
          <w:highlight w:val="none"/>
        </w:rPr>
        <w:t xml:space="preserve">Q235A</w:t>
      </w:r>
      <w:bookmarkEnd w:id="21"/>
      <w:r>
        <w:rPr>
          <w:rFonts w:hint="eastAsia" w:ascii="宋体" w:hAnsi="宋体" w:cs="宋体"/>
          <w:b w:val="0"/>
          <w:bCs/>
          <w:color w:val="auto"/>
          <w:szCs w:val="21"/>
          <w:highlight w:val="none"/>
          <w:lang w:val="en-US" w:eastAsia="zh-CN"/>
        </w:rPr>
        <w:t xml:space="preserve">直缝电焊钢管</w:t>
      </w:r>
      <w:r>
        <w:rPr>
          <w:rFonts w:hint="eastAsia" w:ascii="宋体" w:hAnsi="宋体" w:cs="宋体"/>
          <w:bCs/>
          <w:szCs w:val="21"/>
          <w:highlight w:val="none"/>
        </w:rPr>
        <w:t xml:space="preserve">，表面采用热固性粉末涂料喷涂。</w:t>
      </w:r>
      <w:r/>
    </w:p>
    <w:p>
      <w:pPr>
        <w:ind w:firstLine="630"/>
        <w:spacing w:line="500" w:lineRule="exact"/>
        <w:rPr>
          <w:rFonts w:ascii="宋体" w:hAnsi="宋体" w:cs="宋体"/>
          <w:bCs/>
          <w:szCs w:val="21"/>
        </w:rPr>
      </w:pPr>
      <w:r>
        <w:rPr>
          <w:rFonts w:hint="eastAsia" w:ascii="宋体" w:hAnsi="宋体" w:cs="宋体"/>
          <w:bCs/>
          <w:szCs w:val="21"/>
          <w:highlight w:val="none"/>
        </w:rPr>
        <w:t xml:space="preserve">（4）、立柱拉梁：长40mm*宽40mm，壁厚不低于1.5mm的Q235A</w:t>
      </w:r>
      <w:r>
        <w:rPr>
          <w:rFonts w:hint="eastAsia" w:ascii="宋体" w:hAnsi="宋体" w:cs="宋体"/>
          <w:b w:val="0"/>
          <w:bCs/>
          <w:color w:val="auto"/>
          <w:szCs w:val="21"/>
          <w:highlight w:val="none"/>
          <w:lang w:val="en-US" w:eastAsia="zh-CN"/>
        </w:rPr>
        <w:t xml:space="preserve">直缝电焊钢管</w:t>
      </w:r>
      <w:r>
        <w:rPr>
          <w:rFonts w:hint="eastAsia" w:ascii="宋体" w:hAnsi="宋体" w:cs="宋体"/>
          <w:bCs/>
          <w:szCs w:val="21"/>
          <w:highlight w:val="none"/>
        </w:rPr>
        <w:t xml:space="preserve">，表面采用热固性粉末涂料喷涂；床撑：不低于边长40mm*40mm，壁厚不低于1.5mm的</w:t>
      </w:r>
      <w:r>
        <w:rPr>
          <w:rFonts w:hint="eastAsia" w:ascii="宋体" w:hAnsi="宋体" w:cs="宋体"/>
          <w:b w:val="0"/>
          <w:bCs/>
          <w:color w:val="auto"/>
          <w:szCs w:val="21"/>
          <w:highlight w:val="none"/>
        </w:rPr>
        <w:t xml:space="preserve">三角管7根</w:t>
      </w:r>
      <w:r>
        <w:rPr>
          <w:rFonts w:hint="eastAsia" w:ascii="宋体" w:hAnsi="宋体" w:cs="宋体"/>
          <w:bCs/>
          <w:szCs w:val="21"/>
        </w:rPr>
        <w:t xml:space="preserve">。</w:t>
      </w:r>
      <w:r/>
    </w:p>
    <w:p>
      <w:pPr>
        <w:ind w:firstLine="630"/>
        <w:spacing w:line="500" w:lineRule="exac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）、蚊帐架：采用≥Φ19mm*厚不低于1.2mm圆管，蚊帐杆连接处采用塑料连接件。</w:t>
      </w:r>
      <w:r/>
    </w:p>
    <w:p>
      <w:pPr>
        <w:ind w:firstLine="630"/>
        <w:spacing w:line="500" w:lineRule="exac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6</w:t>
      </w:r>
      <w:r>
        <w:rPr>
          <w:rFonts w:hint="eastAsia" w:ascii="宋体" w:hAnsi="宋体" w:cs="宋体"/>
          <w:bCs/>
          <w:szCs w:val="21"/>
        </w:rPr>
        <w:t xml:space="preserve">）、床前护栏：前护栏高度不小于 350mm ，长度不小于1200mm（不含辅助抓手部分），金属框架整体焊接护栏顶管采用≥长25mm*宽25mm，壁厚不低于1.5mm 优质面包管，靠近爬梯处延伸辅助抓手，其余采用≥长25mm*宽25mm，壁厚不低于1.5mm优质方管，内镶厚度不低于18mm实木多层板双饰面板制作护栏板，靠近床头处设置可开闭观察口，护栏板内部永久性标明床褥警戒线。</w:t>
      </w:r>
      <w:r/>
    </w:p>
    <w:p>
      <w:pPr>
        <w:ind w:firstLine="630"/>
        <w:spacing w:line="500" w:lineRule="exact"/>
        <w:rPr>
          <w:rFonts w:ascii="宋体" w:hAnsi="宋体" w:cs="宋体"/>
          <w:bCs/>
          <w:szCs w:val="21"/>
          <w:highlight w:val="none"/>
        </w:rPr>
      </w:pP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）、床头、床尾：顶管采用≥长25mm*宽2</w:t>
      </w:r>
      <w:r>
        <w:rPr>
          <w:rFonts w:hint="eastAsia" w:ascii="宋体" w:hAnsi="宋体" w:cs="宋体"/>
          <w:bCs/>
          <w:szCs w:val="21"/>
          <w:highlight w:val="none"/>
        </w:rPr>
        <w:t xml:space="preserve">5mm，壁厚不低于1.2mm优质</w:t>
      </w:r>
      <w:r>
        <w:rPr>
          <w:rFonts w:hint="eastAsia" w:ascii="宋体" w:hAnsi="宋体" w:cs="宋体"/>
          <w:b w:val="0"/>
          <w:bCs/>
          <w:color w:val="auto"/>
          <w:szCs w:val="21"/>
          <w:highlight w:val="none"/>
          <w:lang w:val="en-US" w:eastAsia="zh-CN"/>
        </w:rPr>
        <w:t xml:space="preserve">直缝电焊钢管</w:t>
      </w:r>
      <w:r>
        <w:rPr>
          <w:rFonts w:hint="eastAsia" w:ascii="宋体" w:hAnsi="宋体" w:cs="宋体"/>
          <w:bCs/>
          <w:szCs w:val="21"/>
          <w:highlight w:val="none"/>
        </w:rPr>
        <w:t xml:space="preserve">，内镶厚度不低于18mm实木多层板双饰面板，高度不低于400mm。</w:t>
      </w:r>
      <w:r/>
    </w:p>
    <w:p>
      <w:pPr>
        <w:ind w:firstLine="630"/>
        <w:spacing w:line="500" w:lineRule="exact"/>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t xml:space="preserve">8</w:t>
      </w:r>
      <w:r>
        <w:rPr>
          <w:rFonts w:hint="eastAsia" w:ascii="宋体" w:hAnsi="宋体" w:cs="宋体"/>
          <w:bCs/>
          <w:szCs w:val="21"/>
          <w:highlight w:val="none"/>
        </w:rPr>
        <w:t xml:space="preserve">）、后护栏：顶管采用≥长25mm*宽25mm，壁厚不低于1.2mm优质</w:t>
      </w:r>
      <w:r>
        <w:rPr>
          <w:rFonts w:hint="eastAsia" w:ascii="宋体" w:hAnsi="宋体" w:cs="宋体"/>
          <w:b w:val="0"/>
          <w:bCs/>
          <w:color w:val="auto"/>
          <w:szCs w:val="21"/>
          <w:highlight w:val="none"/>
          <w:lang w:val="en-US" w:eastAsia="zh-CN"/>
        </w:rPr>
        <w:t xml:space="preserve">直缝电焊钢管</w:t>
      </w:r>
      <w:r>
        <w:rPr>
          <w:rFonts w:hint="eastAsia" w:ascii="宋体" w:hAnsi="宋体" w:cs="宋体"/>
          <w:bCs/>
          <w:szCs w:val="21"/>
          <w:highlight w:val="none"/>
        </w:rPr>
        <w:t xml:space="preserve">，内镶厚度不低于18mm实木多层板双饰面板，高度不低于200mm。</w:t>
      </w:r>
      <w:r/>
    </w:p>
    <w:p>
      <w:pPr>
        <w:ind w:firstLine="630"/>
        <w:spacing w:line="500" w:lineRule="exact"/>
        <w:rPr>
          <w:rFonts w:ascii="宋体" w:hAnsi="宋体" w:cs="宋体"/>
          <w:bCs/>
          <w:szCs w:val="21"/>
        </w:rPr>
      </w:pPr>
      <w:r>
        <w:rPr>
          <w:rFonts w:hint="eastAsia" w:ascii="宋体" w:hAnsi="宋体" w:cs="宋体"/>
          <w:bCs/>
          <w:szCs w:val="21"/>
          <w:highlight w:val="none"/>
        </w:rPr>
        <w:t xml:space="preserve">（</w:t>
      </w:r>
      <w:r>
        <w:rPr>
          <w:rFonts w:ascii="宋体" w:hAnsi="宋体" w:cs="宋体"/>
          <w:bCs/>
          <w:szCs w:val="21"/>
          <w:highlight w:val="none"/>
        </w:rPr>
        <w:t xml:space="preserve">9</w:t>
      </w:r>
      <w:r>
        <w:rPr>
          <w:rFonts w:hint="eastAsia" w:ascii="宋体" w:hAnsi="宋体" w:cs="宋体"/>
          <w:bCs/>
          <w:szCs w:val="21"/>
          <w:highlight w:val="none"/>
        </w:rPr>
        <w:t xml:space="preserve">）、外挂式爬梯：采用双爬梯设计，主管：圆形不小于宽30mm*长50mm*</w:t>
      </w:r>
      <w:r>
        <w:rPr>
          <w:rFonts w:hint="eastAsia" w:ascii="宋体" w:hAnsi="宋体" w:cs="宋体"/>
          <w:bCs/>
          <w:szCs w:val="21"/>
        </w:rPr>
        <w:t xml:space="preserve">厚不低于1.5mm钢管；踏步板：≥长350mm*宽120mm*厚不低于35mm，床梯踏步：HDPE（高密度聚乙烯），爬梯采用外挂式设计，踏步板设置合理防滑纹路，表面配备至少1个荧光点位，背面预埋至少3颗螺母，方便踏步下方与钢管稳固支撑，每张上铺独立一个爬梯。</w:t>
      </w:r>
      <w:r/>
    </w:p>
    <w:p>
      <w:pPr>
        <w:ind w:firstLine="630"/>
        <w:spacing w:line="500" w:lineRule="exact"/>
        <w:rPr>
          <w:rFonts w:ascii="宋体" w:hAnsi="宋体" w:cs="宋体"/>
          <w:bCs/>
          <w:szCs w:val="21"/>
        </w:rPr>
      </w:pPr>
      <w:r>
        <w:rPr>
          <w:rFonts w:hint="eastAsia" w:ascii="宋体" w:hAnsi="宋体" w:cs="宋体"/>
          <w:bCs/>
          <w:szCs w:val="21"/>
          <w:highlight w:val="none"/>
        </w:rPr>
        <w:t xml:space="preserve">（</w:t>
      </w:r>
      <w:r>
        <w:rPr>
          <w:rFonts w:ascii="宋体" w:hAnsi="宋体" w:cs="宋体"/>
          <w:bCs/>
          <w:szCs w:val="21"/>
          <w:highlight w:val="none"/>
        </w:rPr>
        <w:t xml:space="preserve">10</w:t>
      </w:r>
      <w:r>
        <w:rPr>
          <w:rFonts w:hint="eastAsia" w:ascii="宋体" w:hAnsi="宋体" w:cs="宋体"/>
          <w:bCs/>
          <w:szCs w:val="21"/>
          <w:highlight w:val="none"/>
        </w:rPr>
        <w:t xml:space="preserve">）、下铺底部安装深度600mm行李架，兼具鞋架功能，采用≥长25mm*宽25mm*壁厚不低于1.2mm优质</w:t>
      </w:r>
      <w:r>
        <w:rPr>
          <w:rFonts w:hint="eastAsia" w:ascii="宋体" w:hAnsi="宋体" w:cs="宋体"/>
          <w:b w:val="0"/>
          <w:bCs/>
          <w:color w:val="auto"/>
          <w:szCs w:val="21"/>
          <w:highlight w:val="none"/>
          <w:lang w:val="en-US" w:eastAsia="zh-CN"/>
        </w:rPr>
        <w:t xml:space="preserve">直缝电焊钢管</w:t>
      </w:r>
      <w:r>
        <w:rPr>
          <w:rFonts w:hint="eastAsia" w:ascii="宋体" w:hAnsi="宋体" w:cs="宋体"/>
          <w:bCs/>
          <w:szCs w:val="21"/>
          <w:highlight w:val="none"/>
        </w:rPr>
        <w:t xml:space="preserve">制</w:t>
      </w:r>
      <w:r>
        <w:rPr>
          <w:rFonts w:hint="eastAsia" w:ascii="宋体" w:hAnsi="宋体" w:cs="宋体"/>
          <w:bCs/>
          <w:szCs w:val="21"/>
        </w:rPr>
        <w:t xml:space="preserve">作，两边与立柱拉梁固定。</w:t>
      </w:r>
      <w:r/>
    </w:p>
    <w:p>
      <w:pPr>
        <w:ind w:firstLine="630"/>
        <w:spacing w:line="500" w:lineRule="exact"/>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11</w:t>
      </w:r>
      <w:r>
        <w:rPr>
          <w:rFonts w:hint="eastAsia" w:ascii="宋体" w:hAnsi="宋体" w:cs="宋体"/>
          <w:bCs/>
          <w:szCs w:val="21"/>
        </w:rPr>
        <w:t xml:space="preserve">）、吹塑床板：采用HDPE（高密度聚乙烯）材质一体中空吹塑成型，尺寸：不低于长1910mm*宽810mm*厚18mm，床板厚薄均匀；床板有不少于45个透气孔，确保透气性；整体为一次成型，不能2块或者多块拼接。确保床板具有环保无异味、防虫、防潮、防霉变、安全牢固无异响等特点。</w:t>
      </w:r>
      <w:r/>
    </w:p>
    <w:p>
      <w:pPr>
        <w:ind w:firstLine="840"/>
        <w:spacing w:line="500" w:lineRule="exact"/>
        <w:rPr>
          <w:rFonts w:ascii="宋体" w:hAnsi="宋体" w:cs="宋体"/>
          <w:bCs/>
          <w:szCs w:val="21"/>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533400</wp:posOffset>
                </wp:positionH>
                <wp:positionV relativeFrom="paragraph">
                  <wp:posOffset>-3302000</wp:posOffset>
                </wp:positionV>
                <wp:extent cx="5022850" cy="3551555"/>
                <wp:effectExtent l="0" t="0" r="6350" b="10795"/>
                <wp:wrapTight wrapText="bothSides">
                  <wp:wrapPolygon edited="1">
                    <wp:start x="0" y="0"/>
                    <wp:lineTo x="0" y="21434"/>
                    <wp:lineTo x="21545" y="21434"/>
                    <wp:lineTo x="21545" y="0"/>
                    <wp:lineTo x="0" y="0"/>
                  </wp:wrapPolygon>
                </wp:wrapTight>
                <wp:docPr id="5" name="图片 1" descr="D:/2026业务相关/南师大/25年宿舍改造项目/方案制作/微信图片_20260420115916_3202_27.jpg微信图片_20260420115916_3202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2026业务相关/南师大/25年宿舍改造项目/方案制作/微信图片_20260420115916_3202_27.jpg微信图片_20260420115916_3202_27"/>
                        <pic:cNvPicPr>
                          <a:picLocks noChangeAspect="1"/>
                        </pic:cNvPicPr>
                        <pic:nvPr/>
                      </pic:nvPicPr>
                      <pic:blipFill>
                        <a:blip r:embed="rId17"/>
                        <a:srcRect l="0" t="6" r="0" b="6"/>
                        <a:stretch/>
                      </pic:blipFill>
                      <pic:spPr bwMode="auto">
                        <a:xfrm>
                          <a:off x="0" y="0"/>
                          <a:ext cx="5022850" cy="3551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42.0pt;mso-position-horizontal:absolute;mso-position-vertical-relative:text;margin-top:-260.0pt;mso-position-vertical:absolute;width:395.5pt;height:279.6pt;mso-wrap-distance-left:9.0pt;mso-wrap-distance-top:0.0pt;mso-wrap-distance-right:9.0pt;mso-wrap-distance-bottom:0.0pt;" wrapcoords="0 0 0 99231 99745 99231 99745 0 0 0" stroked="f">
                <v:path textboxrect="0,0,0,0"/>
                <w10:wrap type="tight"/>
                <v:imagedata r:id="rId17" o:title=""/>
              </v:shape>
            </w:pict>
          </mc:Fallback>
        </mc:AlternateContent>
      </w:r>
      <w:r/>
    </w:p>
    <w:p>
      <w:pPr>
        <w:ind w:firstLine="632"/>
        <w:spacing w:line="500" w:lineRule="exact"/>
        <w:rPr>
          <w:rFonts w:ascii="宋体" w:hAnsi="宋体" w:cs="宋体"/>
          <w:b/>
          <w:szCs w:val="21"/>
        </w:rPr>
      </w:pPr>
      <w:r>
        <w:rPr>
          <w:rFonts w:hint="eastAsia" w:ascii="宋体" w:hAnsi="宋体" w:cs="宋体"/>
          <w:b/>
          <w:szCs w:val="21"/>
        </w:rPr>
        <w:t xml:space="preserve">2.书桌：规格尺寸长1700mm*宽600mm*高2850mm</w:t>
      </w:r>
      <w:r/>
    </w:p>
    <w:p>
      <w:pPr>
        <w:ind w:firstLine="630"/>
        <w:spacing w:line="500" w:lineRule="exact"/>
        <w:rPr>
          <w:rFonts w:ascii="宋体" w:hAnsi="宋体" w:cs="宋体"/>
          <w:bCs/>
          <w:szCs w:val="21"/>
        </w:rPr>
      </w:pPr>
      <w:r>
        <w:rPr>
          <w:rFonts w:hint="eastAsia"/>
          <w:shd w:val="clear" w:color="auto" w:fill="ffffff"/>
        </w:rPr>
        <w:t xml:space="preserve">应符合GB/T 3324-2024《木家具通用技术条件》、</w:t>
      </w:r>
      <w:r>
        <w:rPr>
          <w:rFonts w:hint="eastAsia" w:ascii="宋体" w:hAnsi="宋体" w:cs="宋体"/>
          <w:bCs/>
          <w:szCs w:val="21"/>
        </w:rPr>
        <w:t xml:space="preserve">GB 18584-2024《家具中有害物质限量》</w:t>
      </w:r>
      <w:r>
        <w:rPr>
          <w:rFonts w:hint="eastAsia"/>
          <w:shd w:val="clear" w:color="auto" w:fill="ffffff"/>
        </w:rPr>
        <w:t xml:space="preserve">、</w:t>
      </w:r>
      <w:r>
        <w:rPr>
          <w:rFonts w:hint="eastAsia" w:ascii="宋体" w:hAnsi="宋体" w:cs="宋体"/>
          <w:bCs/>
          <w:szCs w:val="21"/>
        </w:rPr>
        <w:t xml:space="preserve">GB/T 35607-2024《绿色产品评价家具》、GB 18580-2025《室内装饰装修材料人造板及其制品中甲醛释放限量》</w:t>
      </w:r>
      <w:r>
        <w:rPr>
          <w:rFonts w:hint="eastAsia" w:ascii="宋体" w:hAnsi="宋体" w:cs="宋体"/>
          <w:bCs/>
          <w:szCs w:val="21"/>
          <w:lang w:val="en-US" w:eastAsia="zh-CN"/>
        </w:rPr>
        <w:t xml:space="preserve">相关标准</w:t>
      </w:r>
      <w:r>
        <w:rPr>
          <w:rFonts w:hint="eastAsia" w:ascii="宋体" w:hAnsi="宋体" w:cs="宋体"/>
          <w:bCs/>
          <w:szCs w:val="21"/>
        </w:rPr>
        <w:t xml:space="preserve">。</w:t>
      </w:r>
      <w:r/>
    </w:p>
    <w:p>
      <w:pPr>
        <w:ind w:firstLine="630"/>
        <w:spacing w:line="500" w:lineRule="exact"/>
        <w:rPr>
          <w:rFonts w:ascii="宋体" w:hAnsi="宋体" w:cs="宋体"/>
          <w:bCs/>
          <w:szCs w:val="21"/>
          <w:highlight w:val="none"/>
        </w:rPr>
      </w:pPr>
      <w:r>
        <w:rPr>
          <w:rFonts w:hint="eastAsia" w:ascii="宋体" w:hAnsi="宋体" w:cs="宋体"/>
          <w:bCs/>
          <w:szCs w:val="21"/>
        </w:rPr>
        <w:t xml:space="preserve">（1）、台面采用厚度不低于2</w:t>
      </w:r>
      <w:r>
        <w:rPr>
          <w:rFonts w:hint="eastAsia" w:ascii="宋体" w:hAnsi="宋体" w:cs="宋体"/>
          <w:bCs/>
          <w:szCs w:val="21"/>
          <w:highlight w:val="none"/>
        </w:rPr>
        <w:t xml:space="preserve">5mm</w:t>
      </w:r>
      <w:r>
        <w:rPr>
          <w:rFonts w:hint="eastAsia" w:ascii="宋体" w:hAnsi="宋体" w:cs="宋体"/>
          <w:bCs/>
          <w:szCs w:val="21"/>
          <w:highlight w:val="none"/>
          <w:lang w:val="en-US" w:eastAsia="zh-CN"/>
        </w:rPr>
        <w:t xml:space="preserve">防火板</w:t>
      </w:r>
      <w:r>
        <w:rPr>
          <w:rFonts w:hint="eastAsia" w:ascii="宋体" w:hAnsi="宋体" w:cs="宋体"/>
          <w:bCs/>
          <w:szCs w:val="21"/>
          <w:highlight w:val="none"/>
        </w:rPr>
        <w:t xml:space="preserve">双饰面胶合板(胶合板俗称实木多层板)，2.0mm厚同色PVC封边条封边。</w:t>
      </w:r>
      <w:r/>
    </w:p>
    <w:p>
      <w:pPr>
        <w:ind w:firstLine="630"/>
        <w:spacing w:line="500" w:lineRule="exact"/>
        <w:rPr>
          <w:rFonts w:ascii="宋体" w:hAnsi="宋体" w:cs="宋体"/>
          <w:bCs/>
          <w:szCs w:val="21"/>
        </w:rPr>
      </w:pPr>
      <w:r>
        <w:rPr>
          <w:rFonts w:hint="eastAsia" w:ascii="宋体" w:hAnsi="宋体" w:cs="宋体"/>
          <w:bCs/>
          <w:szCs w:val="21"/>
          <w:highlight w:val="none"/>
        </w:rPr>
        <w:t xml:space="preserve">（2）、其余板材采用厚度不低于18mm双饰面胶合板(胶合板俗称实木多层板)，2.0mm厚同色PVC封边条封边，书架下方背板铣两个86型插座孔，以便安装电源</w:t>
      </w:r>
      <w:r>
        <w:rPr>
          <w:rFonts w:hint="eastAsia" w:ascii="宋体" w:hAnsi="宋体" w:cs="宋体"/>
          <w:bCs/>
          <w:szCs w:val="21"/>
        </w:rPr>
        <w:t xml:space="preserve">插座。</w:t>
      </w:r>
      <w:r/>
    </w:p>
    <w:p>
      <w:pPr>
        <w:ind w:firstLine="630"/>
        <w:spacing w:line="500" w:lineRule="exact"/>
        <w:rPr>
          <w:rFonts w:ascii="宋体" w:hAnsi="宋体" w:cs="宋体"/>
          <w:bCs/>
          <w:szCs w:val="21"/>
        </w:rPr>
      </w:pPr>
      <w:r>
        <w:rPr>
          <w:rFonts w:hint="eastAsia" w:ascii="宋体" w:hAnsi="宋体" w:cs="宋体"/>
          <w:bCs/>
          <w:szCs w:val="21"/>
        </w:rPr>
        <w:t xml:space="preserve">（3）、书桌抽屉导轨均采用三节静音导轨，铰链采用缓冲阻尼铰链。</w:t>
      </w:r>
      <w:r/>
    </w:p>
    <w:p>
      <w:pPr>
        <w:ind w:firstLine="630"/>
        <w:spacing w:line="500" w:lineRule="exact"/>
        <w:rPr>
          <w:rFonts w:ascii="宋体" w:hAnsi="宋体" w:cs="宋体"/>
          <w:bCs/>
          <w:szCs w:val="21"/>
        </w:rPr>
      </w:pPr>
      <w:r>
        <w:rPr>
          <w:rFonts w:hint="eastAsia" w:ascii="宋体" w:hAnsi="宋体" w:cs="宋体"/>
          <w:bCs/>
          <w:szCs w:val="21"/>
        </w:rPr>
        <w:t xml:space="preserve">（4）、抽面和上柜门均采用免拉手设计，上柜门下挂20mm。</w:t>
      </w:r>
      <w:r/>
    </w:p>
    <w:p>
      <w:pPr>
        <w:rPr>
          <w:rFonts w:ascii="宋体" w:hAnsi="宋体" w:cs="宋体"/>
          <w:b/>
          <w:bCs/>
          <w:color w:val="000000"/>
          <w:sz w:val="28"/>
          <w:szCs w:val="28"/>
        </w:rPr>
      </w:pPr>
      <w:r>
        <w:rPr>
          <w:rFonts w:hint="eastAsia" w:ascii="宋体" w:hAnsi="宋体" w:cs="宋体"/>
          <w:b/>
          <w:bCs/>
          <w:color w:val="000000"/>
          <w:sz w:val="28"/>
          <w:szCs w:val="28"/>
        </w:rPr>
        <mc:AlternateContent>
          <mc:Choice Requires="wpg">
            <w:drawing>
              <wp:inline xmlns:wp="http://schemas.openxmlformats.org/drawingml/2006/wordprocessingDrawing" distT="0" distB="0" distL="0" distR="0">
                <wp:extent cx="5277485" cy="3731260"/>
                <wp:effectExtent l="0" t="0" r="18415" b="2540"/>
                <wp:docPr id="6" name="图片 2" descr="b6f3acca6057e5024eb4bbfa8b889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b6f3acca6057e5024eb4bbfa8b889749"/>
                        <pic:cNvPicPr>
                          <a:picLocks noChangeAspect="1"/>
                        </pic:cNvPicPr>
                        <pic:nvPr/>
                      </pic:nvPicPr>
                      <pic:blipFill>
                        <a:blip r:embed="rId18"/>
                        <a:stretch/>
                      </pic:blipFill>
                      <pic:spPr bwMode="auto">
                        <a:xfrm>
                          <a:off x="0" y="0"/>
                          <a:ext cx="5277485" cy="3731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5pt;height:293.8pt;mso-wrap-distance-left:0.0pt;mso-wrap-distance-top:0.0pt;mso-wrap-distance-right:0.0pt;mso-wrap-distance-bottom:0.0pt;" stroked="f">
                <v:path textboxrect="0,0,0,0"/>
                <v:imagedata r:id="rId18" o:title=""/>
              </v:shape>
            </w:pict>
          </mc:Fallback>
        </mc:AlternateContent>
      </w:r>
      <w:r/>
    </w:p>
    <w:p>
      <w:pPr>
        <w:rPr>
          <w:rFonts w:ascii="楷体_GB2312" w:hAnsi="Arial" w:eastAsia="楷体_GB2312"/>
          <w:color w:val="000000"/>
          <w:szCs w:val="21"/>
        </w:rPr>
      </w:pPr>
      <w:r>
        <w:rPr>
          <w:rFonts w:hint="eastAsia" w:ascii="楷体_GB2312" w:hAnsi="Arial" w:eastAsia="楷体_GB2312"/>
          <w:b/>
          <w:bCs/>
          <w:color w:val="000000"/>
          <w:sz w:val="24"/>
        </w:rPr>
        <w:t xml:space="preserve">                  </w:t>
      </w:r>
      <w:r/>
    </w:p>
    <w:p>
      <w:pPr>
        <w:ind w:firstLine="632"/>
        <w:spacing w:line="500" w:lineRule="exact"/>
        <w:rPr>
          <w:rFonts w:ascii="宋体" w:hAnsi="宋体" w:cs="宋体"/>
          <w:b/>
          <w:szCs w:val="21"/>
        </w:rPr>
      </w:pPr>
      <w:r>
        <w:rPr>
          <w:rFonts w:hint="eastAsia" w:ascii="宋体" w:hAnsi="宋体" w:cs="宋体"/>
          <w:b/>
          <w:szCs w:val="21"/>
        </w:rPr>
        <w:t xml:space="preserve">3.公寓椅：尺寸规格:不小于高810 mm*宽530mm*深510 mm</w:t>
      </w:r>
      <w:r/>
    </w:p>
    <w:p>
      <w:pPr>
        <w:ind w:firstLine="630"/>
        <w:spacing w:line="500" w:lineRule="exact"/>
        <w:rPr>
          <w:rFonts w:ascii="宋体" w:hAnsi="宋体" w:cs="宋体"/>
          <w:bCs/>
          <w:szCs w:val="21"/>
        </w:rPr>
      </w:pPr>
      <w:r>
        <w:rPr>
          <w:rFonts w:hint="eastAsia"/>
          <w:highlight w:val="none"/>
          <w:lang w:eastAsia="zh-CN"/>
        </w:rPr>
        <w:t xml:space="preserve">应适用</w:t>
      </w:r>
      <w:r>
        <w:rPr>
          <w:rFonts w:hint="eastAsia"/>
          <w:highlight w:val="none"/>
          <w:lang w:val="en-US" w:eastAsia="zh-CN"/>
        </w:rPr>
        <w:t xml:space="preserve">GB/T 3325-2024《金属家具通用技术条件》</w:t>
      </w:r>
      <w:r>
        <w:rPr>
          <w:rFonts w:hint="eastAsia" w:ascii="宋体" w:hAnsi="宋体" w:cs="宋体"/>
          <w:bCs/>
          <w:szCs w:val="21"/>
          <w:highlight w:val="none"/>
        </w:rPr>
        <w:t xml:space="preserve">标准</w:t>
      </w:r>
      <w:r>
        <w:rPr>
          <w:rFonts w:hint="eastAsia" w:ascii="宋体" w:hAnsi="宋体" w:cs="宋体"/>
          <w:bCs/>
          <w:szCs w:val="21"/>
        </w:rPr>
        <w:t xml:space="preserve">。</w:t>
      </w:r>
      <w:r/>
    </w:p>
    <w:p>
      <w:pPr>
        <w:ind w:firstLine="630"/>
        <w:spacing w:line="500" w:lineRule="exact"/>
        <w:rPr>
          <w:rFonts w:ascii="宋体" w:hAnsi="宋体" w:cs="宋体"/>
          <w:bCs/>
          <w:szCs w:val="21"/>
        </w:rPr>
      </w:pPr>
      <w:r>
        <w:rPr>
          <w:rFonts w:hint="eastAsia" w:ascii="宋体" w:hAnsi="宋体" w:cs="宋体"/>
          <w:bCs/>
          <w:szCs w:val="21"/>
        </w:rPr>
        <w:t xml:space="preserve">（1）、坐</w:t>
      </w:r>
      <w:r>
        <w:rPr>
          <w:rFonts w:hint="eastAsia" w:ascii="宋体" w:hAnsi="宋体" w:cs="宋体"/>
          <w:bCs/>
          <w:szCs w:val="21"/>
          <w:highlight w:val="none"/>
        </w:rPr>
        <w:t xml:space="preserve">靠板：原生聚丙烯（PP）+30% 玻璃纤维材料（GF30）</w:t>
      </w: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829945</wp:posOffset>
                </wp:positionH>
                <wp:positionV relativeFrom="paragraph">
                  <wp:posOffset>744220</wp:posOffset>
                </wp:positionV>
                <wp:extent cx="3562350" cy="2672080"/>
                <wp:effectExtent l="0" t="0" r="6350" b="7620"/>
                <wp:wrapThrough wrapText="bothSides">
                  <wp:wrapPolygon edited="1">
                    <wp:start x="0" y="0"/>
                    <wp:lineTo x="0" y="21456"/>
                    <wp:lineTo x="21561" y="21456"/>
                    <wp:lineTo x="21561" y="0"/>
                    <wp:lineTo x="0" y="0"/>
                  </wp:wrapPolygon>
                </wp:wrapThrough>
                <wp:docPr id="7" name="图片 6" descr="bb8d4e87e0ede2c1a652339a5c2264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b8d4e87e0ede2c1a652339a5c2264b2"/>
                        <pic:cNvPicPr>
                          <a:picLocks noChangeAspect="1"/>
                        </pic:cNvPicPr>
                        <pic:nvPr/>
                      </pic:nvPicPr>
                      <pic:blipFill>
                        <a:blip r:embed="rId19"/>
                        <a:stretch/>
                      </pic:blipFill>
                      <pic:spPr bwMode="auto">
                        <a:xfrm>
                          <a:off x="0" y="0"/>
                          <a:ext cx="3562350" cy="26720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65.3pt;mso-position-horizontal:absolute;mso-position-vertical-relative:text;margin-top:58.6pt;mso-position-vertical:absolute;width:280.5pt;height:210.4pt;mso-wrap-distance-left:9.0pt;mso-wrap-distance-top:0.0pt;mso-wrap-distance-right:9.0pt;mso-wrap-distance-bottom:0.0pt;" wrapcoords="0 0 0 99333 99819 99333 99819 0 0 0" stroked="false">
                <v:path textboxrect="0,0,0,0"/>
                <w10:wrap type="through"/>
                <v:imagedata r:id="rId19" o:title=""/>
              </v:shape>
            </w:pict>
          </mc:Fallback>
        </mc:AlternateConten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椅架：采用直</w:t>
      </w:r>
      <w:r>
        <w:rPr>
          <w:rFonts w:hint="eastAsia" w:ascii="宋体" w:hAnsi="宋体" w:cs="宋体"/>
          <w:bCs/>
          <w:szCs w:val="21"/>
        </w:rPr>
        <w:t xml:space="preserve">径不低于16mm*厚度1.5mm圆管。</w:t>
      </w:r>
      <w:r/>
    </w:p>
    <w:p>
      <w:pPr>
        <w:numPr>
          <w:ilvl w:val="255"/>
          <w:numId w:val="0"/>
        </w:numPr>
        <w:spacing w:line="500" w:lineRule="exact"/>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br w:type="page" w:clear="all"/>
      </w:r>
      <w:r/>
    </w:p>
    <w:p>
      <w:pPr>
        <w:pStyle w:val="1232"/>
        <w:rPr>
          <w:rFonts w:ascii="宋体" w:hAnsi="宋体" w:cs="宋体"/>
          <w:b/>
          <w:color w:val="000000"/>
        </w:rPr>
      </w:pPr>
      <w:r>
        <w:rPr>
          <w:rFonts w:hint="eastAsia" w:ascii="宋体" w:hAnsi="宋体" w:cs="宋体"/>
          <w:b/>
          <w:color w:val="000000"/>
        </w:rPr>
        <w:t xml:space="preserve">三、检测要求</w:t>
      </w:r>
      <w:r/>
    </w:p>
    <w:p>
      <w:pPr>
        <w:ind w:firstLine="632"/>
        <w:spacing w:line="500" w:lineRule="exact"/>
        <w:rPr>
          <w:rFonts w:ascii="宋体" w:hAnsi="宋体" w:cs="宋体"/>
          <w:b/>
          <w:bCs/>
          <w:szCs w:val="21"/>
        </w:rPr>
      </w:pPr>
      <w:r>
        <w:rPr>
          <w:rFonts w:hint="eastAsia" w:ascii="宋体" w:hAnsi="宋体" w:cs="宋体"/>
          <w:b/>
          <w:bCs/>
          <w:color w:val="000000"/>
          <w:szCs w:val="21"/>
        </w:rPr>
        <w:t xml:space="preserve">供应商或所投产品制造商</w:t>
      </w:r>
      <w:r>
        <w:rPr>
          <w:rFonts w:hint="eastAsia" w:ascii="宋体" w:hAnsi="宋体" w:cs="宋体"/>
          <w:b/>
          <w:bCs/>
          <w:szCs w:val="21"/>
        </w:rPr>
        <w:t xml:space="preserve">具有2022年以来带CMA标志的成品检测报告，具体要求如下：</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1.双层床检验报告</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应符合GB/T 3325-2024《金属家具通用技术条件》、GB 28008-2024《家具结构安全技术规范》、GB/T 10125-2021《人造气氛腐蚀试验 盐雾试验》标准的要求，检测项目包括但不限于：外观；理化性能；力学性能中强度和耐久性、双层床稳定性；安全性能中的结构安全，其中金属涂层中性盐雾试验（NSS）时长为96小时，以上检测均为合格。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2.书桌检验报告</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应符合GB/T 3324-2024《木家具通用技术条件》标准的要求，检测项目包括但不限于：外观；理化性能；力学性能中强度和耐久性、桌类稳定性；结构安全性；有害物质限量；以上检测均为合格。</w:t>
      </w:r>
      <w:r/>
    </w:p>
    <w:p>
      <w:pPr>
        <w:ind w:firstLine="630"/>
        <w:spacing w:line="500" w:lineRule="exact"/>
        <w:rPr>
          <w:rFonts w:hint="default"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3.</w:t>
      </w:r>
      <w:r>
        <w:rPr>
          <w:rFonts w:hint="default" w:ascii="宋体" w:hAnsi="宋体" w:cs="宋体"/>
          <w:b w:val="0"/>
          <w:bCs w:val="0"/>
          <w:color w:val="000000"/>
          <w:szCs w:val="21"/>
          <w:lang w:val="en-US" w:eastAsia="zh-CN"/>
        </w:rPr>
        <w:t xml:space="preserve">公寓椅检验报告</w:t>
      </w:r>
      <w:r/>
    </w:p>
    <w:p>
      <w:pPr>
        <w:ind w:firstLine="630"/>
        <w:spacing w:line="500" w:lineRule="exact"/>
        <w:rPr>
          <w:rFonts w:hint="default" w:ascii="宋体" w:hAnsi="宋体" w:cs="宋体"/>
          <w:b w:val="0"/>
          <w:bCs w:val="0"/>
          <w:color w:val="000000"/>
          <w:szCs w:val="21"/>
          <w:lang w:val="en-US" w:eastAsia="zh-CN"/>
        </w:rPr>
      </w:pPr>
      <w:r>
        <w:rPr>
          <w:rFonts w:hint="default" w:ascii="宋体" w:hAnsi="宋体" w:cs="宋体"/>
          <w:b w:val="0"/>
          <w:bCs w:val="0"/>
          <w:color w:val="000000"/>
          <w:szCs w:val="21"/>
          <w:lang w:val="en-US" w:eastAsia="zh-CN"/>
        </w:rPr>
        <w:t xml:space="preserve">应符合GB/T 3325-2024《金属家具通用技术条件》标准的要求，检测项目包括但不限于：力学性能中的椅凳类强度和耐久性、椅凳类稳定性；以上检测均为合格。</w:t>
      </w:r>
      <w:r/>
    </w:p>
    <w:p>
      <w:pPr>
        <w:ind w:firstLine="632"/>
        <w:spacing w:line="500" w:lineRule="exact"/>
        <w:rPr>
          <w:rFonts w:hint="eastAsia" w:ascii="宋体" w:hAnsi="宋体" w:cs="宋体"/>
          <w:b/>
          <w:bCs/>
          <w:szCs w:val="21"/>
        </w:rPr>
      </w:pPr>
      <w:r>
        <w:rPr>
          <w:rFonts w:hint="eastAsia" w:ascii="宋体" w:hAnsi="宋体" w:cs="宋体"/>
          <w:b/>
          <w:bCs/>
          <w:color w:val="000000"/>
          <w:szCs w:val="21"/>
        </w:rPr>
        <w:t xml:space="preserve">供应商或所投产品制造商</w:t>
      </w:r>
      <w:r>
        <w:rPr>
          <w:rFonts w:hint="eastAsia" w:ascii="宋体" w:hAnsi="宋体" w:cs="宋体"/>
          <w:b/>
          <w:bCs/>
          <w:szCs w:val="21"/>
        </w:rPr>
        <w:t xml:space="preserve">具有2022年以来带CMA标志的原材料检测报告，具体要求如下：</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1.铰链检验报告：应符合QB/T 2189-2013《家具五金 杯状暗铰链》标准的要求，检测内容至少包括：过载检测合格。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2.导轨检验报告：应符合QB/T 2454-2013《家具五金 抽屉导轨》标准的要求，检测内容至少包括：过载检测合格。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3.封边条检验报告：应符合QB/T 4463-2025《家具用封边条》标准的要求，检测内容至少包括：理化性能检测合格；可迁移元素含量检测合格；氯乙烯单体含量检测合格。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4.塑粉检验报告：应符合HG/T 2006-2022 《热固性和热塑性粉末涂料》 标准的要求，检测内容至少包括：耐盐雾性检测合格；耐湿性检测合格。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5.床立柱抽样检验报告,应符合GB/T 3325-2024《金属家具通用技术条件》标准，检测内容至少包括：外观性能金属件喷漆（塑）涂层检测合格；理化性能金属喷漆（塑）涂层检测合格。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6.床梁抽样检验报告,应符合GB/T 3325-2024《金属家具通用技术条件》，检测内容至少包括：外观性能金属件喷漆（塑）涂层检测合格；理化性能金属喷漆（塑）涂层检测合格。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7.防火板检验报告：应符合GB/T 7911-2024《热固性树脂浸渍纸高压装饰层积板》标准的要求，检测项目至少包括：密度、表面耐磨、耐沸水、甲醛释放量、苯酚释放量、阻燃性能。</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其中GB/T 39600-2021《人造板及其制品甲醛释放量分级》，甲醛释放量达到 E0 级（≤0.050 mg/m³），GB/T 7911-2024《热固性树脂浸渍纸高压装饰层积板》），燃烧性能达到B1 级（难燃）；密度、表面耐磨、耐沸水、苯酚释放量含量，结果均合格。</w:t>
      </w:r>
      <w:r/>
    </w:p>
    <w:p>
      <w:pPr>
        <w:ind w:firstLine="630"/>
        <w:spacing w:line="50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8.胶合板（实木多层板）检验报告：应符合 GB/T 9846-2015《普通胶合板》 要求，检测项目至少包括：胶合强度、静曲强度、甲醛释放量；胶合强度、静曲强度检测结果均合格，在合格的基础上甲醛释放量应符合 GB/T 39600-2021《人造板及其制品甲醛释放量分级》。</w:t>
      </w:r>
      <w:r/>
    </w:p>
    <w:p>
      <w:pPr>
        <w:spacing w:line="500" w:lineRule="exact"/>
        <w:rPr>
          <w:rFonts w:hint="default" w:ascii="宋体" w:hAnsi="宋体" w:eastAsia="宋体" w:cs="宋体"/>
          <w:b/>
          <w:szCs w:val="21"/>
          <w:lang w:val="en-US" w:eastAsia="zh-CN"/>
        </w:rPr>
      </w:pPr>
      <w:r>
        <w:rPr>
          <w:rFonts w:hint="eastAsia" w:ascii="宋体" w:hAnsi="宋体" w:cs="宋体"/>
          <w:b/>
          <w:szCs w:val="21"/>
        </w:rPr>
        <w:t xml:space="preserve">四、</w:t>
      </w:r>
      <w:r>
        <w:rPr>
          <w:rFonts w:hint="eastAsia" w:ascii="宋体" w:hAnsi="宋体" w:cs="宋体"/>
          <w:b/>
          <w:szCs w:val="21"/>
          <w:lang w:val="en-US" w:eastAsia="zh-CN"/>
        </w:rPr>
        <w:t xml:space="preserve">其他部件、原材料适用标准</w:t>
      </w:r>
      <w:r/>
    </w:p>
    <w:p>
      <w:pPr>
        <w:ind w:firstLine="630"/>
        <w:spacing w:line="500" w:lineRule="exact"/>
        <w:rPr>
          <w:rFonts w:ascii="宋体" w:hAnsi="宋体" w:cs="宋体"/>
          <w:bCs/>
          <w:color w:val="000000" w:themeColor="text1"/>
          <w:szCs w:val="21"/>
          <w14:textFill>
            <w14:solidFill>
              <w14:schemeClr w14:val="tx1"/>
            </w14:solidFill>
          </w14:textFill>
        </w:rPr>
      </w:pPr>
      <w:r>
        <w:rPr>
          <w:rFonts w:hint="eastAsia" w:ascii="宋体" w:hAnsi="宋体" w:cs="宋体"/>
          <w:bCs/>
          <w:szCs w:val="21"/>
        </w:rPr>
        <w:t xml:space="preserve">HG/T 2006-2022《热固性和热塑性粉末涂料》、QB/T 2189-2013《家具五金 杯状暗铰链》、QB/T 2454-2013《家具五金 抽屉导轨》、</w:t>
      </w:r>
      <w:r>
        <w:rPr>
          <w:rFonts w:hint="eastAsia"/>
          <w:shd w:val="clear" w:color="auto" w:fill="ffffff"/>
        </w:rPr>
        <w:t xml:space="preserve">GB 28008-2024《家具结构安全技术规范》</w:t>
      </w:r>
      <w:r>
        <w:rPr>
          <w:rFonts w:hint="eastAsia" w:ascii="宋体" w:hAnsi="宋体" w:cs="宋体"/>
          <w:bCs/>
          <w:szCs w:val="21"/>
        </w:rPr>
        <w:t xml:space="preserve">、GB/T 28203-2011《家具用连接件技术要求及试验方法》</w:t>
      </w:r>
      <w:r>
        <w:rPr>
          <w:rFonts w:hint="eastAsia" w:ascii="宋体" w:hAnsi="宋体" w:cs="宋体"/>
          <w:bCs/>
          <w:color w:val="000000" w:themeColor="text1"/>
          <w:szCs w:val="21"/>
          <w14:textFill>
            <w14:solidFill>
              <w14:schemeClr w14:val="tx1"/>
            </w14:solidFill>
          </w14:textFill>
        </w:rPr>
        <w:t xml:space="preserve">。</w:t>
      </w:r>
      <w:r/>
    </w:p>
    <w:p>
      <w:pPr>
        <w:ind w:firstLine="630"/>
        <w:spacing w:line="500" w:lineRule="exact"/>
        <w:rPr>
          <w:rFonts w:ascii="宋体" w:hAnsi="宋体" w:cs="宋体"/>
          <w:bCs/>
          <w:szCs w:val="21"/>
        </w:rPr>
      </w:pPr>
      <w:r>
        <w:rPr>
          <w:rFonts w:ascii="宋体" w:hAnsi="宋体" w:cs="宋体"/>
          <w:bCs/>
          <w:szCs w:val="21"/>
        </w:rPr>
      </w:r>
      <w:r/>
    </w:p>
    <w:p>
      <w:pPr>
        <w:spacing w:line="500" w:lineRule="exact"/>
        <w:rPr>
          <w:rFonts w:ascii="宋体" w:hAnsi="宋体" w:cs="宋体"/>
          <w:b/>
          <w:color w:val="000000"/>
          <w:szCs w:val="21"/>
        </w:rPr>
      </w:pPr>
      <w:r>
        <w:rPr>
          <w:rFonts w:hint="eastAsia" w:ascii="宋体" w:hAnsi="宋体" w:cs="宋体"/>
          <w:b/>
          <w:color w:val="7030a0"/>
          <w:szCs w:val="21"/>
        </w:rPr>
        <w:t xml:space="preserve">五</w:t>
      </w:r>
      <w:r>
        <w:rPr>
          <w:rFonts w:hint="eastAsia" w:ascii="宋体" w:hAnsi="宋体" w:cs="宋体"/>
          <w:b/>
          <w:color w:val="000000"/>
          <w:szCs w:val="21"/>
        </w:rPr>
        <w:t xml:space="preserve">、采购项目投标币种，付款，交付或者实施的时间和地点</w:t>
      </w:r>
      <w:r/>
    </w:p>
    <w:p>
      <w:pPr>
        <w:ind w:firstLine="420"/>
        <w:jc w:val="left"/>
        <w:spacing w:line="500" w:lineRule="exact"/>
        <w:rPr>
          <w:rFonts w:ascii="宋体" w:hAnsi="宋体"/>
          <w:szCs w:val="21"/>
        </w:rPr>
      </w:pPr>
      <w:r>
        <w:rPr>
          <w:rFonts w:hint="eastAsia" w:ascii="宋体" w:hAnsi="宋体"/>
          <w:szCs w:val="21"/>
        </w:rPr>
        <w:t xml:space="preserve">1.投标币种：人民币；</w:t>
      </w:r>
      <w:r/>
    </w:p>
    <w:p>
      <w:pPr>
        <w:ind w:firstLine="420"/>
        <w:jc w:val="left"/>
        <w:spacing w:line="500" w:lineRule="exact"/>
        <w:rPr>
          <w:rFonts w:ascii="宋体" w:hAnsi="宋体"/>
          <w:szCs w:val="21"/>
        </w:rPr>
      </w:pPr>
      <w:r>
        <w:rPr>
          <w:rFonts w:hint="eastAsia" w:ascii="宋体" w:hAnsi="宋体"/>
          <w:szCs w:val="21"/>
        </w:rPr>
        <w:t xml:space="preserve">2.履约保证金：中标后，中标人需交纳中标金额5%的履约保证金，履约保证金</w:t>
      </w:r>
      <w:r>
        <w:rPr>
          <w:rFonts w:hint="eastAsia"/>
        </w:rPr>
        <w:t xml:space="preserve">在项目验收合格后一年内且经用户单位确认质量、服务无问题的情况下退还（不计息）</w:t>
      </w:r>
      <w:r>
        <w:rPr>
          <w:rFonts w:hint="eastAsia" w:ascii="宋体" w:hAnsi="宋体"/>
          <w:szCs w:val="21"/>
        </w:rPr>
        <w:t xml:space="preserve">。</w:t>
      </w:r>
      <w:r/>
    </w:p>
    <w:p>
      <w:pPr>
        <w:ind w:firstLine="422"/>
        <w:jc w:val="left"/>
        <w:spacing w:line="500" w:lineRule="exact"/>
        <w:rPr>
          <w:rFonts w:ascii="宋体" w:hAnsi="宋体"/>
          <w:b/>
          <w:bCs/>
          <w:szCs w:val="21"/>
        </w:rPr>
      </w:pPr>
      <w:r>
        <w:rPr>
          <w:rFonts w:hint="eastAsia" w:ascii="宋体" w:hAnsi="宋体"/>
          <w:b/>
          <w:bCs/>
          <w:szCs w:val="21"/>
        </w:rPr>
        <w:t xml:space="preserve">履约保证金汇款账户信息：</w:t>
      </w:r>
      <w:r/>
    </w:p>
    <w:p>
      <w:pPr>
        <w:ind w:firstLine="420"/>
        <w:jc w:val="left"/>
        <w:spacing w:line="500" w:lineRule="exact"/>
        <w:rPr>
          <w:rFonts w:ascii="宋体" w:hAnsi="宋体"/>
          <w:szCs w:val="21"/>
        </w:rPr>
      </w:pPr>
      <w:r>
        <w:rPr>
          <w:rFonts w:hint="eastAsia" w:ascii="宋体" w:hAnsi="宋体"/>
          <w:szCs w:val="21"/>
        </w:rPr>
        <w:t xml:space="preserve">名称：南京师范大学</w:t>
      </w:r>
      <w:r/>
    </w:p>
    <w:p>
      <w:pPr>
        <w:ind w:firstLine="420"/>
        <w:jc w:val="left"/>
        <w:spacing w:line="500" w:lineRule="exact"/>
        <w:rPr>
          <w:rFonts w:ascii="宋体" w:hAnsi="宋体"/>
          <w:szCs w:val="21"/>
        </w:rPr>
      </w:pPr>
      <w:r>
        <w:rPr>
          <w:rFonts w:hint="eastAsia" w:ascii="宋体" w:hAnsi="宋体"/>
          <w:szCs w:val="21"/>
        </w:rPr>
        <w:t xml:space="preserve">纳税人识别号：123200004660067976</w:t>
      </w:r>
      <w:r/>
    </w:p>
    <w:p>
      <w:pPr>
        <w:ind w:firstLine="420"/>
        <w:jc w:val="left"/>
        <w:spacing w:line="500" w:lineRule="exact"/>
        <w:rPr>
          <w:rFonts w:ascii="宋体" w:hAnsi="宋体"/>
          <w:szCs w:val="21"/>
        </w:rPr>
      </w:pPr>
      <w:r>
        <w:rPr>
          <w:rFonts w:hint="eastAsia" w:ascii="宋体" w:hAnsi="宋体"/>
          <w:szCs w:val="21"/>
        </w:rPr>
        <w:t xml:space="preserve">地址：江苏省南京市文苑路1号</w:t>
      </w:r>
      <w:r/>
    </w:p>
    <w:p>
      <w:pPr>
        <w:ind w:firstLine="420"/>
        <w:jc w:val="left"/>
        <w:spacing w:line="500" w:lineRule="exact"/>
        <w:rPr>
          <w:rFonts w:ascii="宋体" w:hAnsi="宋体"/>
          <w:szCs w:val="21"/>
        </w:rPr>
      </w:pPr>
      <w:r>
        <w:rPr>
          <w:rFonts w:hint="eastAsia" w:ascii="宋体" w:hAnsi="宋体"/>
          <w:szCs w:val="21"/>
        </w:rPr>
        <w:t xml:space="preserve">电话：025-83598180</w:t>
      </w:r>
      <w:r/>
    </w:p>
    <w:p>
      <w:pPr>
        <w:ind w:firstLine="420"/>
        <w:jc w:val="left"/>
        <w:spacing w:line="500" w:lineRule="exact"/>
        <w:rPr>
          <w:rFonts w:ascii="宋体" w:hAnsi="宋体"/>
          <w:szCs w:val="21"/>
        </w:rPr>
      </w:pPr>
      <w:r>
        <w:rPr>
          <w:rFonts w:hint="eastAsia" w:ascii="宋体" w:hAnsi="宋体"/>
          <w:szCs w:val="21"/>
        </w:rPr>
        <w:t xml:space="preserve">开户行：交通银行南京广州路支行</w:t>
      </w:r>
      <w:r/>
    </w:p>
    <w:p>
      <w:pPr>
        <w:ind w:firstLine="420"/>
        <w:jc w:val="left"/>
        <w:spacing w:line="500" w:lineRule="exact"/>
        <w:rPr>
          <w:rFonts w:ascii="宋体" w:hAnsi="宋体"/>
          <w:szCs w:val="21"/>
        </w:rPr>
      </w:pPr>
      <w:r>
        <w:rPr>
          <w:rFonts w:hint="eastAsia" w:ascii="宋体" w:hAnsi="宋体"/>
          <w:szCs w:val="21"/>
        </w:rPr>
        <w:t xml:space="preserve">账号：320006607010149040493</w:t>
      </w:r>
      <w:r/>
    </w:p>
    <w:p>
      <w:pPr>
        <w:ind w:firstLine="420"/>
        <w:jc w:val="left"/>
        <w:spacing w:line="500" w:lineRule="exact"/>
        <w:rPr>
          <w:szCs w:val="21"/>
        </w:rPr>
      </w:pPr>
      <w:r>
        <w:rPr>
          <w:rFonts w:hint="eastAsia" w:ascii="宋体" w:hAnsi="宋体"/>
          <w:szCs w:val="21"/>
        </w:rPr>
        <w:t xml:space="preserve">联行号：301301000476</w:t>
      </w:r>
      <w:r/>
    </w:p>
    <w:p>
      <w:pPr>
        <w:ind w:firstLine="420"/>
        <w:jc w:val="left"/>
        <w:spacing w:line="500" w:lineRule="exact"/>
        <w:rPr>
          <w:rFonts w:ascii="宋体" w:hAnsi="宋体"/>
          <w:szCs w:val="21"/>
        </w:rPr>
      </w:pPr>
      <w:r>
        <w:rPr>
          <w:rFonts w:hint="eastAsia" w:ascii="宋体" w:hAnsi="宋体"/>
          <w:szCs w:val="21"/>
        </w:rPr>
        <w:t xml:space="preserve">3.付款方式：合同签订后二周内，采购人支付合同总金额的30%</w:t>
      </w:r>
      <w:r>
        <w:rPr>
          <w:rFonts w:hint="eastAsia" w:ascii="宋体" w:hAnsi="宋体"/>
          <w:szCs w:val="21"/>
          <w:lang w:val="en-US" w:eastAsia="zh-CN"/>
        </w:rPr>
        <w:t xml:space="preserve">作为</w:t>
      </w:r>
      <w:r>
        <w:rPr>
          <w:rFonts w:hint="eastAsia" w:ascii="宋体" w:hAnsi="宋体"/>
          <w:szCs w:val="21"/>
        </w:rPr>
        <w:t xml:space="preserve">预付款；</w:t>
      </w:r>
      <w:r/>
    </w:p>
    <w:p>
      <w:pPr>
        <w:ind w:firstLine="420"/>
        <w:jc w:val="left"/>
        <w:spacing w:line="500" w:lineRule="exact"/>
        <w:rPr>
          <w:rFonts w:ascii="宋体" w:hAnsi="宋体"/>
          <w:szCs w:val="21"/>
        </w:rPr>
      </w:pPr>
      <w:r>
        <w:rPr>
          <w:rFonts w:hint="eastAsia" w:ascii="宋体" w:hAnsi="宋体"/>
          <w:szCs w:val="21"/>
        </w:rPr>
        <w:t xml:space="preserve">货物到现场安装完成、调试合格后，单据齐全，经采购人组织专业验收合格后十日内，采购人付至合同</w:t>
      </w:r>
      <w:r>
        <w:rPr>
          <w:rFonts w:hint="eastAsia" w:ascii="宋体" w:hAnsi="宋体"/>
          <w:szCs w:val="21"/>
          <w:lang w:val="en-US" w:eastAsia="zh-CN"/>
        </w:rPr>
        <w:t xml:space="preserve">总价</w:t>
      </w:r>
      <w:r>
        <w:rPr>
          <w:rFonts w:hint="eastAsia" w:ascii="宋体" w:hAnsi="宋体"/>
          <w:szCs w:val="21"/>
        </w:rPr>
        <w:t xml:space="preserve">的100%。</w:t>
      </w:r>
      <w:r/>
    </w:p>
    <w:p>
      <w:pPr>
        <w:ind w:firstLine="420"/>
        <w:jc w:val="left"/>
        <w:spacing w:line="500" w:lineRule="exact"/>
        <w:rPr>
          <w:rFonts w:ascii="宋体" w:hAnsi="宋体"/>
          <w:szCs w:val="21"/>
        </w:rPr>
      </w:pPr>
      <w:r>
        <w:rPr>
          <w:rFonts w:hint="eastAsia" w:ascii="宋体" w:hAnsi="宋体"/>
          <w:szCs w:val="21"/>
        </w:rPr>
        <w:t xml:space="preserve">结算时，在接到采购人开具发票通知后，中标供应商应按照采购人要求，及时开具增值税专用发票。 </w:t>
      </w:r>
      <w:r/>
    </w:p>
    <w:p>
      <w:pPr>
        <w:ind w:firstLine="420"/>
        <w:jc w:val="left"/>
        <w:spacing w:line="500" w:lineRule="exact"/>
        <w:rPr>
          <w:rFonts w:ascii="宋体" w:hAnsi="宋体"/>
          <w:szCs w:val="21"/>
        </w:rPr>
      </w:pPr>
      <w:r>
        <w:rPr>
          <w:rFonts w:hint="eastAsia" w:ascii="宋体" w:hAnsi="宋体"/>
          <w:szCs w:val="21"/>
        </w:rPr>
        <w:t xml:space="preserve">4.供货期：合同签订生效后40天内将家具运抵采购人实地现场并完成安装。同时，所有家具必须根据采购人要求完成安装加固、调试、检测，直至验收合格，交付采购人使用</w:t>
      </w:r>
      <w:r>
        <w:rPr>
          <w:rFonts w:hint="eastAsia" w:ascii="宋体" w:hAnsi="宋体"/>
          <w:szCs w:val="21"/>
          <w:lang w:eastAsia="zh-CN"/>
        </w:rPr>
        <w:t xml:space="preserve">。</w:t>
      </w:r>
      <w:r>
        <w:rPr>
          <w:rFonts w:hint="eastAsia" w:ascii="宋体" w:hAnsi="宋体"/>
          <w:b/>
          <w:bCs/>
          <w:szCs w:val="21"/>
        </w:rPr>
        <w:t xml:space="preserve">（供应商须提供书面盖章承诺书</w:t>
      </w:r>
      <w:r>
        <w:rPr>
          <w:rFonts w:hint="eastAsia" w:ascii="宋体" w:hAnsi="宋体"/>
          <w:b/>
          <w:bCs/>
          <w:szCs w:val="21"/>
          <w:lang w:eastAsia="zh-CN"/>
        </w:rPr>
        <w:t xml:space="preserve">，</w:t>
      </w:r>
      <w:r>
        <w:rPr>
          <w:rFonts w:hint="eastAsia" w:ascii="宋体" w:hAnsi="宋体"/>
          <w:b/>
          <w:bCs/>
          <w:szCs w:val="21"/>
          <w:lang w:val="en-US" w:eastAsia="zh-CN"/>
        </w:rPr>
        <w:t xml:space="preserve">如不提供按照无效投标处理</w:t>
      </w:r>
      <w:r>
        <w:rPr>
          <w:rFonts w:hint="eastAsia" w:ascii="宋体" w:hAnsi="宋体"/>
          <w:b/>
          <w:bCs/>
          <w:szCs w:val="21"/>
        </w:rPr>
        <w:t xml:space="preserve">）</w:t>
      </w:r>
      <w:r/>
    </w:p>
    <w:p>
      <w:pPr>
        <w:ind w:firstLine="420"/>
        <w:jc w:val="left"/>
        <w:spacing w:line="500" w:lineRule="exact"/>
        <w:rPr>
          <w:rFonts w:hint="eastAsia" w:ascii="宋体" w:hAnsi="宋体"/>
          <w:szCs w:val="21"/>
        </w:rPr>
      </w:pPr>
      <w:r>
        <w:rPr>
          <w:rFonts w:hint="eastAsia" w:ascii="宋体" w:hAnsi="宋体"/>
          <w:szCs w:val="21"/>
        </w:rPr>
        <w:t xml:space="preserve">中标供应商每延迟1日，判罚其合同总额千分之一%的违约赔偿金给采购人。</w:t>
      </w:r>
      <w:r/>
    </w:p>
    <w:p>
      <w:pPr>
        <w:ind w:firstLine="420"/>
        <w:jc w:val="left"/>
        <w:spacing w:line="500" w:lineRule="exact"/>
        <w:rPr>
          <w:rFonts w:ascii="宋体" w:hAnsi="宋体"/>
          <w:szCs w:val="21"/>
        </w:rPr>
      </w:pPr>
      <w:r>
        <w:rPr>
          <w:rFonts w:hint="eastAsia" w:ascii="宋体" w:hAnsi="宋体"/>
          <w:szCs w:val="21"/>
        </w:rPr>
        <w:t xml:space="preserve">5.监督管理要求</w:t>
      </w:r>
      <w:r/>
    </w:p>
    <w:p>
      <w:pPr>
        <w:ind w:firstLine="420"/>
        <w:jc w:val="left"/>
        <w:spacing w:line="500" w:lineRule="exact"/>
        <w:rPr>
          <w:rFonts w:ascii="宋体" w:hAnsi="宋体"/>
          <w:szCs w:val="21"/>
        </w:rPr>
      </w:pPr>
      <w:r>
        <w:rPr>
          <w:rFonts w:hint="eastAsia" w:ascii="宋体" w:hAnsi="宋体"/>
          <w:szCs w:val="21"/>
        </w:rPr>
        <w:t xml:space="preserve">本项目实施全过程接受采购人监督管理，采购人拥有全过程生产现场巡查、原材料核查、进度监督权利，中标供应商须无条件全面配合，相关费用全部包含在投标总价中，采购人无需另行付费。</w:t>
      </w:r>
      <w:r/>
    </w:p>
    <w:p>
      <w:pPr>
        <w:ind w:firstLine="420"/>
        <w:jc w:val="left"/>
        <w:spacing w:line="500" w:lineRule="exact"/>
        <w:rPr>
          <w:rFonts w:ascii="宋体" w:hAnsi="宋体"/>
          <w:szCs w:val="21"/>
        </w:rPr>
      </w:pPr>
      <w:r>
        <w:rPr>
          <w:rFonts w:hint="eastAsia" w:ascii="宋体" w:hAnsi="宋体"/>
          <w:szCs w:val="21"/>
        </w:rPr>
        <w:t xml:space="preserve">1）原材料质量管控与现场核查要求</w:t>
      </w:r>
      <w:r/>
    </w:p>
    <w:p>
      <w:pPr>
        <w:ind w:firstLine="420"/>
        <w:jc w:val="left"/>
        <w:spacing w:line="500" w:lineRule="exact"/>
        <w:rPr>
          <w:rFonts w:ascii="宋体" w:hAnsi="宋体"/>
          <w:szCs w:val="21"/>
        </w:rPr>
      </w:pPr>
      <w:r>
        <w:rPr>
          <w:rFonts w:hint="eastAsia" w:ascii="宋体" w:hAnsi="宋体"/>
          <w:szCs w:val="21"/>
        </w:rPr>
        <w:t xml:space="preserve">项目所有原辅材料进场、投产前须符合国家及行业现行标准，且与投标承诺、技术参数、送检样品一致。采购人有权不定期前往生产厂区开展原材料抽检、溯源核查、封样比对，核查内容包括原材料规格、材质等级、检测报告、合格证明、批次一致性等。</w:t>
      </w:r>
      <w:r/>
    </w:p>
    <w:p>
      <w:pPr>
        <w:ind w:firstLine="420"/>
        <w:jc w:val="left"/>
        <w:spacing w:line="500" w:lineRule="exact"/>
        <w:rPr>
          <w:rFonts w:ascii="宋体" w:hAnsi="宋体"/>
          <w:szCs w:val="21"/>
        </w:rPr>
      </w:pPr>
      <w:r>
        <w:rPr>
          <w:rFonts w:hint="eastAsia" w:ascii="宋体" w:hAnsi="宋体"/>
          <w:szCs w:val="21"/>
        </w:rPr>
        <w:t xml:space="preserve">若核查发现原材料材质、参数、等级与投标承诺不符、以次充好、更换材质、使用回收料、降低用料标准等质量问题，采购人有权要求供应商无条件返工、退货、更换全部不合格原材料，由此造成的工期延误、经济损失全部由中标供应商承担，采购人保留按合同约定追究违约责任、不予验收的权利。</w:t>
      </w:r>
      <w:r/>
    </w:p>
    <w:p>
      <w:pPr>
        <w:ind w:firstLine="420"/>
        <w:jc w:val="left"/>
        <w:spacing w:line="500" w:lineRule="exact"/>
        <w:rPr>
          <w:rFonts w:ascii="宋体" w:hAnsi="宋体"/>
          <w:szCs w:val="21"/>
        </w:rPr>
      </w:pPr>
      <w:r>
        <w:rPr>
          <w:rFonts w:hint="eastAsia" w:ascii="宋体" w:hAnsi="宋体"/>
          <w:szCs w:val="21"/>
        </w:rPr>
        <w:t xml:space="preserve">2）生产全过程现场监督权利</w:t>
      </w:r>
      <w:r/>
    </w:p>
    <w:p>
      <w:pPr>
        <w:ind w:firstLine="420"/>
        <w:jc w:val="left"/>
        <w:spacing w:line="500" w:lineRule="exact"/>
        <w:rPr>
          <w:rFonts w:ascii="宋体" w:hAnsi="宋体"/>
          <w:szCs w:val="21"/>
        </w:rPr>
      </w:pPr>
      <w:r>
        <w:rPr>
          <w:rFonts w:hint="eastAsia" w:ascii="宋体" w:hAnsi="宋体"/>
          <w:szCs w:val="21"/>
        </w:rPr>
        <w:t xml:space="preserve">采购人有权根据项目进度，随时委派工作人员前往生产车间进行巡查、工序抽查、成品抽检、工艺核查，对开料、封边、喷涂、组装、焊接、成型、打磨、装配等关键生产工序进行全过程监督。中标供应商须全程配合，无条件开放生产车间、原材料仓库、成品仓库，主动提供生产台账、质检记录、批次资料、工艺流程资料，不得阻挠、隐瞒、推诿。</w:t>
      </w:r>
      <w:r/>
    </w:p>
    <w:p>
      <w:pPr>
        <w:ind w:firstLine="420"/>
        <w:jc w:val="left"/>
        <w:spacing w:line="500" w:lineRule="exact"/>
        <w:rPr>
          <w:rFonts w:ascii="宋体" w:hAnsi="宋体"/>
          <w:szCs w:val="21"/>
        </w:rPr>
      </w:pPr>
      <w:r>
        <w:rPr>
          <w:rFonts w:hint="eastAsia" w:ascii="宋体" w:hAnsi="宋体"/>
          <w:szCs w:val="21"/>
        </w:rPr>
        <w:t xml:space="preserve">3）项目进度全过程管控要求</w:t>
      </w:r>
      <w:r/>
    </w:p>
    <w:p>
      <w:pPr>
        <w:ind w:firstLine="420"/>
        <w:jc w:val="left"/>
        <w:spacing w:line="500" w:lineRule="exact"/>
        <w:rPr>
          <w:rFonts w:ascii="宋体" w:hAnsi="宋体"/>
          <w:szCs w:val="21"/>
        </w:rPr>
      </w:pPr>
      <w:r>
        <w:rPr>
          <w:rFonts w:hint="eastAsia" w:ascii="宋体" w:hAnsi="宋体"/>
          <w:szCs w:val="21"/>
        </w:rPr>
        <w:t xml:space="preserve">中标供应商须严格按照采购人要求及合同工期制定详细生产进度计划、供货计划、安装计划。采购人对项目生产进度、备货进度、发货进度、安装进度实施全过程监督。若出现进度滞后、停工、产能不足、延期风险等情况，采购人有权要求供应商立即整改、调整生产排期、增加生产及人力投入，供应商须提交书面整改及赶工方案，确保按期保质完成全部供货及安装交付。</w:t>
      </w:r>
      <w:r/>
    </w:p>
    <w:p>
      <w:pPr>
        <w:ind w:firstLine="420"/>
        <w:jc w:val="left"/>
        <w:spacing w:line="500" w:lineRule="exact"/>
        <w:rPr>
          <w:rFonts w:ascii="宋体" w:hAnsi="宋体"/>
          <w:szCs w:val="21"/>
        </w:rPr>
      </w:pPr>
      <w:r>
        <w:rPr>
          <w:rFonts w:hint="eastAsia" w:ascii="宋体" w:hAnsi="宋体"/>
          <w:szCs w:val="21"/>
        </w:rPr>
        <w:t xml:space="preserve">4）过程质量与成品管控要求</w:t>
      </w:r>
      <w:r/>
    </w:p>
    <w:p>
      <w:pPr>
        <w:ind w:firstLine="420"/>
        <w:jc w:val="left"/>
        <w:spacing w:line="500" w:lineRule="exact"/>
        <w:rPr>
          <w:rFonts w:ascii="宋体" w:hAnsi="宋体"/>
          <w:szCs w:val="21"/>
        </w:rPr>
      </w:pPr>
      <w:r>
        <w:rPr>
          <w:rFonts w:hint="eastAsia" w:ascii="宋体" w:hAnsi="宋体"/>
          <w:szCs w:val="21"/>
        </w:rPr>
        <w:t xml:space="preserve">生产过程中所有成品、半成品质量须严格对应本项目技术标准及国家、行业现行规范要求，采购人有权对半成品、在制品、成品进行随机抽检，对不合格工序、不合格半成品有权要求立即报废、返工重做，所有返工、整改、复检费用由中标供应商自行承担，不得以此申请工期顺延及费用增加。</w:t>
      </w:r>
      <w:r/>
    </w:p>
    <w:p>
      <w:pPr>
        <w:numPr>
          <w:ilvl w:val="0"/>
          <w:numId w:val="10"/>
        </w:numPr>
        <w:ind w:firstLine="420"/>
        <w:jc w:val="left"/>
        <w:spacing w:line="500" w:lineRule="exact"/>
        <w:rPr>
          <w:rFonts w:ascii="宋体" w:hAnsi="宋体"/>
          <w:szCs w:val="21"/>
        </w:rPr>
      </w:pPr>
      <w:r>
        <w:rPr>
          <w:rFonts w:hint="eastAsia" w:ascii="宋体" w:hAnsi="宋体"/>
          <w:szCs w:val="21"/>
        </w:rPr>
        <w:t xml:space="preserve">验收要求</w:t>
      </w:r>
      <w:r/>
    </w:p>
    <w:p>
      <w:pPr>
        <w:ind w:firstLine="420"/>
        <w:jc w:val="left"/>
        <w:spacing w:line="500" w:lineRule="exact"/>
        <w:rPr>
          <w:rFonts w:ascii="宋体" w:hAnsi="宋体"/>
          <w:szCs w:val="21"/>
        </w:rPr>
      </w:pPr>
      <w:r>
        <w:rPr>
          <w:rFonts w:hint="eastAsia" w:ascii="宋体" w:hAnsi="宋体"/>
          <w:szCs w:val="21"/>
        </w:rPr>
        <w:t xml:space="preserve">1）供应商负责将货物运到采购人指定地点安装到指定位置，由供应商负责办理运输和装卸等，费用由供应商负责，由采购人组织验收，检验不合格或不符合质量要求，供应商除无条件退货、返工外，还应承担采购人的一切损失。</w:t>
      </w:r>
      <w:r/>
    </w:p>
    <w:p>
      <w:pPr>
        <w:ind w:firstLine="420"/>
        <w:jc w:val="left"/>
        <w:spacing w:line="500" w:lineRule="exact"/>
        <w:rPr>
          <w:rFonts w:ascii="宋体" w:hAnsi="宋体"/>
          <w:szCs w:val="21"/>
        </w:rPr>
      </w:pPr>
      <w:r>
        <w:rPr>
          <w:rFonts w:hint="eastAsia" w:ascii="宋体" w:hAnsi="宋体"/>
          <w:szCs w:val="21"/>
        </w:rPr>
        <w:t xml:space="preserve">2）送货商品和送样样品的一致性比较、与项目需求的各类技术规格比较，如有不符，由供货人整改或换货，造成的损失由供货人承担。验收要求如下：</w:t>
      </w:r>
      <w:r/>
    </w:p>
    <w:p>
      <w:pPr>
        <w:ind w:firstLine="420"/>
        <w:spacing w:line="520" w:lineRule="exact"/>
      </w:pPr>
      <w:r>
        <w:rPr>
          <w:rFonts w:hint="eastAsia"/>
        </w:rPr>
        <w:t xml:space="preserve">a</w:t>
      </w:r>
      <w:r>
        <w:rPr>
          <w:rFonts w:hint="eastAsia"/>
        </w:rPr>
        <w:t xml:space="preserve">.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人整改或换货，造成所有的损失（包括：因此给采购造成的损失），由供货人承担。采购人可以委托第三方专业检测机构对同种类家具抽检样品，进行破坏性检测，所有检测费用由供货人承担。</w:t>
      </w:r>
      <w:r/>
    </w:p>
    <w:p>
      <w:pPr>
        <w:ind w:firstLine="480"/>
        <w:spacing w:line="520" w:lineRule="exact"/>
      </w:pPr>
      <w:r>
        <w:rPr>
          <w:rFonts w:hint="eastAsia"/>
        </w:rPr>
        <w:t xml:space="preserve">b.如质量达不到招标文件和国家有关质量</w:t>
      </w:r>
      <w:r>
        <w:rPr>
          <w:rFonts w:hint="eastAsia"/>
        </w:rPr>
        <w:t xml:space="preserve">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所有检测费用由供货人承担。</w:t>
      </w:r>
      <w:r/>
    </w:p>
    <w:p>
      <w:pPr>
        <w:ind w:firstLine="480"/>
        <w:spacing w:line="520" w:lineRule="exact"/>
      </w:pPr>
      <w:r>
        <w:rPr>
          <w:rFonts w:hint="eastAsia"/>
        </w:rPr>
        <w:t xml:space="preserve">c.中标供应商在最终验收合格之后，向采购人提供装箱清单、测试报告、产品合格证、使用说明书、保养、维护所必须的资料。</w:t>
      </w:r>
      <w:r/>
    </w:p>
    <w:p>
      <w:pPr>
        <w:ind w:firstLine="480"/>
        <w:spacing w:line="520" w:lineRule="exact"/>
      </w:pPr>
      <w:r>
        <w:rPr>
          <w:rFonts w:hint="eastAsia"/>
        </w:rPr>
        <w:t xml:space="preserve">d.货物安装完成后二个月，</w:t>
      </w:r>
      <w:r>
        <w:rPr>
          <w:rFonts w:hint="eastAsia"/>
        </w:rPr>
        <w:t xml:space="preserve">供应商需根据GB/T 188832022 《室内空气质量标准》，选择采购人和供应商双方均认可的检测机构，提供具有相关资质的检测机构出具的空气质量检测报告，一切费用由供应商自行承担。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20"/>
        <w:jc w:val="left"/>
        <w:spacing w:line="500" w:lineRule="exact"/>
        <w:rPr>
          <w:rFonts w:hint="eastAsia" w:ascii="宋体" w:hAnsi="宋体" w:eastAsia="宋体"/>
          <w:szCs w:val="21"/>
          <w:lang w:eastAsia="zh-CN"/>
        </w:rPr>
      </w:pPr>
      <w:r>
        <w:rPr>
          <w:rFonts w:hint="eastAsia" w:ascii="宋体" w:hAnsi="宋体"/>
          <w:szCs w:val="21"/>
        </w:rPr>
        <w:t xml:space="preserve">5.免费质保期：8年</w:t>
      </w:r>
      <w:r>
        <w:rPr>
          <w:rFonts w:hint="eastAsia" w:ascii="宋体" w:hAnsi="宋体"/>
          <w:szCs w:val="21"/>
          <w:lang w:eastAsia="zh-CN"/>
        </w:rPr>
        <w:t xml:space="preserve">。</w:t>
      </w:r>
      <w:r/>
    </w:p>
    <w:p>
      <w:pPr>
        <w:ind w:firstLine="420"/>
        <w:jc w:val="left"/>
        <w:spacing w:line="500" w:lineRule="exact"/>
        <w:rPr>
          <w:rFonts w:ascii="宋体" w:hAnsi="宋体"/>
          <w:szCs w:val="21"/>
        </w:rPr>
      </w:pPr>
      <w:r>
        <w:rPr>
          <w:rFonts w:ascii="宋体" w:hAnsi="宋体"/>
          <w:szCs w:val="21"/>
        </w:rPr>
      </w:r>
      <w:r/>
    </w:p>
    <w:p>
      <w:pPr>
        <w:spacing w:line="500" w:lineRule="exact"/>
        <w:rPr>
          <w:rFonts w:ascii="宋体" w:hAnsi="宋体" w:cs="宋体"/>
          <w:b/>
          <w:color w:val="000000"/>
          <w:szCs w:val="21"/>
        </w:rPr>
      </w:pPr>
      <w:r>
        <w:rPr>
          <w:rFonts w:hint="eastAsia" w:ascii="宋体" w:hAnsi="宋体" w:cs="宋体"/>
          <w:b/>
          <w:szCs w:val="21"/>
        </w:rPr>
        <w:t xml:space="preserve">六</w:t>
      </w:r>
      <w:r>
        <w:rPr>
          <w:rFonts w:hint="eastAsia" w:ascii="宋体" w:hAnsi="宋体" w:cs="宋体"/>
          <w:b/>
          <w:color w:val="000000"/>
          <w:szCs w:val="21"/>
        </w:rPr>
        <w:t xml:space="preserve">、验收标准：</w:t>
      </w:r>
      <w:r/>
    </w:p>
    <w:p>
      <w:pPr>
        <w:ind w:firstLine="420"/>
        <w:jc w:val="left"/>
        <w:spacing w:line="500" w:lineRule="exact"/>
        <w:rPr>
          <w:rFonts w:ascii="宋体" w:hAnsi="宋体"/>
          <w:szCs w:val="21"/>
        </w:rPr>
      </w:pPr>
      <w:r>
        <w:rPr>
          <w:rFonts w:hint="eastAsia" w:ascii="宋体" w:hAnsi="宋体"/>
          <w:szCs w:val="21"/>
        </w:rPr>
        <w:t xml:space="preserve">1.原厂原包装；</w:t>
      </w:r>
      <w:r/>
    </w:p>
    <w:p>
      <w:pPr>
        <w:ind w:firstLine="420"/>
        <w:jc w:val="left"/>
        <w:spacing w:line="500" w:lineRule="exact"/>
        <w:rPr>
          <w:rFonts w:ascii="宋体" w:hAnsi="宋体"/>
          <w:szCs w:val="21"/>
        </w:rPr>
      </w:pPr>
      <w:r>
        <w:rPr>
          <w:rFonts w:hint="eastAsia" w:ascii="宋体" w:hAnsi="宋体"/>
          <w:szCs w:val="21"/>
        </w:rPr>
        <w:t xml:space="preserve">2.包装完好；</w:t>
      </w:r>
      <w:r/>
    </w:p>
    <w:p>
      <w:pPr>
        <w:ind w:firstLine="420"/>
        <w:jc w:val="left"/>
        <w:spacing w:line="500" w:lineRule="exact"/>
        <w:rPr>
          <w:rFonts w:ascii="宋体" w:hAnsi="宋体"/>
          <w:szCs w:val="21"/>
        </w:rPr>
      </w:pPr>
      <w:r>
        <w:rPr>
          <w:rFonts w:hint="eastAsia" w:ascii="宋体" w:hAnsi="宋体"/>
          <w:szCs w:val="21"/>
        </w:rPr>
        <w:t xml:space="preserve">3.设备清单与采购文件一致；</w:t>
      </w:r>
      <w:r/>
    </w:p>
    <w:p>
      <w:pPr>
        <w:ind w:firstLine="420"/>
        <w:jc w:val="left"/>
        <w:spacing w:line="500" w:lineRule="exact"/>
        <w:rPr>
          <w:rFonts w:ascii="宋体" w:hAnsi="宋体"/>
          <w:szCs w:val="21"/>
        </w:rPr>
      </w:pPr>
      <w:r>
        <w:rPr>
          <w:rFonts w:hint="eastAsia" w:ascii="宋体" w:hAnsi="宋体"/>
          <w:szCs w:val="21"/>
        </w:rPr>
        <w:t xml:space="preserve">4.设备外观无损；</w:t>
      </w:r>
      <w:r/>
    </w:p>
    <w:p>
      <w:pPr>
        <w:ind w:firstLine="420"/>
        <w:jc w:val="left"/>
        <w:spacing w:line="500" w:lineRule="exact"/>
        <w:rPr>
          <w:rFonts w:ascii="宋体" w:hAnsi="宋体"/>
          <w:szCs w:val="21"/>
        </w:rPr>
      </w:pPr>
      <w:r>
        <w:rPr>
          <w:rFonts w:hint="eastAsia" w:ascii="宋体" w:hAnsi="宋体"/>
          <w:szCs w:val="21"/>
        </w:rPr>
        <w:t xml:space="preserve">5.调试后正常运行；</w:t>
      </w:r>
      <w:r/>
    </w:p>
    <w:p>
      <w:pPr>
        <w:ind w:firstLine="420"/>
        <w:jc w:val="left"/>
        <w:spacing w:line="500" w:lineRule="exact"/>
        <w:rPr>
          <w:rFonts w:ascii="宋体" w:hAnsi="宋体"/>
          <w:szCs w:val="21"/>
        </w:rPr>
      </w:pPr>
      <w:r>
        <w:rPr>
          <w:rFonts w:hint="eastAsia" w:ascii="宋体" w:hAnsi="宋体"/>
          <w:szCs w:val="21"/>
        </w:rPr>
        <w:t xml:space="preserve">6.技术参数按投标文件逐条对应。</w:t>
      </w:r>
      <w:r/>
    </w:p>
    <w:p>
      <w:pPr>
        <w:ind w:firstLine="420"/>
        <w:jc w:val="left"/>
        <w:spacing w:line="500" w:lineRule="exact"/>
        <w:rPr>
          <w:rFonts w:ascii="宋体" w:hAnsi="宋体"/>
          <w:szCs w:val="21"/>
        </w:rPr>
      </w:pPr>
      <w:r>
        <w:rPr>
          <w:rFonts w:ascii="宋体" w:hAnsi="宋体"/>
          <w:szCs w:val="21"/>
        </w:rPr>
      </w:r>
      <w:r/>
    </w:p>
    <w:p>
      <w:pPr>
        <w:spacing w:line="500" w:lineRule="exact"/>
        <w:rPr>
          <w:rFonts w:ascii="宋体" w:hAnsi="宋体" w:cs="宋体"/>
          <w:b/>
          <w:color w:val="000000"/>
          <w:szCs w:val="21"/>
        </w:rPr>
      </w:pPr>
      <w:r>
        <w:rPr>
          <w:rFonts w:hint="eastAsia" w:ascii="宋体" w:hAnsi="宋体" w:cs="宋体"/>
          <w:b/>
          <w:color w:val="000000"/>
          <w:szCs w:val="21"/>
        </w:rPr>
        <w:t xml:space="preserve">七、其他技术、服务要求：</w:t>
      </w:r>
      <w:r/>
    </w:p>
    <w:p>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（一）质量保证方案</w:t>
      </w:r>
      <w:r/>
    </w:p>
    <w:p>
      <w:pPr>
        <w:ind w:firstLine="480"/>
        <w:spacing w:line="520" w:lineRule="exact"/>
      </w:pPr>
      <w:r>
        <w:rPr>
          <w:rFonts w:hint="eastAsia"/>
        </w:rPr>
        <w:t xml:space="preserve">1.供应商需要提供质量保证方案需包括原材料采购质量方案，产品质量目标的设定，以及产品质量检测方案；方案需全面详实、安排合理得当、满足本次采购的要求、保证项目的顺利实施。</w:t>
      </w:r>
      <w:r/>
    </w:p>
    <w:p>
      <w:pPr>
        <w:ind w:firstLine="480"/>
        <w:spacing w:line="520" w:lineRule="exact"/>
      </w:pPr>
      <w:r>
        <w:rPr>
          <w:rFonts w:hint="eastAsia"/>
        </w:rPr>
        <w:t xml:space="preserve">2.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ind w:firstLine="480"/>
        <w:spacing w:line="520" w:lineRule="exact"/>
      </w:pPr>
      <w:r/>
      <w:r/>
    </w:p>
    <w:p>
      <w:pPr>
        <w:spacing w:line="520" w:lineRule="exact"/>
        <w:rPr>
          <w:b/>
          <w:bCs/>
        </w:rPr>
      </w:pPr>
      <w:r>
        <w:rPr>
          <w:rFonts w:hint="eastAsia"/>
          <w:b/>
          <w:bCs/>
        </w:rPr>
        <w:t xml:space="preserve">（二）生产过程监督方案</w:t>
      </w:r>
      <w:r/>
    </w:p>
    <w:p>
      <w:pPr>
        <w:ind w:firstLine="480"/>
        <w:spacing w:line="520" w:lineRule="exact"/>
      </w:pPr>
      <w:r>
        <w:rPr>
          <w:rFonts w:hint="eastAsia"/>
        </w:rPr>
        <w:t xml:space="preserve">1.</w:t>
      </w:r>
      <w:r>
        <w:rPr>
          <w:rFonts w:hint="eastAsia"/>
        </w:rPr>
        <w:t xml:space="preserve">供应商应根据招标文件要求提供具体详实的生产过程监督方案：包括方案完整性、落地可行性、管控细致度、履约保障性。本项目家具生产全过程接受采购人监督管理，供应商须提供完善的生产过程监督保障方案，全面配合采购人开展原材料核查、生产现场巡查、驻厂监督、质量抽检、进度管控等工作。要求具备完整的原材料报审、封样比对、随机抽检管控机制，开放全工序生产监督权限，建立质量自检整改闭环体系，落实细化生产进度报送及赶工保障措施，全程资料台账可追溯、可核查，确保原材料质量、生产工艺、成品质量、交付进度满足本项目及国家、行业标准要求。</w:t>
      </w:r>
      <w:r/>
    </w:p>
    <w:p>
      <w:pPr>
        <w:spacing w:line="520" w:lineRule="exact"/>
        <w:rPr>
          <w:b/>
          <w:bCs/>
        </w:rPr>
      </w:pPr>
      <w:r>
        <w:rPr>
          <w:b/>
          <w:bCs/>
        </w:rPr>
      </w:r>
      <w:r/>
    </w:p>
    <w:p>
      <w:pPr>
        <w:spacing w:line="520" w:lineRule="exact"/>
        <w:rPr>
          <w:b/>
          <w:bCs/>
        </w:rPr>
      </w:pPr>
      <w:r>
        <w:rPr>
          <w:rFonts w:hint="eastAsia"/>
          <w:b/>
          <w:bCs/>
        </w:rPr>
        <w:t xml:space="preserve">（三）实施方案</w:t>
      </w:r>
      <w:r/>
    </w:p>
    <w:p>
      <w:pPr>
        <w:ind w:firstLine="480"/>
        <w:spacing w:line="52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w:t>
      </w:r>
      <w:r>
        <w:rPr>
          <w:rFonts w:ascii="宋体" w:hAnsi="宋体" w:cs="宋体"/>
          <w:bCs/>
          <w:color w:val="000000" w:themeColor="text1"/>
          <w:szCs w:val="21"/>
          <w14:textFill>
            <w14:solidFill>
              <w14:schemeClr w14:val="tx1"/>
            </w14:solidFill>
          </w14:textFill>
        </w:rPr>
        <w:t xml:space="preserve">.</w:t>
      </w:r>
      <w:r>
        <w:t xml:space="preserve">供应商应具备本项目相关领域的实施经验，能够提供专业技术团队及高质量服务。</w:t>
      </w:r>
      <w:r/>
    </w:p>
    <w:p>
      <w:pPr>
        <w:ind w:firstLine="480"/>
        <w:spacing w:line="520" w:lineRule="exact"/>
        <w:rPr>
          <w:rFonts w:ascii="宋体" w:hAnsi="宋体" w:cs="宋体"/>
          <w:bCs/>
          <w:color w:val="000000" w:themeColor="text1"/>
          <w:szCs w:val="21"/>
          <w14:textFill>
            <w14:solidFill>
              <w14:schemeClr w14:val="tx1"/>
            </w14:solidFill>
          </w14:textFill>
        </w:rPr>
      </w:pPr>
      <w:r>
        <w:rPr>
          <w:rFonts w:hint="eastAsia"/>
          <w:szCs w:val="21"/>
        </w:rPr>
        <w:t xml:space="preserve">2.供应商应根据招标文件要求提供具体详实的产品实施方案：包括生产计划安排，生产工艺流程，拟投入的设备情况：</w:t>
      </w:r>
      <w:r>
        <w:rPr>
          <w:rFonts w:hint="eastAsia" w:ascii="宋体" w:hAnsi="宋体" w:cs="宋体"/>
          <w:bCs/>
          <w:color w:val="000000" w:themeColor="text1"/>
          <w:szCs w:val="21"/>
          <w14:textFill>
            <w14:solidFill>
              <w14:schemeClr w14:val="tx1"/>
            </w14:solidFill>
          </w14:textFill>
        </w:rPr>
        <w:t xml:space="preserve">结合项目总工期要求，分阶段制定详细计划，明确各阶段时间节点、任务目标、责任分工，确保生产全流程有序推进结合本项目产品特性及招标文件要求，制定科学、规范、高效的生产工艺流程，明确各环节操作标准、技术要求及质量控制点，确保生产出的产品符合项目需求，为保障生产顺利实施，确保产品质量及生产效率，本项目拟投入充足、专业的生产设备、检验设备及辅助设备，所有设备均符合项目生产技术要求，性能稳定、运行良好，且配备专业操作人员及维护人员。</w:t>
      </w:r>
      <w:r/>
    </w:p>
    <w:p>
      <w:pPr>
        <w:ind w:firstLine="480"/>
        <w:spacing w:line="52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w:t>
      </w:r>
      <w:r>
        <w:t xml:space="preserve">供应商</w:t>
      </w:r>
      <w:r>
        <w:rPr>
          <w:rFonts w:hint="eastAsia"/>
        </w:rPr>
        <w:t xml:space="preserve">应严格按照合同约定的时间和地点完成货物交付，承担全部运输、装卸及相关费用，并对运输途中的风险负责。</w:t>
      </w:r>
      <w:r>
        <w:t xml:space="preserve">供应商</w:t>
      </w:r>
      <w:r>
        <w:rPr>
          <w:rFonts w:hint="eastAsia"/>
        </w:rPr>
        <w:t xml:space="preserve">须自行组织货物安装调试，确保符合技术规范及验收标准，并承担由此产生的一切费用。同时，</w:t>
      </w:r>
      <w:r>
        <w:t xml:space="preserve">供应商</w:t>
      </w:r>
      <w:r>
        <w:rPr>
          <w:rFonts w:hint="eastAsia"/>
        </w:rPr>
        <w:t xml:space="preserve">需制定详细的项目实施方案，包括但不限于生产计划、供货安排、安装调试流程（含人员配置、技术规范及安全措施）、进度管理（明确关键节点及延误应对方案）、现场管理要求以及突发事件应急预案，确保项目顺利实施。因</w:t>
      </w:r>
      <w:r>
        <w:t xml:space="preserve">供应商</w:t>
      </w:r>
      <w:r>
        <w:rPr>
          <w:rFonts w:hint="eastAsia"/>
        </w:rPr>
        <w:t xml:space="preserve">原因导致的工期延误或质量问题，</w:t>
      </w:r>
      <w:r>
        <w:t xml:space="preserve">供应商</w:t>
      </w:r>
      <w:r>
        <w:rPr>
          <w:rFonts w:hint="eastAsia"/>
        </w:rPr>
        <w:t xml:space="preserve">应承担相应违约责任</w:t>
      </w:r>
      <w:r>
        <w:t xml:space="preserve">。</w:t>
      </w:r>
      <w:r/>
    </w:p>
    <w:p>
      <w:pPr>
        <w:spacing w:line="520" w:lineRule="exact"/>
        <w:rPr>
          <w:rFonts w:hint="eastAsia" w:ascii="Times New Roman" w:hAnsi="Times New Roman" w:eastAsia="宋体" w:cs="Times New Roman"/>
          <w:b/>
          <w:bCs/>
          <w:highlight w:val="none"/>
          <w:lang w:eastAsia="zh-CN"/>
        </w:rPr>
      </w:pPr>
      <w:r>
        <w:rPr>
          <w:rFonts w:hint="eastAsia" w:ascii="Times New Roman" w:hAnsi="Times New Roman" w:eastAsia="宋体" w:cs="Times New Roman"/>
          <w:b/>
          <w:bCs/>
          <w:highlight w:val="none"/>
          <w:lang w:eastAsia="zh-CN"/>
        </w:rPr>
      </w:r>
      <w:r/>
    </w:p>
    <w:p>
      <w:pPr>
        <w:spacing w:line="520" w:lineRule="exact"/>
        <w:rPr>
          <w:rFonts w:ascii="宋体" w:hAnsi="宋体" w:cs="宋体"/>
          <w:b/>
          <w:bCs/>
          <w:color w:val="000000" w:themeColor="text1"/>
          <w:szCs w:val="21"/>
          <w:highlight w:val="none"/>
          <w14:textFill>
            <w14:solidFill>
              <w14:schemeClr w14:val="tx1"/>
            </w14:solidFill>
          </w14:textFill>
        </w:rPr>
      </w:pPr>
      <w:r>
        <w:rPr>
          <w:rFonts w:hint="eastAsia" w:ascii="Times New Roman" w:hAnsi="Times New Roman" w:eastAsia="宋体" w:cs="Times New Roman"/>
          <w:b/>
          <w:bCs/>
          <w:highlight w:val="none"/>
          <w:lang w:eastAsia="zh-CN"/>
        </w:rPr>
        <w:t xml:space="preserve">（</w:t>
      </w:r>
      <w:r>
        <w:rPr>
          <w:rFonts w:hint="eastAsia" w:cs="Times New Roman"/>
          <w:b/>
          <w:bCs/>
          <w:highlight w:val="none"/>
          <w:lang w:val="en-US" w:eastAsia="zh-CN"/>
        </w:rPr>
        <w:t xml:space="preserve">四</w:t>
      </w:r>
      <w:r>
        <w:rPr>
          <w:rFonts w:hint="eastAsia" w:ascii="Times New Roman" w:hAnsi="Times New Roman" w:eastAsia="宋体" w:cs="Times New Roman"/>
          <w:b/>
          <w:bCs/>
          <w:highlight w:val="none"/>
          <w:lang w:eastAsia="zh-CN"/>
        </w:rPr>
        <w:t xml:space="preserve">）</w:t>
      </w:r>
      <w:r>
        <w:rPr>
          <w:rFonts w:hint="eastAsia" w:ascii="宋体" w:hAnsi="宋体" w:cs="宋体"/>
          <w:b/>
          <w:bCs/>
          <w:color w:val="000000" w:themeColor="text1"/>
          <w:szCs w:val="21"/>
          <w:highlight w:val="none"/>
          <w14:textFill>
            <w14:solidFill>
              <w14:schemeClr w14:val="tx1"/>
            </w14:solidFill>
          </w14:textFill>
        </w:rPr>
        <w:t xml:space="preserve">产品安装方案</w:t>
      </w:r>
      <w:r/>
    </w:p>
    <w:p>
      <w:pPr>
        <w:ind w:firstLine="480"/>
        <w:spacing w:line="520" w:lineRule="exact"/>
        <w:rPr>
          <w:rFonts w:hint="eastAsia"/>
          <w:highlight w:val="none"/>
        </w:rPr>
      </w:pPr>
      <w:r>
        <w:rPr>
          <w:rFonts w:hint="eastAsia"/>
          <w:highlight w:val="none"/>
          <w:lang w:val="en-US" w:eastAsia="zh-CN"/>
        </w:rPr>
        <w:t xml:space="preserve">1.</w:t>
      </w:r>
      <w:r>
        <w:rPr>
          <w:rFonts w:hint="eastAsia"/>
          <w:sz w:val="21"/>
          <w:szCs w:val="21"/>
          <w:highlight w:val="none"/>
        </w:rPr>
        <w:t xml:space="preserve">供应商应根据招标文件要求提供具体详实的产品安装方案：包括：产品的安装措施、项目工期的安排、拟投入的人员计划</w:t>
      </w:r>
      <w:r>
        <w:rPr>
          <w:rFonts w:hint="eastAsia"/>
          <w:sz w:val="21"/>
          <w:szCs w:val="21"/>
          <w:highlight w:val="none"/>
          <w:lang w:eastAsia="zh-CN"/>
        </w:rPr>
        <w:t xml:space="preserve">：</w:t>
      </w:r>
      <w:r>
        <w:rPr>
          <w:rFonts w:hint="eastAsia"/>
          <w:highlight w:val="none"/>
          <w:lang w:val="en-US" w:eastAsia="zh-CN"/>
        </w:rPr>
        <w:t xml:space="preserve">安装响应时间明确且快速，符合招标文件要求，可即时响应安装诉求，严格按照项目整体进度节点推进安装工作，无延误；安装体系完善，分工清晰，有规范的安装流程、现场管控机制及质量验收标准，全程可追溯；安装故障解决方案详实，覆盖安装过程中各类可能出现的故障（如安装适配、部件损耗、流程衔接等），可快速高效排查解决，有故障复盘及优化机制；安装保障人员专业达标、配置充足，人员资质符合招标文件要求。</w:t>
      </w:r>
      <w:r/>
    </w:p>
    <w:p>
      <w:pPr>
        <w:spacing w:line="52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spacing w:line="5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五</w:t>
      </w:r>
      <w:r>
        <w:rPr>
          <w:rFonts w:hint="eastAsia" w:ascii="宋体" w:hAnsi="宋体" w:cs="宋体"/>
          <w:b/>
          <w:bCs/>
          <w:color w:val="000000" w:themeColor="text1"/>
          <w:szCs w:val="21"/>
          <w:highlight w:val="none"/>
          <w14:textFill>
            <w14:solidFill>
              <w14:schemeClr w14:val="tx1"/>
            </w14:solidFill>
          </w14:textFill>
        </w:rPr>
        <w:t xml:space="preserve">）售后服务要求</w:t>
      </w:r>
      <w:r/>
    </w:p>
    <w:p>
      <w:pPr>
        <w:ind w:firstLine="480"/>
        <w:spacing w:line="52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供应商提交售后服务承诺</w:t>
      </w:r>
      <w:r>
        <w:rPr>
          <w:rFonts w:hint="eastAsia" w:ascii="宋体" w:hAnsi="宋体" w:cs="宋体"/>
          <w:b w:val="0"/>
          <w:bCs/>
          <w:color w:val="000000" w:themeColor="text1"/>
          <w:szCs w:val="21"/>
          <w:highlight w:val="none"/>
          <w14:textFill>
            <w14:solidFill>
              <w14:schemeClr w14:val="tx1"/>
            </w14:solidFill>
          </w14:textFill>
        </w:rPr>
        <w:t xml:space="preserve">。须承诺以下内容：“为所供产品提供终身维护服务及不低于8年原厂免费质保服务（国家有相关质保规定优于本合同约定质保期的按国家相关规定执行）。在质保期内，一旦发生质量问题，中标供应商保证在接到通知后的6小时内进行响应，并在1</w:t>
      </w:r>
      <w:r>
        <w:rPr>
          <w:rFonts w:hint="eastAsia" w:ascii="宋体" w:hAnsi="宋体" w:eastAsia="宋体" w:cs="宋体"/>
          <w:b w:val="0"/>
          <w:bCs/>
          <w:color w:val="000000" w:themeColor="text1"/>
          <w:szCs w:val="21"/>
          <w:highlight w:val="none"/>
          <w14:textFill>
            <w14:solidFill>
              <w14:schemeClr w14:val="tx1"/>
            </w14:solidFill>
          </w14:textFill>
        </w:rPr>
        <w:t xml:space="preserve">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上述承诺须提供承诺书，并加盖投标供应商公章。</w:t>
      </w:r>
      <w:r>
        <w:rPr>
          <w:rFonts w:hint="eastAsia" w:ascii="宋体" w:hAnsi="宋体" w:eastAsia="宋体" w:cs="宋体"/>
          <w:b/>
          <w:bCs w:val="0"/>
          <w:color w:val="000000" w:themeColor="text1"/>
          <w:szCs w:val="21"/>
          <w:highlight w:val="none"/>
          <w14:textFill>
            <w14:solidFill>
              <w14:schemeClr w14:val="tx1"/>
            </w14:solidFill>
          </w14:textFill>
        </w:rPr>
        <w:t xml:space="preserve">上述承诺须提供承诺书，并加盖投标供应商公章</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如</w:t>
      </w:r>
      <w:r>
        <w:rPr>
          <w:rFonts w:hint="eastAsia" w:ascii="宋体" w:hAnsi="宋体" w:eastAsia="宋体" w:cs="宋体"/>
          <w:b/>
          <w:bCs w:val="0"/>
          <w:color w:val="000000" w:themeColor="text1"/>
          <w:szCs w:val="21"/>
          <w:highlight w:val="none"/>
          <w14:textFill>
            <w14:solidFill>
              <w14:schemeClr w14:val="tx1"/>
            </w14:solidFill>
          </w14:textFill>
        </w:rPr>
        <w:t xml:space="preserve">不提供</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则</w:t>
      </w:r>
      <w:r>
        <w:rPr>
          <w:rFonts w:hint="eastAsia" w:ascii="宋体" w:hAnsi="宋体" w:eastAsia="宋体" w:cs="宋体"/>
          <w:b/>
          <w:bCs w:val="0"/>
          <w:color w:val="000000" w:themeColor="text1"/>
          <w:szCs w:val="21"/>
          <w:highlight w:val="none"/>
          <w14:textFill>
            <w14:solidFill>
              <w14:schemeClr w14:val="tx1"/>
            </w14:solidFill>
          </w14:textFill>
        </w:rPr>
        <w:t xml:space="preserve">按照无效投标处理</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投标供应商能提供其他更优质的服务，可在服务承诺中自行提供。</w:t>
      </w:r>
      <w:r/>
    </w:p>
    <w:p>
      <w:pPr>
        <w:ind w:firstLine="480"/>
        <w:spacing w:line="520" w:lineRule="exact"/>
        <w:rPr>
          <w:rFonts w:ascii="宋体" w:hAnsi="宋体" w:cs="宋体"/>
          <w:bCs/>
          <w:szCs w:val="21"/>
          <w:highlight w:val="none"/>
        </w:rPr>
      </w:pPr>
      <w:r>
        <w:rPr>
          <w:rFonts w:hint="eastAsia" w:ascii="宋体" w:hAnsi="宋体" w:eastAsia="宋体" w:cs="宋体"/>
          <w:bCs/>
          <w:color w:val="000000" w:themeColor="text1"/>
          <w:szCs w:val="21"/>
          <w:highlight w:val="none"/>
          <w14:textFill>
            <w14:solidFill>
              <w14:schemeClr w14:val="tx1"/>
            </w14:solidFill>
          </w14:textFill>
        </w:rPr>
        <w:t xml:space="preserve">供应商需提供售后服务方案。需包括售后服务体系，服务内容，响应时间，售后服务人员安排。</w:t>
      </w:r>
      <w:r>
        <w:rPr>
          <w:rFonts w:hint="eastAsia" w:ascii="宋体" w:hAnsi="宋体" w:cs="宋体"/>
          <w:bCs/>
          <w:szCs w:val="21"/>
          <w:highlight w:val="none"/>
        </w:rPr>
        <w:t xml:space="preserve">服务方案应科学合理、具备针对性，并指定专门的售后服务人员，确保供应商中标后提供的各项售后服务能满足招标文件要求。</w:t>
      </w:r>
      <w:r/>
    </w:p>
    <w:p>
      <w:pPr>
        <w:ind w:firstLine="480"/>
        <w:spacing w:line="520" w:lineRule="exact"/>
        <w:rPr>
          <w:rFonts w:ascii="宋体" w:hAnsi="宋体" w:cs="宋体"/>
          <w:bCs/>
          <w:szCs w:val="21"/>
          <w:highlight w:val="none"/>
        </w:rPr>
      </w:pPr>
      <w:r>
        <w:rPr>
          <w:rFonts w:ascii="宋体" w:hAnsi="宋体" w:cs="宋体"/>
          <w:bCs/>
          <w:szCs w:val="21"/>
          <w:highlight w:val="none"/>
        </w:rPr>
      </w:r>
      <w:r/>
    </w:p>
    <w:p>
      <w:pPr>
        <w:ind w:firstLine="361"/>
        <w:spacing w:before="240" w:after="240" w:line="360" w:lineRule="auto"/>
        <w:rPr>
          <w:rFonts w:ascii="宋体" w:hAnsi="宋体" w:cs="宋体"/>
          <w:b/>
          <w:bCs/>
          <w:color w:val="000000"/>
          <w:sz w:val="24"/>
          <w:lang w:bidi="ar"/>
        </w:rPr>
      </w:pPr>
      <w:r>
        <w:rPr>
          <w:rFonts w:hint="eastAsia" w:ascii="宋体" w:hAnsi="宋体" w:cs="宋体"/>
          <w:b/>
          <w:bCs/>
          <w:color w:val="000000"/>
          <w:sz w:val="24"/>
          <w:lang w:bidi="ar"/>
        </w:rPr>
        <w:t xml:space="preserve">八、样品清单</w:t>
      </w:r>
      <w:r/>
    </w:p>
    <w:tbl>
      <w:tblPr>
        <w:tblStyle w:val="969"/>
        <w:tblW w:w="9338" w:type="dxa"/>
        <w:tblInd w:w="-708" w:type="dxa"/>
        <w:tblLayout w:type="fixed"/>
        <w:tblCellMar>
          <w:left w:w="108" w:type="dxa"/>
          <w:top w:w="0" w:type="dxa"/>
          <w:right w:w="108" w:type="dxa"/>
          <w:bottom w:w="0" w:type="dxa"/>
        </w:tblCellMar>
        <w:tblLook w:val="04A0" w:firstRow="1" w:lastRow="0" w:firstColumn="1" w:lastColumn="0" w:noHBand="0" w:noVBand="1"/>
      </w:tblPr>
      <w:tblGrid>
        <w:gridCol w:w="602"/>
        <w:gridCol w:w="1060"/>
        <w:gridCol w:w="2596"/>
        <w:gridCol w:w="5080"/>
      </w:tblGrid>
      <w:tr>
        <w:trPr>
          <w:trHeight w:val="80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样品名称</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样品尺寸</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样品要求</w:t>
            </w:r>
            <w:r/>
          </w:p>
        </w:tc>
      </w:tr>
      <w:tr>
        <w:trPr>
          <w:trHeight w:val="2125"/>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p>
            <w:pPr>
              <w:jc w:val="left"/>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双层床外挂式爬梯（一整套）</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主管：</w:t>
            </w:r>
            <w:r>
              <w:rPr>
                <w:rFonts w:hint="eastAsia" w:ascii="宋体" w:hAnsi="宋体" w:cs="宋体"/>
                <w:bCs/>
                <w:szCs w:val="21"/>
                <w:highlight w:val="none"/>
              </w:rPr>
              <w:t xml:space="preserve">椭圆形不小于宽30mm*长50mm*厚不低于1.5mm钢管</w:t>
            </w:r>
            <w:r>
              <w:rPr>
                <w:rFonts w:hint="eastAsia" w:ascii="宋体" w:hAnsi="宋体" w:cs="宋体"/>
                <w:color w:val="000000"/>
                <w:szCs w:val="21"/>
                <w:highlight w:val="none"/>
                <w:lang w:bidi="ar"/>
              </w:rPr>
              <w:br w:type="textWrapping" w:clear="all"/>
            </w:r>
            <w:r>
              <w:rPr>
                <w:rFonts w:hint="eastAsia" w:ascii="宋体" w:hAnsi="宋体" w:cs="宋体"/>
                <w:bCs/>
                <w:szCs w:val="21"/>
                <w:highlight w:val="none"/>
              </w:rPr>
              <w:t xml:space="preserve">踏步板：≥长350mm*宽120mm*厚不低于35mm</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1232"/>
              <w:ind w:firstLine="0"/>
              <w:rPr>
                <w:rFonts w:ascii="宋体" w:hAnsi="宋体" w:cs="宋体"/>
                <w:color w:val="000000"/>
                <w:highlight w:val="none"/>
              </w:rPr>
            </w:pPr>
            <w:r>
              <w:rPr>
                <w:rFonts w:hint="eastAsia" w:ascii="宋体" w:hAnsi="宋体" w:cs="宋体"/>
                <w:color w:val="000000"/>
                <w:highlight w:val="none"/>
              </w:rPr>
              <w:t xml:space="preserve">外观造型要求：钢管表面无漏喷、疙瘩，踏步板设置合理防滑纹路，并配备至少1个荧光点位，</w:t>
            </w:r>
            <w:r/>
          </w:p>
          <w:p>
            <w:pPr>
              <w:pStyle w:val="1232"/>
              <w:ind w:firstLine="0"/>
              <w:rPr>
                <w:rFonts w:ascii="宋体" w:hAnsi="宋体" w:cs="宋体"/>
                <w:color w:val="000000"/>
                <w:highlight w:val="none"/>
              </w:rPr>
            </w:pPr>
            <w:r>
              <w:rPr>
                <w:rFonts w:hint="eastAsia" w:ascii="宋体" w:hAnsi="宋体" w:cs="宋体"/>
                <w:color w:val="000000"/>
                <w:highlight w:val="none"/>
              </w:rPr>
              <w:t xml:space="preserve">工艺要求：结合紧密、结构牢固，踏步板背面预埋不少于3颗螺母，方便踏步下方与钢管稳固支撑。</w:t>
            </w:r>
            <w:r/>
          </w:p>
          <w:p>
            <w:pPr>
              <w:pStyle w:val="1232"/>
              <w:ind w:firstLine="0"/>
              <w:rPr>
                <w:rFonts w:ascii="宋体" w:hAnsi="宋体" w:cs="宋体"/>
                <w:color w:val="000000"/>
                <w:highlight w:val="none"/>
              </w:rPr>
            </w:pPr>
            <w:r>
              <w:rPr>
                <w:rFonts w:ascii="宋体" w:hAnsi="宋体" w:cs="宋体"/>
                <w:color w:val="000000"/>
                <w:highlight w:val="none"/>
              </w:rPr>
            </w:r>
            <w:r/>
          </w:p>
        </w:tc>
      </w:tr>
      <w:tr>
        <w:trPr>
          <w:trHeight w:val="118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p>
            <w:pPr>
              <w:jc w:val="left"/>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吹塑床板一块</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不低于长1910mm*宽810mm*厚18mm</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1232"/>
              <w:ind w:firstLine="0"/>
              <w:rPr>
                <w:rFonts w:ascii="宋体" w:hAnsi="宋体" w:cs="宋体"/>
                <w:color w:val="000000"/>
              </w:rPr>
            </w:pPr>
            <w:r>
              <w:rPr>
                <w:rFonts w:hint="eastAsia" w:ascii="宋体" w:hAnsi="宋体" w:cs="宋体"/>
                <w:color w:val="000000"/>
              </w:rPr>
              <w:t xml:space="preserve">外观要求：</w:t>
            </w:r>
            <w:r>
              <w:rPr>
                <w:rFonts w:hint="eastAsia" w:ascii="宋体" w:hAnsi="宋体" w:cs="宋体"/>
                <w:color w:val="000000"/>
                <w:lang w:bidi="ar"/>
              </w:rPr>
              <w:t xml:space="preserve">四个角为圆弧角；床板有不少于45个透气孔</w:t>
            </w:r>
            <w:r/>
          </w:p>
          <w:p>
            <w:pPr>
              <w:pStyle w:val="1232"/>
              <w:ind w:firstLine="0"/>
              <w:rPr>
                <w:rFonts w:ascii="宋体" w:hAnsi="宋体" w:cs="宋体"/>
                <w:color w:val="000000"/>
              </w:rPr>
            </w:pPr>
            <w:r>
              <w:rPr>
                <w:rFonts w:hint="eastAsia" w:ascii="宋体" w:hAnsi="宋体" w:cs="宋体"/>
                <w:color w:val="000000"/>
              </w:rPr>
              <w:t xml:space="preserve">工艺要求：</w:t>
            </w:r>
            <w:r>
              <w:rPr>
                <w:rFonts w:hint="eastAsia" w:ascii="宋体" w:hAnsi="宋体" w:cs="宋体"/>
                <w:color w:val="000000"/>
                <w:lang w:bidi="ar"/>
              </w:rPr>
              <w:t xml:space="preserve">采用HDPE（高密度聚乙烯）材质一体中空吹塑成型，</w:t>
            </w:r>
            <w:r>
              <w:rPr>
                <w:rFonts w:hint="eastAsia" w:ascii="宋体" w:hAnsi="宋体" w:cs="宋体"/>
                <w:color w:val="000000"/>
              </w:rPr>
              <w:t xml:space="preserve">结构牢固、表面无弯曲、凹陷，</w:t>
            </w:r>
            <w:r>
              <w:rPr>
                <w:rFonts w:hint="eastAsia" w:ascii="宋体" w:hAnsi="宋体" w:cs="宋体"/>
                <w:color w:val="000000"/>
                <w:lang w:bidi="ar"/>
              </w:rPr>
              <w:t xml:space="preserve">床板厚薄均匀</w:t>
            </w:r>
            <w:r/>
          </w:p>
        </w:tc>
      </w:tr>
      <w:tr>
        <w:trPr>
          <w:trHeight w:val="1775"/>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p>
            <w:pPr>
              <w:jc w:val="left"/>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公寓椅</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一张</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不小于高810 mm*宽530mm*深510mm。</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1232"/>
              <w:ind w:firstLine="0"/>
              <w:rPr>
                <w:rFonts w:ascii="宋体" w:hAnsi="宋体" w:cs="宋体"/>
                <w:color w:val="000000"/>
                <w:highlight w:val="none"/>
                <w:lang w:bidi="ar"/>
              </w:rPr>
            </w:pPr>
            <w:r>
              <w:rPr>
                <w:rFonts w:hint="eastAsia" w:ascii="宋体" w:hAnsi="宋体" w:cs="宋体"/>
                <w:color w:val="000000"/>
                <w:highlight w:val="none"/>
              </w:rPr>
              <w:t xml:space="preserve">外观要求：</w:t>
            </w:r>
            <w:r>
              <w:rPr>
                <w:rFonts w:hint="eastAsia" w:ascii="宋体" w:hAnsi="宋体" w:cs="宋体"/>
                <w:bCs/>
                <w:highlight w:val="none"/>
              </w:rPr>
              <w:t xml:space="preserve">椅架：采用直径不低于16mm*厚度1.5mm圆管。</w:t>
            </w:r>
            <w:r>
              <w:rPr>
                <w:rFonts w:hint="eastAsia" w:ascii="宋体" w:hAnsi="宋体" w:cs="宋体"/>
                <w:color w:val="000000"/>
                <w:highlight w:val="none"/>
                <w:lang w:bidi="ar"/>
              </w:rPr>
              <w:t xml:space="preserve">钢材表面无漏喷、疙瘩。</w:t>
            </w:r>
            <w:r/>
          </w:p>
          <w:p>
            <w:pPr>
              <w:rPr>
                <w:rFonts w:ascii="宋体" w:hAnsi="宋体" w:cs="宋体"/>
                <w:color w:val="000000"/>
                <w:szCs w:val="21"/>
                <w:highlight w:val="none"/>
              </w:rPr>
            </w:pPr>
            <w:r>
              <w:rPr>
                <w:rFonts w:hint="eastAsia" w:ascii="宋体" w:hAnsi="宋体" w:cs="宋体"/>
                <w:color w:val="000000"/>
                <w:szCs w:val="21"/>
                <w:highlight w:val="none"/>
              </w:rPr>
              <w:t xml:space="preserve">坐靠板原生聚丙烯（PP）+30% 玻璃纤维材料（GF30）</w:t>
            </w:r>
            <w:r>
              <w:rPr>
                <w:rFonts w:hint="eastAsia" w:ascii="宋体" w:hAnsi="宋体" w:cs="宋体"/>
                <w:color w:val="000000"/>
                <w:szCs w:val="21"/>
                <w:highlight w:val="none"/>
                <w:lang w:bidi="ar"/>
              </w:rPr>
              <w:t xml:space="preserve">。</w:t>
            </w:r>
            <w:r/>
          </w:p>
        </w:tc>
      </w:tr>
      <w:tr>
        <w:trPr>
          <w:trHeight w:val="233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床前护栏1个</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高度不小于 350mm ，长度不小于1200mm（长度不含辅助抓手部分）。</w:t>
            </w:r>
            <w:r/>
          </w:p>
          <w:p>
            <w:pPr>
              <w:jc w:val="lef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1232"/>
              <w:ind w:firstLine="0"/>
              <w:rPr>
                <w:rFonts w:ascii="宋体" w:hAnsi="宋体" w:cs="宋体"/>
                <w:color w:val="000000"/>
              </w:rPr>
            </w:pPr>
            <w:r>
              <w:rPr>
                <w:rFonts w:hint="eastAsia" w:ascii="宋体" w:hAnsi="宋体" w:cs="宋体"/>
                <w:color w:val="000000"/>
              </w:rPr>
              <w:t xml:space="preserve">外观要求：钢管表面无漏喷、疙瘩、漏焊现象，塑料件平整度高，无凹凸、断纹。</w:t>
            </w:r>
            <w:r/>
          </w:p>
          <w:p>
            <w:pPr>
              <w:jc w:val="left"/>
              <w:widowControl/>
              <w:rPr>
                <w:rFonts w:ascii="宋体" w:hAnsi="宋体" w:cs="宋体"/>
                <w:color w:val="000000"/>
                <w:szCs w:val="21"/>
              </w:rPr>
            </w:pPr>
            <w:r>
              <w:rPr>
                <w:rFonts w:hint="eastAsia" w:ascii="宋体" w:hAnsi="宋体" w:cs="宋体"/>
                <w:color w:val="000000"/>
                <w:szCs w:val="21"/>
              </w:rPr>
              <w:t xml:space="preserve">工艺要求：</w:t>
            </w:r>
            <w:r>
              <w:rPr>
                <w:rFonts w:hint="eastAsia" w:ascii="宋体" w:hAnsi="宋体" w:cs="宋体"/>
                <w:bCs/>
                <w:szCs w:val="21"/>
              </w:rPr>
              <w:t xml:space="preserve">金属框架整体焊接护栏顶管采用≥长25mm*宽25mm，壁厚不低于1.5mm 优质面包管</w:t>
            </w:r>
            <w:r>
              <w:rPr>
                <w:rFonts w:hint="eastAsia" w:ascii="宋体" w:hAnsi="宋体" w:cs="宋体"/>
                <w:color w:val="000000"/>
                <w:szCs w:val="21"/>
              </w:rPr>
              <w:t xml:space="preserve">，</w:t>
            </w:r>
            <w:r>
              <w:rPr>
                <w:rFonts w:hint="eastAsia" w:ascii="宋体" w:hAnsi="宋体" w:cs="宋体"/>
                <w:bCs/>
                <w:szCs w:val="21"/>
              </w:rPr>
              <w:t xml:space="preserve">靠近爬梯处延伸辅助抓手，其余采用≥长25mm*宽25mm，壁厚不低于1.5mm优质方管</w:t>
            </w:r>
            <w:r>
              <w:rPr>
                <w:rFonts w:hint="eastAsia" w:ascii="宋体" w:hAnsi="宋体" w:cs="宋体"/>
                <w:color w:val="000000"/>
                <w:szCs w:val="21"/>
              </w:rPr>
              <w:t xml:space="preserve">，</w:t>
            </w:r>
            <w:r>
              <w:rPr>
                <w:rFonts w:hint="eastAsia" w:ascii="宋体" w:hAnsi="宋体" w:cs="宋体"/>
                <w:bCs/>
                <w:szCs w:val="21"/>
              </w:rPr>
              <w:t xml:space="preserve">厚度不低于18mm实木多层板双饰面板制作护栏板</w:t>
            </w:r>
            <w:r>
              <w:rPr>
                <w:rFonts w:hint="eastAsia" w:ascii="宋体" w:hAnsi="宋体" w:cs="宋体"/>
                <w:color w:val="000000"/>
                <w:szCs w:val="21"/>
              </w:rPr>
              <w:t xml:space="preserve">，靠近床头处设置可开闭观察口，护栏板内部永久性标明床褥警戒线</w:t>
            </w:r>
            <w:r>
              <w:rPr>
                <w:rFonts w:hint="eastAsia" w:ascii="宋体" w:hAnsi="宋体" w:cs="宋体"/>
                <w:color w:val="000000"/>
                <w:szCs w:val="21"/>
                <w:lang w:bidi="ar"/>
              </w:rPr>
              <w:t xml:space="preserve">；</w:t>
            </w:r>
            <w:r/>
          </w:p>
        </w:tc>
      </w:tr>
      <w:tr>
        <w:trPr>
          <w:trHeight w:val="157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双层床边立柱一根</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长度不低于300mm，横截面不低于长70mm*宽70mm，</w:t>
            </w:r>
            <w:r>
              <w:rPr>
                <w:rFonts w:hint="eastAsia" w:ascii="宋体" w:hAnsi="宋体" w:cs="宋体"/>
                <w:bCs/>
                <w:szCs w:val="21"/>
                <w:highlight w:val="none"/>
              </w:rPr>
              <w:t xml:space="preserve">壁厚不低于1.5mm的Q235A</w:t>
            </w:r>
            <w:r>
              <w:rPr>
                <w:rFonts w:hint="eastAsia" w:ascii="宋体" w:hAnsi="宋体" w:cs="宋体"/>
                <w:b w:val="0"/>
                <w:bCs/>
                <w:color w:val="auto"/>
                <w:szCs w:val="21"/>
                <w:highlight w:val="none"/>
                <w:lang w:val="en-US" w:eastAsia="zh-CN"/>
              </w:rPr>
              <w:t xml:space="preserve">直缝电焊钢管</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1232"/>
              <w:ind w:firstLine="0"/>
              <w:rPr>
                <w:rFonts w:ascii="宋体" w:hAnsi="宋体" w:cs="宋体"/>
                <w:color w:val="000000"/>
                <w:highlight w:val="none"/>
              </w:rPr>
            </w:pPr>
            <w:r>
              <w:rPr>
                <w:rFonts w:hint="eastAsia" w:ascii="宋体" w:hAnsi="宋体" w:cs="宋体"/>
                <w:color w:val="000000"/>
                <w:highlight w:val="none"/>
              </w:rPr>
              <w:t xml:space="preserve">外观要求：钢管表面无漏喷、疙瘩、毛刺现象。</w:t>
            </w:r>
            <w:r/>
          </w:p>
          <w:p>
            <w:pPr>
              <w:pStyle w:val="1232"/>
              <w:ind w:firstLine="0"/>
              <w:rPr>
                <w:rFonts w:ascii="宋体" w:hAnsi="宋体" w:cs="宋体"/>
                <w:color w:val="000000"/>
                <w:highlight w:val="none"/>
              </w:rPr>
            </w:pPr>
            <w:r>
              <w:rPr>
                <w:rFonts w:hint="eastAsia" w:ascii="宋体" w:hAnsi="宋体" w:cs="宋体"/>
                <w:color w:val="000000"/>
                <w:highlight w:val="none"/>
              </w:rPr>
              <w:t xml:space="preserve">工艺要求：</w:t>
            </w:r>
            <w:r>
              <w:rPr>
                <w:rFonts w:hint="eastAsia" w:ascii="宋体" w:hAnsi="宋体" w:cs="宋体"/>
                <w:bCs/>
                <w:szCs w:val="21"/>
                <w:highlight w:val="none"/>
              </w:rPr>
              <w:t xml:space="preserve">表面采用热固性粉末涂料喷涂，须带加强筋；</w:t>
            </w:r>
            <w:r>
              <w:rPr>
                <w:rFonts w:hint="eastAsia" w:ascii="宋体" w:hAnsi="宋体" w:cs="宋体"/>
                <w:b w:val="0"/>
                <w:bCs/>
                <w:color w:val="auto"/>
                <w:szCs w:val="21"/>
                <w:highlight w:val="none"/>
                <w:lang w:val="en-US" w:eastAsia="zh-CN"/>
              </w:rPr>
              <w:t xml:space="preserve">横截面做</w:t>
            </w:r>
            <w:r>
              <w:rPr>
                <w:rFonts w:hint="eastAsia" w:ascii="宋体" w:hAnsi="宋体" w:cs="宋体"/>
                <w:b w:val="0"/>
                <w:bCs/>
                <w:color w:val="auto"/>
                <w:szCs w:val="21"/>
                <w:highlight w:val="none"/>
              </w:rPr>
              <w:t xml:space="preserve">封闭</w:t>
            </w:r>
            <w:r>
              <w:rPr>
                <w:rFonts w:hint="eastAsia" w:ascii="宋体" w:hAnsi="宋体" w:cs="宋体"/>
                <w:b w:val="0"/>
                <w:bCs/>
                <w:color w:val="auto"/>
                <w:szCs w:val="21"/>
                <w:highlight w:val="none"/>
                <w:lang w:val="en-US" w:eastAsia="zh-CN"/>
              </w:rPr>
              <w:t xml:space="preserve">处理</w:t>
            </w:r>
            <w:r>
              <w:rPr>
                <w:rFonts w:hint="eastAsia" w:ascii="宋体" w:hAnsi="宋体" w:cs="宋体"/>
                <w:bCs/>
                <w:szCs w:val="21"/>
                <w:highlight w:val="none"/>
              </w:rPr>
              <w:t xml:space="preserve">，立柱做倒角处理，</w:t>
            </w:r>
            <w:r/>
          </w:p>
        </w:tc>
      </w:tr>
      <w:tr>
        <w:trPr>
          <w:trHeight w:val="145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实木多层板双饰面板1块，四周封边</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厚度不低于25mm，长宽不低于300*300mm。</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1232"/>
              <w:ind w:firstLine="0"/>
              <w:rPr>
                <w:rFonts w:ascii="宋体" w:hAnsi="宋体" w:cs="宋体"/>
                <w:color w:val="000000"/>
              </w:rPr>
            </w:pPr>
            <w:r>
              <w:rPr>
                <w:rFonts w:hint="eastAsia" w:ascii="宋体" w:hAnsi="宋体" w:cs="宋体"/>
                <w:color w:val="000000"/>
              </w:rPr>
              <w:t xml:space="preserve">外观要求：表面平整，封边无脱胶，裂纹</w:t>
            </w:r>
            <w:r/>
          </w:p>
          <w:p>
            <w:pPr>
              <w:rPr>
                <w:rFonts w:ascii="宋体" w:hAnsi="宋体" w:cs="宋体"/>
                <w:color w:val="000000"/>
                <w:szCs w:val="21"/>
              </w:rPr>
            </w:pPr>
            <w:r>
              <w:rPr>
                <w:rFonts w:hint="eastAsia" w:ascii="宋体" w:hAnsi="宋体" w:cs="宋体"/>
                <w:color w:val="000000"/>
                <w:szCs w:val="21"/>
              </w:rPr>
              <w:t xml:space="preserve">工艺要求：封边条与板材结合紧密、手感舒服</w:t>
            </w:r>
            <w:r/>
          </w:p>
        </w:tc>
      </w:tr>
    </w:tbl>
    <w:p>
      <w:pPr>
        <w:ind w:firstLine="420"/>
        <w:spacing w:line="360" w:lineRule="auto"/>
        <w:rPr>
          <w:b/>
          <w:bCs/>
          <w:color w:val="000000"/>
          <w:szCs w:val="21"/>
        </w:rPr>
      </w:pPr>
      <w:r>
        <w:rPr>
          <w:rFonts w:hint="eastAsia"/>
          <w:b/>
          <w:bCs/>
          <w:color w:val="000000"/>
          <w:szCs w:val="21"/>
        </w:rPr>
        <w:t xml:space="preserve">1.样品接收时间、地点及要求：</w:t>
      </w:r>
      <w:r/>
    </w:p>
    <w:p>
      <w:pPr>
        <w:ind w:firstLine="420"/>
        <w:spacing w:line="360" w:lineRule="auto"/>
        <w:rPr>
          <w:color w:val="000000"/>
          <w:szCs w:val="21"/>
        </w:rPr>
      </w:pPr>
      <w:r>
        <w:rPr>
          <w:rFonts w:hint="eastAsia"/>
          <w:color w:val="000000"/>
          <w:szCs w:val="21"/>
        </w:rPr>
        <w:t xml:space="preserve">（1）样品递交时间：</w:t>
      </w:r>
      <w:r>
        <w:rPr>
          <w:rFonts w:hint="eastAsia"/>
          <w:color w:val="000000"/>
          <w:szCs w:val="21"/>
          <w:lang w:eastAsia="zh-CN"/>
        </w:rPr>
        <w:t xml:space="preserve">2026年6月26日</w:t>
      </w:r>
      <w:r>
        <w:rPr>
          <w:rFonts w:hint="eastAsia"/>
          <w:color w:val="000000"/>
          <w:szCs w:val="21"/>
          <w:lang w:val="en-US" w:eastAsia="zh-CN"/>
        </w:rPr>
        <w:t xml:space="preserve">08</w:t>
      </w:r>
      <w:r>
        <w:rPr>
          <w:rFonts w:hint="eastAsia"/>
          <w:color w:val="000000"/>
          <w:szCs w:val="21"/>
        </w:rPr>
        <w:t xml:space="preserve">：00-</w:t>
      </w:r>
      <w:r>
        <w:rPr>
          <w:rFonts w:hint="eastAsia"/>
          <w:color w:val="000000"/>
          <w:szCs w:val="21"/>
          <w:lang w:eastAsia="zh-CN"/>
        </w:rPr>
        <w:t xml:space="preserve">2026年6月26日</w:t>
      </w:r>
      <w:r>
        <w:rPr>
          <w:rFonts w:hint="eastAsia"/>
          <w:color w:val="000000"/>
          <w:szCs w:val="21"/>
          <w:lang w:val="en-US" w:eastAsia="zh-CN"/>
        </w:rPr>
        <w:t xml:space="preserve">09</w:t>
      </w:r>
      <w:r>
        <w:rPr>
          <w:rFonts w:hint="eastAsia"/>
          <w:color w:val="000000"/>
          <w:szCs w:val="21"/>
        </w:rPr>
        <w:t xml:space="preserve">：</w:t>
      </w:r>
      <w:r>
        <w:rPr>
          <w:rFonts w:hint="eastAsia"/>
          <w:color w:val="000000"/>
          <w:szCs w:val="21"/>
          <w:lang w:val="en-US" w:eastAsia="zh-CN"/>
        </w:rPr>
        <w:t xml:space="preserve">3</w:t>
      </w:r>
      <w:r>
        <w:rPr>
          <w:rFonts w:hint="eastAsia"/>
          <w:color w:val="000000"/>
          <w:szCs w:val="21"/>
        </w:rPr>
        <w:t xml:space="preserve">0，在此期间之前样品由投标人自行保管。</w:t>
      </w:r>
      <w:r/>
    </w:p>
    <w:p>
      <w:pPr>
        <w:ind w:firstLine="420"/>
        <w:spacing w:line="360" w:lineRule="auto"/>
        <w:rPr>
          <w:color w:val="000000"/>
          <w:szCs w:val="21"/>
        </w:rPr>
      </w:pPr>
      <w:r>
        <w:rPr>
          <w:rFonts w:hint="eastAsia"/>
          <w:color w:val="000000"/>
          <w:szCs w:val="21"/>
        </w:rPr>
        <w:t xml:space="preserve">（2）</w:t>
      </w:r>
      <w:bookmarkStart w:id="59" w:name="_GoBack"/>
      <w:r>
        <w:rPr>
          <w:rFonts w:hint="eastAsia"/>
          <w:b/>
          <w:bCs/>
          <w:color w:val="000000"/>
          <w:szCs w:val="21"/>
        </w:rPr>
        <w:t xml:space="preserve">递交地点：南京市鼓楼区清江南路18号鼓楼创新广场D栋11楼</w:t>
      </w:r>
      <w:r>
        <w:rPr>
          <w:rFonts w:hint="eastAsia"/>
          <w:b/>
          <w:bCs/>
          <w:color w:val="000000"/>
          <w:szCs w:val="21"/>
          <w:lang w:val="en-US" w:eastAsia="zh-CN"/>
        </w:rPr>
        <w:t xml:space="preserve">前台</w:t>
      </w:r>
      <w:r>
        <w:rPr>
          <w:rFonts w:hint="eastAsia"/>
          <w:b/>
          <w:bCs/>
          <w:color w:val="000000"/>
          <w:szCs w:val="21"/>
        </w:rPr>
        <w:t xml:space="preserve">。</w:t>
      </w:r>
      <w:bookmarkEnd w:id="59"/>
      <w:r>
        <w:rPr>
          <w:rFonts w:hint="eastAsia"/>
          <w:color w:val="000000"/>
          <w:szCs w:val="21"/>
        </w:rPr>
        <w:t xml:space="preserve">供应商需自行规划样品</w:t>
      </w:r>
      <w:r>
        <w:rPr>
          <w:rFonts w:hint="eastAsia"/>
          <w:color w:val="000000"/>
          <w:szCs w:val="21"/>
          <w:lang w:val="en-US" w:eastAsia="zh-CN"/>
        </w:rPr>
        <w:t xml:space="preserve">送达</w:t>
      </w:r>
      <w:r>
        <w:rPr>
          <w:rFonts w:hint="eastAsia"/>
          <w:color w:val="000000"/>
          <w:szCs w:val="21"/>
        </w:rPr>
        <w:t xml:space="preserve">时间，</w:t>
      </w:r>
      <w:r>
        <w:rPr>
          <w:rFonts w:hint="eastAsia"/>
          <w:color w:val="000000"/>
          <w:szCs w:val="21"/>
          <w:lang w:eastAsia="zh-CN"/>
        </w:rPr>
        <w:t xml:space="preserve">2026年6月26日</w:t>
      </w:r>
      <w:r>
        <w:rPr>
          <w:rFonts w:hint="eastAsia"/>
          <w:color w:val="000000"/>
          <w:szCs w:val="21"/>
          <w:lang w:val="en-US" w:eastAsia="zh-CN"/>
        </w:rPr>
        <w:t xml:space="preserve">09</w:t>
      </w:r>
      <w:r>
        <w:rPr>
          <w:rFonts w:hint="eastAsia"/>
          <w:color w:val="000000"/>
          <w:szCs w:val="21"/>
        </w:rPr>
        <w:t xml:space="preserve">：</w:t>
      </w:r>
      <w:r>
        <w:rPr>
          <w:rFonts w:hint="eastAsia"/>
          <w:color w:val="000000"/>
          <w:szCs w:val="21"/>
          <w:lang w:val="en-US" w:eastAsia="zh-CN"/>
        </w:rPr>
        <w:t xml:space="preserve">3</w:t>
      </w:r>
      <w:r>
        <w:rPr>
          <w:rFonts w:hint="eastAsia"/>
          <w:color w:val="000000"/>
          <w:szCs w:val="21"/>
        </w:rPr>
        <w:t xml:space="preserve">0后，样品递送人员等所有投标人相关人员均必须全部离场。</w:t>
      </w:r>
      <w:r/>
    </w:p>
    <w:p>
      <w:pPr>
        <w:ind w:firstLine="420"/>
        <w:spacing w:line="360" w:lineRule="auto"/>
        <w:rPr>
          <w:color w:val="000000"/>
          <w:szCs w:val="21"/>
        </w:rPr>
      </w:pPr>
      <w:r>
        <w:rPr>
          <w:rFonts w:hint="eastAsia"/>
          <w:color w:val="000000"/>
          <w:szCs w:val="21"/>
        </w:rPr>
        <w:t xml:space="preserve">（3）样品接收人/退还人：</w:t>
      </w:r>
      <w:r>
        <w:rPr>
          <w:rFonts w:hint="eastAsia"/>
          <w:color w:val="000000"/>
          <w:szCs w:val="21"/>
          <w:lang w:val="en-US" w:eastAsia="zh-CN"/>
        </w:rPr>
        <w:t xml:space="preserve">褚晶晶、张志豪</w:t>
      </w:r>
      <w:r>
        <w:rPr>
          <w:rFonts w:hint="eastAsia"/>
          <w:color w:val="000000"/>
          <w:szCs w:val="21"/>
        </w:rPr>
        <w:t xml:space="preserve">；联系方式：</w:t>
      </w:r>
      <w:r>
        <w:rPr>
          <w:rFonts w:hint="eastAsia"/>
          <w:color w:val="000000"/>
          <w:szCs w:val="21"/>
          <w:lang w:val="en-US" w:eastAsia="zh-CN"/>
        </w:rPr>
        <w:t xml:space="preserve">025-83314167，13776604684、17351003011</w:t>
      </w:r>
      <w:r>
        <w:rPr>
          <w:rFonts w:hint="eastAsia"/>
          <w:color w:val="000000"/>
          <w:szCs w:val="21"/>
        </w:rPr>
        <w:t xml:space="preserve">。</w:t>
      </w:r>
      <w:r/>
    </w:p>
    <w:p>
      <w:pPr>
        <w:ind w:firstLine="420"/>
        <w:spacing w:line="360" w:lineRule="auto"/>
        <w:rPr>
          <w:color w:val="000000"/>
          <w:szCs w:val="21"/>
        </w:rPr>
      </w:pPr>
      <w:r>
        <w:rPr>
          <w:rFonts w:hint="eastAsia"/>
          <w:color w:val="000000"/>
          <w:szCs w:val="21"/>
        </w:rPr>
        <w:t xml:space="preserve">（4）各供应商应同时提交供应商名称、项目编号、分包号（如有）等信息</w:t>
      </w:r>
      <w:r>
        <w:rPr>
          <w:rFonts w:hint="eastAsia"/>
          <w:color w:val="000000"/>
          <w:szCs w:val="21"/>
          <w:lang w:eastAsia="zh-CN"/>
        </w:rPr>
        <w:t xml:space="preserve">的</w:t>
      </w:r>
      <w:r>
        <w:rPr>
          <w:rFonts w:hint="eastAsia"/>
          <w:color w:val="000000"/>
          <w:szCs w:val="21"/>
        </w:rPr>
        <w:t xml:space="preserve">纸张（A4）</w:t>
      </w:r>
      <w:r>
        <w:rPr>
          <w:rFonts w:hint="eastAsia"/>
          <w:b/>
          <w:bCs/>
          <w:color w:val="000000"/>
          <w:szCs w:val="21"/>
        </w:rPr>
        <w:t xml:space="preserve">密封在小信封中</w:t>
      </w:r>
      <w:r>
        <w:rPr>
          <w:rFonts w:hint="eastAsia"/>
          <w:color w:val="000000"/>
          <w:szCs w:val="21"/>
        </w:rPr>
        <w:t xml:space="preserve">并将小信封粘贴在样品上，供应商递交的样品上及小信封外不得显示投标人名称及其他明显能识别投标人的标识，</w:t>
      </w:r>
      <w:r>
        <w:rPr>
          <w:rFonts w:hint="eastAsia"/>
          <w:b/>
          <w:bCs/>
          <w:color w:val="000000"/>
          <w:szCs w:val="21"/>
        </w:rPr>
        <w:t xml:space="preserve">未按要求提交小信封、样品显示供应商名称及有其他明显能识别供应商的标识的，一律视为未提交样品</w:t>
      </w:r>
      <w:r>
        <w:rPr>
          <w:rFonts w:hint="eastAsia"/>
          <w:color w:val="000000"/>
          <w:szCs w:val="21"/>
        </w:rPr>
        <w:t xml:space="preserve">。</w:t>
      </w:r>
      <w:r/>
    </w:p>
    <w:p>
      <w:pPr>
        <w:ind w:firstLine="420"/>
        <w:spacing w:line="360" w:lineRule="auto"/>
        <w:rPr>
          <w:b/>
          <w:bCs/>
          <w:color w:val="000000"/>
          <w:szCs w:val="21"/>
        </w:rPr>
      </w:pPr>
      <w:r>
        <w:rPr>
          <w:rFonts w:hint="eastAsia"/>
          <w:b/>
          <w:bCs/>
          <w:color w:val="000000"/>
          <w:szCs w:val="21"/>
        </w:rPr>
        <w:t xml:space="preserve">注：若采购包一和采购包二均参与投标，且2个采购包提供的产品一致，则可提供一份样品（序号1-6），并标注适用于采购包一和采购包二。</w:t>
      </w:r>
      <w:r/>
    </w:p>
    <w:p>
      <w:pPr>
        <w:ind w:firstLine="420"/>
        <w:spacing w:line="360" w:lineRule="auto"/>
        <w:rPr>
          <w:color w:val="000000"/>
          <w:szCs w:val="21"/>
        </w:rPr>
      </w:pPr>
      <w:r>
        <w:rPr>
          <w:rFonts w:hint="eastAsia"/>
          <w:color w:val="000000"/>
          <w:szCs w:val="21"/>
        </w:rPr>
        <w:t xml:space="preserve">（5）供应商递交/取回样品时将进行登记，并由样品递交人/取回人签字确认。</w:t>
      </w:r>
      <w:r/>
    </w:p>
    <w:p>
      <w:pPr>
        <w:ind w:firstLine="420"/>
        <w:spacing w:line="360" w:lineRule="auto"/>
        <w:rPr>
          <w:color w:val="000000"/>
          <w:szCs w:val="21"/>
        </w:rPr>
      </w:pPr>
      <w:r>
        <w:rPr>
          <w:rFonts w:hint="eastAsia"/>
          <w:color w:val="000000"/>
          <w:szCs w:val="21"/>
        </w:rPr>
        <w:t xml:space="preserve">（6）供应商递交样品时应服从现场工作人员要求，按要求递交样品并签到，不得翻看他人样品及进行拍照。代理机构不接收在样品递交截止时间后递交的样品。</w:t>
      </w:r>
      <w:r/>
    </w:p>
    <w:p>
      <w:pPr>
        <w:ind w:firstLine="420"/>
        <w:spacing w:line="360" w:lineRule="auto"/>
        <w:rPr>
          <w:color w:val="000000"/>
          <w:szCs w:val="21"/>
        </w:rPr>
      </w:pPr>
      <w:r>
        <w:rPr>
          <w:rFonts w:hint="eastAsia"/>
          <w:color w:val="000000"/>
          <w:szCs w:val="21"/>
        </w:rPr>
        <w:t xml:space="preserve">（7）所有样品的制作、包装、运输等费用由供应商自行承担。</w:t>
      </w:r>
      <w:r/>
    </w:p>
    <w:p>
      <w:pPr>
        <w:ind w:firstLine="420"/>
        <w:spacing w:line="360" w:lineRule="auto"/>
        <w:rPr>
          <w:b/>
          <w:bCs/>
          <w:color w:val="000000"/>
          <w:szCs w:val="21"/>
        </w:rPr>
      </w:pPr>
      <w:r>
        <w:rPr>
          <w:rFonts w:hint="eastAsia"/>
          <w:b/>
          <w:bCs/>
          <w:color w:val="000000"/>
          <w:szCs w:val="21"/>
        </w:rPr>
        <w:t xml:space="preserve">2.样品的退还：</w:t>
      </w:r>
      <w:r/>
    </w:p>
    <w:p>
      <w:pPr>
        <w:ind w:firstLine="420"/>
        <w:spacing w:line="360" w:lineRule="auto"/>
        <w:rPr>
          <w:rFonts w:ascii="宋体" w:hAnsi="宋体" w:cs="宋体"/>
          <w:b/>
          <w:color w:val="000000"/>
          <w:szCs w:val="21"/>
        </w:rPr>
      </w:pPr>
      <w:r>
        <w:rPr>
          <w:rFonts w:hint="eastAsia"/>
          <w:color w:val="000000"/>
          <w:szCs w:val="21"/>
        </w:rPr>
        <w:t xml:space="preserve">中标供应商递交的样品由采购人负责保管、封存并作为履约验收的依据，不再退还中标供应商。未中标供应商递交的样品在采购结果公告期结束后2个工作日内，由采购代理机构通知未中标供应商自行取回，逾期未取回，视同供应商放弃样品所有权，由采购人、采购代理机构自行处置。</w:t>
      </w:r>
      <w:r/>
    </w:p>
    <w:p>
      <w:pPr>
        <w:spacing w:line="500" w:lineRule="exact"/>
        <w:rPr>
          <w:rFonts w:ascii="宋体" w:hAnsi="宋体" w:cs="宋体"/>
          <w:b/>
          <w:color w:val="000000"/>
          <w:szCs w:val="21"/>
        </w:rPr>
      </w:pPr>
      <w:r>
        <w:rPr>
          <w:rFonts w:hint="eastAsia" w:ascii="宋体" w:hAnsi="宋体" w:cs="宋体"/>
          <w:b/>
          <w:color w:val="000000"/>
          <w:szCs w:val="21"/>
        </w:rPr>
        <w:t xml:space="preserve">九、违约认定及赔偿要求：</w:t>
      </w:r>
      <w:r/>
    </w:p>
    <w:p>
      <w:pPr>
        <w:ind w:firstLine="420"/>
        <w:jc w:val="left"/>
        <w:spacing w:line="500" w:lineRule="exact"/>
        <w:rPr>
          <w:rFonts w:ascii="宋体" w:hAnsi="宋体"/>
          <w:szCs w:val="21"/>
        </w:rPr>
      </w:pPr>
      <w:r>
        <w:rPr>
          <w:rFonts w:hint="eastAsia" w:ascii="宋体" w:hAnsi="宋体"/>
          <w:szCs w:val="21"/>
        </w:rPr>
        <w:t xml:space="preserve">（一）以下情况视为供应商违约：</w:t>
      </w:r>
      <w:r/>
    </w:p>
    <w:p>
      <w:pPr>
        <w:ind w:firstLine="420"/>
        <w:jc w:val="left"/>
        <w:spacing w:line="500" w:lineRule="exact"/>
        <w:rPr>
          <w:rFonts w:ascii="宋体" w:hAnsi="宋体"/>
          <w:szCs w:val="21"/>
        </w:rPr>
      </w:pPr>
      <w:r>
        <w:rPr>
          <w:rFonts w:hint="eastAsia" w:ascii="宋体" w:hAnsi="宋体"/>
          <w:szCs w:val="21"/>
        </w:rPr>
        <w:t xml:space="preserve">1.逾期交货；</w:t>
      </w:r>
      <w:r/>
    </w:p>
    <w:p>
      <w:pPr>
        <w:ind w:firstLine="420"/>
        <w:jc w:val="left"/>
        <w:spacing w:line="500" w:lineRule="exact"/>
        <w:rPr>
          <w:rFonts w:ascii="宋体" w:hAnsi="宋体"/>
          <w:szCs w:val="21"/>
        </w:rPr>
      </w:pPr>
      <w:r>
        <w:rPr>
          <w:rFonts w:hint="eastAsia" w:ascii="宋体" w:hAnsi="宋体"/>
          <w:szCs w:val="21"/>
        </w:rPr>
        <w:t xml:space="preserve">2.货物不全或与标书所列清单不符；</w:t>
      </w:r>
      <w:r/>
    </w:p>
    <w:p>
      <w:pPr>
        <w:ind w:firstLine="420"/>
        <w:jc w:val="left"/>
        <w:spacing w:line="500" w:lineRule="exact"/>
        <w:rPr>
          <w:rFonts w:ascii="宋体" w:hAnsi="宋体"/>
          <w:szCs w:val="21"/>
        </w:rPr>
      </w:pPr>
      <w:r>
        <w:rPr>
          <w:rFonts w:hint="eastAsia" w:ascii="宋体" w:hAnsi="宋体"/>
          <w:szCs w:val="21"/>
        </w:rPr>
        <w:t xml:space="preserve">3.未通过验收；</w:t>
      </w:r>
      <w:r/>
    </w:p>
    <w:p>
      <w:pPr>
        <w:ind w:firstLine="420"/>
        <w:jc w:val="left"/>
        <w:spacing w:line="500" w:lineRule="exact"/>
        <w:rPr>
          <w:rFonts w:ascii="宋体" w:hAnsi="宋体"/>
          <w:szCs w:val="21"/>
        </w:rPr>
      </w:pPr>
      <w:r>
        <w:rPr>
          <w:rFonts w:hint="eastAsia" w:ascii="宋体" w:hAnsi="宋体"/>
          <w:szCs w:val="21"/>
        </w:rPr>
        <w:t xml:space="preserve">4.提供伪劣产品；</w:t>
      </w:r>
      <w:r/>
    </w:p>
    <w:p>
      <w:pPr>
        <w:ind w:firstLine="420"/>
        <w:jc w:val="left"/>
        <w:spacing w:line="500" w:lineRule="exact"/>
        <w:rPr>
          <w:rFonts w:ascii="宋体" w:hAnsi="宋体"/>
          <w:szCs w:val="21"/>
        </w:rPr>
      </w:pPr>
      <w:r>
        <w:rPr>
          <w:rFonts w:hint="eastAsia" w:ascii="宋体" w:hAnsi="宋体"/>
          <w:szCs w:val="21"/>
        </w:rPr>
        <w:t xml:space="preserve">5.未按合同规定提供售后服务。</w:t>
      </w:r>
      <w:r/>
    </w:p>
    <w:p>
      <w:pPr>
        <w:ind w:firstLine="420"/>
        <w:jc w:val="left"/>
        <w:spacing w:line="500" w:lineRule="exact"/>
        <w:rPr>
          <w:rFonts w:ascii="宋体" w:hAnsi="宋体"/>
          <w:szCs w:val="21"/>
        </w:rPr>
      </w:pPr>
      <w:r>
        <w:rPr>
          <w:rFonts w:hint="eastAsia" w:ascii="宋体" w:hAnsi="宋体"/>
          <w:szCs w:val="21"/>
        </w:rPr>
        <w:t xml:space="preserve">（二）违约赔偿</w:t>
      </w:r>
      <w:r/>
    </w:p>
    <w:p>
      <w:pPr>
        <w:ind w:firstLine="420"/>
        <w:jc w:val="left"/>
        <w:spacing w:line="500" w:lineRule="exact"/>
        <w:rPr>
          <w:rFonts w:ascii="宋体" w:hAnsi="宋体"/>
          <w:szCs w:val="21"/>
        </w:rPr>
      </w:pPr>
      <w:r>
        <w:rPr>
          <w:rFonts w:hint="eastAsia" w:ascii="宋体" w:hAnsi="宋体"/>
          <w:szCs w:val="21"/>
        </w:rPr>
        <w:t xml:space="preserve">1.中标供应商不履行本合同义务或履行义务不符合约定的，采购人有权扣除履约保证金并要求中标供应商承担继续履行、赔偿损失或支付违约金等违约责任。</w:t>
      </w:r>
      <w:r/>
    </w:p>
    <w:p>
      <w:pPr>
        <w:ind w:firstLine="420"/>
        <w:jc w:val="left"/>
        <w:spacing w:line="500" w:lineRule="exact"/>
        <w:rPr>
          <w:rFonts w:ascii="宋体" w:hAnsi="宋体"/>
          <w:szCs w:val="21"/>
        </w:rPr>
      </w:pPr>
      <w:r>
        <w:rPr>
          <w:rFonts w:hint="eastAsia" w:ascii="宋体" w:hAnsi="宋体"/>
          <w:szCs w:val="21"/>
        </w:rPr>
        <w:t xml:space="preserve">2.如未按时完工，每延迟一天按合同总价的千分之一每天累计计算从合同款中扣除。中标人逾期超过约定日期15个工作日不交货的，采购</w:t>
      </w:r>
      <w:r>
        <w:rPr>
          <w:rFonts w:hint="eastAsia" w:ascii="宋体" w:hAnsi="宋体"/>
          <w:szCs w:val="21"/>
          <w:lang w:eastAsia="zh-CN"/>
        </w:rPr>
        <w:t xml:space="preserve">人</w:t>
      </w:r>
      <w:r>
        <w:rPr>
          <w:rFonts w:hint="eastAsia" w:ascii="宋体" w:hAnsi="宋体"/>
          <w:szCs w:val="21"/>
        </w:rPr>
        <w:t xml:space="preserve">可解除采购合同。因中标人逾期交货或其他违约行为导致采购方解除采购合同的，中标人应退还采购</w:t>
      </w:r>
      <w:r>
        <w:rPr>
          <w:rFonts w:hint="eastAsia" w:ascii="宋体" w:hAnsi="宋体"/>
          <w:szCs w:val="21"/>
          <w:lang w:eastAsia="zh-CN"/>
        </w:rPr>
        <w:t xml:space="preserve">人</w:t>
      </w:r>
      <w:r>
        <w:rPr>
          <w:rFonts w:hint="eastAsia" w:ascii="宋体" w:hAnsi="宋体"/>
          <w:szCs w:val="21"/>
        </w:rPr>
        <w:t xml:space="preserve">已经支付的全部货款并向采购</w:t>
      </w:r>
      <w:r>
        <w:rPr>
          <w:rFonts w:hint="eastAsia" w:ascii="宋体" w:hAnsi="宋体"/>
          <w:szCs w:val="21"/>
          <w:lang w:eastAsia="zh-CN"/>
        </w:rPr>
        <w:t xml:space="preserve">人</w:t>
      </w:r>
      <w:r>
        <w:rPr>
          <w:rFonts w:hint="eastAsia" w:ascii="宋体" w:hAnsi="宋体"/>
          <w:szCs w:val="21"/>
        </w:rPr>
        <w:t xml:space="preserve">支付合同总值5%的违约金，如造成采购方损失超过违约金的，超出部分由中标人继续承担赔偿责任。</w:t>
      </w:r>
      <w:r/>
    </w:p>
    <w:p>
      <w:pPr>
        <w:ind w:firstLine="420"/>
        <w:jc w:val="left"/>
        <w:spacing w:line="500" w:lineRule="exact"/>
        <w:rPr>
          <w:rFonts w:ascii="宋体" w:hAnsi="宋体"/>
          <w:szCs w:val="21"/>
        </w:rPr>
      </w:pPr>
      <w:r>
        <w:rPr>
          <w:rFonts w:hint="eastAsia" w:ascii="宋体" w:hAnsi="宋体"/>
          <w:szCs w:val="21"/>
        </w:rPr>
        <w:t xml:space="preserve">3.中标供应商未按合同约定履行合同义务，经采购人催告仍未纠正的，采购人有权单方解除合同。由于整改纠正造成进度延期交付的视同逾期交付。</w:t>
      </w:r>
      <w:r/>
    </w:p>
    <w:p>
      <w:pPr>
        <w:ind w:firstLine="420"/>
        <w:jc w:val="left"/>
        <w:spacing w:line="500" w:lineRule="exact"/>
        <w:rPr>
          <w:rFonts w:ascii="宋体" w:hAnsi="宋体"/>
          <w:szCs w:val="21"/>
        </w:rPr>
      </w:pPr>
      <w:r>
        <w:rPr>
          <w:rFonts w:hint="eastAsia" w:ascii="宋体" w:hAnsi="宋体"/>
          <w:szCs w:val="21"/>
        </w:rPr>
        <w:t xml:space="preserve">4.中标供应商提供的技术服务不符合本合同约定的验收标准，未通过采购人验收的，中标供应商应退还采购人已支付的全部款项，并向采购人支付相当于技术服务报酬 5%的违约金。</w:t>
      </w:r>
      <w:r/>
    </w:p>
    <w:p>
      <w:pPr>
        <w:ind w:firstLine="420"/>
        <w:spacing w:line="500" w:lineRule="exact"/>
        <w:rPr>
          <w:rFonts w:ascii="宋体" w:hAnsi="宋体"/>
          <w:szCs w:val="21"/>
        </w:rPr>
      </w:pPr>
      <w:r>
        <w:rPr>
          <w:rFonts w:hint="eastAsia" w:ascii="宋体" w:hAnsi="宋体"/>
          <w:szCs w:val="21"/>
        </w:rPr>
        <w:t xml:space="preserve">5.合同因中标供应商原因解除的，采购人有权停止支付并要求中标供应商退还采购人已支付的全部款项，且中标供应商应向采购人支付相当于技术服务报酬 5%的违约金。</w:t>
      </w:r>
      <w:r/>
    </w:p>
    <w:p>
      <w:r/>
      <w:r/>
    </w:p>
    <w:p>
      <w:r>
        <w:br w:type="page" w:clear="all"/>
      </w:r>
      <w:r/>
    </w:p>
    <w:p>
      <w:r/>
      <w:r/>
    </w:p>
    <w:p>
      <w:pPr>
        <w:pStyle w:val="959"/>
        <w:numPr>
          <w:ilvl w:val="0"/>
          <w:numId w:val="0"/>
        </w:numPr>
        <w:rPr>
          <w:rFonts w:ascii="宋体" w:hAnsi="宋体" w:cs="宋体"/>
        </w:rPr>
      </w:pPr>
      <w:r/>
      <w:bookmarkStart w:id="22" w:name="_Toc31329"/>
      <w:r>
        <w:rPr>
          <w:rFonts w:hint="eastAsia" w:ascii="宋体" w:hAnsi="宋体" w:cs="宋体"/>
        </w:rPr>
        <w:t xml:space="preserve">第五章 合同主要条款及格式</w:t>
      </w:r>
      <w:bookmarkEnd w:id="19"/>
      <w:r/>
      <w:bookmarkEnd w:id="22"/>
      <w:r/>
      <w:r/>
    </w:p>
    <w:p>
      <w:pPr>
        <w:pStyle w:val="983"/>
        <w:ind w:firstLine="480"/>
        <w:jc w:val="right"/>
        <w:spacing w:before="120" w:after="120" w:line="360" w:lineRule="auto"/>
        <w:rPr>
          <w:rFonts w:ascii="宋体" w:hAnsi="宋体"/>
          <w:sz w:val="16"/>
          <w:szCs w:val="16"/>
        </w:rPr>
      </w:pP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b/>
          <w:bCs/>
          <w:sz w:val="24"/>
        </w:rPr>
        <w:t xml:space="preserve"> </w:t>
      </w:r>
      <w:r>
        <w:rPr>
          <w:rFonts w:hint="eastAsia" w:ascii="宋体" w:hAnsi="宋体"/>
          <w:sz w:val="16"/>
          <w:szCs w:val="16"/>
        </w:rPr>
        <w:t xml:space="preserve">南师大合同编号：</w:t>
      </w:r>
      <w:bookmarkStart w:id="23" w:name="合同编号"/>
      <w:r/>
      <w:bookmarkEnd w:id="23"/>
      <w:r/>
      <w:r/>
    </w:p>
    <w:p>
      <w:pPr>
        <w:pStyle w:val="983"/>
        <w:ind w:firstLine="643"/>
        <w:jc w:val="center"/>
        <w:spacing w:before="120" w:after="120" w:line="360" w:lineRule="auto"/>
        <w:rPr>
          <w:rFonts w:ascii="宋体" w:hAnsi="宋体" w:cs="宋体"/>
          <w:sz w:val="44"/>
          <w:szCs w:val="44"/>
        </w:rPr>
      </w:pPr>
      <w:r>
        <w:rPr>
          <w:rFonts w:hint="eastAsia" w:ascii="宋体" w:hAnsi="宋体"/>
          <w:b/>
          <w:sz w:val="32"/>
        </w:rPr>
        <w:t xml:space="preserve">南京师范大学货物采购合同</w:t>
      </w:r>
      <w:r/>
    </w:p>
    <w:p>
      <w:pPr>
        <w:pStyle w:val="983"/>
        <w:ind w:firstLine="420"/>
        <w:spacing w:line="360" w:lineRule="auto"/>
        <w:rPr>
          <w:rFonts w:hAnsi="宋体"/>
          <w:szCs w:val="21"/>
        </w:rPr>
      </w:pPr>
      <w:r>
        <w:rPr>
          <w:rFonts w:hAnsi="宋体"/>
          <w:szCs w:val="21"/>
        </w:rPr>
        <w:t xml:space="preserve">项目名称：                        </w:t>
      </w:r>
      <w:r>
        <w:rPr>
          <w:rFonts w:hint="eastAsia" w:hAnsi="宋体"/>
          <w:szCs w:val="21"/>
        </w:rPr>
        <w:t xml:space="preserve">南师大</w:t>
      </w:r>
      <w:r>
        <w:rPr>
          <w:rFonts w:hAnsi="宋体"/>
          <w:szCs w:val="21"/>
        </w:rPr>
        <w:t xml:space="preserve">项目</w:t>
      </w:r>
      <w:r>
        <w:rPr>
          <w:rFonts w:hint="eastAsia" w:hAnsi="宋体"/>
          <w:szCs w:val="21"/>
        </w:rPr>
        <w:t xml:space="preserve">采购</w:t>
      </w:r>
      <w:r>
        <w:rPr>
          <w:rFonts w:hAnsi="宋体"/>
          <w:szCs w:val="21"/>
        </w:rPr>
        <w:t xml:space="preserve">编号：</w:t>
      </w:r>
      <w:r/>
    </w:p>
    <w:p>
      <w:pPr>
        <w:pStyle w:val="983"/>
        <w:ind w:firstLine="420"/>
        <w:spacing w:line="360" w:lineRule="auto"/>
        <w:rPr>
          <w:rFonts w:ascii="宋体" w:hAnsi="宋体"/>
          <w:szCs w:val="21"/>
        </w:rPr>
      </w:pPr>
      <w:r>
        <w:rPr>
          <w:rFonts w:ascii="宋体" w:hAnsi="宋体"/>
          <w:szCs w:val="21"/>
        </w:rPr>
        <w:t xml:space="preserve">甲方：（买方）</w:t>
      </w:r>
      <w:r>
        <w:rPr>
          <w:rFonts w:hint="eastAsia" w:ascii="宋体" w:hAnsi="宋体"/>
          <w:szCs w:val="21"/>
        </w:rPr>
        <w:t xml:space="preserve">南京师范大学</w:t>
      </w:r>
      <w:r/>
    </w:p>
    <w:p>
      <w:pPr>
        <w:pStyle w:val="983"/>
        <w:ind w:firstLine="420"/>
        <w:spacing w:line="360" w:lineRule="auto"/>
        <w:rPr>
          <w:rFonts w:ascii="宋体" w:hAnsi="宋体"/>
          <w:szCs w:val="21"/>
        </w:rPr>
      </w:pPr>
      <w:r>
        <w:rPr>
          <w:rFonts w:ascii="宋体" w:hAnsi="宋体"/>
          <w:szCs w:val="21"/>
        </w:rPr>
        <w:t xml:space="preserve">乙方：（卖方）_________</w:t>
      </w:r>
      <w:r/>
    </w:p>
    <w:p>
      <w:pPr>
        <w:ind w:firstLine="420"/>
        <w:spacing w:line="360" w:lineRule="auto"/>
      </w:pPr>
      <w:r>
        <w:rPr>
          <w:rFonts w:hint="eastAsia"/>
        </w:rPr>
        <w:t xml:space="preserve">甲、乙双方根据</w:t>
      </w:r>
      <w:r>
        <w:rPr>
          <w:rFonts w:hint="eastAsia"/>
          <w:u w:val="single"/>
        </w:rPr>
        <w:t xml:space="preserve">                   </w:t>
      </w:r>
      <w:r>
        <w:rPr>
          <w:rFonts w:hint="eastAsia"/>
        </w:rPr>
        <w:t xml:space="preserve">采购的结果，签署本合同。</w:t>
      </w:r>
      <w:r/>
    </w:p>
    <w:p>
      <w:pPr>
        <w:ind w:firstLine="422"/>
        <w:spacing w:line="360" w:lineRule="auto"/>
        <w:rPr>
          <w:szCs w:val="21"/>
        </w:rPr>
      </w:pPr>
      <w:r>
        <w:rPr>
          <w:rFonts w:hint="eastAsia"/>
          <w:b/>
          <w:bCs/>
          <w:szCs w:val="21"/>
        </w:rPr>
        <w:t xml:space="preserve">一、采购标的</w:t>
      </w:r>
      <w:r>
        <w:rPr>
          <w:rFonts w:hint="eastAsia"/>
          <w:b/>
          <w:bCs/>
          <w:szCs w:val="21"/>
        </w:rPr>
        <w:tab/>
      </w:r>
      <w:r>
        <w:rPr>
          <w:rFonts w:hint="eastAsia"/>
          <w:szCs w:val="21"/>
        </w:rPr>
        <w:tab/>
      </w:r>
      <w:r/>
    </w:p>
    <w:tbl>
      <w:tblPr>
        <w:tblStyle w:val="969"/>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560"/>
        <w:gridCol w:w="1984"/>
        <w:gridCol w:w="1276"/>
      </w:tblGrid>
      <w:tr>
        <w:trPr/>
        <w:tc>
          <w:tcPr>
            <w:tcW w:w="3118" w:type="dxa"/>
            <w:textDirection w:val="lrTb"/>
            <w:noWrap w:val="false"/>
          </w:tcPr>
          <w:p>
            <w:pPr>
              <w:ind w:firstLine="420"/>
              <w:spacing w:line="360" w:lineRule="auto"/>
              <w:rPr>
                <w:szCs w:val="21"/>
              </w:rPr>
            </w:pPr>
            <w:r>
              <w:rPr>
                <w:rFonts w:hint="eastAsia"/>
                <w:szCs w:val="21"/>
              </w:rPr>
              <w:t xml:space="preserve">标  的  名    称</w:t>
            </w:r>
            <w:r/>
          </w:p>
        </w:tc>
        <w:tc>
          <w:tcPr>
            <w:tcW w:w="1560" w:type="dxa"/>
            <w:textDirection w:val="lrTb"/>
            <w:noWrap w:val="false"/>
          </w:tcPr>
          <w:p>
            <w:pPr>
              <w:spacing w:line="360" w:lineRule="auto"/>
              <w:rPr>
                <w:szCs w:val="21"/>
              </w:rPr>
            </w:pPr>
            <w:r>
              <w:rPr>
                <w:rFonts w:hint="eastAsia"/>
                <w:szCs w:val="21"/>
              </w:rPr>
              <w:t xml:space="preserve">品   牌</w:t>
            </w:r>
            <w:r/>
          </w:p>
        </w:tc>
        <w:tc>
          <w:tcPr>
            <w:tcW w:w="1984" w:type="dxa"/>
            <w:textDirection w:val="lrTb"/>
            <w:noWrap w:val="false"/>
          </w:tcPr>
          <w:p>
            <w:pPr>
              <w:spacing w:line="360" w:lineRule="auto"/>
              <w:rPr>
                <w:szCs w:val="21"/>
              </w:rPr>
            </w:pPr>
            <w:r>
              <w:rPr>
                <w:rFonts w:hint="eastAsia"/>
                <w:szCs w:val="21"/>
              </w:rPr>
              <w:t xml:space="preserve">厂   家</w:t>
            </w:r>
            <w:r/>
          </w:p>
        </w:tc>
        <w:tc>
          <w:tcPr>
            <w:tcW w:w="1276" w:type="dxa"/>
            <w:textDirection w:val="lrTb"/>
            <w:noWrap w:val="false"/>
          </w:tcPr>
          <w:p>
            <w:pPr>
              <w:spacing w:line="360" w:lineRule="auto"/>
              <w:rPr>
                <w:szCs w:val="21"/>
              </w:rPr>
            </w:pPr>
            <w:r>
              <w:rPr>
                <w:rFonts w:hint="eastAsia"/>
                <w:szCs w:val="21"/>
              </w:rPr>
              <w:t xml:space="preserve">产  地</w:t>
            </w:r>
            <w:r/>
          </w:p>
        </w:tc>
      </w:tr>
      <w:tr>
        <w:trPr>
          <w:trHeight w:val="753"/>
        </w:trPr>
        <w:tc>
          <w:tcPr>
            <w:tcW w:w="3118" w:type="dxa"/>
            <w:textDirection w:val="lrTb"/>
            <w:noWrap w:val="false"/>
          </w:tcPr>
          <w:p>
            <w:pPr>
              <w:ind w:firstLine="420"/>
              <w:spacing w:line="360" w:lineRule="auto"/>
              <w:rPr>
                <w:szCs w:val="21"/>
              </w:rPr>
            </w:pPr>
            <w:r>
              <w:rPr>
                <w:szCs w:val="21"/>
              </w:rPr>
            </w:r>
            <w:r/>
          </w:p>
        </w:tc>
        <w:tc>
          <w:tcPr>
            <w:tcW w:w="1560" w:type="dxa"/>
            <w:textDirection w:val="lrTb"/>
            <w:noWrap w:val="false"/>
          </w:tcPr>
          <w:p>
            <w:pPr>
              <w:ind w:firstLine="420"/>
              <w:spacing w:line="360" w:lineRule="auto"/>
              <w:rPr>
                <w:szCs w:val="21"/>
              </w:rPr>
            </w:pPr>
            <w:r>
              <w:rPr>
                <w:szCs w:val="21"/>
              </w:rPr>
            </w:r>
            <w:r/>
          </w:p>
        </w:tc>
        <w:tc>
          <w:tcPr>
            <w:tcW w:w="1984" w:type="dxa"/>
            <w:textDirection w:val="lrTb"/>
            <w:noWrap w:val="false"/>
          </w:tcPr>
          <w:p>
            <w:pPr>
              <w:ind w:firstLine="420"/>
              <w:spacing w:line="360" w:lineRule="auto"/>
              <w:rPr>
                <w:szCs w:val="21"/>
              </w:rPr>
            </w:pPr>
            <w:r>
              <w:rPr>
                <w:szCs w:val="21"/>
              </w:rPr>
            </w:r>
            <w:r/>
          </w:p>
        </w:tc>
        <w:tc>
          <w:tcPr>
            <w:tcW w:w="1276" w:type="dxa"/>
            <w:textDirection w:val="lrTb"/>
            <w:noWrap w:val="false"/>
          </w:tcPr>
          <w:p>
            <w:pPr>
              <w:ind w:firstLine="420"/>
              <w:spacing w:line="360" w:lineRule="auto"/>
              <w:rPr>
                <w:szCs w:val="21"/>
              </w:rPr>
            </w:pPr>
            <w:r>
              <w:rPr>
                <w:szCs w:val="21"/>
              </w:rPr>
            </w:r>
            <w:r/>
          </w:p>
        </w:tc>
      </w:tr>
    </w:tbl>
    <w:p>
      <w:pPr>
        <w:rPr>
          <w:szCs w:val="21"/>
        </w:rPr>
      </w:pPr>
      <w:r>
        <w:rPr>
          <w:szCs w:val="21"/>
        </w:rPr>
      </w:r>
      <w:r/>
    </w:p>
    <w:p>
      <w:pPr>
        <w:rPr>
          <w:szCs w:val="21"/>
        </w:rPr>
      </w:pPr>
      <w:r>
        <w:rPr>
          <w:szCs w:val="21"/>
        </w:rPr>
      </w:r>
      <w:r/>
    </w:p>
    <w:tbl>
      <w:tblPr>
        <w:tblStyle w:val="969"/>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418"/>
        <w:gridCol w:w="1134"/>
        <w:gridCol w:w="2268"/>
      </w:tblGrid>
      <w:tr>
        <w:trPr/>
        <w:tc>
          <w:tcPr>
            <w:tcW w:w="3118" w:type="dxa"/>
            <w:textDirection w:val="lrTb"/>
            <w:noWrap w:val="false"/>
          </w:tcPr>
          <w:p>
            <w:pPr>
              <w:ind w:firstLine="420"/>
              <w:spacing w:line="360" w:lineRule="auto"/>
              <w:rPr>
                <w:szCs w:val="21"/>
              </w:rPr>
            </w:pPr>
            <w:r>
              <w:rPr>
                <w:rFonts w:hint="eastAsia"/>
                <w:szCs w:val="21"/>
              </w:rPr>
              <w:t xml:space="preserve">型 号 规 格</w:t>
            </w:r>
            <w:r/>
          </w:p>
        </w:tc>
        <w:tc>
          <w:tcPr>
            <w:tcW w:w="1418" w:type="dxa"/>
            <w:textDirection w:val="lrTb"/>
            <w:noWrap w:val="false"/>
          </w:tcPr>
          <w:p>
            <w:pPr>
              <w:spacing w:line="360" w:lineRule="auto"/>
              <w:rPr>
                <w:szCs w:val="21"/>
              </w:rPr>
            </w:pPr>
            <w:r>
              <w:rPr>
                <w:rFonts w:hint="eastAsia"/>
                <w:szCs w:val="21"/>
              </w:rPr>
              <w:t xml:space="preserve">数  量</w:t>
            </w:r>
            <w:r/>
          </w:p>
        </w:tc>
        <w:tc>
          <w:tcPr>
            <w:tcW w:w="1134" w:type="dxa"/>
            <w:textDirection w:val="lrTb"/>
            <w:noWrap w:val="false"/>
          </w:tcPr>
          <w:p>
            <w:pPr>
              <w:spacing w:line="360" w:lineRule="auto"/>
              <w:rPr>
                <w:szCs w:val="21"/>
              </w:rPr>
            </w:pPr>
            <w:r>
              <w:rPr>
                <w:rFonts w:hint="eastAsia"/>
                <w:szCs w:val="21"/>
              </w:rPr>
              <w:t xml:space="preserve">单  价</w:t>
            </w:r>
            <w:r/>
          </w:p>
        </w:tc>
        <w:tc>
          <w:tcPr>
            <w:tcW w:w="2268" w:type="dxa"/>
            <w:textDirection w:val="lrTb"/>
            <w:noWrap w:val="false"/>
          </w:tcPr>
          <w:p>
            <w:pPr>
              <w:ind w:firstLine="420"/>
              <w:spacing w:line="360" w:lineRule="auto"/>
              <w:rPr>
                <w:szCs w:val="21"/>
              </w:rPr>
            </w:pPr>
            <w:r>
              <w:rPr>
                <w:rFonts w:hint="eastAsia"/>
                <w:szCs w:val="21"/>
              </w:rPr>
              <w:t xml:space="preserve">总   价</w:t>
            </w:r>
            <w:r/>
          </w:p>
        </w:tc>
      </w:tr>
      <w:tr>
        <w:trPr>
          <w:trHeight w:val="753"/>
        </w:trPr>
        <w:tc>
          <w:tcPr>
            <w:tcW w:w="3118" w:type="dxa"/>
            <w:textDirection w:val="lrTb"/>
            <w:noWrap w:val="false"/>
          </w:tcPr>
          <w:p>
            <w:pPr>
              <w:ind w:firstLine="420"/>
              <w:spacing w:line="360" w:lineRule="auto"/>
              <w:rPr>
                <w:szCs w:val="21"/>
              </w:rPr>
            </w:pPr>
            <w:r>
              <w:rPr>
                <w:szCs w:val="21"/>
              </w:rPr>
            </w:r>
            <w:r/>
          </w:p>
        </w:tc>
        <w:tc>
          <w:tcPr>
            <w:tcW w:w="1418" w:type="dxa"/>
            <w:textDirection w:val="lrTb"/>
            <w:noWrap w:val="false"/>
          </w:tcPr>
          <w:p>
            <w:pPr>
              <w:ind w:firstLine="420"/>
              <w:spacing w:line="360" w:lineRule="auto"/>
              <w:rPr>
                <w:szCs w:val="21"/>
              </w:rPr>
            </w:pPr>
            <w:r>
              <w:rPr>
                <w:szCs w:val="21"/>
              </w:rPr>
            </w:r>
            <w:r/>
          </w:p>
        </w:tc>
        <w:tc>
          <w:tcPr>
            <w:tcW w:w="1134" w:type="dxa"/>
            <w:textDirection w:val="lrTb"/>
            <w:noWrap w:val="false"/>
          </w:tcPr>
          <w:p>
            <w:pPr>
              <w:ind w:firstLine="420"/>
              <w:spacing w:line="360" w:lineRule="auto"/>
              <w:rPr>
                <w:szCs w:val="21"/>
              </w:rPr>
            </w:pPr>
            <w:r>
              <w:rPr>
                <w:szCs w:val="21"/>
              </w:rPr>
            </w:r>
            <w:r/>
          </w:p>
        </w:tc>
        <w:tc>
          <w:tcPr>
            <w:tcW w:w="2268" w:type="dxa"/>
            <w:textDirection w:val="lrTb"/>
            <w:noWrap w:val="false"/>
          </w:tcPr>
          <w:p>
            <w:pPr>
              <w:ind w:firstLine="420"/>
              <w:spacing w:line="360" w:lineRule="auto"/>
              <w:rPr>
                <w:szCs w:val="21"/>
              </w:rPr>
            </w:pPr>
            <w:r>
              <w:rPr>
                <w:szCs w:val="21"/>
              </w:rPr>
            </w:r>
            <w:r/>
          </w:p>
        </w:tc>
      </w:tr>
    </w:tbl>
    <w:p>
      <w:pPr>
        <w:rPr>
          <w:szCs w:val="21"/>
        </w:rPr>
      </w:pPr>
      <w:r>
        <w:rPr>
          <w:rFonts w:hint="eastAsia"/>
          <w:szCs w:val="21"/>
        </w:rPr>
        <w:tab/>
      </w:r>
      <w:r>
        <w:rPr>
          <w:rFonts w:hint="eastAsia"/>
          <w:szCs w:val="21"/>
        </w:rPr>
        <w:tab/>
      </w:r>
      <w:r>
        <w:rPr>
          <w:rFonts w:hint="eastAsia"/>
          <w:szCs w:val="21"/>
        </w:rPr>
        <w:tab/>
      </w:r>
      <w:r/>
    </w:p>
    <w:p>
      <w:pPr>
        <w:ind w:firstLine="422"/>
        <w:spacing w:line="360" w:lineRule="auto"/>
        <w:rPr>
          <w:b/>
          <w:bCs/>
        </w:rPr>
      </w:pPr>
      <w:r>
        <w:rPr>
          <w:rFonts w:hint="eastAsia"/>
          <w:b/>
          <w:bCs/>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ind w:firstLine="422"/>
        <w:spacing w:line="360" w:lineRule="auto"/>
        <w:rPr>
          <w:b/>
          <w:bCs/>
        </w:rPr>
      </w:pPr>
      <w:r>
        <w:rPr>
          <w:rFonts w:hint="eastAsia"/>
          <w:b/>
          <w:bCs/>
        </w:rPr>
        <w:t xml:space="preserve">二、合同金额</w:t>
      </w:r>
      <w:r/>
    </w:p>
    <w:p>
      <w:pPr>
        <w:ind w:firstLine="420"/>
        <w:spacing w:line="360" w:lineRule="auto"/>
      </w:pPr>
      <w:r>
        <w:rPr>
          <w:rFonts w:hint="eastAsia"/>
        </w:rPr>
        <w:t xml:space="preserve">本合同总金额为（大写）：____________元整（￥_______元）人民币。</w:t>
      </w:r>
      <w:r/>
    </w:p>
    <w:p>
      <w:pPr>
        <w:ind w:firstLine="420"/>
        <w:spacing w:line="360" w:lineRule="auto"/>
      </w:pPr>
      <w:r>
        <w:rPr>
          <w:rFonts w:hint="eastAsia"/>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ind w:firstLine="420"/>
        <w:spacing w:line="360" w:lineRule="auto"/>
        <w:rPr>
          <w:b/>
          <w:bCs/>
        </w:rPr>
      </w:pPr>
      <w:r>
        <w:rPr>
          <w:rFonts w:hint="eastAsia"/>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ind w:firstLine="422"/>
        <w:spacing w:line="360" w:lineRule="auto"/>
        <w:rPr>
          <w:b/>
          <w:bCs/>
        </w:rPr>
      </w:pPr>
      <w:r>
        <w:rPr>
          <w:rFonts w:hint="eastAsia"/>
          <w:b/>
          <w:bCs/>
        </w:rPr>
        <w:t xml:space="preserve">三、技术资料及保密</w:t>
      </w:r>
      <w:r/>
    </w:p>
    <w:p>
      <w:pPr>
        <w:ind w:firstLine="420"/>
        <w:spacing w:line="360" w:lineRule="auto"/>
      </w:pPr>
      <w:r>
        <w:rPr>
          <w:rFonts w:hint="eastAsia"/>
        </w:rPr>
        <w:t xml:space="preserve">3.1乙方应按采购文件规定的时间向甲方提供有关技术资料。</w:t>
      </w:r>
      <w:r/>
    </w:p>
    <w:p>
      <w:pPr>
        <w:ind w:firstLine="420"/>
        <w:spacing w:line="360" w:lineRule="auto"/>
      </w:pPr>
      <w:r>
        <w:rPr>
          <w:rFonts w:hint="eastAsia"/>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ind w:firstLine="422"/>
        <w:spacing w:line="360" w:lineRule="auto"/>
        <w:rPr>
          <w:b/>
          <w:bCs/>
        </w:rPr>
      </w:pPr>
      <w:r>
        <w:rPr>
          <w:rFonts w:hint="eastAsia"/>
          <w:b/>
          <w:bCs/>
        </w:rPr>
        <w:t xml:space="preserve">四、产权</w:t>
      </w:r>
      <w:r/>
    </w:p>
    <w:p>
      <w:pPr>
        <w:ind w:firstLine="420"/>
        <w:spacing w:line="360" w:lineRule="auto"/>
      </w:pPr>
      <w:r>
        <w:rPr>
          <w:rFonts w:hint="eastAsia"/>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ind w:firstLine="422"/>
        <w:spacing w:line="360" w:lineRule="auto"/>
        <w:rPr>
          <w:b/>
          <w:bCs/>
        </w:rPr>
      </w:pPr>
      <w:r>
        <w:rPr>
          <w:rFonts w:hint="eastAsia"/>
          <w:b/>
          <w:bCs/>
        </w:rPr>
        <w:t xml:space="preserve">五、交付及免保</w:t>
      </w:r>
      <w:r/>
    </w:p>
    <w:p>
      <w:pPr>
        <w:ind w:firstLine="420"/>
        <w:spacing w:line="360" w:lineRule="auto"/>
      </w:pPr>
      <w:r>
        <w:rPr>
          <w:rFonts w:hint="eastAsia"/>
        </w:rPr>
        <w:t xml:space="preserve">5.1交付期：_________。   </w:t>
      </w:r>
      <w:r/>
    </w:p>
    <w:p>
      <w:pPr>
        <w:ind w:firstLine="420"/>
        <w:spacing w:line="360" w:lineRule="auto"/>
      </w:pPr>
      <w:r>
        <w:rPr>
          <w:rFonts w:hint="eastAsia"/>
        </w:rPr>
        <w:t xml:space="preserve">5.2乙方免费、安全送达甲方指定地点         校区。</w:t>
      </w:r>
      <w:r/>
    </w:p>
    <w:p>
      <w:pPr>
        <w:ind w:firstLine="420"/>
        <w:spacing w:line="360" w:lineRule="auto"/>
      </w:pPr>
      <w:r>
        <w:rPr>
          <w:rFonts w:hint="eastAsia"/>
        </w:rPr>
        <w:t xml:space="preserve">5.3免费质保期：    年   月   日至     年     月   日。</w:t>
      </w:r>
      <w:r/>
    </w:p>
    <w:p>
      <w:pPr>
        <w:ind w:firstLine="420"/>
        <w:spacing w:line="360" w:lineRule="auto"/>
      </w:pPr>
      <w:r>
        <w:rPr>
          <w:rFonts w:hint="eastAsia"/>
        </w:rPr>
        <w:t xml:space="preserve">（具体自项目验收合格之日起计）</w:t>
      </w:r>
      <w:r/>
    </w:p>
    <w:p>
      <w:pPr>
        <w:ind w:firstLine="422"/>
        <w:spacing w:line="360" w:lineRule="auto"/>
        <w:rPr>
          <w:b/>
          <w:bCs/>
        </w:rPr>
      </w:pPr>
      <w:r>
        <w:rPr>
          <w:rFonts w:hint="eastAsia"/>
          <w:b/>
          <w:bCs/>
        </w:rPr>
        <w:t xml:space="preserve">六、合同款支付及履约保证金</w:t>
      </w:r>
      <w:r/>
    </w:p>
    <w:p>
      <w:pPr>
        <w:ind w:firstLine="420"/>
        <w:spacing w:line="360" w:lineRule="auto"/>
        <w:rPr>
          <w:rFonts w:ascii="宋体" w:hAnsi="宋体"/>
          <w:szCs w:val="21"/>
        </w:rPr>
      </w:pPr>
      <w:r>
        <w:rPr>
          <w:rFonts w:hint="eastAsia" w:ascii="宋体" w:hAnsi="宋体"/>
          <w:szCs w:val="21"/>
        </w:rPr>
        <w:t xml:space="preserve">付款方式：</w:t>
      </w:r>
      <w:r/>
    </w:p>
    <w:p>
      <w:pPr>
        <w:ind w:firstLine="420"/>
        <w:jc w:val="left"/>
        <w:spacing w:line="500" w:lineRule="exact"/>
        <w:rPr>
          <w:rFonts w:ascii="宋体" w:hAnsi="宋体"/>
          <w:szCs w:val="21"/>
        </w:rPr>
      </w:pPr>
      <w:r>
        <w:rPr>
          <w:rFonts w:hint="eastAsia" w:ascii="宋体" w:hAnsi="宋体"/>
          <w:szCs w:val="21"/>
        </w:rPr>
        <w:t xml:space="preserve">履约保证金：</w:t>
      </w:r>
      <w:r/>
    </w:p>
    <w:p>
      <w:pPr>
        <w:ind w:firstLine="422"/>
        <w:jc w:val="left"/>
        <w:spacing w:line="500" w:lineRule="exact"/>
        <w:rPr>
          <w:rFonts w:ascii="宋体" w:hAnsi="宋体"/>
          <w:b/>
          <w:bCs/>
          <w:szCs w:val="21"/>
        </w:rPr>
      </w:pPr>
      <w:r>
        <w:rPr>
          <w:rFonts w:hint="eastAsia" w:ascii="宋体" w:hAnsi="宋体"/>
          <w:b/>
          <w:bCs/>
          <w:szCs w:val="21"/>
        </w:rPr>
        <w:t xml:space="preserve">履约保证金汇款账户信息：</w:t>
      </w:r>
      <w:r/>
    </w:p>
    <w:p>
      <w:pPr>
        <w:ind w:firstLine="420"/>
        <w:jc w:val="left"/>
        <w:spacing w:line="500" w:lineRule="exact"/>
        <w:rPr>
          <w:rFonts w:ascii="宋体" w:hAnsi="宋体"/>
          <w:szCs w:val="21"/>
        </w:rPr>
      </w:pPr>
      <w:r>
        <w:rPr>
          <w:rFonts w:hint="eastAsia" w:ascii="宋体" w:hAnsi="宋体"/>
          <w:szCs w:val="21"/>
        </w:rPr>
        <w:t xml:space="preserve">名称：南京师范大学</w:t>
      </w:r>
      <w:r/>
    </w:p>
    <w:p>
      <w:pPr>
        <w:ind w:firstLine="420"/>
        <w:jc w:val="left"/>
        <w:spacing w:line="500" w:lineRule="exact"/>
        <w:rPr>
          <w:rFonts w:ascii="宋体" w:hAnsi="宋体"/>
          <w:szCs w:val="21"/>
        </w:rPr>
      </w:pPr>
      <w:r>
        <w:rPr>
          <w:rFonts w:hint="eastAsia" w:ascii="宋体" w:hAnsi="宋体"/>
          <w:szCs w:val="21"/>
        </w:rPr>
        <w:t xml:space="preserve">纳税人识别号：123200004660067976</w:t>
      </w:r>
      <w:r/>
    </w:p>
    <w:p>
      <w:pPr>
        <w:ind w:firstLine="420"/>
        <w:jc w:val="left"/>
        <w:spacing w:line="500" w:lineRule="exact"/>
        <w:rPr>
          <w:rFonts w:ascii="宋体" w:hAnsi="宋体"/>
          <w:szCs w:val="21"/>
        </w:rPr>
      </w:pPr>
      <w:r>
        <w:rPr>
          <w:rFonts w:hint="eastAsia" w:ascii="宋体" w:hAnsi="宋体"/>
          <w:szCs w:val="21"/>
        </w:rPr>
        <w:t xml:space="preserve">地址：江苏省南京市文苑路1号</w:t>
      </w:r>
      <w:r/>
    </w:p>
    <w:p>
      <w:pPr>
        <w:ind w:firstLine="420"/>
        <w:jc w:val="left"/>
        <w:spacing w:line="500" w:lineRule="exact"/>
        <w:rPr>
          <w:rFonts w:ascii="宋体" w:hAnsi="宋体"/>
          <w:szCs w:val="21"/>
        </w:rPr>
      </w:pPr>
      <w:r>
        <w:rPr>
          <w:rFonts w:hint="eastAsia" w:ascii="宋体" w:hAnsi="宋体"/>
          <w:szCs w:val="21"/>
        </w:rPr>
        <w:t xml:space="preserve">电话：025-83598180</w:t>
      </w:r>
      <w:r/>
    </w:p>
    <w:p>
      <w:pPr>
        <w:ind w:firstLine="420"/>
        <w:jc w:val="left"/>
        <w:spacing w:line="500" w:lineRule="exact"/>
        <w:rPr>
          <w:rFonts w:ascii="宋体" w:hAnsi="宋体"/>
          <w:szCs w:val="21"/>
        </w:rPr>
      </w:pPr>
      <w:r>
        <w:rPr>
          <w:rFonts w:hint="eastAsia" w:ascii="宋体" w:hAnsi="宋体"/>
          <w:szCs w:val="21"/>
        </w:rPr>
        <w:t xml:space="preserve">开户行：交通银行南京广州路支行</w:t>
      </w:r>
      <w:r/>
    </w:p>
    <w:p>
      <w:pPr>
        <w:ind w:firstLine="420"/>
        <w:jc w:val="left"/>
        <w:spacing w:line="500" w:lineRule="exact"/>
        <w:rPr>
          <w:rFonts w:ascii="宋体" w:hAnsi="宋体"/>
          <w:szCs w:val="21"/>
        </w:rPr>
      </w:pPr>
      <w:r>
        <w:rPr>
          <w:rFonts w:hint="eastAsia" w:ascii="宋体" w:hAnsi="宋体"/>
          <w:szCs w:val="21"/>
        </w:rPr>
        <w:t xml:space="preserve">账号：320006607010149040493</w:t>
      </w:r>
      <w:r/>
    </w:p>
    <w:p>
      <w:pPr>
        <w:ind w:firstLine="420"/>
        <w:jc w:val="left"/>
        <w:spacing w:line="500" w:lineRule="exact"/>
        <w:rPr>
          <w:szCs w:val="21"/>
        </w:rPr>
      </w:pPr>
      <w:r>
        <w:rPr>
          <w:rFonts w:hint="eastAsia" w:ascii="宋体" w:hAnsi="宋体"/>
          <w:szCs w:val="21"/>
        </w:rPr>
        <w:t xml:space="preserve">联行号：301301000476</w:t>
      </w:r>
      <w:r/>
    </w:p>
    <w:p>
      <w:pPr>
        <w:spacing w:line="360" w:lineRule="auto"/>
      </w:pPr>
      <w:r/>
      <w:r/>
    </w:p>
    <w:p>
      <w:pPr>
        <w:ind w:firstLine="422"/>
        <w:spacing w:line="360" w:lineRule="auto"/>
        <w:rPr>
          <w:b/>
          <w:bCs/>
        </w:rPr>
      </w:pPr>
      <w:r>
        <w:rPr>
          <w:rFonts w:hint="eastAsia"/>
          <w:b/>
          <w:bCs/>
        </w:rPr>
        <w:t xml:space="preserve">七、质量保证及售后服务承诺</w:t>
      </w:r>
      <w:r/>
    </w:p>
    <w:p>
      <w:pPr>
        <w:ind w:firstLine="420"/>
        <w:spacing w:line="360" w:lineRule="auto"/>
      </w:pPr>
      <w:r>
        <w:rPr>
          <w:rFonts w:hint="eastAsia"/>
        </w:rPr>
        <w:t xml:space="preserve">7.1乙方应按采购文件规定和响应文件承诺的性能、技术要求、质量标准等向甲方提供产品。</w:t>
      </w:r>
      <w:r/>
    </w:p>
    <w:p>
      <w:pPr>
        <w:ind w:firstLine="420"/>
        <w:spacing w:line="360" w:lineRule="auto"/>
      </w:pPr>
      <w:r>
        <w:rPr>
          <w:rFonts w:hint="eastAsia"/>
        </w:rPr>
        <w:t xml:space="preserve">7.2乙方提供的产品在免费质保期内出现质量问题，根据实际情况，经双方协商，可按以下第    种办法处理（处理办法可按货物特性另行约定）：</w:t>
      </w:r>
      <w:r/>
    </w:p>
    <w:p>
      <w:pPr>
        <w:ind w:firstLine="420"/>
        <w:spacing w:line="360" w:lineRule="auto"/>
      </w:pPr>
      <w:r>
        <w:rPr>
          <w:rFonts w:hint="eastAsia"/>
        </w:rPr>
        <w:t xml:space="preserve">（1）更    换：由乙方承担所发生的全部费用。</w:t>
      </w:r>
      <w:r/>
    </w:p>
    <w:p>
      <w:pPr>
        <w:ind w:firstLine="420"/>
        <w:spacing w:line="360" w:lineRule="auto"/>
      </w:pPr>
      <w:r>
        <w:rPr>
          <w:rFonts w:hint="eastAsia"/>
        </w:rPr>
        <w:t xml:space="preserve">（2）合同终止：合同终止，并退还甲方支付的合同款，同时应承担由此产生的所有费用，甲方不承担发生任何费用。</w:t>
      </w:r>
      <w:r/>
    </w:p>
    <w:p>
      <w:pPr>
        <w:ind w:firstLine="420"/>
        <w:spacing w:line="360" w:lineRule="auto"/>
      </w:pPr>
      <w:r>
        <w:rPr>
          <w:rFonts w:hint="eastAsia"/>
        </w:rPr>
        <w:t xml:space="preserve">（3）其他处理办法：                                           。</w:t>
      </w:r>
      <w:r/>
    </w:p>
    <w:p>
      <w:pPr>
        <w:ind w:firstLine="420"/>
        <w:spacing w:line="360" w:lineRule="auto"/>
      </w:pPr>
      <w:r>
        <w:rPr>
          <w:rFonts w:hint="eastAsia"/>
        </w:rPr>
        <w:t xml:space="preserve">7.3在使用过程中发生质量问题，乙方在接到甲方通知后   小时内到达现场。</w:t>
      </w:r>
      <w:r/>
    </w:p>
    <w:p>
      <w:pPr>
        <w:ind w:firstLine="420"/>
        <w:spacing w:line="360" w:lineRule="auto"/>
      </w:pPr>
      <w:r>
        <w:rPr>
          <w:rFonts w:hint="eastAsia"/>
        </w:rPr>
        <w:t xml:space="preserve">7.4在免费质保期内，乙方应对产品出现的质量及安全问题负责解决并承担一切费用。</w:t>
      </w:r>
      <w:r/>
    </w:p>
    <w:p>
      <w:pPr>
        <w:ind w:firstLine="420"/>
        <w:spacing w:line="360" w:lineRule="auto"/>
        <w:rPr>
          <w:b/>
          <w:bCs/>
        </w:rPr>
      </w:pPr>
      <w:r>
        <w:rPr>
          <w:rFonts w:hint="eastAsia"/>
        </w:rPr>
        <w:t xml:space="preserve">7.5供应商响应的承诺（7.1—7.4中与本条承诺不一致的，以本条为准）</w:t>
      </w:r>
      <w:r/>
    </w:p>
    <w:p>
      <w:pPr>
        <w:ind w:firstLine="422"/>
        <w:spacing w:line="360" w:lineRule="auto"/>
        <w:rPr>
          <w:b/>
          <w:bCs/>
        </w:rPr>
      </w:pPr>
      <w:r>
        <w:rPr>
          <w:rFonts w:hint="eastAsia"/>
          <w:b/>
          <w:bCs/>
        </w:rPr>
        <w:t xml:space="preserve">八、合同内容的交付</w:t>
      </w:r>
      <w:r/>
    </w:p>
    <w:p>
      <w:pPr>
        <w:ind w:firstLine="420"/>
        <w:spacing w:line="360" w:lineRule="auto"/>
      </w:pPr>
      <w:r>
        <w:rPr>
          <w:rFonts w:hint="eastAsia"/>
        </w:rPr>
        <w:t xml:space="preserve">8.1提交使用说明书、质量检验证明书等资料。</w:t>
      </w:r>
      <w:r/>
    </w:p>
    <w:p>
      <w:pPr>
        <w:ind w:firstLine="420"/>
        <w:spacing w:line="360" w:lineRule="auto"/>
      </w:pPr>
      <w:r>
        <w:rPr>
          <w:rFonts w:hint="eastAsia"/>
        </w:rPr>
        <w:t xml:space="preserve">8.2乙方在合同标的交付甲方48小时（工作日）前通知甲方准备接收。</w:t>
      </w:r>
      <w:r/>
    </w:p>
    <w:p>
      <w:pPr>
        <w:ind w:firstLine="420"/>
        <w:spacing w:line="360" w:lineRule="auto"/>
      </w:pPr>
      <w:r>
        <w:rPr>
          <w:rFonts w:hint="eastAsia"/>
        </w:rPr>
        <w:t xml:space="preserve">8.3合同标的验收合格视为交付，交付前发生的风险均由乙方负责。 </w:t>
      </w:r>
      <w:r/>
    </w:p>
    <w:p>
      <w:pPr>
        <w:ind w:firstLine="422"/>
        <w:spacing w:line="360" w:lineRule="auto"/>
        <w:rPr>
          <w:b/>
          <w:bCs/>
        </w:rPr>
      </w:pPr>
      <w:r>
        <w:rPr>
          <w:rFonts w:hint="eastAsia"/>
          <w:b/>
          <w:bCs/>
        </w:rPr>
        <w:t xml:space="preserve">九、验收</w:t>
      </w:r>
      <w:r/>
    </w:p>
    <w:p>
      <w:pPr>
        <w:ind w:firstLine="420"/>
        <w:spacing w:line="360" w:lineRule="auto"/>
      </w:pPr>
      <w:r>
        <w:rPr>
          <w:rFonts w:hint="eastAsia"/>
        </w:rPr>
        <w:t xml:space="preserve">9.1甲方对乙方提交的产品，依据采购文件上的项目需求、乙方响应文件及国家有关标准及学校有关文件规定进行验收。</w:t>
      </w:r>
      <w:r/>
    </w:p>
    <w:p>
      <w:pPr>
        <w:ind w:firstLine="420"/>
        <w:spacing w:line="360" w:lineRule="auto"/>
      </w:pPr>
      <w:r>
        <w:rPr>
          <w:rFonts w:hint="eastAsia"/>
        </w:rPr>
        <w:t xml:space="preserve">9.2乙方交付前应对产品作出全面检查和对验收文件进行整理，并列出清单，作为甲方验收依据。</w:t>
      </w:r>
      <w:r/>
    </w:p>
    <w:p>
      <w:pPr>
        <w:ind w:firstLine="420"/>
        <w:spacing w:line="360" w:lineRule="auto"/>
      </w:pPr>
      <w:r>
        <w:rPr>
          <w:rFonts w:hint="eastAsia"/>
        </w:rPr>
        <w:t xml:space="preserve">9.3甲方对乙方提供的产品在使用前，乙方需负责培训甲方的使用操作人员，并协助甲方一起试用，直到符合技术规范后，甲方才实施验收。</w:t>
      </w:r>
      <w:r/>
    </w:p>
    <w:p>
      <w:pPr>
        <w:ind w:firstLine="420"/>
        <w:spacing w:line="360" w:lineRule="auto"/>
      </w:pPr>
      <w:r>
        <w:rPr>
          <w:rFonts w:hint="eastAsia"/>
        </w:rPr>
        <w:t xml:space="preserve">9.4需对技术复杂的产品进行第三方检测时，如检测合格，费用由甲方承担，如检测不合格（部分不合格）时，乙方承担所有的检测、验收等相关费用。</w:t>
      </w:r>
      <w:r/>
    </w:p>
    <w:p>
      <w:pPr>
        <w:ind w:firstLine="420"/>
        <w:spacing w:line="360" w:lineRule="auto"/>
      </w:pPr>
      <w:r>
        <w:rPr>
          <w:rFonts w:hint="eastAsia"/>
        </w:rPr>
        <w:t xml:space="preserve">9.5 验收涉及宣传甲方或甲方所属（含挂靠）各单位的图、音视频、文字等形式资料前，需提交甲方宣传部审核、初验，通过后方可实施项目验收。</w:t>
      </w:r>
      <w:r/>
    </w:p>
    <w:p>
      <w:pPr>
        <w:ind w:firstLine="420"/>
        <w:spacing w:line="360" w:lineRule="auto"/>
      </w:pPr>
      <w:r>
        <w:rPr>
          <w:rFonts w:hint="eastAsia"/>
        </w:rPr>
        <w:t xml:space="preserve">9.6验收时乙方相关人员必须到场，验收完毕后出具验收结果报告。</w:t>
      </w:r>
      <w:r/>
    </w:p>
    <w:p>
      <w:pPr>
        <w:ind w:firstLine="420"/>
        <w:spacing w:line="360" w:lineRule="auto"/>
        <w:rPr>
          <w:b/>
          <w:bCs/>
        </w:rPr>
      </w:pPr>
      <w:r>
        <w:rPr>
          <w:rFonts w:hint="eastAsia"/>
        </w:rPr>
        <w:t xml:space="preserve">9.7其他验收要求：                                            ：                                      </w:t>
      </w:r>
      <w:r>
        <w:rPr>
          <w:rFonts w:hint="eastAsia"/>
          <w:b/>
          <w:bCs/>
        </w:rPr>
        <w:t xml:space="preserve">      </w:t>
      </w:r>
      <w:r/>
    </w:p>
    <w:p>
      <w:pPr>
        <w:ind w:firstLine="422"/>
        <w:spacing w:line="360" w:lineRule="auto"/>
        <w:rPr>
          <w:b/>
          <w:bCs/>
        </w:rPr>
      </w:pPr>
      <w:r>
        <w:rPr>
          <w:rFonts w:hint="eastAsia"/>
          <w:b/>
          <w:bCs/>
        </w:rPr>
        <w:t xml:space="preserve">十、违约责任</w:t>
      </w:r>
      <w:r/>
    </w:p>
    <w:p>
      <w:pPr>
        <w:ind w:firstLine="420"/>
        <w:spacing w:line="360" w:lineRule="auto"/>
      </w:pPr>
      <w:r>
        <w:rPr>
          <w:rFonts w:hint="eastAsia"/>
        </w:rPr>
        <w:t xml:space="preserve">10.1 甲方无正当理由拒收的，向乙方支付拒收货款总值百分之一的违约金。</w:t>
      </w:r>
      <w:r/>
    </w:p>
    <w:p>
      <w:pPr>
        <w:ind w:firstLine="420"/>
        <w:spacing w:line="360" w:lineRule="auto"/>
      </w:pPr>
      <w:r>
        <w:rPr>
          <w:rFonts w:hint="eastAsia"/>
        </w:rPr>
        <w:t xml:space="preserve">10.2 甲方无故逾期验收和办理合同款支付手续的（节假日除外）, 按逾期付款总额的每日万分之一向乙方支付违约金。</w:t>
      </w:r>
      <w:r/>
    </w:p>
    <w:p>
      <w:pPr>
        <w:ind w:firstLine="420"/>
        <w:spacing w:line="360" w:lineRule="auto"/>
      </w:pPr>
      <w:r>
        <w:rPr>
          <w:rFonts w:hint="eastAsia"/>
        </w:rPr>
        <w:t xml:space="preserve">10.3乙方无故逾期（节假日除外）交付货物的, 按逾期付款总额的每日千分之一向甲方支付违约金。</w:t>
      </w:r>
      <w:r/>
    </w:p>
    <w:p>
      <w:pPr>
        <w:ind w:firstLine="420"/>
        <w:spacing w:line="360" w:lineRule="auto"/>
      </w:pPr>
      <w:r>
        <w:rPr>
          <w:rFonts w:hint="eastAsia"/>
        </w:rPr>
        <w:t xml:space="preserve">10.4乙方交付的货物有质量或产权瑕疵等问题时，愿意更换/整改的，按逾期交付处理；乙方拒绝更换/整改的，甲方可解除合同，没收履约保证金并追回全部已付款项，由此造成的损失由乙方全责承担。</w:t>
      </w:r>
      <w:r/>
    </w:p>
    <w:p>
      <w:pPr>
        <w:ind w:firstLine="420"/>
        <w:spacing w:line="360" w:lineRule="auto"/>
      </w:pPr>
      <w:r>
        <w:rPr>
          <w:rFonts w:hint="eastAsia"/>
        </w:rPr>
        <w:t xml:space="preserve">10.5出现但不限于下列情形之一的，即视为乙方违约：</w:t>
      </w:r>
      <w:r/>
    </w:p>
    <w:p>
      <w:pPr>
        <w:ind w:firstLine="420"/>
        <w:spacing w:line="360" w:lineRule="auto"/>
      </w:pPr>
      <w:r>
        <w:rPr>
          <w:rFonts w:hint="eastAsia"/>
        </w:rPr>
        <w:t xml:space="preserve">①未按合同约定时间交付的；②交付的标的不符合合同要求的；③交付后经验收不合格的；④违反有关采购规定的；⑤因乙方原因导致甲方不能取得所有权的。</w:t>
      </w:r>
      <w:r/>
    </w:p>
    <w:p>
      <w:pPr>
        <w:ind w:firstLine="420"/>
        <w:spacing w:line="360" w:lineRule="auto"/>
      </w:pPr>
      <w:r>
        <w:rPr>
          <w:rFonts w:hint="eastAsia"/>
        </w:rPr>
        <w:t xml:space="preserve">10.6乙方违约的，甲方有权没收乙方交纳的履约保证金、停止支付剩余应付款，并采取包括但不限于下列一种或数种措施维护权益：</w:t>
      </w:r>
      <w:r/>
    </w:p>
    <w:p>
      <w:pPr>
        <w:ind w:firstLine="420"/>
        <w:spacing w:line="360" w:lineRule="auto"/>
      </w:pPr>
      <w:r>
        <w:rPr>
          <w:rFonts w:hint="eastAsia"/>
        </w:rPr>
        <w:t xml:space="preserve">①拒收因乙方违约所交付的产品，终止合同，并向乙方索赔，另行组织采购；</w:t>
      </w:r>
      <w:r/>
    </w:p>
    <w:p>
      <w:pPr>
        <w:ind w:firstLine="420"/>
        <w:spacing w:line="360" w:lineRule="auto"/>
      </w:pPr>
      <w:r>
        <w:rPr>
          <w:rFonts w:hint="eastAsia"/>
        </w:rPr>
        <w:t xml:space="preserve">②没收乙方交纳的履约保证金；</w:t>
      </w:r>
      <w:r/>
    </w:p>
    <w:p>
      <w:pPr>
        <w:ind w:firstLine="420"/>
        <w:spacing w:line="360" w:lineRule="auto"/>
      </w:pPr>
      <w:r>
        <w:rPr>
          <w:rFonts w:hint="eastAsia"/>
        </w:rPr>
        <w:t xml:space="preserve">③将乙方录入学校不良行为供应商名录，视情节轻重决定是否上报江苏省财政厅，涉嫌犯罪的，移送司法机关处理。</w:t>
      </w:r>
      <w:r/>
    </w:p>
    <w:p>
      <w:pPr>
        <w:ind w:firstLine="420"/>
        <w:spacing w:line="360" w:lineRule="auto"/>
      </w:pPr>
      <w:r>
        <w:rPr>
          <w:rFonts w:hint="eastAsia"/>
        </w:rPr>
        <w:t xml:space="preserve">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ind w:firstLine="420"/>
        <w:spacing w:line="360" w:lineRule="auto"/>
      </w:pPr>
      <w:r>
        <w:rPr>
          <w:rFonts w:hint="eastAsia"/>
        </w:rPr>
        <w:t xml:space="preserve">10.7 任何一方违反本合同约定，除承担违约金外，还承担守约方向违约方追责所支付的一切费用，包括但不限于律师费、诉讼费、保全费、公告费、鉴定费、交通费、食宿费、保函费等。</w:t>
      </w:r>
      <w:r/>
    </w:p>
    <w:p>
      <w:pPr>
        <w:ind w:firstLine="420"/>
        <w:spacing w:line="360" w:lineRule="auto"/>
        <w:rPr>
          <w:b/>
          <w:bCs/>
        </w:rPr>
      </w:pPr>
      <w:r>
        <w:rPr>
          <w:rFonts w:hint="eastAsia"/>
        </w:rPr>
        <w:t xml:space="preserve">10.8供应商响应的违约责任（10.1—10.7中与本条承诺不一致的，以本条为准）。    </w:t>
      </w:r>
      <w:r>
        <w:rPr>
          <w:rFonts w:hint="eastAsia"/>
          <w:b/>
          <w:bCs/>
        </w:rPr>
        <w:t xml:space="preserve">                                  </w:t>
      </w:r>
      <w:r/>
    </w:p>
    <w:p>
      <w:pPr>
        <w:ind w:firstLine="422"/>
        <w:spacing w:line="360" w:lineRule="auto"/>
        <w:rPr>
          <w:b/>
          <w:bCs/>
        </w:rPr>
      </w:pPr>
      <w:r>
        <w:rPr>
          <w:rFonts w:hint="eastAsia"/>
          <w:b/>
          <w:bCs/>
        </w:rPr>
        <w:t xml:space="preserve">十一、不可抗力事件处理</w:t>
      </w:r>
      <w:r/>
    </w:p>
    <w:p>
      <w:pPr>
        <w:ind w:firstLine="420"/>
        <w:spacing w:line="360" w:lineRule="auto"/>
      </w:pPr>
      <w:r>
        <w:rPr>
          <w:rFonts w:hint="eastAsia"/>
        </w:rPr>
        <w:t xml:space="preserve">11.1 本合同不可抗力事件及影响按《中华人民共和国民法典》等相关法律法规相关规定执行和处理。</w:t>
      </w:r>
      <w:r/>
    </w:p>
    <w:p>
      <w:pPr>
        <w:ind w:firstLine="420"/>
        <w:spacing w:line="360" w:lineRule="auto"/>
      </w:pPr>
      <w:r>
        <w:rPr>
          <w:rFonts w:hint="eastAsia"/>
        </w:rPr>
        <w:t xml:space="preserve">11.2 在合同有效期内，任何一方因不可抗力事件导致不能履行合同，则合同履行期延长，其延长期与不可抗力影响期相同。</w:t>
      </w:r>
      <w:r/>
    </w:p>
    <w:p>
      <w:pPr>
        <w:ind w:firstLine="420"/>
        <w:spacing w:line="360" w:lineRule="auto"/>
      </w:pPr>
      <w:r>
        <w:rPr>
          <w:rFonts w:hint="eastAsia"/>
        </w:rPr>
        <w:t xml:space="preserve">11.3 不可抗力事件发生后，应立即通知对方，并寄送有关权威机构出具的证明。</w:t>
      </w:r>
      <w:r/>
    </w:p>
    <w:p>
      <w:pPr>
        <w:ind w:firstLine="420"/>
        <w:spacing w:line="360" w:lineRule="auto"/>
      </w:pPr>
      <w:r>
        <w:rPr>
          <w:rFonts w:hint="eastAsia"/>
        </w:rPr>
        <w:t xml:space="preserve">11.4 不可抗力事件延续120天以上，双方应通过友好协商，确定是否继续履行合同。</w:t>
      </w:r>
      <w:r/>
    </w:p>
    <w:p>
      <w:pPr>
        <w:ind w:firstLine="422"/>
        <w:spacing w:line="360" w:lineRule="auto"/>
        <w:rPr>
          <w:b/>
          <w:bCs/>
        </w:rPr>
      </w:pPr>
      <w:r>
        <w:rPr>
          <w:rFonts w:hint="eastAsia"/>
          <w:b/>
          <w:bCs/>
        </w:rPr>
        <w:t xml:space="preserve">十二、诉讼</w:t>
      </w:r>
      <w:r/>
    </w:p>
    <w:p>
      <w:pPr>
        <w:ind w:firstLine="420"/>
        <w:spacing w:line="360" w:lineRule="auto"/>
      </w:pPr>
      <w:r>
        <w:rPr>
          <w:rFonts w:hint="eastAsia"/>
        </w:rPr>
        <w:t xml:space="preserve">双方在执行合同中所发生的一切争议，应通过协商解决。如协商不成，可向甲方所在地人民法院。</w:t>
      </w:r>
      <w:r/>
    </w:p>
    <w:p>
      <w:pPr>
        <w:ind w:firstLine="422"/>
        <w:spacing w:line="360" w:lineRule="auto"/>
        <w:rPr>
          <w:b/>
          <w:bCs/>
        </w:rPr>
      </w:pPr>
      <w:r>
        <w:rPr>
          <w:rFonts w:hint="eastAsia"/>
          <w:b/>
          <w:bCs/>
        </w:rPr>
        <w:t xml:space="preserve">十三、合同生效及其它</w:t>
      </w:r>
      <w:r/>
    </w:p>
    <w:p>
      <w:pPr>
        <w:ind w:firstLine="420"/>
        <w:spacing w:line="360" w:lineRule="auto"/>
      </w:pPr>
      <w:r>
        <w:rPr>
          <w:rFonts w:hint="eastAsia"/>
        </w:rPr>
        <w:t xml:space="preserve">13.1 合同经双方法定代表人或授权委托代表人签字并加盖公章后生效。</w:t>
      </w:r>
      <w:r/>
    </w:p>
    <w:p>
      <w:pPr>
        <w:ind w:firstLine="420"/>
        <w:spacing w:line="360" w:lineRule="auto"/>
      </w:pPr>
      <w:r>
        <w:rPr>
          <w:rFonts w:hint="eastAsia"/>
        </w:rPr>
        <w:t xml:space="preserve">13.2本合同未尽事宜，遵照与合同相关的现行法律规定执行。</w:t>
      </w:r>
      <w:r/>
    </w:p>
    <w:p>
      <w:pPr>
        <w:ind w:firstLine="420"/>
        <w:spacing w:line="360" w:lineRule="auto"/>
      </w:pPr>
      <w:r>
        <w:rPr>
          <w:rFonts w:hint="eastAsia"/>
        </w:rPr>
        <w:t xml:space="preserve">13.3 本合同正本一式六份，具有同等法律效力，甲方执四份、乙方执二份。</w:t>
      </w:r>
      <w:r/>
    </w:p>
    <w:p>
      <w:pPr>
        <w:ind w:firstLine="420"/>
        <w:spacing w:line="360" w:lineRule="auto"/>
      </w:pPr>
      <w:r>
        <w:rPr>
          <w:rFonts w:hint="eastAsia"/>
        </w:rPr>
        <w:t xml:space="preserve">附件一：技术参数或规格型号；</w:t>
      </w:r>
      <w:r/>
    </w:p>
    <w:p>
      <w:pPr>
        <w:ind w:firstLine="420"/>
        <w:spacing w:line="360" w:lineRule="auto"/>
      </w:pPr>
      <w:r>
        <w:rPr>
          <w:rFonts w:hint="eastAsia"/>
        </w:rPr>
        <w:t xml:space="preserve">附件二：售后服务承诺。</w:t>
      </w:r>
      <w:r/>
    </w:p>
    <w:p>
      <w:pPr>
        <w:ind w:firstLine="420"/>
        <w:spacing w:line="360" w:lineRule="auto"/>
      </w:pPr>
      <w:r/>
      <w:r/>
    </w:p>
    <w:p>
      <w:pPr>
        <w:pStyle w:val="983"/>
        <w:ind w:firstLine="630"/>
        <w:spacing w:line="360" w:lineRule="auto"/>
        <w:rPr>
          <w:rFonts w:ascii="宋体" w:hAnsi="宋体"/>
          <w:szCs w:val="21"/>
        </w:rPr>
      </w:pPr>
      <w:r>
        <w:rPr>
          <w:rFonts w:ascii="宋体" w:hAnsi="宋体"/>
          <w:szCs w:val="21"/>
        </w:rPr>
        <w:t xml:space="preserve">甲方：                                   乙方： </w:t>
      </w:r>
      <w:r/>
    </w:p>
    <w:p>
      <w:pPr>
        <w:pStyle w:val="983"/>
        <w:ind w:firstLine="420"/>
        <w:spacing w:line="360" w:lineRule="auto"/>
        <w:rPr>
          <w:rFonts w:ascii="宋体" w:hAnsi="宋体"/>
          <w:szCs w:val="21"/>
        </w:rPr>
      </w:pPr>
      <w:r>
        <w:rPr>
          <w:rFonts w:ascii="宋体" w:hAnsi="宋体"/>
          <w:szCs w:val="21"/>
        </w:rPr>
        <w:t xml:space="preserve">  地址：                                   地址： </w:t>
      </w:r>
      <w:r/>
    </w:p>
    <w:p>
      <w:pPr>
        <w:pStyle w:val="983"/>
        <w:ind w:firstLine="420"/>
        <w:spacing w:line="360" w:lineRule="auto"/>
        <w:rPr>
          <w:rFonts w:ascii="宋体" w:hAnsi="宋体"/>
          <w:szCs w:val="21"/>
        </w:rPr>
      </w:pPr>
      <w:r>
        <w:rPr>
          <w:rFonts w:ascii="宋体" w:hAnsi="宋体"/>
          <w:szCs w:val="21"/>
        </w:rPr>
        <w:t xml:space="preserve">  法定代表人或授权代表：                   法定代表人或授权代表：</w:t>
      </w:r>
      <w:r/>
    </w:p>
    <w:p>
      <w:pPr>
        <w:pStyle w:val="983"/>
        <w:ind w:firstLine="420"/>
        <w:spacing w:line="360" w:lineRule="auto"/>
        <w:rPr>
          <w:rFonts w:ascii="宋体" w:hAnsi="宋体"/>
          <w:szCs w:val="21"/>
        </w:rPr>
      </w:pPr>
      <w:r>
        <w:rPr>
          <w:rFonts w:ascii="宋体" w:hAnsi="宋体"/>
          <w:szCs w:val="21"/>
        </w:rPr>
        <w:t xml:space="preserve">  联系电话：                               联系电话：</w:t>
      </w:r>
      <w:r/>
    </w:p>
    <w:p>
      <w:pPr>
        <w:pStyle w:val="983"/>
        <w:ind w:firstLine="420"/>
        <w:spacing w:line="360" w:lineRule="auto"/>
        <w:rPr>
          <w:rFonts w:ascii="宋体" w:hAnsi="宋体"/>
          <w:szCs w:val="21"/>
        </w:rPr>
      </w:pPr>
      <w:r>
        <w:rPr>
          <w:rFonts w:hint="eastAsia" w:ascii="宋体" w:hAnsi="宋体"/>
          <w:szCs w:val="21"/>
        </w:rPr>
        <w:t xml:space="preserve">  统一社会信用代码： </w:t>
      </w:r>
      <w:r>
        <w:rPr>
          <w:rFonts w:ascii="宋体" w:hAnsi="宋体"/>
          <w:szCs w:val="21"/>
        </w:rPr>
        <w:t xml:space="preserve">                      </w:t>
      </w:r>
      <w:r>
        <w:rPr>
          <w:rFonts w:hint="eastAsia" w:ascii="宋体" w:hAnsi="宋体"/>
          <w:szCs w:val="21"/>
        </w:rPr>
        <w:t xml:space="preserve">统一社会信用代码：</w:t>
      </w:r>
      <w:r/>
    </w:p>
    <w:p>
      <w:pPr>
        <w:pStyle w:val="983"/>
        <w:ind w:firstLine="42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 </w:t>
      </w:r>
      <w:r>
        <w:rPr>
          <w:rFonts w:ascii="宋体" w:hAnsi="宋体"/>
          <w:szCs w:val="21"/>
        </w:rPr>
        <w:t xml:space="preserve">                              </w:t>
      </w:r>
      <w:r>
        <w:rPr>
          <w:rFonts w:hint="eastAsia" w:ascii="宋体" w:hAnsi="宋体"/>
          <w:szCs w:val="21"/>
        </w:rPr>
        <w:t xml:space="preserve">开户银行：</w:t>
      </w:r>
      <w:r/>
    </w:p>
    <w:p>
      <w:pPr>
        <w:pStyle w:val="983"/>
        <w:ind w:firstLine="42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户名： </w:t>
      </w:r>
      <w:r>
        <w:rPr>
          <w:rFonts w:ascii="宋体" w:hAnsi="宋体"/>
          <w:szCs w:val="21"/>
        </w:rPr>
        <w:t xml:space="preserve">                                  </w:t>
      </w:r>
      <w:r>
        <w:rPr>
          <w:rFonts w:hint="eastAsia" w:ascii="宋体" w:hAnsi="宋体"/>
          <w:szCs w:val="21"/>
        </w:rPr>
        <w:t xml:space="preserve">户名：</w:t>
      </w:r>
      <w:r/>
    </w:p>
    <w:p>
      <w:pPr>
        <w:pStyle w:val="983"/>
        <w:ind w:firstLine="42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r>
        <w:rPr>
          <w:rFonts w:ascii="宋体" w:hAnsi="宋体"/>
          <w:szCs w:val="21"/>
        </w:rPr>
        <w:t xml:space="preserve">                                  </w:t>
      </w:r>
      <w:r>
        <w:rPr>
          <w:rFonts w:hint="eastAsia" w:ascii="宋体" w:hAnsi="宋体"/>
          <w:szCs w:val="21"/>
        </w:rPr>
        <w:t xml:space="preserve">账号：</w:t>
      </w:r>
      <w:r/>
    </w:p>
    <w:p>
      <w:pPr>
        <w:pStyle w:val="983"/>
        <w:ind w:firstLine="630"/>
        <w:spacing w:line="360" w:lineRule="auto"/>
        <w:rPr>
          <w:rFonts w:ascii="宋体" w:hAnsi="宋体"/>
          <w:sz w:val="24"/>
        </w:rPr>
      </w:pPr>
      <w:r>
        <w:rPr>
          <w:rFonts w:ascii="宋体" w:hAnsi="宋体"/>
          <w:szCs w:val="21"/>
        </w:rPr>
        <w:t xml:space="preserve">日期： </w:t>
      </w:r>
      <w:r>
        <w:rPr>
          <w:rFonts w:hint="eastAsia" w:ascii="宋体" w:hAnsi="宋体"/>
          <w:szCs w:val="21"/>
        </w:rPr>
        <w:t xml:space="preserve">                                  日期</w:t>
      </w:r>
      <w:r>
        <w:rPr>
          <w:rFonts w:hint="eastAsia" w:ascii="宋体" w:hAnsi="宋体"/>
          <w:sz w:val="24"/>
        </w:rPr>
        <w:t xml:space="preserve">：</w:t>
      </w:r>
      <w:r>
        <w:rPr>
          <w:rFonts w:ascii="宋体" w:hAnsi="宋体"/>
          <w:sz w:val="24"/>
        </w:rPr>
        <w:t xml:space="preserve"> </w:t>
      </w:r>
      <w:r/>
    </w:p>
    <w:p>
      <w:pPr>
        <w:rPr>
          <w:rFonts w:ascii="宋体" w:hAnsi="宋体" w:cs="宋体"/>
        </w:rPr>
      </w:pPr>
      <w:r>
        <w:rPr>
          <w:rFonts w:hint="eastAsia" w:ascii="宋体" w:hAnsi="宋体" w:cs="宋体"/>
        </w:rPr>
        <w:br w:type="page" w:clear="all"/>
      </w:r>
      <w:r/>
    </w:p>
    <w:p>
      <w:pPr>
        <w:pStyle w:val="959"/>
        <w:numPr>
          <w:ilvl w:val="0"/>
          <w:numId w:val="0"/>
        </w:numPr>
        <w:rPr>
          <w:rFonts w:ascii="宋体" w:hAnsi="宋体" w:cs="宋体"/>
        </w:rPr>
      </w:pPr>
      <w:r/>
      <w:bookmarkStart w:id="24" w:name="_Toc14111"/>
      <w:r>
        <w:rPr>
          <w:rFonts w:hint="eastAsia" w:ascii="宋体" w:hAnsi="宋体" w:cs="宋体"/>
        </w:rPr>
        <w:t xml:space="preserve">第六章 附件</w:t>
      </w:r>
      <w:bookmarkEnd w:id="24"/>
      <w:r/>
      <w:r/>
    </w:p>
    <w:p>
      <w:pPr>
        <w:jc w:val="left"/>
        <w:spacing w:line="240" w:lineRule="atLeast"/>
        <w:widowControl/>
        <w:rPr>
          <w:rFonts w:ascii="宋体" w:hAnsi="宋体" w:cs="宋体"/>
          <w:b/>
          <w:bCs/>
          <w:szCs w:val="21"/>
        </w:rPr>
      </w:pPr>
      <w:r>
        <w:rPr>
          <w:rFonts w:ascii="宋体" w:hAnsi="宋体" w:cs="宋体"/>
          <w:b/>
          <w:bCs/>
          <w:szCs w:val="21"/>
        </w:rPr>
      </w:r>
      <w:bookmarkEnd w:id="0"/>
      <w:r/>
      <w:bookmarkEnd w:id="1"/>
      <w:r/>
      <w:r/>
    </w:p>
    <w:p>
      <w:pPr>
        <w:jc w:val="left"/>
        <w:spacing w:line="240" w:lineRule="atLeast"/>
        <w:widowControl/>
        <w:rPr>
          <w:rFonts w:ascii="Arial" w:hAnsi="Arial" w:cs="Arial"/>
          <w:b/>
          <w:bCs/>
          <w:szCs w:val="21"/>
        </w:rPr>
      </w:pPr>
      <w:r/>
      <w:bookmarkStart w:id="25" w:name="_Toc26810"/>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2" w:after="312"/>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ascii="宋体" w:hAnsi="宋体" w:cs="宋体"/>
          <w:szCs w:val="21"/>
        </w:rPr>
      </w:pPr>
      <w:r>
        <w:rPr>
          <w:rFonts w:ascii="Arial" w:hAnsi="Arial" w:cs="Arial"/>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br w:type="page" w:clear="all"/>
      </w:r>
      <w:r/>
    </w:p>
    <w:p>
      <w:pPr>
        <w:rPr>
          <w:rFonts w:ascii="宋体" w:hAnsi="宋体"/>
          <w:szCs w:val="21"/>
        </w:rPr>
      </w:pPr>
      <w:r>
        <w:rPr>
          <w:rFonts w:ascii="宋体" w:hAnsi="宋体"/>
          <w:szCs w:val="21"/>
        </w:rPr>
      </w:r>
      <w:r/>
    </w:p>
    <w:p>
      <w:pPr>
        <w:spacing w:line="360" w:lineRule="auto"/>
        <w:rPr>
          <w:rFonts w:ascii="宋体" w:hAnsi="宋体" w:cs="宋体"/>
        </w:rPr>
      </w:pPr>
      <w:r>
        <w:rPr>
          <w:rFonts w:hint="eastAsia" w:ascii="宋体" w:hAnsi="宋体" w:cs="宋体"/>
          <w:b/>
          <w:bCs/>
          <w:szCs w:val="21"/>
          <w:lang w:val="zh-CN"/>
        </w:rPr>
        <w:t xml:space="preserve">附件三、</w:t>
      </w:r>
      <w:bookmarkEnd w:id="25"/>
      <w:r>
        <w:rPr>
          <w:rFonts w:hint="eastAsia" w:ascii="宋体" w:hAnsi="宋体" w:cs="宋体"/>
          <w:b/>
          <w:bCs/>
          <w:szCs w:val="21"/>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hint="eastAsia" w:ascii="宋体" w:hAnsi="宋体" w:cs="宋体"/>
          <w:b/>
          <w:sz w:val="36"/>
          <w:szCs w:val="36"/>
        </w:rPr>
        <w:t xml:space="preserve">开标一览表</w:t>
      </w:r>
      <w:r/>
    </w:p>
    <w:tbl>
      <w:tblPr>
        <w:tblStyle w:val="96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4519"/>
        <w:gridCol w:w="1425"/>
      </w:tblGrid>
      <w:tr>
        <w:trPr>
          <w:cantSplit/>
          <w:trHeight w:val="2238"/>
        </w:trPr>
        <w:tc>
          <w:tcPr>
            <w:tcW w:w="2696" w:type="dxa"/>
            <w:vAlign w:val="center"/>
            <w:textDirection w:val="lrTb"/>
            <w:noWrap w:val="false"/>
          </w:tcPr>
          <w:p>
            <w:pPr>
              <w:jc w:val="center"/>
              <w:spacing w:line="360" w:lineRule="auto"/>
            </w:pPr>
            <w:r>
              <w:rPr>
                <w:rFonts w:hint="eastAsia"/>
              </w:rPr>
              <w:t xml:space="preserve">投标报价</w:t>
            </w:r>
            <w:r/>
          </w:p>
        </w:tc>
        <w:tc>
          <w:tcPr>
            <w:tcW w:w="4519" w:type="dxa"/>
            <w:vAlign w:val="center"/>
            <w:textDirection w:val="lrTb"/>
            <w:noWrap w:val="false"/>
          </w:tcPr>
          <w:p>
            <w:pPr>
              <w:pStyle w:val="973"/>
              <w:ind w:firstLine="0"/>
              <w:spacing w:line="360" w:lineRule="auto"/>
              <w:rPr>
                <w:rFonts w:ascii="宋体" w:hAnsi="宋体" w:cs="宋体"/>
                <w:b w:val="0"/>
                <w:bCs/>
                <w:sz w:val="21"/>
                <w:szCs w:val="21"/>
              </w:rPr>
            </w:pPr>
            <w:r>
              <w:rPr>
                <w:rFonts w:hint="eastAsia" w:ascii="宋体" w:hAnsi="宋体" w:cs="Arial"/>
                <w:sz w:val="21"/>
                <w:szCs w:val="21"/>
              </w:rPr>
              <w:t xml:space="preserve">详见 苏采云系统</w:t>
            </w:r>
            <w:r/>
          </w:p>
        </w:tc>
        <w:tc>
          <w:tcPr>
            <w:tcW w:w="1425" w:type="dxa"/>
            <w:vAlign w:val="center"/>
            <w:vMerge w:val="restart"/>
            <w:textDirection w:val="lrTb"/>
            <w:noWrap w:val="false"/>
          </w:tcPr>
          <w:p>
            <w:pPr>
              <w:jc w:val="center"/>
              <w:spacing w:line="360" w:lineRule="auto"/>
              <w:rPr>
                <w:rFonts w:ascii="宋体" w:hAnsi="宋体" w:cs="宋体"/>
                <w:b/>
                <w:bCs/>
                <w:color w:val="ff0000"/>
                <w:szCs w:val="21"/>
              </w:rPr>
            </w:pPr>
            <w:r>
              <w:rPr>
                <w:rFonts w:ascii="宋体" w:hAnsi="宋体" w:cs="宋体"/>
                <w:b/>
                <w:bCs/>
                <w:color w:val="ff0000"/>
                <w:szCs w:val="21"/>
              </w:rPr>
            </w:r>
            <w:r/>
          </w:p>
          <w:p>
            <w:pPr>
              <w:jc w:val="center"/>
              <w:spacing w:line="360" w:lineRule="auto"/>
              <w:rPr>
                <w:rFonts w:ascii="宋体" w:hAnsi="宋体" w:cs="宋体"/>
                <w:szCs w:val="21"/>
              </w:rPr>
            </w:pPr>
            <w:r>
              <w:rPr>
                <w:rFonts w:ascii="宋体" w:hAnsi="宋体" w:cs="宋体"/>
                <w:szCs w:val="21"/>
              </w:rPr>
            </w:r>
            <w:r/>
          </w:p>
        </w:tc>
      </w:tr>
      <w:tr>
        <w:trPr>
          <w:trHeight w:val="1226"/>
        </w:trPr>
        <w:tc>
          <w:tcPr>
            <w:tcW w:w="26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服务时间/交付使用时间</w:t>
            </w:r>
            <w:r/>
          </w:p>
        </w:tc>
        <w:tc>
          <w:tcPr>
            <w:tcW w:w="4519" w:type="dxa"/>
            <w:vAlign w:val="center"/>
            <w:textDirection w:val="lrTb"/>
            <w:noWrap w:val="false"/>
          </w:tcPr>
          <w:p>
            <w:pPr>
              <w:pStyle w:val="973"/>
              <w:ind w:firstLine="472"/>
              <w:jc w:val="center"/>
              <w:spacing w:line="360" w:lineRule="auto"/>
              <w:rPr>
                <w:rFonts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425" w:type="dxa"/>
            <w:vAlign w:val="center"/>
            <w:vMerge w:val="continue"/>
            <w:textDirection w:val="lrTb"/>
            <w:noWrap w:val="false"/>
          </w:tcPr>
          <w:p>
            <w:pPr>
              <w:ind w:firstLine="472"/>
              <w:jc w:val="center"/>
              <w:spacing w:line="360" w:lineRule="auto"/>
              <w:rPr>
                <w:rFonts w:ascii="宋体" w:hAnsi="宋体" w:cs="宋体"/>
                <w:szCs w:val="21"/>
              </w:rPr>
            </w:pPr>
            <w:r>
              <w:rPr>
                <w:rFonts w:ascii="宋体" w:hAnsi="宋体" w:cs="宋体"/>
                <w:szCs w:val="21"/>
              </w:rPr>
            </w:r>
            <w:r/>
          </w:p>
        </w:tc>
      </w:tr>
      <w:tr>
        <w:trPr>
          <w:trHeight w:val="1058"/>
        </w:trPr>
        <w:tc>
          <w:tcPr>
            <w:tcW w:w="2696" w:type="dxa"/>
            <w:vAlign w:val="center"/>
            <w:textDirection w:val="lrTb"/>
            <w:noWrap w:val="false"/>
          </w:tcPr>
          <w:p>
            <w:pPr>
              <w:pStyle w:val="973"/>
              <w:ind w:firstLine="0"/>
              <w:jc w:val="center"/>
              <w:spacing w:line="360" w:lineRule="auto"/>
              <w:rPr>
                <w:rFonts w:ascii="宋体" w:hAnsi="宋体" w:cs="宋体"/>
                <w:szCs w:val="21"/>
              </w:rPr>
            </w:pPr>
            <w:r>
              <w:rPr>
                <w:rFonts w:hint="eastAsia" w:ascii="宋体" w:hAnsi="宋体" w:cs="宋体"/>
                <w:sz w:val="21"/>
                <w:szCs w:val="21"/>
              </w:rPr>
              <w:t xml:space="preserve">投标标的是否全部由小微企业（含视同小微企业）提供</w:t>
            </w:r>
            <w:r/>
          </w:p>
        </w:tc>
        <w:tc>
          <w:tcPr>
            <w:tcW w:w="4519" w:type="dxa"/>
            <w:vAlign w:val="center"/>
            <w:textDirection w:val="lrTb"/>
            <w:noWrap w:val="false"/>
          </w:tcPr>
          <w:p>
            <w:pPr>
              <w:pStyle w:val="973"/>
              <w:ind w:firstLine="474"/>
              <w:jc w:val="center"/>
              <w:spacing w:line="360" w:lineRule="auto"/>
              <w:rPr>
                <w:rFonts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425" w:type="dxa"/>
            <w:vAlign w:val="center"/>
            <w:vMerge w:val="continue"/>
            <w:textDirection w:val="lrTb"/>
            <w:noWrap w:val="false"/>
          </w:tcPr>
          <w:p>
            <w:pPr>
              <w:ind w:firstLine="472"/>
              <w:jc w:val="center"/>
              <w:spacing w:line="360" w:lineRule="auto"/>
              <w:rPr>
                <w:rFonts w:ascii="宋体" w:hAnsi="宋体" w:cs="宋体"/>
                <w:szCs w:val="21"/>
              </w:rPr>
            </w:pPr>
            <w:r>
              <w:rPr>
                <w:rFonts w:ascii="宋体" w:hAnsi="宋体" w:cs="宋体"/>
                <w:szCs w:val="21"/>
              </w:rPr>
            </w:r>
            <w:r/>
          </w:p>
        </w:tc>
      </w:tr>
      <w:tr>
        <w:trPr>
          <w:trHeight w:val="1058"/>
        </w:trPr>
        <w:tc>
          <w:tcPr>
            <w:tcW w:w="2696" w:type="dxa"/>
            <w:vAlign w:val="center"/>
            <w:textDirection w:val="lrTb"/>
            <w:noWrap w:val="false"/>
          </w:tcPr>
          <w:p>
            <w:pPr>
              <w:pStyle w:val="973"/>
              <w:ind w:firstLine="0"/>
              <w:jc w:val="center"/>
              <w:spacing w:line="360" w:lineRule="auto"/>
              <w:rPr>
                <w:rFonts w:ascii="宋体" w:hAnsi="宋体" w:cs="宋体"/>
                <w:sz w:val="21"/>
                <w:szCs w:val="21"/>
              </w:rPr>
            </w:pPr>
            <w:r>
              <w:rPr>
                <w:rFonts w:hint="eastAsia" w:ascii="宋体" w:hAnsi="宋体" w:cs="宋体"/>
                <w:sz w:val="21"/>
                <w:szCs w:val="21"/>
              </w:rPr>
              <w:t xml:space="preserve">符合本国产品标准的产品成本之和占其提供的全部产品成本之和比例是否达到80%</w:t>
            </w:r>
            <w:r/>
          </w:p>
        </w:tc>
        <w:tc>
          <w:tcPr>
            <w:tcW w:w="4519" w:type="dxa"/>
            <w:vAlign w:val="center"/>
            <w:textDirection w:val="lrTb"/>
            <w:noWrap w:val="false"/>
          </w:tcPr>
          <w:p>
            <w:pPr>
              <w:pStyle w:val="973"/>
              <w:ind w:firstLine="474"/>
              <w:jc w:val="center"/>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425" w:type="dxa"/>
            <w:vAlign w:val="center"/>
            <w:textDirection w:val="lrTb"/>
            <w:noWrap w:val="false"/>
          </w:tcPr>
          <w:p>
            <w:pPr>
              <w:ind w:firstLine="472"/>
              <w:jc w:val="center"/>
              <w:spacing w:line="360" w:lineRule="auto"/>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说明：</w:t>
      </w:r>
      <w:r/>
    </w:p>
    <w:p>
      <w:pPr>
        <w:numPr>
          <w:ilvl w:val="0"/>
          <w:numId w:val="11"/>
        </w:numPr>
        <w:ind w:firstLine="422"/>
        <w:jc w:val="left"/>
        <w:spacing w:line="360" w:lineRule="auto"/>
        <w:widowControl/>
        <w:rPr>
          <w:rFonts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widowControl/>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lang w:val="zh-CN"/>
        </w:rPr>
      </w:pPr>
      <w:r/>
      <w:bookmarkStart w:id="26" w:name="_Toc12264"/>
      <w:r>
        <w:rPr>
          <w:rFonts w:hint="eastAsia" w:ascii="宋体" w:hAnsi="宋体" w:cs="宋体"/>
          <w:b/>
          <w:bCs/>
          <w:szCs w:val="21"/>
          <w:lang w:val="zh-CN"/>
        </w:rPr>
        <w:br w:type="page" w:clear="all"/>
      </w:r>
      <w:r/>
    </w:p>
    <w:p>
      <w:pPr>
        <w:jc w:val="left"/>
        <w:spacing w:line="360" w:lineRule="auto"/>
        <w:widowControl/>
        <w:rPr>
          <w:rFonts w:ascii="宋体" w:hAnsi="宋体" w:cs="宋体"/>
          <w:b/>
          <w:bCs/>
          <w:szCs w:val="21"/>
          <w:lang w:val="zh-CN"/>
        </w:rPr>
      </w:pPr>
      <w:r>
        <w:rPr>
          <w:rFonts w:hint="eastAsia" w:ascii="宋体" w:hAnsi="宋体" w:cs="宋体"/>
          <w:b/>
          <w:bCs/>
          <w:szCs w:val="21"/>
        </w:rPr>
        <w:t xml:space="preserve">附表</w:t>
      </w:r>
      <w:r>
        <w:rPr>
          <w:rFonts w:hint="eastAsia" w:ascii="宋体" w:hAnsi="宋体" w:cs="宋体"/>
          <w:b/>
          <w:bCs/>
          <w:szCs w:val="21"/>
          <w:lang w:val="zh-CN"/>
        </w:rPr>
        <w:t xml:space="preserve">：分项报价表格式</w:t>
      </w:r>
      <w:bookmarkEnd w:id="26"/>
      <w:r/>
      <w:r/>
    </w:p>
    <w:p>
      <w:pPr>
        <w:jc w:val="left"/>
        <w:spacing w:line="240" w:lineRule="atLeast"/>
        <w:widowControl/>
        <w:rPr>
          <w:rFonts w:ascii="宋体" w:hAnsi="宋体" w:cs="宋体"/>
          <w:b/>
          <w:bCs/>
          <w:lang w:val="zh-CN"/>
        </w:rPr>
      </w:pPr>
      <w:r>
        <w:rPr>
          <w:rFonts w:ascii="宋体" w:hAnsi="宋体" w:cs="宋体"/>
          <w:b/>
          <w:bCs/>
          <w:lang w:val="zh-CN"/>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分项报价表</w:t>
      </w:r>
      <w:r/>
    </w:p>
    <w:p>
      <w:pPr>
        <w:jc w:val="center"/>
        <w:spacing w:line="360" w:lineRule="auto"/>
        <w:widowControl/>
        <w:rPr>
          <w:rFonts w:ascii="宋体" w:hAnsi="宋体" w:cs="宋体"/>
          <w:szCs w:val="21"/>
        </w:rPr>
      </w:pPr>
      <w:r>
        <w:rPr>
          <w:rFonts w:hint="eastAsia" w:ascii="宋体" w:hAnsi="宋体" w:cs="宋体"/>
          <w:szCs w:val="21"/>
        </w:rPr>
        <w:t xml:space="preserve">包一</w:t>
      </w:r>
      <w:r/>
    </w:p>
    <w:tbl>
      <w:tblPr>
        <w:tblStyle w:val="969"/>
        <w:tblW w:w="814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820"/>
        <w:gridCol w:w="767"/>
        <w:gridCol w:w="1313"/>
        <w:gridCol w:w="1188"/>
        <w:gridCol w:w="1188"/>
      </w:tblGrid>
      <w:tr>
        <w:trPr/>
        <w:tc>
          <w:tcPr>
            <w:tcW w:w="866"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序号</w:t>
            </w:r>
            <w:r/>
          </w:p>
        </w:tc>
        <w:tc>
          <w:tcPr>
            <w:tcW w:w="2820"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设备名称</w:t>
            </w:r>
            <w:r/>
          </w:p>
        </w:tc>
        <w:tc>
          <w:tcPr>
            <w:tcW w:w="767"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数量</w:t>
            </w:r>
            <w:r/>
          </w:p>
        </w:tc>
        <w:tc>
          <w:tcPr>
            <w:tcW w:w="1313"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单价报价（元）</w:t>
            </w:r>
            <w:r/>
          </w:p>
        </w:tc>
        <w:tc>
          <w:tcPr>
            <w:tcW w:w="1188"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合计（元）</w:t>
            </w:r>
            <w:r/>
          </w:p>
        </w:tc>
        <w:tc>
          <w:tcPr>
            <w:tcW w:w="1188"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品牌及型号</w:t>
            </w:r>
            <w:r/>
          </w:p>
        </w:tc>
      </w:tr>
      <w:tr>
        <w:trPr/>
        <w:tc>
          <w:tcPr>
            <w:tcW w:w="866" w:type="dxa"/>
            <w:vAlign w:val="center"/>
            <w:textDirection w:val="lrTb"/>
            <w:noWrap w:val="false"/>
          </w:tcPr>
          <w:p>
            <w:pPr>
              <w:ind w:left="368" w:hanging="367"/>
              <w:jc w:val="center"/>
              <w:spacing w:line="500" w:lineRule="exact"/>
              <w:rPr>
                <w:rFonts w:ascii="宋体" w:hAnsi="宋体"/>
                <w:sz w:val="24"/>
              </w:rPr>
            </w:pPr>
            <w:r>
              <w:rPr>
                <w:rFonts w:hint="eastAsia" w:ascii="宋体" w:hAnsi="宋体"/>
                <w:szCs w:val="21"/>
              </w:rPr>
              <w:t xml:space="preserve">1</w:t>
            </w:r>
            <w:r/>
          </w:p>
        </w:tc>
        <w:tc>
          <w:tcPr>
            <w:tcW w:w="2820" w:type="dxa"/>
            <w:vAlign w:val="center"/>
            <w:textDirection w:val="lrTb"/>
            <w:noWrap w:val="false"/>
          </w:tcPr>
          <w:p>
            <w:pPr>
              <w:jc w:val="center"/>
              <w:widowControl/>
              <w:rPr>
                <w:rFonts w:ascii="宋体" w:hAnsi="宋体"/>
                <w:sz w:val="24"/>
              </w:rPr>
            </w:pPr>
            <w:r>
              <w:rPr>
                <w:rFonts w:hint="eastAsia" w:ascii="宋体" w:hAnsi="宋体" w:cs="宋体"/>
                <w:szCs w:val="21"/>
                <w:lang w:bidi="ar"/>
              </w:rPr>
              <w:t xml:space="preserve">两连体双层床</w:t>
            </w:r>
            <w:r/>
          </w:p>
        </w:tc>
        <w:tc>
          <w:tcPr>
            <w:tcW w:w="767" w:type="dxa"/>
            <w:vAlign w:val="center"/>
            <w:textDirection w:val="lrTb"/>
            <w:noWrap w:val="false"/>
          </w:tcPr>
          <w:p>
            <w:pPr>
              <w:jc w:val="center"/>
              <w:widowControl/>
              <w:rPr>
                <w:rFonts w:ascii="宋体" w:hAnsi="宋体"/>
                <w:sz w:val="24"/>
              </w:rPr>
            </w:pPr>
            <w:r>
              <w:rPr>
                <w:rFonts w:hint="eastAsia" w:ascii="宋体" w:hAnsi="宋体" w:cs="宋体"/>
                <w:szCs w:val="21"/>
                <w:lang w:bidi="ar"/>
              </w:rPr>
              <w:t xml:space="preserve">474</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r>
        <w:trPr/>
        <w:tc>
          <w:tcPr>
            <w:tcW w:w="866" w:type="dxa"/>
            <w:vAlign w:val="center"/>
            <w:textDirection w:val="lrTb"/>
            <w:noWrap w:val="false"/>
          </w:tcPr>
          <w:p>
            <w:pPr>
              <w:ind w:left="368" w:hanging="367"/>
              <w:jc w:val="center"/>
              <w:spacing w:line="500" w:lineRule="exact"/>
              <w:rPr>
                <w:rFonts w:ascii="宋体" w:hAnsi="宋体"/>
                <w:szCs w:val="21"/>
              </w:rPr>
            </w:pPr>
            <w:r>
              <w:rPr>
                <w:rFonts w:hint="eastAsia" w:ascii="宋体" w:hAnsi="宋体"/>
                <w:szCs w:val="21"/>
              </w:rPr>
              <w:t xml:space="preserve">2</w:t>
            </w:r>
            <w:r/>
          </w:p>
        </w:tc>
        <w:tc>
          <w:tcPr>
            <w:tcW w:w="2820" w:type="dxa"/>
            <w:vAlign w:val="center"/>
            <w:textDirection w:val="lrTb"/>
            <w:noWrap w:val="false"/>
          </w:tcPr>
          <w:p>
            <w:pPr>
              <w:jc w:val="center"/>
              <w:widowControl/>
              <w:rPr>
                <w:rFonts w:ascii="宋体" w:hAnsi="宋体"/>
                <w:sz w:val="24"/>
              </w:rPr>
            </w:pPr>
            <w:r>
              <w:rPr>
                <w:rFonts w:hint="eastAsia" w:ascii="宋体" w:hAnsi="宋体" w:cs="宋体"/>
                <w:szCs w:val="21"/>
                <w:lang w:bidi="ar"/>
              </w:rPr>
              <w:t xml:space="preserve">书桌</w:t>
            </w:r>
            <w:r/>
          </w:p>
        </w:tc>
        <w:tc>
          <w:tcPr>
            <w:tcW w:w="767" w:type="dxa"/>
            <w:vAlign w:val="center"/>
            <w:textDirection w:val="lrTb"/>
            <w:noWrap w:val="false"/>
          </w:tcPr>
          <w:p>
            <w:pPr>
              <w:jc w:val="center"/>
              <w:widowControl/>
              <w:rPr>
                <w:rFonts w:ascii="宋体" w:hAnsi="宋体"/>
                <w:sz w:val="24"/>
              </w:rPr>
            </w:pPr>
            <w:r>
              <w:rPr>
                <w:rFonts w:hint="eastAsia" w:ascii="宋体" w:hAnsi="宋体" w:cs="宋体"/>
                <w:szCs w:val="21"/>
                <w:lang w:bidi="ar"/>
              </w:rPr>
              <w:t xml:space="preserve">948</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r>
        <w:trPr/>
        <w:tc>
          <w:tcPr>
            <w:tcW w:w="866" w:type="dxa"/>
            <w:vAlign w:val="center"/>
            <w:textDirection w:val="lrTb"/>
            <w:noWrap w:val="false"/>
          </w:tcPr>
          <w:p>
            <w:pPr>
              <w:ind w:left="368" w:hanging="367"/>
              <w:jc w:val="center"/>
              <w:spacing w:line="500" w:lineRule="exact"/>
              <w:rPr>
                <w:rFonts w:ascii="宋体" w:hAnsi="宋体"/>
                <w:szCs w:val="21"/>
              </w:rPr>
            </w:pPr>
            <w:r>
              <w:rPr>
                <w:rFonts w:hint="eastAsia" w:ascii="宋体" w:hAnsi="宋体"/>
                <w:szCs w:val="21"/>
              </w:rPr>
              <w:t xml:space="preserve">3</w:t>
            </w:r>
            <w:r/>
          </w:p>
        </w:tc>
        <w:tc>
          <w:tcPr>
            <w:tcW w:w="2820" w:type="dxa"/>
            <w:vAlign w:val="center"/>
            <w:textDirection w:val="lrTb"/>
            <w:noWrap w:val="false"/>
          </w:tcPr>
          <w:p>
            <w:pPr>
              <w:jc w:val="center"/>
              <w:widowControl/>
              <w:rPr>
                <w:rFonts w:ascii="宋体" w:hAnsi="宋体"/>
                <w:sz w:val="24"/>
              </w:rPr>
            </w:pPr>
            <w:r>
              <w:rPr>
                <w:rFonts w:hint="eastAsia" w:ascii="宋体" w:hAnsi="宋体" w:cs="宋体"/>
                <w:szCs w:val="21"/>
                <w:lang w:bidi="ar"/>
              </w:rPr>
              <w:t xml:space="preserve">公寓椅</w:t>
            </w:r>
            <w:r/>
          </w:p>
        </w:tc>
        <w:tc>
          <w:tcPr>
            <w:tcW w:w="767" w:type="dxa"/>
            <w:vAlign w:val="center"/>
            <w:textDirection w:val="lrTb"/>
            <w:noWrap w:val="false"/>
          </w:tcPr>
          <w:p>
            <w:pPr>
              <w:jc w:val="center"/>
              <w:widowControl/>
              <w:rPr>
                <w:rFonts w:ascii="宋体" w:hAnsi="宋体"/>
                <w:sz w:val="24"/>
              </w:rPr>
            </w:pPr>
            <w:r>
              <w:rPr>
                <w:rFonts w:hint="eastAsia" w:ascii="宋体" w:hAnsi="宋体" w:cs="宋体"/>
                <w:szCs w:val="21"/>
                <w:lang w:bidi="ar"/>
              </w:rPr>
              <w:t xml:space="preserve">1896</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r>
        <w:trPr/>
        <w:tc>
          <w:tcPr>
            <w:tcW w:w="866"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gridSpan w:val="2"/>
            <w:tcW w:w="3587"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合计</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bl>
    <w:p>
      <w:pPr>
        <w:jc w:val="left"/>
        <w:spacing w:line="360" w:lineRule="auto"/>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ascii="宋体" w:hAnsi="宋体" w:cs="宋体"/>
          <w:szCs w:val="21"/>
          <w:u w:val="single"/>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szCs w:val="21"/>
        </w:rPr>
      </w:pPr>
      <w:r>
        <w:rPr>
          <w:rFonts w:hint="eastAsia" w:ascii="宋体" w:hAnsi="宋体" w:cs="宋体"/>
          <w:szCs w:val="21"/>
        </w:rPr>
        <w:t xml:space="preserve">包二</w:t>
      </w:r>
      <w:r/>
    </w:p>
    <w:tbl>
      <w:tblPr>
        <w:tblStyle w:val="969"/>
        <w:tblW w:w="814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820"/>
        <w:gridCol w:w="767"/>
        <w:gridCol w:w="1313"/>
        <w:gridCol w:w="1188"/>
        <w:gridCol w:w="1188"/>
      </w:tblGrid>
      <w:tr>
        <w:trPr/>
        <w:tc>
          <w:tcPr>
            <w:tcW w:w="866"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序号</w:t>
            </w:r>
            <w:r/>
          </w:p>
        </w:tc>
        <w:tc>
          <w:tcPr>
            <w:tcW w:w="2820"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设备名称</w:t>
            </w:r>
            <w:r/>
          </w:p>
        </w:tc>
        <w:tc>
          <w:tcPr>
            <w:tcW w:w="767"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数量</w:t>
            </w:r>
            <w:r/>
          </w:p>
        </w:tc>
        <w:tc>
          <w:tcPr>
            <w:tcW w:w="1313"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单价报价（元）</w:t>
            </w:r>
            <w:r/>
          </w:p>
        </w:tc>
        <w:tc>
          <w:tcPr>
            <w:tcW w:w="1188"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合计（元）</w:t>
            </w:r>
            <w:r/>
          </w:p>
        </w:tc>
        <w:tc>
          <w:tcPr>
            <w:tcW w:w="1188"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品牌及型号</w:t>
            </w:r>
            <w:r/>
          </w:p>
        </w:tc>
      </w:tr>
      <w:tr>
        <w:trPr/>
        <w:tc>
          <w:tcPr>
            <w:tcW w:w="866" w:type="dxa"/>
            <w:vAlign w:val="center"/>
            <w:textDirection w:val="lrTb"/>
            <w:noWrap w:val="false"/>
          </w:tcPr>
          <w:p>
            <w:pPr>
              <w:ind w:left="368" w:hanging="367"/>
              <w:jc w:val="center"/>
              <w:spacing w:line="500" w:lineRule="exact"/>
              <w:rPr>
                <w:rFonts w:ascii="宋体" w:hAnsi="宋体"/>
                <w:sz w:val="24"/>
              </w:rPr>
            </w:pPr>
            <w:r>
              <w:rPr>
                <w:rFonts w:hint="eastAsia" w:ascii="宋体" w:hAnsi="宋体"/>
                <w:szCs w:val="21"/>
              </w:rPr>
              <w:t xml:space="preserve">1</w:t>
            </w:r>
            <w:r/>
          </w:p>
        </w:tc>
        <w:tc>
          <w:tcPr>
            <w:tcW w:w="2820" w:type="dxa"/>
            <w:vAlign w:val="center"/>
            <w:textDirection w:val="lrTb"/>
            <w:noWrap w:val="false"/>
          </w:tcPr>
          <w:p>
            <w:pPr>
              <w:jc w:val="center"/>
              <w:widowControl/>
              <w:rPr>
                <w:rFonts w:ascii="宋体" w:hAnsi="宋体"/>
                <w:sz w:val="24"/>
              </w:rPr>
            </w:pPr>
            <w:r>
              <w:rPr>
                <w:rFonts w:hint="eastAsia" w:ascii="宋体" w:hAnsi="宋体" w:cs="宋体"/>
                <w:color w:val="000000"/>
                <w:szCs w:val="21"/>
                <w:lang w:bidi="ar"/>
              </w:rPr>
              <w:t xml:space="preserve">两连体双层床</w:t>
            </w:r>
            <w:r/>
          </w:p>
        </w:tc>
        <w:tc>
          <w:tcPr>
            <w:tcW w:w="767" w:type="dxa"/>
            <w:vAlign w:val="center"/>
            <w:textDirection w:val="lrTb"/>
            <w:noWrap w:val="false"/>
          </w:tcPr>
          <w:p>
            <w:pPr>
              <w:jc w:val="center"/>
              <w:widowControl/>
              <w:rPr>
                <w:rFonts w:ascii="宋体" w:hAnsi="宋体"/>
                <w:sz w:val="24"/>
              </w:rPr>
            </w:pPr>
            <w:r>
              <w:rPr>
                <w:rFonts w:hint="eastAsia" w:ascii="宋体" w:hAnsi="宋体" w:cs="宋体"/>
                <w:color w:val="000000"/>
                <w:szCs w:val="21"/>
                <w:lang w:bidi="ar"/>
              </w:rPr>
              <w:t xml:space="preserve">238</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r>
        <w:trPr/>
        <w:tc>
          <w:tcPr>
            <w:tcW w:w="866" w:type="dxa"/>
            <w:vAlign w:val="center"/>
            <w:textDirection w:val="lrTb"/>
            <w:noWrap w:val="false"/>
          </w:tcPr>
          <w:p>
            <w:pPr>
              <w:ind w:left="368" w:hanging="367"/>
              <w:jc w:val="center"/>
              <w:spacing w:line="500" w:lineRule="exact"/>
              <w:rPr>
                <w:rFonts w:ascii="宋体" w:hAnsi="宋体"/>
                <w:szCs w:val="21"/>
              </w:rPr>
            </w:pPr>
            <w:r>
              <w:rPr>
                <w:rFonts w:hint="eastAsia" w:ascii="宋体" w:hAnsi="宋体"/>
                <w:szCs w:val="21"/>
              </w:rPr>
              <w:t xml:space="preserve">2</w:t>
            </w:r>
            <w:r/>
          </w:p>
        </w:tc>
        <w:tc>
          <w:tcPr>
            <w:tcW w:w="2820" w:type="dxa"/>
            <w:vAlign w:val="center"/>
            <w:textDirection w:val="lrTb"/>
            <w:noWrap w:val="false"/>
          </w:tcPr>
          <w:p>
            <w:pPr>
              <w:jc w:val="center"/>
              <w:widowControl/>
              <w:rPr>
                <w:rFonts w:ascii="宋体" w:hAnsi="宋体"/>
                <w:sz w:val="24"/>
              </w:rPr>
            </w:pPr>
            <w:r>
              <w:rPr>
                <w:rFonts w:hint="eastAsia" w:ascii="宋体" w:hAnsi="宋体" w:cs="宋体"/>
                <w:color w:val="000000"/>
                <w:szCs w:val="21"/>
                <w:lang w:bidi="ar"/>
              </w:rPr>
              <w:t xml:space="preserve">书桌</w:t>
            </w:r>
            <w:r/>
          </w:p>
        </w:tc>
        <w:tc>
          <w:tcPr>
            <w:tcW w:w="767" w:type="dxa"/>
            <w:vAlign w:val="center"/>
            <w:textDirection w:val="lrTb"/>
            <w:noWrap w:val="false"/>
          </w:tcPr>
          <w:p>
            <w:pPr>
              <w:jc w:val="center"/>
              <w:widowControl/>
              <w:rPr>
                <w:rFonts w:ascii="宋体" w:hAnsi="宋体"/>
                <w:sz w:val="24"/>
              </w:rPr>
            </w:pPr>
            <w:r>
              <w:rPr>
                <w:rFonts w:hint="eastAsia" w:ascii="宋体" w:hAnsi="宋体" w:cs="宋体"/>
                <w:color w:val="000000"/>
                <w:szCs w:val="21"/>
                <w:lang w:bidi="ar"/>
              </w:rPr>
              <w:t xml:space="preserve">476</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r>
        <w:trPr/>
        <w:tc>
          <w:tcPr>
            <w:tcW w:w="866" w:type="dxa"/>
            <w:vAlign w:val="center"/>
            <w:textDirection w:val="lrTb"/>
            <w:noWrap w:val="false"/>
          </w:tcPr>
          <w:p>
            <w:pPr>
              <w:ind w:left="368" w:hanging="367"/>
              <w:jc w:val="center"/>
              <w:spacing w:line="500" w:lineRule="exact"/>
              <w:rPr>
                <w:rFonts w:ascii="宋体" w:hAnsi="宋体"/>
                <w:szCs w:val="21"/>
              </w:rPr>
            </w:pPr>
            <w:r>
              <w:rPr>
                <w:rFonts w:hint="eastAsia" w:ascii="宋体" w:hAnsi="宋体"/>
                <w:szCs w:val="21"/>
              </w:rPr>
              <w:t xml:space="preserve">3</w:t>
            </w:r>
            <w:r/>
          </w:p>
        </w:tc>
        <w:tc>
          <w:tcPr>
            <w:tcW w:w="2820" w:type="dxa"/>
            <w:vAlign w:val="center"/>
            <w:textDirection w:val="lrTb"/>
            <w:noWrap w:val="false"/>
          </w:tcPr>
          <w:p>
            <w:pPr>
              <w:jc w:val="center"/>
              <w:widowControl/>
              <w:rPr>
                <w:rFonts w:ascii="宋体" w:hAnsi="宋体"/>
                <w:sz w:val="24"/>
              </w:rPr>
            </w:pPr>
            <w:r>
              <w:rPr>
                <w:rFonts w:hint="eastAsia" w:ascii="宋体" w:hAnsi="宋体" w:cs="宋体"/>
                <w:color w:val="000000"/>
                <w:szCs w:val="21"/>
                <w:lang w:bidi="ar"/>
              </w:rPr>
              <w:t xml:space="preserve">公寓椅</w:t>
            </w:r>
            <w:r/>
          </w:p>
        </w:tc>
        <w:tc>
          <w:tcPr>
            <w:tcW w:w="767" w:type="dxa"/>
            <w:vAlign w:val="center"/>
            <w:textDirection w:val="lrTb"/>
            <w:noWrap w:val="false"/>
          </w:tcPr>
          <w:p>
            <w:pPr>
              <w:jc w:val="center"/>
              <w:widowControl/>
              <w:rPr>
                <w:rFonts w:ascii="宋体" w:hAnsi="宋体"/>
                <w:sz w:val="24"/>
              </w:rPr>
            </w:pPr>
            <w:r>
              <w:rPr>
                <w:rFonts w:hint="eastAsia" w:ascii="宋体" w:hAnsi="宋体" w:cs="宋体"/>
                <w:color w:val="000000"/>
                <w:szCs w:val="21"/>
                <w:lang w:bidi="ar"/>
              </w:rPr>
              <w:t xml:space="preserve">952</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r>
        <w:trPr/>
        <w:tc>
          <w:tcPr>
            <w:tcW w:w="866"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gridSpan w:val="2"/>
            <w:tcW w:w="3587" w:type="dxa"/>
            <w:vAlign w:val="center"/>
            <w:textDirection w:val="lrTb"/>
            <w:noWrap w:val="false"/>
          </w:tcPr>
          <w:p>
            <w:pPr>
              <w:ind w:left="420" w:hanging="420"/>
              <w:jc w:val="center"/>
              <w:spacing w:line="500" w:lineRule="exact"/>
              <w:rPr>
                <w:rFonts w:ascii="宋体" w:hAnsi="宋体"/>
                <w:sz w:val="24"/>
              </w:rPr>
            </w:pPr>
            <w:r>
              <w:rPr>
                <w:rFonts w:hint="eastAsia" w:ascii="宋体" w:hAnsi="宋体"/>
                <w:sz w:val="24"/>
              </w:rPr>
              <w:t xml:space="preserve">合计</w:t>
            </w:r>
            <w:r/>
          </w:p>
        </w:tc>
        <w:tc>
          <w:tcPr>
            <w:tcW w:w="1313"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c>
          <w:tcPr>
            <w:tcW w:w="1188" w:type="dxa"/>
            <w:vAlign w:val="center"/>
            <w:textDirection w:val="lrTb"/>
            <w:noWrap w:val="false"/>
          </w:tcPr>
          <w:p>
            <w:pPr>
              <w:ind w:left="420" w:hanging="420"/>
              <w:jc w:val="center"/>
              <w:spacing w:line="500" w:lineRule="exact"/>
              <w:rPr>
                <w:rFonts w:ascii="宋体" w:hAnsi="宋体"/>
                <w:sz w:val="24"/>
              </w:rPr>
            </w:pPr>
            <w:r>
              <w:rPr>
                <w:rFonts w:ascii="宋体" w:hAnsi="宋体"/>
                <w:sz w:val="24"/>
              </w:rPr>
            </w:r>
            <w:r/>
          </w:p>
        </w:tc>
      </w:tr>
    </w:tbl>
    <w:p>
      <w:pPr>
        <w:jc w:val="left"/>
        <w:spacing w:line="360" w:lineRule="auto"/>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ascii="宋体" w:hAnsi="宋体" w:cs="宋体"/>
          <w:szCs w:val="21"/>
          <w:u w:val="single"/>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ascii="宋体" w:hAnsi="宋体" w:cs="宋体"/>
          <w:szCs w:val="21"/>
        </w:rPr>
      </w:pPr>
      <w:r>
        <w:rPr>
          <w:rFonts w:ascii="宋体" w:hAnsi="宋体" w:cs="宋体"/>
          <w:szCs w:val="21"/>
        </w:rPr>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6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2"/>
        <w:gridCol w:w="951"/>
        <w:gridCol w:w="3535"/>
        <w:gridCol w:w="1648"/>
        <w:gridCol w:w="680"/>
        <w:gridCol w:w="680"/>
      </w:tblGrid>
      <w:tr>
        <w:trPr>
          <w:jc w:val="center"/>
          <w:trHeight w:val="284"/>
        </w:trPr>
        <w:tc>
          <w:tcPr>
            <w:tcMar>
              <w:left w:w="10" w:type="dxa"/>
              <w:top w:w="0" w:type="dxa"/>
              <w:right w:w="10" w:type="dxa"/>
              <w:bottom w:w="0" w:type="dxa"/>
            </w:tcMar>
            <w:tcW w:w="642" w:type="dxa"/>
            <w:vAlign w:val="center"/>
            <w:textDirection w:val="lrTb"/>
            <w:noWrap w:val="false"/>
          </w:tcPr>
          <w:p>
            <w:pPr>
              <w:pStyle w:val="1018"/>
              <w:ind w:firstLine="0"/>
              <w:jc w:val="center"/>
              <w:spacing w:line="360" w:lineRule="auto"/>
              <w:rPr>
                <w:rFonts w:ascii="宋体" w:hAnsi="宋体" w:cs="宋体"/>
                <w:b/>
                <w:bCs/>
                <w:szCs w:val="21"/>
              </w:rPr>
            </w:pPr>
            <w:r>
              <w:rPr>
                <w:rFonts w:hint="eastAsia"/>
                <w:b/>
                <w:bCs/>
              </w:rPr>
              <w:t xml:space="preserve">序号</w:t>
            </w:r>
            <w:r/>
          </w:p>
        </w:tc>
        <w:tc>
          <w:tcPr>
            <w:tcMar>
              <w:left w:w="10" w:type="dxa"/>
              <w:top w:w="0" w:type="dxa"/>
              <w:right w:w="10" w:type="dxa"/>
              <w:bottom w:w="0" w:type="dxa"/>
            </w:tcMar>
            <w:tcW w:w="951" w:type="dxa"/>
            <w:vAlign w:val="center"/>
            <w:textDirection w:val="lrTb"/>
            <w:noWrap w:val="false"/>
          </w:tcPr>
          <w:p>
            <w:pPr>
              <w:pStyle w:val="1018"/>
              <w:ind w:firstLine="0"/>
              <w:jc w:val="center"/>
              <w:spacing w:line="360" w:lineRule="auto"/>
              <w:rPr>
                <w:rFonts w:ascii="宋体" w:hAnsi="宋体" w:cs="宋体"/>
                <w:b/>
                <w:bCs/>
                <w:szCs w:val="21"/>
              </w:rPr>
            </w:pPr>
            <w:r>
              <w:rPr>
                <w:rFonts w:hint="eastAsia"/>
                <w:b/>
                <w:bCs/>
              </w:rPr>
              <w:t xml:space="preserve">产品名称</w:t>
            </w:r>
            <w:r/>
          </w:p>
        </w:tc>
        <w:tc>
          <w:tcPr>
            <w:tcMar>
              <w:left w:w="10" w:type="dxa"/>
              <w:top w:w="0" w:type="dxa"/>
              <w:right w:w="10" w:type="dxa"/>
              <w:bottom w:w="0" w:type="dxa"/>
            </w:tcMar>
            <w:tcW w:w="3536"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w:t>
            </w:r>
            <w:r>
              <w:rPr>
                <w:rFonts w:hint="eastAsia"/>
                <w:b/>
              </w:rPr>
              <w:t xml:space="preserve">技术参数</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技术参数响应情况</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是否偏离</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证明材料所在页码</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4</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5</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6</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7</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8</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9</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left="-2"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10</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w:t>
            </w:r>
            <w:r/>
          </w:p>
        </w:tc>
        <w:tc>
          <w:tcPr>
            <w:tcMar>
              <w:left w:w="10" w:type="dxa"/>
              <w:top w:w="0" w:type="dxa"/>
              <w:right w:w="10" w:type="dxa"/>
              <w:bottom w:w="0" w:type="dxa"/>
            </w:tcMar>
            <w:tcW w:w="95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536" w:type="dxa"/>
            <w:vAlign w:val="center"/>
            <w:textDirection w:val="lrTb"/>
            <w:noWrap w:val="false"/>
          </w:tcPr>
          <w:p>
            <w:pPr>
              <w:pStyle w:val="1018"/>
              <w:ind w:firstLine="0"/>
              <w:jc w:val="left"/>
              <w:spacing w:line="360" w:lineRule="auto"/>
              <w:rPr>
                <w:rFonts w:ascii="宋体" w:hAnsi="宋体" w:cs="宋体"/>
                <w:szCs w:val="21"/>
              </w:rPr>
            </w:pPr>
            <w:r>
              <w:rPr>
                <w:rFonts w:ascii="宋体" w:hAnsi="宋体" w:cs="宋体"/>
                <w:szCs w:val="21"/>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投标文件的采购需求部分内容响应存在正偏离或负偏离或无偏离的，请在本表中逐条列出。</w:t>
      </w:r>
      <w:r>
        <w:rPr>
          <w:rFonts w:ascii="Arial" w:hAnsi="Arial"/>
          <w:szCs w:val="21"/>
        </w:rPr>
        <w:t xml:space="preserve">如果行数不够，请自行增加。</w:t>
      </w:r>
      <w:r/>
    </w:p>
    <w:p>
      <w:pPr>
        <w:jc w:val="left"/>
        <w:spacing w:line="360" w:lineRule="auto"/>
        <w:shd w:val="clear" w:color="auto" w:fill="ffffff"/>
        <w:widowControl/>
        <w:rPr>
          <w:rFonts w:ascii="宋体" w:hAnsi="宋体" w:cs="宋体"/>
          <w:b/>
          <w:bCs/>
          <w:szCs w:val="21"/>
        </w:rPr>
      </w:pPr>
      <w:r>
        <w:rPr>
          <w:rFonts w:ascii="宋体" w:hAnsi="宋体" w:cs="宋体"/>
          <w:b/>
          <w:bCs/>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6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投标文件的商务部分内容响应存在正偏离或负偏离或无偏离的，请在本表中逐条列出。未列出的，视为响应采购文件要求。</w:t>
      </w:r>
      <w:r>
        <w:rPr>
          <w:rFonts w:ascii="Arial" w:hAnsi="Arial"/>
          <w:szCs w:val="21"/>
        </w:rPr>
        <w:t xml:space="preserve">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rPr>
          <w:rFonts w:ascii="宋体" w:hAnsi="宋体" w:cs="宋体"/>
          <w:szCs w:val="21"/>
        </w:rPr>
      </w:pPr>
      <w:r>
        <w:rPr>
          <w:rFonts w:hint="eastAsia" w:ascii="宋体" w:hAnsi="宋体" w:cs="宋体"/>
          <w:szCs w:val="21"/>
        </w:rPr>
        <w:t xml:space="preserve">技术方案及服务承诺应根据招标人对项目的要求、评标标准的要求及项目本身的特点编写。</w:t>
      </w:r>
      <w:r/>
    </w:p>
    <w:p>
      <w:pPr>
        <w:ind w:firstLine="42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96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ascii="宋体" w:hAnsi="宋体" w:cs="宋体"/>
          <w:szCs w:val="21"/>
          <w:u w:val="single"/>
        </w:rPr>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附件九、投标人类似业绩情况表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投标人类似业绩情况表</w:t>
      </w:r>
      <w:r/>
    </w:p>
    <w:tbl>
      <w:tblPr>
        <w:tblStyle w:val="96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w:t>
            </w:r>
            <w:r/>
          </w:p>
          <w:p>
            <w:pPr>
              <w:jc w:val="center"/>
              <w:spacing w:line="400" w:lineRule="atLeast"/>
              <w:widowControl/>
              <w:rPr>
                <w:rFonts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获奖</w:t>
            </w:r>
            <w:r/>
          </w:p>
          <w:p>
            <w:pPr>
              <w:jc w:val="center"/>
              <w:spacing w:line="400" w:lineRule="atLeast"/>
              <w:widowControl/>
              <w:rPr>
                <w:rFonts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ascii="宋体" w:hAnsi="宋体" w:cs="宋体"/>
          <w:szCs w:val="21"/>
          <w:u w:val="single"/>
        </w:rPr>
      </w:r>
      <w:r/>
    </w:p>
    <w:p>
      <w:pPr>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ascii="宋体" w:hAnsi="宋体" w:cs="宋体"/>
        </w:rPr>
      </w:r>
      <w:r/>
    </w:p>
    <w:p>
      <w:pPr>
        <w:spacing w:line="360" w:lineRule="auto"/>
        <w:rPr>
          <w:rFonts w:ascii="宋体" w:hAnsi="宋体" w:cs="宋体"/>
          <w:b/>
          <w:bCs/>
        </w:rPr>
      </w:pPr>
      <w:r>
        <w:rPr>
          <w:rFonts w:hint="eastAsia" w:ascii="宋体" w:hAnsi="宋体" w:cs="宋体"/>
          <w:b/>
        </w:rPr>
        <w:br w:type="page" w:clear="all"/>
      </w: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line="480" w:lineRule="auto"/>
        <w:rPr>
          <w:rFonts w:ascii="宋体" w:hAnsi="宋体" w:cs="宋体"/>
          <w:b/>
          <w:bCs/>
          <w:sz w:val="28"/>
          <w:szCs w:val="28"/>
        </w:rPr>
      </w:pPr>
      <w:r/>
      <w:bookmarkStart w:id="27" w:name="OLE_LINK13"/>
      <w:r/>
      <w:bookmarkStart w:id="28" w:name="OLE_LINK14"/>
      <w:r>
        <w:rPr>
          <w:rFonts w:hint="eastAsia" w:ascii="宋体" w:hAnsi="宋体" w:cs="宋体"/>
          <w:b/>
          <w:bCs/>
          <w:sz w:val="28"/>
          <w:szCs w:val="28"/>
        </w:rPr>
        <w:t xml:space="preserve">中小企业声明函（货物）</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万</w:t>
      </w:r>
      <w:r>
        <w:rPr>
          <w:rFonts w:hint="eastAsia" w:ascii="宋体" w:hAnsi="宋体" w:cs="宋体"/>
        </w:rPr>
        <w:t xml:space="preserve">元，属于（中型企业、小型企业、微型企业）；</w:t>
      </w:r>
      <w:r/>
    </w:p>
    <w:p>
      <w:pPr>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ascii="宋体" w:hAnsi="宋体" w:cs="宋体"/>
        </w:rPr>
      </w:pPr>
      <w:r>
        <w:rPr>
          <w:rFonts w:hint="eastAsia" w:ascii="宋体" w:hAnsi="宋体" w:cs="宋体"/>
        </w:rPr>
        <w:t xml:space="preserve">3.</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ascii="宋体" w:hAnsi="宋体" w:cs="宋体"/>
        </w:rPr>
      </w:pP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left"/>
        <w:spacing w:line="360" w:lineRule="auto"/>
        <w:rPr>
          <w:rFonts w:ascii="宋体" w:hAnsi="宋体" w:cs="宋体"/>
          <w:b/>
          <w:bCs/>
          <w:sz w:val="28"/>
        </w:rPr>
      </w:pPr>
      <w:r>
        <w:rPr>
          <w:rFonts w:hint="eastAsia" w:ascii="宋体" w:hAnsi="宋体" w:cs="宋体"/>
          <w:szCs w:val="21"/>
        </w:rPr>
        <w:t xml:space="preserve">日 期：</w:t>
      </w:r>
      <w:r/>
    </w:p>
    <w:p>
      <w:pPr>
        <w:ind w:firstLine="420"/>
        <w:keepLines/>
        <w:keepNext/>
        <w:rPr>
          <w:rFonts w:ascii="宋体" w:hAnsi="宋体" w:cs="宋体"/>
        </w:rPr>
        <w:outlineLvl w:val="0"/>
      </w:pPr>
      <w:r/>
      <w:bookmarkStart w:id="29" w:name="_Toc31857"/>
      <w:r/>
      <w:bookmarkStart w:id="30" w:name="_Toc15368"/>
      <w:r/>
      <w:bookmarkStart w:id="31" w:name="_Toc12370"/>
      <w:r/>
      <w:bookmarkStart w:id="32" w:name="_Toc9170"/>
      <w:r/>
      <w:r/>
    </w:p>
    <w:p>
      <w:pPr>
        <w:keepLines/>
        <w:keepNext/>
        <w:rPr>
          <w:rFonts w:ascii="宋体" w:hAnsi="宋体" w:cs="宋体"/>
        </w:rPr>
        <w:outlineLvl w:val="0"/>
      </w:pPr>
      <w:r/>
      <w:bookmarkStart w:id="33" w:name="_Toc13722"/>
      <w:r/>
      <w:bookmarkStart w:id="34" w:name="_Toc1861"/>
      <w:r>
        <w:rPr>
          <w:rFonts w:hint="eastAsia" w:ascii="宋体" w:hAnsi="宋体" w:cs="宋体"/>
        </w:rPr>
        <w:t xml:space="preserve">备注：</w:t>
      </w:r>
      <w:bookmarkEnd w:id="29"/>
      <w:r/>
      <w:bookmarkEnd w:id="30"/>
      <w:r/>
      <w:bookmarkEnd w:id="31"/>
      <w:r/>
      <w:bookmarkEnd w:id="32"/>
      <w:r/>
      <w:bookmarkEnd w:id="33"/>
      <w:r/>
      <w:bookmarkEnd w:id="34"/>
      <w:r/>
      <w:r/>
    </w:p>
    <w:p>
      <w:pPr>
        <w:ind w:firstLine="632"/>
        <w:keepLines/>
        <w:keepNext/>
        <w:rPr>
          <w:rFonts w:ascii="宋体" w:hAnsi="宋体" w:cs="宋体"/>
          <w:b/>
          <w:bCs/>
        </w:rPr>
        <w:outlineLvl w:val="0"/>
      </w:pPr>
      <w:r/>
      <w:bookmarkStart w:id="35" w:name="_Toc3322"/>
      <w:r/>
      <w:bookmarkStart w:id="36" w:name="_Toc4087"/>
      <w:r/>
      <w:bookmarkStart w:id="37" w:name="_Toc18101"/>
      <w:r/>
      <w:bookmarkStart w:id="38" w:name="_Toc22289"/>
      <w:r/>
      <w:bookmarkStart w:id="39" w:name="_Toc26583"/>
      <w:r/>
      <w:bookmarkStart w:id="40" w:name="_Toc2938"/>
      <w:r>
        <w:rPr>
          <w:rFonts w:hint="eastAsia" w:ascii="宋体" w:hAnsi="宋体" w:cs="宋体"/>
          <w:b/>
          <w:bCs/>
        </w:rPr>
        <w:t xml:space="preserve">1.从业人员、营业收入、资产总额填报上一年度数据，无上一年度数据的新成立企业可不填报。</w:t>
      </w:r>
      <w:bookmarkEnd w:id="35"/>
      <w:r/>
      <w:bookmarkEnd w:id="36"/>
      <w:r/>
      <w:bookmarkEnd w:id="37"/>
      <w:r/>
      <w:bookmarkEnd w:id="38"/>
      <w:r/>
      <w:bookmarkEnd w:id="39"/>
      <w:r/>
      <w:bookmarkEnd w:id="40"/>
      <w:r/>
      <w:r/>
    </w:p>
    <w:p>
      <w:pPr>
        <w:ind w:firstLine="630"/>
        <w:keepLines/>
        <w:keepNext/>
        <w:rPr>
          <w:rFonts w:ascii="宋体" w:hAnsi="宋体" w:cs="宋体"/>
          <w:b/>
          <w:bCs/>
        </w:rPr>
        <w:outlineLvl w:val="0"/>
      </w:pPr>
      <w:r/>
      <w:bookmarkStart w:id="41" w:name="_Toc10475"/>
      <w:r/>
      <w:bookmarkStart w:id="42" w:name="_Toc7010"/>
      <w:r/>
      <w:bookmarkStart w:id="43" w:name="_Toc2574"/>
      <w:r/>
      <w:bookmarkStart w:id="44" w:name="_Toc927"/>
      <w:r/>
      <w:bookmarkStart w:id="45" w:name="_Toc18057"/>
      <w:r/>
      <w:bookmarkStart w:id="46" w:name="_Toc1944"/>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bookmarkEnd w:id="41"/>
      <w:r/>
      <w:bookmarkEnd w:id="42"/>
      <w:r/>
      <w:bookmarkEnd w:id="43"/>
      <w:r/>
      <w:bookmarkEnd w:id="44"/>
      <w:r/>
      <w:bookmarkEnd w:id="45"/>
      <w:r/>
      <w:bookmarkEnd w:id="46"/>
      <w:r/>
      <w:r/>
    </w:p>
    <w:p>
      <w:pPr>
        <w:ind w:firstLine="630"/>
        <w:keepLines/>
        <w:keepNext/>
        <w:rPr>
          <w:rFonts w:ascii="宋体" w:hAnsi="宋体" w:cs="宋体"/>
          <w:b/>
          <w:bCs/>
        </w:rPr>
        <w:outlineLvl w:val="0"/>
      </w:pPr>
      <w:r/>
      <w:bookmarkStart w:id="47" w:name="_Toc1268"/>
      <w:r/>
      <w:bookmarkStart w:id="48" w:name="_Toc19903"/>
      <w:r/>
      <w:bookmarkStart w:id="49" w:name="_Toc10358"/>
      <w:r/>
      <w:bookmarkStart w:id="50" w:name="_Toc17905"/>
      <w:r/>
      <w:bookmarkStart w:id="51" w:name="_Toc30404"/>
      <w:r/>
      <w:bookmarkStart w:id="52" w:name="_Toc12857"/>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bookmarkEnd w:id="47"/>
      <w:r/>
      <w:bookmarkEnd w:id="48"/>
      <w:r/>
      <w:bookmarkEnd w:id="49"/>
      <w:r/>
      <w:bookmarkEnd w:id="50"/>
      <w:r/>
      <w:bookmarkEnd w:id="51"/>
      <w:r/>
      <w:bookmarkEnd w:id="52"/>
      <w:r/>
      <w:r/>
    </w:p>
    <w:p>
      <w:pPr>
        <w:ind w:firstLine="632"/>
        <w:keepLines/>
        <w:keepNext/>
        <w:rPr>
          <w:rFonts w:ascii="宋体" w:hAnsi="宋体" w:cs="宋体"/>
          <w:b/>
          <w:szCs w:val="21"/>
        </w:rPr>
        <w:outlineLvl w:val="0"/>
      </w:pPr>
      <w:r/>
      <w:bookmarkStart w:id="53" w:name="_Toc10257"/>
      <w:r/>
      <w:bookmarkStart w:id="54" w:name="_Toc25066"/>
      <w:r/>
      <w:bookmarkStart w:id="55" w:name="_Toc14061"/>
      <w:r/>
      <w:bookmarkStart w:id="56" w:name="_Toc29908"/>
      <w:r/>
      <w:bookmarkStart w:id="57" w:name="_Toc21794"/>
      <w:r/>
      <w:bookmarkStart w:id="58" w:name="_Toc8833"/>
      <w:r>
        <w:rPr>
          <w:rFonts w:hint="eastAsia" w:ascii="宋体" w:hAnsi="宋体" w:cs="宋体"/>
          <w:b/>
          <w:bCs/>
        </w:rPr>
        <w:t xml:space="preserve">4.如未对（中型企业、小型企业、微型企业）进行勾选，视同非中小微企业，不可享受相应扶持政策。</w:t>
      </w:r>
      <w:bookmarkEnd w:id="53"/>
      <w:r/>
      <w:bookmarkEnd w:id="54"/>
      <w:r/>
      <w:bookmarkEnd w:id="55"/>
      <w:r/>
      <w:bookmarkEnd w:id="56"/>
      <w:r/>
      <w:bookmarkEnd w:id="57"/>
      <w:r/>
      <w:bookmarkEnd w:id="58"/>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sectPr>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27"/>
      <w:r/>
      <w:bookmarkEnd w:id="28"/>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ind w:firstLine="420"/>
        <w:rPr>
          <w:rFonts w:ascii="宋体" w:hAnsi="宋体" w:cs="宋体"/>
          <w:bCs/>
          <w:szCs w:val="20"/>
        </w:rPr>
      </w:pPr>
      <w:r>
        <w:rPr>
          <w:rFonts w:ascii="宋体" w:hAnsi="宋体" w:cs="宋体"/>
          <w:bCs/>
          <w:szCs w:val="20"/>
        </w:rPr>
      </w:r>
      <w:r/>
    </w:p>
    <w:p>
      <w:pPr>
        <w:ind w:firstLine="420"/>
        <w:rPr>
          <w:rFonts w:ascii="宋体" w:hAnsi="宋体" w:cs="宋体"/>
          <w:bCs/>
          <w:szCs w:val="20"/>
        </w:rPr>
      </w:pPr>
      <w:r>
        <w:rPr>
          <w:rFonts w:ascii="宋体" w:hAnsi="宋体" w:cs="宋体"/>
          <w:bCs/>
          <w:szCs w:val="20"/>
        </w:rPr>
      </w:r>
      <w:r/>
    </w:p>
    <w:p>
      <w:pPr>
        <w:ind w:firstLine="420"/>
        <w:rPr>
          <w:rFonts w:ascii="宋体" w:hAnsi="宋体" w:cs="宋体"/>
          <w:bCs/>
          <w:szCs w:val="20"/>
        </w:rPr>
      </w:pPr>
      <w:r>
        <w:rPr>
          <w:rFonts w:ascii="宋体" w:hAnsi="宋体" w:cs="宋体"/>
          <w:bCs/>
          <w:szCs w:val="20"/>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jc w:val="center"/>
        <w:spacing w:before="24" w:after="24" w:line="360" w:lineRule="auto"/>
        <w:shd w:val="clear" w:color="auto" w:fill="ffffff"/>
        <w:widowControl/>
        <w:rPr>
          <w:rFonts w:ascii="宋体" w:hAnsi="宋体" w:cs="宋体"/>
          <w:b/>
          <w:bCs/>
          <w:sz w:val="28"/>
        </w:rPr>
      </w:pPr>
      <w:r>
        <w:rPr>
          <w:rFonts w:ascii="宋体" w:hAnsi="宋体" w:cs="宋体"/>
          <w:b/>
          <w:bCs/>
          <w:sz w:val="28"/>
        </w:rPr>
      </w:r>
      <w:r/>
    </w:p>
    <w:p>
      <w:pPr>
        <w:jc w:val="left"/>
        <w:spacing w:before="24" w:after="24" w:line="360" w:lineRule="auto"/>
        <w:shd w:val="clear" w:color="auto" w:fill="ffffff"/>
        <w:widowControl/>
        <w:rPr>
          <w:rFonts w:ascii="宋体" w:hAnsi="宋体" w:cs="宋体"/>
          <w:b/>
          <w:bCs/>
        </w:rPr>
      </w:pPr>
      <w:r>
        <w:rPr>
          <w:rFonts w:hint="eastAsia" w:ascii="宋体" w:hAnsi="宋体" w:cs="宋体"/>
          <w:b/>
        </w:rPr>
        <w:t xml:space="preserve">附件十一</w:t>
      </w:r>
      <w:r>
        <w:rPr>
          <w:rFonts w:hint="eastAsia" w:ascii="宋体" w:hAnsi="宋体" w:cs="宋体"/>
          <w:b/>
          <w:bCs/>
        </w:rPr>
        <w:t xml:space="preserve">、关于符合本国产品标准的声明函</w:t>
      </w:r>
      <w:r/>
    </w:p>
    <w:p>
      <w:pPr>
        <w:jc w:val="center"/>
        <w:spacing w:before="24" w:after="24" w:line="360" w:lineRule="auto"/>
        <w:shd w:val="clear" w:color="auto" w:fill="ffffff"/>
        <w:widowControl/>
        <w:rPr>
          <w:rFonts w:ascii="宋体" w:hAnsi="宋体" w:cs="宋体"/>
          <w:b/>
          <w:bCs/>
          <w:sz w:val="28"/>
        </w:rPr>
      </w:pPr>
      <w:r>
        <w:rPr>
          <w:rFonts w:hint="eastAsia" w:ascii="宋体" w:hAnsi="宋体" w:cs="宋体"/>
          <w:b/>
          <w:bCs/>
          <w:sz w:val="28"/>
        </w:rPr>
        <w:t xml:space="preserve">关于符合本国产品标准的声明函</w:t>
      </w:r>
      <w:r/>
    </w:p>
    <w:p>
      <w:pPr>
        <w:pStyle w:val="998"/>
        <w:ind w:firstLine="420"/>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8"/>
        <w:ind w:firstLine="420"/>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1008"/>
          <w:rFonts w:hint="eastAsia"/>
          <w:color w:val="000000" w:themeColor="text1"/>
          <w:u w:val="single"/>
          <w:shd w:val="clear" w:color="auto" w:fill="ffffff"/>
          <w14:textFill>
            <w14:solidFill>
              <w14:schemeClr w14:val="tx1"/>
            </w14:solidFill>
          </w14:textFill>
        </w:rPr>
        <w:t xml:space="preserve">（产品名称1两连体双层床）</w:t>
      </w:r>
      <w:r>
        <w:rPr>
          <w:rStyle w:val="1008"/>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1008"/>
          <w:rFonts w:hint="eastAsia"/>
          <w:color w:val="000000" w:themeColor="text1"/>
          <w:u w:val="single"/>
          <w:shd w:val="clear" w:color="auto" w:fill="ffffff"/>
          <w14:textFill>
            <w14:solidFill>
              <w14:schemeClr w14:val="tx1"/>
            </w14:solidFill>
          </w14:textFill>
        </w:rPr>
        <w:t xml:space="preserve">（厂名）</w:t>
      </w:r>
      <w:r>
        <w:rPr>
          <w:rStyle w:val="1008"/>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1008"/>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998"/>
        <w:ind w:firstLine="420"/>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1008"/>
          <w:rFonts w:hint="eastAsia"/>
          <w:color w:val="000000" w:themeColor="text1"/>
          <w:u w:val="single"/>
          <w:shd w:val="clear" w:color="auto" w:fill="ffffff"/>
          <w14:textFill>
            <w14:solidFill>
              <w14:schemeClr w14:val="tx1"/>
            </w14:solidFill>
          </w14:textFill>
        </w:rPr>
        <w:t xml:space="preserve">（产品名称2书桌）</w:t>
      </w:r>
      <w:r>
        <w:rPr>
          <w:rFonts w:hint="eastAsia"/>
          <w:color w:val="000000" w:themeColor="text1"/>
          <w:shd w:val="clear" w:color="auto" w:fill="ffffff"/>
          <w14:textFill>
            <w14:solidFill>
              <w14:schemeClr w14:val="tx1"/>
            </w14:solidFill>
          </w14:textFill>
        </w:rPr>
        <w:t xml:space="preserve">，生产厂为</w:t>
      </w:r>
      <w:r>
        <w:rPr>
          <w:rStyle w:val="1008"/>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1008"/>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在中国境内生产。</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在中国境内完成。</w:t>
      </w:r>
      <w:r/>
    </w:p>
    <w:p>
      <w:pPr>
        <w:pStyle w:val="998"/>
        <w:ind w:firstLine="420"/>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w:t>
      </w:r>
      <w:r>
        <w:rPr>
          <w:rStyle w:val="1008"/>
          <w:rFonts w:hint="eastAsia"/>
          <w:color w:val="000000" w:themeColor="text1"/>
          <w:u w:val="single"/>
          <w:shd w:val="clear" w:color="auto" w:fill="ffffff"/>
          <w14:textFill>
            <w14:solidFill>
              <w14:schemeClr w14:val="tx1"/>
            </w14:solidFill>
          </w14:textFill>
        </w:rPr>
        <w:t xml:space="preserve">（产品名称3公寓椅）</w:t>
      </w:r>
      <w:r>
        <w:rPr>
          <w:rFonts w:hint="eastAsia"/>
          <w:color w:val="000000" w:themeColor="text1"/>
          <w:shd w:val="clear" w:color="auto" w:fill="ffffff"/>
          <w14:textFill>
            <w14:solidFill>
              <w14:schemeClr w14:val="tx1"/>
            </w14:solidFill>
          </w14:textFill>
        </w:rPr>
        <w:t xml:space="preserve">，生产厂为</w:t>
      </w:r>
      <w:r>
        <w:rPr>
          <w:rStyle w:val="1008"/>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1008"/>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在中国境内生产。</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在中国境内完成。</w:t>
      </w:r>
      <w:r/>
    </w:p>
    <w:p>
      <w:pPr>
        <w:pStyle w:val="998"/>
        <w:ind w:firstLine="420"/>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w:t>
      </w:r>
      <w:r/>
    </w:p>
    <w:p>
      <w:pPr>
        <w:pStyle w:val="998"/>
        <w:ind w:firstLine="420"/>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98"/>
        <w:spacing w:before="30" w:beforeAutospacing="0" w:after="3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998"/>
        <w:jc w:val="right"/>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公司（单位）名称（加盖CA电子公章）：　        </w:t>
      </w:r>
      <w:r/>
    </w:p>
    <w:p>
      <w:pPr>
        <w:pStyle w:val="998"/>
        <w:jc w:val="center"/>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r/>
    </w:p>
    <w:p>
      <w:pPr>
        <w:pStyle w:val="998"/>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_______________</w:t>
      </w:r>
      <w:r/>
    </w:p>
    <w:p>
      <w:pPr>
        <w:pStyle w:val="998"/>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1.产品如有型号，请在“产品名称”栏一并填写。</w:t>
      </w:r>
      <w:r/>
    </w:p>
    <w:p>
      <w:pPr>
        <w:pStyle w:val="998"/>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2.生产厂名与厂址应与生产厂营业执照载明的相关信息保持一致。</w:t>
      </w:r>
      <w:r/>
    </w:p>
    <w:p>
      <w:pPr>
        <w:pStyle w:val="998"/>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3.该产品的中国境内生产的组件成本占比相关要求实施前，“规定比例”栏可不填，下同。</w:t>
      </w:r>
      <w:r/>
    </w:p>
    <w:p>
      <w:pPr>
        <w:pStyle w:val="998"/>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4.该产品的关键组件要求实施前，“关键组件”栏可不填，下同。</w:t>
      </w:r>
      <w:r/>
    </w:p>
    <w:p>
      <w:pPr>
        <w:pStyle w:val="998"/>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5.该产品的关键工序要求实施前，“关键工序”栏可不填，下同。</w:t>
      </w:r>
      <w:r/>
    </w:p>
    <w:p>
      <w:pPr>
        <w:pStyle w:val="998"/>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6.《声明函》中标注“</w:t>
      </w:r>
      <w:r>
        <w:rPr>
          <w:rFonts w:hint="eastAsia"/>
          <w:color w:val="000000" w:themeColor="text1"/>
          <w:u w:val="single"/>
          <w:shd w:val="clear" w:color="auto" w:fill="ffffff"/>
          <w14:textFill>
            <w14:solidFill>
              <w14:schemeClr w14:val="tx1"/>
            </w14:solidFill>
          </w14:textFill>
        </w:rPr>
        <w:t xml:space="preserve">  </w:t>
      </w:r>
      <w:r>
        <w:rPr>
          <w:rStyle w:val="1008"/>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”的地方无需填写。</w:t>
      </w:r>
      <w:r/>
    </w:p>
    <w:p>
      <w:r/>
      <w:r/>
    </w:p>
    <w:p>
      <w:pPr>
        <w:rPr>
          <w:rFonts w:ascii="宋体" w:hAnsi="宋体" w:cs="宋体"/>
          <w:b w:val="0"/>
          <w:bCs/>
        </w:rPr>
      </w:pPr>
      <w:r>
        <w:rPr>
          <w:rFonts w:ascii="宋体" w:hAnsi="宋体" w:cs="宋体"/>
          <w:b w:val="0"/>
          <w:bCs/>
        </w:rPr>
      </w:r>
      <w:r/>
    </w:p>
    <w:p>
      <w:pPr>
        <w:spacing w:line="360" w:lineRule="auto"/>
        <w:rPr>
          <w:rFonts w:hint="eastAsia" w:ascii="宋体" w:hAnsi="宋体" w:cs="宋体"/>
          <w:b w:val="0"/>
          <w:bCs/>
        </w:rPr>
      </w:pPr>
      <w:r>
        <w:rPr>
          <w:rFonts w:hint="eastAsia" w:ascii="宋体" w:hAnsi="宋体" w:cs="宋体"/>
          <w:b w:val="0"/>
          <w:bCs/>
        </w:rPr>
        <w:t xml:space="preserve">采购本国产品的支持政策</w:t>
      </w:r>
      <w:r/>
    </w:p>
    <w:p>
      <w:pPr>
        <w:ind w:firstLine="630"/>
        <w:spacing w:line="360" w:lineRule="auto"/>
        <w:rPr>
          <w:rFonts w:hint="eastAsia" w:ascii="宋体" w:hAnsi="宋体" w:cs="宋体"/>
          <w:b w:val="0"/>
          <w:bCs/>
        </w:rPr>
      </w:pPr>
      <w:r>
        <w:rPr>
          <w:rFonts w:hint="eastAsia" w:ascii="宋体" w:hAnsi="宋体" w:cs="宋体"/>
          <w:b w:val="0"/>
          <w:bCs/>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b w:val="0"/>
          <w:bCs/>
        </w:rPr>
      </w:pPr>
      <w:r>
        <w:rPr>
          <w:rFonts w:hint="eastAsia" w:ascii="宋体" w:hAnsi="宋体" w:cs="宋体"/>
          <w:b w:val="0"/>
          <w:bC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0"/>
        <w:spacing w:line="360" w:lineRule="auto"/>
        <w:rPr>
          <w:rFonts w:hint="eastAsia" w:ascii="宋体" w:hAnsi="宋体" w:cs="宋体"/>
          <w:b w:val="0"/>
          <w:bCs/>
        </w:rPr>
      </w:pPr>
      <w:r>
        <w:rPr>
          <w:rFonts w:hint="eastAsia" w:ascii="宋体" w:hAnsi="宋体" w:cs="宋体"/>
          <w:b w:val="0"/>
          <w:bCs/>
        </w:rPr>
        <w:t xml:space="preserve">（3）供应商需按照招标文件的要求提供《关于符合本国产品标准的声明函》（以下简称《声明函》），如不提供将不享受本国产品价格评审优惠。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b w:val="0"/>
          <w:bCs/>
        </w:rPr>
      </w:pPr>
      <w:r>
        <w:rPr>
          <w:rFonts w:hint="eastAsia" w:ascii="宋体" w:hAnsi="宋体" w:cs="宋体"/>
          <w:b w:val="0"/>
          <w:bCs/>
        </w:rPr>
        <w:t xml:space="preserve">（4）供应商需在《声明函》中逐一、准确填写产品名称、厂名、生产厂址三项信息（《声明函》中标注“/ ”的地方无需填写）。</w:t>
      </w:r>
      <w:r/>
    </w:p>
    <w:p>
      <w:pPr>
        <w:ind w:firstLine="630"/>
        <w:spacing w:line="360" w:lineRule="auto"/>
        <w:rPr>
          <w:rStyle w:val="1005"/>
          <w:rFonts w:ascii="宋体" w:hAnsi="宋体" w:cs="宋体"/>
          <w:b w:val="0"/>
          <w:bCs/>
          <w:color w:val="333333"/>
          <w:szCs w:val="21"/>
          <w:shd w:val="clear" w:color="auto" w:fill="ffffff"/>
        </w:rPr>
      </w:pPr>
      <w:r>
        <w:rPr>
          <w:rFonts w:hint="eastAsia" w:ascii="宋体" w:hAnsi="宋体" w:cs="宋体"/>
          <w:b w:val="0"/>
          <w:bC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szCs w:val="21"/>
          <w:lang w:val="zh-CN"/>
        </w:rPr>
      </w:pPr>
      <w:r>
        <w:rPr>
          <w:rFonts w:hint="eastAsia" w:ascii="宋体" w:hAnsi="宋体" w:cs="宋体"/>
          <w:b/>
          <w:szCs w:val="21"/>
          <w:lang w:val="zh-CN"/>
        </w:rPr>
        <w:br w:type="page" w:clear="all"/>
      </w:r>
      <w:r/>
    </w:p>
    <w:p>
      <w:pPr>
        <w:pStyle w:val="998"/>
        <w:jc w:val="center"/>
        <w:spacing w:before="30" w:beforeAutospacing="0" w:after="30" w:afterAutospacing="0"/>
        <w:shd w:val="clear" w:color="auto" w:fill="ffffff"/>
        <w:rPr>
          <w:rStyle w:val="1005"/>
          <w:sz w:val="36"/>
          <w:szCs w:val="36"/>
        </w:rPr>
      </w:pPr>
      <w:r>
        <w:rPr>
          <w:rStyle w:val="1005"/>
          <w:rFonts w:hint="eastAsia"/>
          <w:sz w:val="36"/>
          <w:szCs w:val="36"/>
        </w:rPr>
        <w:t xml:space="preserve">产品成本占比承诺函</w:t>
      </w:r>
      <w:r/>
    </w:p>
    <w:p>
      <w:pPr>
        <w:pStyle w:val="998"/>
        <w:spacing w:before="30" w:beforeAutospacing="0" w:after="30" w:afterAutospacing="0"/>
        <w:shd w:val="clear" w:color="auto" w:fill="ffffff"/>
        <w:rPr>
          <w:rStyle w:val="1005"/>
          <w:sz w:val="36"/>
          <w:szCs w:val="36"/>
        </w:rPr>
      </w:pPr>
      <w:r>
        <w:rPr>
          <w:sz w:val="36"/>
          <w:szCs w:val="36"/>
        </w:rPr>
      </w:r>
      <w:r/>
    </w:p>
    <w:p>
      <w:pPr>
        <w:ind w:firstLine="480"/>
        <w:jc w:val="left"/>
        <w:spacing w:line="360" w:lineRule="auto"/>
        <w:widowControl/>
        <w:rPr>
          <w:color w:val="333333"/>
          <w:sz w:val="24"/>
          <w:shd w:val="clear" w:color="auto" w:fill="ffffff"/>
        </w:rPr>
      </w:pPr>
      <w:r>
        <w:rPr>
          <w:rFonts w:hint="eastAsia"/>
          <w:color w:val="333333"/>
          <w:sz w:val="24"/>
          <w:shd w:val="clear" w:color="auto" w:fill="ffffff"/>
        </w:rPr>
        <w:t xml:space="preserve">我公司（单位）郑重承诺，我公司已阅读并理解《国务院办公厅关于在政府采购中实施本国产品标准及相关政策的通知》（国办发〔</w:t>
      </w:r>
      <w:r>
        <w:rPr>
          <w:color w:val="333333"/>
          <w:sz w:val="24"/>
          <w:shd w:val="clear" w:color="auto" w:fill="ffffff"/>
        </w:rPr>
        <w:t xml:space="preserve">2025</w:t>
      </w:r>
      <w:r>
        <w:rPr>
          <w:rFonts w:hint="eastAsia"/>
          <w:color w:val="333333"/>
          <w:sz w:val="24"/>
          <w:shd w:val="clear" w:color="auto" w:fill="ffffff"/>
        </w:rPr>
        <w:t xml:space="preserve">〕</w:t>
      </w:r>
      <w:r>
        <w:rPr>
          <w:color w:val="333333"/>
          <w:sz w:val="24"/>
          <w:shd w:val="clear" w:color="auto" w:fill="ffffff"/>
        </w:rPr>
        <w:t xml:space="preserve">34</w:t>
      </w:r>
      <w:r>
        <w:rPr>
          <w:rFonts w:hint="eastAsia"/>
          <w:color w:val="333333"/>
          <w:sz w:val="24"/>
          <w:shd w:val="clear" w:color="auto" w:fill="ffffff"/>
        </w:rPr>
        <w:t xml:space="preserve">号）的规定。据此承诺如下：</w:t>
      </w:r>
      <w:r/>
    </w:p>
    <w:p>
      <w:pPr>
        <w:ind w:firstLine="480"/>
        <w:jc w:val="left"/>
        <w:spacing w:line="360" w:lineRule="auto"/>
        <w:widowControl/>
        <w:rPr>
          <w:spacing w:val="6"/>
          <w:sz w:val="24"/>
        </w:rPr>
      </w:pPr>
      <w:r>
        <w:rPr>
          <w:rFonts w:hint="eastAsia"/>
          <w:color w:val="333333"/>
          <w:sz w:val="24"/>
          <w:shd w:val="clear" w:color="auto" w:fill="ffffff"/>
        </w:rPr>
        <w:t xml:space="preserve">为本采购项目或者采购包提供的符合本国产品标准的产品成本之和占提供的全部产品成本之和的比例为</w:t>
      </w:r>
      <w:r>
        <w:rPr>
          <w:spacing w:val="6"/>
          <w:sz w:val="24"/>
        </w:rPr>
        <w:t xml:space="preserve">______%</w:t>
      </w:r>
      <w:r>
        <w:rPr>
          <w:rFonts w:hint="eastAsia"/>
          <w:spacing w:val="6"/>
          <w:sz w:val="24"/>
        </w:rPr>
        <w:t xml:space="preserve">。</w:t>
      </w:r>
      <w:r/>
    </w:p>
    <w:p>
      <w:pPr>
        <w:ind w:firstLine="480"/>
        <w:jc w:val="left"/>
        <w:spacing w:line="360" w:lineRule="auto"/>
        <w:widowControl/>
        <w:rPr>
          <w:color w:val="000000"/>
          <w:sz w:val="24"/>
        </w:rPr>
      </w:pPr>
      <w:r>
        <w:rPr>
          <w:color w:val="000000"/>
          <w:sz w:val="24"/>
        </w:rPr>
      </w:r>
      <w:r/>
    </w:p>
    <w:p>
      <w:pPr>
        <w:pStyle w:val="998"/>
        <w:jc w:val="right"/>
        <w:spacing w:before="0" w:beforeAutospacing="0" w:after="0" w:afterAutospacing="0" w:line="360" w:lineRule="auto"/>
        <w:shd w:val="clear" w:color="auto" w:fill="ffffff"/>
        <w:rPr>
          <w:color w:val="333333"/>
        </w:rPr>
      </w:pPr>
      <w:r>
        <w:rPr>
          <w:rFonts w:hint="eastAsia"/>
          <w:color w:val="333333"/>
          <w:shd w:val="clear" w:color="auto" w:fill="ffffff"/>
        </w:rPr>
        <w:t xml:space="preserve">公司（单位）名称（盖章）：　        </w:t>
      </w:r>
      <w:r/>
    </w:p>
    <w:p>
      <w:pPr>
        <w:jc w:val="left"/>
        <w:spacing w:line="360" w:lineRule="auto"/>
        <w:rPr>
          <w:rFonts w:ascii="宋体" w:hAnsi="宋体" w:cs="宋体"/>
          <w:b/>
        </w:rPr>
      </w:pPr>
      <w:r>
        <w:rPr>
          <w:rFonts w:hint="eastAsia"/>
          <w:color w:val="333333"/>
          <w:sz w:val="24"/>
          <w:shd w:val="clear" w:color="auto" w:fill="ffffff"/>
        </w:rPr>
        <w:t xml:space="preserve">日期：　     </w:t>
      </w:r>
      <w:r>
        <w:rPr>
          <w:rFonts w:hint="eastAsia" w:ascii="宋体" w:hAnsi="宋体" w:cs="宋体"/>
          <w:color w:val="333333"/>
          <w:sz w:val="24"/>
          <w:shd w:val="clear" w:color="auto" w:fill="ffffff"/>
        </w:rPr>
        <w:t xml:space="preserve">年　</w:t>
      </w:r>
      <w:r>
        <w:rPr>
          <w:rFonts w:hint="eastAsia"/>
          <w:color w:val="333333"/>
          <w:sz w:val="24"/>
          <w:shd w:val="clear" w:color="auto" w:fill="ffffff"/>
        </w:rPr>
        <w:t xml:space="preserve">  </w:t>
      </w:r>
      <w:r>
        <w:rPr>
          <w:rFonts w:hint="eastAsia" w:ascii="宋体" w:hAnsi="宋体" w:cs="宋体"/>
          <w:color w:val="333333"/>
          <w:sz w:val="24"/>
          <w:shd w:val="clear" w:color="auto" w:fill="ffffff"/>
        </w:rPr>
        <w:t xml:space="preserve">月　</w:t>
      </w:r>
      <w:r>
        <w:rPr>
          <w:rFonts w:hint="eastAsia"/>
          <w:color w:val="333333"/>
          <w:sz w:val="24"/>
          <w:shd w:val="clear" w:color="auto" w:fill="ffffff"/>
        </w:rPr>
        <w:t xml:space="preserve">  </w:t>
      </w:r>
      <w:r>
        <w:rPr>
          <w:rFonts w:hint="eastAsia" w:ascii="宋体" w:hAnsi="宋体" w:cs="宋体"/>
          <w:color w:val="333333"/>
          <w:sz w:val="24"/>
          <w:shd w:val="clear" w:color="auto" w:fill="ffffff"/>
        </w:rPr>
        <w:t xml:space="preserve">日</w:t>
      </w:r>
      <w:r>
        <w:rPr>
          <w:rFonts w:hint="eastAsia"/>
          <w:color w:val="333333"/>
          <w:sz w:val="24"/>
          <w:shd w:val="clear" w:color="auto" w:fill="ffffff"/>
        </w:rPr>
        <w:t xml:space="preserve">    </w:t>
      </w:r>
      <w:r>
        <w:rPr>
          <w:rFonts w:hint="eastAsia" w:ascii="宋体" w:hAnsi="宋体" w:cs="宋体"/>
          <w:b/>
          <w:szCs w:val="21"/>
          <w:lang w:val="zh-CN"/>
        </w:rPr>
        <w:br w:type="page" w:clear="all"/>
      </w:r>
      <w:r>
        <w:rPr>
          <w:rFonts w:hint="eastAsia" w:ascii="宋体" w:hAnsi="宋体" w:cs="宋体"/>
          <w:b/>
        </w:rPr>
        <w:t xml:space="preserve">附件十二、无重大违法记录声明格式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p>
    <w:p>
      <w:pPr>
        <w:ind w:firstLine="5040"/>
        <w:spacing w:line="360" w:lineRule="auto"/>
        <w:rPr>
          <w:rFonts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ascii="宋体" w:hAnsi="宋体" w:cs="宋体"/>
          <w:b/>
        </w:rPr>
      </w:pPr>
      <w:r>
        <w:rPr>
          <w:rFonts w:hint="eastAsia" w:ascii="宋体" w:hAnsi="宋体" w:cs="宋体"/>
          <w:b/>
        </w:rPr>
        <w:t xml:space="preserve">附件十三、资格资信证明文件</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附件十四、联合体协议及联合体授权委托书（如允许联合体、格式自拟）</w:t>
      </w:r>
      <w:r/>
    </w:p>
    <w:p>
      <w:pPr>
        <w:pStyle w:val="1231"/>
      </w:pPr>
      <w:r/>
      <w:r/>
    </w:p>
    <w:p>
      <w:pPr>
        <w:spacing w:line="360" w:lineRule="auto"/>
        <w:rPr>
          <w:rFonts w:ascii="宋体" w:hAnsi="宋体" w:cs="宋体"/>
          <w:b/>
        </w:rPr>
      </w:pPr>
      <w:r>
        <w:rPr>
          <w:rFonts w:ascii="宋体" w:hAnsi="宋体" w:cs="宋体"/>
          <w:b/>
        </w:rPr>
      </w:r>
      <w:r/>
    </w:p>
    <w:p>
      <w:pPr>
        <w:pStyle w:val="1231"/>
        <w:ind w:firstLine="0"/>
        <w:jc w:val="left"/>
        <w:spacing w:line="360" w:lineRule="auto"/>
        <w:rPr>
          <w:rFonts w:ascii="宋体" w:hAnsi="宋体" w:cs="宋体"/>
          <w:b/>
        </w:rPr>
      </w:pPr>
      <w:r>
        <w:rPr>
          <w:rFonts w:ascii="宋体" w:hAnsi="宋体" w:cs="宋体"/>
          <w:b/>
        </w:rPr>
      </w:r>
      <w:r/>
    </w:p>
    <w:p>
      <w:pPr>
        <w:pStyle w:val="1231"/>
        <w:ind w:firstLine="0"/>
        <w:jc w:val="left"/>
        <w:spacing w:line="360" w:lineRule="auto"/>
        <w:rPr>
          <w:rFonts w:ascii="宋体" w:hAnsi="宋体" w:cs="宋体"/>
          <w:b/>
        </w:rPr>
      </w:pPr>
      <w:r>
        <w:rPr>
          <w:rFonts w:hint="eastAsia" w:ascii="宋体" w:hAnsi="宋体" w:cs="宋体"/>
          <w:b/>
        </w:rPr>
        <w:t xml:space="preserve">附件十五、投标人需要提供的其他材料</w:t>
      </w:r>
      <w:r/>
    </w:p>
    <w:p>
      <w:pPr>
        <w:pStyle w:val="976"/>
        <w:rPr>
          <w:rFonts w:ascii="宋体" w:hAnsi="宋体" w:cs="宋体"/>
          <w:b/>
        </w:rPr>
      </w:pPr>
      <w:r>
        <w:rPr>
          <w:rFonts w:ascii="宋体" w:hAnsi="宋体" w:cs="宋体"/>
          <w:b/>
        </w:rPr>
      </w:r>
      <w:r/>
    </w:p>
    <w:p>
      <w:pPr>
        <w:ind w:firstLine="420"/>
        <w:jc w:val="left"/>
        <w:spacing w:line="500" w:lineRule="exact"/>
        <w:rPr>
          <w:rFonts w:hint="eastAsia" w:ascii="宋体" w:hAnsi="宋体"/>
          <w:szCs w:val="21"/>
          <w:lang w:val="en-US" w:eastAsia="zh-CN"/>
        </w:rPr>
      </w:pPr>
      <w:r>
        <w:rPr>
          <w:rFonts w:hint="eastAsia" w:ascii="宋体" w:hAnsi="宋体"/>
          <w:szCs w:val="21"/>
          <w:lang w:eastAsia="zh-CN"/>
        </w:rPr>
        <w:t xml:space="preserve">我</w:t>
      </w:r>
      <w:r>
        <w:rPr>
          <w:rFonts w:hint="eastAsia" w:ascii="宋体" w:hAnsi="宋体"/>
          <w:szCs w:val="21"/>
          <w:lang w:val="en-US" w:eastAsia="zh-CN"/>
        </w:rPr>
        <w:t xml:space="preserve">单位承诺：</w:t>
      </w:r>
      <w:r/>
    </w:p>
    <w:p>
      <w:pPr>
        <w:ind w:firstLine="420"/>
        <w:jc w:val="left"/>
        <w:spacing w:line="500" w:lineRule="exact"/>
        <w:rPr>
          <w:rFonts w:hint="eastAsia" w:ascii="宋体" w:hAnsi="宋体"/>
          <w:szCs w:val="21"/>
        </w:rPr>
      </w:pPr>
      <w:r>
        <w:rPr>
          <w:rFonts w:hint="eastAsia" w:ascii="宋体" w:hAnsi="宋体"/>
          <w:szCs w:val="21"/>
        </w:rPr>
        <w:t xml:space="preserve">供货期：合同签订生效后40天内将家具运抵采购人实地现场并完成安装。同时，所有家具必须根据采购人要求完成安装加固、调试、检测，直至验收合格，交付采购人使用。</w:t>
      </w:r>
      <w:r/>
    </w:p>
    <w:p>
      <w:pPr>
        <w:ind w:firstLine="420"/>
        <w:jc w:val="left"/>
        <w:spacing w:line="500" w:lineRule="exact"/>
        <w:rPr>
          <w:rFonts w:ascii="宋体" w:hAnsi="宋体"/>
          <w:szCs w:val="21"/>
        </w:rPr>
      </w:pPr>
      <w:r>
        <w:rPr>
          <w:rFonts w:hint="eastAsia" w:ascii="宋体" w:hAnsi="宋体" w:cs="宋体"/>
          <w:b w:val="0"/>
          <w:bCs/>
          <w:color w:val="000000" w:themeColor="text1"/>
          <w:szCs w:val="21"/>
          <w:highlight w:val="none"/>
          <w14:textFill>
            <w14:solidFill>
              <w14:schemeClr w14:val="tx1"/>
            </w14:solidFill>
          </w14:textFill>
        </w:rPr>
        <w:t xml:space="preserve">承诺以下内容：“为所供产品提供终身维护服务及不低于8年原厂免费质保服务（国家有相关质保规定优于本合同约定质保期的按国家相关规定执行）。在质保期内，一旦发生质量问题，中标供应商保证在接到通知后的6小时内进行响应，并在1</w:t>
      </w:r>
      <w:r>
        <w:rPr>
          <w:rFonts w:hint="eastAsia" w:ascii="宋体" w:hAnsi="宋体" w:eastAsia="宋体" w:cs="宋体"/>
          <w:b w:val="0"/>
          <w:bCs/>
          <w:color w:val="000000" w:themeColor="text1"/>
          <w:szCs w:val="21"/>
          <w:highlight w:val="none"/>
          <w14:textFill>
            <w14:solidFill>
              <w14:schemeClr w14:val="tx1"/>
            </w14:solidFill>
          </w14:textFill>
        </w:rPr>
        <w:t xml:space="preserve">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w:t>
      </w:r>
      <w:r/>
    </w:p>
    <w:p>
      <w:pPr>
        <w:ind w:firstLine="5103"/>
        <w:spacing w:line="360" w:lineRule="auto"/>
        <w:rPr>
          <w:rFonts w:hint="eastAsia" w:ascii="宋体" w:hAnsi="宋体" w:cs="宋体"/>
        </w:rPr>
      </w:pPr>
      <w:r>
        <w:rPr>
          <w:rFonts w:hint="eastAsia" w:ascii="宋体" w:hAnsi="宋体" w:cs="宋体"/>
        </w:rPr>
      </w:r>
      <w:r/>
    </w:p>
    <w:p>
      <w:pPr>
        <w:ind w:firstLine="5103"/>
        <w:jc w:val="right"/>
        <w:spacing w:line="360" w:lineRule="auto"/>
        <w:rPr>
          <w:rFonts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p>
    <w:p>
      <w:pPr>
        <w:jc w:val="right"/>
      </w:pPr>
      <w:r>
        <w:rPr>
          <w:rFonts w:hint="eastAsia" w:ascii="宋体" w:hAnsi="宋体" w:cs="宋体"/>
          <w:szCs w:val="21"/>
          <w:lang w:val="zh-CN"/>
        </w:rPr>
        <w:t xml:space="preserve">日期：年月</w:t>
      </w:r>
      <w:r/>
    </w:p>
    <w:sectPr>
      <w:headerReference w:type="default" r:id="rId9"/>
      <w:footerReference w:type="default" r:id="rId12"/>
      <w:footerReference w:type="first" r:id="rId13"/>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59"/>
      <w:isLgl w:val="false"/>
      <w:suff w:val="nothing"/>
      <w:lvlText w:val="第%1章"/>
      <w:lvlJc w:val="left"/>
      <w:pPr>
        <w:ind w:left="0" w:firstLine="0"/>
      </w:pPr>
    </w:lvl>
    <w:lvl w:ilvl="1">
      <w:start w:val="1"/>
      <w:numFmt w:val="none"/>
      <w:pStyle w:val="960"/>
      <w:isLgl w:val="false"/>
      <w:suff w:val="nothing"/>
      <w:lvlText w:val=""/>
      <w:lvlJc w:val="left"/>
      <w:pPr>
        <w:ind w:left="0" w:firstLine="0"/>
      </w:pPr>
    </w:lvl>
    <w:lvl w:ilvl="2">
      <w:start w:val="1"/>
      <w:numFmt w:val="none"/>
      <w:pStyle w:val="961"/>
      <w:isLgl w:val="false"/>
      <w:suff w:val="nothing"/>
      <w:lvlText w:val=""/>
      <w:lvlJc w:val="left"/>
      <w:pPr>
        <w:ind w:left="0" w:firstLine="0"/>
      </w:pPr>
    </w:lvl>
    <w:lvl w:ilvl="3">
      <w:start w:val="1"/>
      <w:numFmt w:val="none"/>
      <w:pStyle w:val="962"/>
      <w:isLgl w:val="false"/>
      <w:suff w:val="nothing"/>
      <w:lvlText w:val=""/>
      <w:lvlJc w:val="left"/>
      <w:pPr>
        <w:ind w:left="0" w:firstLine="0"/>
      </w:pPr>
    </w:lvl>
    <w:lvl w:ilvl="4">
      <w:start w:val="1"/>
      <w:numFmt w:val="none"/>
      <w:pStyle w:val="963"/>
      <w:isLgl w:val="false"/>
      <w:suff w:val="nothing"/>
      <w:lvlText w:val=""/>
      <w:lvlJc w:val="left"/>
      <w:pPr>
        <w:ind w:left="0" w:firstLine="0"/>
      </w:pPr>
    </w:lvl>
    <w:lvl w:ilvl="5">
      <w:start w:val="1"/>
      <w:numFmt w:val="none"/>
      <w:pStyle w:val="964"/>
      <w:isLgl w:val="false"/>
      <w:suff w:val="nothing"/>
      <w:lvlText w:val=""/>
      <w:lvlJc w:val="left"/>
      <w:pPr>
        <w:ind w:left="0" w:firstLine="0"/>
      </w:pPr>
    </w:lvl>
    <w:lvl w:ilvl="6">
      <w:start w:val="1"/>
      <w:numFmt w:val="none"/>
      <w:pStyle w:val="965"/>
      <w:isLgl w:val="false"/>
      <w:suff w:val="nothing"/>
      <w:lvlText w:val=""/>
      <w:lvlJc w:val="left"/>
      <w:pPr>
        <w:ind w:left="0" w:firstLine="0"/>
      </w:pPr>
    </w:lvl>
    <w:lvl w:ilvl="7">
      <w:start w:val="1"/>
      <w:numFmt w:val="none"/>
      <w:pStyle w:val="966"/>
      <w:isLgl w:val="false"/>
      <w:suff w:val="nothing"/>
      <w:lvlText w:val=""/>
      <w:lvlJc w:val="left"/>
      <w:pPr>
        <w:ind w:left="0" w:firstLine="0"/>
      </w:pPr>
    </w:lvl>
    <w:lvl w:ilvl="8">
      <w:start w:val="1"/>
      <w:numFmt w:val="none"/>
      <w:pStyle w:val="967"/>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chineseCountingThousand"/>
      <w:pStyle w:val="110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28"/>
      <w:isLgl/>
      <w:suff w:val="tab"/>
      <w:lvlText w:val="%1.%2"/>
      <w:lvlJc w:val="left"/>
      <w:pPr>
        <w:ind w:left="425" w:hanging="425"/>
      </w:pPr>
      <w:rPr>
        <w:rFonts w:hint="eastAsia" w:ascii="Arial Unicode MS" w:hAnsi="Arial Unicode MS" w:eastAsia="微软雅黑"/>
        <w:b/>
        <w:i w:val="0"/>
      </w:rPr>
    </w:lvl>
    <w:lvl w:ilvl="2">
      <w:start w:val="1"/>
      <w:numFmt w:val="decimal"/>
      <w:pStyle w:val="114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7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5"/>
  </w:num>
  <w:num w:numId="4">
    <w:abstractNumId w:val="10"/>
  </w:num>
  <w:num w:numId="5">
    <w:abstractNumId w:val="4"/>
  </w:num>
  <w:num w:numId="6">
    <w:abstractNumId w:val="6"/>
  </w:num>
  <w:num w:numId="7">
    <w:abstractNumId w:val="1"/>
  </w:num>
  <w:num w:numId="8">
    <w:abstractNumId w:val="2"/>
  </w:num>
  <w:num w:numId="9">
    <w:abstractNumId w:val="7"/>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68"/>
    <w:link w:val="959"/>
    <w:uiPriority w:val="9"/>
    <w:rPr>
      <w:rFonts w:ascii="Arial" w:hAnsi="Arial" w:eastAsia="Arial" w:cs="Arial"/>
      <w:sz w:val="40"/>
      <w:szCs w:val="40"/>
    </w:rPr>
  </w:style>
  <w:style w:type="character" w:styleId="807">
    <w:name w:val="Heading 2 Char"/>
    <w:basedOn w:val="968"/>
    <w:link w:val="960"/>
    <w:uiPriority w:val="9"/>
    <w:rPr>
      <w:rFonts w:ascii="Arial" w:hAnsi="Arial" w:eastAsia="Arial" w:cs="Arial"/>
      <w:sz w:val="34"/>
    </w:rPr>
  </w:style>
  <w:style w:type="character" w:styleId="808">
    <w:name w:val="Heading 3 Char"/>
    <w:basedOn w:val="968"/>
    <w:link w:val="961"/>
    <w:uiPriority w:val="9"/>
    <w:rPr>
      <w:rFonts w:ascii="Arial" w:hAnsi="Arial" w:eastAsia="Arial" w:cs="Arial"/>
      <w:sz w:val="30"/>
      <w:szCs w:val="30"/>
    </w:rPr>
  </w:style>
  <w:style w:type="character" w:styleId="809">
    <w:name w:val="Heading 4 Char"/>
    <w:basedOn w:val="968"/>
    <w:link w:val="962"/>
    <w:uiPriority w:val="9"/>
    <w:rPr>
      <w:rFonts w:ascii="Arial" w:hAnsi="Arial" w:eastAsia="Arial" w:cs="Arial"/>
      <w:b/>
      <w:bCs/>
      <w:sz w:val="26"/>
      <w:szCs w:val="26"/>
    </w:rPr>
  </w:style>
  <w:style w:type="character" w:styleId="810">
    <w:name w:val="Heading 5 Char"/>
    <w:basedOn w:val="968"/>
    <w:link w:val="963"/>
    <w:uiPriority w:val="9"/>
    <w:rPr>
      <w:rFonts w:ascii="Arial" w:hAnsi="Arial" w:eastAsia="Arial" w:cs="Arial"/>
      <w:b/>
      <w:bCs/>
      <w:sz w:val="24"/>
      <w:szCs w:val="24"/>
    </w:rPr>
  </w:style>
  <w:style w:type="character" w:styleId="811">
    <w:name w:val="Heading 6 Char"/>
    <w:basedOn w:val="968"/>
    <w:link w:val="964"/>
    <w:uiPriority w:val="9"/>
    <w:rPr>
      <w:rFonts w:ascii="Arial" w:hAnsi="Arial" w:eastAsia="Arial" w:cs="Arial"/>
      <w:b/>
      <w:bCs/>
      <w:sz w:val="22"/>
      <w:szCs w:val="22"/>
    </w:rPr>
  </w:style>
  <w:style w:type="character" w:styleId="812">
    <w:name w:val="Heading 7 Char"/>
    <w:basedOn w:val="968"/>
    <w:link w:val="965"/>
    <w:uiPriority w:val="9"/>
    <w:rPr>
      <w:rFonts w:ascii="Arial" w:hAnsi="Arial" w:eastAsia="Arial" w:cs="Arial"/>
      <w:b/>
      <w:bCs/>
      <w:i/>
      <w:iCs/>
      <w:sz w:val="22"/>
      <w:szCs w:val="22"/>
    </w:rPr>
  </w:style>
  <w:style w:type="character" w:styleId="813">
    <w:name w:val="Heading 8 Char"/>
    <w:basedOn w:val="968"/>
    <w:link w:val="966"/>
    <w:uiPriority w:val="9"/>
    <w:rPr>
      <w:rFonts w:ascii="Arial" w:hAnsi="Arial" w:eastAsia="Arial" w:cs="Arial"/>
      <w:i/>
      <w:iCs/>
      <w:sz w:val="22"/>
      <w:szCs w:val="22"/>
    </w:rPr>
  </w:style>
  <w:style w:type="character" w:styleId="814">
    <w:name w:val="Heading 9 Char"/>
    <w:basedOn w:val="968"/>
    <w:link w:val="967"/>
    <w:uiPriority w:val="9"/>
    <w:rPr>
      <w:rFonts w:ascii="Arial" w:hAnsi="Arial" w:eastAsia="Arial" w:cs="Arial"/>
      <w:i/>
      <w:iCs/>
      <w:sz w:val="21"/>
      <w:szCs w:val="21"/>
    </w:rPr>
  </w:style>
  <w:style w:type="paragraph" w:styleId="815">
    <w:name w:val="No Spacing"/>
    <w:uiPriority w:val="1"/>
    <w:qFormat/>
    <w:pPr>
      <w:spacing w:before="0" w:after="0" w:line="240" w:lineRule="auto"/>
    </w:pPr>
  </w:style>
  <w:style w:type="character" w:styleId="816">
    <w:name w:val="Title Char"/>
    <w:basedOn w:val="968"/>
    <w:link w:val="1000"/>
    <w:uiPriority w:val="10"/>
    <w:rPr>
      <w:sz w:val="48"/>
      <w:szCs w:val="48"/>
    </w:rPr>
  </w:style>
  <w:style w:type="character" w:styleId="817">
    <w:name w:val="Subtitle Char"/>
    <w:basedOn w:val="968"/>
    <w:link w:val="993"/>
    <w:uiPriority w:val="11"/>
    <w:rPr>
      <w:sz w:val="24"/>
      <w:szCs w:val="24"/>
    </w:rPr>
  </w:style>
  <w:style w:type="paragraph" w:styleId="818">
    <w:name w:val="Quote"/>
    <w:basedOn w:val="958"/>
    <w:next w:val="958"/>
    <w:link w:val="819"/>
    <w:uiPriority w:val="29"/>
    <w:qFormat/>
    <w:pPr>
      <w:ind w:left="720" w:right="720"/>
    </w:pPr>
    <w:rPr>
      <w:i/>
    </w:rPr>
  </w:style>
  <w:style w:type="character" w:styleId="819">
    <w:name w:val="Quote Char"/>
    <w:link w:val="818"/>
    <w:uiPriority w:val="29"/>
    <w:rPr>
      <w:i/>
    </w:rPr>
  </w:style>
  <w:style w:type="paragraph" w:styleId="820">
    <w:name w:val="Intense Quote"/>
    <w:basedOn w:val="958"/>
    <w:next w:val="95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character" w:styleId="822">
    <w:name w:val="Header Char"/>
    <w:basedOn w:val="968"/>
    <w:link w:val="990"/>
    <w:uiPriority w:val="99"/>
  </w:style>
  <w:style w:type="character" w:styleId="823">
    <w:name w:val="Footer Char"/>
    <w:basedOn w:val="968"/>
    <w:link w:val="988"/>
    <w:uiPriority w:val="99"/>
  </w:style>
  <w:style w:type="character" w:styleId="824">
    <w:name w:val="Caption Char"/>
    <w:basedOn w:val="974"/>
    <w:link w:val="988"/>
    <w:uiPriority w:val="99"/>
  </w:style>
  <w:style w:type="table" w:styleId="825">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0">
    <w:name w:val="footnote text"/>
    <w:basedOn w:val="958"/>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basedOn w:val="968"/>
    <w:uiPriority w:val="99"/>
    <w:unhideWhenUsed/>
    <w:rPr>
      <w:vertAlign w:val="superscript"/>
    </w:rPr>
  </w:style>
  <w:style w:type="paragraph" w:styleId="953">
    <w:name w:val="endnote text"/>
    <w:basedOn w:val="958"/>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8"/>
    <w:uiPriority w:val="99"/>
    <w:semiHidden/>
    <w:unhideWhenUsed/>
    <w:rPr>
      <w:vertAlign w:val="superscript"/>
    </w:r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9">
    <w:name w:val="Heading 1"/>
    <w:basedOn w:val="958"/>
    <w:next w:val="958"/>
    <w:link w:val="1095"/>
    <w:uiPriority w:val="0"/>
    <w:qFormat/>
    <w:pPr>
      <w:numPr>
        <w:ilvl w:val="0"/>
        <w:numId w:val="1"/>
      </w:numPr>
      <w:jc w:val="center"/>
      <w:keepLines/>
      <w:keepNext/>
      <w:spacing w:before="340" w:after="330" w:line="578" w:lineRule="auto"/>
      <w:outlineLvl w:val="0"/>
    </w:pPr>
    <w:rPr>
      <w:b/>
      <w:bCs/>
      <w:sz w:val="32"/>
      <w:szCs w:val="44"/>
    </w:rPr>
  </w:style>
  <w:style w:type="paragraph" w:styleId="960">
    <w:name w:val="Heading 2"/>
    <w:basedOn w:val="958"/>
    <w:next w:val="958"/>
    <w:link w:val="102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61">
    <w:name w:val="Heading 3"/>
    <w:basedOn w:val="958"/>
    <w:next w:val="958"/>
    <w:link w:val="1063"/>
    <w:uiPriority w:val="0"/>
    <w:qFormat/>
    <w:pPr>
      <w:numPr>
        <w:ilvl w:val="2"/>
        <w:numId w:val="1"/>
      </w:numPr>
      <w:keepLines/>
      <w:keepNext/>
      <w:spacing w:before="260" w:after="260" w:line="416" w:lineRule="auto"/>
      <w:outlineLvl w:val="2"/>
    </w:pPr>
    <w:rPr>
      <w:b/>
      <w:bCs/>
      <w:sz w:val="32"/>
      <w:szCs w:val="32"/>
    </w:rPr>
  </w:style>
  <w:style w:type="paragraph" w:styleId="962">
    <w:name w:val="Heading 4"/>
    <w:basedOn w:val="958"/>
    <w:next w:val="958"/>
    <w:link w:val="110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63">
    <w:name w:val="Heading 5"/>
    <w:basedOn w:val="958"/>
    <w:next w:val="958"/>
    <w:link w:val="1053"/>
    <w:uiPriority w:val="0"/>
    <w:qFormat/>
    <w:pPr>
      <w:numPr>
        <w:ilvl w:val="4"/>
        <w:numId w:val="1"/>
      </w:numPr>
      <w:keepLines/>
      <w:keepNext/>
      <w:spacing w:before="280" w:after="290" w:line="376" w:lineRule="auto"/>
      <w:outlineLvl w:val="4"/>
    </w:pPr>
    <w:rPr>
      <w:b/>
      <w:bCs/>
      <w:sz w:val="28"/>
      <w:szCs w:val="28"/>
    </w:rPr>
  </w:style>
  <w:style w:type="paragraph" w:styleId="964">
    <w:name w:val="Heading 6"/>
    <w:basedOn w:val="958"/>
    <w:next w:val="958"/>
    <w:link w:val="1039"/>
    <w:uiPriority w:val="0"/>
    <w:qFormat/>
    <w:pPr>
      <w:numPr>
        <w:ilvl w:val="5"/>
        <w:numId w:val="1"/>
      </w:numPr>
      <w:keepLines/>
      <w:keepNext/>
      <w:spacing w:before="240" w:after="64" w:line="320" w:lineRule="auto"/>
      <w:outlineLvl w:val="5"/>
    </w:pPr>
    <w:rPr>
      <w:rFonts w:ascii="Cambria" w:hAnsi="Cambria"/>
      <w:b/>
      <w:bCs/>
      <w:sz w:val="24"/>
    </w:rPr>
  </w:style>
  <w:style w:type="paragraph" w:styleId="965">
    <w:name w:val="Heading 7"/>
    <w:basedOn w:val="958"/>
    <w:next w:val="958"/>
    <w:link w:val="1094"/>
    <w:uiPriority w:val="0"/>
    <w:qFormat/>
    <w:pPr>
      <w:numPr>
        <w:ilvl w:val="6"/>
        <w:numId w:val="1"/>
      </w:numPr>
      <w:keepLines/>
      <w:keepNext/>
      <w:spacing w:before="240" w:after="64" w:line="320" w:lineRule="auto"/>
      <w:outlineLvl w:val="6"/>
    </w:pPr>
    <w:rPr>
      <w:b/>
      <w:bCs/>
      <w:sz w:val="24"/>
    </w:rPr>
  </w:style>
  <w:style w:type="paragraph" w:styleId="966">
    <w:name w:val="Heading 8"/>
    <w:basedOn w:val="958"/>
    <w:next w:val="958"/>
    <w:link w:val="1079"/>
    <w:uiPriority w:val="0"/>
    <w:qFormat/>
    <w:pPr>
      <w:numPr>
        <w:ilvl w:val="7"/>
        <w:numId w:val="1"/>
      </w:numPr>
      <w:keepLines/>
      <w:keepNext/>
      <w:spacing w:before="240" w:after="64" w:line="320" w:lineRule="auto"/>
      <w:outlineLvl w:val="7"/>
    </w:pPr>
    <w:rPr>
      <w:rFonts w:ascii="Cambria" w:hAnsi="Cambria"/>
      <w:sz w:val="24"/>
    </w:rPr>
  </w:style>
  <w:style w:type="paragraph" w:styleId="967">
    <w:name w:val="Heading 9"/>
    <w:basedOn w:val="958"/>
    <w:next w:val="958"/>
    <w:link w:val="1057"/>
    <w:uiPriority w:val="0"/>
    <w:qFormat/>
    <w:pPr>
      <w:numPr>
        <w:ilvl w:val="8"/>
        <w:numId w:val="1"/>
      </w:numPr>
      <w:keepLines/>
      <w:keepNext/>
      <w:spacing w:before="240" w:after="64" w:line="320" w:lineRule="auto"/>
      <w:outlineLvl w:val="8"/>
    </w:pPr>
    <w:rPr>
      <w:rFonts w:ascii="Cambria" w:hAnsi="Cambria"/>
      <w:szCs w:val="21"/>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paragraph" w:styleId="970">
    <w:name w:val="List 3"/>
    <w:basedOn w:val="958"/>
    <w:uiPriority w:val="99"/>
    <w:unhideWhenUsed/>
    <w:qFormat/>
    <w:pPr>
      <w:ind w:left="1260" w:hanging="420"/>
      <w:spacing w:before="100" w:beforeAutospacing="1" w:after="100" w:afterAutospacing="1"/>
    </w:pPr>
    <w:rPr>
      <w:szCs w:val="21"/>
    </w:rPr>
  </w:style>
  <w:style w:type="paragraph" w:styleId="971">
    <w:name w:val="toc 7"/>
    <w:basedOn w:val="958"/>
    <w:next w:val="958"/>
    <w:uiPriority w:val="39"/>
    <w:unhideWhenUsed/>
    <w:qFormat/>
    <w:pPr>
      <w:ind w:left="2520"/>
    </w:pPr>
    <w:rPr>
      <w:rFonts w:ascii="Calibri" w:hAnsi="Calibri"/>
      <w:szCs w:val="22"/>
    </w:rPr>
  </w:style>
  <w:style w:type="paragraph" w:styleId="972">
    <w:name w:val="List Number"/>
    <w:basedOn w:val="958"/>
    <w:uiPriority w:val="0"/>
    <w:qFormat/>
    <w:pPr>
      <w:numPr>
        <w:ilvl w:val="0"/>
        <w:numId w:val="2"/>
      </w:numPr>
      <w:contextualSpacing/>
    </w:pPr>
    <w:rPr>
      <w:rFonts w:ascii="Calibri" w:hAnsi="Calibri"/>
    </w:rPr>
  </w:style>
  <w:style w:type="paragraph" w:styleId="973">
    <w:name w:val="Normal Indent"/>
    <w:basedOn w:val="958"/>
    <w:link w:val="1183"/>
    <w:uiPriority w:val="0"/>
    <w:qFormat/>
    <w:pPr>
      <w:ind w:firstLine="420"/>
    </w:pPr>
    <w:rPr>
      <w:b/>
      <w:sz w:val="24"/>
      <w:szCs w:val="20"/>
    </w:rPr>
  </w:style>
  <w:style w:type="paragraph" w:styleId="974">
    <w:name w:val="Caption"/>
    <w:basedOn w:val="958"/>
    <w:next w:val="958"/>
    <w:uiPriority w:val="0"/>
    <w:qFormat/>
    <w:rPr>
      <w:rFonts w:ascii="Cambria" w:hAnsi="Cambria" w:eastAsia="黑体"/>
      <w:sz w:val="20"/>
      <w:szCs w:val="22"/>
    </w:rPr>
  </w:style>
  <w:style w:type="paragraph" w:styleId="975">
    <w:name w:val="Document Map"/>
    <w:basedOn w:val="958"/>
    <w:link w:val="1047"/>
    <w:uiPriority w:val="0"/>
    <w:qFormat/>
    <w:rPr>
      <w:rFonts w:ascii="宋体"/>
      <w:sz w:val="18"/>
      <w:szCs w:val="18"/>
    </w:rPr>
  </w:style>
  <w:style w:type="paragraph" w:styleId="976">
    <w:name w:val="annotation text"/>
    <w:basedOn w:val="958"/>
    <w:link w:val="1071"/>
    <w:uiPriority w:val="0"/>
    <w:qFormat/>
    <w:pPr>
      <w:jc w:val="left"/>
    </w:pPr>
  </w:style>
  <w:style w:type="paragraph" w:styleId="977">
    <w:name w:val="Body Text 3"/>
    <w:basedOn w:val="958"/>
    <w:link w:val="1090"/>
    <w:uiPriority w:val="0"/>
    <w:qFormat/>
    <w:rPr>
      <w:rFonts w:ascii="宋体"/>
      <w:sz w:val="24"/>
      <w:szCs w:val="20"/>
    </w:rPr>
  </w:style>
  <w:style w:type="paragraph" w:styleId="978">
    <w:name w:val="Body Text"/>
    <w:basedOn w:val="958"/>
    <w:link w:val="1078"/>
    <w:uiPriority w:val="0"/>
    <w:qFormat/>
    <w:pPr>
      <w:jc w:val="center"/>
    </w:pPr>
    <w:rPr>
      <w:rFonts w:eastAsia="幼圆"/>
      <w:b/>
      <w:bCs/>
      <w:sz w:val="44"/>
    </w:rPr>
  </w:style>
  <w:style w:type="paragraph" w:styleId="979">
    <w:name w:val="Body Text Indent"/>
    <w:basedOn w:val="958"/>
    <w:next w:val="958"/>
    <w:link w:val="1034"/>
    <w:uiPriority w:val="0"/>
    <w:qFormat/>
    <w:pPr>
      <w:ind w:left="420"/>
      <w:spacing w:after="120"/>
    </w:pPr>
  </w:style>
  <w:style w:type="paragraph" w:styleId="980">
    <w:name w:val="index 4"/>
    <w:basedOn w:val="958"/>
    <w:next w:val="958"/>
    <w:uiPriority w:val="0"/>
    <w:qFormat/>
    <w:pPr>
      <w:ind w:left="600"/>
    </w:pPr>
    <w:rPr>
      <w:rFonts w:ascii="Calibri" w:hAnsi="Calibri"/>
    </w:rPr>
  </w:style>
  <w:style w:type="paragraph" w:styleId="981">
    <w:name w:val="toc 5"/>
    <w:basedOn w:val="958"/>
    <w:next w:val="958"/>
    <w:uiPriority w:val="39"/>
    <w:unhideWhenUsed/>
    <w:qFormat/>
    <w:pPr>
      <w:ind w:left="1680"/>
    </w:pPr>
    <w:rPr>
      <w:rFonts w:ascii="Calibri" w:hAnsi="Calibri"/>
      <w:szCs w:val="22"/>
    </w:rPr>
  </w:style>
  <w:style w:type="paragraph" w:styleId="982">
    <w:name w:val="toc 3"/>
    <w:basedOn w:val="958"/>
    <w:next w:val="958"/>
    <w:uiPriority w:val="39"/>
    <w:qFormat/>
    <w:pPr>
      <w:ind w:left="840"/>
    </w:pPr>
    <w:rPr>
      <w:rFonts w:ascii="Calibri" w:hAnsi="Calibri"/>
      <w:szCs w:val="22"/>
    </w:rPr>
  </w:style>
  <w:style w:type="paragraph" w:styleId="983">
    <w:name w:val="Plain Text"/>
    <w:basedOn w:val="958"/>
    <w:link w:val="1040"/>
    <w:uiPriority w:val="0"/>
    <w:qFormat/>
    <w:rPr>
      <w:rFonts w:ascii="Ari"/>
    </w:rPr>
  </w:style>
  <w:style w:type="paragraph" w:styleId="984">
    <w:name w:val="toc 8"/>
    <w:basedOn w:val="958"/>
    <w:next w:val="958"/>
    <w:uiPriority w:val="39"/>
    <w:unhideWhenUsed/>
    <w:qFormat/>
    <w:pPr>
      <w:ind w:left="2940"/>
    </w:pPr>
    <w:rPr>
      <w:rFonts w:ascii="Calibri" w:hAnsi="Calibri"/>
      <w:szCs w:val="22"/>
    </w:rPr>
  </w:style>
  <w:style w:type="paragraph" w:styleId="985">
    <w:name w:val="Date"/>
    <w:basedOn w:val="958"/>
    <w:next w:val="958"/>
    <w:link w:val="1048"/>
    <w:uiPriority w:val="0"/>
    <w:unhideWhenUsed/>
    <w:qFormat/>
  </w:style>
  <w:style w:type="paragraph" w:styleId="986">
    <w:name w:val="Body Text Indent 2"/>
    <w:basedOn w:val="958"/>
    <w:link w:val="1070"/>
    <w:uiPriority w:val="99"/>
    <w:unhideWhenUsed/>
    <w:qFormat/>
    <w:pPr>
      <w:ind w:firstLine="525"/>
      <w:spacing w:line="420" w:lineRule="exact"/>
    </w:pPr>
    <w:rPr>
      <w:rFonts w:ascii="宋体"/>
      <w:sz w:val="20"/>
      <w:szCs w:val="20"/>
    </w:rPr>
  </w:style>
  <w:style w:type="paragraph" w:styleId="987">
    <w:name w:val="Balloon Text"/>
    <w:basedOn w:val="958"/>
    <w:link w:val="1093"/>
    <w:uiPriority w:val="0"/>
    <w:qFormat/>
    <w:rPr>
      <w:sz w:val="18"/>
      <w:szCs w:val="18"/>
    </w:rPr>
  </w:style>
  <w:style w:type="paragraph" w:styleId="988">
    <w:name w:val="Footer"/>
    <w:basedOn w:val="958"/>
    <w:next w:val="989"/>
    <w:link w:val="1083"/>
    <w:uiPriority w:val="99"/>
    <w:qFormat/>
    <w:pPr>
      <w:jc w:val="left"/>
      <w:tabs>
        <w:tab w:val="center" w:pos="4153" w:leader="none"/>
        <w:tab w:val="right" w:pos="8306" w:leader="none"/>
      </w:tabs>
    </w:pPr>
    <w:rPr>
      <w:sz w:val="18"/>
      <w:szCs w:val="18"/>
    </w:rPr>
  </w:style>
  <w:style w:type="paragraph" w:styleId="989">
    <w:name w:val="toc 2"/>
    <w:basedOn w:val="958"/>
    <w:next w:val="958"/>
    <w:uiPriority w:val="39"/>
    <w:qFormat/>
    <w:pPr>
      <w:ind w:left="420"/>
    </w:pPr>
    <w:rPr>
      <w:rFonts w:ascii="Calibri" w:hAnsi="Calibri"/>
      <w:szCs w:val="22"/>
    </w:rPr>
  </w:style>
  <w:style w:type="paragraph" w:styleId="990">
    <w:name w:val="Header"/>
    <w:basedOn w:val="958"/>
    <w:link w:val="1038"/>
    <w:uiPriority w:val="0"/>
    <w:qFormat/>
    <w:pPr>
      <w:jc w:val="center"/>
      <w:tabs>
        <w:tab w:val="center" w:pos="4153" w:leader="none"/>
        <w:tab w:val="right" w:pos="8306" w:leader="none"/>
      </w:tabs>
      <w:pBdr>
        <w:bottom w:val="single" w:color="auto" w:sz="6" w:space="1"/>
      </w:pBdr>
    </w:pPr>
    <w:rPr>
      <w:sz w:val="18"/>
      <w:szCs w:val="18"/>
    </w:rPr>
  </w:style>
  <w:style w:type="paragraph" w:styleId="991">
    <w:name w:val="toc 1"/>
    <w:basedOn w:val="958"/>
    <w:next w:val="958"/>
    <w:uiPriority w:val="39"/>
    <w:qFormat/>
  </w:style>
  <w:style w:type="paragraph" w:styleId="992">
    <w:name w:val="toc 4"/>
    <w:basedOn w:val="958"/>
    <w:next w:val="958"/>
    <w:uiPriority w:val="39"/>
    <w:unhideWhenUsed/>
    <w:qFormat/>
    <w:pPr>
      <w:ind w:left="1260"/>
    </w:pPr>
    <w:rPr>
      <w:rFonts w:ascii="Calibri" w:hAnsi="Calibri"/>
      <w:szCs w:val="22"/>
    </w:rPr>
  </w:style>
  <w:style w:type="paragraph" w:styleId="993">
    <w:name w:val="Subtitle"/>
    <w:basedOn w:val="958"/>
    <w:next w:val="958"/>
    <w:link w:val="1066"/>
    <w:uiPriority w:val="0"/>
    <w:qFormat/>
    <w:pPr>
      <w:jc w:val="center"/>
      <w:spacing w:before="240" w:after="60" w:line="312" w:lineRule="auto"/>
      <w:outlineLvl w:val="1"/>
    </w:pPr>
    <w:rPr>
      <w:rFonts w:ascii="Cambria" w:hAnsi="Cambria"/>
      <w:b/>
      <w:bCs/>
      <w:sz w:val="32"/>
      <w:szCs w:val="32"/>
    </w:rPr>
  </w:style>
  <w:style w:type="paragraph" w:styleId="994">
    <w:name w:val="toc 6"/>
    <w:basedOn w:val="958"/>
    <w:next w:val="958"/>
    <w:uiPriority w:val="39"/>
    <w:unhideWhenUsed/>
    <w:qFormat/>
    <w:pPr>
      <w:ind w:left="2100"/>
    </w:pPr>
    <w:rPr>
      <w:rFonts w:ascii="Calibri" w:hAnsi="Calibri"/>
      <w:szCs w:val="22"/>
    </w:rPr>
  </w:style>
  <w:style w:type="paragraph" w:styleId="995">
    <w:name w:val="Body Text Indent 3"/>
    <w:basedOn w:val="958"/>
    <w:link w:val="1091"/>
    <w:uiPriority w:val="0"/>
    <w:qFormat/>
    <w:pPr>
      <w:ind w:left="420"/>
      <w:spacing w:after="120"/>
    </w:pPr>
    <w:rPr>
      <w:sz w:val="16"/>
      <w:szCs w:val="20"/>
    </w:rPr>
  </w:style>
  <w:style w:type="paragraph" w:styleId="996">
    <w:name w:val="toc 9"/>
    <w:basedOn w:val="958"/>
    <w:next w:val="958"/>
    <w:uiPriority w:val="39"/>
    <w:unhideWhenUsed/>
    <w:qFormat/>
    <w:pPr>
      <w:ind w:left="3360"/>
    </w:pPr>
    <w:rPr>
      <w:rFonts w:ascii="Calibri" w:hAnsi="Calibri"/>
      <w:szCs w:val="22"/>
    </w:rPr>
  </w:style>
  <w:style w:type="paragraph" w:styleId="997">
    <w:name w:val="HTML Preformatted"/>
    <w:basedOn w:val="958"/>
    <w:link w:val="11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98">
    <w:name w:val="Normal (Web)"/>
    <w:basedOn w:val="958"/>
    <w:uiPriority w:val="0"/>
    <w:qFormat/>
    <w:pPr>
      <w:jc w:val="left"/>
      <w:spacing w:before="100" w:beforeAutospacing="1" w:after="100" w:afterAutospacing="1"/>
      <w:widowControl/>
    </w:pPr>
    <w:rPr>
      <w:rFonts w:ascii="宋体" w:hAnsi="宋体" w:cs="宋体"/>
      <w:sz w:val="24"/>
    </w:rPr>
  </w:style>
  <w:style w:type="paragraph" w:styleId="999">
    <w:name w:val="index 1"/>
    <w:basedOn w:val="958"/>
    <w:next w:val="958"/>
    <w:uiPriority w:val="0"/>
    <w:qFormat/>
    <w:pPr>
      <w:jc w:val="center"/>
      <w:spacing w:line="220" w:lineRule="exact"/>
    </w:pPr>
    <w:rPr>
      <w:rFonts w:ascii="仿宋_GB2312" w:hAnsi="Calibri" w:eastAsia="仿宋_GB2312"/>
      <w:szCs w:val="22"/>
    </w:rPr>
  </w:style>
  <w:style w:type="paragraph" w:styleId="1000">
    <w:name w:val="Title"/>
    <w:basedOn w:val="958"/>
    <w:link w:val="1043"/>
    <w:uiPriority w:val="0"/>
    <w:qFormat/>
    <w:pPr>
      <w:jc w:val="center"/>
      <w:spacing w:before="240" w:after="60" w:line="420" w:lineRule="atLeast"/>
      <w:outlineLvl w:val="0"/>
    </w:pPr>
    <w:rPr>
      <w:rFonts w:ascii="Arial" w:hAnsi="Arial"/>
      <w:b/>
      <w:sz w:val="32"/>
      <w:szCs w:val="20"/>
    </w:rPr>
  </w:style>
  <w:style w:type="paragraph" w:styleId="1001">
    <w:name w:val="annotation subject"/>
    <w:basedOn w:val="976"/>
    <w:next w:val="976"/>
    <w:link w:val="1081"/>
    <w:uiPriority w:val="0"/>
    <w:qFormat/>
    <w:rPr>
      <w:b/>
      <w:bCs/>
    </w:rPr>
  </w:style>
  <w:style w:type="paragraph" w:styleId="1002">
    <w:name w:val="Body Text First Indent"/>
    <w:basedOn w:val="978"/>
    <w:uiPriority w:val="0"/>
    <w:qFormat/>
    <w:pPr>
      <w:ind w:right="-24" w:firstLine="425"/>
      <w:spacing w:line="360" w:lineRule="auto"/>
    </w:pPr>
    <w:rPr>
      <w:rFonts w:ascii="Arial" w:hAnsi="Arial" w:eastAsia="仿宋_GB2312" w:cs="Arial"/>
      <w:szCs w:val="32"/>
    </w:rPr>
  </w:style>
  <w:style w:type="paragraph" w:styleId="1003">
    <w:name w:val="Body Text First Indent 2"/>
    <w:basedOn w:val="979"/>
    <w:next w:val="1002"/>
    <w:uiPriority w:val="99"/>
    <w:semiHidden/>
    <w:unhideWhenUsed/>
    <w:qFormat/>
    <w:pPr>
      <w:ind w:firstLine="420"/>
    </w:pPr>
  </w:style>
  <w:style w:type="table" w:styleId="1004">
    <w:name w:val="Table Grid"/>
    <w:basedOn w:val="9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name w:val="Strong"/>
    <w:basedOn w:val="968"/>
    <w:uiPriority w:val="22"/>
    <w:qFormat/>
    <w:rPr>
      <w:rFonts w:cs="Times New Roman"/>
      <w:b/>
    </w:rPr>
  </w:style>
  <w:style w:type="character" w:styleId="1006">
    <w:name w:val="page number"/>
    <w:uiPriority w:val="0"/>
    <w:qFormat/>
    <w:rPr>
      <w:rFonts w:eastAsia="宋体"/>
      <w:b/>
      <w:spacing w:val="0"/>
      <w:sz w:val="24"/>
      <w:szCs w:val="24"/>
      <w:vertAlign w:val="baseline"/>
      <w:lang w:val="en-US" w:eastAsia="zh-CN" w:bidi="ar-SA"/>
    </w:rPr>
  </w:style>
  <w:style w:type="character" w:styleId="1007">
    <w:name w:val="FollowedHyperlink"/>
    <w:uiPriority w:val="0"/>
    <w:qFormat/>
    <w:rPr>
      <w:color w:val="800080"/>
      <w:u w:val="single"/>
    </w:rPr>
  </w:style>
  <w:style w:type="character" w:styleId="1008">
    <w:name w:val="Emphasis"/>
    <w:basedOn w:val="968"/>
    <w:uiPriority w:val="0"/>
    <w:qFormat/>
    <w:rPr>
      <w:color w:val="cc0000"/>
    </w:rPr>
  </w:style>
  <w:style w:type="character" w:styleId="1009">
    <w:name w:val="Hyperlink"/>
    <w:uiPriority w:val="99"/>
    <w:qFormat/>
    <w:rPr>
      <w:color w:val="0000ff"/>
      <w:u w:val="single"/>
    </w:rPr>
  </w:style>
  <w:style w:type="character" w:styleId="1010">
    <w:name w:val="annotation reference"/>
    <w:uiPriority w:val="0"/>
    <w:qFormat/>
    <w:rPr>
      <w:sz w:val="21"/>
      <w:szCs w:val="21"/>
    </w:rPr>
  </w:style>
  <w:style w:type="character" w:styleId="1011">
    <w:name w:val="HTML Cite"/>
    <w:uiPriority w:val="0"/>
    <w:qFormat/>
    <w:rPr>
      <w:color w:val="008000"/>
    </w:rPr>
  </w:style>
  <w:style w:type="paragraph" w:styleId="1012" w:customStyle="1">
    <w:name w:val="索引 41"/>
    <w:basedOn w:val="958"/>
    <w:next w:val="958"/>
    <w:uiPriority w:val="0"/>
    <w:semiHidden/>
    <w:qFormat/>
    <w:pPr>
      <w:ind w:left="1260"/>
    </w:pPr>
    <w:rPr>
      <w:rFonts w:ascii="Calibri" w:hAnsi="Calibri" w:eastAsia="Calibri" w:cs="宋体"/>
      <w:sz w:val="20"/>
      <w:lang w:val="zh-CN"/>
    </w:rPr>
  </w:style>
  <w:style w:type="paragraph" w:styleId="1013" w:customStyle="1">
    <w:name w:val="NormalIndent"/>
    <w:basedOn w:val="958"/>
    <w:uiPriority w:val="0"/>
    <w:qFormat/>
    <w:pPr>
      <w:ind w:firstLine="420"/>
    </w:pPr>
  </w:style>
  <w:style w:type="paragraph" w:styleId="101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Body Text First Indent 21"/>
    <w:basedOn w:val="1017"/>
    <w:uiPriority w:val="0"/>
    <w:qFormat/>
    <w:pPr>
      <w:ind w:firstLine="420"/>
    </w:pPr>
  </w:style>
  <w:style w:type="paragraph" w:styleId="1017" w:customStyle="1">
    <w:name w:val="Body Text Indent1"/>
    <w:basedOn w:val="958"/>
    <w:uiPriority w:val="0"/>
    <w:qFormat/>
    <w:pPr>
      <w:ind w:left="420"/>
    </w:pPr>
  </w:style>
  <w:style w:type="paragraph" w:styleId="1018">
    <w:name w:val="List Paragraph"/>
    <w:basedOn w:val="958"/>
    <w:next w:val="976"/>
    <w:link w:val="1200"/>
    <w:uiPriority w:val="99"/>
    <w:qFormat/>
    <w:pPr>
      <w:ind w:firstLine="420"/>
    </w:pPr>
  </w:style>
  <w:style w:type="character" w:styleId="1019" w:customStyle="1">
    <w:name w:val="明显强调1"/>
    <w:uiPriority w:val="0"/>
    <w:qFormat/>
    <w:rPr>
      <w:b/>
      <w:bCs/>
      <w:i/>
      <w:iCs/>
      <w:color w:val="4f81bd"/>
    </w:rPr>
  </w:style>
  <w:style w:type="character" w:styleId="1020" w:customStyle="1">
    <w:name w:val="批注文字 Char2"/>
    <w:uiPriority w:val="0"/>
    <w:qFormat/>
    <w:rPr>
      <w:sz w:val="21"/>
    </w:rPr>
  </w:style>
  <w:style w:type="character" w:styleId="1021" w:customStyle="1">
    <w:name w:val="标题 3 Char_0"/>
    <w:link w:val="1022"/>
    <w:uiPriority w:val="0"/>
    <w:qFormat/>
    <w:rPr>
      <w:b/>
      <w:bCs/>
      <w:sz w:val="32"/>
      <w:szCs w:val="32"/>
    </w:rPr>
  </w:style>
  <w:style w:type="paragraph" w:styleId="1022" w:customStyle="1">
    <w:name w:val="标题 3_0"/>
    <w:basedOn w:val="1023"/>
    <w:next w:val="1023"/>
    <w:link w:val="1021"/>
    <w:uiPriority w:val="0"/>
    <w:qFormat/>
    <w:pPr>
      <w:keepLines/>
      <w:keepNext/>
      <w:spacing w:before="260" w:after="260" w:line="416" w:lineRule="auto"/>
      <w:outlineLvl w:val="2"/>
    </w:pPr>
    <w:rPr>
      <w:b/>
      <w:bCs/>
      <w:sz w:val="32"/>
      <w:szCs w:val="32"/>
    </w:rPr>
  </w:style>
  <w:style w:type="paragraph" w:styleId="102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24" w:customStyle="1">
    <w:name w:val="标题 2 字符"/>
    <w:link w:val="960"/>
    <w:uiPriority w:val="0"/>
    <w:qFormat/>
    <w:rPr>
      <w:rFonts w:ascii="Cambria" w:hAnsi="Cambria"/>
      <w:b/>
      <w:bCs/>
      <w:sz w:val="32"/>
      <w:szCs w:val="32"/>
    </w:rPr>
  </w:style>
  <w:style w:type="character" w:styleId="1025" w:customStyle="1">
    <w:name w:val="正文文本 Char2"/>
    <w:uiPriority w:val="99"/>
    <w:semiHidden/>
    <w:qFormat/>
    <w:rPr>
      <w:rFonts w:ascii="Calibri" w:hAnsi="Calibri" w:eastAsia="宋体" w:cs="Times New Roman"/>
    </w:rPr>
  </w:style>
  <w:style w:type="character" w:styleId="1026" w:customStyle="1">
    <w:name w:val="页脚 Char1"/>
    <w:uiPriority w:val="99"/>
    <w:semiHidden/>
    <w:qFormat/>
    <w:rPr>
      <w:rFonts w:ascii="Calibri" w:hAnsi="Calibri" w:eastAsia="宋体" w:cs="Times New Roman"/>
      <w:sz w:val="18"/>
      <w:szCs w:val="18"/>
    </w:rPr>
  </w:style>
  <w:style w:type="character" w:styleId="1027" w:customStyle="1">
    <w:name w:val="明显引用 Char2"/>
    <w:uiPriority w:val="99"/>
    <w:qFormat/>
    <w:rPr>
      <w:b/>
      <w:bCs/>
      <w:i/>
      <w:iCs/>
      <w:color w:val="4f81bd"/>
      <w:sz w:val="21"/>
      <w:szCs w:val="24"/>
    </w:rPr>
  </w:style>
  <w:style w:type="character" w:styleId="1028" w:customStyle="1">
    <w:name w:val="引用 Char"/>
    <w:link w:val="1029"/>
    <w:uiPriority w:val="0"/>
    <w:qFormat/>
    <w:rPr>
      <w:i/>
      <w:iCs/>
      <w:color w:val="000000"/>
    </w:rPr>
  </w:style>
  <w:style w:type="paragraph" w:styleId="1029" w:customStyle="1">
    <w:name w:val="引用1"/>
    <w:basedOn w:val="958"/>
    <w:next w:val="958"/>
    <w:link w:val="1028"/>
    <w:uiPriority w:val="0"/>
    <w:qFormat/>
    <w:rPr>
      <w:i/>
      <w:iCs/>
      <w:color w:val="000000"/>
      <w:sz w:val="20"/>
      <w:szCs w:val="20"/>
    </w:rPr>
  </w:style>
  <w:style w:type="character" w:styleId="1030" w:customStyle="1">
    <w:name w:val="标题 1 Char_0"/>
    <w:link w:val="1031"/>
    <w:uiPriority w:val="0"/>
    <w:qFormat/>
    <w:rPr>
      <w:b/>
      <w:bCs/>
      <w:sz w:val="44"/>
      <w:szCs w:val="44"/>
    </w:rPr>
  </w:style>
  <w:style w:type="paragraph" w:styleId="1031" w:customStyle="1">
    <w:name w:val="标题 1_0"/>
    <w:basedOn w:val="1023"/>
    <w:next w:val="1023"/>
    <w:link w:val="1030"/>
    <w:uiPriority w:val="0"/>
    <w:qFormat/>
    <w:pPr>
      <w:keepLines/>
      <w:keepNext/>
      <w:spacing w:before="340" w:after="330" w:line="578" w:lineRule="auto"/>
      <w:outlineLvl w:val="0"/>
    </w:pPr>
    <w:rPr>
      <w:b/>
      <w:bCs/>
      <w:sz w:val="44"/>
      <w:szCs w:val="44"/>
    </w:rPr>
  </w:style>
  <w:style w:type="character" w:styleId="1032" w:customStyle="1">
    <w:name w:val="正文文本缩进 3 Char1"/>
    <w:uiPriority w:val="99"/>
    <w:semiHidden/>
    <w:qFormat/>
    <w:rPr>
      <w:sz w:val="16"/>
      <w:szCs w:val="16"/>
    </w:rPr>
  </w:style>
  <w:style w:type="character" w:styleId="1033" w:customStyle="1">
    <w:name w:val="引用 Char1"/>
    <w:uiPriority w:val="29"/>
    <w:qFormat/>
    <w:rPr>
      <w:i/>
      <w:iCs/>
      <w:color w:val="000000"/>
      <w:sz w:val="21"/>
    </w:rPr>
  </w:style>
  <w:style w:type="character" w:styleId="1034" w:customStyle="1">
    <w:name w:val="正文文本缩进 字符"/>
    <w:link w:val="979"/>
    <w:uiPriority w:val="0"/>
    <w:qFormat/>
    <w:rPr>
      <w:sz w:val="21"/>
      <w:szCs w:val="24"/>
    </w:rPr>
  </w:style>
  <w:style w:type="character" w:styleId="1035" w:customStyle="1">
    <w:name w:val="font161"/>
    <w:uiPriority w:val="0"/>
    <w:qFormat/>
    <w:rPr>
      <w:b/>
      <w:sz w:val="32"/>
    </w:rPr>
  </w:style>
  <w:style w:type="character" w:styleId="1036" w:customStyle="1">
    <w:name w:val="标题 4 Char_0"/>
    <w:link w:val="1037"/>
    <w:uiPriority w:val="0"/>
    <w:qFormat/>
    <w:rPr>
      <w:rFonts w:ascii="Arial" w:hAnsi="Arial" w:eastAsia="黑体"/>
      <w:b/>
      <w:bCs/>
      <w:sz w:val="28"/>
      <w:szCs w:val="28"/>
    </w:rPr>
  </w:style>
  <w:style w:type="paragraph" w:styleId="1037" w:customStyle="1">
    <w:name w:val="标题 4_0"/>
    <w:basedOn w:val="1023"/>
    <w:next w:val="1023"/>
    <w:link w:val="1036"/>
    <w:uiPriority w:val="0"/>
    <w:qFormat/>
    <w:pPr>
      <w:keepLines/>
      <w:keepNext/>
      <w:spacing w:before="280" w:after="290" w:line="376" w:lineRule="auto"/>
      <w:outlineLvl w:val="3"/>
    </w:pPr>
    <w:rPr>
      <w:rFonts w:ascii="Arial" w:hAnsi="Arial" w:eastAsia="黑体"/>
      <w:b/>
      <w:bCs/>
      <w:sz w:val="28"/>
      <w:szCs w:val="28"/>
    </w:rPr>
  </w:style>
  <w:style w:type="character" w:styleId="1038" w:customStyle="1">
    <w:name w:val="页眉 字符"/>
    <w:link w:val="990"/>
    <w:uiPriority w:val="0"/>
    <w:qFormat/>
    <w:rPr>
      <w:sz w:val="18"/>
      <w:szCs w:val="18"/>
    </w:rPr>
  </w:style>
  <w:style w:type="character" w:styleId="1039" w:customStyle="1">
    <w:name w:val="标题 6 字符"/>
    <w:link w:val="964"/>
    <w:uiPriority w:val="0"/>
    <w:qFormat/>
    <w:rPr>
      <w:rFonts w:ascii="Cambria" w:hAnsi="Cambria"/>
      <w:b/>
      <w:bCs/>
      <w:sz w:val="24"/>
      <w:szCs w:val="24"/>
    </w:rPr>
  </w:style>
  <w:style w:type="character" w:styleId="1040" w:customStyle="1">
    <w:name w:val="纯文本 字符"/>
    <w:link w:val="983"/>
    <w:uiPriority w:val="99"/>
    <w:qFormat/>
    <w:rPr>
      <w:rFonts w:ascii="Ari"/>
      <w:lang w:val="en-US" w:eastAsia="zh-CN" w:bidi="ar-SA"/>
    </w:rPr>
  </w:style>
  <w:style w:type="character" w:styleId="1041" w:customStyle="1">
    <w:name w:val="引用 Char2"/>
    <w:uiPriority w:val="99"/>
    <w:qFormat/>
    <w:rPr>
      <w:i/>
      <w:iCs/>
      <w:color w:val="000000"/>
      <w:sz w:val="21"/>
      <w:szCs w:val="24"/>
    </w:rPr>
  </w:style>
  <w:style w:type="character" w:styleId="1042" w:customStyle="1">
    <w:name w:val="rvts11"/>
    <w:uiPriority w:val="0"/>
    <w:qFormat/>
    <w:rPr>
      <w:rFonts w:hint="default" w:ascii="KNLe" w:hAnsi="KNLe"/>
      <w:sz w:val="24"/>
      <w:szCs w:val="24"/>
      <w:u w:val="single"/>
    </w:rPr>
  </w:style>
  <w:style w:type="character" w:styleId="1043" w:customStyle="1">
    <w:name w:val="标题 字符"/>
    <w:link w:val="1000"/>
    <w:uiPriority w:val="0"/>
    <w:qFormat/>
    <w:rPr>
      <w:rFonts w:ascii="Arial" w:hAnsi="Arial"/>
      <w:b/>
      <w:sz w:val="32"/>
    </w:rPr>
  </w:style>
  <w:style w:type="character" w:styleId="1044" w:customStyle="1">
    <w:name w:val="标题5 Char Char"/>
    <w:link w:val="1045"/>
    <w:uiPriority w:val="0"/>
    <w:qFormat/>
    <w:rPr>
      <w:rFonts w:ascii="Arial" w:hAnsi="Arial"/>
      <w:b/>
      <w:bCs/>
      <w:sz w:val="24"/>
      <w:szCs w:val="32"/>
    </w:rPr>
  </w:style>
  <w:style w:type="paragraph" w:styleId="1045" w:customStyle="1">
    <w:name w:val="标题5"/>
    <w:basedOn w:val="961"/>
    <w:link w:val="1044"/>
    <w:uiPriority w:val="0"/>
    <w:qFormat/>
    <w:pPr>
      <w:numPr>
        <w:ilvl w:val="0"/>
        <w:numId w:val="0"/>
      </w:numPr>
      <w:spacing w:line="413" w:lineRule="auto"/>
    </w:pPr>
    <w:rPr>
      <w:rFonts w:ascii="Arial" w:hAnsi="Arial"/>
      <w:sz w:val="24"/>
    </w:rPr>
  </w:style>
  <w:style w:type="character" w:styleId="1046" w:customStyle="1">
    <w:name w:val="副标题 Char2"/>
    <w:uiPriority w:val="11"/>
    <w:qFormat/>
    <w:rPr>
      <w:rFonts w:ascii="Cambria" w:hAnsi="Cambria" w:cs="Times New Roman"/>
      <w:b/>
      <w:bCs/>
      <w:sz w:val="32"/>
      <w:szCs w:val="32"/>
    </w:rPr>
  </w:style>
  <w:style w:type="character" w:styleId="1047" w:customStyle="1">
    <w:name w:val="文档结构图 字符"/>
    <w:link w:val="975"/>
    <w:uiPriority w:val="0"/>
    <w:qFormat/>
    <w:rPr>
      <w:rFonts w:ascii="宋体"/>
      <w:sz w:val="18"/>
      <w:szCs w:val="18"/>
    </w:rPr>
  </w:style>
  <w:style w:type="character" w:styleId="1048" w:customStyle="1">
    <w:name w:val="日期 字符"/>
    <w:link w:val="985"/>
    <w:uiPriority w:val="0"/>
    <w:qFormat/>
    <w:rPr>
      <w:sz w:val="21"/>
      <w:szCs w:val="24"/>
    </w:rPr>
  </w:style>
  <w:style w:type="character" w:styleId="1049" w:customStyle="1">
    <w:name w:val="批注主题 Char1"/>
    <w:uiPriority w:val="0"/>
    <w:qFormat/>
    <w:rPr>
      <w:b/>
      <w:bCs/>
      <w:sz w:val="21"/>
      <w:szCs w:val="22"/>
    </w:rPr>
  </w:style>
  <w:style w:type="character" w:styleId="1050" w:customStyle="1">
    <w:name w:val="font31"/>
    <w:uiPriority w:val="0"/>
    <w:qFormat/>
    <w:rPr>
      <w:rFonts w:hint="eastAsia" w:ascii="宋体" w:hAnsi="宋体" w:eastAsia="宋体" w:cs="宋体"/>
      <w:color w:val="000000"/>
      <w:sz w:val="20"/>
      <w:szCs w:val="20"/>
      <w:u w:val="none"/>
    </w:rPr>
  </w:style>
  <w:style w:type="character" w:styleId="1051" w:customStyle="1">
    <w:name w:val="明显引用 Char"/>
    <w:link w:val="1052"/>
    <w:uiPriority w:val="0"/>
    <w:qFormat/>
    <w:rPr>
      <w:b/>
      <w:bCs/>
      <w:i/>
      <w:iCs/>
      <w:color w:val="4f81bd"/>
    </w:rPr>
  </w:style>
  <w:style w:type="paragraph" w:styleId="1052" w:customStyle="1">
    <w:name w:val="明显引用1"/>
    <w:basedOn w:val="958"/>
    <w:next w:val="958"/>
    <w:link w:val="1051"/>
    <w:uiPriority w:val="0"/>
    <w:qFormat/>
    <w:pPr>
      <w:ind w:left="936" w:right="936"/>
      <w:spacing w:before="200" w:after="280"/>
      <w:pBdr>
        <w:bottom w:val="single" w:color="4F81BD" w:sz="4" w:space="4"/>
      </w:pBdr>
    </w:pPr>
    <w:rPr>
      <w:b/>
      <w:bCs/>
      <w:i/>
      <w:iCs/>
      <w:color w:val="4f81bd"/>
      <w:sz w:val="20"/>
      <w:szCs w:val="20"/>
    </w:rPr>
  </w:style>
  <w:style w:type="character" w:styleId="1053" w:customStyle="1">
    <w:name w:val="标题 5 字符"/>
    <w:link w:val="963"/>
    <w:uiPriority w:val="0"/>
    <w:qFormat/>
    <w:rPr>
      <w:b/>
      <w:bCs/>
      <w:sz w:val="28"/>
      <w:szCs w:val="28"/>
    </w:rPr>
  </w:style>
  <w:style w:type="character" w:styleId="1054" w:customStyle="1">
    <w:name w:val="日期 Char1"/>
    <w:uiPriority w:val="0"/>
    <w:qFormat/>
    <w:rPr>
      <w:rFonts w:ascii="Calibri" w:hAnsi="Calibri" w:eastAsia="宋体" w:cs="Times New Roman"/>
    </w:rPr>
  </w:style>
  <w:style w:type="character" w:styleId="1055" w:customStyle="1">
    <w:name w:val="批注框文本 Char1"/>
    <w:uiPriority w:val="0"/>
    <w:qFormat/>
    <w:rPr>
      <w:sz w:val="18"/>
      <w:szCs w:val="18"/>
    </w:rPr>
  </w:style>
  <w:style w:type="character" w:styleId="1056" w:customStyle="1">
    <w:name w:val="标题 Char1"/>
    <w:uiPriority w:val="10"/>
    <w:qFormat/>
    <w:rPr>
      <w:rFonts w:ascii="Cambria" w:hAnsi="Cambria" w:eastAsia="宋体" w:cs="Times New Roman"/>
      <w:b/>
      <w:bCs/>
      <w:sz w:val="32"/>
      <w:szCs w:val="32"/>
    </w:rPr>
  </w:style>
  <w:style w:type="character" w:styleId="1057" w:customStyle="1">
    <w:name w:val="标题 9 字符"/>
    <w:link w:val="967"/>
    <w:uiPriority w:val="0"/>
    <w:qFormat/>
    <w:rPr>
      <w:rFonts w:ascii="Cambria" w:hAnsi="Cambria"/>
      <w:sz w:val="21"/>
      <w:szCs w:val="21"/>
    </w:rPr>
  </w:style>
  <w:style w:type="character" w:styleId="1058" w:customStyle="1">
    <w:name w:val="不明显参考1"/>
    <w:uiPriority w:val="0"/>
    <w:qFormat/>
    <w:rPr>
      <w:smallCaps/>
      <w:color w:val="c0504d"/>
      <w:u w:val="single"/>
    </w:rPr>
  </w:style>
  <w:style w:type="character" w:styleId="1059" w:customStyle="1">
    <w:name w:val="批注文字 Char1"/>
    <w:uiPriority w:val="0"/>
    <w:qFormat/>
    <w:rPr>
      <w:rFonts w:ascii="Calibri" w:hAnsi="Calibri" w:eastAsia="宋体" w:cs="Times New Roman"/>
    </w:rPr>
  </w:style>
  <w:style w:type="character" w:styleId="1060" w:customStyle="1">
    <w:name w:val="标题 Char2"/>
    <w:uiPriority w:val="10"/>
    <w:qFormat/>
    <w:rPr>
      <w:rFonts w:ascii="Cambria" w:hAnsi="Cambria" w:cs="Times New Roman"/>
      <w:b/>
      <w:bCs/>
      <w:sz w:val="32"/>
      <w:szCs w:val="32"/>
    </w:rPr>
  </w:style>
  <w:style w:type="character" w:styleId="1061" w:customStyle="1">
    <w:name w:val="正文文本 3 Char1"/>
    <w:uiPriority w:val="99"/>
    <w:semiHidden/>
    <w:qFormat/>
    <w:rPr>
      <w:sz w:val="16"/>
      <w:szCs w:val="16"/>
    </w:rPr>
  </w:style>
  <w:style w:type="character" w:styleId="1062" w:customStyle="1">
    <w:name w:val="批注主题 Char2"/>
    <w:uiPriority w:val="0"/>
    <w:qFormat/>
    <w:rPr>
      <w:b/>
      <w:bCs/>
      <w:sz w:val="21"/>
    </w:rPr>
  </w:style>
  <w:style w:type="character" w:styleId="1063" w:customStyle="1">
    <w:name w:val="标题 3 字符"/>
    <w:link w:val="961"/>
    <w:uiPriority w:val="0"/>
    <w:qFormat/>
    <w:rPr>
      <w:b/>
      <w:bCs/>
      <w:sz w:val="32"/>
      <w:szCs w:val="32"/>
    </w:rPr>
  </w:style>
  <w:style w:type="character" w:styleId="1064" w:customStyle="1">
    <w:name w:val="正文文本 Char_0"/>
    <w:link w:val="1065"/>
    <w:uiPriority w:val="0"/>
    <w:qFormat/>
    <w:rPr>
      <w:szCs w:val="24"/>
    </w:rPr>
  </w:style>
  <w:style w:type="paragraph" w:styleId="1065" w:customStyle="1">
    <w:name w:val="正文文本_0"/>
    <w:basedOn w:val="1023"/>
    <w:link w:val="1064"/>
    <w:uiPriority w:val="0"/>
    <w:qFormat/>
    <w:pPr>
      <w:spacing w:after="120"/>
    </w:pPr>
    <w:rPr>
      <w:sz w:val="20"/>
    </w:rPr>
  </w:style>
  <w:style w:type="character" w:styleId="1066" w:customStyle="1">
    <w:name w:val="副标题 字符"/>
    <w:link w:val="993"/>
    <w:uiPriority w:val="0"/>
    <w:qFormat/>
    <w:rPr>
      <w:rFonts w:ascii="Cambria" w:hAnsi="Cambria"/>
      <w:b/>
      <w:bCs/>
      <w:sz w:val="32"/>
      <w:szCs w:val="32"/>
    </w:rPr>
  </w:style>
  <w:style w:type="character" w:styleId="1067" w:customStyle="1">
    <w:name w:val="bookmark"/>
    <w:basedOn w:val="968"/>
    <w:uiPriority w:val="0"/>
    <w:qFormat/>
  </w:style>
  <w:style w:type="character" w:styleId="1068" w:customStyle="1">
    <w:name w:val="标题 5 Char_0"/>
    <w:link w:val="1069"/>
    <w:uiPriority w:val="0"/>
    <w:qFormat/>
    <w:rPr>
      <w:rFonts w:ascii="Calibri" w:hAnsi="Calibri"/>
      <w:b/>
      <w:bCs/>
      <w:sz w:val="28"/>
      <w:szCs w:val="28"/>
    </w:rPr>
  </w:style>
  <w:style w:type="paragraph" w:styleId="1069" w:customStyle="1">
    <w:name w:val="标题 5_0"/>
    <w:basedOn w:val="1023"/>
    <w:next w:val="1023"/>
    <w:link w:val="1068"/>
    <w:uiPriority w:val="0"/>
    <w:qFormat/>
    <w:pPr>
      <w:keepLines/>
      <w:keepNext/>
      <w:spacing w:before="280" w:after="290" w:line="372" w:lineRule="auto"/>
      <w:outlineLvl w:val="4"/>
    </w:pPr>
    <w:rPr>
      <w:rFonts w:ascii="Calibri" w:hAnsi="Calibri"/>
      <w:b/>
      <w:bCs/>
      <w:sz w:val="28"/>
      <w:szCs w:val="28"/>
    </w:rPr>
  </w:style>
  <w:style w:type="character" w:styleId="1070" w:customStyle="1">
    <w:name w:val="正文文本缩进 2 字符"/>
    <w:link w:val="986"/>
    <w:uiPriority w:val="99"/>
    <w:qFormat/>
    <w:rPr>
      <w:rFonts w:ascii="宋体"/>
    </w:rPr>
  </w:style>
  <w:style w:type="character" w:styleId="1071" w:customStyle="1">
    <w:name w:val="批注文字 字符"/>
    <w:link w:val="976"/>
    <w:uiPriority w:val="0"/>
    <w:qFormat/>
    <w:rPr>
      <w:sz w:val="21"/>
      <w:szCs w:val="24"/>
    </w:rPr>
  </w:style>
  <w:style w:type="character" w:styleId="1072" w:customStyle="1">
    <w:name w:val="font11"/>
    <w:uiPriority w:val="0"/>
    <w:qFormat/>
    <w:rPr>
      <w:rFonts w:hint="eastAsia" w:ascii="宋体" w:hAnsi="宋体" w:eastAsia="宋体" w:cs="宋体"/>
      <w:color w:val="000000"/>
      <w:sz w:val="20"/>
      <w:szCs w:val="20"/>
      <w:u w:val="none"/>
    </w:rPr>
  </w:style>
  <w:style w:type="character" w:styleId="1073" w:customStyle="1">
    <w:name w:val="明显参考1"/>
    <w:uiPriority w:val="0"/>
    <w:qFormat/>
    <w:rPr>
      <w:b/>
      <w:bCs/>
      <w:smallCaps/>
      <w:color w:val="c0504d"/>
      <w:spacing w:val="5"/>
      <w:u w:val="single"/>
    </w:rPr>
  </w:style>
  <w:style w:type="character" w:styleId="1074" w:customStyle="1">
    <w:name w:val="超链接_0"/>
    <w:uiPriority w:val="99"/>
    <w:qFormat/>
    <w:rPr>
      <w:rFonts w:ascii="Calibri" w:hAnsi="Calibri"/>
      <w:color w:val="0000ff"/>
      <w:u w:val="single"/>
    </w:rPr>
  </w:style>
  <w:style w:type="character" w:styleId="1075" w:customStyle="1">
    <w:name w:val="文档结构图 Char2"/>
    <w:uiPriority w:val="99"/>
    <w:semiHidden/>
    <w:qFormat/>
    <w:rPr>
      <w:rFonts w:ascii="宋体" w:hAnsi="Calibri" w:eastAsia="宋体" w:cs="Times New Roman"/>
      <w:sz w:val="18"/>
      <w:szCs w:val="18"/>
    </w:rPr>
  </w:style>
  <w:style w:type="character" w:styleId="1076" w:customStyle="1">
    <w:name w:val="textcontents"/>
    <w:uiPriority w:val="0"/>
    <w:qFormat/>
    <w:rPr>
      <w:rFonts w:cs="Times New Roman"/>
    </w:rPr>
  </w:style>
  <w:style w:type="character" w:styleId="1077" w:customStyle="1">
    <w:name w:val="标题 1 Char"/>
    <w:uiPriority w:val="0"/>
    <w:qFormat/>
    <w:rPr>
      <w:b/>
      <w:bCs/>
      <w:sz w:val="32"/>
      <w:szCs w:val="44"/>
    </w:rPr>
  </w:style>
  <w:style w:type="character" w:styleId="1078" w:customStyle="1">
    <w:name w:val="正文文本 字符"/>
    <w:link w:val="978"/>
    <w:uiPriority w:val="0"/>
    <w:qFormat/>
    <w:rPr>
      <w:rFonts w:eastAsia="幼圆"/>
      <w:b/>
      <w:bCs/>
      <w:sz w:val="44"/>
      <w:szCs w:val="24"/>
    </w:rPr>
  </w:style>
  <w:style w:type="character" w:styleId="1079" w:customStyle="1">
    <w:name w:val="标题 8 字符"/>
    <w:link w:val="966"/>
    <w:uiPriority w:val="0"/>
    <w:qFormat/>
    <w:rPr>
      <w:rFonts w:ascii="Cambria" w:hAnsi="Cambria"/>
      <w:sz w:val="24"/>
      <w:szCs w:val="24"/>
    </w:rPr>
  </w:style>
  <w:style w:type="character" w:styleId="1080" w:customStyle="1">
    <w:name w:val="副标题 Char1"/>
    <w:uiPriority w:val="11"/>
    <w:qFormat/>
    <w:rPr>
      <w:rFonts w:ascii="Cambria" w:hAnsi="Cambria" w:cs="Times New Roman"/>
      <w:b/>
      <w:bCs/>
      <w:sz w:val="32"/>
      <w:szCs w:val="32"/>
    </w:rPr>
  </w:style>
  <w:style w:type="character" w:styleId="1081" w:customStyle="1">
    <w:name w:val="批注主题 字符"/>
    <w:link w:val="1001"/>
    <w:uiPriority w:val="0"/>
    <w:qFormat/>
    <w:rPr>
      <w:b/>
      <w:bCs/>
      <w:sz w:val="21"/>
      <w:szCs w:val="24"/>
    </w:rPr>
  </w:style>
  <w:style w:type="character" w:styleId="1082" w:customStyle="1">
    <w:name w:val="书籍标题1"/>
    <w:uiPriority w:val="0"/>
    <w:qFormat/>
    <w:rPr>
      <w:b/>
      <w:bCs/>
      <w:smallCaps/>
      <w:spacing w:val="5"/>
    </w:rPr>
  </w:style>
  <w:style w:type="character" w:styleId="1083" w:customStyle="1">
    <w:name w:val="页脚 字符"/>
    <w:link w:val="988"/>
    <w:uiPriority w:val="99"/>
    <w:qFormat/>
    <w:rPr>
      <w:sz w:val="18"/>
      <w:szCs w:val="18"/>
    </w:rPr>
  </w:style>
  <w:style w:type="character" w:styleId="1084" w:customStyle="1">
    <w:name w:val="标题4 Char Char"/>
    <w:link w:val="1085"/>
    <w:uiPriority w:val="0"/>
    <w:qFormat/>
    <w:rPr>
      <w:rFonts w:ascii="Arial" w:hAnsi="Arial"/>
      <w:b/>
      <w:bCs/>
      <w:sz w:val="24"/>
      <w:szCs w:val="32"/>
    </w:rPr>
  </w:style>
  <w:style w:type="paragraph" w:styleId="1085" w:customStyle="1">
    <w:name w:val="标题4"/>
    <w:basedOn w:val="960"/>
    <w:next w:val="980"/>
    <w:link w:val="1084"/>
    <w:uiPriority w:val="0"/>
    <w:qFormat/>
    <w:pPr>
      <w:numPr>
        <w:ilvl w:val="0"/>
        <w:numId w:val="0"/>
      </w:numPr>
      <w:spacing w:line="413" w:lineRule="auto"/>
    </w:pPr>
    <w:rPr>
      <w:rFonts w:ascii="Arial" w:hAnsi="Arial"/>
      <w:sz w:val="24"/>
    </w:rPr>
  </w:style>
  <w:style w:type="character" w:styleId="1086" w:customStyle="1">
    <w:name w:val="正文文本 Char1"/>
    <w:uiPriority w:val="0"/>
    <w:qFormat/>
    <w:rPr>
      <w:rFonts w:ascii="Calibri" w:hAnsi="Calibri" w:eastAsia="宋体" w:cs="Times New Roman"/>
    </w:rPr>
  </w:style>
  <w:style w:type="character" w:styleId="1087" w:customStyle="1">
    <w:name w:val="明显引用 Char1"/>
    <w:uiPriority w:val="30"/>
    <w:qFormat/>
    <w:rPr>
      <w:b/>
      <w:bCs/>
      <w:i/>
      <w:iCs/>
      <w:color w:val="4f81bd"/>
      <w:sz w:val="21"/>
    </w:rPr>
  </w:style>
  <w:style w:type="character" w:styleId="1088" w:customStyle="1">
    <w:name w:val="页眉 Char1"/>
    <w:uiPriority w:val="99"/>
    <w:semiHidden/>
    <w:qFormat/>
    <w:rPr>
      <w:rFonts w:ascii="Calibri" w:hAnsi="Calibri" w:eastAsia="宋体" w:cs="Times New Roman"/>
      <w:sz w:val="18"/>
      <w:szCs w:val="18"/>
    </w:rPr>
  </w:style>
  <w:style w:type="character" w:styleId="1089" w:customStyle="1">
    <w:name w:val="不明显强调1"/>
    <w:uiPriority w:val="0"/>
    <w:qFormat/>
    <w:rPr>
      <w:i/>
      <w:iCs/>
      <w:color w:val="808080"/>
    </w:rPr>
  </w:style>
  <w:style w:type="character" w:styleId="1090" w:customStyle="1">
    <w:name w:val="正文文本 3 字符"/>
    <w:link w:val="977"/>
    <w:uiPriority w:val="0"/>
    <w:qFormat/>
    <w:rPr>
      <w:rFonts w:ascii="宋体"/>
      <w:sz w:val="24"/>
    </w:rPr>
  </w:style>
  <w:style w:type="character" w:styleId="1091" w:customStyle="1">
    <w:name w:val="正文文本缩进 3 字符"/>
    <w:link w:val="995"/>
    <w:uiPriority w:val="0"/>
    <w:qFormat/>
    <w:rPr>
      <w:sz w:val="16"/>
    </w:rPr>
  </w:style>
  <w:style w:type="character" w:styleId="1092" w:customStyle="1">
    <w:name w:val="font21"/>
    <w:uiPriority w:val="0"/>
    <w:qFormat/>
    <w:rPr>
      <w:rFonts w:hint="eastAsia" w:ascii="宋体" w:hAnsi="宋体" w:eastAsia="宋体" w:cs="宋体"/>
      <w:color w:val="000000"/>
      <w:sz w:val="20"/>
      <w:szCs w:val="20"/>
      <w:u w:val="none"/>
    </w:rPr>
  </w:style>
  <w:style w:type="character" w:styleId="1093" w:customStyle="1">
    <w:name w:val="批注框文本 字符"/>
    <w:link w:val="987"/>
    <w:uiPriority w:val="0"/>
    <w:qFormat/>
    <w:rPr>
      <w:sz w:val="18"/>
      <w:szCs w:val="18"/>
    </w:rPr>
  </w:style>
  <w:style w:type="character" w:styleId="1094" w:customStyle="1">
    <w:name w:val="标题 7 字符"/>
    <w:link w:val="965"/>
    <w:uiPriority w:val="0"/>
    <w:qFormat/>
    <w:rPr>
      <w:b/>
      <w:bCs/>
      <w:sz w:val="24"/>
      <w:szCs w:val="24"/>
    </w:rPr>
  </w:style>
  <w:style w:type="character" w:styleId="1095" w:customStyle="1">
    <w:name w:val="标题 1 字符"/>
    <w:link w:val="959"/>
    <w:uiPriority w:val="0"/>
    <w:qFormat/>
    <w:rPr>
      <w:b/>
      <w:bCs/>
      <w:sz w:val="32"/>
      <w:szCs w:val="44"/>
    </w:rPr>
  </w:style>
  <w:style w:type="character" w:styleId="1096" w:customStyle="1">
    <w:name w:val="文档结构图 Char1"/>
    <w:uiPriority w:val="0"/>
    <w:qFormat/>
    <w:rPr>
      <w:rFonts w:ascii="宋体" w:hAnsi="Calibri" w:eastAsia="宋体" w:cs="Times New Roman"/>
      <w:sz w:val="18"/>
      <w:szCs w:val="18"/>
    </w:rPr>
  </w:style>
  <w:style w:type="character" w:styleId="1097" w:customStyle="1">
    <w:name w:val="标题 2 Char_0"/>
    <w:link w:val="1098"/>
    <w:uiPriority w:val="0"/>
    <w:qFormat/>
    <w:rPr>
      <w:rFonts w:ascii="Cambria" w:hAnsi="Cambria"/>
      <w:b/>
      <w:bCs/>
      <w:sz w:val="32"/>
      <w:szCs w:val="32"/>
    </w:rPr>
  </w:style>
  <w:style w:type="paragraph" w:styleId="1098" w:customStyle="1">
    <w:name w:val="标题 2_0"/>
    <w:basedOn w:val="1023"/>
    <w:next w:val="1023"/>
    <w:link w:val="1097"/>
    <w:uiPriority w:val="0"/>
    <w:unhideWhenUsed/>
    <w:qFormat/>
    <w:pPr>
      <w:keepLines/>
      <w:keepNext/>
      <w:spacing w:before="260" w:after="260" w:line="416" w:lineRule="auto"/>
      <w:outlineLvl w:val="1"/>
    </w:pPr>
    <w:rPr>
      <w:rFonts w:ascii="Cambria" w:hAnsi="Cambria"/>
      <w:b/>
      <w:bCs/>
      <w:sz w:val="32"/>
      <w:szCs w:val="32"/>
    </w:rPr>
  </w:style>
  <w:style w:type="character" w:styleId="1099" w:customStyle="1">
    <w:name w:val="日期 Char2"/>
    <w:uiPriority w:val="99"/>
    <w:semiHidden/>
    <w:qFormat/>
    <w:rPr>
      <w:rFonts w:ascii="Calibri" w:hAnsi="Calibri" w:eastAsia="宋体" w:cs="Times New Roman"/>
    </w:rPr>
  </w:style>
  <w:style w:type="character" w:styleId="1100" w:customStyle="1">
    <w:name w:val="批注框文本 Char2"/>
    <w:uiPriority w:val="99"/>
    <w:semiHidden/>
    <w:qFormat/>
    <w:rPr>
      <w:rFonts w:ascii="Calibri" w:hAnsi="Calibri" w:eastAsia="宋体" w:cs="Times New Roman"/>
      <w:sz w:val="18"/>
      <w:szCs w:val="18"/>
    </w:rPr>
  </w:style>
  <w:style w:type="character" w:styleId="1101" w:customStyle="1">
    <w:name w:val="标题 4 字符"/>
    <w:link w:val="962"/>
    <w:uiPriority w:val="0"/>
    <w:qFormat/>
    <w:rPr>
      <w:rFonts w:ascii="Cambria" w:hAnsi="Cambria"/>
      <w:b/>
      <w:bCs/>
      <w:sz w:val="28"/>
      <w:szCs w:val="28"/>
    </w:rPr>
  </w:style>
  <w:style w:type="character" w:styleId="1102" w:customStyle="1">
    <w:name w:val="列出段落 Char"/>
    <w:link w:val="1103"/>
    <w:uiPriority w:val="34"/>
    <w:qFormat/>
    <w:rPr>
      <w:sz w:val="21"/>
      <w:szCs w:val="24"/>
    </w:rPr>
  </w:style>
  <w:style w:type="paragraph" w:styleId="1103" w:customStyle="1">
    <w:name w:val="List Paragraph1"/>
    <w:basedOn w:val="958"/>
    <w:link w:val="1102"/>
    <w:uiPriority w:val="34"/>
    <w:qFormat/>
    <w:pPr>
      <w:ind w:firstLine="420"/>
    </w:pPr>
  </w:style>
  <w:style w:type="paragraph" w:styleId="1104" w:customStyle="1">
    <w:name w:val="样式 标题 3 + (中文) 黑体 小四 非加粗 段前: 7.8 磅 段后: 0 磅 行距: 固定值 20 磅"/>
    <w:basedOn w:val="961"/>
    <w:next w:val="958"/>
    <w:uiPriority w:val="0"/>
    <w:qFormat/>
    <w:pPr>
      <w:spacing w:before="0" w:after="0" w:line="400" w:lineRule="exact"/>
    </w:pPr>
    <w:rPr>
      <w:rFonts w:eastAsia="黑体" w:cs="宋体"/>
      <w:b w:val="0"/>
      <w:bCs w:val="0"/>
      <w:sz w:val="24"/>
      <w:szCs w:val="20"/>
    </w:rPr>
  </w:style>
  <w:style w:type="paragraph" w:styleId="1105" w:customStyle="1">
    <w:name w:val="_Style 34"/>
    <w:next w:val="958"/>
    <w:uiPriority w:val="0"/>
    <w:qFormat/>
    <w:pPr>
      <w:jc w:val="both"/>
      <w:widowControl w:val="off"/>
    </w:pPr>
    <w:rPr>
      <w:rFonts w:ascii="Times New Roman" w:hAnsi="Times New Roman" w:eastAsia="宋体" w:cs="Times New Roman"/>
      <w:sz w:val="21"/>
      <w:lang w:val="en-US" w:eastAsia="zh-CN" w:bidi="ar-SA"/>
    </w:rPr>
  </w:style>
  <w:style w:type="paragraph" w:styleId="110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07" w:customStyle="1">
    <w:name w:val="_Style 36"/>
    <w:next w:val="958"/>
    <w:uiPriority w:val="0"/>
    <w:qFormat/>
    <w:pPr>
      <w:jc w:val="both"/>
      <w:widowControl w:val="off"/>
    </w:pPr>
    <w:rPr>
      <w:rFonts w:ascii="Times New Roman" w:hAnsi="Times New Roman" w:eastAsia="宋体" w:cs="Times New Roman"/>
      <w:sz w:val="21"/>
      <w:lang w:val="en-US" w:eastAsia="zh-CN" w:bidi="ar-SA"/>
    </w:rPr>
  </w:style>
  <w:style w:type="paragraph" w:styleId="1108" w:customStyle="1">
    <w:name w:val="空半行"/>
    <w:basedOn w:val="958"/>
    <w:uiPriority w:val="0"/>
    <w:qFormat/>
    <w:pPr>
      <w:spacing w:line="120" w:lineRule="exact"/>
    </w:pPr>
    <w:rPr>
      <w:rFonts w:ascii="Calibri" w:hAnsi="Calibri" w:eastAsia="仿宋_GB2312"/>
      <w:color w:val="ffffff"/>
      <w:sz w:val="30"/>
      <w:szCs w:val="22"/>
    </w:rPr>
  </w:style>
  <w:style w:type="paragraph" w:styleId="1109" w:customStyle="1">
    <w:name w:val="1方案格式1"/>
    <w:basedOn w:val="959"/>
    <w:uiPriority w:val="0"/>
    <w:qFormat/>
    <w:pPr>
      <w:numPr>
        <w:numId w:val="3"/>
      </w:numPr>
      <w:ind w:left="0" w:firstLine="0"/>
      <w:spacing w:line="360" w:lineRule="auto"/>
      <w:tabs>
        <w:tab w:val="left" w:pos="360" w:leader="none"/>
      </w:tabs>
    </w:pPr>
    <w:rPr>
      <w:rFonts w:eastAsia="微软雅黑"/>
      <w:bCs w:val="0"/>
      <w:sz w:val="48"/>
    </w:rPr>
  </w:style>
  <w:style w:type="paragraph" w:styleId="1110" w:customStyle="1">
    <w:name w:val="格式３"/>
    <w:basedOn w:val="958"/>
    <w:uiPriority w:val="0"/>
    <w:qFormat/>
    <w:pPr>
      <w:ind w:left="600" w:hanging="600"/>
      <w:spacing w:line="420" w:lineRule="exact"/>
    </w:pPr>
    <w:rPr>
      <w:rFonts w:ascii="宋体" w:hAnsi="宋体"/>
      <w:color w:val="000000"/>
      <w:sz w:val="24"/>
      <w:szCs w:val="20"/>
    </w:rPr>
  </w:style>
  <w:style w:type="paragraph" w:styleId="1111" w:customStyle="1">
    <w:name w:val="正文1"/>
    <w:uiPriority w:val="0"/>
    <w:qFormat/>
    <w:pPr>
      <w:jc w:val="both"/>
      <w:widowControl w:val="off"/>
    </w:pPr>
    <w:rPr>
      <w:rFonts w:ascii="Calibri" w:hAnsi="Calibri" w:eastAsia="宋体" w:cs="Times New Roman"/>
      <w:lang w:val="en-US" w:eastAsia="zh-CN" w:bidi="ar-SA"/>
    </w:rPr>
  </w:style>
  <w:style w:type="paragraph" w:styleId="1112" w:customStyle="1">
    <w:name w:val="列出段落1"/>
    <w:basedOn w:val="958"/>
    <w:uiPriority w:val="99"/>
    <w:qFormat/>
    <w:pPr>
      <w:contextualSpacing/>
      <w:ind w:left="720"/>
      <w:jc w:val="left"/>
      <w:widowControl/>
    </w:pPr>
    <w:rPr>
      <w:rFonts w:ascii="Arial" w:hAnsi="Arial" w:eastAsia="黑体"/>
      <w:sz w:val="24"/>
      <w:lang w:eastAsia="en-US"/>
    </w:rPr>
  </w:style>
  <w:style w:type="paragraph" w:styleId="1113" w:customStyle="1">
    <w:name w:val="正文空2字"/>
    <w:basedOn w:val="958"/>
    <w:uiPriority w:val="0"/>
    <w:qFormat/>
    <w:pPr>
      <w:ind w:firstLine="200"/>
      <w:spacing w:line="360" w:lineRule="auto"/>
    </w:pPr>
    <w:rPr>
      <w:sz w:val="24"/>
      <w:lang w:bidi="en-US"/>
    </w:rPr>
  </w:style>
  <w:style w:type="paragraph" w:styleId="111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15" w:customStyle="1">
    <w:name w:val="目录 5_0"/>
    <w:basedOn w:val="1023"/>
    <w:next w:val="1023"/>
    <w:uiPriority w:val="39"/>
    <w:qFormat/>
    <w:pPr>
      <w:ind w:left="1680"/>
    </w:pPr>
    <w:rPr>
      <w:rFonts w:ascii="Calibri" w:hAnsi="Calibri"/>
    </w:rPr>
  </w:style>
  <w:style w:type="paragraph" w:styleId="1116" w:customStyle="1">
    <w:name w:val="修订1"/>
    <w:uiPriority w:val="0"/>
    <w:qFormat/>
    <w:rPr>
      <w:rFonts w:ascii="Times New Roman" w:hAnsi="Times New Roman" w:eastAsia="宋体" w:cs="Times New Roman"/>
      <w:sz w:val="21"/>
      <w:szCs w:val="24"/>
      <w:lang w:val="en-US" w:eastAsia="zh-CN" w:bidi="ar-SA"/>
    </w:rPr>
  </w:style>
  <w:style w:type="paragraph" w:styleId="1117" w:customStyle="1">
    <w:name w:val="标题 11"/>
    <w:basedOn w:val="1111"/>
    <w:next w:val="111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18" w:customStyle="1">
    <w:name w:val="正文 + 行距: 固定值 20 磅"/>
    <w:basedOn w:val="958"/>
    <w:uiPriority w:val="0"/>
    <w:qFormat/>
    <w:pPr>
      <w:ind w:firstLine="716"/>
      <w:spacing w:line="400" w:lineRule="exact"/>
    </w:pPr>
    <w:rPr>
      <w:rFonts w:ascii="Calibri" w:hAnsi="Calibri"/>
      <w:szCs w:val="22"/>
    </w:rPr>
  </w:style>
  <w:style w:type="paragraph" w:styleId="1119" w:customStyle="1">
    <w:name w:val="TOC 标题1"/>
    <w:basedOn w:val="959"/>
    <w:next w:val="9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20" w:customStyle="1">
    <w:name w:val="表格文字"/>
    <w:basedOn w:val="958"/>
    <w:link w:val="1149"/>
    <w:uiPriority w:val="0"/>
    <w:qFormat/>
    <w:pPr>
      <w:jc w:val="left"/>
      <w:spacing w:line="420" w:lineRule="atLeast"/>
    </w:pPr>
    <w:rPr>
      <w:rFonts w:ascii="Calibri" w:hAnsi="Calibri"/>
      <w:szCs w:val="22"/>
    </w:rPr>
  </w:style>
  <w:style w:type="paragraph" w:styleId="1121" w:customStyle="1">
    <w:name w:val="flNote"/>
    <w:basedOn w:val="958"/>
    <w:uiPriority w:val="0"/>
    <w:qFormat/>
    <w:pPr>
      <w:jc w:val="center"/>
      <w:spacing w:before="320" w:after="160" w:line="360" w:lineRule="atLeast"/>
    </w:pPr>
    <w:rPr>
      <w:rFonts w:ascii="Arial" w:hAnsi="Calibri" w:eastAsia="黑体"/>
      <w:sz w:val="30"/>
      <w:szCs w:val="22"/>
    </w:rPr>
  </w:style>
  <w:style w:type="paragraph" w:styleId="1122" w:customStyle="1">
    <w:name w:val="文章正文"/>
    <w:basedOn w:val="958"/>
    <w:uiPriority w:val="99"/>
    <w:qFormat/>
    <w:pPr>
      <w:ind w:firstLine="480"/>
      <w:spacing w:line="360" w:lineRule="auto"/>
    </w:pPr>
    <w:rPr>
      <w:rFonts w:ascii="仿宋_GB2312" w:hAnsi="宋体" w:eastAsia="仿宋_GB2312"/>
      <w:color w:val="ff0000"/>
      <w:sz w:val="24"/>
    </w:rPr>
  </w:style>
  <w:style w:type="paragraph" w:styleId="1123" w:customStyle="1">
    <w:name w:val="表格"/>
    <w:basedOn w:val="958"/>
    <w:uiPriority w:val="0"/>
    <w:qFormat/>
    <w:pPr>
      <w:jc w:val="center"/>
    </w:pPr>
    <w:rPr>
      <w:rFonts w:ascii="华文细黑" w:hAnsi="华文细黑"/>
      <w:szCs w:val="22"/>
    </w:rPr>
  </w:style>
  <w:style w:type="paragraph" w:styleId="1124" w:customStyle="1">
    <w:name w:val="Char"/>
    <w:basedOn w:val="958"/>
    <w:uiPriority w:val="0"/>
    <w:qFormat/>
    <w:pPr>
      <w:jc w:val="left"/>
      <w:spacing w:after="160" w:line="240" w:lineRule="exact"/>
      <w:widowControl/>
    </w:pPr>
    <w:rPr>
      <w:rFonts w:ascii="Verdana" w:hAnsi="Verdana"/>
      <w:sz w:val="20"/>
      <w:szCs w:val="20"/>
      <w:lang w:eastAsia="en-US"/>
    </w:rPr>
  </w:style>
  <w:style w:type="paragraph" w:styleId="1125" w:customStyle="1">
    <w:name w:val="列出段落2"/>
    <w:basedOn w:val="958"/>
    <w:uiPriority w:val="34"/>
    <w:qFormat/>
    <w:pPr>
      <w:ind w:firstLine="420"/>
    </w:pPr>
  </w:style>
  <w:style w:type="paragraph" w:styleId="1126" w:customStyle="1">
    <w:name w:val="6'"/>
    <w:basedOn w:val="958"/>
    <w:uiPriority w:val="0"/>
    <w:qFormat/>
    <w:pPr>
      <w:jc w:val="center"/>
      <w:spacing w:line="320" w:lineRule="exact"/>
    </w:pPr>
    <w:rPr>
      <w:rFonts w:ascii="Calibri" w:hAnsi="Calibri"/>
      <w:spacing w:val="20"/>
      <w:szCs w:val="22"/>
    </w:rPr>
  </w:style>
  <w:style w:type="paragraph" w:styleId="1127" w:customStyle="1">
    <w:name w:val="Char Char Char Char Char Char Char"/>
    <w:basedOn w:val="958"/>
    <w:uiPriority w:val="0"/>
    <w:qFormat/>
    <w:pPr>
      <w:spacing w:line="360" w:lineRule="auto"/>
    </w:pPr>
    <w:rPr>
      <w:sz w:val="24"/>
      <w:szCs w:val="20"/>
    </w:rPr>
  </w:style>
  <w:style w:type="paragraph" w:styleId="1128" w:customStyle="1">
    <w:name w:val="2方案格式2"/>
    <w:basedOn w:val="1109"/>
    <w:uiPriority w:val="0"/>
    <w:qFormat/>
    <w:pPr>
      <w:numPr>
        <w:ilvl w:val="1"/>
      </w:numPr>
      <w:spacing w:before="50" w:after="50" w:line="240" w:lineRule="auto"/>
      <w:outlineLvl w:val="1"/>
    </w:pPr>
    <w:rPr>
      <w:sz w:val="44"/>
    </w:rPr>
  </w:style>
  <w:style w:type="paragraph" w:styleId="1129" w:customStyle="1">
    <w:name w:val="文档正文"/>
    <w:basedOn w:val="958"/>
    <w:uiPriority w:val="0"/>
    <w:qFormat/>
    <w:pPr>
      <w:ind w:firstLine="567"/>
      <w:spacing w:line="480" w:lineRule="atLeast"/>
    </w:pPr>
    <w:rPr>
      <w:rFonts w:ascii="Ari" w:eastAsia="Ari"/>
      <w:sz w:val="28"/>
      <w:szCs w:val="20"/>
    </w:rPr>
  </w:style>
  <w:style w:type="paragraph" w:styleId="1130" w:customStyle="1">
    <w:name w:val="txt"/>
    <w:basedOn w:val="958"/>
    <w:uiPriority w:val="0"/>
    <w:qFormat/>
    <w:pPr>
      <w:jc w:val="left"/>
      <w:spacing w:before="100" w:beforeAutospacing="1" w:after="100" w:afterAutospacing="1"/>
      <w:widowControl/>
    </w:pPr>
    <w:rPr>
      <w:rFonts w:ascii="宋体" w:hAnsi="宋体" w:cs="宋体"/>
      <w:sz w:val="24"/>
    </w:rPr>
  </w:style>
  <w:style w:type="paragraph" w:styleId="1131" w:customStyle="1">
    <w:name w:val="目录 4_0"/>
    <w:basedOn w:val="1023"/>
    <w:next w:val="1023"/>
    <w:uiPriority w:val="39"/>
    <w:qFormat/>
    <w:pPr>
      <w:ind w:left="1260"/>
    </w:pPr>
    <w:rPr>
      <w:rFonts w:ascii="Calibri" w:hAnsi="Calibri"/>
    </w:rPr>
  </w:style>
  <w:style w:type="paragraph" w:styleId="1132" w:customStyle="1">
    <w:name w:val="目录 3_0"/>
    <w:basedOn w:val="1023"/>
    <w:next w:val="1023"/>
    <w:uiPriority w:val="39"/>
    <w:qFormat/>
    <w:pPr>
      <w:ind w:left="840"/>
    </w:pPr>
    <w:rPr>
      <w:rFonts w:ascii="Calibri" w:hAnsi="Calibri"/>
    </w:rPr>
  </w:style>
  <w:style w:type="paragraph" w:styleId="1133" w:customStyle="1">
    <w:name w:val="样式 标题 1 + 黑体 三号 非加粗 居中 段前: 6 磅 段后: 6 磅 行距: 固定值 20 磅"/>
    <w:basedOn w:val="959"/>
    <w:uiPriority w:val="0"/>
    <w:qFormat/>
    <w:pPr>
      <w:numPr>
        <w:numId w:val="0"/>
      </w:numPr>
      <w:spacing w:before="120" w:after="120" w:line="400" w:lineRule="exact"/>
    </w:pPr>
    <w:rPr>
      <w:rFonts w:ascii="黑体" w:hAnsi="黑体" w:eastAsia="黑体"/>
      <w:b w:val="0"/>
      <w:bCs w:val="0"/>
      <w:szCs w:val="20"/>
    </w:rPr>
  </w:style>
  <w:style w:type="paragraph" w:styleId="1134" w:customStyle="1">
    <w:name w:val="1"/>
    <w:basedOn w:val="958"/>
    <w:next w:val="958"/>
    <w:uiPriority w:val="0"/>
    <w:qFormat/>
    <w:rPr>
      <w:rFonts w:ascii="Calibri" w:hAnsi="Calibri"/>
      <w:szCs w:val="22"/>
    </w:rPr>
  </w:style>
  <w:style w:type="paragraph" w:styleId="1135" w:customStyle="1">
    <w:name w:val="Blockquote_0"/>
    <w:basedOn w:val="1023"/>
    <w:uiPriority w:val="0"/>
    <w:qFormat/>
    <w:pPr>
      <w:ind w:left="360" w:right="360"/>
      <w:jc w:val="left"/>
      <w:spacing w:before="100" w:after="100"/>
    </w:pPr>
    <w:rPr>
      <w:rFonts w:ascii="Calibri" w:hAnsi="Calibri" w:eastAsia="Times New Roman"/>
      <w:sz w:val="24"/>
      <w:szCs w:val="20"/>
    </w:rPr>
  </w:style>
  <w:style w:type="paragraph" w:styleId="1136" w:customStyle="1">
    <w:name w:val="列出段落11"/>
    <w:basedOn w:val="958"/>
    <w:uiPriority w:val="0"/>
    <w:qFormat/>
    <w:pPr>
      <w:contextualSpacing/>
      <w:ind w:left="720"/>
      <w:jc w:val="left"/>
      <w:widowControl/>
    </w:pPr>
    <w:rPr>
      <w:rFonts w:ascii="Arial" w:hAnsi="Arial" w:eastAsia="黑体"/>
      <w:sz w:val="24"/>
      <w:lang w:eastAsia="en-US"/>
    </w:rPr>
  </w:style>
  <w:style w:type="paragraph" w:styleId="1137" w:customStyle="1">
    <w:name w:val="样式 标题 2 + Times New Roman 四号 非加粗 段前: 5 磅 段后: 0 磅 行距: 固定值 20..._0"/>
    <w:basedOn w:val="958"/>
    <w:uiPriority w:val="0"/>
    <w:qFormat/>
    <w:pPr>
      <w:keepLines/>
      <w:keepNext/>
      <w:spacing w:before="100" w:line="360" w:lineRule="auto"/>
      <w:outlineLvl w:val="1"/>
    </w:pPr>
    <w:rPr>
      <w:rFonts w:eastAsia="Times New Roman" w:cs="宋体"/>
      <w:sz w:val="28"/>
      <w:szCs w:val="20"/>
    </w:rPr>
  </w:style>
  <w:style w:type="paragraph" w:styleId="1138" w:customStyle="1">
    <w:name w:val="op_mapdots_left"/>
    <w:basedOn w:val="958"/>
    <w:uiPriority w:val="0"/>
    <w:qFormat/>
    <w:pPr>
      <w:jc w:val="left"/>
      <w:spacing w:before="100" w:beforeAutospacing="1" w:after="100" w:afterAutospacing="1"/>
      <w:widowControl/>
    </w:pPr>
    <w:rPr>
      <w:rFonts w:ascii="宋体" w:hAnsi="宋体" w:cs="宋体"/>
      <w:sz w:val="24"/>
    </w:rPr>
  </w:style>
  <w:style w:type="paragraph" w:styleId="1139" w:customStyle="1">
    <w:name w:val="p0"/>
    <w:basedOn w:val="958"/>
    <w:uiPriority w:val="0"/>
    <w:qFormat/>
    <w:pPr>
      <w:widowControl/>
    </w:pPr>
    <w:rPr>
      <w:b/>
      <w:bCs/>
      <w:sz w:val="24"/>
    </w:rPr>
  </w:style>
  <w:style w:type="paragraph" w:styleId="1140" w:customStyle="1">
    <w:name w:val="Blockquote"/>
    <w:basedOn w:val="958"/>
    <w:uiPriority w:val="0"/>
    <w:qFormat/>
    <w:pPr>
      <w:ind w:left="360" w:right="360"/>
      <w:jc w:val="left"/>
      <w:spacing w:before="100" w:after="100"/>
    </w:pPr>
    <w:rPr>
      <w:rFonts w:ascii="Calibri" w:hAnsi="Calibri"/>
      <w:sz w:val="24"/>
      <w:szCs w:val="22"/>
    </w:rPr>
  </w:style>
  <w:style w:type="paragraph" w:styleId="1141" w:customStyle="1">
    <w:name w:val="3方案格式3"/>
    <w:basedOn w:val="1128"/>
    <w:uiPriority w:val="0"/>
    <w:qFormat/>
    <w:pPr>
      <w:numPr>
        <w:ilvl w:val="2"/>
      </w:numPr>
      <w:outlineLvl w:val="2"/>
    </w:pPr>
    <w:rPr>
      <w:sz w:val="32"/>
    </w:rPr>
  </w:style>
  <w:style w:type="paragraph" w:styleId="1142" w:customStyle="1">
    <w:name w:val="样式 标题 2 + Times New Roman 四号 非加粗 段前: 5 磅 段后: 0 磅 行距: 固定值 20..."/>
    <w:basedOn w:val="96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43" w:customStyle="1">
    <w:name w:val="标题2"/>
    <w:basedOn w:val="960"/>
    <w:next w:val="978"/>
    <w:uiPriority w:val="0"/>
    <w:qFormat/>
    <w:pPr>
      <w:spacing w:before="156" w:after="156" w:line="360" w:lineRule="auto"/>
    </w:pPr>
    <w:rPr>
      <w:bCs w:val="0"/>
      <w:sz w:val="24"/>
    </w:rPr>
  </w:style>
  <w:style w:type="paragraph" w:styleId="1144" w:customStyle="1">
    <w:name w:val="普通正文"/>
    <w:basedOn w:val="958"/>
    <w:uiPriority w:val="0"/>
    <w:qFormat/>
    <w:pPr>
      <w:ind w:firstLine="480"/>
      <w:jc w:val="left"/>
      <w:spacing w:before="120" w:after="120" w:line="360" w:lineRule="auto"/>
    </w:pPr>
    <w:rPr>
      <w:rFonts w:ascii="Arial" w:hAnsi="Arial"/>
      <w:sz w:val="24"/>
    </w:rPr>
  </w:style>
  <w:style w:type="paragraph" w:styleId="1145" w:customStyle="1">
    <w:name w:val="正文11"/>
    <w:uiPriority w:val="0"/>
    <w:qFormat/>
    <w:rPr>
      <w:rFonts w:ascii="Calibri" w:hAnsi="Calibri" w:eastAsia="宋体" w:cs="Calibri"/>
      <w:sz w:val="24"/>
      <w:szCs w:val="24"/>
      <w:lang w:val="en-US" w:eastAsia="zh-CN" w:bidi="ar-SA"/>
    </w:rPr>
  </w:style>
  <w:style w:type="paragraph" w:styleId="1146" w:customStyle="1">
    <w:name w:val="正文2"/>
    <w:uiPriority w:val="0"/>
    <w:qFormat/>
    <w:rPr>
      <w:rFonts w:ascii="Times New Roman" w:hAnsi="Times New Roman" w:eastAsia="微软雅黑" w:cs="Times New Roman"/>
      <w:sz w:val="24"/>
      <w:szCs w:val="24"/>
      <w:lang w:val="en-US" w:eastAsia="zh-CN" w:bidi="ar-SA"/>
    </w:rPr>
  </w:style>
  <w:style w:type="paragraph" w:styleId="1147" w:customStyle="1">
    <w:name w:val="列出段落3"/>
    <w:basedOn w:val="958"/>
    <w:uiPriority w:val="0"/>
    <w:qFormat/>
    <w:pPr>
      <w:ind w:firstLine="420"/>
      <w:jc w:val="left"/>
      <w:spacing w:after="200"/>
      <w:widowControl/>
    </w:pPr>
    <w:rPr>
      <w:rFonts w:ascii="Tahoma" w:hAnsi="Tahoma" w:eastAsia="微软雅黑"/>
      <w:sz w:val="22"/>
      <w:szCs w:val="22"/>
    </w:rPr>
  </w:style>
  <w:style w:type="paragraph" w:styleId="1148" w:customStyle="1">
    <w:name w:val="纯文本2"/>
    <w:basedOn w:val="958"/>
    <w:uiPriority w:val="0"/>
    <w:qFormat/>
    <w:pPr>
      <w:jc w:val="left"/>
    </w:pPr>
    <w:rPr>
      <w:rFonts w:hint="eastAsia" w:ascii="宋体" w:hAnsi="宋体" w:cs="Courier New"/>
      <w:sz w:val="24"/>
      <w:szCs w:val="20"/>
      <w:lang w:bidi="hi-IN"/>
    </w:rPr>
  </w:style>
  <w:style w:type="character" w:styleId="1149" w:customStyle="1">
    <w:name w:val="表格文字 字符"/>
    <w:link w:val="1120"/>
    <w:uiPriority w:val="0"/>
    <w:qFormat/>
    <w:rPr>
      <w:rFonts w:ascii="Calibri" w:hAnsi="Calibri" w:eastAsia="宋体" w:cs="Times New Roman"/>
      <w:sz w:val="21"/>
      <w:szCs w:val="22"/>
    </w:rPr>
  </w:style>
  <w:style w:type="paragraph" w:styleId="1150" w:customStyle="1">
    <w:name w:val="trs_editor"/>
    <w:basedOn w:val="958"/>
    <w:uiPriority w:val="0"/>
    <w:qFormat/>
    <w:pPr>
      <w:jc w:val="left"/>
      <w:spacing w:before="100" w:beforeAutospacing="1" w:after="100" w:afterAutospacing="1"/>
      <w:widowControl/>
    </w:pPr>
    <w:rPr>
      <w:rFonts w:ascii="宋体" w:hAnsi="宋体" w:cs="宋体"/>
      <w:sz w:val="24"/>
    </w:rPr>
  </w:style>
  <w:style w:type="character" w:styleId="1151" w:customStyle="1">
    <w:name w:val="未处理的提及1"/>
    <w:basedOn w:val="968"/>
    <w:uiPriority w:val="99"/>
    <w:semiHidden/>
    <w:unhideWhenUsed/>
    <w:qFormat/>
    <w:rPr>
      <w:color w:val="605e5c"/>
      <w:shd w:val="clear" w:color="auto" w:fill="e1dfdd"/>
    </w:rPr>
  </w:style>
  <w:style w:type="paragraph" w:styleId="1152" w:customStyle="1">
    <w:name w:val="_Style 3"/>
    <w:basedOn w:val="958"/>
    <w:uiPriority w:val="99"/>
    <w:qFormat/>
    <w:pPr>
      <w:ind w:firstLine="420"/>
    </w:pPr>
    <w:rPr>
      <w:szCs w:val="22"/>
    </w:rPr>
  </w:style>
  <w:style w:type="table" w:styleId="1153" w:customStyle="1">
    <w:name w:val="网格型1"/>
    <w:basedOn w:val="9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4" w:customStyle="1">
    <w:name w:val="批注文字 字符1"/>
    <w:uiPriority w:val="99"/>
    <w:qFormat/>
    <w:rPr>
      <w:sz w:val="24"/>
      <w:szCs w:val="22"/>
    </w:rPr>
  </w:style>
  <w:style w:type="character" w:styleId="1155" w:customStyle="1">
    <w:name w:val="f141"/>
    <w:uiPriority w:val="0"/>
    <w:qFormat/>
    <w:rPr>
      <w:sz w:val="21"/>
      <w:szCs w:val="21"/>
    </w:rPr>
  </w:style>
  <w:style w:type="character" w:styleId="1156" w:customStyle="1">
    <w:name w:val="p141"/>
    <w:uiPriority w:val="0"/>
    <w:qFormat/>
    <w:rPr>
      <w:sz w:val="21"/>
      <w:szCs w:val="21"/>
    </w:rPr>
  </w:style>
  <w:style w:type="character" w:styleId="1157" w:customStyle="1">
    <w:name w:val="s10pv000000"/>
    <w:basedOn w:val="968"/>
    <w:uiPriority w:val="0"/>
    <w:qFormat/>
  </w:style>
  <w:style w:type="paragraph" w:styleId="1158" w:customStyle="1">
    <w:name w:val="样式 标题 4 + 段前: 5 磅 段后: 5 磅 行距: 单倍行距"/>
    <w:basedOn w:val="96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59" w:customStyle="1">
    <w:name w:val="基准标题"/>
    <w:basedOn w:val="978"/>
    <w:next w:val="97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160" w:customStyle="1">
    <w:name w:val="font6"/>
    <w:basedOn w:val="958"/>
    <w:uiPriority w:val="0"/>
    <w:qFormat/>
    <w:pPr>
      <w:jc w:val="left"/>
      <w:spacing w:before="100" w:beforeAutospacing="1" w:after="100" w:afterAutospacing="1"/>
      <w:widowControl/>
    </w:pPr>
    <w:rPr>
      <w:rFonts w:hint="eastAsia" w:ascii="宋体" w:hAnsi="宋体"/>
      <w:sz w:val="24"/>
    </w:rPr>
  </w:style>
  <w:style w:type="paragraph" w:styleId="1161" w:customStyle="1">
    <w:name w:val="样式4"/>
    <w:basedOn w:val="958"/>
    <w:uiPriority w:val="0"/>
    <w:qFormat/>
    <w:pPr>
      <w:ind w:left="2328" w:hanging="708"/>
      <w:tabs>
        <w:tab w:val="left" w:pos="2328" w:leader="none"/>
      </w:tabs>
    </w:pPr>
  </w:style>
  <w:style w:type="paragraph" w:styleId="1162" w:customStyle="1">
    <w:name w:val="font5"/>
    <w:basedOn w:val="958"/>
    <w:uiPriority w:val="0"/>
    <w:qFormat/>
    <w:pPr>
      <w:jc w:val="left"/>
      <w:spacing w:before="100" w:beforeAutospacing="1" w:after="100" w:afterAutospacing="1"/>
      <w:widowControl/>
    </w:pPr>
    <w:rPr>
      <w:rFonts w:hint="eastAsia" w:ascii="宋体" w:hAnsi="宋体"/>
      <w:sz w:val="18"/>
      <w:szCs w:val="18"/>
    </w:rPr>
  </w:style>
  <w:style w:type="paragraph" w:styleId="1163" w:customStyle="1">
    <w:name w:val="3 Char"/>
    <w:basedOn w:val="958"/>
    <w:uiPriority w:val="0"/>
    <w:qFormat/>
    <w:pPr>
      <w:jc w:val="center"/>
      <w:spacing w:line="400" w:lineRule="exact"/>
      <w:widowControl/>
    </w:pPr>
    <w:rPr>
      <w:rFonts w:ascii="Verdana" w:hAnsi="Verdana"/>
      <w:szCs w:val="20"/>
      <w:lang w:eastAsia="en-US"/>
    </w:rPr>
  </w:style>
  <w:style w:type="paragraph" w:styleId="1164" w:customStyle="1">
    <w:name w:val="样式 标题 2 + 宋体 五号 非加粗 黑色"/>
    <w:basedOn w:val="96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65" w:customStyle="1">
    <w:name w:val="xl29"/>
    <w:basedOn w:val="958"/>
    <w:uiPriority w:val="0"/>
    <w:qFormat/>
    <w:pPr>
      <w:jc w:val="center"/>
      <w:spacing w:before="100" w:beforeAutospacing="1" w:after="100" w:afterAutospacing="1"/>
      <w:widowControl/>
    </w:pPr>
    <w:rPr>
      <w:rFonts w:ascii="宋体" w:hAnsi="宋体"/>
      <w:sz w:val="28"/>
      <w:szCs w:val="28"/>
    </w:rPr>
  </w:style>
  <w:style w:type="paragraph" w:styleId="1166" w:customStyle="1">
    <w:name w:val="图"/>
    <w:basedOn w:val="958"/>
    <w:uiPriority w:val="0"/>
    <w:qFormat/>
    <w:pPr>
      <w:jc w:val="center"/>
      <w:keepNext/>
      <w:spacing w:before="60" w:after="60" w:line="300" w:lineRule="auto"/>
    </w:pPr>
    <w:rPr>
      <w:spacing w:val="20"/>
      <w:sz w:val="24"/>
      <w:szCs w:val="20"/>
    </w:rPr>
  </w:style>
  <w:style w:type="paragraph" w:styleId="1167" w:customStyle="1">
    <w:name w:val="设计方案"/>
    <w:basedOn w:val="95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68" w:customStyle="1">
    <w:name w:val="xl24"/>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69" w:customStyle="1">
    <w:name w:val="样式1"/>
    <w:basedOn w:val="958"/>
    <w:uiPriority w:val="0"/>
    <w:qFormat/>
    <w:pPr>
      <w:ind w:left="425" w:hanging="425"/>
      <w:tabs>
        <w:tab w:val="left" w:pos="425" w:leader="none"/>
        <w:tab w:val="left" w:pos="709" w:leader="none"/>
      </w:tabs>
    </w:pPr>
    <w:rPr>
      <w:rFonts w:ascii="宋体" w:hAnsi="宋体"/>
      <w:szCs w:val="20"/>
    </w:rPr>
  </w:style>
  <w:style w:type="paragraph" w:styleId="1170" w:customStyle="1">
    <w:name w:val="head"/>
    <w:basedOn w:val="95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71" w:customStyle="1">
    <w:name w:val="默认段落字体 Para Char Char Char Char"/>
    <w:basedOn w:val="958"/>
    <w:uiPriority w:val="0"/>
    <w:qFormat/>
    <w:rPr>
      <w:szCs w:val="20"/>
    </w:rPr>
  </w:style>
  <w:style w:type="paragraph" w:styleId="1172" w:customStyle="1">
    <w:name w:val="Char Char Char Char"/>
    <w:basedOn w:val="958"/>
    <w:uiPriority w:val="0"/>
    <w:qFormat/>
    <w:pPr>
      <w:jc w:val="left"/>
      <w:spacing w:after="160" w:line="240" w:lineRule="exact"/>
      <w:widowControl/>
    </w:pPr>
    <w:rPr>
      <w:rFonts w:ascii="Verdana" w:hAnsi="Verdana" w:eastAsia="仿宋_GB2312"/>
      <w:sz w:val="24"/>
      <w:szCs w:val="20"/>
      <w:lang w:eastAsia="en-US"/>
    </w:rPr>
  </w:style>
  <w:style w:type="paragraph" w:styleId="1173" w:customStyle="1">
    <w:name w:val="font0"/>
    <w:basedOn w:val="958"/>
    <w:uiPriority w:val="0"/>
    <w:qFormat/>
    <w:pPr>
      <w:jc w:val="left"/>
      <w:spacing w:before="100" w:beforeAutospacing="1" w:after="100" w:afterAutospacing="1"/>
      <w:widowControl/>
    </w:pPr>
    <w:rPr>
      <w:rFonts w:hint="eastAsia" w:ascii="宋体" w:hAnsi="宋体"/>
      <w:sz w:val="24"/>
    </w:rPr>
  </w:style>
  <w:style w:type="paragraph" w:styleId="1174" w:customStyle="1">
    <w:name w:val="样式 标题 3h3H3sect1.2.3 + 五号 段前: 6 磅 段后: 6 磅 行距: 单倍行距"/>
    <w:basedOn w:val="96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75" w:customStyle="1">
    <w:name w:val="纯文本 Char1"/>
    <w:basedOn w:val="968"/>
    <w:uiPriority w:val="0"/>
    <w:qFormat/>
    <w:rPr>
      <w:rFonts w:ascii="宋体" w:hAnsi="Courier New" w:eastAsia="宋体" w:cs="Courier New"/>
      <w:szCs w:val="21"/>
    </w:rPr>
  </w:style>
  <w:style w:type="character" w:styleId="1176" w:customStyle="1">
    <w:name w:val="HTML 预设格式 字符"/>
    <w:basedOn w:val="968"/>
    <w:link w:val="997"/>
    <w:uiPriority w:val="99"/>
    <w:qFormat/>
    <w:rPr>
      <w:rFonts w:ascii="宋体" w:hAnsi="宋体"/>
      <w:sz w:val="24"/>
      <w:szCs w:val="24"/>
    </w:rPr>
  </w:style>
  <w:style w:type="paragraph" w:styleId="1177" w:customStyle="1">
    <w:name w:val="Char1 Char Char Char"/>
    <w:basedOn w:val="958"/>
    <w:uiPriority w:val="0"/>
    <w:qFormat/>
    <w:rPr>
      <w:szCs w:val="20"/>
    </w:rPr>
  </w:style>
  <w:style w:type="paragraph" w:styleId="1178" w:customStyle="1">
    <w:name w:val="Char1"/>
    <w:basedOn w:val="958"/>
    <w:uiPriority w:val="0"/>
    <w:qFormat/>
    <w:pPr>
      <w:jc w:val="left"/>
      <w:spacing w:after="160" w:line="240" w:lineRule="exact"/>
      <w:widowControl/>
    </w:pPr>
    <w:rPr>
      <w:sz w:val="24"/>
    </w:rPr>
  </w:style>
  <w:style w:type="paragraph" w:styleId="1179" w:customStyle="1">
    <w:name w:val="默认段落字体 Para Char"/>
    <w:basedOn w:val="958"/>
    <w:uiPriority w:val="0"/>
    <w:qFormat/>
  </w:style>
  <w:style w:type="paragraph" w:styleId="1180" w:customStyle="1">
    <w:name w:val="Char1 Char Char Char Char Char Char Char Char Char"/>
    <w:basedOn w:val="958"/>
    <w:uiPriority w:val="0"/>
    <w:qFormat/>
    <w:pPr>
      <w:jc w:val="center"/>
      <w:spacing w:line="400" w:lineRule="exact"/>
      <w:widowControl/>
    </w:pPr>
    <w:rPr>
      <w:rFonts w:ascii="Verdana" w:hAnsi="Verdana"/>
      <w:szCs w:val="20"/>
      <w:lang w:eastAsia="en-US"/>
    </w:rPr>
  </w:style>
  <w:style w:type="paragraph" w:styleId="1181" w:customStyle="1">
    <w:name w:val="普通(网站)1"/>
    <w:basedOn w:val="958"/>
    <w:uiPriority w:val="0"/>
    <w:qFormat/>
    <w:pPr>
      <w:jc w:val="left"/>
      <w:spacing w:before="100" w:beforeAutospacing="1" w:after="100" w:afterAutospacing="1"/>
      <w:widowControl/>
    </w:pPr>
    <w:rPr>
      <w:rFonts w:ascii="宋体" w:hAnsi="宋体"/>
      <w:sz w:val="24"/>
    </w:rPr>
  </w:style>
  <w:style w:type="paragraph" w:styleId="1182" w:customStyle="1">
    <w:name w:val="Char Char2 Char"/>
    <w:basedOn w:val="958"/>
    <w:uiPriority w:val="0"/>
    <w:qFormat/>
    <w:rPr>
      <w:rFonts w:ascii="宋体" w:hAnsi="宋体"/>
      <w:b/>
      <w:sz w:val="28"/>
      <w:szCs w:val="28"/>
    </w:rPr>
  </w:style>
  <w:style w:type="character" w:styleId="1183" w:customStyle="1">
    <w:name w:val="正文缩进 字符"/>
    <w:link w:val="973"/>
    <w:uiPriority w:val="0"/>
    <w:qFormat/>
    <w:rPr>
      <w:b/>
      <w:sz w:val="24"/>
    </w:rPr>
  </w:style>
  <w:style w:type="paragraph" w:styleId="1184" w:customStyle="1">
    <w:name w:val="Char Char Char"/>
    <w:basedOn w:val="958"/>
    <w:uiPriority w:val="0"/>
    <w:qFormat/>
    <w:rPr>
      <w:rFonts w:ascii="宋体" w:hAnsi="宋体"/>
      <w:b/>
      <w:sz w:val="28"/>
      <w:szCs w:val="28"/>
    </w:rPr>
  </w:style>
  <w:style w:type="paragraph" w:styleId="1185" w:customStyle="1">
    <w:name w:val="Char2"/>
    <w:basedOn w:val="958"/>
    <w:uiPriority w:val="0"/>
    <w:qFormat/>
    <w:pPr>
      <w:jc w:val="left"/>
      <w:spacing w:after="160" w:line="240" w:lineRule="exact"/>
      <w:widowControl/>
    </w:pPr>
    <w:rPr>
      <w:szCs w:val="20"/>
    </w:rPr>
  </w:style>
  <w:style w:type="paragraph" w:styleId="1186" w:customStyle="1">
    <w:name w:val="a"/>
    <w:basedOn w:val="958"/>
    <w:uiPriority w:val="0"/>
    <w:qFormat/>
    <w:pPr>
      <w:jc w:val="left"/>
      <w:spacing w:before="100" w:beforeAutospacing="1" w:after="100" w:afterAutospacing="1"/>
      <w:widowControl/>
    </w:pPr>
    <w:rPr>
      <w:rFonts w:ascii="宋体" w:hAnsi="宋体" w:cs="宋体"/>
      <w:sz w:val="24"/>
    </w:rPr>
  </w:style>
  <w:style w:type="character" w:styleId="1187" w:customStyle="1">
    <w:name w:val="description5"/>
    <w:basedOn w:val="968"/>
    <w:uiPriority w:val="0"/>
    <w:qFormat/>
  </w:style>
  <w:style w:type="character" w:styleId="1188">
    <w:name w:val="Placeholder Text"/>
    <w:uiPriority w:val="99"/>
    <w:semiHidden/>
    <w:qFormat/>
    <w:rPr>
      <w:color w:val="808080"/>
    </w:rPr>
  </w:style>
  <w:style w:type="paragraph" w:styleId="1189" w:customStyle="1">
    <w:name w:val="Table Paragraph"/>
    <w:basedOn w:val="958"/>
    <w:uiPriority w:val="1"/>
    <w:qFormat/>
    <w:pPr>
      <w:jc w:val="left"/>
    </w:pPr>
    <w:rPr>
      <w:sz w:val="24"/>
    </w:rPr>
  </w:style>
  <w:style w:type="character" w:styleId="1190" w:customStyle="1">
    <w:name w:val="Char Char7"/>
    <w:uiPriority w:val="0"/>
    <w:qFormat/>
    <w:rPr>
      <w:rFonts w:ascii="Tahoma" w:hAnsi="Tahoma" w:eastAsia="微软雅黑"/>
      <w:b/>
      <w:bCs/>
      <w:sz w:val="32"/>
      <w:szCs w:val="32"/>
      <w:lang w:val="en-US" w:eastAsia="zh-CN" w:bidi="ar-SA"/>
    </w:rPr>
  </w:style>
  <w:style w:type="character" w:styleId="1191" w:customStyle="1">
    <w:name w:val="font01"/>
    <w:uiPriority w:val="0"/>
    <w:qFormat/>
    <w:rPr>
      <w:rFonts w:hint="eastAsia" w:ascii="宋体" w:hAnsi="宋体" w:eastAsia="宋体" w:cs="宋体"/>
      <w:color w:val="000000"/>
      <w:sz w:val="20"/>
      <w:szCs w:val="20"/>
      <w:u w:val="none"/>
    </w:rPr>
  </w:style>
  <w:style w:type="character" w:styleId="1192" w:customStyle="1">
    <w:name w:val="font81"/>
    <w:uiPriority w:val="0"/>
    <w:qFormat/>
    <w:rPr>
      <w:rFonts w:hint="eastAsia" w:ascii="宋体" w:hAnsi="宋体" w:eastAsia="宋体" w:cs="宋体"/>
      <w:color w:val="000000"/>
      <w:sz w:val="22"/>
      <w:szCs w:val="22"/>
      <w:u w:val="none"/>
    </w:rPr>
  </w:style>
  <w:style w:type="character" w:styleId="1193" w:customStyle="1">
    <w:name w:val="font71"/>
    <w:uiPriority w:val="0"/>
    <w:qFormat/>
    <w:rPr>
      <w:rFonts w:hint="eastAsia" w:ascii="宋体" w:hAnsi="宋体" w:eastAsia="宋体" w:cs="宋体"/>
      <w:color w:val="000000"/>
      <w:sz w:val="22"/>
      <w:szCs w:val="22"/>
      <w:u w:val="none"/>
    </w:rPr>
  </w:style>
  <w:style w:type="character" w:styleId="1194" w:customStyle="1">
    <w:name w:val="font51"/>
    <w:uiPriority w:val="0"/>
    <w:qFormat/>
    <w:rPr>
      <w:rFonts w:hint="default" w:ascii="Calibri" w:hAnsi="Calibri" w:cs="Calibri"/>
      <w:color w:val="000000"/>
      <w:sz w:val="22"/>
      <w:szCs w:val="22"/>
      <w:u w:val="none"/>
    </w:rPr>
  </w:style>
  <w:style w:type="character" w:styleId="1195" w:customStyle="1">
    <w:name w:val="font61"/>
    <w:uiPriority w:val="0"/>
    <w:qFormat/>
    <w:rPr>
      <w:rFonts w:hint="default" w:ascii="Calibri" w:hAnsi="Calibri" w:cs="Calibri"/>
      <w:color w:val="000000"/>
      <w:sz w:val="22"/>
      <w:szCs w:val="22"/>
      <w:u w:val="none"/>
    </w:rPr>
  </w:style>
  <w:style w:type="character" w:styleId="1196" w:customStyle="1">
    <w:name w:val="font41"/>
    <w:uiPriority w:val="0"/>
    <w:qFormat/>
    <w:rPr>
      <w:rFonts w:hint="eastAsia" w:ascii="宋体" w:hAnsi="宋体" w:eastAsia="宋体" w:cs="宋体"/>
      <w:color w:val="000000"/>
      <w:sz w:val="22"/>
      <w:szCs w:val="22"/>
      <w:u w:val="none"/>
    </w:rPr>
  </w:style>
  <w:style w:type="character" w:styleId="1197" w:customStyle="1">
    <w:name w:val="未处理的提及2"/>
    <w:basedOn w:val="968"/>
    <w:uiPriority w:val="99"/>
    <w:semiHidden/>
    <w:unhideWhenUsed/>
    <w:qFormat/>
    <w:rPr>
      <w:color w:val="605e5c"/>
      <w:shd w:val="clear" w:color="auto" w:fill="e1dfdd"/>
    </w:rPr>
  </w:style>
  <w:style w:type="character" w:styleId="1198" w:customStyle="1">
    <w:name w:val="未处理的提及3"/>
    <w:basedOn w:val="968"/>
    <w:uiPriority w:val="99"/>
    <w:semiHidden/>
    <w:unhideWhenUsed/>
    <w:qFormat/>
    <w:rPr>
      <w:color w:val="605e5c"/>
      <w:shd w:val="clear" w:color="auto" w:fill="e1dfdd"/>
    </w:rPr>
  </w:style>
  <w:style w:type="paragraph" w:styleId="1199" w:customStyle="1">
    <w:name w:val="_Style 234"/>
    <w:basedOn w:val="958"/>
    <w:next w:val="1018"/>
    <w:uiPriority w:val="34"/>
    <w:qFormat/>
    <w:pPr>
      <w:ind w:left="420" w:firstLine="420"/>
      <w:spacing w:line="400" w:lineRule="exact"/>
    </w:pPr>
    <w:rPr>
      <w:rFonts w:ascii="Calibri" w:hAnsi="Calibri"/>
    </w:rPr>
  </w:style>
  <w:style w:type="character" w:styleId="1200" w:customStyle="1">
    <w:name w:val="列表段落 字符"/>
    <w:link w:val="1018"/>
    <w:uiPriority w:val="99"/>
    <w:qFormat/>
    <w:rPr>
      <w:sz w:val="21"/>
      <w:szCs w:val="24"/>
    </w:rPr>
  </w:style>
  <w:style w:type="character" w:styleId="1201" w:customStyle="1">
    <w:name w:val="彩色列表 - 强调文字颜色 1字符"/>
    <w:uiPriority w:val="34"/>
    <w:qFormat/>
    <w:rPr>
      <w:rFonts w:ascii="Calibri" w:hAnsi="Calibri"/>
      <w:sz w:val="21"/>
      <w:szCs w:val="24"/>
    </w:rPr>
  </w:style>
  <w:style w:type="character" w:styleId="1202" w:customStyle="1">
    <w:name w:val="批注主题 字符1"/>
    <w:basedOn w:val="1154"/>
    <w:uiPriority w:val="99"/>
    <w:semiHidden/>
    <w:qFormat/>
    <w:rPr>
      <w:rFonts w:ascii="Calibri" w:hAnsi="Calibri" w:eastAsia="宋体" w:cs="Times New Roman"/>
      <w:b/>
      <w:bCs/>
      <w:sz w:val="24"/>
      <w:szCs w:val="24"/>
    </w:rPr>
  </w:style>
  <w:style w:type="character" w:styleId="1203" w:customStyle="1">
    <w:name w:val="正文文本缩进 2 字符1"/>
    <w:basedOn w:val="968"/>
    <w:uiPriority w:val="99"/>
    <w:semiHidden/>
    <w:qFormat/>
    <w:rPr>
      <w:rFonts w:ascii="Calibri" w:hAnsi="Calibri" w:eastAsia="宋体" w:cs="Times New Roman"/>
      <w:szCs w:val="24"/>
    </w:rPr>
  </w:style>
  <w:style w:type="character" w:styleId="1204" w:customStyle="1">
    <w:name w:val="标题 字符1"/>
    <w:basedOn w:val="968"/>
    <w:uiPriority w:val="10"/>
    <w:qFormat/>
    <w:rPr>
      <w:rFonts w:asciiTheme="majorHAnsi" w:hAnsiTheme="majorHAnsi" w:eastAsiaTheme="majorEastAsia" w:cstheme="majorBidi"/>
      <w:b/>
      <w:bCs/>
      <w:sz w:val="32"/>
      <w:szCs w:val="32"/>
    </w:rPr>
  </w:style>
  <w:style w:type="character" w:styleId="1205" w:customStyle="1">
    <w:name w:val="正文文本缩进 字符1"/>
    <w:basedOn w:val="968"/>
    <w:uiPriority w:val="99"/>
    <w:semiHidden/>
    <w:qFormat/>
    <w:rPr>
      <w:rFonts w:ascii="Calibri" w:hAnsi="Calibri" w:eastAsia="宋体" w:cs="Times New Roman"/>
      <w:szCs w:val="24"/>
    </w:rPr>
  </w:style>
  <w:style w:type="character" w:styleId="1206" w:customStyle="1">
    <w:name w:val="副标题 字符1"/>
    <w:basedOn w:val="968"/>
    <w:uiPriority w:val="11"/>
    <w:qFormat/>
    <w:rPr>
      <w:b/>
      <w:bCs/>
      <w:sz w:val="32"/>
      <w:szCs w:val="32"/>
    </w:rPr>
  </w:style>
  <w:style w:type="character" w:styleId="1207" w:customStyle="1">
    <w:name w:val="日期 字符1"/>
    <w:basedOn w:val="968"/>
    <w:uiPriority w:val="99"/>
    <w:semiHidden/>
    <w:qFormat/>
    <w:rPr>
      <w:rFonts w:ascii="Calibri" w:hAnsi="Calibri" w:eastAsia="宋体" w:cs="Times New Roman"/>
      <w:szCs w:val="24"/>
    </w:rPr>
  </w:style>
  <w:style w:type="paragraph" w:styleId="1208" w:customStyle="1">
    <w:name w:val="修订2"/>
    <w:uiPriority w:val="99"/>
    <w:unhideWhenUsed/>
    <w:qFormat/>
    <w:rPr>
      <w:rFonts w:ascii="Calibri" w:hAnsi="Calibri" w:eastAsia="宋体" w:cs="Times New Roman"/>
      <w:sz w:val="21"/>
      <w:szCs w:val="24"/>
      <w:lang w:val="en-US" w:eastAsia="zh-CN" w:bidi="ar-SA"/>
    </w:rPr>
  </w:style>
  <w:style w:type="character" w:styleId="1209" w:customStyle="1">
    <w:name w:val="正文文本 字符1"/>
    <w:basedOn w:val="968"/>
    <w:uiPriority w:val="99"/>
    <w:semiHidden/>
    <w:qFormat/>
    <w:rPr>
      <w:rFonts w:ascii="Calibri" w:hAnsi="Calibri" w:eastAsia="宋体" w:cs="Times New Roman"/>
      <w:szCs w:val="24"/>
    </w:rPr>
  </w:style>
  <w:style w:type="character" w:styleId="1210" w:customStyle="1">
    <w:name w:val="批注框文本 字符1"/>
    <w:basedOn w:val="968"/>
    <w:uiPriority w:val="99"/>
    <w:semiHidden/>
    <w:qFormat/>
    <w:rPr>
      <w:rFonts w:ascii="Calibri" w:hAnsi="Calibri" w:eastAsia="宋体" w:cs="Times New Roman"/>
      <w:sz w:val="18"/>
      <w:szCs w:val="18"/>
    </w:rPr>
  </w:style>
  <w:style w:type="paragraph" w:styleId="1211" w:customStyle="1">
    <w:name w:val="小四 段落 宋体 Char Char Char"/>
    <w:basedOn w:val="972"/>
    <w:uiPriority w:val="0"/>
    <w:qFormat/>
    <w:pPr>
      <w:numPr>
        <w:ilvl w:val="0"/>
        <w:numId w:val="0"/>
      </w:numPr>
      <w:ind w:right="-33" w:firstLine="480"/>
      <w:jc w:val="left"/>
      <w:spacing w:line="360" w:lineRule="auto"/>
    </w:pPr>
    <w:rPr>
      <w:rFonts w:ascii="Times New Roman" w:hAnsi="Times New Roman"/>
      <w:sz w:val="24"/>
      <w:szCs w:val="20"/>
    </w:rPr>
  </w:style>
  <w:style w:type="character" w:styleId="1212" w:customStyle="1">
    <w:name w:val="纯文本 字符1"/>
    <w:basedOn w:val="968"/>
    <w:uiPriority w:val="99"/>
    <w:semiHidden/>
    <w:qFormat/>
    <w:rPr>
      <w:rFonts w:hAnsi="Courier New" w:cs="Courier New" w:asciiTheme="minorEastAsia"/>
      <w:szCs w:val="24"/>
    </w:rPr>
  </w:style>
  <w:style w:type="character" w:styleId="1213" w:customStyle="1">
    <w:name w:val="文档结构图 字符1"/>
    <w:basedOn w:val="968"/>
    <w:uiPriority w:val="99"/>
    <w:semiHidden/>
    <w:qFormat/>
    <w:rPr>
      <w:rFonts w:ascii="Microsoft YaHei UI" w:hAnsi="Calibri" w:eastAsia="Microsoft YaHei UI" w:cs="Times New Roman"/>
      <w:sz w:val="18"/>
      <w:szCs w:val="18"/>
    </w:rPr>
  </w:style>
  <w:style w:type="character" w:styleId="1214" w:customStyle="1">
    <w:name w:val="正文文本 3 字符1"/>
    <w:basedOn w:val="968"/>
    <w:uiPriority w:val="99"/>
    <w:semiHidden/>
    <w:qFormat/>
    <w:rPr>
      <w:rFonts w:ascii="Calibri" w:hAnsi="Calibri" w:eastAsia="宋体" w:cs="Times New Roman"/>
      <w:sz w:val="16"/>
      <w:szCs w:val="16"/>
    </w:rPr>
  </w:style>
  <w:style w:type="paragraph" w:styleId="1215" w:customStyle="1">
    <w:name w:val="_Style 106"/>
    <w:basedOn w:val="958"/>
    <w:next w:val="1018"/>
    <w:uiPriority w:val="34"/>
    <w:qFormat/>
    <w:pPr>
      <w:ind w:left="420" w:firstLine="420"/>
      <w:spacing w:line="400" w:lineRule="exact"/>
    </w:pPr>
    <w:rPr>
      <w:rFonts w:ascii="Calibri" w:hAnsi="Calibri"/>
    </w:rPr>
  </w:style>
  <w:style w:type="character" w:styleId="1216" w:customStyle="1">
    <w:name w:val="正文文本缩进 3 字符1"/>
    <w:basedOn w:val="968"/>
    <w:uiPriority w:val="99"/>
    <w:semiHidden/>
    <w:qFormat/>
    <w:rPr>
      <w:rFonts w:ascii="Calibri" w:hAnsi="Calibri" w:eastAsia="宋体" w:cs="Times New Roman"/>
      <w:sz w:val="16"/>
      <w:szCs w:val="16"/>
    </w:rPr>
  </w:style>
  <w:style w:type="character" w:styleId="1217" w:customStyle="1">
    <w:name w:val="未处理的提及4"/>
    <w:basedOn w:val="968"/>
    <w:uiPriority w:val="99"/>
    <w:semiHidden/>
    <w:unhideWhenUsed/>
    <w:qFormat/>
    <w:rPr>
      <w:color w:val="605e5c"/>
      <w:shd w:val="clear" w:color="auto" w:fill="e1dfdd"/>
    </w:rPr>
  </w:style>
  <w:style w:type="character" w:styleId="1218" w:customStyle="1">
    <w:name w:val="未处理的提及5"/>
    <w:basedOn w:val="968"/>
    <w:uiPriority w:val="99"/>
    <w:semiHidden/>
    <w:unhideWhenUsed/>
    <w:qFormat/>
    <w:rPr>
      <w:color w:val="605e5c"/>
      <w:shd w:val="clear" w:color="auto" w:fill="e1dfdd"/>
    </w:rPr>
  </w:style>
  <w:style w:type="character" w:styleId="1219" w:customStyle="1">
    <w:name w:val="未处理的提及6"/>
    <w:basedOn w:val="968"/>
    <w:uiPriority w:val="99"/>
    <w:semiHidden/>
    <w:unhideWhenUsed/>
    <w:qFormat/>
    <w:rPr>
      <w:color w:val="605e5c"/>
      <w:shd w:val="clear" w:color="auto" w:fill="e1dfdd"/>
    </w:rPr>
  </w:style>
  <w:style w:type="character" w:styleId="1220" w:customStyle="1">
    <w:name w:val="font101"/>
    <w:uiPriority w:val="0"/>
    <w:qFormat/>
    <w:rPr>
      <w:rFonts w:ascii="PingFangTC-light" w:hAnsi="PingFangTC-light" w:eastAsia="PingFangTC-light" w:cs="PingFangTC-light"/>
      <w:color w:val="ff0000"/>
      <w:sz w:val="22"/>
      <w:szCs w:val="22"/>
      <w:u w:val="none"/>
    </w:rPr>
  </w:style>
  <w:style w:type="character" w:styleId="1221" w:customStyle="1">
    <w:name w:val="font112"/>
    <w:uiPriority w:val="0"/>
    <w:qFormat/>
    <w:rPr>
      <w:rFonts w:ascii="Calibri" w:hAnsi="Calibri" w:cs="Calibri"/>
      <w:color w:val="ff0000"/>
      <w:sz w:val="21"/>
      <w:szCs w:val="21"/>
      <w:u w:val="none"/>
    </w:rPr>
  </w:style>
  <w:style w:type="character" w:styleId="1222" w:customStyle="1">
    <w:name w:val="font121"/>
    <w:uiPriority w:val="0"/>
    <w:qFormat/>
    <w:rPr>
      <w:rFonts w:hint="eastAsia" w:ascii="宋体" w:hAnsi="宋体" w:eastAsia="宋体" w:cs="宋体"/>
      <w:color w:val="000000"/>
      <w:sz w:val="20"/>
      <w:szCs w:val="20"/>
      <w:u w:val="none"/>
    </w:rPr>
  </w:style>
  <w:style w:type="character" w:styleId="1223" w:customStyle="1">
    <w:name w:val="纯文本 Char"/>
    <w:uiPriority w:val="0"/>
    <w:qFormat/>
    <w:rPr>
      <w:rFonts w:ascii="宋体" w:hAnsi="Courier New" w:eastAsia="宋体" w:cs="Courier New"/>
      <w:szCs w:val="21"/>
    </w:rPr>
  </w:style>
  <w:style w:type="character" w:styleId="1224" w:customStyle="1">
    <w:name w:val="NormalCharacter"/>
    <w:uiPriority w:val="0"/>
    <w:qFormat/>
    <w:rPr>
      <w:rFonts w:ascii="Times New Roman" w:hAnsi="Times New Roman" w:eastAsia="宋体" w:cs="Times New Roman"/>
      <w:sz w:val="21"/>
      <w:szCs w:val="22"/>
      <w:lang w:val="en-US" w:eastAsia="zh-CN" w:bidi="ar-SA"/>
    </w:rPr>
  </w:style>
  <w:style w:type="paragraph" w:styleId="1225" w:customStyle="1">
    <w:name w:val="样式 宋体 五号 行距: 单倍行距"/>
    <w:basedOn w:val="958"/>
    <w:uiPriority w:val="0"/>
    <w:qFormat/>
    <w:pPr>
      <w:jc w:val="left"/>
    </w:pPr>
    <w:rPr>
      <w:rFonts w:ascii="宋体" w:hAnsi="宋体"/>
      <w:szCs w:val="20"/>
    </w:rPr>
  </w:style>
  <w:style w:type="paragraph" w:styleId="1226" w:customStyle="1">
    <w:name w:val="一级条标题"/>
    <w:basedOn w:val="1227"/>
    <w:next w:val="12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7" w:customStyle="1">
    <w:name w:val="章标题"/>
    <w:basedOn w:val="958"/>
    <w:next w:val="95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228" w:customStyle="1">
    <w:name w:val="段"/>
    <w:basedOn w:val="958"/>
    <w:next w:val="958"/>
    <w:uiPriority w:val="0"/>
    <w:qFormat/>
    <w:pPr>
      <w:ind w:firstLine="200"/>
      <w:widowControl/>
    </w:pPr>
    <w:rPr>
      <w:rFonts w:hint="eastAsia" w:ascii="宋体"/>
      <w:szCs w:val="20"/>
    </w:rPr>
  </w:style>
  <w:style w:type="paragraph" w:styleId="1229"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230" w:customStyle="1">
    <w:name w:val="RZM投标图片和表格"/>
    <w:basedOn w:val="958"/>
    <w:uiPriority w:val="0"/>
    <w:qFormat/>
    <w:rPr>
      <w:szCs w:val="20"/>
    </w:rPr>
  </w:style>
  <w:style w:type="paragraph" w:styleId="1231" w:customStyle="1">
    <w:name w:val="列表段落1"/>
    <w:basedOn w:val="958"/>
    <w:next w:val="976"/>
    <w:uiPriority w:val="0"/>
    <w:qFormat/>
    <w:pPr>
      <w:ind w:firstLine="420"/>
    </w:pPr>
  </w:style>
  <w:style w:type="paragraph" w:styleId="1232" w:customStyle="1">
    <w:name w:val="正文缩进1"/>
    <w:basedOn w:val="958"/>
    <w:next w:val="958"/>
    <w:uiPriority w:val="0"/>
    <w:qFormat/>
    <w:pPr>
      <w:ind w:firstLine="420"/>
    </w:pPr>
    <w:rPr>
      <w:szCs w:val="21"/>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00873C3-1D62-4EB1-90CA-246183C3F169}"/>
</file>

<file path=customXml/itemProps2.xml><?xml version="1.0" encoding="utf-8"?>
<ds:datastoreItem xmlns:ds="http://schemas.openxmlformats.org/officeDocument/2006/customXml" ds:itemID="{AE97110C-3F70-47BD-B1BC-E739F75BC1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褚晶晶</cp:lastModifiedBy>
  <cp:revision>5</cp:revision>
  <dcterms:created xsi:type="dcterms:W3CDTF">2026-05-29T00:02:00Z</dcterms:created>
  <dcterms:modified xsi:type="dcterms:W3CDTF">2026-06-05T04:59:02Z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6250FED978C44B1485BE4F4D7088B850_13</vt:lpwstr>
  </property>
  <property fmtid="{D5CDD505-2E9C-101B-9397-08002B2CF9AE}" pid="4" name="KSOTemplateDocerSaveRecord">
    <vt:lpwstr>eyJoZGlkIjoiYTc2ZGZiNzZiNDVlOGViOWVmM2JhOTY0NGJkNjUyYzgiLCJ1c2VySWQiOiIxMTQ0NDg0NzI4In0=</vt:lpwstr>
  </property>
</Properties>
</file>