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val="en-US" w:eastAsia="zh-CN"/>
        </w:rPr>
        <w:t xml:space="preserve">常州市新北区龙虎塘中学改扩建项目实验室及专用教室设备采购</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项目编号/包号：</w:t>
      </w:r>
      <w:r>
        <w:rPr>
          <w:rFonts w:hint="eastAsia" w:ascii="宋体" w:hAnsi="宋体" w:cs="宋体"/>
          <w:bCs/>
          <w:color w:val="000000"/>
          <w:sz w:val="36"/>
          <w:szCs w:val="36"/>
          <w:highlight w:val="none"/>
          <w:lang w:eastAsia="zh-CN"/>
        </w:rPr>
        <w:t xml:space="preserve">JSZC-320411009-JDGS-G2026-0030</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采购人：</w:t>
      </w:r>
      <w:r>
        <w:rPr>
          <w:rFonts w:hint="eastAsia" w:ascii="宋体" w:hAnsi="宋体" w:eastAsia="宋体" w:cs="宋体"/>
          <w:bCs/>
          <w:color w:val="000000"/>
          <w:sz w:val="36"/>
          <w:szCs w:val="36"/>
          <w:highlight w:val="none"/>
          <w:lang w:eastAsia="zh-CN"/>
        </w:rPr>
        <w:t xml:space="preserve">常州市新北区龙虎塘中学</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采购代理机构：江苏建达全过程工程咨询有限公司</w:t>
      </w:r>
      <w:r/>
    </w:p>
    <w:p>
      <w:pPr>
        <w:jc w:val="left"/>
        <w:widowControl/>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9"/>
      </w:pPr>
      <w:r/>
      <w:bookmarkStart w:id="0" w:name="_Toc99301418"/>
      <w:r>
        <w:rPr>
          <w:rFonts w:hint="eastAsia" w:ascii="宋体" w:hAnsi="宋体" w:eastAsia="宋体" w:cs="宋体"/>
          <w:b/>
          <w:color w:val="000000"/>
          <w:sz w:val="36"/>
          <w:szCs w:val="36"/>
          <w:highlight w:val="none"/>
        </w:rPr>
        <w:t xml:space="preserve">目      录</w:t>
      </w:r>
      <w:bookmarkEnd w:id="0"/>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tabs>
          <w:tab w:val="right" w:pos="9272" w:leader="dot"/>
        </w:tabs>
        <w:rPr>
          <w:highlight w:val="none"/>
        </w:rPr>
      </w:pPr>
      <w:r>
        <w:rPr>
          <w:rFonts w:hint="eastAsia" w:ascii="宋体" w:hAnsi="宋体" w:eastAsia="宋体" w:cs="宋体"/>
          <w:b w:val="0"/>
          <w:color w:val="000000"/>
          <w:highlight w:val="none"/>
        </w:rPr>
        <w:fldChar w:fldCharType="begin"/>
      </w:r>
      <w:r>
        <w:rPr>
          <w:rFonts w:hint="eastAsia" w:ascii="宋体" w:hAnsi="宋体" w:eastAsia="宋体" w:cs="宋体"/>
          <w:b w:val="0"/>
          <w:color w:val="000000"/>
          <w:highlight w:val="none"/>
        </w:rPr>
        <w:instrText xml:space="preserve"> TOC \o "1-1" \h \z \u </w:instrText>
      </w:r>
      <w:r>
        <w:rPr>
          <w:rFonts w:hint="eastAsia" w:ascii="宋体" w:hAnsi="宋体" w:eastAsia="宋体" w:cs="宋体"/>
          <w:b w:val="0"/>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_Toc4957 </w:instrText>
      </w:r>
      <w:r>
        <w:rPr>
          <w:rFonts w:hint="eastAsia" w:ascii="宋体" w:hAnsi="宋体" w:eastAsia="宋体" w:cs="宋体"/>
          <w:highlight w:val="none"/>
        </w:rPr>
        <w:fldChar w:fldCharType="separate"/>
      </w:r>
      <w:r>
        <w:rPr>
          <w:rFonts w:hint="eastAsia" w:ascii="宋体" w:hAnsi="宋体" w:eastAsia="宋体" w:cs="宋体"/>
          <w:szCs w:val="36"/>
          <w:highlight w:val="none"/>
          <w:lang w:val="en-US" w:eastAsia="zh-CN"/>
        </w:rPr>
        <w:t xml:space="preserve">第一章</w:t>
      </w:r>
      <w:r>
        <w:rPr>
          <w:rFonts w:hint="eastAsia" w:ascii="宋体" w:hAnsi="宋体" w:eastAsia="宋体" w:cs="宋体"/>
          <w:highlight w:val="none"/>
          <w:lang w:val="en-US" w:eastAsia="zh-CN"/>
        </w:rPr>
        <w:t xml:space="preserve">  </w:t>
      </w:r>
      <w:r>
        <w:rPr>
          <w:rFonts w:hint="eastAsia" w:eastAsia="宋体" w:cs="宋体"/>
          <w:highlight w:val="none"/>
          <w:lang w:val="en-US" w:eastAsia="zh-CN"/>
        </w:rPr>
        <w:t xml:space="preserve"> </w:t>
      </w:r>
      <w:r>
        <w:rPr>
          <w:rFonts w:hint="eastAsia" w:ascii="宋体" w:hAnsi="宋体" w:eastAsia="宋体" w:cs="宋体"/>
          <w:szCs w:val="36"/>
          <w:highlight w:val="none"/>
        </w:rPr>
        <w:t xml:space="preserve">投标邀请</w:t>
      </w:r>
      <w:r>
        <w:rPr>
          <w:highlight w:val="none"/>
        </w:rPr>
        <w:tab/>
      </w:r>
      <w:r>
        <w:rPr>
          <w:highlight w:val="none"/>
        </w:rPr>
        <w:fldChar w:fldCharType="begin"/>
      </w:r>
      <w:r>
        <w:rPr>
          <w:highlight w:val="none"/>
        </w:rPr>
        <w:instrText xml:space="preserve"> PAGEREF _Toc4957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_Toc6065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第二章   投标人须知</w:t>
      </w:r>
      <w:r>
        <w:rPr>
          <w:highlight w:val="none"/>
        </w:rPr>
        <w:tab/>
      </w:r>
      <w:r>
        <w:rPr>
          <w:highlight w:val="none"/>
        </w:rPr>
        <w:fldChar w:fldCharType="begin"/>
      </w:r>
      <w:r>
        <w:rPr>
          <w:highlight w:val="none"/>
        </w:rPr>
        <w:instrText xml:space="preserve"> PAGEREF _Toc6065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_Toc12606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第三章   资格审查</w:t>
      </w:r>
      <w:r>
        <w:rPr>
          <w:highlight w:val="none"/>
        </w:rPr>
        <w:tab/>
      </w:r>
      <w:r>
        <w:rPr>
          <w:highlight w:val="none"/>
        </w:rPr>
        <w:fldChar w:fldCharType="begin"/>
      </w:r>
      <w:r>
        <w:rPr>
          <w:highlight w:val="none"/>
        </w:rPr>
        <w:instrText xml:space="preserve"> PAGEREF _Toc12606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_Toc8367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_Toc8367 \h </w:instrText>
      </w:r>
      <w:r>
        <w:rPr>
          <w:highlight w:val="none"/>
        </w:rPr>
        <w:fldChar w:fldCharType="separate"/>
      </w:r>
      <w:r>
        <w:rPr>
          <w:highlight w:val="none"/>
        </w:rPr>
        <w:t xml:space="preserve">18</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_Toc20229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第五章   采购需求</w:t>
      </w:r>
      <w:r>
        <w:rPr>
          <w:highlight w:val="none"/>
        </w:rPr>
        <w:tab/>
      </w:r>
      <w:r>
        <w:rPr>
          <w:highlight w:val="none"/>
        </w:rPr>
        <w:fldChar w:fldCharType="begin"/>
      </w:r>
      <w:r>
        <w:rPr>
          <w:highlight w:val="none"/>
        </w:rPr>
        <w:instrText xml:space="preserve"> PAGEREF _Toc20229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color w:val="000000"/>
          <w:highlight w:val="none"/>
        </w:rPr>
        <w:fldChar w:fldCharType="end"/>
      </w:r>
      <w:r/>
    </w:p>
    <w:p>
      <w:pPr>
        <w:pStyle w:val="1028"/>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_Toc31542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第六章   合同草案条款</w:t>
      </w:r>
      <w:r>
        <w:rPr>
          <w:highlight w:val="none"/>
        </w:rPr>
        <w:tab/>
      </w:r>
      <w:r>
        <w:rPr>
          <w:highlight w:val="none"/>
        </w:rPr>
        <w:fldChar w:fldCharType="begin"/>
      </w:r>
      <w:r>
        <w:rPr>
          <w:highlight w:val="none"/>
        </w:rPr>
        <w:instrText xml:space="preserve"> PAGEREF _Toc31542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color w:val="000000"/>
          <w:highlight w:val="none"/>
        </w:rPr>
        <w:fldChar w:fldCharType="end"/>
      </w:r>
      <w:r/>
    </w:p>
    <w:p>
      <w:pPr>
        <w:pStyle w:val="1028"/>
        <w:spacing w:line="360" w:lineRule="auto"/>
        <w:rPr>
          <w:rFonts w:hint="eastAsia" w:ascii="宋体" w:hAnsi="宋体" w:eastAsia="宋体" w:cs="宋体"/>
          <w:b w:val="0"/>
          <w:color w:val="000000"/>
          <w:highlight w:val="none"/>
        </w:rPr>
      </w:pPr>
      <w:r>
        <w:rPr>
          <w:rFonts w:hint="eastAsia" w:ascii="宋体" w:hAnsi="宋体" w:eastAsia="宋体" w:cs="宋体"/>
          <w:color w:val="000000"/>
          <w:highlight w:val="none"/>
        </w:rPr>
        <w:fldChar w:fldCharType="end"/>
      </w:r>
      <w:r/>
    </w:p>
    <w:p>
      <w:pPr>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lang w:val="en-US" w:eastAsia="zh-CN"/>
        </w:rPr>
        <w:t xml:space="preserve"> </w:t>
      </w:r>
      <w:bookmarkStart w:id="1" w:name="_Toc4957"/>
      <w:r>
        <w:rPr>
          <w:rFonts w:hint="eastAsia" w:ascii="宋体" w:hAnsi="宋体" w:eastAsia="宋体" w:cs="宋体"/>
          <w:b/>
          <w:color w:val="000000"/>
          <w:sz w:val="36"/>
          <w:szCs w:val="36"/>
          <w:highlight w:val="none"/>
          <w:lang w:val="en-US" w:eastAsia="zh-CN"/>
        </w:rPr>
        <w:t xml:space="preserve">第一章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b/>
          <w:color w:val="000000"/>
          <w:sz w:val="36"/>
          <w:szCs w:val="36"/>
          <w:highlight w:val="none"/>
        </w:rPr>
        <w:t xml:space="preserve">投标邀请</w:t>
      </w:r>
      <w:bookmarkEnd w:id="1"/>
      <w:r/>
      <w:bookmarkStart w:id="2" w:name="_Toc35393621"/>
      <w:r/>
      <w:bookmarkStart w:id="3" w:name="_Toc35393790"/>
      <w:r/>
      <w:bookmarkStart w:id="4" w:name="_Toc28359079"/>
      <w:r/>
      <w:bookmarkStart w:id="5" w:name="_Toc28359002"/>
      <w:r/>
      <w:bookmarkStart w:id="6" w:name="_Hlk24379207"/>
      <w:r>
        <w:t xml:space="preserve"> </w:t>
      </w:r>
      <w:r/>
    </w:p>
    <w:tbl>
      <w:tblPr>
        <w:tblStyle w:val="10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的潜在供应商应在“苏采云”系统(http://jszfcg.jsczt.cn/jszc/login)自行免费下载电子版招标文件,并于</w:t>
            </w:r>
            <w:r>
              <w:rPr>
                <w:rFonts w:hint="eastAsia" w:ascii="宋体" w:hAnsi="宋体" w:eastAsia="宋体" w:cs="宋体"/>
                <w:color w:val="000000"/>
                <w:sz w:val="24"/>
                <w:highlight w:val="yellow"/>
                <w:lang w:eastAsia="zh-CN"/>
              </w:rPr>
              <w:t xml:space="preserve">2026年</w:t>
            </w:r>
            <w:r>
              <w:rPr>
                <w:rFonts w:hint="eastAsia" w:ascii="宋体" w:hAnsi="宋体" w:cs="宋体"/>
                <w:color w:val="000000"/>
                <w:sz w:val="24"/>
                <w:highlight w:val="yellow"/>
                <w:lang w:val="en-US" w:eastAsia="zh-CN"/>
              </w:rPr>
              <w:t xml:space="preserve">7</w:t>
            </w:r>
            <w:r>
              <w:rPr>
                <w:rFonts w:hint="eastAsia" w:ascii="宋体" w:hAnsi="宋体" w:eastAsia="宋体" w:cs="宋体"/>
                <w:color w:val="000000"/>
                <w:sz w:val="24"/>
                <w:highlight w:val="yellow"/>
                <w:lang w:eastAsia="zh-CN"/>
              </w:rPr>
              <w:t xml:space="preserve">月</w:t>
            </w:r>
            <w:r>
              <w:rPr>
                <w:rFonts w:hint="eastAsia" w:ascii="宋体" w:hAnsi="宋体" w:cs="宋体"/>
                <w:color w:val="000000"/>
                <w:sz w:val="24"/>
                <w:highlight w:val="yellow"/>
                <w:lang w:val="en-US" w:eastAsia="zh-CN"/>
              </w:rPr>
              <w:t xml:space="preserve">10</w:t>
            </w:r>
            <w:r>
              <w:rPr>
                <w:rFonts w:hint="eastAsia" w:ascii="宋体" w:hAnsi="宋体" w:eastAsia="宋体" w:cs="宋体"/>
                <w:color w:val="000000"/>
                <w:sz w:val="24"/>
                <w:highlight w:val="yellow"/>
                <w:lang w:eastAsia="zh-CN"/>
              </w:rPr>
              <w:t xml:space="preserve">日上午</w:t>
            </w:r>
            <w:r>
              <w:rPr>
                <w:rFonts w:hint="eastAsia" w:ascii="宋体" w:hAnsi="宋体" w:eastAsia="宋体" w:cs="宋体"/>
                <w:color w:val="000000"/>
                <w:sz w:val="24"/>
                <w:highlight w:val="yellow"/>
                <w:lang w:val="en-US" w:eastAsia="zh-CN"/>
              </w:rPr>
              <w:t xml:space="preserve">9</w:t>
            </w:r>
            <w:r>
              <w:rPr>
                <w:rFonts w:hint="eastAsia" w:ascii="宋体" w:hAnsi="宋体" w:eastAsia="宋体" w:cs="宋体"/>
                <w:color w:val="000000"/>
                <w:sz w:val="24"/>
                <w:highlight w:val="yellow"/>
                <w:lang w:eastAsia="zh-CN"/>
              </w:rPr>
              <w:t xml:space="preserve">:</w:t>
            </w:r>
            <w:r>
              <w:rPr>
                <w:rFonts w:hint="eastAsia" w:ascii="宋体" w:hAnsi="宋体" w:eastAsia="宋体" w:cs="宋体"/>
                <w:color w:val="000000"/>
                <w:sz w:val="24"/>
                <w:highlight w:val="yellow"/>
                <w:lang w:val="en-US" w:eastAsia="zh-CN"/>
              </w:rPr>
              <w:t xml:space="preserve">3</w:t>
            </w:r>
            <w:r>
              <w:rPr>
                <w:rFonts w:hint="eastAsia" w:ascii="宋体" w:hAnsi="宋体" w:eastAsia="宋体" w:cs="宋体"/>
                <w:color w:val="000000"/>
                <w:sz w:val="24"/>
                <w:highlight w:val="yellow"/>
                <w:lang w:eastAsia="zh-CN"/>
              </w:rPr>
              <w:t xml:space="preserve">0</w:t>
            </w:r>
            <w:r>
              <w:rPr>
                <w:rFonts w:hint="eastAsia" w:ascii="宋体" w:hAnsi="宋体" w:eastAsia="宋体" w:cs="宋体"/>
                <w:color w:val="000000"/>
                <w:sz w:val="24"/>
                <w:highlight w:val="none"/>
              </w:rPr>
              <w:t xml:space="preserve">(北京时间)前登录“苏采云”供应商端，通过系统在线提交电子投标文件。 </w:t>
            </w:r>
            <w:r/>
          </w:p>
        </w:tc>
      </w:tr>
    </w:tbl>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
    </w:p>
    <w:p>
      <w:pPr>
        <w:ind w:firstLine="48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JSZC-320411009-JDGS-G2026-0030</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常州市新北区龙虎塘中学改扩建项目实验室及专用教室设备采购</w:t>
      </w:r>
      <w:bookmarkEnd w:id="6"/>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color w:val="000000"/>
          <w:sz w:val="24"/>
          <w:highlight w:val="none"/>
          <w:lang w:val="en-US" w:eastAsia="zh-CN"/>
        </w:rPr>
        <w:t xml:space="preserve">192万元</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lang w:val="en-US" w:eastAsia="zh-CN"/>
        </w:rPr>
        <w:t xml:space="preserve">常州市新北区龙虎塘中学改扩建项目实验室及专用教室设备采购，包含实验室设备、科创中心设备的制造(采购)、运输、装卸、安装、调试、测试、售后服务、技术培训等，直至通过采购人及其他相关部门的验收以及质量保修、免费维保等全部工作。</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合同签订后60日历天内完成供货、安装、调试并通过验收。</w:t>
      </w:r>
      <w:r/>
    </w:p>
    <w:p>
      <w:pPr>
        <w:ind w:firstLine="480"/>
        <w:spacing w:line="360" w:lineRule="auto"/>
        <w:rPr>
          <w:rFonts w:hint="eastAsia" w:ascii="宋体" w:hAnsi="宋体" w:eastAsia="宋体" w:cs="宋体"/>
          <w:color w:val="000000"/>
          <w:sz w:val="24"/>
          <w:highlight w:val="none"/>
        </w:rPr>
      </w:pPr>
      <w:r/>
      <w:bookmarkStart w:id="7" w:name="_Toc35393791"/>
      <w:r/>
      <w:bookmarkStart w:id="8" w:name="_Toc28359080"/>
      <w:r/>
      <w:bookmarkStart w:id="9" w:name="_Toc28359003"/>
      <w:r/>
      <w:bookmarkStart w:id="10" w:name="_Toc35393622"/>
      <w:r>
        <w:rPr>
          <w:rFonts w:hint="eastAsia" w:ascii="宋体" w:hAnsi="宋体" w:eastAsia="宋体" w:cs="宋体"/>
          <w:color w:val="000000"/>
          <w:sz w:val="24"/>
          <w:highlight w:val="none"/>
        </w:rPr>
        <w:t xml:space="preserve">6.本项目是否接受联合体： □是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7.本项目是否接受进口产品响应：□是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8.本项目是否接受进口产品投标：□是  ■否。</w:t>
      </w:r>
      <w:r/>
    </w:p>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highlight w:val="none"/>
        </w:rPr>
      </w:pPr>
      <w:r/>
      <w:bookmarkStart w:id="11" w:name="_Toc28359081"/>
      <w:r/>
      <w:bookmarkStart w:id="12" w:name="_Toc28359004"/>
      <w:r>
        <w:rPr>
          <w:rFonts w:hint="eastAsia" w:ascii="宋体" w:hAnsi="宋体" w:eastAsia="宋体" w:cs="宋体"/>
          <w:color w:val="000000"/>
          <w:sz w:val="24"/>
          <w:highlight w:val="none"/>
        </w:rPr>
        <w:t xml:space="preserve">2.落实政府采购政策需满足的资格要求：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本项目专门面向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小微企业  采购。即:提供的</w:t>
      </w:r>
      <w:r>
        <w:rPr>
          <w:rFonts w:hint="eastAsia" w:ascii="宋体" w:hAnsi="宋体" w:eastAsia="宋体" w:cs="宋体"/>
          <w:color w:val="000000"/>
          <w:sz w:val="24"/>
          <w:highlight w:val="none"/>
          <w:lang w:eastAsia="zh-CN"/>
        </w:rPr>
        <w:t xml:space="preserve">货物</w:t>
      </w:r>
      <w:r>
        <w:rPr>
          <w:rFonts w:hint="eastAsia" w:ascii="宋体" w:hAnsi="宋体" w:eastAsia="宋体" w:cs="宋体"/>
          <w:strike w:val="0"/>
          <w:color w:val="000000"/>
          <w:sz w:val="24"/>
          <w:highlight w:val="none"/>
          <w:lang w:val="en-US" w:eastAsia="zh-CN"/>
        </w:rPr>
        <w:t xml:space="preserve">/</w:t>
      </w:r>
      <w:r>
        <w:rPr>
          <w:rFonts w:hint="eastAsia" w:ascii="宋体" w:hAnsi="宋体" w:eastAsia="宋体" w:cs="宋体"/>
          <w:strike w:val="0"/>
          <w:color w:val="000000"/>
          <w:sz w:val="24"/>
          <w:highlight w:val="none"/>
        </w:rPr>
        <w:t xml:space="preserve">服务</w:t>
      </w:r>
      <w:r>
        <w:rPr>
          <w:rFonts w:hint="eastAsia" w:ascii="宋体" w:hAnsi="宋体" w:eastAsia="宋体" w:cs="宋体"/>
          <w:color w:val="000000"/>
          <w:sz w:val="24"/>
          <w:highlight w:val="none"/>
        </w:rPr>
        <w:t xml:space="preserve">全部由符合政策要求的中小/小微企业承接。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000000"/>
          <w:sz w:val="24"/>
          <w:highlight w:val="none"/>
        </w:rPr>
      </w:pPr>
      <w:r>
        <w:rPr>
          <w:rFonts w:hint="eastAsia" w:ascii="宋体" w:hAnsi="宋体" w:eastAsia="宋体" w:cs="宋体"/>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3.3其他特定资格要求:无。</w:t>
      </w:r>
      <w:bookmarkEnd w:id="11"/>
      <w:bookmarkEnd w:id="12"/>
      <w:r/>
    </w:p>
    <w:p>
      <w:pPr>
        <w:pStyle w:val="974"/>
        <w:jc w:val="left"/>
        <w:spacing w:before="0" w:line="360" w:lineRule="auto"/>
        <w:widowControl/>
        <w:rPr>
          <w:rFonts w:hint="eastAsia" w:ascii="宋体" w:hAnsi="宋体" w:eastAsia="宋体" w:cs="宋体"/>
          <w:color w:val="000000"/>
          <w:sz w:val="24"/>
          <w:szCs w:val="24"/>
          <w:highlight w:val="none"/>
        </w:rPr>
      </w:pPr>
      <w:r/>
      <w:bookmarkStart w:id="13" w:name="_Toc35393623"/>
      <w:r/>
      <w:bookmarkStart w:id="14" w:name="_Toc35393792"/>
      <w:r>
        <w:rPr>
          <w:rFonts w:hint="eastAsia" w:ascii="宋体" w:hAnsi="宋体" w:eastAsia="宋体" w:cs="宋体"/>
          <w:color w:val="000000"/>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sz w:val="24"/>
          <w:highlight w:val="none"/>
        </w:rPr>
        <w:t xml:space="preserve">：</w:t>
      </w:r>
      <w:bookmarkStart w:id="15" w:name="_Toc35393793"/>
      <w:r/>
      <w:bookmarkStart w:id="16" w:name="_Toc28359082"/>
      <w:r/>
      <w:bookmarkStart w:id="17" w:name="_Toc28359005"/>
      <w:r/>
      <w:bookmarkStart w:id="18" w:name="_Toc35393624"/>
      <w:r>
        <w:rPr>
          <w:rFonts w:hint="eastAsia" w:ascii="宋体" w:hAnsi="宋体" w:eastAsia="宋体" w:cs="宋体"/>
          <w:color w:val="000000"/>
          <w:sz w:val="24"/>
          <w:highlight w:val="none"/>
        </w:rPr>
        <w:t xml:space="preserve">自招标文件公告发布之日起5个工作日</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2.地点：政府采购一体化平台“苏采云”。</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3.方式：供应商持CA数字认证证书登录政府采购一体化平台“苏采云”获取电子版招标文件。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4.售价：0元。</w:t>
      </w:r>
      <w:r/>
    </w:p>
    <w:p>
      <w:pPr>
        <w:pStyle w:val="974"/>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5"/>
      <w:r/>
      <w:bookmarkEnd w:id="16"/>
      <w:r/>
      <w:bookmarkEnd w:id="17"/>
      <w:r/>
      <w:bookmarkEnd w:id="18"/>
      <w:r>
        <w:rPr>
          <w:rFonts w:hint="eastAsia" w:ascii="宋体" w:hAnsi="宋体" w:eastAsia="宋体" w:cs="宋体"/>
          <w:color w:val="000000"/>
          <w:sz w:val="24"/>
          <w:szCs w:val="24"/>
          <w:highlight w:val="none"/>
        </w:rPr>
        <w:t xml:space="preserve">投标文件提交</w:t>
      </w:r>
      <w:r/>
    </w:p>
    <w:p>
      <w:pPr>
        <w:ind w:firstLine="480"/>
        <w:spacing w:line="360" w:lineRule="auto"/>
        <w:rPr>
          <w:rFonts w:hint="eastAsia" w:ascii="宋体" w:hAnsi="宋体" w:eastAsia="宋体" w:cs="宋体"/>
          <w:bCs/>
          <w:color w:val="000000"/>
          <w:sz w:val="24"/>
          <w:highlight w:val="yellow"/>
          <w:u w:val="single"/>
        </w:rPr>
      </w:pPr>
      <w:r>
        <w:rPr>
          <w:rFonts w:hint="eastAsia" w:ascii="宋体" w:hAnsi="宋体" w:eastAsia="宋体" w:cs="宋体"/>
          <w:color w:val="000000"/>
          <w:sz w:val="24"/>
          <w:highlight w:val="yellow"/>
          <w:lang w:val="en-US" w:eastAsia="zh-CN" w:bidi="ar"/>
        </w:rPr>
        <w:t xml:space="preserve">1.</w:t>
      </w:r>
      <w:r>
        <w:rPr>
          <w:rFonts w:hint="eastAsia" w:ascii="宋体" w:hAnsi="宋体" w:eastAsia="宋体" w:cs="宋体"/>
          <w:color w:val="000000"/>
          <w:sz w:val="24"/>
          <w:highlight w:val="yellow"/>
          <w:lang w:bidi="ar"/>
        </w:rPr>
        <w:t xml:space="preserve">投标截止时间、开标时间：202</w:t>
      </w:r>
      <w:r>
        <w:rPr>
          <w:rFonts w:hint="eastAsia" w:ascii="宋体" w:hAnsi="宋体" w:eastAsia="宋体" w:cs="宋体"/>
          <w:color w:val="000000"/>
          <w:sz w:val="24"/>
          <w:highlight w:val="yellow"/>
          <w:lang w:val="en-US" w:eastAsia="zh-CN" w:bidi="ar"/>
        </w:rPr>
        <w:t xml:space="preserve">6</w:t>
      </w:r>
      <w:r>
        <w:rPr>
          <w:rFonts w:hint="eastAsia" w:ascii="宋体" w:hAnsi="宋体" w:eastAsia="宋体" w:cs="宋体"/>
          <w:color w:val="000000"/>
          <w:sz w:val="24"/>
          <w:highlight w:val="yellow"/>
          <w:lang w:bidi="ar"/>
        </w:rPr>
        <w:t xml:space="preserve">年</w:t>
      </w:r>
      <w:r>
        <w:rPr>
          <w:rFonts w:hint="eastAsia" w:ascii="宋体" w:hAnsi="宋体" w:cs="宋体"/>
          <w:color w:val="000000"/>
          <w:sz w:val="24"/>
          <w:highlight w:val="yellow"/>
          <w:lang w:val="en-US" w:eastAsia="zh-CN" w:bidi="ar"/>
        </w:rPr>
        <w:t xml:space="preserve">7</w:t>
      </w:r>
      <w:r>
        <w:rPr>
          <w:rFonts w:hint="eastAsia" w:ascii="宋体" w:hAnsi="宋体" w:eastAsia="宋体" w:cs="宋体"/>
          <w:color w:val="000000"/>
          <w:sz w:val="24"/>
          <w:highlight w:val="yellow"/>
          <w:lang w:bidi="ar"/>
        </w:rPr>
        <w:t xml:space="preserve">月</w:t>
      </w:r>
      <w:r>
        <w:rPr>
          <w:rFonts w:hint="eastAsia" w:ascii="宋体" w:hAnsi="宋体" w:cs="宋体"/>
          <w:color w:val="000000"/>
          <w:sz w:val="24"/>
          <w:highlight w:val="yellow"/>
          <w:lang w:val="en-US" w:eastAsia="zh-CN" w:bidi="ar"/>
        </w:rPr>
        <w:t xml:space="preserve">10</w:t>
      </w:r>
      <w:r>
        <w:rPr>
          <w:rFonts w:hint="eastAsia" w:ascii="宋体" w:hAnsi="宋体" w:eastAsia="宋体" w:cs="宋体"/>
          <w:color w:val="000000"/>
          <w:sz w:val="24"/>
          <w:highlight w:val="yellow"/>
          <w:lang w:bidi="ar"/>
        </w:rPr>
        <w:t xml:space="preserve">日</w:t>
      </w:r>
      <w:r>
        <w:rPr>
          <w:rFonts w:hint="eastAsia" w:ascii="宋体" w:hAnsi="宋体" w:eastAsia="宋体" w:cs="宋体"/>
          <w:color w:val="000000"/>
          <w:sz w:val="24"/>
          <w:highlight w:val="yellow"/>
          <w:lang w:eastAsia="zh-CN" w:bidi="ar"/>
        </w:rPr>
        <w:t xml:space="preserve">上午</w:t>
      </w:r>
      <w:r>
        <w:rPr>
          <w:rFonts w:hint="eastAsia" w:ascii="宋体" w:hAnsi="宋体" w:eastAsia="宋体" w:cs="宋体"/>
          <w:color w:val="000000"/>
          <w:sz w:val="24"/>
          <w:highlight w:val="yellow"/>
          <w:lang w:val="en-US" w:eastAsia="zh-CN" w:bidi="ar"/>
        </w:rPr>
        <w:t xml:space="preserve">9</w:t>
      </w:r>
      <w:r>
        <w:rPr>
          <w:rFonts w:hint="eastAsia" w:ascii="宋体" w:hAnsi="宋体" w:eastAsia="宋体" w:cs="宋体"/>
          <w:color w:val="000000"/>
          <w:sz w:val="24"/>
          <w:highlight w:val="yellow"/>
          <w:lang w:bidi="ar"/>
        </w:rPr>
        <w:t xml:space="preserve">点</w:t>
      </w:r>
      <w:r>
        <w:rPr>
          <w:rFonts w:hint="eastAsia" w:ascii="宋体" w:hAnsi="宋体" w:eastAsia="宋体" w:cs="宋体"/>
          <w:color w:val="000000"/>
          <w:sz w:val="24"/>
          <w:highlight w:val="yellow"/>
          <w:lang w:val="en-US" w:eastAsia="zh-CN" w:bidi="ar"/>
        </w:rPr>
        <w:t xml:space="preserve">3</w:t>
      </w:r>
      <w:r>
        <w:rPr>
          <w:rFonts w:hint="eastAsia" w:ascii="宋体" w:hAnsi="宋体" w:eastAsia="宋体" w:cs="宋体"/>
          <w:color w:val="000000"/>
          <w:sz w:val="24"/>
          <w:highlight w:val="yellow"/>
          <w:lang w:bidi="ar"/>
        </w:rPr>
        <w:t xml:space="preserve">0分</w:t>
      </w:r>
      <w:r>
        <w:rPr>
          <w:rFonts w:hint="eastAsia" w:ascii="宋体" w:hAnsi="宋体" w:eastAsia="宋体" w:cs="宋体"/>
          <w:bCs/>
          <w:color w:val="000000"/>
          <w:sz w:val="24"/>
          <w:highlight w:val="yellow"/>
          <w:lang w:bidi="ar"/>
        </w:rPr>
        <w:t xml:space="preserve">（北京时间）</w:t>
      </w:r>
      <w:r>
        <w:rPr>
          <w:rFonts w:hint="eastAsia" w:ascii="宋体" w:hAnsi="宋体" w:eastAsia="宋体" w:cs="宋体"/>
          <w:iCs/>
          <w:color w:val="000000"/>
          <w:sz w:val="24"/>
          <w:highlight w:val="yellow"/>
          <w:lang w:bidi="ar"/>
        </w:rPr>
        <w:t xml:space="preserve">。</w:t>
      </w:r>
      <w:r/>
    </w:p>
    <w:p>
      <w:pPr>
        <w:ind w:firstLine="480"/>
        <w:spacing w:line="360" w:lineRule="auto"/>
        <w:rPr>
          <w:rFonts w:hint="eastAsia" w:ascii="宋体" w:hAnsi="宋体" w:eastAsia="宋体" w:cs="宋体"/>
          <w:color w:val="000000"/>
          <w:sz w:val="24"/>
          <w:highlight w:val="none"/>
          <w:lang w:val="zh-TW" w:bidi="ar"/>
        </w:rPr>
      </w:pPr>
      <w:r/>
      <w:bookmarkStart w:id="19" w:name="_Toc28359007"/>
      <w:r/>
      <w:bookmarkStart w:id="20" w:name="_Toc35393794"/>
      <w:r/>
      <w:bookmarkStart w:id="21" w:name="_Toc28359084"/>
      <w:r/>
      <w:bookmarkStart w:id="22" w:name="_Toc35393625"/>
      <w:r>
        <w:rPr>
          <w:rFonts w:hint="eastAsia" w:ascii="宋体" w:hAnsi="宋体" w:eastAsia="宋体" w:cs="宋体"/>
          <w:color w:val="000000"/>
          <w:sz w:val="24"/>
          <w:highlight w:val="none"/>
          <w:lang w:bidi="ar"/>
        </w:rPr>
        <w:t xml:space="preserve">2.地点:“苏采云”政府采购交易系统网上开标大厅。</w:t>
      </w:r>
      <w:r/>
    </w:p>
    <w:p>
      <w:pPr>
        <w:pStyle w:val="974"/>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p>
    <w:p>
      <w:pPr>
        <w:pStyle w:val="974"/>
        <w:jc w:val="left"/>
        <w:spacing w:before="0" w:line="360" w:lineRule="auto"/>
        <w:rPr>
          <w:rFonts w:hint="eastAsia" w:ascii="宋体" w:hAnsi="宋体" w:eastAsia="宋体" w:cs="宋体"/>
          <w:color w:val="000000"/>
          <w:sz w:val="24"/>
          <w:szCs w:val="24"/>
          <w:highlight w:val="none"/>
        </w:rPr>
      </w:pPr>
      <w:r/>
      <w:bookmarkStart w:id="23" w:name="_Toc35393626"/>
      <w:r/>
      <w:bookmarkStart w:id="24" w:name="_Toc35393795"/>
      <w:r>
        <w:rPr>
          <w:rFonts w:hint="eastAsia" w:ascii="宋体" w:hAnsi="宋体" w:eastAsia="宋体" w:cs="宋体"/>
          <w:color w:val="000000"/>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1.本项目需要落实的政府采购政策：无。</w:t>
      </w:r>
      <w:r/>
    </w:p>
    <w:p>
      <w:pPr>
        <w:ind w:firstLine="480"/>
        <w:jc w:val="left"/>
        <w:spacing w:line="360" w:lineRule="auto"/>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2.本项目采用全流程电子化采购方式，请供应商认真学习“苏采云”政府采购一体化平台发布的相关操作手册，办理CA认证证书、进行“苏采云”政府采购一体化平台注册绑定，并认真核实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2.1办理CA认证证书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（供应商）政务CA证书办理指南，按照程序要求办理。</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2.2注册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供应商操作指南”下载相关操作手册、操作视频等，查阅后进行自助注册。</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2.3控件、客户端下载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获取电子招标文件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供应商持CA数字认证证书登录“苏采云”系统获取电子招标文件。未在规定期限内通过“苏采云”系统获取招标文件的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2.5编制电子投标文件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p>
    <w:p>
      <w:pPr>
        <w:ind w:firstLine="48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提交电子投标文件</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供应商应于投标截止时间前在“苏采云”系统提交电子投标文件，上传电子投标文件过程中请保持与互联网的连接畅通。</w:t>
      </w:r>
      <w:r/>
    </w:p>
    <w:p>
      <w:pPr>
        <w:ind w:firstLine="480"/>
        <w:jc w:val="left"/>
        <w:spacing w:line="360" w:lineRule="auto"/>
        <w:widowControl/>
        <w:rPr>
          <w:rFonts w:hint="eastAsia" w:ascii="宋体" w:hAnsi="宋体" w:eastAsia="宋体" w:cs="宋体"/>
          <w:color w:val="000000"/>
          <w:sz w:val="24"/>
          <w:highlight w:val="none"/>
          <w:lang w:eastAsia="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“苏采云”系统进行电子化不见面开标</w:t>
      </w:r>
      <w:r>
        <w:rPr>
          <w:rFonts w:hint="eastAsia" w:ascii="宋体" w:hAnsi="宋体" w:eastAsia="宋体" w:cs="宋体"/>
          <w:color w:val="000000"/>
          <w:sz w:val="24"/>
          <w:highlight w:val="none"/>
          <w:lang w:val="zh-TW" w:bidi="ar"/>
        </w:rPr>
        <w:t xml:space="preserve">。</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p>
    <w:p>
      <w:pPr>
        <w:ind w:firstLine="480"/>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p>
    <w:p>
      <w:pPr>
        <w:ind w:firstLine="480"/>
        <w:spacing w:line="360" w:lineRule="auto"/>
        <w:rPr>
          <w:rFonts w:eastAsia="宋体"/>
          <w:color w:val="000000"/>
          <w:highlight w:val="none"/>
          <w:lang w:val="en-US" w:eastAsia="zh-CN"/>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74"/>
        <w:jc w:val="left"/>
        <w:spacing w:before="0" w:line="360" w:lineRule="auto"/>
        <w:rPr>
          <w:rFonts w:hint="eastAsia" w:ascii="宋体" w:hAnsi="宋体" w:eastAsia="宋体" w:cs="宋体"/>
          <w:color w:val="000000"/>
          <w:sz w:val="24"/>
          <w:szCs w:val="24"/>
          <w:highlight w:val="none"/>
        </w:rPr>
      </w:pPr>
      <w:r/>
      <w:bookmarkStart w:id="25" w:name="_Toc35393796"/>
      <w:r/>
      <w:bookmarkStart w:id="26" w:name="_Toc35393627"/>
      <w:r/>
      <w:bookmarkStart w:id="27" w:name="_Toc28359085"/>
      <w:r/>
      <w:bookmarkStart w:id="28" w:name="_Toc28359008"/>
      <w:r>
        <w:rPr>
          <w:rFonts w:hint="eastAsia" w:ascii="宋体" w:hAnsi="宋体" w:eastAsia="宋体" w:cs="宋体"/>
          <w:color w:val="000000"/>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1.采购人信息</w:t>
      </w:r>
      <w:r/>
    </w:p>
    <w:p>
      <w:pPr>
        <w:ind w:left="1079" w:hanging="300"/>
        <w:jc w:val="left"/>
        <w:spacing w:line="360" w:lineRule="auto"/>
        <w:rPr>
          <w:rFonts w:hint="eastAsia" w:ascii="宋体" w:hAnsi="宋体" w:eastAsia="宋体" w:cs="宋体"/>
          <w:color w:val="000000"/>
          <w:sz w:val="24"/>
          <w:highlight w:val="none"/>
          <w:lang w:eastAsia="zh-CN"/>
        </w:rPr>
      </w:pPr>
      <w:r/>
      <w:bookmarkStart w:id="29" w:name="_Toc28359086"/>
      <w:r/>
      <w:bookmarkStart w:id="30" w:name="_Toc28359009"/>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常州市新北区龙虎塘中学</w:t>
      </w:r>
      <w:r/>
    </w:p>
    <w:p>
      <w:pPr>
        <w:ind w:left="1079" w:hanging="30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新北区北街168号</w:t>
      </w:r>
      <w:r/>
    </w:p>
    <w:p>
      <w:pPr>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0519-85487876</w:t>
      </w:r>
      <w:r/>
    </w:p>
    <w:p>
      <w:pPr>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29"/>
      <w:r/>
      <w:bookmarkEnd w:id="30"/>
      <w:r/>
      <w:r/>
    </w:p>
    <w:p>
      <w:pPr>
        <w:ind w:left="1079" w:hanging="300"/>
        <w:jc w:val="left"/>
        <w:spacing w:line="360" w:lineRule="auto"/>
        <w:rPr>
          <w:rFonts w:hint="eastAsia" w:ascii="宋体" w:hAnsi="宋体" w:eastAsia="宋体" w:cs="宋体"/>
          <w:color w:val="000000"/>
          <w:sz w:val="24"/>
          <w:highlight w:val="none"/>
        </w:rPr>
      </w:pPr>
      <w:r/>
      <w:bookmarkStart w:id="31" w:name="_Toc28359087"/>
      <w:r/>
      <w:bookmarkStart w:id="32" w:name="_Toc28359010"/>
      <w:r>
        <w:rPr>
          <w:rFonts w:hint="eastAsia" w:ascii="宋体" w:hAnsi="宋体" w:eastAsia="宋体" w:cs="宋体"/>
          <w:color w:val="000000"/>
          <w:sz w:val="24"/>
          <w:highlight w:val="none"/>
        </w:rPr>
        <w:t xml:space="preserve">名    称：江苏建达全过程工程咨询有限公司</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址：常州市新北区通江中路307号四楼</w:t>
      </w:r>
      <w:r/>
    </w:p>
    <w:p>
      <w:pPr>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1"/>
      <w:r/>
      <w:bookmarkEnd w:id="32"/>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联系人：沈工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话：0519-89885060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注：以上个人信息，由于工作需要经机构或本人同意对外公布。</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8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33" w:name="_Toc353873938"/>
      <w:r/>
      <w:bookmarkStart w:id="34" w:name="_Toc127151777"/>
      <w:r/>
      <w:bookmarkStart w:id="35" w:name="_Toc353825548"/>
      <w:r/>
      <w:bookmarkStart w:id="36" w:name="_Toc264969275"/>
      <w:r/>
      <w:bookmarkStart w:id="37" w:name="_Toc6065"/>
      <w:r/>
      <w:bookmarkStart w:id="38" w:name="_Toc195842950"/>
      <w:r/>
      <w:bookmarkStart w:id="39" w:name="_Toc226965856"/>
      <w:r/>
      <w:bookmarkStart w:id="40" w:name="_Toc512937850"/>
      <w:r/>
      <w:bookmarkStart w:id="41" w:name="_Toc150774783"/>
      <w:r/>
      <w:bookmarkStart w:id="42" w:name="_Toc265228423"/>
      <w:r/>
      <w:bookmarkStart w:id="43" w:name="_Toc305158928"/>
      <w:r/>
      <w:bookmarkStart w:id="44" w:name="_Toc305158854"/>
      <w:r/>
      <w:bookmarkStart w:id="45" w:name="_Toc127161488"/>
      <w:r>
        <w:rPr>
          <w:rFonts w:hint="eastAsia" w:ascii="宋体" w:hAnsi="宋体" w:eastAsia="宋体" w:cs="宋体"/>
          <w:b/>
          <w:color w:val="000000"/>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74"/>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46" w:name="_Toc151193833"/>
      <w:r/>
      <w:bookmarkStart w:id="47" w:name="_Toc195842884"/>
      <w:r/>
      <w:bookmarkStart w:id="48" w:name="_Toc226965792"/>
      <w:r/>
      <w:bookmarkStart w:id="49" w:name="_Toc226337215"/>
      <w:r/>
      <w:bookmarkStart w:id="50" w:name="_Toc164351613"/>
      <w:r/>
      <w:bookmarkStart w:id="51" w:name="_Toc151193689"/>
      <w:r/>
      <w:bookmarkStart w:id="52" w:name="_Toc151193761"/>
      <w:r/>
      <w:bookmarkStart w:id="53" w:name="_Toc127151720"/>
      <w:r/>
      <w:bookmarkStart w:id="54" w:name="_Toc164608633"/>
      <w:r/>
      <w:bookmarkStart w:id="55" w:name="_Toc150480757"/>
      <w:r/>
      <w:bookmarkStart w:id="56" w:name="_Toc520356144"/>
      <w:r/>
      <w:bookmarkStart w:id="57" w:name="_Toc164229214"/>
      <w:r/>
      <w:bookmarkStart w:id="58" w:name="_Toc150774724"/>
      <w:r/>
      <w:bookmarkStart w:id="59" w:name="_Toc142311021"/>
      <w:r/>
      <w:bookmarkStart w:id="60" w:name="_Toc164608788"/>
      <w:r/>
      <w:bookmarkStart w:id="61" w:name="_Toc150774619"/>
      <w:r/>
      <w:bookmarkStart w:id="62" w:name="_Toc151193907"/>
      <w:r/>
      <w:bookmarkStart w:id="63" w:name="_Toc151190146"/>
      <w:r/>
      <w:bookmarkStart w:id="64" w:name="_Toc149720812"/>
      <w:r/>
      <w:bookmarkStart w:id="65" w:name="_Toc127151519"/>
      <w:r/>
      <w:bookmarkStart w:id="66" w:name="_Toc164229360"/>
      <w:r/>
      <w:bookmarkStart w:id="67" w:name="_Toc150509270"/>
      <w:r/>
      <w:bookmarkStart w:id="68" w:name="_Toc151193617"/>
      <w:r/>
      <w:bookmarkStart w:id="69" w:name="_Toc127161433"/>
      <w:r/>
      <w:bookmarkStart w:id="70" w:name="_Toc226965709"/>
      <w:r/>
      <w:bookmarkStart w:id="71" w:name="_Toc226309763"/>
      <w:r>
        <w:rPr>
          <w:rFonts w:hint="eastAsia" w:ascii="宋体" w:hAnsi="宋体" w:eastAsia="宋体" w:cs="宋体"/>
          <w:color w:val="000000"/>
          <w:sz w:val="28"/>
          <w:highlight w:val="none"/>
        </w:rPr>
        <w:t xml:space="preserve">投标人须知资料表</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p>
    <w:tbl>
      <w:tblPr>
        <w:tblStyle w:val="80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p>
          <w:p>
            <w:pPr>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p>
        </w:tc>
        <w:tc>
          <w:tcPr>
            <w:tcW w:w="7540" w:type="dxa"/>
            <w:vAlign w:val="center"/>
            <w:textDirection w:val="lrTb"/>
            <w:noWrap w:val="false"/>
          </w:tcPr>
          <w:p>
            <w:pPr>
              <w:pStyle w:val="12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p>
          <w:p>
            <w:pPr>
              <w:pStyle w:val="12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□本项目__包为单一产品采购项目。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本项目__包为非单一产品采购项目，核心产品为：</w:t>
            </w:r>
            <w:r>
              <w:rPr>
                <w:rFonts w:hint="eastAsia" w:ascii="宋体" w:hAnsi="宋体" w:eastAsia="宋体" w:cs="宋体"/>
                <w:color w:val="000000"/>
                <w:sz w:val="24"/>
                <w:highlight w:val="none"/>
                <w:u w:val="single"/>
                <w:lang w:val="en-US" w:eastAsia="zh-CN"/>
              </w:rPr>
              <w:t xml:space="preserve"> 学生实验桌  </w:t>
            </w:r>
            <w:r>
              <w:rPr>
                <w:rFonts w:hint="eastAsia" w:ascii="宋体" w:hAnsi="宋体" w:eastAsia="宋体" w:cs="宋体"/>
                <w:color w:val="000000"/>
                <w:sz w:val="24"/>
                <w:highlight w:val="none"/>
              </w:rPr>
              <w:t xml:space="preserve">。</w:t>
            </w:r>
            <w:r/>
          </w:p>
        </w:tc>
      </w:tr>
      <w:tr>
        <w:trPr>
          <w:jc w:val="center"/>
          <w:trHeight w:val="20"/>
        </w:trPr>
        <w:tc>
          <w:tcPr>
            <w:tcW w:w="988" w:type="dxa"/>
            <w:vAlign w:val="center"/>
            <w:vMerge w:val="restart"/>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p>
          <w:p>
            <w:pPr>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w:t>
            </w:r>
            <w:r>
              <w:rPr>
                <w:rFonts w:hint="eastAsia" w:ascii="宋体" w:hAnsi="宋体" w:eastAsia="宋体" w:cs="宋体"/>
                <w:color w:val="000000"/>
                <w:sz w:val="24"/>
                <w:highlight w:val="none"/>
                <w:u w:val="single"/>
                <w:lang w:val="en-US" w:eastAsia="zh-CN"/>
              </w:rPr>
              <w:t xml:space="preserve">2026</w:t>
            </w:r>
            <w:r>
              <w:rPr>
                <w:rFonts w:hint="eastAsia" w:ascii="宋体" w:hAnsi="宋体" w:eastAsia="宋体" w:cs="宋体"/>
                <w:color w:val="000000"/>
                <w:sz w:val="24"/>
                <w:highlight w:val="none"/>
                <w:u w:val="single"/>
                <w:lang w:bidi="ar"/>
              </w:rPr>
              <w:t xml:space="preserve">年</w:t>
            </w:r>
            <w:r>
              <w:rPr>
                <w:rFonts w:hint="eastAsia" w:ascii="宋体" w:hAnsi="宋体" w:cs="宋体"/>
                <w:color w:val="000000"/>
                <w:sz w:val="24"/>
                <w:highlight w:val="none"/>
                <w:u w:val="single"/>
                <w:lang w:val="en-US" w:eastAsia="zh-CN" w:bidi="ar"/>
              </w:rPr>
              <w:t xml:space="preserve">6</w:t>
            </w:r>
            <w:r>
              <w:rPr>
                <w:rFonts w:hint="eastAsia" w:ascii="宋体" w:hAnsi="宋体" w:eastAsia="宋体" w:cs="宋体"/>
                <w:color w:val="000000"/>
                <w:sz w:val="24"/>
                <w:highlight w:val="none"/>
                <w:u w:val="single"/>
                <w:lang w:bidi="ar"/>
              </w:rPr>
              <w:t xml:space="preserve">月</w:t>
            </w:r>
            <w:r>
              <w:rPr>
                <w:rFonts w:hint="eastAsia" w:ascii="宋体" w:hAnsi="宋体" w:cs="宋体"/>
                <w:color w:val="000000"/>
                <w:sz w:val="24"/>
                <w:highlight w:val="none"/>
                <w:u w:val="single"/>
                <w:lang w:val="en-US" w:eastAsia="zh-CN" w:bidi="ar"/>
              </w:rPr>
              <w:t xml:space="preserve">11</w:t>
            </w:r>
            <w:r>
              <w:rPr>
                <w:rFonts w:hint="eastAsia" w:ascii="宋体" w:hAnsi="宋体" w:eastAsia="宋体" w:cs="宋体"/>
                <w:color w:val="000000"/>
                <w:sz w:val="24"/>
                <w:highlight w:val="none"/>
                <w:u w:val="single"/>
                <w:lang w:bidi="ar"/>
              </w:rPr>
              <w:t xml:space="preserve">日</w:t>
            </w:r>
            <w:r>
              <w:rPr>
                <w:rFonts w:hint="eastAsia" w:ascii="宋体" w:hAnsi="宋体" w:eastAsia="宋体" w:cs="宋体"/>
                <w:color w:val="000000"/>
                <w:sz w:val="24"/>
                <w:highlight w:val="none"/>
                <w:u w:val="single"/>
                <w:lang w:val="en-US" w:eastAsia="zh-CN" w:bidi="ar"/>
              </w:rPr>
              <w:t xml:space="preserve">14</w:t>
            </w:r>
            <w:r>
              <w:rPr>
                <w:rFonts w:hint="eastAsia" w:ascii="宋体" w:hAnsi="宋体" w:eastAsia="宋体" w:cs="宋体"/>
                <w:color w:val="000000"/>
                <w:sz w:val="24"/>
                <w:highlight w:val="none"/>
                <w:u w:val="single"/>
                <w:lang w:bidi="ar"/>
              </w:rPr>
              <w:t xml:space="preserve">点</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bidi="ar"/>
              </w:rPr>
              <w:t xml:space="preserve">分</w:t>
            </w:r>
            <w:r/>
          </w:p>
          <w:p>
            <w:pPr>
              <w:pStyle w:val="123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考察地点：</w:t>
            </w:r>
            <w:r>
              <w:rPr>
                <w:rFonts w:hint="eastAsia" w:hAnsi="宋体" w:eastAsia="宋体" w:cs="宋体"/>
                <w:color w:val="000000"/>
                <w:sz w:val="24"/>
                <w:highlight w:val="none"/>
                <w:u w:val="single"/>
                <w:lang w:eastAsia="zh-CN"/>
              </w:rPr>
              <w:t xml:space="preserve">常州市新北区龙虎塘中学（新北区北街</w:t>
            </w:r>
            <w:r>
              <w:rPr>
                <w:rFonts w:hint="eastAsia" w:hAnsi="宋体" w:eastAsia="宋体" w:cs="宋体"/>
                <w:color w:val="000000"/>
                <w:sz w:val="24"/>
                <w:highlight w:val="none"/>
                <w:u w:val="single"/>
                <w:lang w:val="en-US" w:eastAsia="zh-CN"/>
              </w:rPr>
              <w:t xml:space="preserve">168号</w:t>
            </w:r>
            <w:r>
              <w:rPr>
                <w:rFonts w:hint="eastAsia"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w:t>
            </w:r>
            <w:r/>
          </w:p>
          <w:p>
            <w:pPr>
              <w:pStyle w:val="1230"/>
              <w:rPr>
                <w:rFonts w:hint="eastAsia" w:ascii="宋体" w:hAnsi="宋体" w:eastAsia="宋体" w:cs="宋体"/>
                <w:color w:val="000000"/>
                <w:sz w:val="24"/>
                <w:highlight w:val="none"/>
              </w:rPr>
            </w:pPr>
            <w:r>
              <w:rPr>
                <w:rFonts w:hint="eastAsia" w:hAnsi="宋体" w:eastAsia="宋体" w:cs="宋体"/>
                <w:color w:val="000000"/>
                <w:sz w:val="24"/>
                <w:highlight w:val="none"/>
                <w:u w:val="single"/>
                <w:lang w:val="en-US" w:eastAsia="zh-CN"/>
              </w:rPr>
              <w:t xml:space="preserve">联系人：陈老师，联系电话：</w:t>
            </w:r>
            <w:r>
              <w:rPr>
                <w:rFonts w:hint="eastAsia" w:ascii="宋体" w:hAnsi="宋体" w:eastAsia="宋体" w:cs="宋体"/>
                <w:color w:val="000000"/>
                <w:sz w:val="24"/>
                <w:highlight w:val="none"/>
                <w:u w:val="single"/>
                <w:lang w:val="en-US" w:eastAsia="zh-CN"/>
              </w:rPr>
              <w:t xml:space="preserve">0519-85487876</w:t>
            </w:r>
            <w:r/>
          </w:p>
        </w:tc>
      </w:tr>
      <w:tr>
        <w:trPr>
          <w:jc w:val="center"/>
          <w:trHeight w:val="20"/>
        </w:trPr>
        <w:tc>
          <w:tcPr>
            <w:tcW w:w="988" w:type="dxa"/>
            <w:vAlign w:val="center"/>
            <w:vMerge w:val="continue"/>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□召开，召开时间：__年_月_日_</w:t>
            </w:r>
            <w:r>
              <w:rPr>
                <w:rFonts w:hint="eastAsia" w:ascii="宋体" w:hAnsi="宋体" w:eastAsia="宋体" w:cs="宋体"/>
                <w:bCs/>
                <w:color w:val="000000"/>
                <w:sz w:val="24"/>
                <w:highlight w:val="none"/>
              </w:rPr>
              <w:t xml:space="preserve">点</w:t>
            </w:r>
            <w:r>
              <w:rPr>
                <w:rFonts w:hint="eastAsia" w:ascii="宋体" w:hAnsi="宋体" w:eastAsia="宋体" w:cs="宋体"/>
                <w:color w:val="000000"/>
                <w:sz w:val="24"/>
                <w:highlight w:val="none"/>
              </w:rPr>
              <w:t xml:space="preserve">_</w:t>
            </w:r>
            <w:r>
              <w:rPr>
                <w:rFonts w:hint="eastAsia" w:ascii="宋体" w:hAnsi="宋体" w:eastAsia="宋体" w:cs="宋体"/>
                <w:bCs/>
                <w:color w:val="000000"/>
                <w:sz w:val="24"/>
                <w:highlight w:val="none"/>
              </w:rPr>
              <w:t xml:space="preserve">分</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召开地点：____________。</w:t>
            </w:r>
            <w:r/>
          </w:p>
        </w:tc>
      </w:tr>
      <w:tr>
        <w:trPr>
          <w:jc w:val="center"/>
          <w:trHeight w:val="2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需提供样品:</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序号</w:t>
                  </w:r>
                  <w:r/>
                </w:p>
              </w:tc>
              <w:tc>
                <w:tcPr>
                  <w:tcW w:w="283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名称</w:t>
                  </w:r>
                  <w:r/>
                </w:p>
              </w:tc>
              <w:tc>
                <w:tcPr>
                  <w:tcW w:w="126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数量</w:t>
                  </w:r>
                  <w:r/>
                </w:p>
              </w:tc>
              <w:tc>
                <w:tcPr>
                  <w:tcW w:w="121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单位</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学生实验桌（学生实验台）</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套</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学生凳</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个</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4"/>
                <w:szCs w:val="24"/>
                <w:highlight w:val="none"/>
                <w:lang w:eastAsia="zh-CN"/>
              </w:rPr>
              <w:t xml:space="preserve">未中标单位样品将在中标公告发布后由投标人自行运回</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tbl>
            <w:tblPr>
              <w:tblStyle w:val="803"/>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46"/>
              </w:trPr>
              <w:tc>
                <w:tcPr>
                  <w:tcW w:w="4694" w:type="dxa"/>
                  <w:vAlign w:val="center"/>
                  <w:textDirection w:val="lrTb"/>
                  <w:noWrap w:val="false"/>
                </w:tcPr>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xxxxxxxxxxxxx</w:t>
                  </w:r>
                  <w:r/>
                </w:p>
              </w:tc>
            </w:tr>
            <w:tr>
              <w:trPr>
                <w:jc w:val="center"/>
                <w:trHeight w:val="1170"/>
              </w:trPr>
              <w:tc>
                <w:tcPr>
                  <w:tcW w:w="4694" w:type="dxa"/>
                  <w:vAlign w:val="top"/>
                  <w:textDirection w:val="lrTb"/>
                  <w:noWrap w:val="false"/>
                </w:tcPr>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加盖</w:t>
                  </w:r>
                  <w:r>
                    <w:rPr>
                      <w:rFonts w:hint="eastAsia" w:ascii="宋体" w:hAnsi="宋体" w:eastAsia="宋体" w:cs="宋体"/>
                      <w:color w:val="000000"/>
                      <w:sz w:val="24"/>
                      <w:szCs w:val="24"/>
                      <w:highlight w:val="none"/>
                    </w:rPr>
                    <w:t xml:space="preserve">（公章）</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样品制作及运输费用由投标人自行承担。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未能提供样品或</w:t>
            </w:r>
            <w:r>
              <w:rPr>
                <w:rFonts w:hint="eastAsia" w:ascii="宋体" w:hAnsi="宋体" w:eastAsia="宋体" w:cs="宋体"/>
                <w:color w:val="000000"/>
                <w:sz w:val="24"/>
                <w:szCs w:val="24"/>
                <w:highlight w:val="none"/>
                <w:lang w:eastAsia="zh-CN"/>
              </w:rPr>
              <w:t xml:space="preserve">样品明显不符合要求</w:t>
            </w:r>
            <w:r>
              <w:rPr>
                <w:rFonts w:hint="eastAsia" w:ascii="宋体" w:hAnsi="宋体" w:eastAsia="宋体" w:cs="宋体"/>
                <w:color w:val="000000"/>
                <w:sz w:val="24"/>
                <w:szCs w:val="24"/>
                <w:highlight w:val="none"/>
              </w:rPr>
              <w:t xml:space="preserve">的，样品分项不得分。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rPr>
              <w:t xml:space="preserve">（6）</w:t>
            </w:r>
            <w:r>
              <w:rPr>
                <w:rFonts w:hint="eastAsia" w:ascii="宋体" w:hAnsi="宋体" w:eastAsia="宋体" w:cs="宋体"/>
                <w:color w:val="000000"/>
                <w:sz w:val="24"/>
                <w:szCs w:val="24"/>
                <w:highlight w:val="yellow"/>
              </w:rPr>
              <w:t xml:space="preserve">送样时间:</w:t>
            </w:r>
            <w:r>
              <w:rPr>
                <w:rFonts w:hint="eastAsia" w:ascii="宋体" w:hAnsi="宋体" w:cs="宋体"/>
                <w:color w:val="000000"/>
                <w:sz w:val="24"/>
                <w:szCs w:val="24"/>
                <w:highlight w:val="yellow"/>
                <w:lang w:eastAsia="zh-CN"/>
              </w:rPr>
              <w:t xml:space="preserve">202</w:t>
            </w:r>
            <w:r>
              <w:rPr>
                <w:rFonts w:hint="eastAsia" w:ascii="宋体" w:hAnsi="宋体" w:cs="宋体"/>
                <w:color w:val="000000"/>
                <w:sz w:val="24"/>
                <w:szCs w:val="24"/>
                <w:highlight w:val="yellow"/>
                <w:lang w:val="en-US" w:eastAsia="zh-CN"/>
              </w:rPr>
              <w:t xml:space="preserve">6</w:t>
            </w:r>
            <w:r>
              <w:rPr>
                <w:rFonts w:hint="eastAsia" w:ascii="宋体" w:hAnsi="宋体" w:cs="宋体"/>
                <w:color w:val="000000"/>
                <w:sz w:val="24"/>
                <w:szCs w:val="24"/>
                <w:highlight w:val="yellow"/>
                <w:lang w:eastAsia="zh-CN"/>
              </w:rPr>
              <w:t xml:space="preserve">年</w:t>
            </w:r>
            <w:r>
              <w:rPr>
                <w:rFonts w:hint="eastAsia" w:ascii="宋体" w:hAnsi="宋体" w:cs="宋体"/>
                <w:color w:val="000000"/>
                <w:sz w:val="24"/>
                <w:szCs w:val="24"/>
                <w:highlight w:val="yellow"/>
                <w:lang w:val="en-US" w:eastAsia="zh-CN"/>
              </w:rPr>
              <w:t xml:space="preserve">7</w:t>
            </w:r>
            <w:r>
              <w:rPr>
                <w:rFonts w:hint="eastAsia" w:ascii="宋体" w:hAnsi="宋体" w:cs="宋体"/>
                <w:color w:val="000000"/>
                <w:sz w:val="24"/>
                <w:szCs w:val="24"/>
                <w:highlight w:val="yellow"/>
                <w:lang w:eastAsia="zh-CN"/>
              </w:rPr>
              <w:t xml:space="preserve">月</w:t>
            </w:r>
            <w:r>
              <w:rPr>
                <w:rFonts w:hint="eastAsia" w:ascii="宋体" w:hAnsi="宋体" w:cs="宋体"/>
                <w:color w:val="000000"/>
                <w:sz w:val="24"/>
                <w:szCs w:val="24"/>
                <w:highlight w:val="yellow"/>
                <w:lang w:val="en-US" w:eastAsia="zh-CN"/>
              </w:rPr>
              <w:t xml:space="preserve">9</w:t>
            </w:r>
            <w:r>
              <w:rPr>
                <w:rFonts w:hint="eastAsia" w:ascii="宋体" w:hAnsi="宋体" w:cs="宋体"/>
                <w:color w:val="000000"/>
                <w:sz w:val="24"/>
                <w:szCs w:val="24"/>
                <w:highlight w:val="yellow"/>
                <w:lang w:eastAsia="zh-CN"/>
              </w:rPr>
              <w:t xml:space="preserve">日上午</w:t>
            </w:r>
            <w:r>
              <w:rPr>
                <w:rFonts w:hint="eastAsia" w:ascii="宋体" w:hAnsi="宋体" w:cs="宋体"/>
                <w:color w:val="000000"/>
                <w:sz w:val="24"/>
                <w:szCs w:val="24"/>
                <w:highlight w:val="yellow"/>
                <w:lang w:val="en-US" w:eastAsia="zh-CN"/>
              </w:rPr>
              <w:t xml:space="preserve">9</w:t>
            </w:r>
            <w:r>
              <w:rPr>
                <w:rFonts w:hint="eastAsia" w:ascii="宋体" w:hAnsi="宋体" w:cs="宋体"/>
                <w:color w:val="000000"/>
                <w:sz w:val="24"/>
                <w:szCs w:val="24"/>
                <w:highlight w:val="yellow"/>
                <w:lang w:eastAsia="zh-CN"/>
              </w:rPr>
              <w:t xml:space="preserve">:</w:t>
            </w:r>
            <w:r>
              <w:rPr>
                <w:rFonts w:hint="eastAsia" w:ascii="宋体" w:hAnsi="宋体" w:cs="宋体"/>
                <w:color w:val="000000"/>
                <w:sz w:val="24"/>
                <w:szCs w:val="24"/>
                <w:highlight w:val="yellow"/>
                <w:lang w:val="en-US" w:eastAsia="zh-CN"/>
              </w:rPr>
              <w:t xml:space="preserve">30</w:t>
            </w:r>
            <w:r>
              <w:rPr>
                <w:rFonts w:hint="eastAsia" w:ascii="宋体" w:hAnsi="宋体" w:cs="宋体"/>
                <w:color w:val="000000"/>
                <w:sz w:val="24"/>
                <w:szCs w:val="24"/>
                <w:highlight w:val="yellow"/>
                <w:lang w:eastAsia="zh-CN"/>
              </w:rPr>
              <w:t xml:space="preserve">至下午1</w:t>
            </w:r>
            <w:r>
              <w:rPr>
                <w:rFonts w:hint="eastAsia" w:ascii="宋体" w:hAnsi="宋体" w:cs="宋体"/>
                <w:color w:val="000000"/>
                <w:sz w:val="24"/>
                <w:szCs w:val="24"/>
                <w:highlight w:val="yellow"/>
                <w:lang w:val="en-US" w:eastAsia="zh-CN"/>
              </w:rPr>
              <w:t xml:space="preserve">6</w:t>
            </w:r>
            <w:r>
              <w:rPr>
                <w:rFonts w:hint="eastAsia" w:ascii="宋体" w:hAnsi="宋体" w:cs="宋体"/>
                <w:color w:val="000000"/>
                <w:sz w:val="24"/>
                <w:szCs w:val="24"/>
                <w:highlight w:val="yellow"/>
                <w:lang w:eastAsia="zh-CN"/>
              </w:rPr>
              <w:t xml:space="preserve">:</w:t>
            </w:r>
            <w:r>
              <w:rPr>
                <w:rFonts w:hint="eastAsia" w:ascii="宋体" w:hAnsi="宋体" w:cs="宋体"/>
                <w:color w:val="000000"/>
                <w:sz w:val="24"/>
                <w:szCs w:val="24"/>
                <w:highlight w:val="yellow"/>
                <w:lang w:val="en-US" w:eastAsia="zh-CN"/>
              </w:rPr>
              <w:t xml:space="preserve">3</w:t>
            </w:r>
            <w:r>
              <w:rPr>
                <w:rFonts w:hint="eastAsia" w:ascii="宋体" w:hAnsi="宋体" w:cs="宋体"/>
                <w:color w:val="000000"/>
                <w:sz w:val="24"/>
                <w:szCs w:val="24"/>
                <w:highlight w:val="yellow"/>
                <w:lang w:eastAsia="zh-CN"/>
              </w:rPr>
              <w:t xml:space="preserve">0截止</w:t>
            </w:r>
            <w:r>
              <w:rPr>
                <w:rFonts w:hint="eastAsia" w:ascii="宋体" w:hAnsi="宋体" w:eastAsia="宋体" w:cs="宋体"/>
                <w:color w:val="000000"/>
                <w:sz w:val="24"/>
                <w:szCs w:val="24"/>
                <w:highlight w:val="yellow"/>
              </w:rPr>
              <w:t xml:space="preserve">，逾期不再接受。</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送样地点:常州市新北区通江中路307号四楼。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送样联系人:</w:t>
            </w:r>
            <w:r>
              <w:rPr>
                <w:rFonts w:hint="eastAsia" w:ascii="宋体" w:hAnsi="宋体" w:eastAsia="宋体" w:cs="宋体"/>
                <w:color w:val="000000"/>
                <w:sz w:val="24"/>
                <w:szCs w:val="24"/>
                <w:highlight w:val="none"/>
                <w:lang w:eastAsia="zh-CN"/>
              </w:rPr>
              <w:t xml:space="preserve">沈工</w:t>
            </w:r>
            <w:r>
              <w:rPr>
                <w:rFonts w:hint="eastAsia" w:ascii="宋体" w:hAnsi="宋体" w:eastAsia="宋体" w:cs="宋体"/>
                <w:color w:val="000000"/>
                <w:sz w:val="24"/>
                <w:szCs w:val="24"/>
                <w:highlight w:val="none"/>
              </w:rPr>
              <w:t xml:space="preserve">，联系电话:05919-89885060</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u w:val="none"/>
              </w:rPr>
              <w:t xml:space="preserve">送样时提供送样表(格式见招标文件采购需求中样品递交要求)</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货物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工业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货物)，如填写错误或未填报则会导致资格审查不通过(专门面向中小企业采购)或报价不作相应扣除。</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□有，具体情形：_____。</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免收</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p>
        </w:tc>
      </w:tr>
      <w:tr>
        <w:trPr>
          <w:jc w:val="center"/>
          <w:trHeight w:val="399"/>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分包</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p>
          <w:p>
            <w:pPr>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highlight w:val="none"/>
              </w:rPr>
              <w:t xml:space="preserve">（3）其他要求：_____。</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询问</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已登记参加本项目的供应商对</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文件如有疑问，可于</w:t>
            </w:r>
            <w:r>
              <w:rPr>
                <w:rFonts w:hint="eastAsia" w:ascii="宋体" w:hAnsi="宋体" w:eastAsia="宋体" w:cs="宋体"/>
                <w:color w:val="000000"/>
                <w:sz w:val="24"/>
                <w:highlight w:val="none"/>
                <w:u w:val="single"/>
                <w:lang w:eastAsia="zh-CN"/>
              </w:rPr>
              <w:t xml:space="preserve">2026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u w:val="single"/>
                <w:lang w:val="en-US" w:eastAsia="zh-CN"/>
              </w:rPr>
              <w:t xml:space="preserve">6</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rPr>
              <w:t xml:space="preserve">11:00</w:t>
            </w:r>
            <w:r>
              <w:rPr>
                <w:rFonts w:hint="eastAsia" w:ascii="宋体" w:hAnsi="宋体" w:eastAsia="宋体" w:cs="宋体"/>
                <w:color w:val="000000"/>
                <w:sz w:val="24"/>
                <w:highlight w:val="none"/>
              </w:rPr>
              <w:t xml:space="preserve">时前将相关疑问（格式详见</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文件中“关于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文件的询问内容”）发送至邮箱（</w:t>
            </w:r>
            <w:r>
              <w:rPr>
                <w:rFonts w:hint="eastAsia" w:ascii="宋体" w:hAnsi="宋体" w:eastAsia="宋体" w:cs="宋体"/>
                <w:color w:val="000000"/>
                <w:sz w:val="24"/>
                <w:highlight w:val="none"/>
                <w:lang w:val="en-US" w:eastAsia="zh-CN"/>
              </w:rPr>
              <w:t xml:space="preserve">312236524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qq</w:t>
            </w:r>
            <w:r>
              <w:rPr>
                <w:rFonts w:hint="eastAsia" w:ascii="宋体" w:hAnsi="宋体" w:eastAsia="宋体" w:cs="宋体"/>
                <w:color w:val="000000"/>
                <w:sz w:val="24"/>
                <w:highlight w:val="none"/>
              </w:rPr>
              <w:t xml:space="preserve">.com）进行咨询，如口头可解释的问题亦可电话咨询。未提出疑问将被视为完全认同</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文件，逾期将不接受其对于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文件的相关异议。如有变更，更正公告将会在常州市政府采购网公布。</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联系部门：江苏建达全过程工程咨询有限公司；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联系电话：0519-89885060；</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通讯地址：常州市新北区通江中路307号四楼。</w:t>
            </w:r>
            <w:r/>
          </w:p>
        </w:tc>
      </w:tr>
      <w:tr>
        <w:trPr>
          <w:jc w:val="center"/>
          <w:trHeight w:val="740"/>
        </w:trPr>
        <w:tc>
          <w:tcPr>
            <w:tcW w:w="988" w:type="dxa"/>
            <w:vAlign w:val="center"/>
            <w:textDirection w:val="lrTb"/>
            <w:noWrap w:val="false"/>
          </w:tcPr>
          <w:p>
            <w:pPr>
              <w:pStyle w:val="123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27</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代理费</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■中标人</w:t>
            </w:r>
            <w:r/>
          </w:p>
          <w:p>
            <w:pPr>
              <w:pStyle w:val="1154"/>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p>
          <w:tbl>
            <w:tblPr>
              <w:tblStyle w:val="803"/>
              <w:tblW w:w="473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-3810</wp:posOffset>
                            </wp:positionV>
                            <wp:extent cx="1506855" cy="167513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-3810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8pt,-0.3pt" to="-8.7pt,-0.3pt" fillcolor="#FFFFFF" strokecolor="#000000"/>
                        </w:pict>
                      </mc:Fallback>
                    </mc:AlternateContent>
                  </w:r>
                  <w:r>
                    <w:rPr>
                      <w:rFonts w:hint="eastAsia" w:ascii="宋体" w:hAnsi="宋体" w:eastAsia="宋体" w:cs="宋体"/>
                      <w:bCs/>
                      <w:color w:val="000000"/>
                      <w:sz w:val="24"/>
                      <w:highlight w:val="none"/>
                    </w:rPr>
                    <w:t xml:space="preserve">服</w:t>
                  </w:r>
                  <w:r/>
                </w:p>
                <w:p>
                  <w:pPr>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p>
                <w:p>
                  <w:pPr>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81915</wp:posOffset>
                            </wp:positionV>
                            <wp:extent cx="1914525" cy="10293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5.0pt,6.4pt" to="145.8pt,87.5pt" filled="f" strokecolor="#000000"/>
                        </w:pict>
                      </mc:Fallback>
                    </mc:AlternateContent>
                  </w:r>
                  <w:r>
                    <w:rPr>
                      <w:rFonts w:hint="eastAsia" w:ascii="宋体" w:hAnsi="宋体" w:eastAsia="宋体" w:cs="宋体"/>
                      <w:bCs/>
                      <w:color w:val="000000"/>
                      <w:sz w:val="24"/>
                      <w:highlight w:val="none"/>
                    </w:rPr>
                    <w:t xml:space="preserve">　   类</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p>
              </w:tc>
              <w:tc>
                <w:tcPr>
                  <w:tcW w:w="1707" w:type="dxa"/>
                  <w:vAlign w:val="center"/>
                  <w:textDirection w:val="lrTb"/>
                  <w:noWrap w:val="false"/>
                </w:tcPr>
                <w:p>
                  <w:pPr>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lang w:eastAsia="zh-CN"/>
                    </w:rPr>
                    <w:t xml:space="preserve">货物</w:t>
                  </w:r>
                  <w:r>
                    <w:rPr>
                      <w:rFonts w:hint="eastAsia" w:ascii="宋体" w:hAnsi="宋体" w:eastAsia="宋体" w:cs="宋体"/>
                      <w:b/>
                      <w:color w:val="000000"/>
                      <w:sz w:val="24"/>
                      <w:highlight w:val="none"/>
                    </w:rPr>
                    <w:t xml:space="preserve">类</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p>
              </w:tc>
            </w:tr>
            <w:tr>
              <w:trPr>
                <w:trHeight w:val="284"/>
              </w:trPr>
              <w:tc>
                <w:tcPr>
                  <w:tcW w:w="3027" w:type="dxa"/>
                  <w:vAlign w:val="top"/>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2.收费标准：收费比例按差额定率累进法计算，代理服务费按上述标准计算并一次性缴纳。</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3.代理服务收费按上述计算方法不足人民币3000元的，按人民币3000元收取。</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4.缴纳时间：中标人应在领取中标通知书时将代理服务费付至采购代理机构指定的收款账户。</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tabs>
          <w:tab w:val="left" w:pos="5580" w:leader="none"/>
        </w:tabs>
        <w:rPr>
          <w:rFonts w:hint="eastAsia" w:ascii="宋体" w:hAnsi="宋体" w:eastAsia="宋体" w:cs="宋体"/>
          <w:color w:val="000000"/>
          <w:sz w:val="24"/>
          <w:highlight w:val="none"/>
        </w:rPr>
        <w:sectPr>
          <w:footerReference w:type="default" r:id="rId12"/>
          <w:footerReference w:type="first" r:id="rId13"/>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1241"/>
        <w:spacing w:before="0" w:line="360" w:lineRule="auto"/>
        <w:tabs>
          <w:tab w:val="center" w:pos="4592" w:leader="none"/>
          <w:tab w:val="left" w:pos="7860" w:leader="none"/>
        </w:tabs>
        <w:rPr>
          <w:rFonts w:hint="eastAsia" w:ascii="宋体" w:hAnsi="宋体" w:eastAsia="宋体" w:cs="宋体"/>
          <w:color w:val="000000"/>
          <w:sz w:val="32"/>
          <w:szCs w:val="32"/>
          <w:highlight w:val="none"/>
        </w:rPr>
      </w:pPr>
      <w:r/>
      <w:bookmarkStart w:id="72" w:name="_Toc151193760"/>
      <w:r/>
      <w:bookmarkStart w:id="73" w:name="_Toc265228356"/>
      <w:r/>
      <w:bookmarkStart w:id="74" w:name="_Toc520356143"/>
      <w:r/>
      <w:bookmarkStart w:id="75" w:name="_Toc151193832"/>
      <w:r/>
      <w:bookmarkStart w:id="76" w:name="_Toc226965791"/>
      <w:r/>
      <w:bookmarkStart w:id="77" w:name="_Toc150774618"/>
      <w:r/>
      <w:bookmarkStart w:id="78" w:name="_Toc226965708"/>
      <w:r/>
      <w:bookmarkStart w:id="79" w:name="_Toc151193688"/>
      <w:r/>
      <w:bookmarkStart w:id="80" w:name="_Toc305158860"/>
      <w:r/>
      <w:bookmarkStart w:id="81" w:name="_Toc142311020"/>
      <w:r/>
      <w:bookmarkStart w:id="82" w:name="_Toc151190145"/>
      <w:r/>
      <w:bookmarkStart w:id="83" w:name="_Toc150509269"/>
      <w:r/>
      <w:bookmarkStart w:id="84" w:name="_Toc226337214"/>
      <w:r/>
      <w:bookmarkStart w:id="85" w:name="_Toc150774723"/>
      <w:r/>
      <w:bookmarkStart w:id="86" w:name="_Toc127151518"/>
      <w:r/>
      <w:bookmarkStart w:id="87" w:name="_Toc305158786"/>
      <w:r/>
      <w:bookmarkStart w:id="88" w:name="_Toc195842883"/>
      <w:r/>
      <w:bookmarkStart w:id="89" w:name="_Toc150480756"/>
      <w:r/>
      <w:bookmarkStart w:id="90" w:name="_Toc151193616"/>
      <w:r/>
      <w:bookmarkStart w:id="91" w:name="_Toc226309762"/>
      <w:r/>
      <w:bookmarkStart w:id="92" w:name="_Toc151193906"/>
      <w:r/>
      <w:bookmarkStart w:id="93" w:name="_Toc264969208"/>
      <w:r>
        <w:rPr>
          <w:rFonts w:hint="eastAsia" w:ascii="宋体" w:hAnsi="宋体" w:eastAsia="宋体" w:cs="宋体"/>
          <w:color w:val="000000"/>
          <w:sz w:val="32"/>
          <w:szCs w:val="32"/>
          <w:highlight w:val="none"/>
        </w:rPr>
        <w:t xml:space="preserve">第二节 说明</w:t>
      </w:r>
      <w:r/>
    </w:p>
    <w:p>
      <w:pPr>
        <w:pStyle w:val="1241"/>
        <w:ind w:firstLine="321"/>
        <w:jc w:val="both"/>
        <w:spacing w:before="0" w:line="500" w:lineRule="exact"/>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32"/>
          <w:szCs w:val="32"/>
          <w:highlight w:val="none"/>
        </w:rPr>
        <w:t xml:space="preserve">一、</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32"/>
          <w:szCs w:val="32"/>
          <w:highlight w:val="none"/>
        </w:rPr>
        <w:t xml:space="preserve">总则</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4" w:name="_Toc458694821"/>
      <w:r/>
      <w:bookmarkStart w:id="95" w:name="_Toc513029204"/>
      <w:r/>
      <w:bookmarkStart w:id="96" w:name="_Toc20823276"/>
      <w:r/>
      <w:bookmarkStart w:id="97" w:name="_Toc16938520"/>
      <w:r>
        <w:rPr>
          <w:rFonts w:hint="eastAsia" w:ascii="宋体" w:hAnsi="宋体" w:eastAsia="宋体" w:cs="宋体"/>
          <w:color w:val="000000"/>
          <w:sz w:val="28"/>
          <w:szCs w:val="28"/>
          <w:highlight w:val="none"/>
        </w:rPr>
        <w:t xml:space="preserve">1</w:t>
      </w:r>
      <w:bookmarkEnd w:id="94"/>
      <w:r>
        <w:rPr>
          <w:rFonts w:hint="eastAsia" w:ascii="宋体" w:hAnsi="宋体" w:eastAsia="宋体" w:cs="宋体"/>
          <w:color w:val="000000"/>
          <w:sz w:val="28"/>
          <w:szCs w:val="28"/>
          <w:highlight w:val="none"/>
        </w:rPr>
        <w:t xml:space="preserve">、采购方式</w:t>
      </w:r>
      <w:bookmarkEnd w:id="95"/>
      <w:r/>
      <w:bookmarkEnd w:id="96"/>
      <w:r/>
      <w:bookmarkEnd w:id="9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8" w:name="_Toc16938521"/>
      <w:r/>
      <w:bookmarkStart w:id="99" w:name="_Toc20823277"/>
      <w:r/>
      <w:bookmarkStart w:id="100" w:name="_Toc513029205"/>
      <w:r>
        <w:rPr>
          <w:rFonts w:hint="eastAsia" w:ascii="宋体" w:hAnsi="宋体" w:eastAsia="宋体" w:cs="宋体"/>
          <w:color w:val="000000"/>
          <w:sz w:val="28"/>
          <w:szCs w:val="28"/>
          <w:highlight w:val="none"/>
        </w:rPr>
        <w:t xml:space="preserve">2、合格的投标人</w:t>
      </w:r>
      <w:bookmarkEnd w:id="98"/>
      <w:r/>
      <w:bookmarkEnd w:id="99"/>
      <w:r/>
      <w:bookmarkEnd w:id="100"/>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1" w:name="_Toc20823278"/>
      <w:r/>
      <w:bookmarkStart w:id="102" w:name="_Toc513029206"/>
      <w:r/>
      <w:bookmarkStart w:id="103" w:name="_Toc16938522"/>
      <w:r>
        <w:rPr>
          <w:rFonts w:hint="eastAsia" w:ascii="宋体" w:hAnsi="宋体" w:eastAsia="宋体" w:cs="宋体"/>
          <w:color w:val="000000"/>
          <w:sz w:val="28"/>
          <w:szCs w:val="28"/>
          <w:highlight w:val="none"/>
        </w:rPr>
        <w:t xml:space="preserve">3、适用法律</w:t>
      </w:r>
      <w:bookmarkEnd w:id="101"/>
      <w:r/>
      <w:bookmarkEnd w:id="102"/>
      <w:r/>
      <w:bookmarkEnd w:id="103"/>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本次招标及由此产生的合同受中华人民共和国有关的法律法规制约和保护。</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4" w:name="_Toc513029207"/>
      <w:r/>
      <w:bookmarkStart w:id="105" w:name="_Toc20823279"/>
      <w:r/>
      <w:bookmarkStart w:id="106" w:name="_Toc462564067"/>
      <w:r/>
      <w:bookmarkStart w:id="107" w:name="_Toc16938523"/>
      <w:r>
        <w:rPr>
          <w:rFonts w:hint="eastAsia" w:ascii="宋体" w:hAnsi="宋体" w:eastAsia="宋体" w:cs="宋体"/>
          <w:color w:val="000000"/>
          <w:sz w:val="28"/>
          <w:szCs w:val="28"/>
          <w:highlight w:val="none"/>
        </w:rPr>
        <w:t xml:space="preserve">4、投标费用</w:t>
      </w:r>
      <w:bookmarkEnd w:id="104"/>
      <w:r/>
      <w:bookmarkEnd w:id="105"/>
      <w:r/>
      <w:bookmarkEnd w:id="106"/>
      <w:r/>
      <w:bookmarkEnd w:id="10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szCs w:val="21"/>
          <w:highlight w:val="none"/>
          <w:lang w:eastAsia="zh-CN"/>
        </w:rPr>
        <w:t xml:space="preserve">江苏建达全过程工程咨询有限公司</w:t>
      </w:r>
      <w:r>
        <w:rPr>
          <w:rFonts w:hint="eastAsia" w:ascii="宋体" w:hAnsi="宋体" w:eastAsia="宋体" w:cs="宋体"/>
          <w:color w:val="000000"/>
          <w:sz w:val="24"/>
          <w:szCs w:val="21"/>
          <w:highlight w:val="none"/>
        </w:rPr>
        <w:t xml:space="preserve">（以下简称代理机构）在任何情况下均无义务和责任承担这些费用。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投标人一旦参加本项目采购活动，即被认为接受了本招标文件的规定和约束。</w:t>
      </w:r>
      <w:r/>
    </w:p>
    <w:p>
      <w:pPr>
        <w:ind w:firstLine="321"/>
        <w:keepLines/>
        <w:keepNext/>
        <w:spacing w:line="500" w:lineRule="exact"/>
        <w:rPr>
          <w:rFonts w:hint="eastAsia" w:ascii="宋体" w:hAnsi="宋体" w:eastAsia="宋体" w:cs="宋体"/>
          <w:b/>
          <w:bCs/>
          <w:color w:val="000000"/>
          <w:sz w:val="32"/>
          <w:szCs w:val="32"/>
          <w:highlight w:val="none"/>
        </w:rPr>
        <w:outlineLvl w:val="2"/>
      </w:pPr>
      <w:r/>
      <w:bookmarkStart w:id="108" w:name="_Toc513029209"/>
      <w:r/>
      <w:bookmarkStart w:id="109" w:name="_Toc120614215"/>
      <w:r/>
      <w:bookmarkStart w:id="110" w:name="_Toc16938525"/>
      <w:r/>
      <w:bookmarkStart w:id="111" w:name="_Toc20823281"/>
      <w:r>
        <w:rPr>
          <w:rFonts w:hint="eastAsia" w:ascii="宋体" w:hAnsi="宋体" w:eastAsia="宋体" w:cs="宋体"/>
          <w:b/>
          <w:bCs/>
          <w:color w:val="000000"/>
          <w:sz w:val="32"/>
          <w:szCs w:val="32"/>
          <w:highlight w:val="none"/>
        </w:rPr>
        <w:t xml:space="preserve">二、招标文件</w:t>
      </w:r>
      <w:bookmarkEnd w:id="108"/>
      <w:r/>
      <w:bookmarkEnd w:id="109"/>
      <w:r/>
      <w:bookmarkEnd w:id="110"/>
      <w:r/>
      <w:bookmarkEnd w:id="111"/>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12" w:name="_Toc20823282"/>
      <w:r/>
      <w:bookmarkStart w:id="113" w:name="_Toc513029210"/>
      <w:r/>
      <w:bookmarkStart w:id="114" w:name="_Toc16938526"/>
      <w:r>
        <w:rPr>
          <w:rFonts w:hint="eastAsia" w:ascii="宋体" w:hAnsi="宋体" w:eastAsia="宋体" w:cs="宋体"/>
          <w:color w:val="000000"/>
          <w:sz w:val="28"/>
          <w:szCs w:val="28"/>
          <w:highlight w:val="none"/>
        </w:rPr>
        <w:t xml:space="preserve">6、招标文件构成</w:t>
      </w:r>
      <w:bookmarkEnd w:id="112"/>
      <w:r/>
      <w:bookmarkEnd w:id="113"/>
      <w:r/>
      <w:bookmarkEnd w:id="114"/>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（4）评标程序、评标方法和评标标准</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（7）投标文件的组成及提交须知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（8）投标文件格式</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宋体" w:hAnsi="宋体" w:eastAsia="宋体" w:cs="宋体"/>
          <w:color w:val="000000"/>
          <w:sz w:val="28"/>
          <w:szCs w:val="28"/>
          <w:highlight w:val="none"/>
        </w:rPr>
        <w:outlineLvl w:val="3"/>
      </w:pPr>
      <w:r/>
      <w:bookmarkStart w:id="115" w:name="_Toc513029211"/>
      <w:r/>
      <w:bookmarkStart w:id="116" w:name="_Toc16938527"/>
      <w:r/>
      <w:bookmarkStart w:id="117" w:name="_Toc20823283"/>
      <w:r/>
      <w:bookmarkStart w:id="118" w:name="_Toc462564070"/>
      <w:r>
        <w:rPr>
          <w:rFonts w:hint="eastAsia" w:ascii="宋体" w:hAnsi="宋体" w:eastAsia="宋体" w:cs="宋体"/>
          <w:color w:val="000000"/>
          <w:sz w:val="28"/>
          <w:szCs w:val="28"/>
          <w:highlight w:val="none"/>
        </w:rPr>
        <w:t xml:space="preserve">7、招标文件的澄清</w:t>
      </w:r>
      <w:bookmarkEnd w:id="115"/>
      <w:r/>
      <w:bookmarkEnd w:id="116"/>
      <w:r/>
      <w:bookmarkEnd w:id="117"/>
      <w:r/>
      <w:bookmarkEnd w:id="11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pPr>
      <w:r/>
      <w:bookmarkStart w:id="119" w:name="_Toc513029212"/>
      <w:r/>
      <w:bookmarkStart w:id="120" w:name="_Toc16938528"/>
      <w:r/>
      <w:bookmarkStart w:id="121" w:name="_Toc20823284"/>
      <w:r/>
      <w:bookmarkStart w:id="122" w:name="_Toc462564071"/>
      <w:r>
        <w:rPr>
          <w:rFonts w:hint="eastAsia" w:ascii="宋体" w:hAnsi="宋体" w:eastAsia="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8、招标文件的修改</w:t>
      </w:r>
      <w:bookmarkEnd w:id="119"/>
      <w:r/>
      <w:bookmarkEnd w:id="120"/>
      <w:r/>
      <w:bookmarkEnd w:id="121"/>
      <w:r/>
      <w:bookmarkEnd w:id="12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在投标截止时间前，代理机构可以对招标文件进行修改。</w:t>
      </w:r>
      <w:r/>
    </w:p>
    <w:p>
      <w:pPr>
        <w:ind w:firstLine="480"/>
        <w:spacing w:line="5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8.2 </w:t>
      </w:r>
      <w:r>
        <w:rPr>
          <w:rFonts w:hint="eastAsia" w:ascii="宋体" w:hAnsi="宋体" w:eastAsia="宋体" w:cs="宋体"/>
          <w:color w:val="000000"/>
          <w:sz w:val="24"/>
          <w:szCs w:val="21"/>
          <w:highlight w:val="none"/>
        </w:rPr>
        <w:t xml:space="preserve">代理机构</w:t>
      </w:r>
      <w:r>
        <w:rPr>
          <w:rFonts w:hint="eastAsia" w:ascii="宋体" w:hAnsi="宋体" w:eastAsia="宋体" w:cs="宋体"/>
          <w:color w:val="000000"/>
          <w:sz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8.3 </w:t>
      </w:r>
      <w:r>
        <w:rPr>
          <w:rFonts w:hint="eastAsia" w:ascii="宋体" w:hAnsi="宋体" w:eastAsia="宋体" w:cs="宋体"/>
          <w:color w:val="000000"/>
          <w:sz w:val="24"/>
          <w:szCs w:val="21"/>
          <w:highlight w:val="none"/>
        </w:rPr>
        <w:t xml:space="preserve">招标文件的修改将在</w:t>
      </w:r>
      <w:bookmarkStart w:id="123" w:name="_Hlk151728132"/>
      <w:r>
        <w:rPr>
          <w:rFonts w:hint="eastAsia" w:ascii="宋体" w:hAnsi="宋体" w:eastAsia="宋体" w:cs="宋体"/>
          <w:color w:val="000000"/>
          <w:sz w:val="24"/>
          <w:szCs w:val="21"/>
          <w:highlight w:val="none"/>
        </w:rPr>
        <w:t xml:space="preserve">“江苏省政府采购网”、“常州市政府采购网”</w:t>
      </w:r>
      <w:bookmarkEnd w:id="123"/>
      <w:r>
        <w:rPr>
          <w:rFonts w:hint="eastAsia" w:ascii="宋体" w:hAnsi="宋体" w:eastAsia="宋体" w:cs="宋体"/>
          <w:color w:val="000000"/>
          <w:sz w:val="24"/>
          <w:szCs w:val="21"/>
          <w:highlight w:val="none"/>
        </w:rPr>
        <w:t xml:space="preserve">公布，</w:t>
      </w:r>
      <w:r>
        <w:rPr>
          <w:rFonts w:hint="eastAsia" w:ascii="宋体" w:hAnsi="宋体" w:eastAsia="宋体" w:cs="宋体"/>
          <w:color w:val="000000"/>
          <w:sz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24" w:name="_Toc513029213"/>
      <w:r/>
      <w:bookmarkStart w:id="125" w:name="_Toc120614216"/>
      <w:r/>
      <w:bookmarkStart w:id="126" w:name="_Toc20823285"/>
      <w:r/>
      <w:bookmarkStart w:id="127" w:name="_Toc462564072"/>
      <w:r/>
      <w:bookmarkStart w:id="128" w:name="_Toc16938529"/>
      <w:r>
        <w:rPr>
          <w:rFonts w:hint="eastAsia" w:ascii="宋体" w:hAnsi="宋体" w:eastAsia="宋体" w:cs="宋体"/>
          <w:b/>
          <w:bCs/>
          <w:color w:val="000000"/>
          <w:sz w:val="32"/>
          <w:szCs w:val="32"/>
          <w:highlight w:val="none"/>
        </w:rPr>
        <w:t xml:space="preserve">三、投标文件的编制</w:t>
      </w:r>
      <w:bookmarkEnd w:id="124"/>
      <w:r/>
      <w:bookmarkEnd w:id="125"/>
      <w:r/>
      <w:bookmarkEnd w:id="126"/>
      <w:r/>
      <w:bookmarkEnd w:id="127"/>
      <w:r/>
      <w:bookmarkEnd w:id="128"/>
      <w:r/>
      <w:r/>
    </w:p>
    <w:p>
      <w:pPr>
        <w:ind w:firstLine="560"/>
        <w:keepLines/>
        <w:keepNext/>
        <w:spacing w:line="500" w:lineRule="exact"/>
        <w:rPr>
          <w:rFonts w:hint="eastAsia" w:ascii="宋体" w:hAnsi="宋体" w:eastAsia="宋体" w:cs="宋体"/>
          <w:b/>
          <w:color w:val="000000"/>
          <w:sz w:val="28"/>
          <w:szCs w:val="28"/>
          <w:highlight w:val="none"/>
        </w:rPr>
        <w:outlineLvl w:val="3"/>
      </w:pPr>
      <w:r/>
      <w:bookmarkStart w:id="129" w:name="_Toc462564073"/>
      <w:r/>
      <w:bookmarkStart w:id="130" w:name="_Toc16938530"/>
      <w:r/>
      <w:bookmarkStart w:id="131" w:name="_Toc20823286"/>
      <w:r/>
      <w:bookmarkStart w:id="132" w:name="_Toc513029214"/>
      <w:r>
        <w:rPr>
          <w:rFonts w:hint="eastAsia" w:ascii="宋体" w:hAnsi="宋体" w:eastAsia="宋体" w:cs="宋体"/>
          <w:color w:val="000000"/>
          <w:sz w:val="28"/>
          <w:szCs w:val="28"/>
          <w:highlight w:val="none"/>
        </w:rPr>
        <w:t xml:space="preserve">9、投标文件的语言及度量衡单位</w:t>
      </w:r>
      <w:bookmarkEnd w:id="129"/>
      <w:r/>
      <w:bookmarkEnd w:id="130"/>
      <w:r/>
      <w:bookmarkEnd w:id="131"/>
      <w:r/>
      <w:bookmarkEnd w:id="13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 投标人提交的投标文件以及投标人与代理机构就有关投标的所有来往通知、函件和文件均应使用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3" w:name="_Toc16938531"/>
      <w:r/>
      <w:bookmarkStart w:id="134" w:name="_Toc20823287"/>
      <w:r/>
      <w:bookmarkStart w:id="135" w:name="_Toc462564074"/>
      <w:r/>
      <w:bookmarkStart w:id="136" w:name="_Toc513029215"/>
      <w:r>
        <w:rPr>
          <w:rFonts w:hint="eastAsia" w:ascii="宋体" w:hAnsi="宋体" w:eastAsia="宋体" w:cs="宋体"/>
          <w:color w:val="000000"/>
          <w:sz w:val="28"/>
          <w:szCs w:val="28"/>
          <w:highlight w:val="none"/>
        </w:rPr>
        <w:t xml:space="preserve">10、投标文件构成</w:t>
      </w:r>
      <w:bookmarkEnd w:id="133"/>
      <w:r/>
      <w:bookmarkEnd w:id="134"/>
      <w:r/>
      <w:bookmarkEnd w:id="135"/>
      <w:r/>
      <w:bookmarkEnd w:id="136"/>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7" w:name="_Hlt26668975"/>
      <w:r/>
      <w:bookmarkEnd w:id="137"/>
      <w:r/>
      <w:bookmarkStart w:id="138" w:name="_Hlt26670360"/>
      <w:r/>
      <w:bookmarkEnd w:id="138"/>
      <w:r/>
      <w:bookmarkStart w:id="139" w:name="_Hlt26954838"/>
      <w:r/>
      <w:bookmarkEnd w:id="139"/>
      <w:r/>
      <w:bookmarkStart w:id="140" w:name="_Toc513029216"/>
      <w:r/>
      <w:bookmarkStart w:id="141" w:name="_Toc14577357"/>
      <w:r/>
      <w:bookmarkStart w:id="142" w:name="_Toc513029219"/>
      <w:r/>
      <w:bookmarkStart w:id="143" w:name="_Toc49090507"/>
      <w:r/>
      <w:bookmarkStart w:id="144" w:name="_Toc14577354"/>
      <w:r/>
      <w:bookmarkStart w:id="145" w:name="_Toc49090509"/>
      <w:r/>
      <w:bookmarkStart w:id="146" w:name="_Toc49090508"/>
      <w:r/>
      <w:bookmarkStart w:id="147" w:name="_Toc14577355"/>
      <w:r>
        <w:rPr>
          <w:rFonts w:hint="eastAsia" w:ascii="宋体" w:hAnsi="宋体" w:eastAsia="宋体" w:cs="宋体"/>
          <w:color w:val="000000"/>
          <w:sz w:val="28"/>
          <w:szCs w:val="28"/>
          <w:highlight w:val="none"/>
        </w:rPr>
        <w:t xml:space="preserve">11、证明投标人及投标标的符合招标文件规定的文件</w:t>
      </w:r>
      <w:bookmarkEnd w:id="140"/>
      <w:r/>
      <w:bookmarkEnd w:id="141"/>
      <w:r/>
      <w:bookmarkEnd w:id="142"/>
      <w:r/>
      <w:bookmarkEnd w:id="143"/>
      <w:r/>
      <w:bookmarkEnd w:id="144"/>
      <w:r/>
      <w:bookmarkEnd w:id="145"/>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bookmarkEnd w:id="146"/>
      <w:r/>
      <w:bookmarkEnd w:id="147"/>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w:t>
      </w:r>
      <w:r>
        <w:rPr>
          <w:rFonts w:hint="eastAsia" w:ascii="宋体" w:hAnsi="宋体" w:eastAsia="宋体" w:cs="宋体"/>
          <w:color w:val="000000"/>
          <w:sz w:val="24"/>
          <w:szCs w:val="21"/>
          <w:highlight w:val="none"/>
        </w:rPr>
        <w:t xml:space="preserve"> 投标人应按照招标文件规定格式填报投标报价明细表。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12.2</w:t>
      </w:r>
      <w:r>
        <w:rPr>
          <w:rFonts w:hint="eastAsia" w:ascii="宋体" w:hAnsi="宋体" w:eastAsia="宋体" w:cs="宋体"/>
          <w:bCs/>
          <w:color w:val="000000"/>
          <w:sz w:val="24"/>
          <w:szCs w:val="21"/>
          <w:highlight w:val="none"/>
        </w:rPr>
        <w:t xml:space="preserve">投标货币。投标文件中的单价和总价无特殊规定的采用人民币报价，以元为单位标注。</w:t>
      </w:r>
      <w:r>
        <w:rPr>
          <w:rFonts w:hint="eastAsia" w:ascii="宋体" w:hAnsi="宋体" w:eastAsia="宋体" w:cs="宋体"/>
          <w:color w:val="000000"/>
          <w:sz w:val="24"/>
          <w:szCs w:val="21"/>
          <w:highlight w:val="none"/>
        </w:rPr>
        <w:t xml:space="preserve">招标文件中另有规定的按规定执行。</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48" w:name="_Hlt26954846"/>
      <w:r/>
      <w:bookmarkEnd w:id="148"/>
      <w:r/>
      <w:bookmarkStart w:id="149" w:name="_Hlt26954848"/>
      <w:r/>
      <w:bookmarkEnd w:id="149"/>
      <w:r/>
      <w:bookmarkStart w:id="150" w:name="_Hlt26670482"/>
      <w:r/>
      <w:bookmarkEnd w:id="150"/>
      <w:r/>
      <w:bookmarkStart w:id="151" w:name="_Hlt26954731"/>
      <w:r/>
      <w:bookmarkEnd w:id="151"/>
      <w:r/>
      <w:bookmarkStart w:id="152" w:name="_Hlt26670486"/>
      <w:r/>
      <w:bookmarkEnd w:id="152"/>
      <w:r>
        <w:rPr>
          <w:rFonts w:hint="eastAsia" w:ascii="宋体" w:hAnsi="宋体" w:eastAsia="宋体" w:cs="宋体"/>
          <w:color w:val="000000"/>
          <w:sz w:val="28"/>
          <w:szCs w:val="28"/>
          <w:highlight w:val="none"/>
        </w:rPr>
        <w:t xml:space="preserve">13、技术要求响应及偏离表、商务要求响应及偏离表</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13.1</w:t>
      </w:r>
      <w:r>
        <w:rPr>
          <w:rFonts w:hint="eastAsia" w:ascii="宋体" w:hAnsi="宋体" w:eastAsia="宋体" w:cs="宋体"/>
          <w:color w:val="000000"/>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 </w:t>
      </w:r>
      <w:r>
        <w:rPr>
          <w:rFonts w:hint="eastAsia" w:ascii="宋体" w:hAnsi="宋体" w:eastAsia="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投标人需根据招标文件要求提供培训计划。</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 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3" w:name="_Toc14577359"/>
      <w:r/>
      <w:bookmarkStart w:id="154" w:name="_Toc49090510"/>
      <w:r>
        <w:rPr>
          <w:rFonts w:hint="eastAsia" w:ascii="宋体" w:hAnsi="宋体" w:eastAsia="宋体" w:cs="宋体"/>
          <w:color w:val="000000"/>
          <w:sz w:val="28"/>
          <w:szCs w:val="28"/>
          <w:highlight w:val="none"/>
        </w:rPr>
        <w:t xml:space="preserve">15、投标函和开标一览表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15.1</w:t>
      </w:r>
      <w:r>
        <w:rPr>
          <w:rFonts w:hint="eastAsia" w:ascii="宋体" w:hAnsi="宋体" w:eastAsia="宋体" w:cs="宋体"/>
          <w:color w:val="000000"/>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53"/>
      <w:r/>
      <w:bookmarkEnd w:id="154"/>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5" w:name="_Toc49090511"/>
      <w:r/>
      <w:bookmarkStart w:id="156" w:name="_Toc14577360"/>
      <w:r>
        <w:rPr>
          <w:rFonts w:hint="eastAsia" w:ascii="宋体" w:hAnsi="宋体" w:eastAsia="宋体" w:cs="宋体"/>
          <w:color w:val="000000"/>
          <w:sz w:val="28"/>
          <w:szCs w:val="28"/>
          <w:highlight w:val="none"/>
        </w:rPr>
        <w:t xml:space="preserve">16、投标有效期</w:t>
      </w:r>
      <w:bookmarkEnd w:id="155"/>
      <w:r/>
      <w:bookmarkEnd w:id="156"/>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16.1投标有效期为代理机构规定的开标之日后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17、投标有效期的延长</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157" w:name="_Hlt26954852"/>
      <w:r/>
      <w:bookmarkEnd w:id="157"/>
      <w:r/>
      <w:bookmarkStart w:id="158" w:name="_Hlt26954739"/>
      <w:r/>
      <w:bookmarkEnd w:id="158"/>
      <w:r/>
      <w:bookmarkStart w:id="159" w:name="_Toc20823296"/>
      <w:r/>
      <w:bookmarkStart w:id="160" w:name="_Toc16938540"/>
      <w:r/>
      <w:bookmarkStart w:id="161" w:name="_Toc120614217"/>
      <w:r/>
      <w:bookmarkStart w:id="162" w:name="_Toc513029224"/>
      <w:r>
        <w:rPr>
          <w:rFonts w:hint="eastAsia" w:ascii="宋体" w:hAnsi="宋体" w:eastAsia="宋体" w:cs="宋体"/>
          <w:b/>
          <w:bCs/>
          <w:color w:val="000000"/>
          <w:sz w:val="32"/>
          <w:szCs w:val="32"/>
          <w:highlight w:val="none"/>
        </w:rPr>
        <w:t xml:space="preserve">四、投标文件的递交</w:t>
      </w:r>
      <w:bookmarkEnd w:id="159"/>
      <w:r/>
      <w:bookmarkEnd w:id="160"/>
      <w:r/>
      <w:bookmarkEnd w:id="161"/>
      <w:r/>
      <w:bookmarkEnd w:id="162"/>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63" w:name="_Toc16938541"/>
      <w:r/>
      <w:bookmarkStart w:id="164" w:name="_Toc513029225"/>
      <w:r/>
      <w:bookmarkStart w:id="165" w:name="_Toc462564084"/>
      <w:r/>
      <w:bookmarkStart w:id="166" w:name="_Toc20823297"/>
      <w:r>
        <w:rPr>
          <w:rFonts w:hint="eastAsia" w:ascii="宋体" w:hAnsi="宋体" w:eastAsia="宋体" w:cs="宋体"/>
          <w:color w:val="000000"/>
          <w:sz w:val="28"/>
          <w:szCs w:val="28"/>
          <w:highlight w:val="none"/>
        </w:rPr>
        <w:t xml:space="preserve">18、电子投标文件</w:t>
      </w:r>
      <w:bookmarkEnd w:id="163"/>
      <w:r/>
      <w:bookmarkEnd w:id="164"/>
      <w:r/>
      <w:bookmarkEnd w:id="165"/>
      <w:r/>
      <w:bookmarkEnd w:id="166"/>
      <w:r>
        <w:rPr>
          <w:rFonts w:hint="eastAsia" w:ascii="宋体" w:hAnsi="宋体" w:eastAsia="宋体" w:cs="宋体"/>
          <w:color w:val="000000"/>
          <w:sz w:val="28"/>
          <w:szCs w:val="28"/>
          <w:highlight w:val="none"/>
        </w:rPr>
        <w:t xml:space="preserve">的递交</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18.1投标人应当按照《操作手册》规定，在投标截止时间前制作并上传电子投标文件。</w:t>
      </w:r>
      <w:bookmarkStart w:id="167" w:name="_Toc20823298"/>
      <w:r/>
      <w:bookmarkStart w:id="168" w:name="_Toc513029226"/>
      <w:r/>
      <w:bookmarkStart w:id="169" w:name="_Toc16938542"/>
      <w:r/>
      <w:r/>
    </w:p>
    <w:p>
      <w:pPr>
        <w:ind w:firstLine="420"/>
        <w:keepLines/>
        <w:keepNext/>
        <w:spacing w:line="500" w:lineRule="exact"/>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19、投标截止日期</w:t>
      </w:r>
      <w:bookmarkEnd w:id="167"/>
      <w:r/>
      <w:bookmarkEnd w:id="168"/>
      <w:r/>
      <w:bookmarkEnd w:id="169"/>
      <w:r/>
      <w:r/>
    </w:p>
    <w:p>
      <w:pPr>
        <w:ind w:firstLine="480"/>
        <w:spacing w:line="500" w:lineRule="exact"/>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 投标人上传电子投标文件的时间不得迟于招标公告中规定的投标截止时间。</w:t>
      </w: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0" w:name="_Toc20823299"/>
      <w:r/>
      <w:bookmarkStart w:id="171" w:name="_Toc513029227"/>
      <w:r/>
      <w:bookmarkStart w:id="172" w:name="_Toc16938543"/>
      <w:r>
        <w:rPr>
          <w:rFonts w:hint="eastAsia" w:ascii="宋体" w:hAnsi="宋体" w:eastAsia="宋体" w:cs="宋体"/>
          <w:color w:val="000000"/>
          <w:sz w:val="28"/>
          <w:szCs w:val="28"/>
          <w:highlight w:val="none"/>
        </w:rPr>
        <w:t xml:space="preserve">20、投标文件</w:t>
      </w:r>
      <w:bookmarkEnd w:id="170"/>
      <w:r/>
      <w:bookmarkEnd w:id="171"/>
      <w:r/>
      <w:bookmarkEnd w:id="172"/>
      <w:r>
        <w:rPr>
          <w:rFonts w:hint="eastAsia" w:ascii="宋体" w:hAnsi="宋体" w:eastAsia="宋体" w:cs="宋体"/>
          <w:color w:val="000000"/>
          <w:sz w:val="28"/>
          <w:szCs w:val="28"/>
          <w:highlight w:val="none"/>
        </w:rPr>
        <w:t xml:space="preserve">的拒收</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代理机构拒绝接收在其规定的投标截止时间后上传的任何投标文件。</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3" w:name="_Toc513029228"/>
      <w:r/>
      <w:bookmarkStart w:id="174" w:name="_Toc20823300"/>
      <w:r/>
      <w:bookmarkStart w:id="175" w:name="_Toc16938544"/>
      <w:r>
        <w:rPr>
          <w:rFonts w:hint="eastAsia" w:ascii="宋体" w:hAnsi="宋体" w:eastAsia="宋体" w:cs="宋体"/>
          <w:color w:val="000000"/>
          <w:sz w:val="28"/>
          <w:szCs w:val="28"/>
          <w:highlight w:val="none"/>
        </w:rPr>
        <w:t xml:space="preserve">21、投标文件的撤回和修改</w:t>
      </w:r>
      <w:bookmarkEnd w:id="173"/>
      <w:r/>
      <w:bookmarkEnd w:id="174"/>
      <w:r/>
      <w:bookmarkEnd w:id="175"/>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 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投标人撤回电子投标文件，则认为其不再参与本项目投标活动。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 投标文件的修改</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76" w:name="_Toc16938545"/>
      <w:r/>
      <w:bookmarkStart w:id="177" w:name="_Toc513029229"/>
      <w:r/>
      <w:bookmarkStart w:id="178" w:name="_Toc20823301"/>
      <w:r/>
      <w:bookmarkStart w:id="179" w:name="_Toc120614218"/>
      <w:r>
        <w:rPr>
          <w:rFonts w:hint="eastAsia" w:ascii="宋体" w:hAnsi="宋体" w:eastAsia="宋体" w:cs="宋体"/>
          <w:b/>
          <w:bCs/>
          <w:color w:val="000000"/>
          <w:sz w:val="32"/>
          <w:szCs w:val="32"/>
          <w:highlight w:val="none"/>
        </w:rPr>
        <w:t xml:space="preserve">五、开标与评标</w:t>
      </w:r>
      <w:bookmarkEnd w:id="176"/>
      <w:r/>
      <w:bookmarkEnd w:id="177"/>
      <w:r/>
      <w:bookmarkEnd w:id="178"/>
      <w:r/>
      <w:bookmarkEnd w:id="179"/>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0" w:name="_Toc16938546"/>
      <w:r/>
      <w:bookmarkStart w:id="181" w:name="_Toc513029230"/>
      <w:r/>
      <w:bookmarkStart w:id="182" w:name="_Toc20823302"/>
      <w:r>
        <w:rPr>
          <w:rFonts w:hint="eastAsia" w:ascii="宋体" w:hAnsi="宋体" w:eastAsia="宋体" w:cs="宋体"/>
          <w:color w:val="000000"/>
          <w:sz w:val="28"/>
          <w:szCs w:val="28"/>
          <w:highlight w:val="none"/>
        </w:rPr>
        <w:t xml:space="preserve">22、开标</w:t>
      </w:r>
      <w:bookmarkEnd w:id="180"/>
      <w:r/>
      <w:bookmarkEnd w:id="181"/>
      <w:r/>
      <w:bookmarkEnd w:id="182"/>
      <w:r/>
      <w:r/>
    </w:p>
    <w:p>
      <w:pPr>
        <w:ind w:firstLine="360"/>
        <w:spacing w:line="500" w:lineRule="exact"/>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bCs/>
          <w:color w:val="000000"/>
          <w:sz w:val="24"/>
          <w:szCs w:val="21"/>
          <w:highlight w:val="none"/>
        </w:rPr>
        <w:t xml:space="preserve"> 代理机构将在招标公告中规定的时间和地点组织公开开标</w:t>
      </w:r>
      <w:r>
        <w:rPr>
          <w:rFonts w:hint="eastAsia" w:ascii="宋体" w:hAnsi="宋体" w:eastAsia="宋体" w:cs="宋体"/>
          <w:color w:val="000000"/>
          <w:sz w:val="24"/>
          <w:highlight w:val="none"/>
        </w:rPr>
        <w:t xml:space="preserve">。投标人应当按照《操作手册》规定，参加开标活动和在苏采云系统规定的时间内对投标文件进行解密。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22.2</w:t>
      </w:r>
      <w:r>
        <w:rPr>
          <w:rFonts w:hint="eastAsia" w:ascii="宋体" w:hAnsi="宋体" w:eastAsia="宋体" w:cs="宋体"/>
          <w:color w:val="000000"/>
          <w:sz w:val="24"/>
          <w:highlight w:val="none"/>
        </w:rPr>
        <w:t xml:space="preserve">开标仪式由代理机构组织。苏采云系统将自动对项目进行开标，并宣布各投标人名称和投标价格。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22.3投标人在开标过程中涉及到的投标文件解密、开标结果确认等工作，应按照《操作手册》规定执行。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3" w:name="_Toc16938547"/>
      <w:r/>
      <w:bookmarkStart w:id="184" w:name="_Toc513029231"/>
      <w:r/>
      <w:bookmarkStart w:id="185" w:name="_Toc20823303"/>
      <w:r>
        <w:rPr>
          <w:rFonts w:hint="eastAsia" w:ascii="宋体" w:hAnsi="宋体" w:eastAsia="宋体" w:cs="宋体"/>
          <w:color w:val="000000"/>
          <w:sz w:val="28"/>
          <w:szCs w:val="28"/>
          <w:highlight w:val="none"/>
        </w:rPr>
        <w:t xml:space="preserve">23、评标委员会</w:t>
      </w:r>
      <w:r/>
    </w:p>
    <w:p>
      <w:pPr>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23.1开标后，代理机构将立即组织评标委员会（以下简称评委会）进行评标。</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23.2 评委会由采购人代表和有关技术、经济等方面的专家组成，且人员构成符合政府采购有关规定。</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23.3评委会独立工作，负责评审所有投标文件并确定中标侯选人。</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24．评标过程的保密与公正</w:t>
      </w:r>
      <w:bookmarkEnd w:id="183"/>
      <w:r/>
      <w:bookmarkEnd w:id="184"/>
      <w:r/>
      <w:bookmarkEnd w:id="185"/>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 代理机构和评标委员会不向未中标的投标人解释未中标原因，也不公布评标过程中的相关细节。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6" w:name="_Toc513029232"/>
      <w:r/>
      <w:bookmarkStart w:id="187" w:name="_Toc16938548"/>
      <w:r/>
      <w:bookmarkStart w:id="188" w:name="_Toc20823304"/>
      <w:r>
        <w:rPr>
          <w:rFonts w:hint="eastAsia" w:ascii="宋体" w:hAnsi="宋体" w:eastAsia="宋体" w:cs="宋体"/>
          <w:color w:val="000000"/>
          <w:sz w:val="28"/>
          <w:szCs w:val="28"/>
          <w:highlight w:val="none"/>
        </w:rPr>
        <w:t xml:space="preserve">25．投标文件的澄清</w:t>
      </w:r>
      <w:bookmarkEnd w:id="186"/>
      <w:r/>
      <w:bookmarkEnd w:id="187"/>
      <w:r/>
      <w:bookmarkEnd w:id="188"/>
      <w:r/>
      <w:r/>
    </w:p>
    <w:p>
      <w:pPr>
        <w:ind w:firstLine="480"/>
        <w:spacing w:line="500" w:lineRule="exact"/>
        <w:rPr>
          <w:rFonts w:hint="eastAsia" w:ascii="宋体" w:hAnsi="宋体" w:eastAsia="宋体" w:cs="宋体"/>
          <w:color w:val="000000"/>
          <w:sz w:val="24"/>
          <w:highlight w:val="none"/>
        </w:rPr>
      </w:pPr>
      <w:r/>
      <w:bookmarkStart w:id="189" w:name="_Toc20823305"/>
      <w:r/>
      <w:bookmarkStart w:id="190" w:name="_Toc513029233"/>
      <w:r/>
      <w:bookmarkStart w:id="191" w:name="_Toc16938549"/>
      <w:r>
        <w:rPr>
          <w:rFonts w:hint="eastAsia" w:ascii="宋体" w:hAnsi="宋体" w:eastAsia="宋体" w:cs="宋体"/>
          <w:color w:val="000000"/>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接到评委会澄清、说明和补正要求的投标人如未按规定做出澄清、说明和补正，其风险由投标人自行承担。</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26、对投标文件的初审</w:t>
      </w:r>
      <w:bookmarkEnd w:id="189"/>
      <w:r/>
      <w:bookmarkEnd w:id="190"/>
      <w:r/>
      <w:bookmarkEnd w:id="191"/>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未通过资格审查或符合性审查的投标人，代理机构将在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eastAsia="宋体" w:cs="宋体"/>
          <w:color w:val="000000"/>
          <w:sz w:val="24"/>
          <w:szCs w:val="21"/>
          <w:highlight w:val="none"/>
        </w:rPr>
      </w:pPr>
      <w:r/>
      <w:bookmarkStart w:id="192" w:name="_Toc513029234"/>
      <w:r/>
      <w:bookmarkStart w:id="193" w:name="_Toc16938550"/>
      <w:r/>
      <w:bookmarkStart w:id="194" w:name="_Toc20823306"/>
      <w:r>
        <w:rPr>
          <w:rFonts w:hint="eastAsia" w:ascii="宋体" w:hAnsi="宋体" w:eastAsia="宋体" w:cs="宋体"/>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26.7投标人在开、评标全过程中应保持通讯畅通，及时登录</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查阅、答复相关信息，并安排专人与代理机构及评标委员会联系。</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192"/>
      <w:r/>
      <w:bookmarkEnd w:id="193"/>
      <w:r/>
      <w:bookmarkEnd w:id="194"/>
      <w:r>
        <w:rPr>
          <w:rFonts w:hint="eastAsia" w:ascii="宋体" w:hAnsi="宋体" w:eastAsia="宋体" w:cs="宋体"/>
          <w:color w:val="000000"/>
          <w:sz w:val="28"/>
          <w:szCs w:val="28"/>
          <w:highlight w:val="none"/>
        </w:rPr>
        <w:t xml:space="preserve">无效投标条款和废标条款</w:t>
      </w:r>
      <w:r/>
    </w:p>
    <w:p>
      <w:pPr>
        <w:ind w:firstLine="480"/>
        <w:spacing w:line="500" w:lineRule="exact"/>
        <w:rPr>
          <w:rFonts w:hint="eastAsia" w:ascii="宋体" w:hAnsi="宋体" w:eastAsia="宋体" w:cs="宋体"/>
          <w:bCs/>
          <w:color w:val="000000"/>
          <w:sz w:val="24"/>
          <w:szCs w:val="21"/>
          <w:highlight w:val="none"/>
        </w:rPr>
      </w:pPr>
      <w:r/>
      <w:bookmarkStart w:id="195" w:name="_Toc513029235"/>
      <w:r/>
      <w:bookmarkStart w:id="196" w:name="_Toc16938551"/>
      <w:r/>
      <w:bookmarkStart w:id="197" w:name="_Toc20823307"/>
      <w:r>
        <w:rPr>
          <w:rFonts w:hint="eastAsia" w:ascii="宋体" w:hAnsi="宋体" w:eastAsia="宋体" w:cs="宋体"/>
          <w:bCs/>
          <w:color w:val="000000"/>
          <w:sz w:val="24"/>
          <w:szCs w:val="21"/>
          <w:highlight w:val="none"/>
        </w:rPr>
        <w:t xml:space="preserve">27.1无效投标条款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 投标人在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27.1.2 投标人未按照招标文件要求上传电子投标文件的。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27.1.3同一投标人提交两个（含两个）以上不同的投标报价的。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27.1.4投标人不具备招标文件中规定资格要求的。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27.1.5投标人的报价超过了采购预算或最高限价的。</w:t>
      </w:r>
      <w:r/>
    </w:p>
    <w:p>
      <w:pPr>
        <w:ind w:firstLine="480"/>
        <w:spacing w:line="5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27.1.6未通过符合性审查的。</w:t>
      </w:r>
      <w:r/>
    </w:p>
    <w:p>
      <w:pPr>
        <w:ind w:firstLine="360"/>
        <w:spacing w:line="500" w:lineRule="exact"/>
        <w:rPr>
          <w:rFonts w:hint="eastAsia" w:ascii="宋体" w:hAnsi="宋体" w:eastAsia="宋体" w:cs="宋体"/>
          <w:bCs/>
          <w:iCs/>
          <w:color w:val="000000"/>
          <w:sz w:val="24"/>
          <w:szCs w:val="21"/>
          <w:highlight w:val="none"/>
          <w:u w:val="single"/>
        </w:rPr>
      </w:pPr>
      <w:r>
        <w:rPr>
          <w:rFonts w:hint="eastAsia" w:ascii="宋体" w:hAnsi="宋体" w:eastAsia="宋体" w:cs="宋体"/>
          <w:bCs/>
          <w:color w:val="000000"/>
          <w:sz w:val="24"/>
          <w:szCs w:val="21"/>
          <w:highlight w:val="none"/>
        </w:rPr>
        <w:t xml:space="preserve"> 27.1.7不符合招标文件中规定的实质性要求和条件的。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27.1.8 投标人被</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列入失信被执行人或重大税收违法案件当事人名单或政府采购严重失信行为记录名单。或查询</w:t>
      </w:r>
      <w:r>
        <w:rPr>
          <w:rFonts w:hint="eastAsia" w:ascii="宋体" w:hAnsi="宋体" w:eastAsia="宋体" w:cs="宋体"/>
          <w:color w:val="000000"/>
          <w:sz w:val="24"/>
          <w:highlight w:val="none"/>
        </w:rPr>
        <w:t xml:space="preserve">“信用中国”网站或“中国政府采购网”</w:t>
      </w:r>
      <w:r>
        <w:rPr>
          <w:rFonts w:hint="eastAsia" w:ascii="宋体" w:hAnsi="宋体" w:eastAsia="宋体" w:cs="宋体"/>
          <w:bCs/>
          <w:color w:val="000000"/>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27.1.9  投标文件含有采购人不能接受的附加条件的。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27.1.12 投标文件未按照招标文件要求加盖CA电子公章的。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27.1.13其他法律、法规及本招标文件规定的属无效投标的情形。</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27.2废标条款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27.2.1符合专业条件的供应商或者对招标文件作实质响应的供应商不足三家的。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27.2.2出现影响采购公正的违法、违规行为的。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27.2.3因重大变故，采购任务取消的。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27.2.4评标委员会认定招标文件存在歧义、重大缺陷导致评审工作无法进行。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27.2.5 因</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系统故障原因造成开标不成功的。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 投标截止时间结束后参加投标的供应商不足三家的处理：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98" w:name="_Toc120614219"/>
      <w:r>
        <w:rPr>
          <w:rFonts w:hint="eastAsia" w:ascii="宋体" w:hAnsi="宋体" w:eastAsia="宋体" w:cs="宋体"/>
          <w:b/>
          <w:bCs/>
          <w:color w:val="000000"/>
          <w:sz w:val="32"/>
          <w:szCs w:val="32"/>
          <w:highlight w:val="none"/>
        </w:rPr>
        <w:t xml:space="preserve">六、</w:t>
      </w:r>
      <w:bookmarkEnd w:id="195"/>
      <w:r/>
      <w:bookmarkEnd w:id="196"/>
      <w:r/>
      <w:bookmarkEnd w:id="197"/>
      <w:r>
        <w:rPr>
          <w:rFonts w:hint="eastAsia" w:ascii="宋体" w:hAnsi="宋体" w:eastAsia="宋体" w:cs="宋体"/>
          <w:b/>
          <w:bCs/>
          <w:color w:val="000000"/>
          <w:sz w:val="32"/>
          <w:szCs w:val="32"/>
          <w:highlight w:val="none"/>
        </w:rPr>
        <w:t xml:space="preserve">定标</w:t>
      </w:r>
      <w:bookmarkEnd w:id="198"/>
      <w:r/>
      <w:r/>
    </w:p>
    <w:p>
      <w:pPr>
        <w:ind w:firstLine="600"/>
        <w:keepLines/>
        <w:keepNext/>
        <w:spacing w:line="500" w:lineRule="exact"/>
        <w:rPr>
          <w:rFonts w:hint="eastAsia" w:ascii="宋体" w:hAnsi="宋体" w:eastAsia="宋体" w:cs="宋体"/>
          <w:bCs/>
          <w:color w:val="000000"/>
          <w:sz w:val="30"/>
          <w:szCs w:val="30"/>
          <w:highlight w:val="none"/>
        </w:rPr>
        <w:outlineLvl w:val="3"/>
      </w:pPr>
      <w:r/>
      <w:bookmarkStart w:id="199" w:name="_Toc513029238"/>
      <w:r/>
      <w:bookmarkStart w:id="200" w:name="_Toc16938554"/>
      <w:r/>
      <w:bookmarkStart w:id="201" w:name="_Toc20823310"/>
      <w:r>
        <w:rPr>
          <w:rFonts w:hint="eastAsia" w:ascii="宋体" w:hAnsi="宋体" w:eastAsia="宋体" w:cs="宋体"/>
          <w:bCs/>
          <w:color w:val="000000"/>
          <w:sz w:val="30"/>
          <w:szCs w:val="30"/>
          <w:highlight w:val="none"/>
        </w:rPr>
        <w:t xml:space="preserve">28、</w:t>
      </w:r>
      <w:bookmarkEnd w:id="199"/>
      <w:r>
        <w:rPr>
          <w:rFonts w:hint="eastAsia" w:ascii="宋体" w:hAnsi="宋体" w:eastAsia="宋体" w:cs="宋体"/>
          <w:bCs/>
          <w:color w:val="000000"/>
          <w:sz w:val="30"/>
          <w:szCs w:val="30"/>
          <w:highlight w:val="none"/>
        </w:rPr>
        <w:t xml:space="preserve">确定</w:t>
      </w:r>
      <w:bookmarkEnd w:id="200"/>
      <w:r/>
      <w:bookmarkEnd w:id="201"/>
      <w:r>
        <w:rPr>
          <w:rFonts w:hint="eastAsia" w:ascii="宋体" w:hAnsi="宋体" w:eastAsia="宋体" w:cs="宋体"/>
          <w:bCs/>
          <w:color w:val="000000"/>
          <w:sz w:val="30"/>
          <w:szCs w:val="30"/>
          <w:highlight w:val="none"/>
        </w:rPr>
        <w:t xml:space="preserve">中标单位</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28.1中标候选人的选取原则和数量见招标文件第四章规定。 </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 采购人应根据评委会推荐的中标候选人确定中标人。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28.3 </w:t>
      </w:r>
      <w:r>
        <w:rPr>
          <w:rFonts w:hint="eastAsia" w:ascii="宋体" w:hAnsi="宋体" w:eastAsia="宋体" w:cs="宋体"/>
          <w:color w:val="000000"/>
          <w:sz w:val="24"/>
          <w:highlight w:val="none"/>
        </w:rPr>
        <w:t xml:space="preserve">代理机构将在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color w:val="000000"/>
          <w:sz w:val="24"/>
          <w:highlight w:val="none"/>
        </w:rPr>
        <w:t xml:space="preserve">发布中标公告，公告期限为1个工作日。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  若有充分证据证明，中标人出现下列情况之一的，一经查实，将被取消中标资格：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28.4.1提供虚假材料谋取中标的。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28.4.2向采购人、代理机构行贿或者提供其他不正当利益的。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28.4.3属于本文件规定的无效条件，但在评标过程中又未被评委会发现的。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28.4.4与采购人或者其他供应商恶意串通的。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28.4.5采取不正当手段诋毁、排挤其他供应商的。</w:t>
      </w:r>
      <w:r/>
    </w:p>
    <w:p>
      <w:pPr>
        <w:ind w:firstLine="480"/>
        <w:spacing w:line="500" w:lineRule="exact"/>
        <w:rPr>
          <w:rFonts w:hint="eastAsia" w:ascii="宋体" w:hAnsi="宋体" w:eastAsia="宋体" w:cs="宋体"/>
          <w:color w:val="000000"/>
          <w:sz w:val="24"/>
          <w:highlight w:val="none"/>
        </w:rPr>
      </w:pPr>
      <w:r/>
      <w:bookmarkStart w:id="202" w:name="_Toc200451960"/>
      <w:r>
        <w:rPr>
          <w:rFonts w:hint="eastAsia" w:ascii="宋体" w:hAnsi="宋体" w:eastAsia="宋体" w:cs="宋体"/>
          <w:color w:val="000000"/>
          <w:sz w:val="24"/>
          <w:highlight w:val="none"/>
        </w:rPr>
        <w:t xml:space="preserve">28.5.有下列情形之一的，视为投标人串通投标，投标无效：</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28.5.1不同投标人的投标文件由同一单位或者个人编制；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28.5.2不同投标人委托同一单位或者个人办理投标事宜；</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不同投标人的投标文件载明的项目管理成员或者联系人员为同一人；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28.5.4不同投标人的投标文件异常一致或者投标报价呈规律性差异；</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29、质疑处理</w:t>
      </w:r>
      <w:bookmarkEnd w:id="202"/>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29.2.1对可以质疑的采购文件提出质疑的，为收到采购文件之日或者采购</w:t>
      </w:r>
      <w:r/>
    </w:p>
    <w:p>
      <w:pPr>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文件公告期限届满之日；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29.2.2对采购过程提出质疑的，为各采购程序环节结束之日；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　　29.2.3对中标或者成交结果提出质疑的，为中标或者成交结果公告期限届满之日。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ascii="宋体" w:hAnsi="宋体" w:eastAsia="宋体" w:cs="宋体"/>
          <w:color w:val="000000"/>
          <w:sz w:val="24"/>
          <w:highlight w:val="none"/>
        </w:rPr>
      </w:pPr>
      <w:r/>
      <w:bookmarkStart w:id="203" w:name="_Hlk149903315"/>
      <w:r>
        <w:rPr>
          <w:rFonts w:hint="eastAsia" w:ascii="宋体" w:hAnsi="宋体" w:eastAsia="宋体" w:cs="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代理机构质疑接收部门为：项目审查科</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常州市新北区通江中路307号四楼</w:t>
      </w:r>
      <w:r>
        <w:rPr>
          <w:rFonts w:hint="eastAsia" w:ascii="宋体" w:hAnsi="宋体" w:eastAsia="宋体" w:cs="宋体"/>
          <w:color w:val="000000"/>
          <w:sz w:val="24"/>
          <w:highlight w:val="none"/>
        </w:rPr>
        <w:t xml:space="preserve">；</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0519-89885060 </w:t>
      </w:r>
      <w:r>
        <w:rPr>
          <w:rFonts w:hint="eastAsia" w:ascii="宋体" w:hAnsi="宋体" w:eastAsia="宋体" w:cs="宋体"/>
          <w:color w:val="000000"/>
          <w:sz w:val="24"/>
          <w:highlight w:val="none"/>
        </w:rPr>
        <w:t xml:space="preserve">；</w:t>
      </w:r>
      <w:bookmarkEnd w:id="203"/>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未参加投标活动的供应商或在投标活动中自身权益未受到损害的供应商所提出的质疑。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29.5.5供应商组成联合体参加投标，联合体中任何一方或多方未按要求签字、盖章、加盖公章的质疑。</w:t>
      </w:r>
      <w:r/>
    </w:p>
    <w:p>
      <w:pPr>
        <w:ind w:firstLine="46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30、中标通知书</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204" w:name="_Toc120614220"/>
      <w:r/>
      <w:bookmarkStart w:id="205" w:name="_Toc513029236"/>
      <w:r/>
      <w:bookmarkStart w:id="206" w:name="_Toc16938552"/>
      <w:r/>
      <w:bookmarkStart w:id="207" w:name="_Toc20823308"/>
      <w:r>
        <w:rPr>
          <w:rFonts w:hint="eastAsia" w:ascii="宋体" w:hAnsi="宋体" w:eastAsia="宋体" w:cs="宋体"/>
          <w:b/>
          <w:bCs/>
          <w:color w:val="000000"/>
          <w:sz w:val="32"/>
          <w:szCs w:val="32"/>
          <w:highlight w:val="none"/>
        </w:rPr>
        <w:t xml:space="preserve">七、授予合同</w:t>
      </w:r>
      <w:bookmarkEnd w:id="204"/>
      <w:r/>
      <w:bookmarkEnd w:id="205"/>
      <w:r/>
      <w:bookmarkEnd w:id="206"/>
      <w:r/>
      <w:bookmarkEnd w:id="207"/>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31. 签订合同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31.2招标文件、中标人的投标文件及招标过程中有关澄清、承诺文件均应作为合同附件。</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32、货物（包含与货物相关的服务）的追加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54"/>
        <w:ind w:firstLine="600"/>
        <w:spacing w:line="5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33.1进口产品：</w:t>
      </w: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33.2政府采购节能产品、环境标志产品</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33.3商品包装政府采购需求标准、快递包装政府采购需求标准：</w:t>
      </w:r>
      <w:r>
        <w:rPr>
          <w:rFonts w:hint="eastAsia" w:ascii="宋体" w:hAnsi="宋体" w:eastAsia="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33.4支持乡村产业振兴管理：</w:t>
      </w:r>
      <w:r>
        <w:rPr>
          <w:rFonts w:hint="eastAsia" w:ascii="宋体" w:hAnsi="宋体" w:eastAsia="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33.5正版软件</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33.6信息安全产品：</w:t>
      </w:r>
      <w:r>
        <w:rPr>
          <w:rFonts w:hint="eastAsia" w:ascii="宋体" w:hAnsi="宋体" w:eastAsia="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33.7政府采购创新产品政策：</w:t>
      </w:r>
      <w:r>
        <w:rPr>
          <w:rFonts w:hint="eastAsia" w:ascii="宋体" w:hAnsi="宋体" w:eastAsia="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54"/>
        <w:ind w:firstLine="482"/>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33.8绿色采购政策：</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33.8.1绿色数据中心政策：</w:t>
      </w: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33.8.2推广应用绿色建材：</w:t>
      </w: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33.8.3优先使用低挥发性有机化合物产品：</w:t>
      </w: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33.9电子履约保函政策</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b/>
          <w:bCs/>
          <w:color w:val="000000"/>
          <w:sz w:val="24"/>
          <w:highlight w:val="none"/>
        </w:rPr>
        <w:t xml:space="preserve">33.9为进一步优化政府采购营商环境，规范我省政府采购履约保证金管理，持续降低供应商参与政府采购成本，根据</w:t>
      </w:r>
      <w:r>
        <w:rPr>
          <w:rFonts w:hint="eastAsia" w:ascii="宋体" w:hAnsi="宋体" w:eastAsia="宋体" w:cs="宋体"/>
          <w:b/>
          <w:bCs/>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Start w:id="208" w:name="_Toc12606"/>
      <w:r/>
      <w:bookmarkStart w:id="209" w:name="_Toc265228392"/>
      <w:r/>
      <w:bookmarkStart w:id="210" w:name="_Toc353873934"/>
      <w:r/>
      <w:bookmarkStart w:id="211" w:name="_Toc150480792"/>
      <w:r/>
      <w:bookmarkStart w:id="212" w:name="_Toc127151554"/>
      <w:r/>
      <w:bookmarkStart w:id="213" w:name="_Toc264969244"/>
      <w:r/>
      <w:bookmarkStart w:id="214" w:name="_Toc226337250"/>
      <w:r/>
      <w:bookmarkStart w:id="215" w:name="_Toc305158896"/>
      <w:r/>
      <w:bookmarkStart w:id="216" w:name="_Toc353873664"/>
      <w:r/>
      <w:bookmarkStart w:id="217" w:name="_Toc150774759"/>
      <w:r/>
      <w:bookmarkStart w:id="218" w:name="_Toc305158822"/>
      <w:r/>
      <w:bookmarkStart w:id="219" w:name="_Toc226965827"/>
      <w:r/>
      <w:bookmarkStart w:id="220" w:name="_Toc353825544"/>
      <w:r/>
      <w:bookmarkStart w:id="221" w:name="_Toc142311056"/>
      <w:r>
        <w:rPr>
          <w:rFonts w:hint="eastAsia" w:ascii="宋体" w:hAnsi="宋体" w:eastAsia="宋体" w:cs="宋体"/>
          <w:b/>
          <w:color w:val="000000"/>
          <w:sz w:val="36"/>
          <w:szCs w:val="36"/>
          <w:highlight w:val="none"/>
        </w:rPr>
        <w:t xml:space="preserve">第三章   资格审查</w:t>
      </w:r>
      <w:bookmarkEnd w:id="208"/>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一、资格审查程序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《资格审查要求》中对格式有要求的，除招标文件另有规定外，均为“实质性格式”文件。</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投标人《资格证明文件》有任何一项不符合《资格审查要求》的，资格审查不合格，其投标无效。</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资格审查合格的投标人不足3家的，不进行评标。</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p>
    <w:tbl>
      <w:tblPr>
        <w:tblStyle w:val="8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3"/>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2596"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t>
            </w:r>
            <w:r>
              <w:rPr>
                <w:rFonts w:hint="eastAsia" w:ascii="宋体" w:hAnsi="宋体" w:eastAsia="宋体" w:cs="宋体"/>
                <w:color w:val="000000"/>
                <w:highlight w:val="none"/>
              </w:rPr>
              <w:t xml:space="preserve">www.creditchina.gov.cn</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www.ccgp.gov.cn</w:t>
            </w:r>
            <w:r>
              <w:rPr>
                <w:rFonts w:hint="eastAsia" w:ascii="宋体" w:hAnsi="宋体" w:eastAsia="宋体" w:cs="宋体"/>
                <w:color w:val="000000"/>
                <w:sz w:val="24"/>
                <w:highlight w:val="none"/>
              </w:rPr>
              <w:t xml:space="preserve">）；</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w:t>
            </w:r>
            <w:r>
              <w:rPr>
                <w:rFonts w:hint="eastAsia" w:ascii="宋体" w:hAnsi="宋体" w:eastAsia="宋体" w:cs="宋体"/>
                <w:color w:val="000000"/>
                <w:highlight w:val="none"/>
              </w:rPr>
              <w:t xml:space="preserve">(即重大税收违法失信主体)</w:t>
            </w:r>
            <w:r>
              <w:rPr>
                <w:rFonts w:hint="eastAsia" w:ascii="宋体" w:hAnsi="宋体" w:eastAsia="宋体" w:cs="宋体"/>
                <w:color w:val="000000"/>
                <w:sz w:val="24"/>
                <w:highlight w:val="none"/>
              </w:rPr>
              <w:t xml:space="preserve">、政府采购严重违法失信行为记录名单的投标人，其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如本项目（包）是专门面向中小企业采购的，必须提供，否则无须提供。</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注1：监狱企业须提供由省级以上监狱管理局、戒毒管理局（含新疆生产建设兵团）出具的属于监狱企业的证明文件。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拟分包情况说明及分包意向协议（类型一）</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如本项目（包）要求通过分包措施预留部分采购份额面向中小企业采购、且投标人因落实政府采购政策拟进行分包的，必须提供；否则无须提供。</w:t>
            </w:r>
            <w:r/>
          </w:p>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对于预留份额专门面向中小企业采购的项目（包），组成联合体或者接受分包合同的中小企业与联合体内其他企业、分包企业之间不得存在直接控股、管理关系。</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color w:val="000000"/>
                <w:sz w:val="24"/>
                <w:highlight w:val="none"/>
              </w:rPr>
              <w:t xml:space="preserve">如本项目接受联合体投标，且投标人为联合体时必须提供《联合协议》</w:t>
            </w:r>
            <w:r>
              <w:rPr>
                <w:rFonts w:hint="eastAsia" w:ascii="宋体" w:hAnsi="宋体" w:eastAsia="宋体" w:cs="宋体"/>
                <w:color w:val="000000"/>
                <w:sz w:val="24"/>
                <w:highlight w:val="none"/>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2、联合体各成员单位均须提供本表中序号1-1、1-2的证明文件。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6、若联合体中任一成员单位中途退出，则该联合体的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7、本项目不接受联合体投标时，投标人不得为联合体。</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提供《联合协议》原件的电子件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bl>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6"/>
          <w:szCs w:val="36"/>
          <w:highlight w:val="none"/>
        </w:rPr>
        <w:outlineLvl w:val="0"/>
      </w:pPr>
      <w:r/>
      <w:bookmarkStart w:id="222" w:name="_Toc8367"/>
      <w:r>
        <w:rPr>
          <w:rFonts w:hint="eastAsia" w:ascii="宋体" w:hAnsi="宋体" w:eastAsia="宋体" w:cs="宋体"/>
          <w:b/>
          <w:color w:val="000000"/>
          <w:sz w:val="36"/>
          <w:szCs w:val="36"/>
          <w:highlight w:val="none"/>
        </w:rPr>
        <w:t xml:space="preserve">第四章   评标程序、评标方法和评标标准</w:t>
      </w:r>
      <w:bookmarkEnd w:id="222"/>
      <w:r/>
      <w:r/>
    </w:p>
    <w:p>
      <w:pPr>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投标文件的符合性审查</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r/>
    </w:p>
    <w:p>
      <w:pPr>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80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87"/>
        <w:gridCol w:w="6561"/>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2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568"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w:t>
            </w:r>
            <w:r>
              <w:rPr>
                <w:rFonts w:hint="eastAsia" w:ascii="宋体" w:hAnsi="宋体" w:eastAsia="宋体" w:cs="宋体"/>
                <w:b/>
                <w:color w:val="000000"/>
                <w:sz w:val="24"/>
                <w:highlight w:val="none"/>
              </w:rPr>
              <w:t xml:space="preserve">提供投标函、法定代表人资格证明书和政府采购供应商信用承诺书</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投标文件未出现可选择性或可调整的报价（招标文件另有规定的除外）；</w:t>
            </w:r>
            <w:r>
              <w:rPr>
                <w:rFonts w:hint="eastAsia" w:ascii="宋体" w:hAnsi="宋体" w:eastAsia="宋体" w:cs="宋体"/>
                <w:b/>
                <w:color w:val="000000"/>
                <w:sz w:val="24"/>
                <w:highlight w:val="none"/>
              </w:rPr>
              <w:t xml:space="preserve">提供《投标分项报价表》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b/>
                <w:color w:val="000000"/>
                <w:sz w:val="24"/>
                <w:highlight w:val="none"/>
              </w:rPr>
              <w:t xml:space="preserve">提供承诺书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标记为“实质性格式”的文件均按招标文件要求提供；除前面已提供的实质性格式文件以外，</w:t>
            </w:r>
            <w:r>
              <w:rPr>
                <w:rFonts w:hint="eastAsia" w:ascii="宋体" w:hAnsi="宋体" w:eastAsia="宋体" w:cs="宋体"/>
                <w:b/>
                <w:color w:val="000000"/>
                <w:sz w:val="24"/>
                <w:highlight w:val="none"/>
              </w:rPr>
              <w:t xml:space="preserve">还需提供：合同条款偏离表，采购需求偏离表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w:t>
            </w:r>
            <w:r>
              <w:rPr>
                <w:rFonts w:hint="eastAsia" w:ascii="宋体" w:hAnsi="宋体" w:eastAsia="宋体" w:cs="宋体"/>
                <w:b/>
                <w:color w:val="000000"/>
                <w:sz w:val="24"/>
                <w:highlight w:val="none"/>
              </w:rPr>
              <w:t xml:space="preserve">提供了资质证书电子件</w:t>
            </w:r>
            <w:r>
              <w:rPr>
                <w:rFonts w:hint="eastAsia" w:ascii="宋体" w:hAnsi="宋体" w:eastAsia="宋体" w:cs="宋体"/>
                <w:color w:val="000000"/>
                <w:sz w:val="24"/>
                <w:highlight w:val="none"/>
              </w:rPr>
              <w:t xml:space="preserve">（如有）； </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w:t>
            </w:r>
            <w:r>
              <w:rPr>
                <w:rFonts w:hint="eastAsia" w:ascii="宋体" w:hAnsi="宋体" w:eastAsia="宋体" w:cs="宋体"/>
                <w:b/>
                <w:color w:val="000000"/>
                <w:sz w:val="24"/>
                <w:highlight w:val="none"/>
              </w:rPr>
              <w:t xml:space="preserve">提供分包意向协议原件的电子件的</w:t>
            </w:r>
            <w:r>
              <w:rPr>
                <w:rFonts w:hint="eastAsia" w:ascii="宋体" w:hAnsi="宋体" w:eastAsia="宋体" w:cs="宋体"/>
                <w:color w:val="000000"/>
                <w:sz w:val="24"/>
                <w:highlight w:val="none"/>
              </w:rPr>
              <w:t xml:space="preserve">；（如有）格式见《投标文件格式》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568" w:type="dxa"/>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4"/>
                <w:szCs w:val="24"/>
                <w:highlight w:val="none"/>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jc w:val="left"/>
              <w:widowControl/>
              <w:rPr>
                <w:rFonts w:hint="eastAsia" w:ascii="宋体" w:hAnsi="宋体" w:eastAsia="宋体" w:cs="宋体"/>
                <w:color w:val="000000"/>
                <w:sz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4"/>
                <w:szCs w:val="24"/>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招标文件不接受进口产品投标的内容时，投标人所投产品非进口产品的；（由评委审查，无需供应商提供材料）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eastAsia="宋体" w:cs="宋体"/>
                <w:b/>
                <w:color w:val="000000"/>
                <w:sz w:val="24"/>
                <w:highlight w:val="none"/>
              </w:rPr>
              <w:t xml:space="preserve">如有下列情形的，投标人的投标产品应符合相应规定或要求，并提供证明文件电子件</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w:t>
            </w:r>
            <w:r>
              <w:rPr>
                <w:rFonts w:hint="eastAsia" w:ascii="宋体" w:hAnsi="宋体" w:eastAsia="宋体" w:cs="宋体"/>
                <w:color w:val="000000"/>
                <w:sz w:val="24"/>
                <w:highlight w:val="none"/>
              </w:rPr>
              <w:t xml:space="preserve">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 （由评委审查，无需供应商提供材料）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实质性条款（★号条款）响应</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投标文件满足招标文件第五章《采购需求》中实质性条款（★号条款）要求的；</w:t>
            </w:r>
            <w:r>
              <w:rPr>
                <w:rFonts w:hint="eastAsia" w:ascii="宋体" w:hAnsi="宋体" w:eastAsia="宋体" w:cs="宋体"/>
                <w:b/>
                <w:color w:val="000000"/>
                <w:sz w:val="24"/>
                <w:highlight w:val="none"/>
              </w:rPr>
              <w:t xml:space="preserve">如有的，根据下面列出的实质性条款，按照序号逐项提供相关证明材料；</w:t>
            </w:r>
            <w:r>
              <w:rPr>
                <w:rFonts w:hint="eastAsia" w:ascii="宋体" w:hAnsi="宋体" w:eastAsia="宋体" w:cs="宋体"/>
                <w:color w:val="000000"/>
                <w:sz w:val="24"/>
                <w:highlight w:val="none"/>
              </w:rPr>
              <w:t xml:space="preserve">如没有的，则无需供应商提供材料。</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2</w:t>
      </w:r>
      <w:r>
        <w:rPr>
          <w:rFonts w:hint="eastAsia" w:ascii="宋体" w:hAnsi="宋体" w:eastAsia="宋体" w:cs="宋体"/>
          <w:b/>
          <w:bCs/>
          <w:i w:val="0"/>
          <w:iCs w:val="0"/>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为了有助于对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进行审查、评价和比较，</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可以书面方式要求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就澄清的问题作出答复，该答复经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代表的签字认可，将作为</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在进行澄清、说明、答辩或补正时，不得改变投标的价格（校核时发现的算术错误除外）、超出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的范围及改变</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拒不按照</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要求作出澄清、说明或者补正的，作为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无，按下述2.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报价给予</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工程项目为5%）</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组成联合体或者允许大中型企业向一家或者多家</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分包的采购项目，对于联合协议或者分包意向协议约定</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的合同份额占到合同总金额30%以上的联合体或者大中型企业的报价给予</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3.2.4关于无线局域网认证产品政府采购清单中的产品，优先采购的具体规定（如涉及）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4.3采用最低评标价法时，评标结果按本章2.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4.4评标委员会要对评分汇总情况进行复核，特别是对排名第一的、报价最低的、投标或</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eastAsia="宋体" w:cs="宋体"/>
          <w:b/>
          <w:color w:val="000000"/>
          <w:sz w:val="24"/>
          <w:szCs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1701" w:equalWidth="1"/>
          <w:docGrid w:linePitch="360"/>
        </w:sectPr>
        <w:outlineLvl w:val="1"/>
      </w:pPr>
      <w:r>
        <w:rPr>
          <w:rFonts w:hint="eastAsia" w:ascii="宋体" w:hAnsi="宋体" w:eastAsia="宋体" w:cs="宋体"/>
          <w:b/>
          <w:color w:val="000000"/>
          <w:sz w:val="24"/>
          <w:szCs w:val="24"/>
          <w:highlight w:val="none"/>
        </w:rPr>
      </w:r>
      <w:r/>
    </w:p>
    <w:p>
      <w:pPr>
        <w:jc w:val="cente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b/>
          <w:color w:val="000000"/>
          <w:sz w:val="24"/>
          <w:highlight w:val="none"/>
        </w:rPr>
        <w:t xml:space="preserve">二、评标标准</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23" w:name="_Toc353873665"/>
      <w:r/>
      <w:bookmarkStart w:id="224" w:name="_Toc195842920"/>
      <w:r/>
      <w:bookmarkStart w:id="225" w:name="_Toc150480793"/>
      <w:r/>
      <w:bookmarkStart w:id="226" w:name="_Toc353825545"/>
      <w:r/>
      <w:bookmarkStart w:id="227" w:name="_Toc226965828"/>
      <w:r/>
      <w:bookmarkStart w:id="228" w:name="_Toc264969245"/>
      <w:r/>
      <w:bookmarkStart w:id="229" w:name="_Toc150774760"/>
      <w:r/>
      <w:bookmarkStart w:id="230" w:name="_Toc127151555"/>
      <w:r/>
      <w:bookmarkStart w:id="231" w:name="_Toc353873935"/>
      <w:r/>
      <w:bookmarkStart w:id="232" w:name="_Toc305158823"/>
      <w:r/>
      <w:bookmarkStart w:id="233" w:name="_Toc226337251"/>
      <w:r/>
      <w:bookmarkStart w:id="234" w:name="_Toc305158897"/>
      <w:r/>
      <w:bookmarkStart w:id="235" w:name="_Toc265228393"/>
      <w:r/>
      <w:bookmarkStart w:id="236" w:name="_Toc142311057"/>
      <w:r/>
      <w:r/>
    </w:p>
    <w:tbl>
      <w:tblPr>
        <w:tblStyle w:val="803"/>
        <w:tblW w:w="496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620"/>
        <w:gridCol w:w="780"/>
        <w:gridCol w:w="6058"/>
      </w:tblGrid>
      <w:tr>
        <w:trPr>
          <w:trHeight w:val="56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highlight w:val="none"/>
                <w:lang w:val="en-US" w:eastAsia="zh-CN"/>
              </w:rPr>
              <w:t xml:space="preserve">序号</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评分因素</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tcW w:w="3286" w:type="dxa"/>
            <w:vAlign w:val="center"/>
            <w:textDirection w:val="lrTb"/>
            <w:noWrap/>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评标标准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价格分（50）</w:t>
            </w:r>
            <w:r/>
          </w:p>
        </w:tc>
      </w:tr>
      <w:tr>
        <w:trPr>
          <w:trHeight w:val="86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满足招标文件要求且投标价格最低的投标报价为评标基准价，其价格分为满分。其他投标人的价格分统一按照下列公式计算：投标报价得分＝（评标基准价/投标报价）×50（小数点保留两位）。</w:t>
            </w:r>
            <w:r/>
          </w:p>
        </w:tc>
      </w:tr>
      <w:tr>
        <w:trPr>
          <w:trHeight w:val="303"/>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rPr>
              <w:t xml:space="preserve">20</w:t>
            </w:r>
            <w:r>
              <w:rPr>
                <w:rStyle w:val="1238"/>
                <w:rFonts w:hint="eastAsia" w:ascii="宋体" w:hAnsi="宋体" w:eastAsia="宋体" w:cs="宋体"/>
                <w:color w:val="000000"/>
                <w:highlight w:val="none"/>
                <w:lang w:val="en-US" w:eastAsia="zh-CN" w:bidi="ar"/>
              </w:rPr>
              <w:t xml:space="preserve">）</w:t>
            </w:r>
            <w:r/>
          </w:p>
        </w:tc>
      </w:tr>
      <w:tr>
        <w:trPr>
          <w:trHeight w:val="115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yellow"/>
                <w:u w:val="none"/>
                <w:lang w:val="en-US" w:eastAsia="zh-CN" w:bidi="ar"/>
              </w:rPr>
              <w:t xml:space="preserve">投标人实力</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cs="宋体"/>
                <w:i w:val="0"/>
                <w:iCs w:val="0"/>
                <w:color w:val="000000"/>
                <w:sz w:val="21"/>
                <w:szCs w:val="21"/>
                <w:highlight w:val="yellow"/>
                <w:u w:val="none"/>
                <w:lang w:val="en-US" w:eastAsia="zh-CN" w:bidi="ar"/>
              </w:rPr>
              <w:t xml:space="preserve">4</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t xml:space="preserve">投标人具有有效的质量管理体系认证证书、环境管理体系认证证书、</w:t>
            </w:r>
            <w:r>
              <w:rPr>
                <w:rStyle w:val="1238"/>
                <w:rFonts w:hint="eastAsia" w:ascii="宋体" w:hAnsi="宋体" w:eastAsia="宋体" w:cs="宋体"/>
                <w:color w:val="000000"/>
                <w:highlight w:val="yellow"/>
                <w:lang w:val="en-US" w:eastAsia="zh-CN" w:bidi="ar"/>
              </w:rPr>
              <w:t xml:space="preserve">职业健康安全管理体系评价证书</w:t>
            </w:r>
            <w:r>
              <w:rPr>
                <w:rStyle w:val="1238"/>
                <w:rFonts w:hint="eastAsia" w:ascii="宋体" w:hAnsi="宋体" w:cs="宋体"/>
                <w:color w:val="000000"/>
                <w:highlight w:val="yellow"/>
                <w:shd w:val="clear" w:color="auto" w:fill="ffff00"/>
                <w:lang w:val="en-US" w:eastAsia="zh-CN" w:bidi="ar"/>
              </w:rPr>
              <w:t xml:space="preserve">、售后完善程度服务认证证书</w:t>
            </w:r>
            <w:r>
              <w:rPr>
                <w:rStyle w:val="1238"/>
                <w:rFonts w:hint="eastAsia" w:ascii="宋体" w:hAnsi="宋体" w:eastAsia="宋体" w:cs="宋体"/>
                <w:color w:val="000000"/>
                <w:highlight w:val="yellow"/>
                <w:lang w:val="en-US" w:eastAsia="zh-CN" w:bidi="ar"/>
              </w:rPr>
              <w:t xml:space="preserve">，每提供一个证书得1分；本项最高</w:t>
            </w:r>
            <w:r>
              <w:rPr>
                <w:rStyle w:val="1237"/>
                <w:rFonts w:hint="eastAsia" w:ascii="宋体" w:hAnsi="宋体" w:cs="宋体"/>
                <w:color w:val="000000"/>
                <w:highlight w:val="yellow"/>
                <w:shd w:val="clear" w:color="auto" w:fill="ffff00"/>
                <w:lang w:val="en-US" w:eastAsia="zh-CN" w:bidi="ar"/>
              </w:rPr>
              <w:t xml:space="preserve">4</w:t>
            </w:r>
            <w:r>
              <w:rPr>
                <w:rStyle w:val="1238"/>
                <w:rFonts w:hint="eastAsia" w:ascii="宋体" w:hAnsi="宋体" w:eastAsia="宋体" w:cs="宋体"/>
                <w:color w:val="000000"/>
                <w:highlight w:val="yellow"/>
                <w:lang w:val="en-US" w:eastAsia="zh-CN" w:bidi="ar"/>
              </w:rPr>
              <w:t xml:space="preserve">分。</w:t>
            </w:r>
            <w:r/>
          </w:p>
          <w:p>
            <w:pPr>
              <w:pStyle w:val="1003"/>
              <w:rPr>
                <w:rFonts w:hint="eastAsia"/>
                <w:highlight w:val="yellow"/>
              </w:rPr>
            </w:pPr>
            <w:r>
              <w:rPr>
                <w:rFonts w:hint="eastAsia" w:ascii="宋体" w:hAnsi="宋体" w:eastAsia="宋体" w:cs="宋体"/>
                <w:i w:val="0"/>
                <w:iCs w:val="0"/>
                <w:color w:val="000000"/>
                <w:sz w:val="21"/>
                <w:szCs w:val="21"/>
                <w:highlight w:val="yellow"/>
                <w:u w:val="none"/>
                <w:lang w:val="en-US" w:eastAsia="zh-CN" w:bidi="ar"/>
              </w:rPr>
              <w:t xml:space="preserve">注：投标文件中提供证书复印件及全国认证认可信息公共服务平台证书查询截图且证书状态为有效，未提供不得分。</w:t>
            </w:r>
            <w:r/>
          </w:p>
        </w:tc>
      </w:tr>
      <w:tr>
        <w:trPr>
          <w:trHeight w:val="1393"/>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投标人业绩</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投标人提供2022年1月1日以后（以合同签订日期为准）实施过实验室设备等类似业绩合同，每提供一份完整的业绩合同得1</w:t>
            </w:r>
            <w:r>
              <w:rPr>
                <w:rStyle w:val="1238"/>
                <w:rFonts w:hint="eastAsia" w:ascii="宋体" w:hAnsi="宋体" w:eastAsia="宋体" w:cs="宋体"/>
                <w:color w:val="000000"/>
                <w:highlight w:val="none"/>
                <w:lang w:val="en-US" w:eastAsia="zh-CN" w:bidi="ar"/>
              </w:rPr>
              <w:t xml:space="preserve">分，最高2分。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注：提供完整的业绩合同复印件和中标（成交）通知书并加盖投标人公章，否则不得分。</w:t>
            </w:r>
            <w:r/>
          </w:p>
        </w:tc>
      </w:tr>
      <w:tr>
        <w:trPr>
          <w:trHeight w:val="201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yellow"/>
                <w:u w:val="none"/>
                <w:lang w:val="en-US" w:eastAsia="zh-CN" w:bidi="ar"/>
              </w:rPr>
              <w:t xml:space="preserve">技术参数响应</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yellow"/>
                <w:u w:val="none"/>
                <w:lang w:val="en-US" w:eastAsia="zh-CN"/>
              </w:rPr>
              <w:suppressLineNumbers w:val="0"/>
            </w:pPr>
            <w:r>
              <w:rPr>
                <w:rFonts w:hint="eastAsia" w:ascii="宋体" w:hAnsi="宋体" w:eastAsia="宋体" w:cs="宋体"/>
                <w:i w:val="0"/>
                <w:iCs w:val="0"/>
                <w:color w:val="000000"/>
                <w:sz w:val="21"/>
                <w:szCs w:val="21"/>
                <w:highlight w:val="yellow"/>
                <w:u w:val="none"/>
                <w:lang w:val="en-US" w:eastAsia="zh-CN"/>
              </w:rPr>
              <w:t xml:space="preserve">1</w:t>
            </w:r>
            <w:r>
              <w:rPr>
                <w:rFonts w:hint="eastAsia" w:ascii="宋体" w:hAnsi="宋体" w:cs="宋体"/>
                <w:i w:val="0"/>
                <w:iCs w:val="0"/>
                <w:color w:val="000000"/>
                <w:sz w:val="21"/>
                <w:szCs w:val="21"/>
                <w:highlight w:val="yellow"/>
                <w:u w:val="none"/>
                <w:lang w:val="en-US" w:eastAsia="zh-CN"/>
              </w:rPr>
              <w:t xml:space="preserve">4</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yellow"/>
                <w:u w:val="none"/>
                <w:lang w:val="en-US" w:eastAsia="zh-CN" w:bidi="ar"/>
              </w:rPr>
              <w:t xml:space="preserve">产品技术指标：技术指标不低于招标文件要求，本招标文件招标清单中带“▲号”部分为重要参数，每有1项指标出现负偏离或未提供材料扣1分，非带“▲号”部分为技术指标中需提供证明材料的每负偏离一项扣0.5分，投标人根据招标内容提供偏离表并注明响应情况，共计</w:t>
            </w:r>
            <w:r>
              <w:rPr>
                <w:rFonts w:hint="eastAsia" w:ascii="宋体" w:hAnsi="宋体" w:eastAsia="宋体" w:cs="宋体"/>
                <w:i w:val="0"/>
                <w:iCs w:val="0"/>
                <w:color w:val="000000"/>
                <w:sz w:val="21"/>
                <w:szCs w:val="21"/>
                <w:highlight w:val="yellow"/>
                <w:u w:val="none"/>
                <w:shd w:val="clear" w:color="auto" w:fill="ffff00"/>
                <w:lang w:val="en-US" w:eastAsia="zh-CN"/>
              </w:rPr>
              <w:t xml:space="preserve">1</w:t>
            </w:r>
            <w:r>
              <w:rPr>
                <w:rFonts w:hint="eastAsia" w:ascii="宋体" w:hAnsi="宋体" w:cs="宋体"/>
                <w:i w:val="0"/>
                <w:iCs w:val="0"/>
                <w:color w:val="000000"/>
                <w:sz w:val="21"/>
                <w:szCs w:val="21"/>
                <w:highlight w:val="yellow"/>
                <w:u w:val="none"/>
                <w:shd w:val="clear" w:color="auto" w:fill="ffff00"/>
                <w:lang w:val="en-US" w:eastAsia="zh-CN"/>
              </w:rPr>
              <w:t xml:space="preserve">4</w:t>
            </w:r>
            <w:r>
              <w:rPr>
                <w:rFonts w:hint="eastAsia" w:ascii="宋体" w:hAnsi="宋体" w:eastAsia="宋体" w:cs="宋体"/>
                <w:i w:val="0"/>
                <w:iCs w:val="0"/>
                <w:color w:val="000000"/>
                <w:sz w:val="21"/>
                <w:szCs w:val="21"/>
                <w:highlight w:val="yellow"/>
                <w:u w:val="none"/>
                <w:lang w:val="en-US" w:eastAsia="zh-CN" w:bidi="ar"/>
              </w:rPr>
              <w:t xml:space="preserve">分，扣完为止。</w:t>
            </w:r>
            <w:r>
              <w:rPr>
                <w:rFonts w:hint="eastAsia" w:ascii="宋体" w:hAnsi="宋体" w:eastAsia="宋体" w:cs="宋体"/>
                <w:i w:val="0"/>
                <w:iCs w:val="0"/>
                <w:color w:val="000000"/>
                <w:sz w:val="21"/>
                <w:szCs w:val="21"/>
                <w:highlight w:val="yellow"/>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注:响应文件中应提供技术参数的相关证明材料，并注明对应条款供评委评判，否则评委有权视相应技术参数为负偏离处理。如有提供虚假技术参数的，在评标过程中一经发现按无效标处理。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样品分（</w:t>
            </w:r>
            <w:r>
              <w:rPr>
                <w:rFonts w:hint="eastAsia" w:ascii="宋体" w:hAnsi="宋体" w:eastAsia="宋体" w:cs="宋体"/>
                <w:i w:val="0"/>
                <w:iCs w:val="0"/>
                <w:color w:val="000000"/>
                <w:sz w:val="21"/>
                <w:szCs w:val="21"/>
                <w:highlight w:val="none"/>
                <w:u w:val="none"/>
                <w:lang w:val="en-US" w:eastAsia="zh-CN"/>
              </w:rPr>
              <w:t xml:space="preserve">12</w:t>
            </w:r>
            <w:r>
              <w:rPr>
                <w:rStyle w:val="1238"/>
                <w:rFonts w:hint="eastAsia" w:ascii="宋体" w:hAnsi="宋体" w:eastAsia="宋体" w:cs="宋体"/>
                <w:color w:val="000000"/>
                <w:highlight w:val="none"/>
                <w:lang w:val="en-US" w:eastAsia="zh-CN" w:bidi="ar"/>
              </w:rPr>
              <w:t xml:space="preserve">）</w:t>
            </w:r>
            <w:r/>
          </w:p>
        </w:tc>
      </w:tr>
      <w:tr>
        <w:trPr>
          <w:trHeight w:val="282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5.1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样品1</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样品名称为：</w:t>
            </w:r>
            <w:r>
              <w:rPr>
                <w:rFonts w:hint="eastAsia" w:ascii="宋体" w:hAnsi="宋体" w:eastAsia="宋体" w:cs="宋体"/>
                <w:b/>
                <w:bCs/>
                <w:i w:val="0"/>
                <w:iCs w:val="0"/>
                <w:color w:val="000000"/>
                <w:sz w:val="21"/>
                <w:szCs w:val="21"/>
                <w:highlight w:val="none"/>
                <w:u w:val="none"/>
                <w:lang w:val="en-US" w:eastAsia="zh-CN" w:bidi="ar"/>
              </w:rPr>
              <w:t xml:space="preserve">学生实验桌（学生实验台）（用于化学实验室）</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材质/规格（2分）：样品选材、规格尺寸完全符合技术参数要求的得2分；部分满足技术参数要求的得1分；不满足技术参数要求或未提供样品的不得分。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款式/功能（2分）：样品实用功能完全符合技术参数要求的得2分；部分满足技术参数要求的得1分；不满足技术参数要求或未提供样品的不得分。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工艺/结构（2分）：样品工艺精细、结构结实耐用完全符合技术参数要求的得2分；部分满足技术参数要求的得1分；不满足技术参数要求或未提供样品的不得分。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注：各投标人提供的样品中不能体现投标人的名称、标志、标记以及其它能够体现投标人的信息，否则不得分。</w:t>
            </w:r>
            <w:r/>
          </w:p>
        </w:tc>
      </w:tr>
      <w:tr>
        <w:trPr>
          <w:trHeight w:val="28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shd w:val="clear" w:color="auto" w:fill="auto"/>
                <w:lang w:val="en-US" w:eastAsia="zh-CN" w:bidi="ar"/>
              </w:rPr>
              <w:t xml:space="preserve">5.2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样品2</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样品名称：</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学生凳（化学实验室）</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材质/规格（</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分）：样品选材、规格尺寸完全符合技术参数要求的得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款式/功能（</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分）：样品实用功能完全符合技术参数要求的得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工艺/结构（</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分）：样品工艺精细、结构结实耐用完全符合技术参数要求的得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方案分（</w:t>
            </w:r>
            <w:r>
              <w:rPr>
                <w:rStyle w:val="1237"/>
                <w:rFonts w:hint="eastAsia" w:ascii="宋体" w:hAnsi="宋体" w:eastAsia="宋体" w:cs="宋体"/>
                <w:color w:val="000000"/>
                <w:highlight w:val="none"/>
                <w:lang w:val="en-US" w:eastAsia="zh-CN" w:bidi="ar"/>
              </w:rPr>
              <w:t xml:space="preserve">18</w:t>
            </w:r>
            <w:r>
              <w:rPr>
                <w:rStyle w:val="1238"/>
                <w:rFonts w:hint="eastAsia" w:ascii="宋体" w:hAnsi="宋体" w:eastAsia="宋体" w:cs="宋体"/>
                <w:color w:val="000000"/>
                <w:highlight w:val="none"/>
                <w:lang w:val="en-US" w:eastAsia="zh-CN" w:bidi="ar"/>
              </w:rPr>
              <w:t xml:space="preserve">）</w:t>
            </w:r>
            <w:r/>
          </w:p>
        </w:tc>
      </w:tr>
      <w:tr>
        <w:trPr>
          <w:trHeight w:val="259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评委根据投标人提供的本项目实施方案（包括深化设计图纸、供货进度保证措施、协调配合措施、应急措施等内容）综合评分：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1、方案内容完整、全面准确、符合用户需求、各项措施科学性、合理性、操作性强，且提供直观效果呈现的，得10分；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2、方案基本完整、提供部分深化设计图纸，图纸基本合理但与现场情况有少量不符，各项保证措施可操作性有欠缺的，得5分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3、方案不完整、提供的深化图纸不齐全、不合理、与实际情况不符的，各项保证措施可操作性差的，得1分；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4、未提供方案的不得分。</w:t>
            </w:r>
            <w:r/>
          </w:p>
        </w:tc>
      </w:tr>
      <w:tr>
        <w:trPr>
          <w:trHeight w:val="65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评委根据投标人提供的本项目售后服务方案（包括服务内容、故障解决方案、响应时间、技术人员保障及服务电话等内容）综合评分：</w:t>
            </w:r>
            <w:r/>
          </w:p>
          <w:p>
            <w:pPr>
              <w:jc w:val="both"/>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1、投标人在具备完善的服务体系、全面的服务内容、可行的故障解决方案、可靠的人员保障和服务电话的，得2分；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2、投标人具备基本完善的服务体系、基本全面的服务内容、基本可行的故障解决方案、基本可靠的人员保障和服务电话的，得1分；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3、投标人具备较为完善的服务体系、较为全面的服务内容、较为可行的故障解决方案、较为可靠的人员保障和服务电话的得0.5分；</w:t>
            </w:r>
            <w:r/>
          </w:p>
          <w:p>
            <w:pPr>
              <w:jc w:val="both"/>
              <w:keepLines w:val="0"/>
              <w:keepNext w:val="0"/>
              <w:widowControl/>
              <w:rPr>
                <w:rFonts w:hint="eastAsia" w:ascii="宋体" w:hAnsi="宋体" w:eastAsia="宋体" w:cs="宋体"/>
                <w:bCs w:val="0"/>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4、投标人服务保障体系、服务内容、故障解决方案内容不完善、不太合理、可操作性差且人员能力不足的，不得分。</w:t>
            </w:r>
            <w:r/>
          </w:p>
        </w:tc>
      </w:tr>
      <w:tr>
        <w:trPr>
          <w:trHeight w:val="350"/>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评委根据投标人提供的本项目培训方案综合评分：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1、投标人具备</w:t>
            </w:r>
            <w:r>
              <w:rPr>
                <w:rFonts w:hint="eastAsia" w:ascii="宋体" w:hAnsi="宋体" w:eastAsia="宋体" w:cs="宋体"/>
                <w:color w:val="000000"/>
                <w:sz w:val="21"/>
                <w:szCs w:val="21"/>
                <w:highlight w:val="none"/>
                <w:lang w:val="en-US" w:eastAsia="zh-CN" w:bidi="ar"/>
              </w:rPr>
              <w:t xml:space="preserve">全面合理有效，具有全面详细的培训计划（包括各学科针对性培训方案）</w:t>
            </w:r>
            <w:r>
              <w:rPr>
                <w:rFonts w:hint="eastAsia" w:ascii="宋体" w:hAnsi="宋体" w:eastAsia="宋体" w:cs="宋体"/>
                <w:i w:val="0"/>
                <w:iCs w:val="0"/>
                <w:color w:val="000000"/>
                <w:sz w:val="21"/>
                <w:szCs w:val="21"/>
                <w:highlight w:val="none"/>
                <w:u w:val="none"/>
                <w:lang w:val="en-US" w:eastAsia="zh-CN" w:bidi="ar"/>
              </w:rPr>
              <w:t xml:space="preserve">，得2分；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2、投标人</w:t>
            </w:r>
            <w:r>
              <w:rPr>
                <w:rFonts w:hint="eastAsia" w:ascii="宋体" w:hAnsi="宋体" w:eastAsia="宋体" w:cs="宋体"/>
                <w:color w:val="000000"/>
                <w:sz w:val="21"/>
                <w:szCs w:val="21"/>
                <w:highlight w:val="none"/>
                <w:lang w:val="en-US" w:eastAsia="zh-CN" w:bidi="ar"/>
              </w:rPr>
              <w:t xml:space="preserve">培训方案较全面，具有基本的培训计划（包括各学科针对性培训方案），得1分；</w:t>
            </w:r>
            <w:r/>
          </w:p>
          <w:p>
            <w:pPr>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3、 </w:t>
            </w:r>
            <w:r>
              <w:rPr>
                <w:rFonts w:hint="eastAsia" w:ascii="宋体" w:hAnsi="宋体" w:eastAsia="宋体" w:cs="宋体"/>
                <w:i w:val="0"/>
                <w:iCs w:val="0"/>
                <w:color w:val="000000"/>
                <w:sz w:val="21"/>
                <w:szCs w:val="21"/>
                <w:highlight w:val="none"/>
                <w:u w:val="none"/>
                <w:lang w:val="en-US" w:eastAsia="zh-CN" w:bidi="ar"/>
              </w:rPr>
              <w:t xml:space="preserve">投标人</w:t>
            </w:r>
            <w:r>
              <w:rPr>
                <w:rFonts w:hint="eastAsia" w:ascii="宋体" w:hAnsi="宋体" w:eastAsia="宋体" w:cs="宋体"/>
                <w:color w:val="000000"/>
                <w:sz w:val="21"/>
                <w:szCs w:val="21"/>
                <w:highlight w:val="none"/>
                <w:lang w:val="en-US" w:eastAsia="zh-CN" w:bidi="ar"/>
              </w:rPr>
              <w:t xml:space="preserve">培训方案一般，具有一般的培训计划（包括各学科针对性培训方案），得0.5分；</w:t>
            </w:r>
            <w:r/>
          </w:p>
          <w:p>
            <w:pPr>
              <w:numPr>
                <w:ilvl w:val="0"/>
                <w:numId w:val="0"/>
              </w:num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4、投标人培训方案内容不完善、不具有针对性且可操作性差的，不得分。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质量保证方案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评委根据投标人提供的本项目质量保证方案（至少包含生产工艺、质量施行规范、质量保障承诺等）综合评分：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1、方案全面，科学、合理、可行，针对性强的，得2分；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2、方案基本全面，基本科学、合理、可行，有一定针对性的，得1分；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3、方案一般，基本科学、合理、可行，有一般针对性的，得0.5；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4、方案内容不完善、不太合理且可操作性差，不得分。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延保承诺</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整体免费质保三年的基础上，每延长一年整体质保期得1分，最高得2分。提供投标商承诺函，不提供不得分。</w:t>
            </w:r>
            <w:r/>
          </w:p>
        </w:tc>
      </w:tr>
      <w:tr>
        <w:trPr>
          <w:trHeight w:val="303"/>
        </w:trPr>
        <w:tc>
          <w:tcPr>
            <w:gridSpan w:val="2"/>
            <w:tcW w:w="23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W w:w="328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注意事项：评审标准中要求提供的证明文件及资料通过</w:t>
      </w:r>
      <w:r>
        <w:rPr>
          <w:rFonts w:hint="eastAsia" w:ascii="宋体" w:hAnsi="宋体" w:eastAsia="宋体" w:cs="宋体"/>
          <w:b/>
          <w:bCs/>
          <w:color w:val="000000"/>
          <w:szCs w:val="21"/>
          <w:highlight w:val="none"/>
        </w:rPr>
        <w:t xml:space="preserve">““苏采云”政府采购一体化平台”</w:t>
      </w:r>
      <w:r>
        <w:rPr>
          <w:rFonts w:hint="eastAsia" w:ascii="宋体" w:hAnsi="宋体" w:eastAsia="宋体" w:cs="宋体"/>
          <w:color w:val="000000"/>
          <w:sz w:val="24"/>
          <w:highlight w:val="none"/>
        </w:rPr>
        <w:t xml:space="preserve">按对应评分项目（或数字编号）分别制作上传，必须保证内容具体、印章完整、清晰可辨。未按以上要求制作上传的，经评标委员会成员半数以上认定后作不得分处理。</w:t>
      </w:r>
      <w:r/>
    </w:p>
    <w:p>
      <w:pPr>
        <w:spacing w:line="360" w:lineRule="auto"/>
        <w:tabs>
          <w:tab w:val="left" w:pos="360" w:leader="none"/>
          <w:tab w:val="left" w:pos="900" w:leader="none"/>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line="360" w:lineRule="auto"/>
        <w:widowControl w:val="off"/>
        <w:tabs>
          <w:tab w:val="left" w:pos="1080" w:leader="none"/>
        </w:tabs>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36"/>
          <w:szCs w:val="36"/>
          <w:highlight w:val="none"/>
        </w:rPr>
        <w:br w:type="page" w:clear="all"/>
      </w:r>
      <w:bookmarkStart w:id="237" w:name="_Toc20229"/>
      <w:r>
        <w:rPr>
          <w:rFonts w:hint="eastAsia" w:ascii="宋体" w:hAnsi="宋体" w:eastAsia="宋体" w:cs="宋体"/>
          <w:b/>
          <w:color w:val="000000"/>
          <w:sz w:val="36"/>
          <w:szCs w:val="36"/>
          <w:highlight w:val="none"/>
        </w:rPr>
        <w:t xml:space="preserve">第五章   采购需求</w:t>
      </w:r>
      <w:bookmarkEnd w:id="237"/>
      <w:r/>
      <w:r/>
    </w:p>
    <w:p>
      <w:pPr>
        <w:pStyle w:val="975"/>
        <w:numPr>
          <w:ilvl w:val="0"/>
          <w:numId w:val="10"/>
        </w:numPr>
        <w:ind w:left="0" w:firstLine="0"/>
        <w:spacing w:line="360" w:lineRule="auto"/>
        <w:rPr>
          <w:rFonts w:hint="eastAsia" w:ascii="宋体" w:hAnsi="宋体" w:eastAsia="宋体" w:cs="宋体"/>
          <w:b/>
          <w:strike w:val="0"/>
          <w:color w:val="000000"/>
          <w:sz w:val="24"/>
          <w:highlight w:val="none"/>
        </w:rPr>
      </w:pPr>
      <w:r>
        <w:rPr>
          <w:rFonts w:hint="eastAsia" w:ascii="宋体" w:hAnsi="宋体" w:eastAsia="宋体" w:cs="宋体"/>
          <w:b/>
          <w:bCs w:val="0"/>
          <w:strike w:val="0"/>
          <w:color w:val="000000"/>
          <w:sz w:val="24"/>
          <w:highlight w:val="none"/>
        </w:rPr>
        <w:t xml:space="preserve">项目概况</w:t>
      </w:r>
      <w:r/>
    </w:p>
    <w:p>
      <w:pPr>
        <w:pStyle w:val="975"/>
        <w:numPr>
          <w:ilvl w:val="0"/>
          <w:numId w:val="0"/>
        </w:numPr>
        <w:ind w:left="0" w:firstLine="420"/>
        <w:spacing w:line="360" w:lineRule="auto"/>
        <w:rPr>
          <w:rFonts w:ascii="宋体" w:hAnsi="宋体"/>
          <w:b/>
          <w:bCs/>
          <w:color w:val="000000"/>
          <w:sz w:val="24"/>
          <w:szCs w:val="24"/>
          <w:highlight w:val="none"/>
        </w:rPr>
      </w:pPr>
      <w:r>
        <w:rPr>
          <w:rFonts w:hint="eastAsia" w:hAnsi="宋体"/>
          <w:bCs/>
          <w:strike w:val="0"/>
          <w:color w:val="000000"/>
          <w:highlight w:val="none"/>
        </w:rPr>
        <w:t xml:space="preserve">本项目是</w:t>
      </w:r>
      <w:r>
        <w:rPr>
          <w:rFonts w:hint="eastAsia" w:hAnsi="宋体"/>
          <w:bCs/>
          <w:strike w:val="0"/>
          <w:color w:val="000000"/>
          <w:highlight w:val="none"/>
          <w:lang w:eastAsia="zh-CN"/>
        </w:rPr>
        <w:t xml:space="preserve">常州市新北区龙虎塘中学改扩建项目实验室及专用教室设备采购</w:t>
      </w:r>
      <w:r>
        <w:rPr>
          <w:rFonts w:hint="eastAsia" w:hAnsi="宋体"/>
          <w:bCs/>
          <w:strike w:val="0"/>
          <w:color w:val="000000"/>
          <w:highlight w:val="none"/>
          <w:lang w:val="en-US" w:eastAsia="zh-CN"/>
        </w:rPr>
        <w:t xml:space="preserve">项目</w:t>
      </w:r>
      <w:r>
        <w:rPr>
          <w:rFonts w:hint="eastAsia" w:hAnsi="宋体"/>
          <w:bCs/>
          <w:strike w:val="0"/>
          <w:color w:val="000000"/>
          <w:highlight w:val="none"/>
        </w:rPr>
        <w:t xml:space="preserve">。包括但不限于：设备的制造（采购）、运输、装卸、安装、调试、测试、售后服务、技术培训等，直至通过采购单位及其他相关部门的验收以及质量保修、免费维保等全部工作。</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二、采购清单</w:t>
      </w:r>
      <w:r/>
    </w:p>
    <w:tbl>
      <w:tblPr>
        <w:tblStyle w:val="803"/>
        <w:tblW w:w="7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763"/>
        <w:gridCol w:w="1550"/>
        <w:gridCol w:w="1250"/>
      </w:tblGrid>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3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9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1"/>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3"/>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070"/>
        <w:rPr>
          <w:rFonts w:hint="eastAsia"/>
          <w:highlight w:val="none"/>
        </w:rPr>
      </w:pPr>
      <w:r>
        <w:rPr>
          <w:rFonts w:hint="eastAsia"/>
          <w:highlight w:val="none"/>
        </w:rPr>
        <w:br w:type="page" w:clear="all"/>
      </w:r>
      <w:r/>
    </w:p>
    <w:tbl>
      <w:tblPr>
        <w:tblStyle w:val="803"/>
        <w:tblW w:w="9192"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80"/>
        <w:gridCol w:w="5232"/>
        <w:gridCol w:w="720"/>
        <w:gridCol w:w="840"/>
      </w:tblGrid>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shd w:val="clear" w:color="auto" w:fill="ffff00"/>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shd w:val="clear" w:color="auto" w:fill="ffff00"/>
                <w:lang w:val="en-US" w:eastAsia="zh-CN" w:bidi="ar"/>
              </w:rPr>
              <w:t xml:space="preserve">▲</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3、</w:t>
            </w:r>
            <w:r>
              <w:rPr>
                <w:rFonts w:ascii="宋体" w:hAnsi="宋体" w:eastAsia="宋体"/>
                <w:shd w:val="clear" w:color="auto" w:fill="ffff00"/>
              </w:rPr>
              <w:t xml:space="preserve">台面化学性能指标达到“GB/T 17657-2022”检测标准，满足</w:t>
            </w:r>
            <w:r>
              <w:rPr>
                <w:rFonts w:hint="eastAsia" w:ascii="宋体" w:hAnsi="宋体" w:eastAsia="宋体"/>
                <w:shd w:val="clear" w:color="auto" w:fill="ffff00"/>
                <w:lang w:val="en-US" w:eastAsia="zh-CN"/>
              </w:rPr>
              <w:t xml:space="preserve">145</w:t>
            </w:r>
            <w:r>
              <w:rPr>
                <w:rFonts w:ascii="宋体" w:hAnsi="宋体" w:eastAsia="宋体"/>
                <w:shd w:val="clear" w:color="auto" w:fill="ffff00"/>
              </w:rPr>
              <w:t xml:space="preserve"> 项化学试 剂测试要求，测试结果均为表面无明显变化，等级为 5 级。</w:t>
            </w:r>
            <w:r>
              <w:rPr>
                <w:rFonts w:hint="eastAsia" w:ascii="宋体" w:hAnsi="宋体" w:eastAsia="宋体"/>
                <w:shd w:val="clear" w:color="auto" w:fill="ffff00"/>
                <w:lang w:val="en-US" w:eastAsia="zh-CN"/>
              </w:rPr>
              <w:t xml:space="preserve">145</w:t>
            </w:r>
            <w:r>
              <w:rPr>
                <w:rFonts w:ascii="宋体" w:hAnsi="宋体" w:eastAsia="宋体"/>
                <w:shd w:val="clear" w:color="auto" w:fill="ffff00"/>
              </w:rPr>
              <w:t xml:space="preserve"> 项化学试剂测试要求中，化学试剂至少包含</w:t>
            </w:r>
            <w:r>
              <w:rPr>
                <w:rFonts w:hint="eastAsia" w:ascii="宋体" w:hAnsi="宋体" w:eastAsia="宋体"/>
                <w:shd w:val="clear" w:color="auto" w:fill="ffff00"/>
                <w:lang w:val="en-US" w:eastAsia="zh-CN"/>
              </w:rPr>
              <w:t xml:space="preserve">以下</w:t>
            </w:r>
            <w:r>
              <w:rPr>
                <w:rFonts w:ascii="宋体" w:hAnsi="宋体" w:eastAsia="宋体"/>
                <w:shd w:val="clear" w:color="auto" w:fill="ffff00"/>
              </w:rPr>
              <w:t xml:space="preserve">：37%盐酸；65%硝酸；85%磷酸；40%氢氧化钠；98%硫酸；99%乙酸；88%甲酸；40%氢氟酸；正己烷</w:t>
            </w:r>
            <w:r>
              <w:rPr>
                <w:rFonts w:hint="eastAsia" w:ascii="宋体" w:hAnsi="宋体" w:eastAsia="宋体"/>
                <w:shd w:val="clear" w:color="auto" w:fill="ffff00"/>
              </w:rPr>
              <w:t xml:space="preserve">；</w:t>
            </w:r>
            <w:r>
              <w:rPr>
                <w:rFonts w:ascii="宋体" w:hAnsi="宋体" w:eastAsia="宋体"/>
                <w:shd w:val="clear" w:color="auto" w:fill="ffff00"/>
              </w:rPr>
              <w:t xml:space="preserve">28%</w:t>
            </w:r>
            <w:r>
              <w:rPr>
                <w:rFonts w:hint="eastAsia" w:ascii="宋体" w:hAnsi="宋体" w:eastAsia="宋体"/>
                <w:shd w:val="clear" w:color="auto" w:fill="ffff00"/>
              </w:rPr>
              <w:t xml:space="preserve">氨水</w:t>
            </w:r>
            <w:r>
              <w:rPr>
                <w:rFonts w:hint="eastAsia" w:ascii="宋体" w:hAnsi="宋体" w:eastAsia="宋体"/>
                <w:shd w:val="clear" w:color="auto" w:fill="ffff00"/>
                <w:lang w:val="en-US" w:eastAsia="zh-CN"/>
              </w:rPr>
              <w:t xml:space="preserve">等，</w:t>
            </w:r>
            <w:r>
              <w:rPr>
                <w:rFonts w:ascii="宋体" w:hAnsi="宋体" w:eastAsia="宋体"/>
                <w:shd w:val="clear" w:color="auto" w:fill="ffff00"/>
              </w:rPr>
              <w:t xml:space="preserve">提供权威检测机构按 GB/T 17657-20</w:t>
            </w:r>
            <w:r>
              <w:rPr>
                <w:rFonts w:hint="eastAsia" w:ascii="宋体" w:hAnsi="宋体" w:eastAsia="宋体"/>
                <w:shd w:val="clear" w:color="auto" w:fill="ffff00"/>
              </w:rPr>
              <w:t xml:space="preserve">22</w:t>
            </w:r>
            <w:r>
              <w:rPr>
                <w:rFonts w:ascii="宋体" w:hAnsi="宋体" w:eastAsia="宋体"/>
                <w:shd w:val="clear" w:color="auto" w:fill="ffff00"/>
              </w:rPr>
              <w:t xml:space="preserve">标准进行检测的检测报告；</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（提供有CMA标识的第三方检测报告验证符合要求）。</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shd w:val="clear" w:color="auto"/>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、台身结构参数：前柜门4樘后柜门4樘共计8樘柜门，抽屉3个，键盘位1个、水槽位1组，并预留总</w:t>
            </w:r>
            <w:r>
              <w:rPr>
                <w:rFonts w:hint="eastAsia" w:ascii="宋体" w:hAnsi="宋体" w:eastAsia="宋体" w:cs="宋体"/>
                <w:i w:val="0"/>
                <w:iCs w:val="0"/>
                <w:color w:val="000000"/>
                <w:sz w:val="22"/>
                <w:szCs w:val="22"/>
                <w:highlight w:val="none"/>
                <w:u w:val="none"/>
                <w:shd w:val="clear" w:color="auto"/>
                <w:lang w:val="en-US" w:eastAsia="zh-CN" w:bidi="ar"/>
              </w:rPr>
              <w:t xml:space="preserve">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1、产品结构：钢塑或铝塑结构，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▲7.物理、化学实验台面耐高温：应无裂纹（所投产品制造商提供满足检测标准：GB/T 24820-2024《实验室家具通用技术条件》的具有CMA标志的检测报告）。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▲8.有害物质限量：甲醛释放量：≤0.04mg/m3（所投产品制造商提供满足检测标准：GB/T 35607-2024《绿色产品评价家具》的具有CMA标志的检测报告）。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▲5.塑料材料理化性能耐老化性(室内用：500h)：冲击强度≥10J/m²、冲击强度的保持率≥60%、外观颜色变色评级≥3级、检验检测结果合格。(所投产品制造商提供满足检测标准：GB/T 32487-2016《塑料家具通用技术条件》的具有CMA标志的检测报告）。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▲6.理化性能塑料件耐冷热循环：应无裂纹、鼓泡、变色、起皱，硬度：邵氏D硬度≥HD63 (所投产品制造商提供满足检测标准：GB/T 32487-2016《塑料家具通用技术条件》的具有CMA标志的检测报告）。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7、伸缩导管：不小于Φ75mmPP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2、风量：6650-11050m³/h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3、6#离心式通风机，噪声要求按行业标准＜55分贝，材质采用玻璃钢制作，带进出口消音器，防水帽，电机，电机防护罩，减震器等。电动机功率4KW。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变频器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1、5.5KW变频器，具备过流，过压，缺项，过热保护功能，显示电压，转数，频率等各项参数。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2、数码显示，操着简单易懂，精确保证电机的转数。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1、通风管道：采用耐酸碱腐蚀、防污染、抗高压、抗龟裂的UPVC塑料专用管道.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2、实验室主管道φ300㎜,支管管道φ200mm,塑料管道内壁光滑、材质坚固、连接性好，使通风性有显著提高。主管道壁厚≥4㎜。</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管道φ400mm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1、产品结构：钢塑或铝塑结构，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0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r>
      <w:tr>
        <w:trPr>
          <w:trHeight w:val="30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shd w:val="clear" w:color="auto" w:fill="ffff00"/>
                <w:lang w:val="en-US" w:eastAsia="zh-CN" w:bidi="ar"/>
              </w:rPr>
              <w:t xml:space="preserve">▲1.一体化设计，7个传感器接口，支持7种传感器模块同时工作和数据显示，可自定义接入传感器的种类。（提供有CMA标识的第三方检测报告验证符合要求）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shd w:val="clear" w:color="auto" w:fill="ffff00"/>
                <w:lang w:val="en-US" w:eastAsia="zh-CN" w:bidi="ar"/>
              </w:rPr>
              <w:t xml:space="preserve">▲3.显示屏：3.5英寸480*320TFT触摸屏，配有触控笔。（提供有CMA标识的第三方检测报告验证符合要求）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12.具有通用接口模块，可外扩其他类型的传感器，通用接口采用Lightning接口DDGC,外扩传感器插头采用双面设计，支持正反盲插接入通用接口，无需关心插入的方向，易插易用。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14.产品中铅、汞、镉、六价铬、增塑剂、阻燃剂含量符合RoHs有害物质含量限值标准要求。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15.产品中不含甲醛、砷，符合环保标准要求。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数字化实验系统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支持实验设计、数据采集和保存、数据分析计算等，是一款功能强大的教学用实验数据处理软件。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1.支持多个平台操作系统。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2.支持有线连接，无线蓝牙连接。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3.支持传感器自动识别。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4.可连接多个采集器，并支持多个采集器同时工作。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5.可支持20个传感器同时采集。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6.通过坐标图像曲线、表格、数值、仪表盘等方式，实时、直观、精确显示实验数据。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7.根据实验需要，可进行公式（变量）编辑，自主添加实验变量（或增量等），并通过公式编辑实现不同物理量之间的转换。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9.具有完善的数据处理功能DDGC，包含多种数据拟合：直线拟合、抛物线拟合、倒数拟合、积分、重叠显示等。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10.实验结果以图片等不同方式进行保存。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12.软件可关联“在线实验设计平台”，通过注册和登录，登录之后可使用“在线实验设计平台”，体验功能更为强大的实验自主设计软件。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13.通用界面支持多种功能风格显示，并且可自定义界面风格。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▲14、提供丰富完整的在线实验教学案例，资源数量不少于700个。（所投产品制造商提供具有CMA标志的检测报告和相关网页截图材料，供评委现场验证。)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▲15、提供丰富的在线实验视频，视频数量不少于150个，（所投产品制造商提供具有CMA标志的检测报告和相关网页截图材料，供评委现场验证。)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▲16、在线实验视频既可以通过自有平台浏览，同时也可以通过第三方平台浏览，（所投产品制造商提供具有CMA标志的检测报告和相关网页截图材料，供评委现场验证。)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采用模块化设计，配合通用接口，通过Lightning接口与采集器连接，支持正反盲插，具有热插拔功能，连接传输稳定。搭配采集器通过有线、无线方式连接电脑、手机或平板等终端进行数据采集，在终端上实时显示并记录电流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传感器正面为档位调节开关，前端为鳄鱼夹导线，后端为Lightning接口线。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1.用于测量电路中的电流。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2.具有三量程切换开关，可根据实验要求一键切换测量量程。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5.支持传感器校零。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1.量程：-20mA~20mA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4.内阻：5.1Ω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1.量程：-200mA~ 200mA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1.量程：-2A~2A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3.分辨率：0.001A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欧姆定律、描绘小灯泡的伏安特性曲线、电池的电动势和内阻的测量、电阻的串并联、LC振荡、电磁感应现象、感应电流、电容器的串并联及充放电等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传感器正面为电源指示灯，前端为探头插孔，后端为Lightning接口，附件为高温探头。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1.用于测量物体表面、气体、酸碱等液体的温度，也可用于超低温及高温的测量。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3.高温探头为为3.5mm耳机插头，耳机插孔式连接，连接稳定，无干扰。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探究酒精灯火焰不同部位的温度、探究固体熔化时的温度变化规律等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shd w:val="clear" w:color="auto" w:fill="ffff00"/>
                <w:lang w:val="en-US" w:eastAsia="zh-CN" w:bidi="ar"/>
              </w:rPr>
              <w:t xml:space="preserve">▲4.可支持气中氧校准、溶解氧标定功能。（提供有CMA标识的第三方检测报告验证符合要求）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浊度计通过USB接口直接与电脑终端连接进行数据采集，在终端上实时显示并记录溶液浊度的变化，绘制相应图像。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1.用于测量溶液的浊度，测量灵敏、精确，反应快速。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2.通过USB接口直连计算机采集数据，无需外接数据采集器，内置0.96吋OLED显示屏。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 ±5%NTU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四、典型实验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探究硫代硫酸盐的化学反应速率实验、不同水质的浊度比较等实验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色度计通过USB接口直接与电脑终端连接进行数据采集，在终端上实时显示并记录透光率的变化，绘制相应图像。可切换红、绿、蓝、紫4种入射光。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传感器正面为电源按钮、显示屏、传感器名称、型号及量程范围，前部为测量窗口，可放入比色皿进行测量，后端为USB接口。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1.用于测量溶液的透光率，测量灵敏、精确，反应快速。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3.通过短按电源按钮可快速切换入射光频率。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使用硫代硫酸盐研究化学反应速率、高锰酸钾溶液与草酸溶液的褪色反应、硫代硫酸钠与浓硫酸反应、果汁中维生素C含量的测定、溶液中物质浓度的测定（比尔定律）等实验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手提式实验箱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箱式设计，可翻盖，采用ABS材质，外形尺寸：不低于以下参数（长宽高）：437mm*327mm*170mm（两箱叠加高度H=330mm），最大承重：30-35公斤；箱体底部设有底部凸起，与上部设计凹槽相互咬合，通过独特的纽扣式锁止机构，实现箱子与箱子之前的锁合，可多个垒叠放置，便于携带和搬运，最多可垒5箱；内部含有内衬，保证每个器材都有对应的存放位置，便于快速、高效的整理和收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1.一体化设计，7个传感器接口，支持7种传感器模块同时工作和数据显示，可自定义接入传感器的种类。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3.显示屏：3.5英寸480*320TFT触摸屏，配有触控笔。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9.支持平台：多个平台系统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4.可支持气中氧校准、溶解氧标定功能。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尺寸：2400mm×1200mm×850mm±10mm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1、专用喷塑铝合金型材（90mm×45mm×1.5㎜）表面喷涂高温固化乳白环氧树脂静电粉末喷涂理处理，具有较强的耐蚀性能；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mm×35mm×1.2㎜，后侧腿≥35mm×35mm×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35607-2024《绿色产品评价 家具》检测项至少包含家具涂层可迁移元素：铅（Pb)、镉（Cd）、铬（Cr)、汞（Hg）、锑（Sb）、钡（Ba、）硒（Se、）砷（As）。</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3325-2024《金属家具通用技术条件》检测项至少包含有害物质限量，甲苯≤0.15mg/m³，二甲苯≤0.20mg/m³，总挥发性有机化合物(TVOC)≤0.50mg/m³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7、伸缩导管：Φ75mm铝合金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易燃品安全柜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称：化学品安全柜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具：三点联动机械锁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色：黄色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途：用于存储易燃化学品，不可存储强酸强碱等腐蚀性化学品。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毒害品安全柜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称：毒害品柜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具：电子密码锁+钥匙锁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色：蓝色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途：用于存储易制毒、毒麻类化学品，不可存储强酸强碱等腐蚀性化学品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酸碱安全柜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称：四门PP药品柜/PP器皿柜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外形尺寸：高1800mm*宽900mm*深450mm±10mm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型：手动四开门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具：四把防腐挂锁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板：2块（可调高度）+1块固定隔断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色：瓷白色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途：用于存储酸碱等腐蚀性化学品、普通化学品（非易燃易爆）、药品及实验室器皿等。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警示标签：柜门贴有醒目的“腐蚀性”警示标示，提醒周围人群注意安全。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废液桶</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290mm*270mm*420mm±10mm 25L 废液桶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漏液盘</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1280mm*680mm*150mm±10mm 双桶平台可适合液压车使用  PE材质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灭火器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干粉</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优质加厚钢铁，电镀表层，高强度耐磨耐用；无磷环保，健康喷涂，表面涂层醒目亮眼。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通风药品柜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尺寸：900mm×450mm×1800mm±10mm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预留通风系统，可以与通风管路连接。柜体：侧板、顶底板采用ABS/PP材料模具一次成型，表面沙面和光面相结合处理，保证柜体之坚固及密封性，耐腐蚀性强，顶板、底板预留模具成型排风孔。底部镶嵌15mm*30*1.2mm钢制横梁，承重力强。背板采用9mm厚中密度纤维板贴进口三聚氰胺纸，握螺钉力强，垂直板面≥1150N,平行板面≥660N，板件静曲强度≥17.2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上柜柜门：内框采用ABS/PP材质模具一次成型，外嵌5mm厚钢化烤漆玻璃，中间烤漆镂空制作。上下拉手及三角对称五点固定，防止玻璃的松动或开合。伸缩式PP旋转门轴，四角圆弧倒角，内侧弧形圆边。颜色可选配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下柜柜门：内框采用ABS/PP材质模具一次成型，外嵌5mm厚钢化烤漆玻璃。上下拉手及三角对称五点固定，防止玻璃的松动或开合。伸缩式ABS旋转门轴，四角圆弧倒角，内侧弧形圆边。颜色可选配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上柜配置两块阶梯层板，下柜配置一块活动层板，层板全部采用优质SPCC钢板经过进口数控型材模具一次性成型，壁厚≥1.0mm；表面采用进口静电粉末，经高温粉体固化，附着力强，不脱漆。涂层需无漏喷、锈蚀；涂层需光滑均匀，色泽一致，底部有加强筋，承重力强。整体设计为活动式，可随意抽取放在合适的隔层，自由组合各层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拉手：采用ABS材料模具一次成型，直角梯形四周倒圆与柜门平行，开启方便。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门铰链：采用ABS材料模具一次成型，伸缩式PP旋转门轴，永不生锈，耐腐蚀性好。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螺丝：不锈钢304材质。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备注：可以用于各种腐蚀性化学品的储藏，如硫酸、盐酸、硝酸、乙酸、硫磺酸等。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2尺寸：φ300mm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2、5#离心式通风机，每小时换气20次，噪声要求按行业标准＜55分贝，材质采用玻璃钢制作，带进出口消音器，防水帽，电机，电机防护罩，减震器等。电动机功率2.2KW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学生椅（团体）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实木椅，使用水性漆环保材料，无任何有害物质，尺寸：52*29*28cm±3%。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椅类耐久性要求：座面加载不小于950N,椅背加载不小于330N，加载次数不少于50000次，测试完成后仍能满足标准的技术要求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实木桌椅，尺寸：120cmx60cmx55cm±3%，使用水性漆环保材料，无任何有害物质；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桌面水平耐久性要求：加载力不小于150N，加载次数不少于15000次，测试完成后仍能满足标准的技术要求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砂磨桌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尺寸：80×60×71cm±3%，沙磨板面积75×55cm±3%,沙磨板角度0°～50°±3%可调节，不少于4只附件，用途：训练功能上肢稳定性、协调性功能。提高上肢的日常活动，磨砂桌面设计，增大桌面摩擦力。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液压踏步器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下肢关节活动度及肌力训练，88×76×110±3%, 扶手杆宽45cm±3%,高扶手杆高80cm±3%，低扶手杆高60cm±3%,油缸阻力12档可调，液压踏步器属于康复训练器械。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助行器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用于助行训练，材质钢和塑料，尺寸不小于746x530x80mm。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疲劳试验要求：垂直施加800N的循环载荷，循环不少于200000次，不应产生任何裂纹、破损等损坏，并仍满足标准的各项功能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静载试验要求：施加1500N的垂直载荷，保持5S，卸载后助行架不产生裂纹和断裂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主动训练脚踏车</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外形尺寸（长×宽×高）：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80㎝×54×120㎝±3%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座位上下调节范围：67㎝～87㎝±3%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阻尼调节档数：不低于7档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产品用途：适用于下肢关节活动度、肌力及协调功能的训练。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特点和功能：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采用类自行车踩踏运动锻炼下肢关节活动功能；运动阻力可调；前扶手架角度及座位上下高度可调，可进行骑式训练，并适合不同身高人群使用；可显示训练时间、速度、距离、热量等数据。</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髋关节旋转训练器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通过足的画圈运动，改善髋关节的旋转功能，用于髋关节活动受限的用户。124×92×53cm±3%，扶手高度调节范围，90～135cm±3%。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重锤式手指肌力训练桌属于康复训练器械，用于手指肌力训练和手指关节活动度康复训练，外形尺寸/cm：80×60×111.5±3%，重锤质量±3%：100g、200g、300g、500g，桌面额定承载：750N±3%。</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shd w:val="clear" w:color="auto" w:fill="ffff00"/>
                <w:lang w:val="en-US" w:eastAsia="zh-CN" w:bidi="ar"/>
              </w:rPr>
              <w:t xml:space="preserve">▲</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疲劳强度要求：符合《康复训练器械 安全通用要求GB24436-2009》国家强制性标准， 接近正常训练的频率，循环不少于100000次，不应产生任何裂纹、破损等损坏，并仍满足标准的各项功能（提供有CMA标识的第三方检测报告验证符合要求）。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上下转盘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材质：高级塑胶ABS、PE，高级热塑橡胶TPR；尺寸：15X15X30cm±3%； 组件明细不少于：转盘1个、球1个增进全身动作协调性，促进手部大小肌肉发展，加强动作协调性与灵活度，提升手眼协调能力及反应力。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平衡板（带扶手）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80×60×15cm±3%，面板摆动角度-13°～+13°±3%，额定载荷不小于135kg，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偏瘫、脑瘫等运动失调用户进行平衡、协调训练。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万象组合套装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半砖：高级塑胶PP/PE/ABS，数量不少于12个；全砖：高级塑胶PP/PE/ABS，</w:t>
            </w:r>
            <w:r>
              <w:rPr>
                <w:rFonts w:hint="eastAsia" w:ascii="宋体" w:hAnsi="宋体" w:eastAsia="宋体" w:cs="宋体"/>
                <w:i w:val="0"/>
                <w:iCs w:val="0"/>
                <w:color w:val="000000"/>
                <w:sz w:val="22"/>
                <w:szCs w:val="22"/>
                <w:highlight w:val="none"/>
                <w:u w:val="none"/>
                <w:lang w:val="en-US" w:eastAsia="zh-CN" w:bidi="ar"/>
              </w:rPr>
              <w:t xml:space="preserve">数量不少于8个；平衡桥：高级塑胶PP/PE/ABS，数量不少于4个;体能环：高级塑胶PP/PE/ABS,直径35cm±3%，数量：不少于4个；体能环：高级塑胶PP/PE/ABS，直径59cm±3%，数量：不少于4个;体能棒：高级塑胶PP/PE/ABS，长35cm±3%，数量：不少于16根；体能棒：高级塑胶PP/PE/ABS，长70cm±3%，数量：不少于8根;棒夹：高级塑胶PP/PE/ABS，数量：不少于12个；环夹：高级塑胶PP/PE/ABS，数量：不少于12个；豆袋：布制+塑料粒子、数量：不少于10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高跷组合</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硬橡胶手柄提供了一个良好的抓地力</w:t>
            </w:r>
            <w:r>
              <w:rPr>
                <w:rFonts w:hint="eastAsia" w:ascii="宋体" w:hAnsi="宋体" w:eastAsia="宋体" w:cs="宋体"/>
                <w:i w:val="0"/>
                <w:iCs w:val="0"/>
                <w:color w:val="000000"/>
                <w:sz w:val="22"/>
                <w:szCs w:val="22"/>
                <w:highlight w:val="none"/>
                <w:u w:val="none"/>
                <w:lang w:val="en-US" w:eastAsia="zh-CN" w:bidi="ar"/>
              </w:rPr>
              <w:t xml:space="preserve">，可以适应学生的高度，进行平衡觉的训练。                                                                                1.本产品带踩压形状的塑料底座，合成橡胶的手柄。由不低于4个塑料部分制成；                                                                               2.尺寸：260x160x700mm±3%；材料：PP 塑料, TPE合成橡胶。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平衡触觉板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由塑料横杆组成的步道，不少于8片曲线+8片直线,不少于4个墩。触觉板组合的步数.触点提供神经刺激讯号.加强儿童触觉学习,亦可与组合系列配合,做平衡动作训练。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产品规格/cm：49长*13.5宽*8高±3%。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刷身刷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进行触觉训练；包括不少于2个刷身刷。</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摇晃岛玩具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以设计有趣和挑战性的平衡训练，锻炼学生的平衡、本体感觉。底部盘是处于活动的，需要学生专注在保持平衡，同时进行平衡游戏；底部的圆盘由不少于2个硬的塑料部件，中间是厚的而且可以活动的橡胶铰链连接，随着学生的重心改变而移动；货物尺寸：直径210mm±3%*高度160m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充气玩具-悬浮板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尺寸：Φ35cm；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材质：无添加塑胶PVC；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两种不同的触感设计。一面可当坐垫，一面可提供触觉按摩刺激，协助端正坐姿，也是触觉刺激的实用工具。</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shd w:val="clear" w:color="auto" w:fill="ffff00"/>
                <w:lang w:val="en-US" w:eastAsia="zh-CN" w:bidi="ar"/>
              </w:rPr>
              <w:t xml:space="preserve">▲</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涂层牢度要求：按照《充气玩具通用技术要求  GB/T 27708-2011》标准检测，产品表面涂层和薄膜表面涂层牢度符合标准要求（提供有CMA标识的第三方检测报告验证符合要求）。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色彩鲜艳，牛津布袋；锻炼孩子的平衡及本体觉能力。尺寸：30*60cm±3%。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独脚凳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进行感觉统合训练能促进大脑功能的发展和成熟，提高孩子的学习技能和体能。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材质：木质（椅面有一定柔软度，保护保护孩子脊柱）。尺寸：23*20cm±3%。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团队协力板/4人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用于学生下肢平衡以及身体协调能力训练，同时可进行团队训练，锻炼团体的凝聚力等；环保塑料：39.5x12.5x2.5cm±3%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奥尔夫乐器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以节奏乐器为主，材质要求环保、无毒。分四类：1、皮革类：所有的鼓类；2、散响类：砂锤、砂蛋以及铃铛类；3、木质类：质地为木质，声音清脆；4、金属类：所有的铜质、铁质等金属打击乐器。共不少于33件/套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2.产品设计合理，能够满足特殊教育随班就读学生的实际需求并保证学生使用安全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盲文写字板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适用：盲校学习用品，盲人写字；材质为塑料。规格：27行30方，尺寸：303x219x6mm±3%，重量不小于：309克。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盲文笔</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使用钢尖头按盲文书写规则，在盲文写字板凹槽内打点。塑料手柄，钢质笔头；重量约7.8克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低视力助写板22.5*13.8cm±3%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704850</wp:posOffset>
                      </wp:positionV>
                      <wp:extent cx="1081405" cy="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081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1.2pt;mso-position-horizontal:absolute;mso-position-vertical-relative:text;margin-top:55.5pt;mso-position-vertical:absolute;width:85.1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八边形学生实验台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3、台身参数：采用16mm厚E0级生态免漆板加工制作正八边形桌设有柜门。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4、实验台下裙条（≥78mm）采用铝合金模具成型，铝合金内部卡扣镶嵌18mm厚生态免漆板材，内层板材据地不低于20mm，增加强度，具有良好的支撑特性。底部稳固平整，产品整体美观立体、防水耐用。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学生桌电源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二三孔插座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1、产品结构：钢塑或铝塑结构，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1，ABS塑制桌面镶嵌结构，PC面板。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2，额定电流2A，两组五孔交流220V插座或一组五孔交流220V插加一个光源开关。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3，面板包含usb、Type-c充电插口。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数码教师液晶显微镜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数码生物显微镜参数（800万像素-4K）：</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1、全金属结构三目数码生物显微镜，光学放大倍数：40-1000X,整机防霉处理；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2、采用Sony高清高灵敏度CMOS图像传感器，传感器尺寸：1/1.8，输出分辨率：3840*2160；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3、用HDMI线连接高清显示器，通过相机双USB口接鼠标和U盘实现图像的抓取或录制；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4、视频录制格式及分辨率：2k录像:1920*1080@30FPS；4K录像:3840*2160@30FPS;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5、显微成像系统自带Youngwin OS系统，可以通过系统设置白平衡、对比度、饱和度、伽马、锐度、降噪等参数；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6、双输出信号：HDMI+USB3.0@ 30FPS，支持接电视机、显示器、大屏一体机等智慧设备，USB2.0支持YUV422视频传输协议，可以对接主流中考考试系统；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strike w:val="0"/>
                <w:color w:val="000000"/>
                <w:sz w:val="22"/>
                <w:szCs w:val="22"/>
                <w:highlight w:val="none"/>
                <w:u w:val="none"/>
                <w:shd w:val="clear" w:color="auto" w:fill="ffff00"/>
                <w:lang w:val="en-US" w:eastAsia="zh-CN" w:bidi="ar"/>
              </w:rPr>
              <w:t xml:space="preserve">7、</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▲显微镜主机与摄像头为一体供电，DC12V ,2A电源适配器；显微镜机身内置备用电源仓，带5号电池仓，可以通过干电池给显微镜供电。提供实物图片佐证符合要求。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8、数码视野范围不小于75.5%，观察、拍照、传输等方便快捷；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9、双目镜筒，三目倾斜30°，视度可调节，双目瞳距：48-75 mm，可360度旋转观察，0.5X带光学玻璃摄像接筒；▲目镜筒作360度旋转时目镜焦平面上像中心的位移≤0.15mm，左右系统放大率差≤±0.50%，左右光学系统像面方位差≤10，左右视场中心偏差上下≤0.10mm、左右内侧≤0.12mm，左右光轴平行度垂直交叉≤10分，零视度时，左右系统的目镜端面位置差≤0.18mm。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10、广角目镜：WF10X；目镜可锁紧在目镜筒上，目镜目镜放大率准确度不超过±1.02%。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shd w:val="clear" w:color="auto" w:fill="ffff00"/>
                <w:lang w:val="en-US" w:eastAsia="zh-CN" w:bidi="ar"/>
              </w:rPr>
              <w:t xml:space="preserve">11、高衬度色差慧差校准物镜，▲4倍物镜（成像直径圆≥14.5mm）；10倍物镜（成像直径圆≥15.0mm）；40倍物镜（成像直径圆≥14.8mm）； 100倍物镜（成像直径圆≥14.2mm）；齐焦：10倍→4倍齐焦不超过0.103mm,10倍→40倍齐焦不超过0.035mm,40倍→100倍齐焦不超过0.018mm；提供CMA按国标标准检验的检测报告佐证符合要求。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12、物镜转换器：四孔转换器，转动舒适，响声定位明晰可靠；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13、粗微调：同轴粗微调（带上限位及松紧调节环），三角导轨，交叉滚柱导向机构，粗调范围：25mm，微调每转：0.2 mm，微调最小格值：2μm，具有过载保护自动卸力装置；人机工程学设计：调焦手轮与载物台移动手柄位置较低，位于同一水平高度可单手舒适操作，且两者离操作者距离相同，使操作者无需扭曲身体即可用单手以自然姿态轻松操作</w:t>
            </w:r>
            <w:r>
              <w:rPr>
                <w:rFonts w:hint="eastAsia" w:ascii="宋体" w:hAnsi="宋体" w:cs="宋体"/>
                <w:i w:val="0"/>
                <w:iCs w:val="0"/>
                <w:color w:val="000000"/>
                <w:sz w:val="22"/>
                <w:szCs w:val="22"/>
                <w:highlight w:val="none"/>
                <w:u w:val="none"/>
                <w:shd w:val="clear" w:color="auto"/>
                <w:lang w:val="en-US" w:eastAsia="zh-CN" w:bidi="ar"/>
              </w:rPr>
              <w:t xml:space="preserve">。</w:t>
            </w:r>
            <w:r>
              <w:rPr>
                <w:rFonts w:hint="eastAsia" w:ascii="宋体" w:hAnsi="宋体" w:cs="宋体"/>
                <w:i w:val="0"/>
                <w:iCs w:val="0"/>
                <w:color w:val="000000"/>
                <w:sz w:val="22"/>
                <w:szCs w:val="22"/>
                <w:highlight w:val="none"/>
                <w:u w:val="none"/>
                <w:shd w:val="clear" w:color="auto" w:fill="ffff00"/>
                <w:lang w:val="en-US" w:eastAsia="zh-CN" w:bidi="ar"/>
              </w:rPr>
              <w:t xml:space="preserve">▲</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微调机构空回≤0.006mm；提供CMA按国标标准检验的检测报告佐证符合要求。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14、双层机械载物台：面积：110×115 mm以上，行程为76mm×52mm，右手控制，游标刻度为0.1mm；</w:t>
            </w:r>
            <w:r>
              <w:rPr>
                <w:rFonts w:hint="eastAsia" w:ascii="宋体" w:hAnsi="宋体" w:cs="宋体"/>
                <w:i w:val="0"/>
                <w:iCs w:val="0"/>
                <w:color w:val="000000"/>
                <w:sz w:val="22"/>
                <w:szCs w:val="22"/>
                <w:highlight w:val="none"/>
                <w:u w:val="none"/>
                <w:shd w:val="clear" w:color="auto" w:fill="ffff00"/>
                <w:lang w:val="en-US" w:eastAsia="zh-CN" w:bidi="ar"/>
              </w:rPr>
              <w:t xml:space="preserve">▲</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载物台受5N水平方向作用力最大位移≤</w:t>
            </w:r>
            <w:r>
              <w:rPr>
                <w:rFonts w:hint="eastAsia" w:ascii="宋体" w:hAnsi="宋体" w:eastAsia="宋体" w:cs="宋体"/>
                <w:i w:val="0"/>
                <w:iCs w:val="0"/>
                <w:strike w:val="0"/>
                <w:color w:val="000000"/>
                <w:sz w:val="22"/>
                <w:szCs w:val="22"/>
                <w:highlight w:val="none"/>
                <w:u w:val="none"/>
                <w:shd w:val="clear" w:color="auto" w:fill="ffff00"/>
                <w:lang w:val="en-US" w:eastAsia="zh-CN" w:bidi="ar"/>
              </w:rPr>
              <w:t xml:space="preserve">0.041mm</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；不重复性≤0.003mm；提供CMA按国标标准检验的检测报告佐证符合要求。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15、阿贝式聚光镜：NA=1.25阿贝聚光镜， 带孔径光栏；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16、▲显微镜主机上带液晶显示窗，可显示色温值，电池容量、侧光源、透射光源亮度等信息，提供实物图片佐证符合要求；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17、双光源A：透射光源：长寿命、高亮度复眼透镜1W LED灯，电池仓结构供电，节能、绿色、环保；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18、▲双光源B：侧光源：侧光源固定在镜体内，可以观察实体标本并具有辅助照明功能，可以作为体视显微镜使用，提供实物图片佐证符合要求；</w:t>
            </w:r>
            <w:r/>
          </w:p>
        </w:tc>
        <w:tc>
          <w:tcPr>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学生生物显微镜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主要技术指标：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生物显微镜的规格和教学性能要求须符合教育部发布的《初中生物学教学装备配置标准》（JY/T 0621－2019），其主要技术参数和性能为：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1.生物显微镜为一体化设计， 仪器拆包装箱接上电源及即可使用，无需再进行目镜、物镜及其他部件的组装；整机的电源接口只有一个，仪器本身各部件间不能有外部连接线，成像装置必须内置于显微镜机身中；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2.为确保使用者人身安全，仪器应为低压供电，配备电源适配器，仪器使用电压不高于19V；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3.机身上方设置明确提手，提起时仪器正置以避免目镜及载物台上的物体跌落，确保仪器挪动过程中的安全性；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4.为确保仪器使用过程中供电的稳定性和安全性，电源接口必须设置在仪器底座上；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5.一机多功能：既有生物显微镜功能，又有实体显微镜功能；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6.配备三孔外倾物镜转换器, 适应实体观察需求；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7.生物显微镜物镜：有限远平场消色差4×、有限远平场消色差10×、有限远平场消色差40×（弹簧）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8.目镜：10X/Φ18mm目镜2个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9.调焦机构：粗微动同轴调焦，左右两侧均有粗调与微调手轮，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10.双照明装置：内置LED底光源 、内置LED侧光源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11.仪器底座设置按压式无极旋钮开关，实现光源切换，亮度调整等功能。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12.载物台：双层移动平台；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1、产品结构：钢塑或铝塑结构，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4、其他：五金件：国内知名品牌或同等质量其他品牌优质铰链和三节静音滑轨。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1、专用喷塑铝合金型材（90×45×1.5㎜）表面喷涂高温固化乳白环氧树脂静电粉末喷涂理处理，具有较强的耐蚀性能；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1、产品结构：钢塑或铝塑结构，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2,具有教师总电源开关带漏电保护功能，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3,液晶显示交直流低压电压，电压0—24调节，低压交流正玄输出，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4,可控制学生低压最高输出电压，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5,触摸按键调节电压升降，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6,过载自动保护复位功能，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7,五孔插座输出220V电压，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8,具有防雷击保护功能。</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低压交流电源压调节范围0～24V电压，最小调节单元可达0.1V,额定电流2A，加载电流0～2A时，输出电压稳定，误差范围0.1V之内，具有过载保护智能检测功能（电流高于过载点则自动保护，电流低于过载点则手动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5、▲当交流输出电流在额定电流值的1.05倍~1.1倍时，电源应能过载保护，并能恢复输出</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当直流输出电流在额定电流值的1.05倍~1.1倍时，电源应能过载保护，并能恢复输出(所投产品制造商提供满足检测标准:JY/T0374-2004《教学实验室设备电源系统》的具有CMA标志的检测报告)。</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6、▲输入电压保持交流220V不变，负载电流在0至额定电流范围内变化，输出电压应≥(0.95U标-0.3)V(所投产品制造商提供满足检测标准：JY/T0374-2004《教学实验室设备电源系统》的具有CMA标志的检测报告）。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7、五孔交流220V插座输出。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心理团体辅导室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墙布规格：32140*2900mm；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规格：22500*1200mm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工艺：木饰面护墙板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材质：竹木纤维集成墙板（主流环保快装型）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材质构成：以竹木纤维粉、轻质钙粉、PVC树脂为主，高温挤压成型，无胶水粘合。核心特性：环保与安全：生产过程无醛，达E0级标准；。功能优势：防潮防腐：抗酸碱、不霉变，适用厨卫等潮湿区。</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墙面造型留言板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规格：920*680mm；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工艺：8mm高密度雪弗板粘贴在3mm瓷白板UV画面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规格：1500*900mm；1020*140mm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工艺：5mm透明亚克力UV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规格：5210*1250mm；3270*920mm；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工艺：8mm高密度雪弗板+3mm亚克力UV画面及亚克力字组合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多功能培训会议办公椅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规格：高850mm*坐高430mm，坐垫宽450mm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材质：尼龙外框、透气网布、金属椅脚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矮柜收纳柜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规格：柜体尺寸为1120*400*700mm；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工艺材质：主体采用E0级环保免漆板，承重性强，耐高温，耐酸碱，耐潮湿符合安全标准，不易变形。简约现代风格。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规格：50mm厚度*总高2000mm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材质：表面使用加厚环保超纤PU皮，防裂透气网格布，加大超纤PU皮的韧性，中间采用高回弹海绵，底板使用E0级环保中纤板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工艺：15厘阻燃板基层，皮革软包</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规格：1860*390mm2套；450*450mm4个；2150*670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规格：800*400*400mm，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材质：主体实木材质，外包材质PU皮，耐磨防滑，耐擦洗。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智能情绪调节释压系统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规格：上部高1400mm，底座直径680mm，高400mm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1、智能情绪调节释压系统材料组成部分包括底座、衣服、填充物、头套、内衬等组成部分，整体打造温馨舒适的体验效果；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2、系统采用高性能主控芯片，有效保证系统稳定及高速运算能力；高性能解码芯片，实现MP3音频格式快速解码，播放流畅，音质清晰；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3、系统提供了丰富的积极阳光正能量的语音内容，可满足不同情绪问题的正向引导；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4、系统自带传感器3轴振动检测，可对操作进行检测，防止使用者过度使用，实现系统自我保护作用。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5、智能语音提醒功能：当使用一定时间后语音提醒，防止过度使用；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6、系统采用DC12V电压供电，电流输出稳定且简易安全；自带功放，直接接喇叭，功率可达30W，确保良好的音质输出。</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shd w:val="clear" w:color="auto" w:fill="ffff00"/>
                <w:lang w:val="en-US" w:eastAsia="zh-CN" w:bidi="ar"/>
              </w:rPr>
              <w:t xml:space="preserve">7、</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▲心理室厂家提供智能情绪调节释压系统符合GB/T26575-2011《电子电气产品中限用物质的限量要求》标准，要求具备铅, 镉, 汞和六价铬，多溴联苯，多溴二苯醚的测试结果符合限值要求且具有“CMA”认证标识的测试报告或检测报告扫描件。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2、护手套2对，采用了轻型耐用材料，可有效的缓冲打击时的撞击。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3、摔打释压球2个，橡胶材质，充气使用，回弹性好，可坐和摔打。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4、立式释压球1个，立式不倒整体1100-1450mm可根据使用情况进行调节。上部实心球体，外层高级仿皮材料，经打耐用。底座高≥210mm,直径≥460mm。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5、充气释压棒2根，长800mm，锥型，充气使用，内胆防水材质，外套蓝色保护套。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墙布规格：13400*2900mm；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38.86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规格：2600*1110mm；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工艺：5mm亚克力字及迷你发光字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规格：1890*660mm；850*930mm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规格：底部圆直径500mm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材质：填充物为进口EPP颗粒，隐藏拉链可拆洗，占地约500-600mm宽;约750-800mm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3D音乐按摩椅</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1、音乐按摩椅尺寸直立尺寸：1560X750X1000mm，平躺尺寸：1700X750X850mm，额定功率60W，可承受重量及身高：100kg/180cm，毛重/净重：62/74.5kg，表层材质：PU皮，采用背部揉捶双头机芯，电机个数：5个电机 （颈部机芯2个电机，背部2个电机，电动推杆1个），噪音级别：&lt;55分贝，音响配置：蓝牙音响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2、气囊数：肩部4个，手臂8个， 臀部2个，腿部8个；气阀：1组3联气阀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3、按摩手法：揉捏 、锤打、推拿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4、按摩程序：总裁养生，女王纤体，肩周改善，腰背呵护，安享睡眠，零重力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5、按摩强度：三档可调，气囊强度：三档可调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6、按摩方式：座部按摩：臀部滚轮按摩，足部按摩：气囊+脚底滚轮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7、采用安卓系统，≥10.1寸屏幕，系统内存：≥6G；储存空间：≥128G；支持任意格式音乐、心理文章，心理图片、心理电影播放，可连接WiFi。运行速度流畅，多点式触摸屏，使用方便，携带方便，视觉体验出众。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8、音乐放松管理系统简介：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音乐放松管理系统是一款集心理影音、心理训练和心理助手等功能于一身的综合性系统。它不仅提供了丰富多样的心理音乐、心理图片和心理电影资源，还能帮助你学习心理学知识、放松身心和提高专注力。使用这个系统，可以有效的改善用户的心理健康状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系统主要分为心理影音、心理训练、放松助手、个人中心四大模块。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-1心理影音包括大量心理图片，其中包括：风景放松图、光学错觉图、几何错觉图，视觉动态图，心理错觉图；心理电影及讲座；心理百科内含心理放松图片，通过卡通漫画配以文字介绍，通俗易懂，简单直观地让用户了解日常释压食物及放松方法，从而达到快速排解心理压力，其中图片包括体育运动类、心理放松疗法、心理减压组合餐推荐，释压的水果、花草及茶点，多种肢体放松行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10大心理音乐，包括：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（1）改善失眠、促进睡眠 ：脑波音乐、深度睡眠音乐，放松音乐等；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（2）消除寂寞、减少失落感 ：心灵音乐馆之-谣風、池清凉、唱遍山月、春芽等；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（3）消除悲伤、抚慰心灵：α脑波音乐；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（4）消除愤怒、消除心灵淤塞:纯音乐之-你的笑颜、夕阳箫鼓、小霓裳等；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（5）消除浮躁、促进内心平静：大自然背景声（小桥流水、鸟语花香、荷塘月色、寂静山林等）；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（6）消除紧张、焦虑：自信训练。（减压音乐等）；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（7）消除自卑、提升自信：（冥想合放松音乐）；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（8）缓解身心疲劳：（天韵五行音乐等）；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（9）接触忧郁、情绪：（嘎达梅林、假日海滩、云水禅心等）；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（10）陶冶心情、醒脑提神：（旺盛的自愈力、自律与决心、释放压力、内在调和等）。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-2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不少于10个趣味量表测试，通过趣味诙谐的语言和正面肯定的模式让用户增进用户自我自信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-3放松助手包括呼吸助手与睡眠训练助手，呼吸助手按舒缓、稍快两种训练模式，通过动画将语音提示形象展现，用户根据语音提示的节奏进行模仿训练，可有效地缓解压力，预防心肺问题，适合所有人群，尤指运动极少，轻度焦虑者；睡眠训练助手内置36种场景音乐，8种不同播放时长选择，用户可根据需求选择相应的场景音乐及播放时长进行想象放松，缓解躯体紧张，帮助大脑放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8-4个人中心：管理员可查看用户信息、用户记录可查看用户的报告时间及报告类型。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1、音乐按摩椅1台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2、支架1个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3、音乐放松管理系统1套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4、遮光眼罩2个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5、音乐导论书籍1本</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规格：2070*1280mm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规格：2040*500mm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定制办公桌椅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规格:1400*800*740mm；宽大桌面，厚度50mm,颜色浅纹色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商品材质：E0级环保板材，机器封边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椅子尺寸：520*440*1180mm,颜色：曜黑；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材质：双杆操控3mm加厚处理；椅脚：精镀铝合金；网布：龙纹特网；背框：高分子尼龙加纤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定制落地文件柜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规格：800*320*1800mm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材质：选用优质冷轧钢钢板，表面颜色为白色，基层：采用静电粉末喷塑，无有机溶液，E0级环保漆无污染。</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规格：1+3沙发：单人位尺寸700*600*560mm；三人位尺寸：1750*600*560mm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面料: 超纤皮，E0级环保板材框架，海绵填充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材质：E0级环保板材，岩板桌面</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隔断</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尺寸：2000*2900mm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工艺：铁艺烤漆造型；激光切割机精准裁切勾槽机折边、焊接形成立体轮廓，精细打磨。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材质：E0级环保漆；主体采用镀锌钢板（防锈）厚度1.2mm，兼顾强度与可塑性。  </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心理咨询研讨督导室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规格：1730*840mm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规格：600*800mm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墙布规格：14860*2900mm；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沙发规格：双人位1500*600*560mm；（1张）；单人位700*600*560mm；（1张）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沙发材质：面料科技布，高密度回弹发泡海绵填充，内架采用E0级环保板材作为木架，多层夹板封板；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工艺：30-40mm加粗木腿；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茶几材质：整体采用E0级环保板材；</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会议桌规格：整体尺寸1800*800*750mm；桌面板25mm；6椅6人位桌椅；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会议桌工艺：烤漆钢架+实木板材；受力面大 承重力强 （含配件五金）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会议桌材质：1.2mm加厚内壁加固框架、工程级用钢；抗污耐脏、E0级环保板材、易清洁 防刮蹭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会议椅规格：整体尺寸：椅面离地430mm；整体椅960mm；座深：450mm；单人椅净宽475mm，带扶手总宽520mm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会议椅工艺材质：PE+龙纹涤纶网（防褪色）；PP固定扶手；镀铬钢架框架；加厚乳胶座垫（含配件五金）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阅览区矮柜+多层格子柜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规格：整体尺寸2400*1950mm,深350mm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工艺：主体采用E0级环保原木色免漆板；矮柜 (底座)：位于组合底部，提供封闭式大容量储物空间。多层格子柜：位于矮柜上方，由多层开放式隔板构成，便于书籍分类展示与快速取阅。模块化拼装，结构稳固，风格统一。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材质：E0级环保原木色免漆板，免漆饰面抗污耐磨，日常清洁简便含配件五金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办公室矮柜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规格：整体尺寸：2000*400深*800mm（双门800*400*800mm 、双门四抽1200*400*800mm）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工艺：主体采用E0级环保原木色免漆板；抽屉：静音缓冲滑轨抽屉面板与柜体同色同材质，单抽屉承重≥15kg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沙盘游戏室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墙布规格：15600*2900mm；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尺寸：1440*730mm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规格：310*310mm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材质：E0级环保板材榫卯结构，高回弹海绵，可拆洗棉麻材质。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标准版实木心理沙盘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一、2个个体实木心理沙盘，使用尺寸：≥长 720mm×宽 570mm×深70mm，边框厚度≥15mm，沙盘含架子整体高度≥750mm。专用三底两面环保漆；内侧底与边框、底部为蓝色，外部为实木色，表面光滑不伤手、防水、耐磨不掉色。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二、2个实木沙具柜，沙具柜规格：≥1500mm×300mm×980mm，柜体采用5层8阶设计，既美观又便于分类摆放选取沙具。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四、沙盘游戏书籍1本。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五、精选原色水洗砂20公斤，颗粒光滑、大小均匀、高温消毒 。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六、沙具选取框1套 （沙具选取框2个，清理刷2个）。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七、含3天专业沙盘培训1人次名额（培训地点及开课时间统一通知，交通食宿费用自理）。</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心理个体辅导室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尺寸：2650*910mm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尺寸：1090*2650mm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定制边几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1+2沙发：单人位尺寸：700*600*560mm；双人位尺寸：1500*600*560mm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沙发材质：面料科技布，高密度回弹发泡海绵填充，内架采用E0级环保板材做木架，多层夹板封板；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边几规格：400*700*520mm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材质：主体材料为E0级环保板材，岩板桌面，带金属滚轮可移动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三、报价方式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本项目投标报价为</w:t>
      </w:r>
      <w:r>
        <w:rPr>
          <w:rFonts w:hint="eastAsia" w:ascii="宋体" w:hAnsi="宋体" w:eastAsia="宋体" w:cs="宋体"/>
          <w:b/>
          <w:bCs/>
          <w:color w:val="000000"/>
          <w:sz w:val="24"/>
          <w:highlight w:val="none"/>
        </w:rPr>
        <w:t xml:space="preserve">固定总价</w:t>
      </w:r>
      <w:r>
        <w:rPr>
          <w:rFonts w:hint="eastAsia" w:ascii="宋体" w:hAnsi="宋体" w:eastAsia="宋体" w:cs="宋体"/>
          <w:color w:val="000000"/>
          <w:sz w:val="24"/>
          <w:highlight w:val="none"/>
        </w:rPr>
        <w:t xml:space="preserve">，须包含所有设备、上下水、电、气路的安装调试</w:t>
      </w:r>
      <w:r>
        <w:rPr>
          <w:rFonts w:hint="eastAsia" w:ascii="宋体" w:hAnsi="宋体"/>
          <w:color w:val="000000"/>
          <w:sz w:val="24"/>
          <w:highlight w:val="none"/>
          <w:lang w:val="en-US" w:eastAsia="zh-CN"/>
        </w:rPr>
        <w:t xml:space="preserve">及物理实验室、</w:t>
      </w:r>
      <w:r>
        <w:rPr>
          <w:rFonts w:hint="eastAsia" w:ascii="宋体" w:hAnsi="宋体" w:eastAsia="宋体" w:cs="宋体"/>
          <w:i w:val="0"/>
          <w:iCs w:val="0"/>
          <w:color w:val="000000"/>
          <w:sz w:val="24"/>
          <w:szCs w:val="24"/>
          <w:highlight w:val="none"/>
          <w:u w:val="none"/>
          <w:lang w:val="en-US" w:eastAsia="zh-CN" w:bidi="ar"/>
        </w:rPr>
        <w:t xml:space="preserve">物理准备室、物理仪器室、生物标本室利旧家</w:t>
      </w:r>
      <w:r>
        <w:rPr>
          <w:rFonts w:hint="eastAsia" w:ascii="宋体" w:hAnsi="宋体" w:cs="宋体"/>
          <w:i w:val="0"/>
          <w:iCs w:val="0"/>
          <w:color w:val="000000"/>
          <w:sz w:val="24"/>
          <w:szCs w:val="24"/>
          <w:highlight w:val="none"/>
          <w:u w:val="none"/>
          <w:lang w:val="en-US" w:eastAsia="zh-CN" w:bidi="ar"/>
        </w:rPr>
        <w:t xml:space="preserve">具</w:t>
      </w:r>
      <w:r>
        <w:rPr>
          <w:rFonts w:hint="eastAsia" w:ascii="宋体" w:hAnsi="宋体" w:eastAsia="宋体" w:cs="宋体"/>
          <w:i w:val="0"/>
          <w:iCs w:val="0"/>
          <w:color w:val="000000"/>
          <w:sz w:val="24"/>
          <w:szCs w:val="24"/>
          <w:highlight w:val="none"/>
          <w:u w:val="none"/>
          <w:lang w:val="en-US" w:eastAsia="zh-CN" w:bidi="ar"/>
        </w:rPr>
        <w:t xml:space="preserve">移装</w:t>
      </w:r>
      <w:r>
        <w:rPr>
          <w:rFonts w:hint="eastAsia" w:ascii="宋体" w:hAnsi="宋体" w:cs="宋体"/>
          <w:i w:val="0"/>
          <w:iCs w:val="0"/>
          <w:color w:val="000000"/>
          <w:sz w:val="24"/>
          <w:szCs w:val="24"/>
          <w:highlight w:val="none"/>
          <w:u w:val="none"/>
          <w:lang w:val="en-US" w:eastAsia="zh-CN" w:bidi="ar"/>
        </w:rPr>
        <w:t xml:space="preserve">费用（具体数量以现场实际勘察情况为准）</w:t>
      </w:r>
      <w:r>
        <w:rPr>
          <w:rFonts w:hint="eastAsia" w:ascii="宋体" w:hAnsi="宋体" w:eastAsia="宋体" w:cs="宋体"/>
          <w:color w:val="000000"/>
          <w:sz w:val="24"/>
          <w:highlight w:val="none"/>
        </w:rPr>
        <w:t xml:space="preserve">。投标报价应包括招标文件所确定的招标范围相应货物和服务的供货、</w:t>
      </w:r>
      <w:r>
        <w:rPr>
          <w:rFonts w:hint="eastAsia" w:ascii="宋体" w:hAnsi="宋体" w:eastAsia="宋体" w:cs="宋体"/>
          <w:sz w:val="24"/>
          <w:highlight w:val="none"/>
        </w:rPr>
        <w:t xml:space="preserve">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1240"/>
        <w:contextualSpacing/>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安装过程中及调试验收移交过程中的水、电、气、燃油等，均由中标人承担，各系统移交采购人之后发生的水、电、气、燃油费用，均有采购人承担。各系统均需经过检测，且达到设计要求及验收规范要求后，才能移交给采购人。</w:t>
      </w:r>
      <w:r/>
    </w:p>
    <w:p>
      <w:pPr>
        <w:pStyle w:val="1240"/>
        <w:contextualSpacing/>
        <w:ind w:firstLine="480"/>
        <w:jc w:val="left"/>
        <w:spacing w:line="360" w:lineRule="auto"/>
        <w:rPr>
          <w:rFonts w:ascii="宋体" w:hAnsi="宋体"/>
          <w:b/>
          <w:bCs/>
          <w:color w:val="000000"/>
          <w:sz w:val="24"/>
          <w:szCs w:val="24"/>
          <w:highlight w:val="none"/>
        </w:rPr>
      </w:pPr>
      <w:r>
        <w:rPr>
          <w:rFonts w:hint="eastAsia" w:ascii="宋体" w:hAnsi="宋体" w:eastAsia="宋体" w:cs="宋体"/>
          <w:sz w:val="24"/>
          <w:szCs w:val="24"/>
          <w:highlight w:val="none"/>
        </w:rPr>
        <w:t xml:space="preserve">报价货币为人民币，评审时以人民币为准。</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四、交货期及交货地点</w:t>
      </w:r>
      <w:r/>
    </w:p>
    <w:p>
      <w:pPr>
        <w:pStyle w:val="1240"/>
        <w:contextualSpacing/>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olor w:val="000000"/>
          <w:sz w:val="24"/>
          <w:highlight w:val="none"/>
        </w:rPr>
        <w:t xml:space="preserve">1、交货期：</w:t>
      </w:r>
      <w:r>
        <w:rPr>
          <w:rFonts w:hint="eastAsia" w:ascii="宋体" w:hAnsi="宋体" w:eastAsia="宋体" w:cs="宋体"/>
          <w:color w:val="000000"/>
          <w:sz w:val="24"/>
          <w:highlight w:val="none"/>
          <w:lang w:val="en-US" w:eastAsia="zh-CN"/>
        </w:rPr>
        <w:t xml:space="preserve">同签订后60日历天内完成供货、安装、调试并通过验收。</w:t>
      </w:r>
      <w:r/>
    </w:p>
    <w:p>
      <w:pPr>
        <w:pStyle w:val="1240"/>
        <w:contextualSpacing/>
        <w:ind w:firstLine="480"/>
        <w:jc w:val="left"/>
        <w:spacing w:line="360" w:lineRule="auto"/>
        <w:rPr>
          <w:rFonts w:ascii="宋体" w:hAnsi="宋体"/>
          <w:b/>
          <w:bCs/>
          <w:color w:val="000000"/>
          <w:sz w:val="24"/>
          <w:szCs w:val="24"/>
          <w:highlight w:val="none"/>
        </w:rPr>
      </w:pPr>
      <w:r>
        <w:rPr>
          <w:rFonts w:hint="eastAsia" w:ascii="宋体" w:hAnsi="宋体"/>
          <w:color w:val="000000"/>
          <w:sz w:val="24"/>
          <w:highlight w:val="none"/>
        </w:rPr>
        <w:t xml:space="preserve">2、交货地点：中标人负责将货物运到采购人指定地点和楼层，由中标人负责办理运输和装卸等，费用由中标人承担。</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五、验收要求</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产品必须是全新、未使用过的原装合格正品，完全符合招标文件规定的质量、规格和性能的要求，达到国家或行业规定的标准。由采购人组织进行抽检，检验不合格或不符合质量要求的，中标人应负责相应检测费用并在规定时间内进行整改，未在规定时间内进行整改的，中标人除无条件退货外，还须承担采购人的一切损失。</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2、投标人提供的产品必须能够满足规范及招标文件的要求，同时还必须满足使用要求；产品必须能通过采购人的质量验收等各类验收。</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3、经双方共同验收，产品性能参数达不到招标合同要求的，采购人可以要求供应商在规定时间内进行整改，否则采购人有权解除合同。</w:t>
      </w:r>
      <w:r/>
    </w:p>
    <w:p>
      <w:pPr>
        <w:pStyle w:val="1240"/>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验收标准：设备到货安装调试结束后，采购方按国家标准及厂方标准进行质量验收。中标人应向采购方提供详细的产品检测报告等证明材料。当双方对验收标准有争议时，可委托双方一致认可的国家相关权威检测中心进行检测，费用由供应商承担，只有在设备完全正常运转和采购方确认后，设备的安装工作才能认为已全部完成。</w:t>
      </w:r>
      <w:r/>
    </w:p>
    <w:p>
      <w:pPr>
        <w:pStyle w:val="1240"/>
        <w:contextualSpacing/>
        <w:ind w:firstLine="480"/>
        <w:jc w:val="left"/>
        <w:spacing w:line="360" w:lineRule="auto"/>
        <w:rPr>
          <w:color w:val="000000"/>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、新北区实验室设备等验收规范按新北区教育局最新相关规定执行。</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六、质保及售后服务要求</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1、质保期：本项目产品的免费质保期为三年。质保期内根据采购人需要提供免费更换零配件（非人为原因），质保期自设备验收合格之日起计算，终身负责维修，保证零配件的供给。</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2、售后服务：投标报价中应包含调试费，中标人需提供免费的调试服务。</w:t>
      </w:r>
      <w:r/>
    </w:p>
    <w:p>
      <w:pPr>
        <w:pStyle w:val="1154"/>
        <w:ind w:firstLine="480"/>
        <w:spacing w:line="360" w:lineRule="auto"/>
        <w:rPr>
          <w:rFonts w:hAnsi="宋体" w:cs="Times New Roman"/>
          <w:color w:val="000000"/>
          <w:highlight w:val="none"/>
        </w:rPr>
      </w:pPr>
      <w:r>
        <w:rPr>
          <w:rFonts w:hint="eastAsia" w:hAnsi="宋体" w:cs="Times New Roman"/>
          <w:color w:val="000000"/>
          <w:highlight w:val="none"/>
        </w:rPr>
        <w:t xml:space="preserve">3、修复时间（质保期内）：中标人接到报修请求，维修应在半小时内响应，2 小时内维修人员到达现场，排除故障；48 小时内解决故障问题，恢复设备正常使用，必要时应向采购人提供应急备用设备。如无法修复正常运行的，须标明赔偿标准。在维修期间免费提供备用品。</w:t>
      </w:r>
      <w:r/>
    </w:p>
    <w:p>
      <w:pPr>
        <w:pStyle w:val="1154"/>
        <w:ind w:firstLine="480"/>
        <w:spacing w:line="360" w:lineRule="auto"/>
        <w:rPr>
          <w:rFonts w:hint="eastAsia" w:hAnsi="宋体" w:cs="Times New Roman"/>
          <w:color w:val="000000"/>
          <w:highlight w:val="none"/>
        </w:rPr>
      </w:pPr>
      <w:r>
        <w:rPr>
          <w:rFonts w:hint="eastAsia" w:hAnsi="宋体" w:cs="Times New Roman"/>
          <w:color w:val="000000"/>
          <w:highlight w:val="none"/>
        </w:rPr>
        <w:t xml:space="preserve">4、在质保期满后，只收取配件费，不收取人工费及其他费用，中标人需长期提供优惠价格的主要零配件（提供主要零配件清单及供应价格）；提供维修部负责人名单及联系方式。</w:t>
      </w:r>
      <w:r/>
    </w:p>
    <w:p>
      <w:pPr>
        <w:pStyle w:val="1154"/>
        <w:spacing w:line="360" w:lineRule="auto"/>
        <w:rPr>
          <w:rFonts w:hAnsi="宋体" w:cs="Times New Roman"/>
          <w:b/>
          <w:color w:val="000000"/>
          <w:highlight w:val="none"/>
        </w:rPr>
      </w:pPr>
      <w:r>
        <w:rPr>
          <w:rFonts w:hint="eastAsia" w:hAnsi="宋体" w:cs="Times New Roman"/>
          <w:b/>
          <w:color w:val="000000"/>
          <w:highlight w:val="none"/>
        </w:rPr>
        <w:t xml:space="preserve">七、综合说明：</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投标人</w:t>
      </w:r>
      <w:r>
        <w:rPr>
          <w:rFonts w:ascii="宋体" w:hAnsi="宋体"/>
          <w:color w:val="000000"/>
          <w:sz w:val="24"/>
          <w:highlight w:val="none"/>
        </w:rPr>
        <w:t xml:space="preserve">须明确所投设备生产厂家、品牌、型号、规格和外形、尺寸等；提供设备的配置清单，并提供详细的技术参数和性能说明书。</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投标人</w:t>
      </w:r>
      <w:r>
        <w:rPr>
          <w:rFonts w:ascii="宋体" w:hAnsi="宋体"/>
          <w:color w:val="000000"/>
          <w:sz w:val="24"/>
          <w:highlight w:val="none"/>
        </w:rPr>
        <w:t xml:space="preserve">必须承诺采购文件中提出的全部技术规格与要求，如果以其中某些条款不响应时，应在文件中逐条列出，未列出的视同响应。</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、投标总价</w:t>
      </w:r>
      <w:r>
        <w:rPr>
          <w:rFonts w:ascii="宋体" w:hAnsi="宋体"/>
          <w:color w:val="000000"/>
          <w:sz w:val="24"/>
          <w:highlight w:val="none"/>
        </w:rPr>
        <w:t xml:space="preserve">包括</w:t>
      </w:r>
      <w:r>
        <w:rPr>
          <w:rFonts w:hint="eastAsia" w:ascii="宋体" w:hAnsi="宋体"/>
          <w:color w:val="000000"/>
          <w:sz w:val="24"/>
          <w:highlight w:val="none"/>
        </w:rPr>
        <w:t xml:space="preserve">全部产品价格（包括全套产品、辅配件、随设备应提交的资料等费用）、包装、运输、装卸、保险、技术培训、质保期服务、税金、专利技术、劳务、利润，以及上述未提及但有关于本次采购设备的供货、安装、调试，直至验收合格交付及质保期间所发生的所有费用。</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4、须提供质量保证，在质量保证期内该设备或产品出现质量问题（人为除外），无条件更换。</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除清单内容外，项目内容还包含支架、辅件及顶装安装、电器安装（包含电路改造、电器设备安装）、系统调试、室内地上给排水安装（给水采用优质金属软连接与龙头连接，地上每套水嘴设一控制阀门。排水采用优质PVC管，连接处密封）及地上配电安装（地上采用铝塑护套管，内穿塑铜线，有效固定）等涉及到的辅材、综合布线、安装调试内容。</w:t>
      </w:r>
      <w:r/>
    </w:p>
    <w:p>
      <w:pPr>
        <w:pStyle w:val="1240"/>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八、付款方式</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1.合同签订生效后30日内，采购人支付合同金额的30%；所有货物安装调试完毕，通过采购人验收合格后付至合同金额的</w:t>
      </w:r>
      <w:r>
        <w:rPr>
          <w:rFonts w:hint="eastAsia" w:ascii="宋体" w:hAnsi="宋体"/>
          <w:color w:val="000000"/>
          <w:sz w:val="24"/>
          <w:highlight w:val="none"/>
          <w:lang w:val="en-US" w:eastAsia="zh-CN"/>
        </w:rPr>
        <w:t xml:space="preserve">100</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ind w:firstLine="480"/>
        <w:spacing w:line="360" w:lineRule="auto"/>
        <w:rPr>
          <w:rFonts w:ascii="等线" w:hAnsi="等线"/>
          <w:color w:val="000000"/>
          <w:sz w:val="24"/>
          <w:highlight w:val="none"/>
        </w:rPr>
      </w:pPr>
      <w:r>
        <w:rPr>
          <w:rFonts w:hint="eastAsia" w:ascii="宋体" w:hAnsi="宋体"/>
          <w:color w:val="000000"/>
          <w:sz w:val="24"/>
          <w:highlight w:val="none"/>
        </w:rPr>
        <w:t xml:space="preserve">2.中标人需提供等额的符合采购人要求的增值税发票（税率与投标税率一致）。</w:t>
      </w:r>
      <w:r/>
    </w:p>
    <w:p>
      <w:pPr>
        <w:pStyle w:val="11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九、样品清单及要求</w:t>
      </w:r>
      <w:r/>
    </w:p>
    <w:tbl>
      <w:tblPr>
        <w:tblStyle w:val="803"/>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230"/>
        </w:trPr>
        <w:tc>
          <w:tcPr>
            <w:tcW w:w="1868"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样品名称</w:t>
            </w:r>
            <w:r/>
          </w:p>
        </w:tc>
        <w:tc>
          <w:tcPr>
            <w:tcW w:w="509"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数量</w:t>
            </w:r>
            <w:r/>
          </w:p>
        </w:tc>
        <w:tc>
          <w:tcPr>
            <w:tcW w:w="1000" w:type="dxa"/>
            <w:vAlign w:val="center"/>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要求</w:t>
            </w:r>
            <w:r/>
          </w:p>
        </w:tc>
        <w:tc>
          <w:tcPr>
            <w:tcW w:w="1622" w:type="dxa"/>
            <w:vAlign w:val="top"/>
            <w:textDirection w:val="lrTb"/>
            <w:noWrap w:val="false"/>
          </w:tcPr>
          <w:p>
            <w:pPr>
              <w:jc w:val="center"/>
              <w:spacing w:line="360" w:lineRule="auto"/>
              <w:shd w:val="clear" w:color="auto" w:fill="ffffff"/>
              <w:rPr>
                <w:rStyle w:val="1236"/>
                <w:rFonts w:hint="eastAsia" w:ascii="宋体" w:hAnsi="宋体" w:eastAsia="宋体" w:cs="宋体"/>
                <w:b/>
                <w:bCs/>
                <w:color w:val="000000"/>
                <w:sz w:val="24"/>
                <w:szCs w:val="24"/>
                <w:highlight w:val="none"/>
              </w:rPr>
            </w:pPr>
            <w:r>
              <w:rPr>
                <w:rStyle w:val="1236"/>
                <w:rFonts w:hint="eastAsia" w:ascii="宋体" w:hAnsi="宋体" w:eastAsia="宋体" w:cs="宋体"/>
                <w:b/>
                <w:bCs/>
                <w:color w:val="000000"/>
                <w:sz w:val="24"/>
                <w:szCs w:val="24"/>
                <w:highlight w:val="none"/>
              </w:rPr>
              <w:t xml:space="preserve">备注</w:t>
            </w:r>
            <w:r/>
          </w:p>
        </w:tc>
      </w:tr>
      <w:tr>
        <w:trPr>
          <w:jc w:val="center"/>
          <w:trHeight w:val="83"/>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学生实验桌（学生实验台）</w:t>
            </w:r>
            <w:r/>
          </w:p>
        </w:tc>
        <w:tc>
          <w:tcPr>
            <w:tcW w:w="509"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1套</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r>
        <w:trPr>
          <w:jc w:val="center"/>
          <w:trHeight w:val="279"/>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学生凳</w:t>
            </w:r>
            <w:r/>
          </w:p>
        </w:tc>
        <w:tc>
          <w:tcPr>
            <w:tcW w:w="509" w:type="dxa"/>
            <w:vAlign w:val="center"/>
            <w:textDirection w:val="lrTb"/>
            <w:noWrap w:val="false"/>
          </w:tcPr>
          <w:p>
            <w:pPr>
              <w:jc w:val="center"/>
              <w:spacing w:line="360" w:lineRule="auto"/>
              <w:shd w:val="clear" w:color="auto" w:fill="ffff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1个</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803"/>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23"/>
        </w:trPr>
        <w:tc>
          <w:tcPr>
            <w:tcW w:w="469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项目名称：xxxxxxxxxxxxx</w:t>
            </w:r>
            <w:r/>
          </w:p>
        </w:tc>
      </w:tr>
      <w:tr>
        <w:trPr>
          <w:jc w:val="center"/>
          <w:trHeight w:val="1556"/>
        </w:trPr>
        <w:tc>
          <w:tcPr>
            <w:tcW w:w="4694"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  月  日</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2、各投标人的样品送样后进行编号登记，评委以编号为单位进行独立评定，评委有权对其样品进行破坏性检测，样品制作及运输费用由供应商自行承担，投标样品所有费用由投标人自行承担。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1044"/>
        <w:ind w:left="0" w:firstLine="480"/>
        <w:keepLines w:val="0"/>
        <w:keepNext w:val="0"/>
        <w:pageBreakBefore w:val="0"/>
        <w:spacing w:before="0" w:line="360" w:lineRule="auto"/>
        <w:widowControl w:val="off"/>
        <w:rPr>
          <w:rFonts w:hint="eastAsia" w:ascii="宋体" w:hAnsi="宋体" w:eastAsia="宋体" w:cs="宋体"/>
          <w:strike w:val="0"/>
          <w:color w:val="000000"/>
          <w:sz w:val="24"/>
          <w:highlight w:val="none"/>
          <w:u w:val="none"/>
          <w:lang w:eastAsia="zh-CN"/>
        </w:rPr>
      </w:pPr>
      <w:r>
        <w:rPr>
          <w:rFonts w:hint="eastAsia" w:ascii="宋体" w:hAnsi="宋体" w:eastAsia="宋体" w:cs="宋体"/>
          <w:strike w:val="0"/>
          <w:color w:val="000000"/>
          <w:sz w:val="24"/>
          <w:highlight w:val="none"/>
          <w:lang w:val="en-US" w:eastAsia="zh-CN"/>
        </w:rPr>
        <w:t xml:space="preserve">5.</w:t>
      </w:r>
      <w:r>
        <w:rPr>
          <w:rFonts w:hint="eastAsia" w:ascii="宋体" w:hAnsi="宋体" w:eastAsia="宋体" w:cs="宋体"/>
          <w:strike w:val="0"/>
          <w:color w:val="000000"/>
          <w:sz w:val="24"/>
          <w:highlight w:val="none"/>
        </w:rPr>
        <w:t xml:space="preserve">其他要求:</w:t>
      </w:r>
      <w:r>
        <w:rPr>
          <w:rFonts w:hint="eastAsia" w:ascii="宋体" w:hAnsi="宋体" w:eastAsia="宋体" w:cs="宋体"/>
          <w:strike w:val="0"/>
          <w:color w:val="000000"/>
          <w:sz w:val="24"/>
          <w:highlight w:val="none"/>
          <w:u w:val="none"/>
        </w:rPr>
        <w:t xml:space="preserve">送样时提供送样表</w:t>
      </w:r>
      <w:r>
        <w:rPr>
          <w:rFonts w:hint="eastAsia" w:ascii="宋体" w:hAnsi="宋体" w:eastAsia="宋体" w:cs="宋体"/>
          <w:strike w:val="0"/>
          <w:color w:val="000000"/>
          <w:sz w:val="24"/>
          <w:highlight w:val="none"/>
          <w:u w:val="none"/>
          <w:lang w:eastAsia="zh-CN"/>
        </w:rPr>
        <w:t xml:space="preserve">，</w:t>
      </w:r>
      <w:r>
        <w:rPr>
          <w:rFonts w:hint="eastAsia" w:ascii="宋体" w:hAnsi="宋体" w:eastAsia="宋体" w:cs="宋体"/>
          <w:strike w:val="0"/>
          <w:color w:val="000000"/>
          <w:sz w:val="24"/>
          <w:highlight w:val="none"/>
          <w:u w:val="none"/>
        </w:rPr>
        <w:t xml:space="preserve">格式</w:t>
      </w:r>
      <w:r>
        <w:rPr>
          <w:rFonts w:hint="eastAsia" w:ascii="宋体" w:hAnsi="宋体" w:eastAsia="宋体" w:cs="宋体"/>
          <w:strike w:val="0"/>
          <w:color w:val="000000"/>
          <w:sz w:val="24"/>
          <w:highlight w:val="none"/>
          <w:u w:val="none"/>
          <w:lang w:eastAsia="zh-CN"/>
        </w:rPr>
        <w:t xml:space="preserve">如下。</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1037"/>
              <w:ind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1037"/>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1037"/>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Style w:val="1047"/>
                <w:rFonts w:hint="eastAsia" w:ascii="宋体" w:hAnsi="宋体" w:eastAsia="宋体" w:cs="宋体"/>
                <w:bCs/>
                <w:strike w:val="0"/>
                <w:color w:val="000000"/>
                <w:sz w:val="24"/>
                <w:szCs w:val="24"/>
                <w:highlight w:val="none"/>
              </w:rPr>
              <w:t xml:space="preserve">注:此表填写后一式两份</w:t>
            </w:r>
            <w:r>
              <w:rPr>
                <w:rStyle w:val="1047"/>
                <w:rFonts w:hint="eastAsia" w:ascii="宋体" w:hAnsi="宋体" w:eastAsia="宋体" w:cs="宋体"/>
                <w:bCs/>
                <w:strike w:val="0"/>
                <w:color w:val="000000"/>
                <w:sz w:val="24"/>
                <w:szCs w:val="24"/>
                <w:highlight w:val="none"/>
                <w:lang w:eastAsia="zh-CN"/>
              </w:rPr>
              <w:t xml:space="preserve">(</w:t>
            </w:r>
            <w:r>
              <w:rPr>
                <w:rStyle w:val="1047"/>
                <w:rFonts w:hint="eastAsia" w:ascii="宋体" w:hAnsi="宋体" w:eastAsia="宋体" w:cs="宋体"/>
                <w:bCs/>
                <w:strike w:val="0"/>
                <w:color w:val="000000"/>
                <w:sz w:val="24"/>
                <w:szCs w:val="24"/>
                <w:highlight w:val="none"/>
              </w:rPr>
              <w:t xml:space="preserve">投标人与招标人各一份</w:t>
            </w:r>
            <w:r>
              <w:rPr>
                <w:rStyle w:val="1047"/>
                <w:rFonts w:hint="eastAsia" w:ascii="宋体" w:hAnsi="宋体" w:eastAsia="宋体" w:cs="宋体"/>
                <w:bCs/>
                <w:strike w:val="0"/>
                <w:color w:val="000000"/>
                <w:sz w:val="24"/>
                <w:szCs w:val="24"/>
                <w:highlight w:val="none"/>
                <w:lang w:eastAsia="zh-CN"/>
              </w:rPr>
              <w:t xml:space="preserve">)</w:t>
            </w:r>
            <w:r/>
          </w:p>
        </w:tc>
      </w:tr>
    </w:tbl>
    <w:p>
      <w:pPr>
        <w:ind w:firstLine="480"/>
        <w:spacing w:line="360" w:lineRule="auto"/>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十、实验室平面图纸</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链接: https://pan.baidu.com/s/1eTlZWBkSq5SUrj4inKjjew?pwd=pn96 </w:t>
      </w:r>
      <w:r/>
    </w:p>
    <w:p>
      <w:pPr>
        <w:ind w:firstLine="480"/>
        <w:spacing w:line="360" w:lineRule="auto"/>
        <w:rPr>
          <w:rFonts w:hint="eastAsia" w:ascii="宋体" w:hAnsi="宋体" w:eastAsia="宋体" w:cs="宋体"/>
          <w:color w:val="000000"/>
          <w:sz w:val="24"/>
          <w:szCs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提取码: pn96</w:t>
      </w:r>
      <w:r/>
    </w:p>
    <w:p>
      <w:pPr>
        <w:ind w:firstLine="480"/>
        <w:keepLines w:val="0"/>
        <w:keepNext w:val="0"/>
        <w:pageBreakBefore w:val="0"/>
        <w:spacing w:line="360" w:lineRule="auto"/>
        <w:widowControl w:val="off"/>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jc w:val="center"/>
        <w:spacing w:line="360" w:lineRule="auto"/>
        <w:rPr>
          <w:rFonts w:hint="eastAsia" w:ascii="宋体" w:hAnsi="宋体" w:eastAsia="宋体" w:cs="宋体"/>
          <w:b/>
          <w:color w:val="000000"/>
          <w:sz w:val="32"/>
          <w:highlight w:val="none"/>
        </w:rPr>
        <w:outlineLvl w:val="0"/>
      </w:pPr>
      <w:r/>
      <w:bookmarkStart w:id="238" w:name="_Toc31542"/>
      <w:r>
        <w:rPr>
          <w:rFonts w:hint="eastAsia" w:ascii="宋体" w:hAnsi="宋体" w:eastAsia="宋体" w:cs="宋体"/>
          <w:b/>
          <w:color w:val="000000"/>
          <w:sz w:val="36"/>
          <w:szCs w:val="36"/>
          <w:highlight w:val="none"/>
        </w:rPr>
        <w:t xml:space="preserve">第六章   合同草案条款</w:t>
      </w:r>
      <w:bookmarkEnd w:id="238"/>
      <w:r/>
      <w:bookmarkStart w:id="239" w:name="_Toc45560609"/>
      <w:r/>
      <w:bookmarkEnd w:id="239"/>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bookmarkStart w:id="240" w:name="_Toc45560610"/>
      <w:r/>
      <w:r/>
    </w:p>
    <w:p>
      <w:pP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合同编号：</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政府采购合同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w:t>
      </w:r>
      <w:r/>
    </w:p>
    <w:p>
      <w:pPr>
        <w:pStyle w:val="1234"/>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p>
      <w:pPr>
        <w:pStyle w:val="1234"/>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签订地：</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highlight w:val="none"/>
        </w:rPr>
        <w:t xml:space="preserve">签订日期：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640"/>
        <w:jc w:val="center"/>
        <w:rPr>
          <w:rFonts w:hint="eastAsia" w:ascii="宋体" w:hAnsi="宋体" w:eastAsia="宋体" w:cs="宋体"/>
          <w:color w:val="000000"/>
          <w:sz w:val="24"/>
          <w:highlight w:val="none"/>
        </w:rPr>
        <w:sectPr>
          <w:footnotePr/>
          <w:endnotePr/>
          <w:type w:val="nextPage"/>
          <w:pgSz w:w="11905"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highlight w:val="none"/>
        </w:rPr>
      </w:r>
      <w:r/>
    </w:p>
    <w:p>
      <w:pPr>
        <w:ind w:left="0"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（采购人名称）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公开招标方式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进行了采购。经评定，</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rPr>
        <w:t xml:space="preserve">为该项目中标人。现于中标通知书发出之日起三十日内，按照招标文件确定的事项签订本合同。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zh-CN"/>
        </w:rPr>
        <w:t xml:space="preserve">》、《中华人民共和国政府采购法》等相关法律法规之规定，按照平等、自愿、公平和诚实信用的原则，经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400" w:lineRule="exact"/>
        <w:rPr>
          <w:rFonts w:hint="eastAsia" w:ascii="宋体" w:hAnsi="宋体" w:eastAsia="宋体" w:cs="宋体"/>
          <w:b/>
          <w:color w:val="000000"/>
          <w:sz w:val="24"/>
          <w:szCs w:val="24"/>
          <w:highlight w:val="none"/>
        </w:rPr>
      </w:pPr>
      <w:r/>
      <w:bookmarkStart w:id="241" w:name="_Toc2232"/>
      <w:r/>
      <w:bookmarkStart w:id="242" w:name="_Toc24059"/>
      <w:r/>
      <w:bookmarkStart w:id="243" w:name="_Toc3029"/>
      <w:r>
        <w:rPr>
          <w:rFonts w:hint="eastAsia" w:ascii="宋体" w:hAnsi="宋体" w:eastAsia="宋体" w:cs="宋体"/>
          <w:b/>
          <w:color w:val="000000"/>
          <w:sz w:val="24"/>
          <w:szCs w:val="24"/>
          <w:highlight w:val="none"/>
        </w:rPr>
        <w:t xml:space="preserve">1.1 合同组成部分</w:t>
      </w:r>
      <w:bookmarkEnd w:id="241"/>
      <w:r/>
      <w:bookmarkEnd w:id="242"/>
      <w:r/>
      <w:bookmarkEnd w:id="24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其他相关招标文件。</w:t>
      </w:r>
      <w:r/>
    </w:p>
    <w:p>
      <w:pPr>
        <w:ind w:firstLine="482"/>
        <w:spacing w:line="400" w:lineRule="exact"/>
        <w:rPr>
          <w:rFonts w:hint="eastAsia" w:ascii="宋体" w:hAnsi="宋体" w:eastAsia="宋体" w:cs="宋体"/>
          <w:b/>
          <w:color w:val="000000"/>
          <w:sz w:val="24"/>
          <w:szCs w:val="24"/>
          <w:highlight w:val="none"/>
        </w:rPr>
      </w:pPr>
      <w:r/>
      <w:bookmarkStart w:id="244" w:name="_Toc24300"/>
      <w:r/>
      <w:bookmarkStart w:id="245" w:name="_Toc27126"/>
      <w:r/>
      <w:bookmarkStart w:id="246" w:name="_Toc21295"/>
      <w:r>
        <w:rPr>
          <w:rFonts w:hint="eastAsia" w:ascii="宋体" w:hAnsi="宋体" w:eastAsia="宋体" w:cs="宋体"/>
          <w:b/>
          <w:color w:val="000000"/>
          <w:sz w:val="24"/>
          <w:szCs w:val="24"/>
          <w:highlight w:val="none"/>
        </w:rPr>
        <w:t xml:space="preserve">1.2 </w:t>
      </w:r>
      <w:bookmarkEnd w:id="244"/>
      <w:r/>
      <w:bookmarkEnd w:id="245"/>
      <w:r/>
      <w:bookmarkEnd w:id="246"/>
      <w:r>
        <w:rPr>
          <w:rFonts w:hint="eastAsia" w:ascii="宋体" w:hAnsi="宋体" w:eastAsia="宋体" w:cs="宋体"/>
          <w:b/>
          <w:color w:val="000000"/>
          <w:sz w:val="24"/>
          <w:szCs w:val="24"/>
          <w:highlight w:val="none"/>
        </w:rPr>
        <w:t xml:space="preserve">标的</w:t>
      </w:r>
      <w:r/>
    </w:p>
    <w:p>
      <w:pPr>
        <w:ind w:firstLine="480"/>
        <w:spacing w:line="400" w:lineRule="exact"/>
        <w:rPr>
          <w:rFonts w:hint="eastAsia" w:ascii="宋体" w:hAnsi="宋体" w:eastAsia="宋体" w:cs="宋体"/>
          <w:color w:val="000000"/>
          <w:sz w:val="24"/>
          <w:highlight w:val="none"/>
          <w:u w:val="single"/>
        </w:rPr>
      </w:pPr>
      <w:r/>
      <w:bookmarkStart w:id="247" w:name="_Toc21631"/>
      <w:r/>
      <w:bookmarkStart w:id="248" w:name="_Toc21551"/>
      <w:r/>
      <w:bookmarkStart w:id="249" w:name="_Toc23292"/>
      <w:r>
        <w:rPr>
          <w:rFonts w:hint="eastAsia" w:ascii="宋体" w:hAnsi="宋体" w:eastAsia="宋体" w:cs="宋体"/>
          <w:color w:val="000000"/>
          <w:sz w:val="24"/>
          <w:highlight w:val="none"/>
        </w:rPr>
        <w:t xml:space="preserve">1.2.1 标的名称：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1.2.2 标的数量：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标的质量：</w:t>
      </w:r>
      <w:r>
        <w:rPr>
          <w:rFonts w:hint="eastAsia" w:ascii="宋体" w:hAnsi="宋体" w:eastAsia="宋体" w:cs="宋体"/>
          <w:color w:val="000000"/>
          <w:sz w:val="24"/>
          <w:highlight w:val="none"/>
          <w:u w:val="single"/>
        </w:rPr>
        <w:t xml:space="preserve">　　　　　　　  合格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价款</w:t>
      </w:r>
      <w:bookmarkEnd w:id="247"/>
      <w:r/>
      <w:bookmarkEnd w:id="248"/>
      <w:r/>
      <w:bookmarkEnd w:id="249"/>
      <w:r>
        <w:rPr>
          <w:rFonts w:hint="eastAsia" w:ascii="宋体" w:hAnsi="宋体" w:eastAsia="宋体" w:cs="宋体"/>
          <w:b/>
          <w:color w:val="000000"/>
          <w:sz w:val="24"/>
          <w:szCs w:val="24"/>
          <w:highlight w:val="none"/>
        </w:rPr>
        <w:t xml:space="preserve"> </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元人民币）。</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合同价格</w:t>
      </w:r>
      <w:r>
        <w:rPr>
          <w:rFonts w:hint="eastAsia" w:ascii="宋体" w:hAnsi="宋体" w:eastAsia="宋体" w:cs="宋体"/>
          <w:color w:val="000000"/>
          <w:sz w:val="24"/>
          <w:highlight w:val="none"/>
          <w:lang w:val="en-US" w:eastAsia="zh-CN"/>
        </w:rPr>
        <w:t xml:space="preserve">包括</w:t>
      </w:r>
      <w:r>
        <w:rPr>
          <w:rFonts w:hint="eastAsia" w:ascii="宋体" w:hAnsi="宋体" w:eastAsia="宋体" w:cs="宋体"/>
          <w:color w:val="000000"/>
          <w:sz w:val="24"/>
          <w:highlight w:val="none"/>
        </w:rPr>
        <w:t xml:space="preserve">但不限于</w:t>
      </w:r>
      <w:r>
        <w:rPr>
          <w:rFonts w:hint="eastAsia" w:ascii="宋体" w:hAnsi="宋体" w:eastAsia="宋体" w:cs="宋体"/>
          <w:color w:val="000000"/>
          <w:sz w:val="24"/>
          <w:highlight w:val="none"/>
          <w:lang w:val="en-US" w:eastAsia="zh-CN"/>
        </w:rPr>
        <w:t xml:space="preserve">完成</w:t>
      </w:r>
      <w:r>
        <w:rPr>
          <w:rFonts w:hint="eastAsia" w:ascii="宋体" w:hAnsi="宋体" w:eastAsia="宋体" w:cs="宋体"/>
          <w:color w:val="000000"/>
          <w:sz w:val="24"/>
          <w:highlight w:val="none"/>
        </w:rPr>
        <w:t xml:space="preserve">采购文件及其基本技术要求范围内</w:t>
      </w:r>
      <w:r>
        <w:rPr>
          <w:rFonts w:hint="eastAsia" w:ascii="宋体" w:hAnsi="宋体" w:eastAsia="宋体" w:cs="宋体"/>
          <w:color w:val="000000"/>
          <w:sz w:val="24"/>
          <w:szCs w:val="24"/>
          <w:highlight w:val="none"/>
        </w:rPr>
        <w:t xml:space="preserve">供货、包装、运输、保险、</w:t>
      </w:r>
      <w:r>
        <w:rPr>
          <w:rFonts w:hint="eastAsia" w:ascii="宋体" w:hAnsi="宋体" w:eastAsia="宋体" w:cs="宋体"/>
          <w:color w:val="000000"/>
          <w:sz w:val="24"/>
          <w:szCs w:val="24"/>
          <w:highlight w:val="none"/>
          <w:lang w:bidi="ar"/>
        </w:rPr>
        <w:t xml:space="preserve">布线、施工、</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运维服务、人工、</w:t>
      </w:r>
      <w:r>
        <w:rPr>
          <w:rFonts w:hint="eastAsia" w:ascii="宋体" w:hAnsi="宋体" w:eastAsia="宋体" w:cs="宋体"/>
          <w:color w:val="000000"/>
          <w:sz w:val="24"/>
          <w:szCs w:val="24"/>
          <w:highlight w:val="none"/>
        </w:rPr>
        <w:t xml:space="preserve">管理、劳务、设备、工具、耗材、运送、质保、售后、夜间加班及企业利润、风险、税金及政策性文件规定等各项应有费用，以及为完成该项目所涉及到的一切相关费用。</w:t>
      </w:r>
      <w:r>
        <w:rPr>
          <w:rFonts w:hint="eastAsia" w:ascii="宋体" w:hAnsi="宋体" w:eastAsia="宋体" w:cs="宋体"/>
          <w:color w:val="000000"/>
          <w:sz w:val="24"/>
          <w:highlight w:val="none"/>
        </w:rPr>
        <w:t xml:space="preserve">若项目实施过程中产生任何其他费用，均由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支付，</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不再额外支付任何费用。同时，除非合同条款中另有规定，否则，</w:t>
      </w:r>
      <w:r>
        <w:rPr>
          <w:rFonts w:hint="eastAsia" w:ascii="宋体" w:hAnsi="宋体" w:eastAsia="宋体" w:cs="宋体"/>
          <w:color w:val="000000"/>
          <w:sz w:val="24"/>
          <w:highlight w:val="none"/>
          <w:lang w:val="en-US" w:eastAsia="zh-CN"/>
        </w:rPr>
        <w:t xml:space="preserve">合同单价</w:t>
      </w:r>
      <w:r>
        <w:rPr>
          <w:rFonts w:hint="eastAsia" w:ascii="宋体" w:hAnsi="宋体" w:eastAsia="宋体" w:cs="宋体"/>
          <w:color w:val="000000"/>
          <w:sz w:val="24"/>
          <w:highlight w:val="none"/>
        </w:rPr>
        <w:t xml:space="preserve">在合同实施期间不因市场变化因素而变动。</w:t>
      </w:r>
      <w:r/>
    </w:p>
    <w:p>
      <w:pPr>
        <w:pStyle w:val="975"/>
        <w:keepLines w:val="0"/>
        <w:keepNext w:val="0"/>
        <w:pageBreakBefore w:val="0"/>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清单如下：</w:t>
      </w:r>
      <w:r/>
    </w:p>
    <w:tbl>
      <w:tblPr>
        <w:tblStyle w:val="803"/>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bookmarkStart w:id="250" w:name="_Toc22618"/>
            <w:r/>
            <w:bookmarkStart w:id="251" w:name="_Toc10340"/>
            <w:r/>
            <w:bookmarkStart w:id="252" w:name="_Toc1814"/>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付款方式和发票开具方式</w:t>
      </w:r>
      <w:bookmarkEnd w:id="250"/>
      <w:r/>
      <w:bookmarkEnd w:id="251"/>
      <w:r/>
      <w:bookmarkEnd w:id="252"/>
      <w:r/>
      <w:r/>
    </w:p>
    <w:p>
      <w:pPr>
        <w:ind w:firstLine="480"/>
        <w:spacing w:line="400" w:lineRule="exact"/>
        <w:rPr>
          <w:rFonts w:hint="eastAsia" w:ascii="宋体" w:hAnsi="宋体" w:eastAsia="宋体" w:cs="宋体"/>
          <w:color w:val="000000"/>
          <w:sz w:val="24"/>
          <w:highlight w:val="none"/>
          <w:u w:val="single"/>
          <w:lang w:val="en-US" w:eastAsia="zh-CN"/>
        </w:rPr>
      </w:pPr>
      <w:r/>
      <w:bookmarkStart w:id="253" w:name="_Toc32071"/>
      <w:r/>
      <w:bookmarkStart w:id="254" w:name="_Toc19304"/>
      <w:r/>
      <w:bookmarkStart w:id="255" w:name="_Toc2846"/>
      <w:r>
        <w:rPr>
          <w:rFonts w:hint="eastAsia" w:ascii="宋体" w:hAnsi="宋体" w:eastAsia="宋体" w:cs="宋体"/>
          <w:color w:val="000000"/>
          <w:sz w:val="24"/>
          <w:highlight w:val="none"/>
        </w:rPr>
        <w:t xml:space="preserve">1.4.1 付款方式：</w:t>
      </w:r>
      <w:r>
        <w:rPr>
          <w:rFonts w:hint="eastAsia" w:ascii="宋体" w:hAnsi="宋体" w:eastAsia="宋体" w:cs="宋体"/>
          <w:color w:val="000000"/>
          <w:sz w:val="24"/>
          <w:highlight w:val="none"/>
          <w:u w:val="single"/>
        </w:rPr>
        <w:t xml:space="preserve">1.合同签订生效后30日内，采购人支付合同金额的30%；所有货物安装调试完毕，通过采购人验收合格后付至合同金额的</w:t>
      </w:r>
      <w:r>
        <w:rPr>
          <w:rFonts w:hint="eastAsia" w:ascii="宋体" w:hAnsi="宋体" w:eastAsia="宋体" w:cs="宋体"/>
          <w:color w:val="000000"/>
          <w:sz w:val="24"/>
          <w:highlight w:val="none"/>
          <w:u w:val="single"/>
          <w:lang w:val="en-US" w:eastAsia="zh-CN"/>
        </w:rPr>
        <w:t xml:space="preserve">100</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val="en-US" w:eastAsia="zh-CN"/>
        </w:rPr>
        <w:t xml:space="preserve">2.中标人需提供等额的符合采购人要求的增值税发票（税率与投标税率一致）</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增值税发票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货物交付期限、地点和方式</w:t>
      </w:r>
      <w:bookmarkEnd w:id="253"/>
      <w:r/>
      <w:bookmarkEnd w:id="254"/>
      <w:r/>
      <w:bookmarkEnd w:id="255"/>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交付期限：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交付地点：</w:t>
      </w:r>
      <w:r>
        <w:rPr>
          <w:rFonts w:hint="eastAsia" w:ascii="宋体" w:hAnsi="宋体" w:eastAsia="宋体" w:cs="宋体"/>
          <w:color w:val="000000"/>
          <w:sz w:val="24"/>
          <w:szCs w:val="24"/>
          <w:highlight w:val="none"/>
          <w:u w:val="single"/>
        </w:rPr>
        <w:t xml:space="preserve">甲方指定地点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交付方式：</w:t>
      </w:r>
      <w:r>
        <w:rPr>
          <w:rFonts w:hint="eastAsia" w:ascii="宋体" w:hAnsi="宋体" w:eastAsia="宋体" w:cs="宋体"/>
          <w:color w:val="000000"/>
          <w:sz w:val="24"/>
          <w:highlight w:val="none"/>
          <w:u w:val="single"/>
        </w:rPr>
        <w:t xml:space="preserve">乙方负责所有货物的运输、安装、调试、培训等</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56" w:name="_Toc27250"/>
      <w:r/>
      <w:bookmarkStart w:id="257" w:name="_Toc21423"/>
      <w:r/>
      <w:bookmarkStart w:id="258" w:name="_Toc19554"/>
      <w:r>
        <w:rPr>
          <w:rFonts w:hint="eastAsia" w:ascii="宋体" w:hAnsi="宋体" w:eastAsia="宋体" w:cs="宋体"/>
          <w:b/>
          <w:color w:val="000000"/>
          <w:sz w:val="24"/>
          <w:szCs w:val="24"/>
          <w:highlight w:val="none"/>
        </w:rPr>
        <w:t xml:space="preserve">1.6 违约责任</w:t>
      </w:r>
      <w:bookmarkEnd w:id="256"/>
      <w:r/>
      <w:bookmarkEnd w:id="257"/>
      <w:r/>
      <w:bookmarkEnd w:id="25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000000"/>
          <w:sz w:val="24"/>
          <w:szCs w:val="24"/>
          <w:highlight w:val="none"/>
          <w:u w:val="single"/>
        </w:rPr>
        <w:t xml:space="preserve"> 0.5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%；迟延交付货物的违约金计算数额达到前述最高限额之日起，甲方有权在要求乙方支付违约金的同时，书面通知乙方解除本合同；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0.02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00" w:lineRule="exact"/>
        <w:rPr>
          <w:rFonts w:hint="eastAsia" w:ascii="宋体" w:hAnsi="宋体" w:eastAsia="宋体" w:cs="宋体"/>
          <w:b/>
          <w:color w:val="000000"/>
          <w:sz w:val="24"/>
          <w:szCs w:val="24"/>
          <w:highlight w:val="none"/>
        </w:rPr>
      </w:pPr>
      <w:r/>
      <w:bookmarkStart w:id="259" w:name="_Toc15583"/>
      <w:r/>
      <w:bookmarkStart w:id="260" w:name="_Toc16021"/>
      <w:r/>
      <w:bookmarkStart w:id="261" w:name="_Toc28375"/>
      <w:r>
        <w:rPr>
          <w:rFonts w:hint="eastAsia" w:ascii="宋体" w:hAnsi="宋体" w:eastAsia="宋体" w:cs="宋体"/>
          <w:b/>
          <w:color w:val="000000"/>
          <w:sz w:val="24"/>
          <w:szCs w:val="24"/>
          <w:highlight w:val="none"/>
        </w:rPr>
        <w:t xml:space="preserve">1.7 合同争议的解决</w:t>
      </w:r>
      <w:bookmarkEnd w:id="259"/>
      <w:r/>
      <w:bookmarkEnd w:id="260"/>
      <w:r/>
      <w:bookmarkEnd w:id="2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1.7.1 </w:t>
      </w:r>
      <w:r>
        <w:rPr>
          <w:rFonts w:hint="eastAsia" w:ascii="宋体" w:hAnsi="宋体" w:eastAsia="宋体" w:cs="宋体"/>
          <w:color w:val="000000"/>
          <w:sz w:val="24"/>
          <w:szCs w:val="24"/>
          <w:highlight w:val="none"/>
        </w:rPr>
        <w:t xml:space="preserve">种方式解决：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szCs w:val="24"/>
          <w:highlight w:val="none"/>
        </w:rPr>
        <w:t xml:space="preserve">仲裁委员会依申请仲裁时其现行有效的仲裁规则裁决；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向</w:t>
      </w:r>
      <w:r>
        <w:rPr>
          <w:rFonts w:hint="eastAsia" w:ascii="宋体" w:hAnsi="宋体" w:eastAsia="宋体" w:cs="宋体"/>
          <w:color w:val="000000"/>
          <w:sz w:val="24"/>
          <w:szCs w:val="24"/>
          <w:highlight w:val="none"/>
          <w:u w:val="single"/>
        </w:rPr>
        <w:t xml:space="preserve">甲方所在地</w:t>
      </w:r>
      <w:r>
        <w:rPr>
          <w:rFonts w:hint="eastAsia" w:ascii="宋体" w:hAnsi="宋体" w:eastAsia="宋体" w:cs="宋体"/>
          <w:color w:val="000000"/>
          <w:sz w:val="24"/>
          <w:szCs w:val="24"/>
          <w:highlight w:val="none"/>
        </w:rPr>
        <w:t xml:space="preserve">人民法院起诉。</w:t>
      </w:r>
      <w:r/>
    </w:p>
    <w:p>
      <w:pPr>
        <w:ind w:firstLine="482"/>
        <w:spacing w:line="400" w:lineRule="exact"/>
        <w:rPr>
          <w:rFonts w:hint="eastAsia" w:ascii="宋体" w:hAnsi="宋体" w:eastAsia="宋体" w:cs="宋体"/>
          <w:b/>
          <w:color w:val="000000"/>
          <w:sz w:val="24"/>
          <w:szCs w:val="24"/>
          <w:highlight w:val="none"/>
        </w:rPr>
      </w:pPr>
      <w:r/>
      <w:bookmarkStart w:id="262" w:name="_Toc15322"/>
      <w:r/>
      <w:bookmarkStart w:id="263" w:name="_Toc7245"/>
      <w:r/>
      <w:bookmarkStart w:id="264" w:name="_Toc11173"/>
      <w:r>
        <w:rPr>
          <w:rFonts w:hint="eastAsia" w:ascii="宋体" w:hAnsi="宋体" w:eastAsia="宋体" w:cs="宋体"/>
          <w:b/>
          <w:color w:val="000000"/>
          <w:sz w:val="24"/>
          <w:szCs w:val="24"/>
          <w:highlight w:val="none"/>
        </w:rPr>
        <w:t xml:space="preserve">1.8 合同生效</w:t>
      </w:r>
      <w:bookmarkEnd w:id="262"/>
      <w:r/>
      <w:bookmarkEnd w:id="263"/>
      <w:r/>
      <w:bookmarkEnd w:id="264"/>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本合同自双方当事人盖章或者签字时生效。</w:t>
      </w:r>
      <w:r/>
    </w:p>
    <w:p>
      <w:pPr>
        <w:spacing w:line="40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b/>
          <w:color w:val="000000"/>
          <w:sz w:val="24"/>
          <w:highlight w:val="none"/>
          <w:lang w:val="zh-CN"/>
        </w:rPr>
        <w:t xml:space="preserve">甲方</w:t>
      </w:r>
      <w:r>
        <w:rPr>
          <w:rFonts w:hint="eastAsia" w:ascii="宋体" w:hAnsi="宋体" w:eastAsia="宋体" w:cs="宋体"/>
          <w:color w:val="000000"/>
          <w:sz w:val="24"/>
          <w:highlight w:val="none"/>
          <w:lang w:val="zh-CN"/>
        </w:rPr>
        <w:t xml:space="preserve">：                             </w:t>
      </w:r>
      <w:r>
        <w:rPr>
          <w:rFonts w:hint="eastAsia" w:ascii="宋体" w:hAnsi="宋体" w:eastAsia="宋体" w:cs="宋体"/>
          <w:b/>
          <w:color w:val="000000"/>
          <w:sz w:val="24"/>
          <w:highlight w:val="none"/>
          <w:lang w:val="zh-CN"/>
        </w:rPr>
        <w:t xml:space="preserve">      乙方</w:t>
      </w:r>
      <w:r>
        <w:rPr>
          <w:rFonts w:hint="eastAsia" w:ascii="宋体" w:hAnsi="宋体" w:eastAsia="宋体" w:cs="宋体"/>
          <w:color w:val="000000"/>
          <w:sz w:val="24"/>
          <w:highlight w:val="none"/>
          <w:lang w:val="zh-CN"/>
        </w:rPr>
        <w:t xml:space="preserve">：</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法定代表人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法定代表人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或授权代表（签字）：                     或授权代表（签字）: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联系人：                                 联系人：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地址：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地址：</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邮政编码：                               邮政编码：</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电话:                                    电话: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传真:                                    传真: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电子邮箱：                               电子邮箱：</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                               开户名称：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开户账号：</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t xml:space="preserve">开户账号：</w:t>
      </w:r>
      <w:r/>
    </w:p>
    <w:p>
      <w:pPr>
        <w:pStyle w:val="1005"/>
        <w:ind w:left="0"/>
        <w:spacing w:after="0" w:line="4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zh-CN"/>
        </w:rPr>
        <w:t xml:space="preserve"> </w:t>
      </w:r>
      <w:r/>
    </w:p>
    <w:p>
      <w:pPr>
        <w:ind w:firstLine="480"/>
        <w:jc w:val="center"/>
        <w:keepLines w:val="0"/>
        <w:keepNext w:val="0"/>
        <w:pageBreakBefore w:val="0"/>
        <w:spacing w:line="360" w:lineRule="auto"/>
        <w:widowControl w:val="off"/>
        <w:rPr>
          <w:rFonts w:hint="eastAsia" w:ascii="宋体" w:hAnsi="宋体" w:eastAsia="宋体" w:cs="宋体"/>
          <w:b/>
          <w:color w:val="00000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highlight w:val="none"/>
        </w:rPr>
      </w:r>
      <w:r/>
    </w:p>
    <w:p>
      <w:pPr>
        <w:pStyle w:val="1235"/>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第二部分  合同一般条款</w:t>
      </w:r>
      <w:r/>
    </w:p>
    <w:p>
      <w:pPr>
        <w:ind w:firstLine="482"/>
        <w:spacing w:line="400" w:lineRule="exact"/>
        <w:rPr>
          <w:rFonts w:hint="eastAsia" w:ascii="宋体" w:hAnsi="宋体" w:eastAsia="宋体" w:cs="宋体"/>
          <w:b/>
          <w:color w:val="000000"/>
          <w:sz w:val="24"/>
          <w:szCs w:val="24"/>
          <w:highlight w:val="none"/>
        </w:rPr>
      </w:pPr>
      <w:r/>
      <w:bookmarkStart w:id="265" w:name="_Ref467379195"/>
      <w:r/>
      <w:bookmarkStart w:id="266" w:name="_Ref467379109"/>
      <w:r/>
      <w:bookmarkStart w:id="267" w:name="_Ref467379214"/>
      <w:r/>
      <w:bookmarkStart w:id="268" w:name="_Toc259093669"/>
      <w:r/>
      <w:bookmarkStart w:id="269" w:name="_Ref467378404"/>
      <w:r/>
      <w:bookmarkStart w:id="270" w:name="_Toc487900349"/>
      <w:r/>
      <w:bookmarkStart w:id="271" w:name="_Ref467378463"/>
      <w:r/>
      <w:bookmarkStart w:id="272" w:name="_Toc19614"/>
      <w:r/>
      <w:bookmarkStart w:id="273" w:name="_Toc28763"/>
      <w:r/>
      <w:bookmarkStart w:id="274" w:name="_Ref467379094"/>
      <w:r/>
      <w:bookmarkStart w:id="275" w:name="_Ref467379101"/>
      <w:r/>
      <w:bookmarkStart w:id="276" w:name="_Toc16917"/>
      <w:r/>
      <w:bookmarkStart w:id="277" w:name="_Ref467379205"/>
      <w:r/>
      <w:bookmarkStart w:id="278" w:name="_Ref467379225"/>
      <w:r/>
      <w:bookmarkStart w:id="279" w:name="_Toc279701240"/>
      <w:r/>
      <w:bookmarkStart w:id="280" w:name="_Ref467378499"/>
      <w:r>
        <w:rPr>
          <w:rFonts w:hint="eastAsia" w:ascii="宋体" w:hAnsi="宋体" w:eastAsia="宋体" w:cs="宋体"/>
          <w:b/>
          <w:color w:val="000000"/>
          <w:sz w:val="24"/>
          <w:szCs w:val="24"/>
          <w:highlight w:val="none"/>
        </w:rPr>
        <w:t xml:space="preserve">2.1 定义</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“合同”系指采购人和中标人签订的载明双方当事人所达成的协议，并包括所有的附件、附录和构成合同的其他文件。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“合同价”系指根据合同约定，中标人在完全履行合同义务后，采购人应支付给中标人的价格。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“货物”系指中标人根据合同约定应向采购人交付的一切各种形态和种类的物品，包括原材料、燃料、设备、机械、仪表、备件、计算机软件、产品等，并包括工具、手册等其他相关资料。</w:t>
      </w:r>
      <w:r/>
    </w:p>
    <w:p>
      <w:pPr>
        <w:ind w:firstLine="480"/>
        <w:spacing w:line="400" w:lineRule="exact"/>
        <w:rPr>
          <w:rFonts w:hint="eastAsia" w:ascii="宋体" w:hAnsi="宋体" w:eastAsia="宋体" w:cs="宋体"/>
          <w:color w:val="000000"/>
          <w:sz w:val="24"/>
          <w:szCs w:val="24"/>
          <w:highlight w:val="none"/>
        </w:rPr>
      </w:pPr>
      <w:r/>
      <w:bookmarkStart w:id="281" w:name="_Ref467378840"/>
      <w:r>
        <w:rPr>
          <w:rFonts w:hint="eastAsia" w:ascii="宋体" w:hAnsi="宋体" w:eastAsia="宋体" w:cs="宋体"/>
          <w:color w:val="000000"/>
          <w:sz w:val="24"/>
          <w:szCs w:val="24"/>
          <w:highlight w:val="none"/>
        </w:rPr>
        <w:t xml:space="preserve">2.1.4 “甲方”系指与中标人签署合同的</w:t>
      </w:r>
      <w:bookmarkEnd w:id="281"/>
      <w:r>
        <w:rPr>
          <w:rFonts w:hint="eastAsia" w:ascii="宋体" w:hAnsi="宋体" w:eastAsia="宋体" w:cs="宋体"/>
          <w:color w:val="000000"/>
          <w:sz w:val="24"/>
          <w:szCs w:val="24"/>
          <w:highlight w:val="none"/>
        </w:rPr>
        <w:t xml:space="preserve">采购人；采购人委托采购代理机构代表其与乙方签订合同的，采购人的授权委托书作为合同附件。</w:t>
      </w:r>
      <w:r/>
    </w:p>
    <w:p>
      <w:pPr>
        <w:ind w:firstLine="480"/>
        <w:spacing w:line="400" w:lineRule="exact"/>
        <w:rPr>
          <w:rFonts w:hint="eastAsia" w:ascii="宋体" w:hAnsi="宋体" w:eastAsia="宋体" w:cs="宋体"/>
          <w:color w:val="000000"/>
          <w:sz w:val="24"/>
          <w:szCs w:val="24"/>
          <w:highlight w:val="none"/>
        </w:rPr>
      </w:pPr>
      <w:r/>
      <w:bookmarkStart w:id="282" w:name="_Ref467379400"/>
      <w:r>
        <w:rPr>
          <w:rFonts w:hint="eastAsia" w:ascii="宋体" w:hAnsi="宋体" w:eastAsia="宋体" w:cs="宋体"/>
          <w:color w:val="000000"/>
          <w:sz w:val="24"/>
          <w:szCs w:val="24"/>
          <w:highlight w:val="none"/>
        </w:rPr>
        <w:t xml:space="preserve">2.1.5 “乙方”系指根据合同约定交付货物的</w:t>
      </w:r>
      <w:bookmarkEnd w:id="282"/>
      <w:r>
        <w:rPr>
          <w:rFonts w:hint="eastAsia" w:ascii="宋体" w:hAnsi="宋体" w:eastAsia="宋体" w:cs="宋体"/>
          <w:color w:val="000000"/>
          <w:sz w:val="24"/>
          <w:szCs w:val="24"/>
          <w:highlight w:val="none"/>
        </w:rPr>
        <w:t xml:space="preserve">中标人；两个以上的自然人、法人或者其他组织组成一个联合体，以一个投标人的身份共同参加政府采购的，联合体各方均应为乙方或者与乙方相同地位的合同当事人，并就合同约定的事项对甲方承担连带责任。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400" w:lineRule="exact"/>
        <w:rPr>
          <w:rFonts w:hint="eastAsia" w:ascii="宋体" w:hAnsi="宋体" w:eastAsia="宋体" w:cs="宋体"/>
          <w:color w:val="000000"/>
          <w:sz w:val="24"/>
          <w:szCs w:val="24"/>
          <w:highlight w:val="none"/>
        </w:rPr>
      </w:pPr>
      <w:r/>
      <w:bookmarkStart w:id="283" w:name="_Ref467379436"/>
      <w:r>
        <w:rPr>
          <w:rFonts w:hint="eastAsia" w:ascii="宋体" w:hAnsi="宋体" w:eastAsia="宋体" w:cs="宋体"/>
          <w:color w:val="000000"/>
          <w:sz w:val="24"/>
          <w:szCs w:val="24"/>
          <w:highlight w:val="none"/>
        </w:rPr>
        <w:t xml:space="preserve">2.1.6 “现场”系指合同约定货物将要运至或者安装的地点。</w:t>
      </w:r>
      <w:bookmarkEnd w:id="283"/>
      <w:r/>
      <w:r/>
    </w:p>
    <w:p>
      <w:pPr>
        <w:ind w:firstLine="482"/>
        <w:spacing w:line="400" w:lineRule="exact"/>
        <w:rPr>
          <w:rFonts w:hint="eastAsia" w:ascii="宋体" w:hAnsi="宋体" w:eastAsia="宋体" w:cs="宋体"/>
          <w:b/>
          <w:color w:val="000000"/>
          <w:sz w:val="24"/>
          <w:szCs w:val="24"/>
          <w:highlight w:val="none"/>
        </w:rPr>
      </w:pPr>
      <w:r/>
      <w:bookmarkStart w:id="284" w:name="_Toc487900350"/>
      <w:r/>
      <w:bookmarkStart w:id="285" w:name="_Toc259093670"/>
      <w:r/>
      <w:bookmarkStart w:id="286" w:name="_Toc279701241"/>
      <w:r/>
      <w:bookmarkStart w:id="287" w:name="_Toc27635"/>
      <w:r/>
      <w:bookmarkStart w:id="288" w:name="_Toc32504"/>
      <w:r/>
      <w:bookmarkStart w:id="289" w:name="_Toc13336"/>
      <w:r>
        <w:rPr>
          <w:rFonts w:hint="eastAsia" w:ascii="宋体" w:hAnsi="宋体" w:eastAsia="宋体" w:cs="宋体"/>
          <w:b/>
          <w:color w:val="000000"/>
          <w:sz w:val="24"/>
          <w:szCs w:val="24"/>
          <w:highlight w:val="none"/>
        </w:rPr>
        <w:t xml:space="preserve">2.2 技术规范</w:t>
      </w:r>
      <w:bookmarkEnd w:id="284"/>
      <w:r/>
      <w:bookmarkEnd w:id="285"/>
      <w:r/>
      <w:bookmarkEnd w:id="286"/>
      <w:r/>
      <w:bookmarkEnd w:id="287"/>
      <w:r/>
      <w:bookmarkEnd w:id="288"/>
      <w:r/>
      <w:bookmarkEnd w:id="2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ind w:firstLine="482"/>
        <w:spacing w:line="400" w:lineRule="exact"/>
        <w:rPr>
          <w:rFonts w:hint="eastAsia" w:ascii="宋体" w:hAnsi="宋体" w:eastAsia="宋体" w:cs="宋体"/>
          <w:b/>
          <w:color w:val="000000"/>
          <w:sz w:val="24"/>
          <w:szCs w:val="24"/>
          <w:highlight w:val="none"/>
        </w:rPr>
      </w:pPr>
      <w:r/>
      <w:bookmarkStart w:id="290" w:name="_Toc27853"/>
      <w:r/>
      <w:bookmarkStart w:id="291" w:name="_Toc9829"/>
      <w:r/>
      <w:bookmarkStart w:id="292" w:name="_Toc487900351"/>
      <w:r/>
      <w:bookmarkStart w:id="293" w:name="_Toc279701242"/>
      <w:r/>
      <w:bookmarkStart w:id="294" w:name="_Toc31634"/>
      <w:r/>
      <w:bookmarkStart w:id="295" w:name="_Toc259093671"/>
      <w:r>
        <w:rPr>
          <w:rFonts w:hint="eastAsia" w:ascii="宋体" w:hAnsi="宋体" w:eastAsia="宋体" w:cs="宋体"/>
          <w:b/>
          <w:color w:val="000000"/>
          <w:sz w:val="24"/>
          <w:szCs w:val="24"/>
          <w:highlight w:val="none"/>
        </w:rPr>
        <w:t xml:space="preserve">2.3 知识产权</w:t>
      </w:r>
      <w:bookmarkEnd w:id="290"/>
      <w:r/>
      <w:bookmarkEnd w:id="291"/>
      <w:r/>
      <w:bookmarkEnd w:id="292"/>
      <w:r/>
      <w:bookmarkEnd w:id="293"/>
      <w:r/>
      <w:bookmarkEnd w:id="294"/>
      <w:r/>
      <w:bookmarkEnd w:id="29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2.3.2具有知识产权的计算机软件等货物的知识产权归属，详见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6" w:name="_Toc4194"/>
      <w:r/>
      <w:bookmarkStart w:id="297" w:name="_Toc11932"/>
      <w:r/>
      <w:bookmarkStart w:id="298" w:name="_Toc29149"/>
      <w:r>
        <w:rPr>
          <w:rFonts w:hint="eastAsia" w:ascii="宋体" w:hAnsi="宋体" w:eastAsia="宋体" w:cs="宋体"/>
          <w:b/>
          <w:color w:val="000000"/>
          <w:sz w:val="24"/>
          <w:szCs w:val="24"/>
          <w:highlight w:val="none"/>
        </w:rPr>
        <w:t xml:space="preserve">2.4 包装和装运</w:t>
      </w:r>
      <w:bookmarkEnd w:id="296"/>
      <w:r/>
      <w:bookmarkEnd w:id="297"/>
      <w:r/>
      <w:bookmarkEnd w:id="2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2.4.1除</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装运货物的要求和通知，详见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9" w:name="_Ref467378591"/>
      <w:r/>
      <w:bookmarkStart w:id="300" w:name="_Toc259093674"/>
      <w:r/>
      <w:bookmarkStart w:id="301" w:name="_Ref467379536"/>
      <w:r/>
      <w:bookmarkStart w:id="302" w:name="_Toc279701245"/>
      <w:r/>
      <w:bookmarkStart w:id="303" w:name="_Ref467379542"/>
      <w:r/>
      <w:bookmarkStart w:id="304" w:name="_Ref467379527"/>
      <w:r/>
      <w:bookmarkStart w:id="305" w:name="_Ref467378541"/>
      <w:r/>
      <w:bookmarkStart w:id="306" w:name="_Toc487900354"/>
      <w:r/>
      <w:bookmarkStart w:id="307" w:name="_Toc26182"/>
      <w:r/>
      <w:bookmarkStart w:id="308" w:name="_Toc19074"/>
      <w:r/>
      <w:bookmarkStart w:id="309" w:name="_Toc30272"/>
      <w:r>
        <w:rPr>
          <w:rFonts w:hint="eastAsia" w:ascii="宋体" w:hAnsi="宋体" w:eastAsia="宋体" w:cs="宋体"/>
          <w:b/>
          <w:color w:val="000000"/>
          <w:sz w:val="24"/>
          <w:szCs w:val="24"/>
          <w:highlight w:val="none"/>
        </w:rPr>
        <w:t xml:space="preserve">2.</w:t>
      </w:r>
      <w:bookmarkEnd w:id="299"/>
      <w:r/>
      <w:bookmarkEnd w:id="300"/>
      <w:r/>
      <w:bookmarkEnd w:id="301"/>
      <w:r/>
      <w:bookmarkEnd w:id="302"/>
      <w:r/>
      <w:bookmarkEnd w:id="303"/>
      <w:r/>
      <w:bookmarkEnd w:id="304"/>
      <w:r/>
      <w:bookmarkEnd w:id="305"/>
      <w:r/>
      <w:bookmarkEnd w:id="306"/>
      <w:r>
        <w:rPr>
          <w:rFonts w:hint="eastAsia" w:ascii="宋体" w:hAnsi="宋体" w:eastAsia="宋体" w:cs="宋体"/>
          <w:b/>
          <w:color w:val="000000"/>
          <w:sz w:val="24"/>
          <w:szCs w:val="24"/>
          <w:highlight w:val="none"/>
        </w:rPr>
        <w:t xml:space="preserve">5 履约检查和问题反馈</w:t>
      </w:r>
      <w:bookmarkEnd w:id="307"/>
      <w:r/>
      <w:bookmarkEnd w:id="308"/>
      <w:r/>
      <w:bookmarkEnd w:id="309"/>
      <w:r/>
      <w:r/>
    </w:p>
    <w:p>
      <w:pPr>
        <w:ind w:firstLine="480"/>
        <w:spacing w:line="400" w:lineRule="exact"/>
        <w:rPr>
          <w:rFonts w:hint="eastAsia" w:ascii="宋体" w:hAnsi="宋体" w:eastAsia="宋体" w:cs="宋体"/>
          <w:color w:val="000000"/>
          <w:sz w:val="24"/>
          <w:szCs w:val="24"/>
          <w:highlight w:val="none"/>
        </w:rPr>
      </w:pPr>
      <w:r/>
      <w:bookmarkStart w:id="310" w:name="_Ref467379657"/>
      <w:r>
        <w:rPr>
          <w:rFonts w:hint="eastAsia" w:ascii="宋体" w:hAnsi="宋体" w:eastAsia="宋体" w:cs="宋体"/>
          <w:color w:val="000000"/>
          <w:sz w:val="24"/>
          <w:szCs w:val="24"/>
          <w:highlight w:val="none"/>
        </w:rPr>
        <w:t xml:space="preserve">2.5.1</w:t>
      </w:r>
      <w:bookmarkEnd w:id="310"/>
      <w:r/>
      <w:bookmarkStart w:id="311" w:name="_Toc186431854"/>
      <w:r/>
      <w:bookmarkStart w:id="312" w:name="_Ref467379793"/>
      <w:r/>
      <w:bookmarkStart w:id="313" w:name="_Ref467379807"/>
      <w:r/>
      <w:bookmarkStart w:id="314" w:name="_Toc259093676"/>
      <w:r/>
      <w:bookmarkStart w:id="315" w:name="_Toc279701247"/>
      <w:r/>
      <w:bookmarkStart w:id="316" w:name="_Toc487900357"/>
      <w:r>
        <w:rPr>
          <w:rFonts w:hint="eastAsia" w:ascii="宋体" w:hAnsi="宋体" w:eastAsia="宋体" w:cs="宋体"/>
          <w:color w:val="000000"/>
          <w:sz w:val="24"/>
          <w:szCs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合同履行期间，甲方有权将履行过程中出现的问题反馈给乙方，双方当事人应以书面形式约定需要完善和改进的内容</w:t>
      </w:r>
      <w:bookmarkEnd w:id="311"/>
      <w:r/>
      <w:bookmarkStart w:id="317" w:name="_Toc186431855"/>
      <w:r>
        <w:rPr>
          <w:rFonts w:hint="eastAsia" w:ascii="宋体" w:hAnsi="宋体" w:eastAsia="宋体" w:cs="宋体"/>
          <w:color w:val="000000"/>
          <w:sz w:val="24"/>
          <w:szCs w:val="24"/>
          <w:highlight w:val="none"/>
        </w:rPr>
        <w:t xml:space="preserve">。</w:t>
      </w:r>
      <w:bookmarkEnd w:id="317"/>
      <w:r/>
      <w:r/>
    </w:p>
    <w:p>
      <w:pPr>
        <w:ind w:firstLine="482"/>
        <w:spacing w:line="400" w:lineRule="exact"/>
        <w:rPr>
          <w:rFonts w:hint="eastAsia" w:ascii="宋体" w:hAnsi="宋体" w:eastAsia="宋体" w:cs="宋体"/>
          <w:b/>
          <w:color w:val="000000"/>
          <w:sz w:val="24"/>
          <w:szCs w:val="24"/>
          <w:highlight w:val="none"/>
        </w:rPr>
      </w:pPr>
      <w:r/>
      <w:bookmarkStart w:id="318" w:name="_Toc28451"/>
      <w:r/>
      <w:bookmarkStart w:id="319" w:name="_Toc19219"/>
      <w:r/>
      <w:bookmarkStart w:id="320" w:name="_Toc7836"/>
      <w:r>
        <w:rPr>
          <w:rFonts w:hint="eastAsia" w:ascii="宋体" w:hAnsi="宋体" w:eastAsia="宋体" w:cs="宋体"/>
          <w:b/>
          <w:color w:val="000000"/>
          <w:sz w:val="24"/>
          <w:szCs w:val="24"/>
          <w:highlight w:val="none"/>
        </w:rPr>
        <w:t xml:space="preserve">2.6 结算方式和付款条件</w:t>
      </w:r>
      <w:bookmarkEnd w:id="312"/>
      <w:r/>
      <w:bookmarkEnd w:id="313"/>
      <w:r/>
      <w:bookmarkEnd w:id="314"/>
      <w:r/>
      <w:bookmarkEnd w:id="315"/>
      <w:r/>
      <w:bookmarkEnd w:id="316"/>
      <w:r/>
      <w:bookmarkEnd w:id="318"/>
      <w:r/>
      <w:bookmarkEnd w:id="319"/>
      <w:r/>
      <w:bookmarkEnd w:id="32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
          <w:color w:val="000000"/>
          <w:sz w:val="24"/>
          <w:szCs w:val="24"/>
          <w:highlight w:val="none"/>
          <w:u w:val="single"/>
        </w:rPr>
        <w:t xml:space="preserve">第一部分合同书</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21" w:name="_Ref467379923"/>
      <w:r/>
      <w:bookmarkStart w:id="322" w:name="_Toc259093677"/>
      <w:r/>
      <w:bookmarkStart w:id="323" w:name="_Ref467379852"/>
      <w:r/>
      <w:bookmarkStart w:id="324" w:name="_Ref467379863"/>
      <w:r/>
      <w:bookmarkStart w:id="325" w:name="_Toc487900358"/>
      <w:r/>
      <w:bookmarkStart w:id="326" w:name="_Toc279701248"/>
      <w:r/>
      <w:bookmarkStart w:id="327" w:name="_Toc3225"/>
      <w:r/>
      <w:bookmarkStart w:id="328" w:name="_Toc774"/>
      <w:r/>
      <w:bookmarkStart w:id="329" w:name="_Toc16110"/>
      <w:r>
        <w:rPr>
          <w:rFonts w:hint="eastAsia" w:ascii="宋体" w:hAnsi="宋体" w:eastAsia="宋体" w:cs="宋体"/>
          <w:b/>
          <w:color w:val="000000"/>
          <w:sz w:val="24"/>
          <w:szCs w:val="24"/>
          <w:highlight w:val="none"/>
        </w:rPr>
        <w:t xml:space="preserve">2.7 技术资料</w:t>
      </w:r>
      <w:bookmarkEnd w:id="321"/>
      <w:r/>
      <w:bookmarkEnd w:id="322"/>
      <w:r/>
      <w:bookmarkEnd w:id="323"/>
      <w:r/>
      <w:bookmarkEnd w:id="324"/>
      <w:r/>
      <w:bookmarkEnd w:id="325"/>
      <w:r/>
      <w:bookmarkEnd w:id="326"/>
      <w:r>
        <w:rPr>
          <w:rFonts w:hint="eastAsia" w:ascii="宋体" w:hAnsi="宋体" w:eastAsia="宋体" w:cs="宋体"/>
          <w:b/>
          <w:color w:val="000000"/>
          <w:sz w:val="24"/>
          <w:szCs w:val="24"/>
          <w:highlight w:val="none"/>
        </w:rPr>
        <w:t xml:space="preserve">和保密义务</w:t>
      </w:r>
      <w:bookmarkEnd w:id="327"/>
      <w:r/>
      <w:bookmarkEnd w:id="328"/>
      <w:r/>
      <w:bookmarkEnd w:id="32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乙方有权依据合同约定和项目需要，向甲方了解有关情况，调阅有关资料等，甲方应予积极配合；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乙方有义务妥善保管和保护由甲方提供的前款信息和资料等；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00" w:lineRule="exact"/>
        <w:rPr>
          <w:rFonts w:hint="eastAsia" w:ascii="宋体" w:hAnsi="宋体" w:eastAsia="宋体" w:cs="宋体"/>
          <w:b/>
          <w:color w:val="000000"/>
          <w:sz w:val="24"/>
          <w:szCs w:val="24"/>
          <w:highlight w:val="none"/>
        </w:rPr>
      </w:pPr>
      <w:r/>
      <w:bookmarkStart w:id="330" w:name="_Toc7860"/>
      <w:r>
        <w:rPr>
          <w:rFonts w:hint="eastAsia" w:ascii="宋体" w:hAnsi="宋体" w:eastAsia="宋体" w:cs="宋体"/>
          <w:b/>
          <w:color w:val="000000"/>
          <w:sz w:val="24"/>
          <w:szCs w:val="24"/>
          <w:highlight w:val="none"/>
        </w:rPr>
        <w:t xml:space="preserve">2.8 质量保证</w:t>
      </w:r>
      <w:bookmarkEnd w:id="33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乙方应建立和完善履行合同的内部质量保证体系，并提供相关内部规章制度给甲方，以便甲方进行监督检查；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乙方应保证履行合同的人员数量和素质、软件和硬件设备的配置、场地、环境和设施等满足全面履行合同的要求，并应接受甲方的监督检查。</w:t>
      </w:r>
      <w:r/>
    </w:p>
    <w:p>
      <w:pPr>
        <w:ind w:firstLine="482"/>
        <w:spacing w:line="400" w:lineRule="exact"/>
        <w:rPr>
          <w:rFonts w:hint="eastAsia" w:ascii="宋体" w:hAnsi="宋体" w:eastAsia="宋体" w:cs="宋体"/>
          <w:b/>
          <w:color w:val="000000"/>
          <w:sz w:val="24"/>
          <w:szCs w:val="24"/>
          <w:highlight w:val="none"/>
        </w:rPr>
      </w:pPr>
      <w:r/>
      <w:bookmarkStart w:id="331" w:name="_Toc17244"/>
      <w:r/>
      <w:bookmarkStart w:id="332" w:name="_Toc259093681"/>
      <w:r/>
      <w:bookmarkStart w:id="333" w:name="_Toc279701252"/>
      <w:r/>
      <w:bookmarkStart w:id="334" w:name="_Toc487900362"/>
      <w:r>
        <w:rPr>
          <w:rFonts w:hint="eastAsia" w:ascii="宋体" w:hAnsi="宋体" w:eastAsia="宋体" w:cs="宋体"/>
          <w:b/>
          <w:color w:val="000000"/>
          <w:sz w:val="24"/>
          <w:szCs w:val="24"/>
          <w:highlight w:val="none"/>
        </w:rPr>
        <w:t xml:space="preserve">2.9 货物的风险负担</w:t>
      </w:r>
      <w:bookmarkEnd w:id="331"/>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货物或者在途货物或者交付给第一承运人后的货物毁损、灭失的风险负担详见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35" w:name="_Toc14055"/>
      <w:r>
        <w:rPr>
          <w:rFonts w:hint="eastAsia" w:ascii="宋体" w:hAnsi="宋体" w:eastAsia="宋体" w:cs="宋体"/>
          <w:b/>
          <w:color w:val="000000"/>
          <w:sz w:val="24"/>
          <w:szCs w:val="24"/>
          <w:highlight w:val="none"/>
        </w:rPr>
        <w:t xml:space="preserve">2.10 延迟交货</w:t>
      </w:r>
      <w:bookmarkEnd w:id="332"/>
      <w:r/>
      <w:bookmarkEnd w:id="333"/>
      <w:r/>
      <w:bookmarkEnd w:id="334"/>
      <w:r/>
      <w:bookmarkEnd w:id="33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400" w:lineRule="exact"/>
        <w:rPr>
          <w:rFonts w:hint="eastAsia" w:ascii="宋体" w:hAnsi="宋体" w:eastAsia="宋体" w:cs="宋体"/>
          <w:b/>
          <w:color w:val="000000"/>
          <w:sz w:val="24"/>
          <w:szCs w:val="24"/>
          <w:highlight w:val="none"/>
        </w:rPr>
      </w:pPr>
      <w:r/>
      <w:bookmarkStart w:id="336" w:name="_Toc7502"/>
      <w:r/>
      <w:bookmarkStart w:id="337" w:name="_Toc487900364"/>
      <w:r/>
      <w:bookmarkStart w:id="338" w:name="_Toc279701254"/>
      <w:r/>
      <w:bookmarkStart w:id="339" w:name="_Ref467378121"/>
      <w:r/>
      <w:bookmarkStart w:id="340" w:name="_Toc259093683"/>
      <w:r>
        <w:rPr>
          <w:rFonts w:hint="eastAsia" w:ascii="宋体" w:hAnsi="宋体" w:eastAsia="宋体" w:cs="宋体"/>
          <w:b/>
          <w:color w:val="000000"/>
          <w:sz w:val="24"/>
          <w:szCs w:val="24"/>
          <w:highlight w:val="none"/>
        </w:rPr>
        <w:t xml:space="preserve">2.11 合同变更</w:t>
      </w:r>
      <w:bookmarkEnd w:id="33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2.11.1双方当事人协商一致，可以签订书面补充合同的形式变更合同，但不得违背招标文件确定的事项，且如果系追加与合同标的相同的货物的，那么所有补充合同的采购金额不得超过原合同价的10%；</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341" w:name="_Toc487900369"/>
      <w:r/>
      <w:bookmarkStart w:id="342" w:name="_Toc279701259"/>
      <w:r/>
      <w:bookmarkStart w:id="343" w:name="_Toc259093688"/>
      <w:r/>
      <w:r/>
    </w:p>
    <w:p>
      <w:pPr>
        <w:ind w:firstLine="482"/>
        <w:spacing w:line="400" w:lineRule="exact"/>
        <w:rPr>
          <w:rFonts w:hint="eastAsia" w:ascii="宋体" w:hAnsi="宋体" w:eastAsia="宋体" w:cs="宋体"/>
          <w:b/>
          <w:color w:val="000000"/>
          <w:sz w:val="24"/>
          <w:szCs w:val="24"/>
          <w:highlight w:val="none"/>
        </w:rPr>
      </w:pPr>
      <w:r/>
      <w:bookmarkStart w:id="344" w:name="_Toc15237"/>
      <w:r/>
      <w:bookmarkStart w:id="345" w:name="_Toc22955"/>
      <w:r/>
      <w:bookmarkStart w:id="346" w:name="_Toc10366"/>
      <w:r>
        <w:rPr>
          <w:rFonts w:hint="eastAsia" w:ascii="宋体" w:hAnsi="宋体" w:eastAsia="宋体" w:cs="宋体"/>
          <w:b/>
          <w:color w:val="000000"/>
          <w:sz w:val="24"/>
          <w:szCs w:val="24"/>
          <w:highlight w:val="none"/>
        </w:rPr>
        <w:t xml:space="preserve">2.12 合同转让</w:t>
      </w:r>
      <w:bookmarkEnd w:id="341"/>
      <w:r/>
      <w:bookmarkEnd w:id="342"/>
      <w:r/>
      <w:bookmarkEnd w:id="343"/>
      <w:r>
        <w:rPr>
          <w:rFonts w:hint="eastAsia" w:ascii="宋体" w:hAnsi="宋体" w:eastAsia="宋体" w:cs="宋体"/>
          <w:b/>
          <w:color w:val="000000"/>
          <w:sz w:val="24"/>
          <w:szCs w:val="24"/>
          <w:highlight w:val="none"/>
        </w:rPr>
        <w:t xml:space="preserve">和分包</w:t>
      </w:r>
      <w:bookmarkEnd w:id="344"/>
      <w:r/>
      <w:bookmarkEnd w:id="345"/>
      <w:r/>
      <w:bookmarkEnd w:id="34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400" w:lineRule="exact"/>
        <w:rPr>
          <w:rFonts w:hint="eastAsia" w:ascii="宋体" w:hAnsi="宋体" w:eastAsia="宋体" w:cs="宋体"/>
          <w:b/>
          <w:color w:val="000000"/>
          <w:sz w:val="24"/>
          <w:szCs w:val="24"/>
          <w:highlight w:val="none"/>
        </w:rPr>
      </w:pPr>
      <w:r/>
      <w:bookmarkStart w:id="347" w:name="_Toc16508"/>
      <w:r/>
      <w:bookmarkStart w:id="348" w:name="_Toc14066"/>
      <w:r/>
      <w:bookmarkStart w:id="349" w:name="_Toc13566"/>
      <w:r>
        <w:rPr>
          <w:rFonts w:hint="eastAsia" w:ascii="宋体" w:hAnsi="宋体" w:eastAsia="宋体" w:cs="宋体"/>
          <w:b/>
          <w:color w:val="000000"/>
          <w:sz w:val="24"/>
          <w:szCs w:val="24"/>
          <w:highlight w:val="none"/>
        </w:rPr>
        <w:t xml:space="preserve">2.13 不可抗力</w:t>
      </w:r>
      <w:bookmarkEnd w:id="347"/>
      <w:r/>
      <w:bookmarkEnd w:id="348"/>
      <w:r/>
      <w:bookmarkEnd w:id="34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2.13.1如果任何一方遭遇法律规定的不可抗力，致使合同履行受阻时，履行合同的期限应予延长，延长的期限应相当于不可抗力所影响的时间；</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 因不可抗力致使不能实现合同目的的，当事人可以解除合同；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2.13.3 因不可抗力致使合同有变更必要的，双方当事人应在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内以书面形式变更合同；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2.13.4受不可抗力影响的一方在不可抗力发生后，应在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内以书面形式通知对方当事人，并在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内，将有关部门出具的证明文件送达对方当事人。</w:t>
      </w:r>
      <w:r/>
    </w:p>
    <w:p>
      <w:pPr>
        <w:ind w:firstLine="482"/>
        <w:spacing w:line="400" w:lineRule="exact"/>
        <w:rPr>
          <w:rFonts w:hint="eastAsia" w:ascii="宋体" w:hAnsi="宋体" w:eastAsia="宋体" w:cs="宋体"/>
          <w:b/>
          <w:color w:val="000000"/>
          <w:sz w:val="24"/>
          <w:szCs w:val="24"/>
          <w:highlight w:val="none"/>
        </w:rPr>
      </w:pPr>
      <w:r/>
      <w:bookmarkStart w:id="350" w:name="_Toc279701255"/>
      <w:r/>
      <w:bookmarkStart w:id="351" w:name="_Toc259093684"/>
      <w:r/>
      <w:bookmarkStart w:id="352" w:name="_Toc6969"/>
      <w:r/>
      <w:bookmarkStart w:id="353" w:name="_Toc487900365"/>
      <w:r/>
      <w:bookmarkStart w:id="354" w:name="_Toc689"/>
      <w:r/>
      <w:bookmarkStart w:id="355" w:name="_Toc30676"/>
      <w:r>
        <w:rPr>
          <w:rFonts w:hint="eastAsia" w:ascii="宋体" w:hAnsi="宋体" w:eastAsia="宋体" w:cs="宋体"/>
          <w:b/>
          <w:color w:val="000000"/>
          <w:sz w:val="24"/>
          <w:szCs w:val="24"/>
          <w:highlight w:val="none"/>
        </w:rPr>
        <w:t xml:space="preserve">2.14 税费</w:t>
      </w:r>
      <w:bookmarkEnd w:id="350"/>
      <w:r/>
      <w:bookmarkEnd w:id="351"/>
      <w:r/>
      <w:bookmarkEnd w:id="352"/>
      <w:r/>
      <w:bookmarkEnd w:id="353"/>
      <w:r/>
      <w:bookmarkEnd w:id="354"/>
      <w:r/>
      <w:bookmarkEnd w:id="35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w:t>
      </w:r>
      <w:r/>
    </w:p>
    <w:p>
      <w:pPr>
        <w:ind w:firstLine="482"/>
        <w:spacing w:line="400" w:lineRule="exact"/>
        <w:rPr>
          <w:rFonts w:hint="eastAsia" w:ascii="宋体" w:hAnsi="宋体" w:eastAsia="宋体" w:cs="宋体"/>
          <w:b/>
          <w:color w:val="000000"/>
          <w:sz w:val="24"/>
          <w:szCs w:val="24"/>
          <w:highlight w:val="none"/>
        </w:rPr>
      </w:pPr>
      <w:r/>
      <w:bookmarkStart w:id="356" w:name="_Toc16959"/>
      <w:r/>
      <w:bookmarkStart w:id="357" w:name="_Toc487900368"/>
      <w:r/>
      <w:bookmarkStart w:id="358" w:name="_Toc279701258"/>
      <w:r/>
      <w:bookmarkStart w:id="359" w:name="_Toc259093687"/>
      <w:r/>
      <w:bookmarkStart w:id="360" w:name="_Toc8298"/>
      <w:r/>
      <w:bookmarkStart w:id="361" w:name="_Toc7102"/>
      <w:r>
        <w:rPr>
          <w:rFonts w:hint="eastAsia" w:ascii="宋体" w:hAnsi="宋体" w:eastAsia="宋体" w:cs="宋体"/>
          <w:b/>
          <w:color w:val="000000"/>
          <w:sz w:val="24"/>
          <w:szCs w:val="24"/>
          <w:highlight w:val="none"/>
        </w:rPr>
        <w:t xml:space="preserve">2.15 乙方破产</w:t>
      </w:r>
      <w:bookmarkEnd w:id="356"/>
      <w:r/>
      <w:bookmarkEnd w:id="357"/>
      <w:r/>
      <w:bookmarkEnd w:id="358"/>
      <w:r/>
      <w:bookmarkEnd w:id="359"/>
      <w:r/>
      <w:bookmarkEnd w:id="360"/>
      <w:r/>
      <w:bookmarkEnd w:id="3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00" w:lineRule="exact"/>
        <w:rPr>
          <w:rFonts w:hint="eastAsia" w:ascii="宋体" w:hAnsi="宋体" w:eastAsia="宋体" w:cs="宋体"/>
          <w:b/>
          <w:color w:val="000000"/>
          <w:sz w:val="24"/>
          <w:szCs w:val="24"/>
          <w:highlight w:val="none"/>
        </w:rPr>
      </w:pPr>
      <w:r/>
      <w:bookmarkStart w:id="362" w:name="_Toc29333"/>
      <w:r/>
      <w:bookmarkStart w:id="363" w:name="_Toc6134"/>
      <w:r/>
      <w:bookmarkStart w:id="364" w:name="_Toc15387"/>
      <w:r>
        <w:rPr>
          <w:rFonts w:hint="eastAsia" w:ascii="宋体" w:hAnsi="宋体" w:eastAsia="宋体" w:cs="宋体"/>
          <w:b/>
          <w:color w:val="000000"/>
          <w:sz w:val="24"/>
          <w:szCs w:val="24"/>
          <w:highlight w:val="none"/>
        </w:rPr>
        <w:t xml:space="preserve">2.16 合同中止、终止</w:t>
      </w:r>
      <w:bookmarkEnd w:id="362"/>
      <w:r/>
      <w:bookmarkEnd w:id="363"/>
      <w:r/>
      <w:bookmarkEnd w:id="36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双方当事人不得擅自中止或者终止合同；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400" w:lineRule="exact"/>
        <w:rPr>
          <w:rFonts w:hint="eastAsia" w:ascii="宋体" w:hAnsi="宋体" w:eastAsia="宋体" w:cs="宋体"/>
          <w:b/>
          <w:color w:val="000000"/>
          <w:sz w:val="24"/>
          <w:szCs w:val="24"/>
          <w:highlight w:val="none"/>
        </w:rPr>
      </w:pPr>
      <w:r/>
      <w:bookmarkStart w:id="365" w:name="_Toc6596"/>
      <w:r/>
      <w:bookmarkStart w:id="366" w:name="_Toc14563"/>
      <w:r/>
      <w:bookmarkStart w:id="367" w:name="_Toc1125"/>
      <w:r>
        <w:rPr>
          <w:rFonts w:hint="eastAsia" w:ascii="宋体" w:hAnsi="宋体" w:eastAsia="宋体" w:cs="宋体"/>
          <w:b/>
          <w:color w:val="000000"/>
          <w:sz w:val="24"/>
          <w:szCs w:val="24"/>
          <w:highlight w:val="none"/>
        </w:rPr>
        <w:t xml:space="preserve">2.17 检验和验收</w:t>
      </w:r>
      <w:bookmarkEnd w:id="365"/>
      <w:r/>
      <w:bookmarkEnd w:id="366"/>
      <w:r/>
      <w:bookmarkEnd w:id="367"/>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约定时间内组织验收，并可依法邀请相关方参加，验收应出具验收书。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2.17.3 检验和验收标准、程序等具体内容以及前述验收书的效力详见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bookmarkEnd w:id="337"/>
      <w:r/>
      <w:bookmarkEnd w:id="338"/>
      <w:r/>
      <w:bookmarkEnd w:id="339"/>
      <w:r/>
      <w:bookmarkEnd w:id="340"/>
      <w:r/>
      <w:r/>
    </w:p>
    <w:p>
      <w:pPr>
        <w:ind w:firstLine="482"/>
        <w:spacing w:line="400" w:lineRule="exact"/>
        <w:rPr>
          <w:rFonts w:hint="eastAsia" w:ascii="宋体" w:hAnsi="宋体" w:eastAsia="宋体" w:cs="宋体"/>
          <w:b/>
          <w:color w:val="000000"/>
          <w:sz w:val="24"/>
          <w:szCs w:val="24"/>
          <w:highlight w:val="none"/>
        </w:rPr>
      </w:pPr>
      <w:r/>
      <w:bookmarkStart w:id="368" w:name="_Toc487900371"/>
      <w:r/>
      <w:bookmarkStart w:id="369" w:name="_Toc279701261"/>
      <w:r/>
      <w:bookmarkStart w:id="370" w:name="_Toc259093690"/>
      <w:r/>
      <w:bookmarkStart w:id="371" w:name="_Toc11284"/>
      <w:r/>
      <w:bookmarkStart w:id="372" w:name="_Toc25182"/>
      <w:r/>
      <w:bookmarkStart w:id="373" w:name="_Toc19604"/>
      <w:r>
        <w:rPr>
          <w:rFonts w:hint="eastAsia" w:ascii="宋体" w:hAnsi="宋体" w:eastAsia="宋体" w:cs="宋体"/>
          <w:b/>
          <w:color w:val="000000"/>
          <w:sz w:val="24"/>
          <w:szCs w:val="24"/>
          <w:highlight w:val="none"/>
        </w:rPr>
        <w:t xml:space="preserve">2.18 通知</w:t>
      </w:r>
      <w:bookmarkEnd w:id="368"/>
      <w:r/>
      <w:bookmarkEnd w:id="369"/>
      <w:r/>
      <w:bookmarkEnd w:id="370"/>
      <w:r>
        <w:rPr>
          <w:rFonts w:hint="eastAsia" w:ascii="宋体" w:hAnsi="宋体" w:eastAsia="宋体" w:cs="宋体"/>
          <w:b/>
          <w:color w:val="000000"/>
          <w:sz w:val="24"/>
          <w:szCs w:val="24"/>
          <w:highlight w:val="none"/>
        </w:rPr>
        <w:t xml:space="preserve">和送达</w:t>
      </w:r>
      <w:bookmarkEnd w:id="371"/>
      <w:r/>
      <w:bookmarkEnd w:id="372"/>
      <w:r/>
      <w:bookmarkEnd w:id="373"/>
      <w:r/>
      <w:r/>
    </w:p>
    <w:p>
      <w:pPr>
        <w:ind w:firstLine="480"/>
        <w:spacing w:line="400" w:lineRule="exact"/>
        <w:rPr>
          <w:rFonts w:hint="eastAsia" w:ascii="宋体" w:hAnsi="宋体" w:eastAsia="宋体" w:cs="宋体"/>
          <w:color w:val="000000"/>
          <w:sz w:val="24"/>
          <w:szCs w:val="24"/>
          <w:highlight w:val="none"/>
        </w:rPr>
      </w:pPr>
      <w:r/>
      <w:bookmarkStart w:id="374" w:name="_Toc6698"/>
      <w:r/>
      <w:bookmarkStart w:id="375" w:name="_Toc3135"/>
      <w:r/>
      <w:bookmarkStart w:id="376" w:name="_Toc487900372"/>
      <w:r/>
      <w:bookmarkStart w:id="377" w:name="_Toc279701262"/>
      <w:r/>
      <w:bookmarkStart w:id="378" w:name="_Toc259093691"/>
      <w:r>
        <w:rPr>
          <w:rFonts w:hint="eastAsia" w:ascii="宋体" w:hAnsi="宋体" w:eastAsia="宋体" w:cs="宋体"/>
          <w:color w:val="000000"/>
          <w:sz w:val="24"/>
          <w:szCs w:val="24"/>
          <w:highlight w:val="none"/>
        </w:rPr>
        <w:t xml:space="preserve">2.18.1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74"/>
      <w:r/>
      <w:bookmarkEnd w:id="375"/>
      <w:r/>
      <w:r/>
    </w:p>
    <w:p>
      <w:pPr>
        <w:ind w:firstLine="480"/>
        <w:spacing w:line="400" w:lineRule="exact"/>
        <w:rPr>
          <w:rFonts w:hint="eastAsia" w:ascii="宋体" w:hAnsi="宋体" w:eastAsia="宋体" w:cs="宋体"/>
          <w:color w:val="000000"/>
          <w:sz w:val="24"/>
          <w:szCs w:val="24"/>
          <w:highlight w:val="none"/>
        </w:rPr>
      </w:pPr>
      <w:r/>
      <w:bookmarkStart w:id="379" w:name="_Toc23294"/>
      <w:r/>
      <w:bookmarkStart w:id="380" w:name="_Toc23128"/>
      <w:r>
        <w:rPr>
          <w:rFonts w:hint="eastAsia" w:ascii="宋体" w:hAnsi="宋体" w:eastAsia="宋体" w:cs="宋体"/>
          <w:color w:val="000000"/>
          <w:sz w:val="24"/>
          <w:szCs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r/>
      <w:bookmarkEnd w:id="380"/>
      <w:r/>
      <w:r/>
    </w:p>
    <w:p>
      <w:pPr>
        <w:ind w:firstLine="482"/>
        <w:spacing w:line="400" w:lineRule="exact"/>
        <w:rPr>
          <w:rFonts w:hint="eastAsia" w:ascii="宋体" w:hAnsi="宋体" w:eastAsia="宋体" w:cs="宋体"/>
          <w:b/>
          <w:color w:val="000000"/>
          <w:sz w:val="24"/>
          <w:szCs w:val="24"/>
          <w:highlight w:val="none"/>
        </w:rPr>
      </w:pPr>
      <w:r/>
      <w:bookmarkStart w:id="381" w:name="_Toc4355"/>
      <w:r/>
      <w:bookmarkStart w:id="382" w:name="_Toc30599"/>
      <w:r/>
      <w:bookmarkStart w:id="383" w:name="_Toc18540"/>
      <w:r>
        <w:rPr>
          <w:rFonts w:hint="eastAsia" w:ascii="宋体" w:hAnsi="宋体" w:eastAsia="宋体" w:cs="宋体"/>
          <w:b/>
          <w:color w:val="000000"/>
          <w:sz w:val="24"/>
          <w:szCs w:val="24"/>
          <w:highlight w:val="none"/>
        </w:rPr>
        <w:t xml:space="preserve">2.19 计量单位</w:t>
      </w:r>
      <w:bookmarkEnd w:id="376"/>
      <w:r/>
      <w:bookmarkEnd w:id="377"/>
      <w:r/>
      <w:bookmarkEnd w:id="378"/>
      <w:r/>
      <w:bookmarkEnd w:id="381"/>
      <w:r/>
      <w:bookmarkEnd w:id="382"/>
      <w:r/>
      <w:bookmarkEnd w:id="38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除技术规范中另有规定外,合同的计量单位均使用国家法定计量单位。</w:t>
      </w:r>
      <w:r/>
    </w:p>
    <w:p>
      <w:pPr>
        <w:ind w:firstLine="482"/>
        <w:spacing w:line="400" w:lineRule="exact"/>
        <w:rPr>
          <w:rFonts w:hint="eastAsia" w:ascii="宋体" w:hAnsi="宋体" w:eastAsia="宋体" w:cs="宋体"/>
          <w:b/>
          <w:color w:val="000000"/>
          <w:sz w:val="24"/>
          <w:szCs w:val="24"/>
          <w:highlight w:val="none"/>
        </w:rPr>
      </w:pPr>
      <w:r/>
      <w:bookmarkStart w:id="384" w:name="_Toc18567"/>
      <w:r/>
      <w:bookmarkStart w:id="385" w:name="_Toc279701263"/>
      <w:r/>
      <w:bookmarkStart w:id="386" w:name="_Toc259093692"/>
      <w:r/>
      <w:bookmarkStart w:id="387" w:name="_Toc12773"/>
      <w:r/>
      <w:bookmarkStart w:id="388" w:name="_Toc487900373"/>
      <w:r/>
      <w:bookmarkStart w:id="389" w:name="_Toc10330"/>
      <w:r>
        <w:rPr>
          <w:rFonts w:hint="eastAsia" w:ascii="宋体" w:hAnsi="宋体" w:eastAsia="宋体" w:cs="宋体"/>
          <w:b/>
          <w:color w:val="000000"/>
          <w:sz w:val="24"/>
          <w:szCs w:val="24"/>
          <w:highlight w:val="none"/>
        </w:rPr>
        <w:t xml:space="preserve">2.20 合同使用的文字和适用的法律</w:t>
      </w:r>
      <w:bookmarkEnd w:id="384"/>
      <w:r/>
      <w:bookmarkEnd w:id="385"/>
      <w:r/>
      <w:bookmarkEnd w:id="386"/>
      <w:r/>
      <w:bookmarkEnd w:id="387"/>
      <w:r/>
      <w:bookmarkEnd w:id="388"/>
      <w:r/>
      <w:bookmarkEnd w:id="3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2.20.1 合同使用汉语书就、变更和解释；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2.20.2 合同适用中华人民共和国法律。</w:t>
      </w:r>
      <w:r/>
    </w:p>
    <w:p>
      <w:pPr>
        <w:ind w:firstLine="482"/>
        <w:spacing w:line="400" w:lineRule="exact"/>
        <w:rPr>
          <w:rFonts w:hint="eastAsia" w:ascii="宋体" w:hAnsi="宋体" w:eastAsia="宋体" w:cs="宋体"/>
          <w:b/>
          <w:color w:val="000000"/>
          <w:sz w:val="24"/>
          <w:szCs w:val="24"/>
          <w:highlight w:val="none"/>
        </w:rPr>
      </w:pPr>
      <w:r/>
      <w:bookmarkStart w:id="390" w:name="_Toc16673"/>
      <w:r/>
      <w:bookmarkStart w:id="391" w:name="_Toc279701264"/>
      <w:r/>
      <w:bookmarkStart w:id="392" w:name="_Toc3148"/>
      <w:r/>
      <w:bookmarkStart w:id="393" w:name="_Toc259093693"/>
      <w:r/>
      <w:bookmarkStart w:id="394" w:name="_Toc12004"/>
      <w:r/>
      <w:bookmarkStart w:id="395" w:name="_Toc487900374"/>
      <w:r>
        <w:rPr>
          <w:rFonts w:hint="eastAsia" w:ascii="宋体" w:hAnsi="宋体" w:eastAsia="宋体" w:cs="宋体"/>
          <w:b/>
          <w:color w:val="000000"/>
          <w:sz w:val="24"/>
          <w:szCs w:val="24"/>
          <w:highlight w:val="none"/>
        </w:rPr>
        <w:t xml:space="preserve">2.21 履约保证金</w:t>
      </w:r>
      <w:bookmarkEnd w:id="390"/>
      <w:r/>
      <w:bookmarkEnd w:id="391"/>
      <w:r/>
      <w:bookmarkEnd w:id="392"/>
      <w:r/>
      <w:bookmarkEnd w:id="393"/>
      <w:r/>
      <w:bookmarkEnd w:id="39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招标文件要求乙方提交履约保证金的，乙方应按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约定的方式，以支票、汇票、本票或者金融机构、担保机构出具的保函等非现金形式提交履约保证金。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履约保证金在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约定期间内或者项目验收合格前不予退还或者应完全有效，前述约定期间届满或者项目验收合格后，甲方应将履约保证金退还乙方。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95"/>
      <w:r/>
      <w:r/>
    </w:p>
    <w:p>
      <w:pPr>
        <w:ind w:firstLine="482"/>
        <w:spacing w:line="400" w:lineRule="exact"/>
        <w:rPr>
          <w:rFonts w:hint="eastAsia" w:ascii="宋体" w:hAnsi="宋体" w:eastAsia="宋体" w:cs="宋体"/>
          <w:b/>
          <w:color w:val="000000"/>
          <w:sz w:val="24"/>
          <w:szCs w:val="24"/>
          <w:highlight w:val="none"/>
        </w:rPr>
      </w:pPr>
      <w:r/>
      <w:bookmarkStart w:id="396" w:name="_Toc6885"/>
      <w:r/>
      <w:bookmarkStart w:id="397" w:name="_Toc14001"/>
      <w:r/>
      <w:bookmarkStart w:id="398" w:name="_Toc19890"/>
      <w:r>
        <w:rPr>
          <w:rFonts w:hint="eastAsia" w:ascii="宋体" w:hAnsi="宋体" w:eastAsia="宋体" w:cs="宋体"/>
          <w:b/>
          <w:color w:val="000000"/>
          <w:sz w:val="24"/>
          <w:szCs w:val="24"/>
          <w:highlight w:val="none"/>
        </w:rPr>
        <w:t xml:space="preserve">2.22 合同份数</w:t>
      </w:r>
      <w:bookmarkEnd w:id="396"/>
      <w:r/>
      <w:bookmarkEnd w:id="397"/>
      <w:r/>
      <w:bookmarkEnd w:id="3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合同份数按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规定，每份均具有同等法律效力。</w:t>
      </w:r>
      <w:r/>
    </w:p>
    <w:p>
      <w:pPr>
        <w:pStyle w:val="1235"/>
        <w:ind w:firstLine="480"/>
        <w:jc w:val="center"/>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br w:type="page" w:clear="all"/>
      </w:r>
      <w:bookmarkStart w:id="399" w:name="_Toc331685784"/>
      <w:r>
        <w:rPr>
          <w:rFonts w:hint="eastAsia" w:ascii="宋体" w:hAnsi="宋体" w:eastAsia="宋体" w:cs="宋体"/>
          <w:b/>
          <w:color w:val="000000"/>
          <w:highlight w:val="none"/>
        </w:rPr>
        <w:t xml:space="preserve">第三部分  合同专用条款</w:t>
      </w:r>
      <w:bookmarkEnd w:id="39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03"/>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48"/>
        <w:gridCol w:w="8378"/>
      </w:tblGrid>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条款号</w:t>
            </w:r>
            <w:r/>
          </w:p>
        </w:tc>
        <w:tc>
          <w:tcPr>
            <w:tcW w:w="4589" w:type="dxa"/>
            <w:vAlign w:val="center"/>
            <w:textDirection w:val="lrTb"/>
            <w:noWrap w:val="false"/>
          </w:tcPr>
          <w:p>
            <w:pPr>
              <w:ind w:firstLine="48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约定内容</w:t>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highlight w:val="none"/>
        </w:rPr>
        <w:t xml:space="preserve">注：上述格式及内容仅供参考，具体以甲方签订合同时内容为准。</w:t>
      </w:r>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keepLines w:val="0"/>
        <w:keepNext w:val="0"/>
        <w:pageBreakBefore w:val="0"/>
        <w:spacing w:line="360" w:lineRule="auto"/>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p>
    <w:p>
      <w:pPr>
        <w:jc w:val="center"/>
        <w:keepLines/>
        <w:keepNext/>
        <w:pageBreakBefore w:val="0"/>
        <w:spacing w:before="340" w:after="330"/>
        <w:widowControl/>
        <w:tabs>
          <w:tab w:val="center" w:pos="4153" w:leader="none"/>
        </w:tabs>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安全文明施工责任书</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p>
    <w:p>
      <w:pPr>
        <w:jc w:val="left"/>
        <w:spacing w:line="360" w:lineRule="auto"/>
        <w:widowControl/>
        <w:rPr>
          <w:rFonts w:hint="eastAsia" w:ascii="宋体" w:hAnsi="宋体" w:eastAsia="宋体" w:cs="宋体"/>
          <w:bCs/>
          <w:color w:val="000000"/>
          <w:sz w:val="24"/>
          <w:highlight w:val="none"/>
          <w:u w:val="single"/>
          <w:lang w:val="en-US" w:eastAsia="zh-CN"/>
        </w:rPr>
      </w:pPr>
      <w:r>
        <w:rPr>
          <w:rFonts w:hint="eastAsia" w:ascii="宋体" w:hAnsi="宋体" w:eastAsia="宋体" w:cs="宋体"/>
          <w:color w:val="000000"/>
          <w:sz w:val="24"/>
          <w:highlight w:val="none"/>
        </w:rPr>
        <w:t xml:space="preserve">承包人：</w:t>
      </w:r>
      <w:r>
        <w:rPr>
          <w:rFonts w:hint="eastAsia" w:ascii="宋体" w:hAnsi="宋体" w:eastAsia="宋体" w:cs="宋体"/>
          <w:bCs/>
          <w:color w:val="000000"/>
          <w:sz w:val="24"/>
          <w:highlight w:val="none"/>
          <w:u w:val="single"/>
          <w:lang w:val="en-US" w:eastAsia="zh-CN"/>
        </w:rPr>
        <w:t xml:space="preserve">                             </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安全文明施工目的</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为维护甲乙双方的共同利益，保证乙方承接的</w:t>
      </w: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（工程名称）施工质量和安全，保持良好的工作秩序，保护施工人员的安全，经甲乙双方平等协商，签定本施工安全生产责任书。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安全文明施工内容：</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进场后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工作人员的安全与健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3、进场施工前，乙方应对其所有工作人员进行三级安全教育，经考试合格后方可上岗，所有人员持证上岗；乙方必须执行安全技术交底制度、班前安全讲话制度，并做好跟踪检查管理工作。</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4、乙方施工队负责人或临时班、组长是施工队伍的第一安全责任者，对施工过程中的安全负全责。同时乙方必须明确安全生产责任制，指定现场安全员制定可靠的安全措施及技术措施。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7、施工过程中甲方实行公司、项目部、随时进行检查，有权制止违章作业，责令施工队伍停工整顿。甲方有权有权对违反安全规定的行为进行处罚或</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8、乙方必须在施工过程中应遵守下列规定：</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设立现场工作负责人和安全监督员，对现场施工安全进行全过程监督，对工作地点的临近带电部位，要设有专人监护。</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施工人员进入施工现场必须佩带施工证，工人必须佩带安全帽，确使用合格的安全防护用具，防止发生物体打击，高空物体坠落事故，统一着装，做到文明、安全施工、工完场清，特种作业人员还必须携带特种作业操作证。</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施工机器进出场或在场内作业应遵守相关规定，注意安全；施工人员场内作业或场外活动应注意交通安全；车辆进场应降低车速；需要断路施工时，应设隔离措施，并须有专人引导，施工用料和工器具应按规定地点摆放整齐，不得随意乱堆乱放。</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使用临时电源时，必须配置合格的漏电保护装置，应经常检查漏电保护装置的可靠性。</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使用电动工具前，必须认真检查其是否完好，有无漏电，禁止使用不合格的工器具。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电气焊作业人员应持证上岗，应具备一定水平的电气焊作业的安全知识和技能。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搬运梯子和长物时，必须放倒搬运，防止触碰带电设备。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在进行通信管道施工过程中，应主动认真了解施工区域其他管线的现状，谨慎、细心施工，防止开挖时损坏其他管线单位原有管道及线路，若造成一切安全事故及经济责任由乙方自行负责。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进入旧有管线检查井工作时，应注意通风防止缺氧及有毒气体对人员造成影响或事故。在电缆通道内使用手持电动工具应有防工具受潮造成漏电的措施，须做好消防措施。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乙方应认真学习和贯彻国家颁布的《卫生防疫法》，做好预防非典、 防禽流感等传染病，保证饮食卫生，防止食物中毒。</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乙方在雨季应做好防汛工作，夏季应做好防暑降温，冬季采取冬施措施，保证生产人员健康安全，保证工程质量。</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乙方每个施工人员必须购买意外伤害保险，并出具证明。对于高危职业工种还应购买人身意外保险。</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其它额外事宜由甲乙双方协商解决。</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三、乙方应按有关规定，采取严格的安全防护措施，否则由于自身安全措施不力而造成事故的责任由乙方自行承担。本责任书一式捌份，发包人</w:t>
      </w:r>
      <w:r>
        <w:rPr>
          <w:rFonts w:hint="eastAsia" w:ascii="宋体" w:hAnsi="宋体" w:eastAsia="宋体" w:cs="宋体"/>
          <w:color w:val="000000"/>
          <w:sz w:val="24"/>
          <w:highlight w:val="none"/>
          <w:lang w:val="en-US" w:eastAsia="zh-CN"/>
        </w:rPr>
        <w:t xml:space="preserve">执伍份，</w:t>
      </w:r>
      <w:r>
        <w:rPr>
          <w:rFonts w:hint="eastAsia" w:ascii="宋体" w:hAnsi="宋体" w:eastAsia="宋体" w:cs="宋体"/>
          <w:color w:val="000000"/>
          <w:sz w:val="24"/>
          <w:highlight w:val="none"/>
        </w:rPr>
        <w:t xml:space="preserve">承包人执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lang w:val="en-US" w:eastAsia="zh-CN"/>
        </w:rPr>
        <w:t xml:space="preserve">代理单位执壹份，</w:t>
      </w:r>
      <w:r>
        <w:rPr>
          <w:rFonts w:hint="eastAsia" w:ascii="宋体" w:hAnsi="宋体" w:eastAsia="宋体" w:cs="宋体"/>
          <w:color w:val="000000"/>
          <w:sz w:val="24"/>
          <w:highlight w:val="none"/>
        </w:rPr>
        <w:t xml:space="preserve">具有同等效力。</w:t>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                法定代表人或授权委托人：：</w:t>
      </w:r>
      <w:r/>
    </w:p>
    <w:p>
      <w:pPr>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日  期：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color w:val="000000"/>
          <w:sz w:val="24"/>
          <w:highlight w:val="none"/>
          <w:lang w:eastAsia="zh-CN"/>
        </w:rPr>
        <w:outlineLvl w:val="9"/>
      </w:pP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2</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廉政责任书</w:t>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为进一步加强政府采购项目的廉政建设，甲方（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）特订立如下协议。</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一、甲、乙双方的权利和义务</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甲、乙双方应严格遵守党的政策规定和国家有关法律法规。</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甲、乙双方应严格执行项目的合同文件，自觉按合同办事。</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甲、乙双方的业务活动应坚持公开、公平、公正、诚信、透明的原则。</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甲、乙双方不得以任何理由向对方工作人员行贿或馈赠礼金、有价证券、贵重礼品。不得在对方报销任何应由个人支付的费用。</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甲乙双方不得以任何理由违反廉洁自律的有关规定。</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甲乙双方发现对方严重违反本协议条款的行为，有及时提醒对方、向其上级有关部门举报、建议给予处理并要求告知处理结果的权利。</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二、违约责任</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2．本协议一式</w:t>
      </w:r>
      <w:r>
        <w:rPr>
          <w:rFonts w:hint="eastAsia" w:ascii="宋体" w:hAnsi="宋体" w:eastAsia="宋体" w:cs="宋体"/>
          <w:color w:val="000000"/>
          <w:sz w:val="24"/>
          <w:highlight w:val="none"/>
          <w:lang w:val="en-US" w:eastAsia="zh-CN"/>
        </w:rPr>
        <w:t xml:space="preserve">捌</w:t>
      </w:r>
      <w:r>
        <w:rPr>
          <w:rFonts w:hint="eastAsia" w:ascii="宋体" w:hAnsi="宋体" w:eastAsia="宋体" w:cs="宋体"/>
          <w:color w:val="000000"/>
          <w:sz w:val="24"/>
          <w:highlight w:val="none"/>
        </w:rPr>
        <w:t xml:space="preserve">份，均具有同等法律效力，甲方执</w:t>
      </w:r>
      <w:r>
        <w:rPr>
          <w:rFonts w:hint="eastAsia" w:ascii="宋体" w:hAnsi="宋体" w:eastAsia="宋体" w:cs="宋体"/>
          <w:color w:val="000000"/>
          <w:sz w:val="24"/>
          <w:highlight w:val="none"/>
          <w:lang w:val="en-US" w:eastAsia="zh-CN"/>
        </w:rPr>
        <w:t xml:space="preserve">伍</w:t>
      </w:r>
      <w:r>
        <w:rPr>
          <w:rFonts w:hint="eastAsia" w:ascii="宋体" w:hAnsi="宋体" w:eastAsia="宋体" w:cs="宋体"/>
          <w:color w:val="000000"/>
          <w:sz w:val="24"/>
          <w:highlight w:val="none"/>
        </w:rPr>
        <w:t xml:space="preserve">份，乙方执贰份，代理机构壹份。</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甲方单位（盖章）：                      乙方单位（盖章）：</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法定代表人或授权委托人：                法定代表人或授权委托人：：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日  期：</w:t>
      </w:r>
      <w:r/>
    </w:p>
    <w:p>
      <w:pPr>
        <w:pStyle w:val="1003"/>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bookmarkEnd w:id="240"/>
      <w:r>
        <w:rPr>
          <w:rFonts w:hint="eastAsia" w:ascii="宋体" w:hAnsi="宋体" w:eastAsia="宋体" w:cs="宋体"/>
          <w:b/>
          <w:color w:val="000000"/>
          <w:sz w:val="36"/>
          <w:szCs w:val="36"/>
          <w:highlight w:val="none"/>
        </w:rPr>
        <w:t xml:space="preserve">第七章   投标文件格式</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p>
    <w:p>
      <w:pPr>
        <w:jc w:val="left"/>
        <w:keepLines/>
        <w:keepNext/>
        <w:spacing w:before="120" w:line="300" w:lineRule="auto"/>
        <w:rPr>
          <w:rFonts w:hint="eastAsia" w:ascii="宋体" w:hAnsi="宋体" w:eastAsia="宋体" w:cs="宋体"/>
          <w:b/>
          <w:color w:val="000000"/>
          <w:sz w:val="30"/>
          <w:szCs w:val="20"/>
          <w:highlight w:val="none"/>
        </w:rPr>
        <w:outlineLvl w:val="1"/>
      </w:pPr>
      <w:r>
        <w:rPr>
          <w:rFonts w:hint="eastAsia" w:ascii="宋体" w:hAnsi="宋体" w:eastAsia="宋体" w:cs="宋体"/>
          <w:b/>
          <w:color w:val="000000"/>
          <w:spacing w:val="20"/>
          <w:sz w:val="24"/>
          <w:highlight w:val="none"/>
        </w:rPr>
        <w:t xml:space="preserve">一、资格证明文件格式</w:t>
      </w:r>
      <w:r/>
    </w:p>
    <w:p>
      <w:pPr>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p>
    <w:p>
      <w:pPr>
        <w:pStyle w:val="976"/>
        <w:rPr>
          <w:rFonts w:hint="eastAsia" w:ascii="宋体" w:hAnsi="宋体" w:eastAsia="宋体" w:cs="宋体"/>
          <w:b w:val="0"/>
          <w:color w:val="000000"/>
          <w:sz w:val="28"/>
          <w:szCs w:val="28"/>
          <w:highlight w:val="none"/>
        </w:rPr>
      </w:pPr>
      <w:r>
        <w:rPr>
          <w:rFonts w:hint="eastAsia" w:ascii="宋体" w:hAnsi="宋体" w:eastAsia="宋体" w:cs="宋体"/>
          <w:b w:val="0"/>
          <w:color w:val="000000"/>
          <w:highlight w:val="none"/>
          <w:u w:val="none"/>
        </w:rPr>
        <w:t xml:space="preserve">1-1 投标人资格声明函（实质性格式）</w:t>
      </w:r>
      <w:r/>
    </w:p>
    <w:p>
      <w:pPr>
        <w:jc w:val="center"/>
        <w:spacing w:before="120" w:line="360"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rPr>
        <w:t xml:space="preserve">投标人资格声明函</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致：江苏建达全过程工程咨询有限公司</w:t>
      </w:r>
      <w:r/>
    </w:p>
    <w:p>
      <w:pPr>
        <w:pStyle w:val="975"/>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p>
    <w:p>
      <w:pPr>
        <w:pStyle w:val="975"/>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p>
    <w:p>
      <w:pPr>
        <w:pStyle w:val="975"/>
        <w:ind w:firstLine="49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2-1中小企业声明函</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7"/>
        <w:ind w:left="0" w:righ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中小微企业声明函（货物类项目）（采购包号：**）</w:t>
      </w:r>
      <w:r/>
    </w:p>
    <w:p>
      <w:pPr>
        <w:pStyle w:val="1037"/>
        <w:ind w:lef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2"/>
          <w:szCs w:val="22"/>
          <w:highlight w:val="none"/>
          <w:u w:val="single"/>
        </w:rPr>
        <w:t xml:space="preserve">（单位名称）</w:t>
      </w:r>
      <w:r>
        <w:rPr>
          <w:rFonts w:hint="eastAsia" w:ascii="宋体" w:hAnsi="宋体" w:eastAsia="宋体" w:cs="宋体"/>
          <w:color w:val="000000"/>
          <w:sz w:val="22"/>
          <w:szCs w:val="22"/>
          <w:highlight w:val="none"/>
        </w:rPr>
        <w:t xml:space="preserve">采购编号为</w:t>
      </w:r>
      <w:r>
        <w:rPr>
          <w:rFonts w:hint="eastAsia" w:ascii="宋体" w:hAnsi="宋体" w:eastAsia="宋体" w:cs="宋体"/>
          <w:color w:val="000000"/>
          <w:sz w:val="22"/>
          <w:szCs w:val="22"/>
          <w:highlight w:val="none"/>
          <w:u w:val="single"/>
        </w:rPr>
        <w:t xml:space="preserve">（采购编号）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i/>
          <w:iCs/>
          <w:color w:val="000000"/>
          <w:sz w:val="22"/>
          <w:szCs w:val="22"/>
          <w:highlight w:val="none"/>
        </w:rPr>
        <w:t xml:space="preserve">，</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（供应商填写招标文件中明确的所属行业）</w:t>
      </w:r>
      <w:r>
        <w:rPr>
          <w:rFonts w:hint="eastAsia" w:ascii="宋体" w:hAnsi="宋体" w:eastAsia="宋体" w:cs="宋体"/>
          <w:color w:val="000000"/>
          <w:sz w:val="22"/>
          <w:szCs w:val="22"/>
          <w:highlight w:val="none"/>
        </w:rPr>
        <w:t xml:space="preserve">行业；投标产品制造商为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 □微型企业）；</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i/>
          <w:iCs/>
          <w:color w:val="000000"/>
          <w:sz w:val="22"/>
          <w:szCs w:val="22"/>
          <w:highlight w:val="none"/>
        </w:rPr>
        <w:t xml:space="preserve">，</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（供应商填写招标文件中明确的所属行业）</w:t>
      </w:r>
      <w:r>
        <w:rPr>
          <w:rFonts w:hint="eastAsia" w:ascii="宋体" w:hAnsi="宋体" w:eastAsia="宋体" w:cs="宋体"/>
          <w:color w:val="000000"/>
          <w:sz w:val="22"/>
          <w:szCs w:val="22"/>
          <w:highlight w:val="none"/>
        </w:rPr>
        <w:t xml:space="preserve">行业；投标产品制造商为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 □微型企业）；</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以上企业，不属于大企业的分支机构，不存在控股股东为大企业的情形，也不存在与大企业的负责人为同一人的情形。</w:t>
      </w:r>
      <w:r/>
    </w:p>
    <w:p>
      <w:pPr>
        <w:pStyle w:val="1037"/>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本企业对上述声明内容的真实性负责。如有虚假，将依法承担相应责任</w:t>
      </w:r>
      <w:r/>
    </w:p>
    <w:p>
      <w:pPr>
        <w:pStyle w:val="1037"/>
        <w:ind w:right="72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highlight w:val="none"/>
        </w:rPr>
        <w:t xml:space="preserve"> </w:t>
      </w:r>
      <w:r/>
    </w:p>
    <w:p>
      <w:pPr>
        <w:pStyle w:val="1037"/>
        <w:ind w:left="0" w:right="180" w:firstLine="360"/>
        <w:jc w:val="center"/>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                                  企业名称（加盖CA电子公章）：</w:t>
      </w:r>
      <w:r/>
    </w:p>
    <w:p>
      <w:pPr>
        <w:pStyle w:val="1037"/>
        <w:ind w:left="0" w:right="480" w:firstLine="45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日  期：___年____月____日</w:t>
      </w:r>
      <w:r/>
    </w:p>
    <w:p>
      <w:pPr>
        <w:pStyle w:val="1037"/>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highlight w:val="none"/>
        </w:rPr>
        <w:t xml:space="preserve"> </w:t>
      </w:r>
      <w:r/>
    </w:p>
    <w:p>
      <w:pPr>
        <w:pStyle w:val="1037"/>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备注：</w:t>
      </w:r>
      <w:r/>
    </w:p>
    <w:p>
      <w:pPr>
        <w:pStyle w:val="1037"/>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1.从业人员、营业收入、资产总额填报上一年度数据，无上一年度数据的新成立企业可不填报。</w:t>
      </w:r>
      <w:r/>
    </w:p>
    <w:p>
      <w:pPr>
        <w:pStyle w:val="1037"/>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1037"/>
        <w:ind w:left="540" w:hanging="12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3.供应商应对照《工业和信息化部、国家统计局、国家发展和改革委员会、</w:t>
      </w:r>
      <w:r/>
    </w:p>
    <w:p>
      <w:pPr>
        <w:pStyle w:val="1037"/>
        <w:jc w:val="both"/>
        <w:keepLines w:val="0"/>
        <w:keepNext w:val="0"/>
        <w:spacing w:before="0" w:beforeAutospacing="0" w:after="0" w:afterAutospacing="0"/>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37"/>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残疾人福利性单位声明函（货物类项目）（采购包号：**）</w:t>
      </w:r>
      <w:r/>
    </w:p>
    <w:p>
      <w:pPr>
        <w:pStyle w:val="1037"/>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项目（项目名称）（采购包号：**）采购活动提供本单位制造的货物，或者提供其他残疾人福利性单位制造的货物（不包括使用非残疾人福利性单位注册商标的货物）。</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非专门面向中小微型企业采购的项目，供应商如不提供此声明函，价格将不做相应扣除。</w:t>
      </w:r>
      <w:r/>
    </w:p>
    <w:p>
      <w:pPr>
        <w:pStyle w:val="1037"/>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1037"/>
        <w:ind w:left="0" w:firstLine="624"/>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37"/>
        <w:ind w:left="0" w:right="1559" w:firstLine="624"/>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供应商全称（加盖CA电子公章）：</w:t>
      </w:r>
      <w:r/>
    </w:p>
    <w:p>
      <w:pPr>
        <w:pStyle w:val="1037"/>
        <w:ind w:left="0" w:right="1559" w:firstLine="480"/>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日  期：___年____月____日</w:t>
      </w:r>
      <w:r>
        <w:rPr>
          <w:rFonts w:hint="eastAsia" w:ascii="宋体" w:hAnsi="宋体" w:eastAsia="宋体" w:cs="宋体"/>
          <w:color w:val="000000"/>
          <w:sz w:val="24"/>
          <w:szCs w:val="24"/>
          <w:highlight w:val="none"/>
          <w:shd w:val="clear" w:color="auto" w:fill="ffffff"/>
        </w:rPr>
        <w:t xml:space="preserve"> </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1037"/>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1037"/>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7"/>
        <w:ind w:left="0" w:firstLine="420"/>
        <w:keepLines w:val="0"/>
        <w:keepNext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103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103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03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7"/>
        <w:jc w:val="right"/>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1037"/>
        <w:jc w:val="center"/>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103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103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2-3 </w:t>
      </w: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szCs w:val="20"/>
          <w:highlight w:val="none"/>
        </w:rPr>
        <w:t xml:space="preserve">（如有）</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0"/>
          <w:highlight w:val="none"/>
        </w:rPr>
        <w:t xml:space="preserve">3-2其他特定资格要求</w:t>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both"/>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rPr>
        <w:t xml:space="preserve">二、商务技术文件格式</w:t>
      </w:r>
      <w:bookmarkStart w:id="400" w:name="_Toc520356217"/>
      <w:r/>
      <w:bookmarkStart w:id="401" w:name="_Ref467988698"/>
      <w:r/>
      <w:bookmarkStart w:id="402" w:name="_Toc226965829"/>
      <w:r/>
      <w:bookmarkStart w:id="403" w:name="_Toc480942349"/>
      <w:r/>
      <w:bookmarkStart w:id="404" w:name="_Toc150480794"/>
      <w:r/>
      <w:bookmarkStart w:id="405" w:name="_Toc195842921"/>
      <w:r/>
      <w:bookmarkStart w:id="406" w:name="_Toc150774761"/>
      <w:r/>
      <w:bookmarkStart w:id="407" w:name="_Toc226337252"/>
      <w:r/>
      <w:bookmarkStart w:id="408" w:name="_Toc226309800"/>
      <w:r/>
      <w:bookmarkStart w:id="409" w:name="_Toc142311058"/>
      <w:r/>
      <w:bookmarkStart w:id="410" w:name="_Toc226965746"/>
      <w:r/>
      <w:bookmarkStart w:id="411" w:name="_Toc127151556"/>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w:t>
      </w:r>
      <w:r>
        <w:rPr>
          <w:rFonts w:hint="eastAsia" w:ascii="宋体" w:hAnsi="宋体" w:eastAsia="宋体" w:cs="宋体"/>
          <w:color w:val="000000"/>
          <w:sz w:val="24"/>
          <w:szCs w:val="20"/>
          <w:highlight w:val="none"/>
          <w:lang w:eastAsia="zh-CN"/>
        </w:rPr>
        <w:t xml:space="preserve">电子</w:t>
      </w:r>
      <w:r>
        <w:rPr>
          <w:rFonts w:hint="eastAsia" w:ascii="宋体" w:hAnsi="宋体" w:eastAsia="宋体" w:cs="宋体"/>
          <w:color w:val="000000"/>
          <w:sz w:val="24"/>
          <w:szCs w:val="20"/>
          <w:highlight w:val="none"/>
        </w:rPr>
        <w:t xml:space="preserve">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412" w:name="_Hlt520356243"/>
      <w:r/>
      <w:bookmarkEnd w:id="412"/>
      <w:r/>
      <w:bookmarkStart w:id="413" w:name="_Hlt520355938"/>
      <w:r/>
      <w:bookmarkEnd w:id="413"/>
      <w:r>
        <w:rPr>
          <w:rFonts w:hint="eastAsia" w:ascii="宋体" w:hAnsi="宋体" w:eastAsia="宋体" w:cs="宋体"/>
          <w:color w:val="000000"/>
          <w:sz w:val="24"/>
          <w:highlight w:val="none"/>
        </w:rPr>
        <w:br w:type="page" w:clear="all"/>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3"/>
        <w:ind w:right="-46"/>
        <w:spacing w:line="583" w:lineRule="auto"/>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8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223"/>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bookmarkStart w:id="414" w:name="_Hlt520274065"/>
      <w:r/>
      <w:bookmarkEnd w:id="414"/>
      <w:r/>
      <w:bookmarkStart w:id="415" w:name="_Hlt520355504"/>
      <w:r/>
      <w:bookmarkEnd w:id="415"/>
      <w:r/>
      <w:bookmarkStart w:id="416" w:name="_Hlt520350918"/>
      <w:r/>
      <w:bookmarkEnd w:id="416"/>
      <w:r/>
      <w:bookmarkStart w:id="417" w:name="_Hlt520343392"/>
      <w:r/>
      <w:bookmarkEnd w:id="417"/>
      <w:r/>
      <w:bookmarkStart w:id="418" w:name="_Hlt520274407"/>
      <w:r/>
      <w:bookmarkEnd w:id="418"/>
      <w:r/>
      <w:bookmarkStart w:id="419" w:name="_Hlt520343000"/>
      <w:r/>
      <w:bookmarkEnd w:id="419"/>
      <w:r/>
      <w:bookmarkStart w:id="420" w:name="_Hlt520271212"/>
      <w:r/>
      <w:bookmarkEnd w:id="420"/>
      <w:r/>
      <w:bookmarkStart w:id="421" w:name="_Hlt520274393"/>
      <w:r/>
      <w:bookmarkEnd w:id="421"/>
      <w:r/>
      <w:bookmarkStart w:id="422" w:name="_Hlt520273711"/>
      <w:r/>
      <w:bookmarkEnd w:id="422"/>
      <w:r/>
      <w:bookmarkStart w:id="423" w:name="_Hlt520274121"/>
      <w:r/>
      <w:bookmarkEnd w:id="423"/>
      <w:r/>
      <w:bookmarkStart w:id="424" w:name="_Toc127151557"/>
      <w:r/>
      <w:bookmarkStart w:id="425" w:name="_Toc264969247"/>
      <w:r/>
      <w:bookmarkStart w:id="426" w:name="_Toc150480795"/>
      <w:r/>
      <w:bookmarkStart w:id="427" w:name="_Toc305158825"/>
      <w:r/>
      <w:bookmarkStart w:id="428" w:name="_Ref467988705"/>
      <w:r/>
      <w:bookmarkStart w:id="429" w:name="_Toc226965747"/>
      <w:r/>
      <w:bookmarkStart w:id="430" w:name="_Toc520356218"/>
      <w:r/>
      <w:bookmarkStart w:id="431" w:name="_Toc226337253"/>
      <w:r/>
      <w:bookmarkStart w:id="432" w:name="_Toc226965830"/>
      <w:r/>
      <w:bookmarkStart w:id="433" w:name="_Toc150774762"/>
      <w:r/>
      <w:bookmarkStart w:id="434" w:name="_Toc226309801"/>
      <w:r/>
      <w:bookmarkStart w:id="435" w:name="_Toc480942350"/>
      <w:r/>
      <w:bookmarkStart w:id="436" w:name="_Toc305158899"/>
      <w:r/>
      <w:bookmarkStart w:id="437" w:name="_Toc195842922"/>
      <w:r/>
      <w:bookmarkStart w:id="438" w:name="_Toc142311059"/>
      <w:r/>
      <w:bookmarkStart w:id="439" w:name="_Toc265228395"/>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eastAsia="宋体" w:cs="宋体"/>
          <w:color w:val="000000"/>
          <w:sz w:val="24"/>
          <w:szCs w:val="20"/>
          <w:highlight w:val="none"/>
        </w:rPr>
      </w:r>
      <w:r/>
    </w:p>
    <w:p>
      <w:pPr>
        <w:jc w:val="left"/>
        <w:spacing w:line="360" w:lineRule="auto"/>
        <w:tabs>
          <w:tab w:val="left" w:pos="1800" w:leader="none"/>
          <w:tab w:val="left" w:pos="5580" w:leader="none"/>
        </w:tabs>
        <w:rPr>
          <w:rFonts w:hint="eastAsia"/>
          <w:sz w:val="24"/>
        </w:rPr>
      </w:pPr>
      <w:r/>
      <w:bookmarkStart w:id="440" w:name="_Toc226965749"/>
      <w:r/>
      <w:bookmarkStart w:id="441" w:name="_Toc305158901"/>
      <w:r/>
      <w:bookmarkStart w:id="442" w:name="_Toc150774763"/>
      <w:r/>
      <w:bookmarkStart w:id="443" w:name="_Toc226965832"/>
      <w:r/>
      <w:bookmarkStart w:id="444" w:name="_Toc305158827"/>
      <w:r/>
      <w:bookmarkStart w:id="445" w:name="_Toc142311060"/>
      <w:r/>
      <w:bookmarkStart w:id="446" w:name="_Toc264969249"/>
      <w:r/>
      <w:bookmarkStart w:id="447" w:name="_Toc226309803"/>
      <w:r/>
      <w:bookmarkStart w:id="448" w:name="_Toc127151558"/>
      <w:r/>
      <w:bookmarkStart w:id="449" w:name="_Toc265228397"/>
      <w:r/>
      <w:bookmarkStart w:id="450" w:name="_Toc226337255"/>
      <w:r/>
      <w:bookmarkStart w:id="451" w:name="_Toc150480796"/>
      <w:r/>
      <w:bookmarkStart w:id="452" w:name="_Toc195842924"/>
      <w:r>
        <w:rPr>
          <w:rFonts w:hint="eastAsia"/>
          <w:sz w:val="24"/>
        </w:rPr>
        <w:t xml:space="preserve">格式见电子采购文件</w:t>
      </w:r>
      <w:r/>
    </w:p>
    <w:p>
      <w:pPr>
        <w:jc w:val="left"/>
        <w:widowControl/>
        <w:rPr>
          <w:rFonts w:hint="eastAsia" w:ascii="宋体" w:hAnsi="宋体" w:eastAsia="宋体" w:cs="宋体"/>
          <w:color w:val="000000"/>
          <w:sz w:val="24"/>
          <w:szCs w:val="20"/>
          <w:highlight w:val="none"/>
        </w:rPr>
      </w:pPr>
      <w:r/>
      <w:bookmarkStart w:id="481" w:name="_GoBack"/>
      <w:r/>
      <w:bookmarkEnd w:id="481"/>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32"/>
          <w:szCs w:val="32"/>
          <w:highlight w:val="none"/>
        </w:rPr>
        <w:br w:type="page" w:clear="all"/>
      </w:r>
      <w:r>
        <w:rPr>
          <w:rFonts w:hint="eastAsia" w:ascii="宋体" w:hAnsi="宋体" w:eastAsia="宋体" w:cs="宋体"/>
          <w:color w:val="000000"/>
          <w:sz w:val="24"/>
          <w:szCs w:val="20"/>
          <w:highlight w:val="none"/>
        </w:rPr>
        <w:t xml:space="preserve">5  投标</w:t>
      </w:r>
      <w:r>
        <w:rPr>
          <w:rFonts w:hint="eastAsia" w:ascii="宋体" w:hAnsi="宋体" w:eastAsia="宋体" w:cs="宋体"/>
          <w:color w:val="000000"/>
          <w:sz w:val="24"/>
          <w:szCs w:val="20"/>
          <w:highlight w:val="none"/>
          <w:lang w:eastAsia="zh-CN"/>
        </w:rPr>
        <w:t xml:space="preserve">清单</w:t>
      </w:r>
      <w:r>
        <w:rPr>
          <w:rFonts w:hint="eastAsia" w:ascii="宋体" w:hAnsi="宋体" w:eastAsia="宋体" w:cs="宋体"/>
          <w:color w:val="000000"/>
          <w:sz w:val="24"/>
          <w:szCs w:val="20"/>
          <w:highlight w:val="none"/>
        </w:rPr>
        <w:t xml:space="preserve">报价表</w:t>
      </w:r>
      <w:r/>
    </w:p>
    <w:p>
      <w:pPr>
        <w:numPr>
          <w:ilvl w:val="0"/>
          <w:numId w:val="12"/>
        </w:num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w:t>
      </w:r>
      <w:r>
        <w:rPr>
          <w:rFonts w:hint="eastAsia" w:ascii="宋体" w:hAnsi="宋体" w:eastAsia="宋体" w:cs="宋体"/>
          <w:b/>
          <w:color w:val="000000"/>
          <w:sz w:val="32"/>
          <w:szCs w:val="32"/>
          <w:highlight w:val="none"/>
          <w:lang w:eastAsia="zh-CN"/>
        </w:rPr>
        <w:t xml:space="preserve">清单</w:t>
      </w:r>
      <w:r>
        <w:rPr>
          <w:rFonts w:hint="eastAsia" w:ascii="宋体" w:hAnsi="宋体" w:cs="宋体"/>
          <w:b/>
          <w:color w:val="000000"/>
          <w:sz w:val="32"/>
          <w:szCs w:val="32"/>
          <w:highlight w:val="none"/>
          <w:lang w:eastAsia="zh-CN"/>
        </w:rPr>
        <w:t xml:space="preserve">汇总</w:t>
      </w:r>
      <w:r>
        <w:rPr>
          <w:rFonts w:hint="eastAsia" w:ascii="宋体" w:hAnsi="宋体" w:eastAsia="宋体" w:cs="宋体"/>
          <w:b/>
          <w:color w:val="000000"/>
          <w:sz w:val="32"/>
          <w:szCs w:val="32"/>
          <w:highlight w:val="none"/>
        </w:rPr>
        <w:t xml:space="preserve">表</w:t>
      </w:r>
      <w:r/>
    </w:p>
    <w:p>
      <w:pPr>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项目编号:_____________________     项目名称:_______________________</w:t>
      </w:r>
      <w:r/>
    </w:p>
    <w:tbl>
      <w:tblPr>
        <w:tblStyle w:val="803"/>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378"/>
        <w:gridCol w:w="2935"/>
        <w:gridCol w:w="1250"/>
        <w:gridCol w:w="1250"/>
        <w:gridCol w:w="1250"/>
      </w:tblGrid>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单价（元）</w:t>
            </w:r>
            <w:r/>
          </w:p>
        </w:tc>
        <w:tc>
          <w:tcPr>
            <w:tcW w:w="12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小计（元）</w:t>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gridSpan w:val="5"/>
            <w:tcW w:w="8838" w:type="dxa"/>
            <w:vAlign w:val="center"/>
            <w:textDirection w:val="lrTb"/>
            <w:noWrap/>
          </w:tcPr>
          <w:p>
            <w:pPr>
              <w:jc w:val="center"/>
              <w:keepLines w:val="0"/>
              <w:keepNext w:val="0"/>
              <w:widowControl/>
              <w:tabs>
                <w:tab w:val="left" w:pos="5135"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合计（元）</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cs="宋体"/>
          <w:b/>
          <w:color w:val="000000"/>
          <w:sz w:val="32"/>
          <w:szCs w:val="32"/>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000000"/>
          <w:sz w:val="32"/>
          <w:szCs w:val="32"/>
          <w:highlight w:val="none"/>
          <w:lang w:eastAsia="zh-CN"/>
        </w:rPr>
      </w:r>
      <w:r/>
    </w:p>
    <w:p>
      <w:pPr>
        <w:jc w:val="center"/>
        <w:rPr>
          <w:rFonts w:hint="eastAsia" w:ascii="宋体" w:hAnsi="宋体" w:eastAsia="宋体" w:cs="宋体"/>
          <w:color w:val="000000"/>
          <w:sz w:val="24"/>
          <w:highlight w:val="none"/>
        </w:rPr>
      </w:pP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2</w:t>
      </w:r>
      <w:r>
        <w:rPr>
          <w:rFonts w:hint="eastAsia" w:ascii="宋体" w:hAnsi="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投标报价</w:t>
      </w:r>
      <w:r>
        <w:rPr>
          <w:rFonts w:hint="eastAsia" w:ascii="宋体" w:hAnsi="宋体" w:cs="宋体"/>
          <w:b/>
          <w:color w:val="000000"/>
          <w:sz w:val="32"/>
          <w:szCs w:val="32"/>
          <w:highlight w:val="none"/>
          <w:lang w:eastAsia="zh-CN"/>
        </w:rPr>
        <w:t xml:space="preserve">明细</w:t>
      </w:r>
      <w:r>
        <w:rPr>
          <w:rFonts w:hint="eastAsia" w:ascii="宋体" w:hAnsi="宋体" w:eastAsia="宋体" w:cs="宋体"/>
          <w:b/>
          <w:color w:val="000000"/>
          <w:sz w:val="32"/>
          <w:szCs w:val="32"/>
          <w:highlight w:val="none"/>
        </w:rPr>
        <w:t xml:space="preserve">表</w:t>
      </w:r>
      <w:bookmarkEnd w:id="440"/>
      <w:bookmarkEnd w:id="441"/>
      <w:bookmarkEnd w:id="442"/>
      <w:bookmarkEnd w:id="443"/>
      <w:bookmarkEnd w:id="444"/>
      <w:bookmarkEnd w:id="445"/>
      <w:bookmarkEnd w:id="446"/>
      <w:bookmarkEnd w:id="447"/>
      <w:bookmarkEnd w:id="448"/>
      <w:bookmarkEnd w:id="449"/>
      <w:bookmarkEnd w:id="450"/>
      <w:bookmarkEnd w:id="451"/>
      <w:bookmarkEnd w:id="452"/>
      <w:r/>
    </w:p>
    <w:p>
      <w:pPr>
        <w:jc w:val="left"/>
        <w:spacing w:line="360" w:lineRule="auto"/>
        <w:tabs>
          <w:tab w:val="left" w:pos="1800" w:leader="none"/>
          <w:tab w:val="left" w:pos="5580" w:leader="none"/>
        </w:tabs>
        <w:rPr>
          <w:rFonts w:hint="eastAsia" w:ascii="宋体" w:hAnsi="宋体" w:eastAsia="宋体" w:cs="宋体"/>
          <w:color w:val="000000"/>
          <w:sz w:val="24"/>
          <w:highlight w:val="none"/>
          <w:lang w:val="zh-CN"/>
        </w:rPr>
      </w:pPr>
      <w:r/>
      <w:bookmarkStart w:id="453" w:name="_Toc305158830"/>
      <w:r/>
      <w:bookmarkStart w:id="454" w:name="_Toc150774765"/>
      <w:r/>
      <w:bookmarkStart w:id="455" w:name="_Toc127151562"/>
      <w:r/>
      <w:bookmarkStart w:id="456" w:name="_Toc142311062"/>
      <w:r/>
      <w:bookmarkStart w:id="457" w:name="_Toc150480798"/>
      <w:r/>
      <w:bookmarkStart w:id="458" w:name="_Toc264969252"/>
      <w:r/>
      <w:bookmarkStart w:id="459" w:name="_Toc195842927"/>
      <w:r/>
      <w:bookmarkStart w:id="460" w:name="_Toc226337258"/>
      <w:r/>
      <w:bookmarkStart w:id="461" w:name="_Toc265228400"/>
      <w:r/>
      <w:bookmarkStart w:id="462" w:name="_Toc226965835"/>
      <w:r/>
      <w:bookmarkStart w:id="463" w:name="_Toc226965752"/>
      <w:r/>
      <w:bookmarkStart w:id="464" w:name="_Toc226309806"/>
      <w:r/>
      <w:bookmarkStart w:id="465" w:name="_Toc305158904"/>
      <w:r/>
      <w:bookmarkStart w:id="466" w:name="_Toc195842926"/>
      <w:r/>
      <w:bookmarkStart w:id="467" w:name="_Toc127151561"/>
      <w:r/>
      <w:bookmarkStart w:id="468" w:name="_Toc226337257"/>
      <w:r/>
      <w:bookmarkStart w:id="469" w:name="_Toc226965834"/>
      <w:r/>
      <w:bookmarkStart w:id="470" w:name="_Toc150774764"/>
      <w:r/>
      <w:bookmarkStart w:id="471" w:name="_Toc305158903"/>
      <w:r/>
      <w:bookmarkStart w:id="472" w:name="_Toc226309805"/>
      <w:r/>
      <w:bookmarkStart w:id="473" w:name="_Toc305158829"/>
      <w:r/>
      <w:bookmarkStart w:id="474" w:name="_Toc226965751"/>
      <w:r/>
      <w:bookmarkStart w:id="475" w:name="_Toc150480797"/>
      <w:r/>
      <w:bookmarkStart w:id="476" w:name="_Toc142311061"/>
      <w:r/>
      <w:bookmarkStart w:id="477" w:name="_Toc265228399"/>
      <w:r/>
      <w:bookmarkStart w:id="478" w:name="_Toc264969251"/>
      <w:r>
        <w:rPr>
          <w:rFonts w:hint="eastAsia" w:ascii="宋体" w:hAnsi="宋体" w:eastAsia="宋体" w:cs="宋体"/>
          <w:color w:val="000000"/>
          <w:sz w:val="24"/>
          <w:highlight w:val="none"/>
        </w:rPr>
        <w:t xml:space="preserve">项目编号:_____________________     项目名称:_______________________</w:t>
      </w:r>
      <w:r/>
    </w:p>
    <w:tbl>
      <w:tblPr>
        <w:tblStyle w:val="803"/>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spacing w:before="25" w:after="25"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注：格式仅供参考，投标人可自行修改。</w:t>
      </w:r>
      <w:r/>
    </w:p>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spacing w:line="360" w:lineRule="auto"/>
        <w:tabs>
          <w:tab w:val="left" w:pos="1800" w:leader="none"/>
          <w:tab w:val="left" w:pos="5580" w:leader="none"/>
        </w:tabs>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6  合同条款偏离表</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ascii="宋体" w:hAnsi="宋体" w:eastAsia="宋体" w:cs="宋体"/>
          <w:color w:val="000000"/>
          <w:sz w:val="24"/>
          <w:szCs w:val="20"/>
          <w:highlight w:val="none"/>
        </w:rPr>
      </w:pPr>
      <w:r>
        <w:rPr>
          <w:rFonts w:hint="eastAsia" w:ascii="宋体" w:hAnsi="宋体" w:eastAsia="宋体" w:cs="宋体"/>
          <w:b/>
          <w:color w:val="000000"/>
          <w:sz w:val="36"/>
          <w:szCs w:val="36"/>
          <w:highlight w:val="none"/>
        </w:rPr>
        <w:t xml:space="preserve">合同条款偏离表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8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t xml:space="preserve">日期：_____年______月______日   </w:t>
      </w:r>
      <w:r/>
    </w:p>
    <w:p>
      <w:pPr>
        <w:pStyle w:val="1005"/>
        <w:ind w:left="0" w:firstLine="0"/>
        <w:rPr>
          <w:rFonts w:eastAsia="宋体"/>
          <w:color w:val="000000"/>
          <w:highlight w:val="none"/>
          <w:lang w:val="en-US" w:eastAsia="zh-CN"/>
        </w:rPr>
      </w:pPr>
      <w:r>
        <w:rPr>
          <w:rFonts w:hint="eastAsia"/>
          <w:color w:val="000000"/>
          <w:highlight w:val="none"/>
          <w:lang w:val="en-US" w:eastAsia="zh-CN"/>
        </w:rPr>
        <w:t xml:space="preserve">8技术偏离表</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技术偏离表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项目名称：_______________________</w:t>
      </w:r>
      <w:r/>
    </w:p>
    <w:tbl>
      <w:tblPr>
        <w:tblStyle w:val="8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sz w:val="24"/>
                <w:highlight w:val="none"/>
              </w:rPr>
            </w:pPr>
            <w:r>
              <w:rPr>
                <w:rFonts w:hint="eastAsia"/>
                <w:b/>
                <w:bCs/>
                <w:color w:val="000000"/>
                <w:sz w:val="24"/>
                <w:highlight w:val="none"/>
              </w:rPr>
              <w:t xml:space="preserve">对本项目采购文件要求的偏离情况</w:t>
            </w:r>
            <w:r>
              <w:rPr>
                <w:b/>
                <w:bCs/>
                <w:color w:val="000000"/>
                <w:sz w:val="24"/>
                <w:highlight w:val="none"/>
              </w:rPr>
              <w:t xml:space="preserve">(</w:t>
            </w:r>
            <w:r>
              <w:rPr>
                <w:rFonts w:hint="eastAsia"/>
                <w:b/>
                <w:bCs/>
                <w:color w:val="000000"/>
                <w:sz w:val="24"/>
                <w:highlight w:val="none"/>
              </w:rPr>
              <w:t xml:space="preserve">请进行勾选</w:t>
            </w:r>
            <w:r>
              <w:rPr>
                <w:b/>
                <w:bCs/>
                <w:color w:val="000000"/>
                <w:sz w:val="24"/>
                <w:highlight w:val="none"/>
              </w:rPr>
              <w:t xml:space="preserve">)</w:t>
            </w:r>
            <w:r>
              <w:rPr>
                <w:rFonts w:hint="eastAsia"/>
                <w:b/>
                <w:bCs/>
                <w:color w:val="000000"/>
                <w:sz w:val="24"/>
                <w:highlight w:val="none"/>
              </w:rPr>
              <w:t xml:space="preserve">：</w:t>
            </w:r>
            <w:r/>
          </w:p>
          <w:p>
            <w:pPr>
              <w:rPr>
                <w:color w:val="000000"/>
                <w:sz w:val="24"/>
                <w:highlight w:val="none"/>
              </w:rPr>
            </w:pPr>
            <w:r>
              <w:rPr>
                <w:rFonts w:hint="eastAsia"/>
                <w:color w:val="000000"/>
                <w:sz w:val="24"/>
                <w:highlight w:val="none"/>
              </w:rPr>
              <w:t xml:space="preserve">□无偏离（如无偏离，仅勾选无偏离即可）</w:t>
            </w:r>
            <w:r/>
          </w:p>
          <w:p>
            <w:pPr>
              <w:rPr>
                <w:color w:val="000000"/>
                <w:sz w:val="24"/>
                <w:highlight w:val="none"/>
              </w:rPr>
            </w:pPr>
            <w:r>
              <w:rPr>
                <w:rFonts w:hint="eastAsia"/>
                <w:color w:val="000000"/>
                <w:sz w:val="24"/>
                <w:highlight w:val="none"/>
              </w:rPr>
              <w:t xml:space="preserve">□有偏离（如有偏离，则应在本表中对</w:t>
            </w:r>
            <w:r>
              <w:rPr>
                <w:rFonts w:hint="eastAsia"/>
                <w:b/>
                <w:bCs/>
                <w:color w:val="000000"/>
                <w:sz w:val="24"/>
                <w:highlight w:val="none"/>
              </w:rPr>
              <w:t xml:space="preserve">偏离项</w:t>
            </w:r>
            <w:r>
              <w:rPr>
                <w:rFonts w:hint="eastAsia"/>
                <w:color w:val="000000"/>
                <w:sz w:val="24"/>
                <w:highlight w:val="none"/>
              </w:rPr>
              <w:t xml:space="preserve">逐一罗列）</w:t>
            </w:r>
            <w:r/>
          </w:p>
        </w:tc>
      </w:tr>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p>
        </w:tc>
        <w:tc>
          <w:tcPr>
            <w:tcW w:w="2384"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w:t>
      </w:r>
      <w:r>
        <w:rPr>
          <w:rFonts w:hint="eastAsia"/>
          <w:color w:val="000000"/>
          <w:sz w:val="24"/>
          <w:highlight w:val="none"/>
        </w:rPr>
        <w:t xml:space="preserve">招标</w:t>
      </w:r>
      <w:r>
        <w:rPr>
          <w:color w:val="000000"/>
          <w:sz w:val="24"/>
          <w:highlight w:val="none"/>
        </w:rPr>
        <w:t xml:space="preserve">文件中的所有</w:t>
      </w:r>
      <w:r>
        <w:rPr>
          <w:rFonts w:hint="eastAsia"/>
          <w:color w:val="000000"/>
          <w:sz w:val="24"/>
          <w:highlight w:val="none"/>
        </w:rPr>
        <w:t xml:space="preserve">技术参数</w:t>
      </w:r>
      <w:r>
        <w:rPr>
          <w:color w:val="000000"/>
          <w:sz w:val="24"/>
          <w:highlight w:val="none"/>
        </w:rPr>
        <w:t xml:space="preserve">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rPr>
          <w:color w:val="000000"/>
          <w:highlight w:val="none"/>
        </w:rPr>
      </w:pPr>
      <w:r>
        <w:rPr>
          <w:color w:val="00000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ind w:left="4200" w:firstLine="420"/>
        <w:spacing w:line="360" w:lineRule="auto"/>
        <w:rPr>
          <w:rFonts w:hint="eastAsia" w:ascii="宋体" w:hAnsi="宋体" w:cs="黑体"/>
          <w:bCs/>
          <w:color w:val="000000"/>
          <w:sz w:val="24"/>
          <w:highlight w:val="none"/>
          <w:lang w:bidi="ar"/>
        </w:rPr>
      </w:pPr>
      <w:r>
        <w:rPr>
          <w:rFonts w:hint="eastAsia" w:ascii="宋体" w:hAnsi="宋体" w:eastAsia="宋体" w:cs="宋体"/>
          <w:color w:val="000000"/>
          <w:sz w:val="24"/>
          <w:highlight w:val="none"/>
        </w:rPr>
        <w:t xml:space="preserve">投标人名称</w:t>
      </w:r>
      <w:r>
        <w:rPr>
          <w:rFonts w:hint="eastAsia" w:ascii="宋体" w:hAnsi="宋体" w:cs="黑体"/>
          <w:bCs/>
          <w:color w:val="000000"/>
          <w:sz w:val="24"/>
          <w:highlight w:val="none"/>
          <w:lang w:bidi="ar"/>
        </w:rPr>
        <w:t xml:space="preserve">：（加盖电子公章）  </w:t>
      </w:r>
      <w:r/>
    </w:p>
    <w:p>
      <w:pPr>
        <w:ind w:firstLine="4800"/>
        <w:spacing w:line="360" w:lineRule="auto"/>
        <w:rPr>
          <w:rFonts w:hint="eastAsia"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参加本项目人员一览表</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p>
    <w:p>
      <w:pPr>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03"/>
        <w:tblW w:w="85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bl>
    <w:p>
      <w:pPr>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br w:type="page" w:clear="all"/>
      </w:r>
      <w:bookmarkStart w:id="479" w:name="_Toc288738397"/>
      <w:r/>
      <w:bookmarkStart w:id="480" w:name="_Toc288738839"/>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479"/>
      <w:r/>
      <w:bookmarkEnd w:id="480"/>
      <w:r/>
      <w:r/>
    </w:p>
    <w:p>
      <w:pPr>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0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lang w:val="en-US" w:eastAsia="zh-CN"/>
        </w:rPr>
        <w:outlineLvl w:val="2"/>
      </w:pPr>
      <w:r>
        <w:rPr>
          <w:rFonts w:hint="eastAsia" w:ascii="宋体" w:hAnsi="宋体" w:eastAsia="宋体" w:cs="宋体"/>
          <w:color w:val="000000"/>
          <w:sz w:val="24"/>
          <w:szCs w:val="20"/>
          <w:highlight w:val="none"/>
          <w:lang w:val="en-US" w:eastAsia="zh-CN"/>
        </w:rPr>
        <w:t xml:space="preserve">11 承诺函</w:t>
      </w:r>
      <w:r/>
    </w:p>
    <w:p>
      <w:pPr>
        <w:jc w:val="center"/>
        <w:rPr>
          <w:rFonts w:ascii="宋体" w:hAnsi="宋体" w:eastAsia="宋体" w:cs="宋体"/>
          <w:b/>
          <w:color w:val="000000"/>
          <w:sz w:val="32"/>
          <w:szCs w:val="32"/>
          <w:highlight w:val="none"/>
          <w:lang w:val="en-US" w:eastAsia="zh-CN"/>
        </w:rPr>
      </w:pPr>
      <w:r>
        <w:rPr>
          <w:rFonts w:ascii="宋体" w:hAnsi="宋体" w:eastAsia="宋体" w:cs="宋体"/>
          <w:b/>
          <w:color w:val="000000"/>
          <w:sz w:val="32"/>
          <w:szCs w:val="32"/>
          <w:highlight w:val="none"/>
          <w:lang w:val="en-US"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承诺函</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eastAsia="zh-CN"/>
        </w:rPr>
        <w:outlineLvl w:val="9"/>
      </w:pPr>
      <w:r>
        <w:rPr>
          <w:rFonts w:hint="eastAsia" w:ascii="宋体" w:hAnsi="宋体" w:eastAsia="宋体" w:cs="宋体"/>
          <w:color w:val="000000"/>
          <w:sz w:val="24"/>
          <w:szCs w:val="20"/>
          <w:highlight w:val="none"/>
          <w:lang w:eastAsia="zh-CN"/>
        </w:rPr>
        <w:t xml:space="preserve">我公司承诺：</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1、在免费质保三年的基础上，再延长</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年，共计</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年免费质保期。</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2、（如有其他承诺条款，自行填写）。</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r>
      <w:r/>
    </w:p>
    <w:p>
      <w:pPr>
        <w:ind w:firstLine="480"/>
        <w:keepLines w:val="0"/>
        <w:keepNext w:val="0"/>
        <w:pageBreakBefore w:val="0"/>
        <w:spacing w:line="360" w:lineRule="auto"/>
        <w:widowControl w:val="off"/>
        <w:rPr>
          <w:rFonts w:ascii="宋体" w:hAnsi="宋体" w:eastAsia="宋体" w:cs="宋体"/>
          <w:color w:val="000000"/>
          <w:sz w:val="24"/>
          <w:szCs w:val="20"/>
          <w:highlight w:val="none"/>
          <w:lang w:val="en-US" w:eastAsia="zh-CN"/>
        </w:rPr>
        <w:outlineLvl w:val="9"/>
      </w:pPr>
      <w:r>
        <w:rPr>
          <w:rFonts w:ascii="宋体" w:hAnsi="宋体" w:eastAsia="宋体" w:cs="宋体"/>
          <w:color w:val="000000"/>
          <w:sz w:val="24"/>
          <w:szCs w:val="20"/>
          <w:highlight w:val="none"/>
          <w:lang w:val="en-US" w:eastAsia="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招标文件要求提供或投标人认为应附的其他材料</w:t>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05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3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1023"/>
      <w:tabs>
        <w:tab w:val="right" w:pos="830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48"/>
      </w:rPr>
      <w:framePr w:wrap="around" w:vAnchor="text" w:hAnchor="margin" w:xAlign="right" w:y="1"/>
    </w:pPr>
    <w:r>
      <w:rPr>
        <w:rStyle w:val="1048"/>
      </w:rPr>
      <w:fldChar w:fldCharType="begin"/>
    </w:r>
    <w:r>
      <w:rPr>
        <w:rStyle w:val="1048"/>
      </w:rPr>
      <w:instrText xml:space="preserve">PAGE  </w:instrText>
    </w:r>
    <w:r>
      <w:rPr>
        <w:rStyle w:val="1048"/>
      </w:rPr>
      <w:fldChar w:fldCharType="end"/>
    </w:r>
    <w:r/>
  </w:p>
  <w:p>
    <w:pPr>
      <w:pStyle w:val="102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8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05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1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tab"/>
      <w:lvlText w:val="%1"/>
      <w:lvlJc w:val="left"/>
      <w:pPr>
        <w:ind w:left="680" w:hanging="680"/>
      </w:pPr>
      <w:rPr>
        <w:rFonts w:hint="eastAsia" w:ascii="宋体" w:hAnsi="宋体" w:eastAsia="宋体"/>
      </w:rPr>
    </w:lvl>
    <w:lvl w:ilvl="1">
      <w:start w:val="1"/>
      <w:numFmt w:val="decimal"/>
      <w:pStyle w:val="1185"/>
      <w:isLgl w:val="false"/>
      <w:suff w:val="tab"/>
      <w:lvlText w:val="%1.%2"/>
      <w:lvlJc w:val="left"/>
      <w:pPr>
        <w:ind w:left="851" w:hanging="851"/>
      </w:pPr>
      <w:rPr>
        <w:rFonts w:hint="eastAsia" w:ascii="宋体" w:hAnsi="宋体" w:eastAsia="宋体"/>
        <w:color w:val="000000"/>
      </w:rPr>
    </w:lvl>
    <w:lvl w:ilvl="2">
      <w:start w:val="1"/>
      <w:numFmt w:val="decimal"/>
      <w:pStyle w:val="11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12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2"/>
      <w:isLgl w:val="false"/>
      <w:suff w:val="nothing"/>
      <w:lvlText w:val="%1.%2.%3.%4.%5.%6　"/>
      <w:lvlJc w:val="left"/>
      <w:pPr>
        <w:ind w:left="-25" w:firstLine="0"/>
      </w:pPr>
      <w:rPr>
        <w:rFonts w:ascii="Times New Roman" w:hAnsi="Times New Roman" w:eastAsia="宋体"/>
        <w:b/>
        <w:i w:val="0"/>
        <w:sz w:val="28"/>
      </w:rPr>
    </w:lvl>
    <w:lvl w:ilvl="6">
      <w:start w:val="1"/>
      <w:numFmt w:val="lowerLetter"/>
      <w:pStyle w:val="113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9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lowerLetter"/>
      <w:pStyle w:val="115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link w:val="82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2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2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2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2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rPr>
  </w:style>
  <w:style w:type="paragraph" w:styleId="806">
    <w:name w:val="toc 5"/>
    <w:basedOn w:val="792"/>
    <w:next w:val="792"/>
    <w:uiPriority w:val="39"/>
    <w:unhideWhenUsed/>
    <w:qFormat/>
    <w:pPr>
      <w:ind w:left="1134" w:right="0" w:firstLine="0"/>
      <w:spacing w:after="57"/>
    </w:pPr>
  </w:style>
  <w:style w:type="paragraph" w:styleId="807">
    <w:name w:val="toc 3"/>
    <w:basedOn w:val="792"/>
    <w:next w:val="792"/>
    <w:uiPriority w:val="39"/>
    <w:unhideWhenUsed/>
    <w:qFormat/>
    <w:pPr>
      <w:ind w:left="567" w:right="0" w:firstLine="0"/>
      <w:spacing w:after="57"/>
    </w:pPr>
  </w:style>
  <w:style w:type="paragraph" w:styleId="808">
    <w:name w:val="toc 8"/>
    <w:basedOn w:val="792"/>
    <w:next w:val="792"/>
    <w:uiPriority w:val="39"/>
    <w:unhideWhenUsed/>
    <w:qFormat/>
    <w:pPr>
      <w:ind w:left="1984" w:right="0" w:firstLine="0"/>
      <w:spacing w:after="57"/>
    </w:pPr>
  </w:style>
  <w:style w:type="paragraph" w:styleId="809">
    <w:name w:val="endnote text"/>
    <w:basedOn w:val="792"/>
    <w:link w:val="971"/>
    <w:uiPriority w:val="99"/>
    <w:semiHidden/>
    <w:unhideWhenUsed/>
    <w:qFormat/>
    <w:pPr>
      <w:spacing w:after="0" w:line="240" w:lineRule="auto"/>
    </w:pPr>
    <w:rPr>
      <w:sz w:val="20"/>
    </w:rPr>
  </w:style>
  <w:style w:type="paragraph" w:styleId="810">
    <w:name w:val="Footer"/>
    <w:basedOn w:val="792"/>
    <w:link w:val="844"/>
    <w:uiPriority w:val="99"/>
    <w:unhideWhenUsed/>
    <w:qFormat/>
    <w:pPr>
      <w:spacing w:after="0" w:line="240" w:lineRule="auto"/>
      <w:tabs>
        <w:tab w:val="center" w:pos="7143" w:leader="none"/>
        <w:tab w:val="right" w:pos="14287" w:leader="none"/>
      </w:tabs>
    </w:pPr>
  </w:style>
  <w:style w:type="paragraph" w:styleId="811">
    <w:name w:val="Header"/>
    <w:basedOn w:val="792"/>
    <w:link w:val="842"/>
    <w:uiPriority w:val="99"/>
    <w:unhideWhenUsed/>
    <w:qFormat/>
    <w:pPr>
      <w:spacing w:after="0" w:line="240" w:lineRule="auto"/>
      <w:tabs>
        <w:tab w:val="center" w:pos="7143" w:leader="none"/>
        <w:tab w:val="right" w:pos="14287" w:leader="none"/>
      </w:tabs>
    </w:pPr>
  </w:style>
  <w:style w:type="paragraph" w:styleId="812">
    <w:name w:val="toc 1"/>
    <w:basedOn w:val="792"/>
    <w:next w:val="792"/>
    <w:uiPriority w:val="39"/>
    <w:unhideWhenUsed/>
    <w:qFormat/>
    <w:pPr>
      <w:ind w:left="0" w:right="0" w:firstLine="0"/>
      <w:spacing w:after="57"/>
    </w:pPr>
  </w:style>
  <w:style w:type="paragraph" w:styleId="813">
    <w:name w:val="toc 4"/>
    <w:basedOn w:val="792"/>
    <w:next w:val="792"/>
    <w:uiPriority w:val="39"/>
    <w:unhideWhenUsed/>
    <w:qFormat/>
    <w:pPr>
      <w:ind w:left="850" w:right="0" w:firstLine="0"/>
      <w:spacing w:after="57"/>
    </w:pPr>
  </w:style>
  <w:style w:type="paragraph" w:styleId="814">
    <w:name w:val="Subtitle"/>
    <w:basedOn w:val="792"/>
    <w:next w:val="792"/>
    <w:link w:val="837"/>
    <w:uiPriority w:val="11"/>
    <w:qFormat/>
    <w:pPr>
      <w:spacing w:before="200" w:after="200"/>
    </w:pPr>
    <w:rPr>
      <w:sz w:val="24"/>
      <w:szCs w:val="24"/>
    </w:rPr>
  </w:style>
  <w:style w:type="paragraph" w:styleId="815">
    <w:name w:val="footnote text"/>
    <w:basedOn w:val="792"/>
    <w:link w:val="970"/>
    <w:uiPriority w:val="99"/>
    <w:semiHidden/>
    <w:unhideWhenUsed/>
    <w:qFormat/>
    <w:pPr>
      <w:spacing w:after="40" w:line="240" w:lineRule="auto"/>
    </w:pPr>
    <w:rPr>
      <w:sz w:val="18"/>
    </w:rPr>
  </w:style>
  <w:style w:type="paragraph" w:styleId="816">
    <w:name w:val="toc 6"/>
    <w:basedOn w:val="792"/>
    <w:next w:val="792"/>
    <w:uiPriority w:val="39"/>
    <w:unhideWhenUsed/>
    <w:qFormat/>
    <w:pPr>
      <w:ind w:left="1417" w:right="0" w:firstLine="0"/>
      <w:spacing w:after="57"/>
    </w:pPr>
  </w:style>
  <w:style w:type="paragraph" w:styleId="817">
    <w:name w:val="table of figures"/>
    <w:basedOn w:val="792"/>
    <w:next w:val="792"/>
    <w:uiPriority w:val="99"/>
    <w:unhideWhenUsed/>
    <w:qFormat/>
    <w:pPr>
      <w:spacing w:after="0" w:afterAutospacing="0"/>
    </w:pPr>
  </w:style>
  <w:style w:type="paragraph" w:styleId="818">
    <w:name w:val="toc 2"/>
    <w:basedOn w:val="792"/>
    <w:next w:val="792"/>
    <w:uiPriority w:val="39"/>
    <w:unhideWhenUsed/>
    <w:qFormat/>
    <w:pPr>
      <w:ind w:left="283" w:right="0" w:firstLine="0"/>
      <w:spacing w:after="57"/>
    </w:pPr>
  </w:style>
  <w:style w:type="paragraph" w:styleId="819">
    <w:name w:val="toc 9"/>
    <w:basedOn w:val="792"/>
    <w:next w:val="792"/>
    <w:uiPriority w:val="39"/>
    <w:unhideWhenUsed/>
    <w:qFormat/>
    <w:pPr>
      <w:ind w:left="2268" w:right="0" w:firstLine="0"/>
      <w:spacing w:after="57"/>
    </w:pPr>
  </w:style>
  <w:style w:type="paragraph" w:styleId="820">
    <w:name w:val="Title"/>
    <w:basedOn w:val="792"/>
    <w:next w:val="792"/>
    <w:link w:val="836"/>
    <w:uiPriority w:val="10"/>
    <w:qFormat/>
    <w:pPr>
      <w:contextualSpacing/>
      <w:spacing w:before="300" w:after="200"/>
    </w:pPr>
    <w:rPr>
      <w:sz w:val="48"/>
      <w:szCs w:val="48"/>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rPr>
  </w:style>
  <w:style w:type="character" w:styleId="824">
    <w:name w:val="footnote reference"/>
    <w:uiPriority w:val="99"/>
    <w:unhideWhenUsed/>
    <w:qFormat/>
    <w:rPr>
      <w:vertAlign w:val="superscript"/>
    </w:rPr>
  </w:style>
  <w:style w:type="character" w:styleId="825" w:customStyle="1">
    <w:name w:val="Heading 1 Char"/>
    <w:link w:val="793"/>
    <w:uiPriority w:val="9"/>
    <w:qFormat/>
    <w:rPr>
      <w:rFonts w:ascii="Arial" w:hAnsi="Arial" w:eastAsia="Arial" w:cs="Arial"/>
      <w:sz w:val="40"/>
      <w:szCs w:val="40"/>
    </w:rPr>
  </w:style>
  <w:style w:type="character" w:styleId="826" w:customStyle="1">
    <w:name w:val="Heading 2 Char"/>
    <w:link w:val="794"/>
    <w:uiPriority w:val="9"/>
    <w:qFormat/>
    <w:rPr>
      <w:rFonts w:ascii="Arial" w:hAnsi="Arial" w:eastAsia="Arial" w:cs="Arial"/>
      <w:sz w:val="34"/>
    </w:rPr>
  </w:style>
  <w:style w:type="character" w:styleId="827" w:customStyle="1">
    <w:name w:val="Heading 3 Char"/>
    <w:link w:val="795"/>
    <w:uiPriority w:val="9"/>
    <w:qFormat/>
    <w:rPr>
      <w:rFonts w:ascii="Arial" w:hAnsi="Arial" w:eastAsia="Arial" w:cs="Arial"/>
      <w:sz w:val="30"/>
      <w:szCs w:val="30"/>
    </w:rPr>
  </w:style>
  <w:style w:type="character" w:styleId="828" w:customStyle="1">
    <w:name w:val="Heading 4 Char"/>
    <w:link w:val="796"/>
    <w:uiPriority w:val="9"/>
    <w:qFormat/>
    <w:rPr>
      <w:rFonts w:ascii="Arial" w:hAnsi="Arial" w:eastAsia="Arial" w:cs="Arial"/>
      <w:b/>
      <w:bCs/>
      <w:sz w:val="26"/>
      <w:szCs w:val="26"/>
    </w:rPr>
  </w:style>
  <w:style w:type="character" w:styleId="829" w:customStyle="1">
    <w:name w:val="Heading 5 Char"/>
    <w:link w:val="797"/>
    <w:uiPriority w:val="9"/>
    <w:qFormat/>
    <w:rPr>
      <w:rFonts w:ascii="Arial" w:hAnsi="Arial" w:eastAsia="Arial" w:cs="Arial"/>
      <w:b/>
      <w:bCs/>
      <w:sz w:val="24"/>
      <w:szCs w:val="24"/>
    </w:rPr>
  </w:style>
  <w:style w:type="character" w:styleId="830" w:customStyle="1">
    <w:name w:val="Heading 6 Char"/>
    <w:link w:val="798"/>
    <w:uiPriority w:val="9"/>
    <w:qFormat/>
    <w:rPr>
      <w:rFonts w:ascii="Arial" w:hAnsi="Arial" w:eastAsia="Arial" w:cs="Arial"/>
      <w:b/>
      <w:bCs/>
      <w:sz w:val="22"/>
      <w:szCs w:val="22"/>
    </w:rPr>
  </w:style>
  <w:style w:type="character" w:styleId="831" w:customStyle="1">
    <w:name w:val="Heading 7 Char"/>
    <w:link w:val="799"/>
    <w:uiPriority w:val="9"/>
    <w:qFormat/>
    <w:rPr>
      <w:rFonts w:ascii="Arial" w:hAnsi="Arial" w:eastAsia="Arial" w:cs="Arial"/>
      <w:b/>
      <w:bCs/>
      <w:i/>
      <w:iCs/>
      <w:sz w:val="22"/>
      <w:szCs w:val="22"/>
    </w:rPr>
  </w:style>
  <w:style w:type="character" w:styleId="832" w:customStyle="1">
    <w:name w:val="Heading 8 Char"/>
    <w:link w:val="800"/>
    <w:uiPriority w:val="9"/>
    <w:qFormat/>
    <w:rPr>
      <w:rFonts w:ascii="Arial" w:hAnsi="Arial" w:eastAsia="Arial" w:cs="Arial"/>
      <w:i/>
      <w:iCs/>
      <w:sz w:val="22"/>
      <w:szCs w:val="22"/>
    </w:rPr>
  </w:style>
  <w:style w:type="character" w:styleId="833" w:customStyle="1">
    <w:name w:val="Heading 9 Char"/>
    <w:link w:val="801"/>
    <w:uiPriority w:val="9"/>
    <w:qFormat/>
    <w:rPr>
      <w:rFonts w:ascii="Arial" w:hAnsi="Arial" w:eastAsia="Arial" w:cs="Arial"/>
      <w:i/>
      <w:iCs/>
      <w:sz w:val="21"/>
      <w:szCs w:val="21"/>
    </w:rPr>
  </w:style>
  <w:style w:type="paragraph" w:styleId="834">
    <w:name w:val="List Paragraph"/>
    <w:basedOn w:val="792"/>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20"/>
    <w:uiPriority w:val="10"/>
    <w:qFormat/>
    <w:rPr>
      <w:sz w:val="48"/>
      <w:szCs w:val="48"/>
    </w:rPr>
  </w:style>
  <w:style w:type="character" w:styleId="837" w:customStyle="1">
    <w:name w:val="Subtitle Char"/>
    <w:link w:val="814"/>
    <w:uiPriority w:val="11"/>
    <w:qFormat/>
    <w:rPr>
      <w:sz w:val="24"/>
      <w:szCs w:val="24"/>
    </w:rPr>
  </w:style>
  <w:style w:type="paragraph" w:styleId="838">
    <w:name w:val="Quote"/>
    <w:basedOn w:val="792"/>
    <w:next w:val="792"/>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92"/>
    <w:next w:val="7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11"/>
    <w:uiPriority w:val="99"/>
    <w:qFormat/>
  </w:style>
  <w:style w:type="character" w:styleId="843" w:customStyle="1">
    <w:name w:val="Footer Char"/>
    <w:link w:val="810"/>
    <w:uiPriority w:val="99"/>
    <w:qFormat/>
  </w:style>
  <w:style w:type="character" w:styleId="844" w:customStyle="1">
    <w:name w:val="Caption Char"/>
    <w:link w:val="810"/>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15"/>
    <w:uiPriority w:val="99"/>
    <w:qFormat/>
    <w:rPr>
      <w:sz w:val="18"/>
    </w:rPr>
  </w:style>
  <w:style w:type="character" w:styleId="971" w:customStyle="1">
    <w:name w:val="Endnote Text Char"/>
    <w:link w:val="809"/>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11"/>
    <w:basedOn w:val="792"/>
    <w:next w:val="792"/>
    <w:link w:val="985"/>
    <w:uiPriority w:val="0"/>
    <w:qFormat/>
    <w:pPr>
      <w:jc w:val="center"/>
      <w:keepLines/>
      <w:keepNext/>
      <w:spacing w:before="240" w:after="120" w:line="300" w:lineRule="auto"/>
      <w:outlineLvl w:val="0"/>
    </w:pPr>
    <w:rPr>
      <w:rFonts w:ascii="宋体"/>
      <w:b/>
      <w:sz w:val="32"/>
      <w:szCs w:val="20"/>
    </w:rPr>
  </w:style>
  <w:style w:type="paragraph" w:styleId="974" w:customStyle="1">
    <w:name w:val="标题 21"/>
    <w:basedOn w:val="792"/>
    <w:next w:val="975"/>
    <w:link w:val="986"/>
    <w:uiPriority w:val="0"/>
    <w:qFormat/>
    <w:pPr>
      <w:jc w:val="center"/>
      <w:keepLines/>
      <w:keepNext/>
      <w:spacing w:before="120" w:line="300" w:lineRule="auto"/>
      <w:outlineLvl w:val="1"/>
    </w:pPr>
    <w:rPr>
      <w:rFonts w:ascii="Arial" w:hAnsi="Arial" w:eastAsia="黑体"/>
      <w:b/>
      <w:sz w:val="30"/>
      <w:szCs w:val="20"/>
    </w:rPr>
  </w:style>
  <w:style w:type="paragraph" w:styleId="975" w:customStyle="1">
    <w:name w:val="正文缩进1111"/>
    <w:basedOn w:val="792"/>
    <w:link w:val="987"/>
    <w:uiPriority w:val="0"/>
    <w:qFormat/>
    <w:pPr>
      <w:ind w:firstLine="420"/>
      <w:jc w:val="left"/>
    </w:pPr>
    <w:rPr>
      <w:rFonts w:ascii="宋体"/>
      <w:sz w:val="24"/>
    </w:rPr>
  </w:style>
  <w:style w:type="paragraph" w:styleId="976" w:customStyle="1">
    <w:name w:val="标题 31"/>
    <w:basedOn w:val="792"/>
    <w:next w:val="792"/>
    <w:link w:val="988"/>
    <w:uiPriority w:val="0"/>
    <w:qFormat/>
    <w:pPr>
      <w:jc w:val="left"/>
      <w:keepLines/>
      <w:keepNext/>
      <w:spacing w:before="360" w:after="120"/>
      <w:outlineLvl w:val="2"/>
    </w:pPr>
    <w:rPr>
      <w:rFonts w:ascii="宋体"/>
      <w:b/>
      <w:sz w:val="24"/>
      <w:szCs w:val="20"/>
      <w:u w:val="single"/>
    </w:rPr>
  </w:style>
  <w:style w:type="paragraph" w:styleId="977" w:customStyle="1">
    <w:name w:val="标题 41"/>
    <w:basedOn w:val="792"/>
    <w:next w:val="792"/>
    <w:link w:val="989"/>
    <w:uiPriority w:val="0"/>
    <w:qFormat/>
    <w:pPr>
      <w:keepLines/>
      <w:keepNext/>
      <w:spacing w:before="280" w:after="290" w:line="376" w:lineRule="atLeast"/>
      <w:outlineLvl w:val="3"/>
    </w:pPr>
    <w:rPr>
      <w:rFonts w:ascii="Arial" w:hAnsi="Arial" w:eastAsia="黑体"/>
      <w:b/>
      <w:sz w:val="28"/>
      <w:szCs w:val="20"/>
    </w:rPr>
  </w:style>
  <w:style w:type="paragraph" w:styleId="978" w:customStyle="1">
    <w:name w:val="标题 51"/>
    <w:basedOn w:val="792"/>
    <w:next w:val="792"/>
    <w:link w:val="990"/>
    <w:uiPriority w:val="0"/>
    <w:qFormat/>
    <w:pPr>
      <w:keepLines/>
      <w:keepNext/>
      <w:spacing w:before="280" w:after="290" w:line="376" w:lineRule="atLeast"/>
      <w:outlineLvl w:val="4"/>
    </w:pPr>
    <w:rPr>
      <w:b/>
      <w:sz w:val="28"/>
      <w:szCs w:val="20"/>
    </w:rPr>
  </w:style>
  <w:style w:type="paragraph" w:styleId="979" w:customStyle="1">
    <w:name w:val="标题 61"/>
    <w:basedOn w:val="792"/>
    <w:next w:val="792"/>
    <w:link w:val="991"/>
    <w:uiPriority w:val="0"/>
    <w:qFormat/>
    <w:pPr>
      <w:keepLines/>
      <w:keepNext/>
      <w:spacing w:before="240" w:after="64" w:line="320" w:lineRule="atLeast"/>
      <w:outlineLvl w:val="5"/>
    </w:pPr>
    <w:rPr>
      <w:rFonts w:ascii="Arial" w:hAnsi="Arial" w:eastAsia="黑体"/>
      <w:b/>
      <w:sz w:val="24"/>
      <w:szCs w:val="20"/>
    </w:rPr>
  </w:style>
  <w:style w:type="paragraph" w:styleId="980" w:customStyle="1">
    <w:name w:val="标题 71"/>
    <w:basedOn w:val="792"/>
    <w:next w:val="792"/>
    <w:link w:val="992"/>
    <w:uiPriority w:val="0"/>
    <w:qFormat/>
    <w:pPr>
      <w:keepLines/>
      <w:keepNext/>
      <w:spacing w:before="240" w:after="64" w:line="320" w:lineRule="atLeast"/>
      <w:outlineLvl w:val="6"/>
    </w:pPr>
    <w:rPr>
      <w:b/>
      <w:sz w:val="24"/>
      <w:szCs w:val="20"/>
    </w:rPr>
  </w:style>
  <w:style w:type="paragraph" w:styleId="981" w:customStyle="1">
    <w:name w:val="标题 81"/>
    <w:basedOn w:val="792"/>
    <w:next w:val="792"/>
    <w:link w:val="993"/>
    <w:uiPriority w:val="0"/>
    <w:qFormat/>
    <w:pPr>
      <w:keepLines/>
      <w:keepNext/>
      <w:spacing w:before="240" w:after="64" w:line="320" w:lineRule="atLeast"/>
      <w:outlineLvl w:val="7"/>
    </w:pPr>
    <w:rPr>
      <w:rFonts w:ascii="Arial" w:hAnsi="Arial" w:eastAsia="黑体"/>
      <w:sz w:val="24"/>
      <w:szCs w:val="20"/>
    </w:rPr>
  </w:style>
  <w:style w:type="paragraph" w:styleId="982" w:customStyle="1">
    <w:name w:val="标题 91"/>
    <w:basedOn w:val="792"/>
    <w:next w:val="792"/>
    <w:link w:val="994"/>
    <w:uiPriority w:val="0"/>
    <w:qFormat/>
    <w:pPr>
      <w:keepLines/>
      <w:keepNext/>
      <w:spacing w:before="240" w:after="64" w:line="320" w:lineRule="atLeast"/>
      <w:outlineLvl w:val="8"/>
    </w:pPr>
    <w:rPr>
      <w:rFonts w:ascii="Arial" w:hAnsi="Arial" w:eastAsia="黑体"/>
      <w:szCs w:val="20"/>
    </w:rPr>
  </w:style>
  <w:style w:type="character" w:styleId="983" w:customStyle="1">
    <w:name w:val="默认段落字体1"/>
    <w:link w:val="792"/>
    <w:uiPriority w:val="1"/>
    <w:unhideWhenUsed/>
    <w:qFormat/>
  </w:style>
  <w:style w:type="table" w:styleId="984" w:customStyle="1">
    <w:name w:val="普通表格1"/>
    <w:uiPriority w:val="99"/>
    <w:unhideWhenUsed/>
    <w:qFormat/>
    <w:tblPr/>
  </w:style>
  <w:style w:type="character" w:styleId="985" w:customStyle="1">
    <w:name w:val="标题 1 Char"/>
    <w:basedOn w:val="983"/>
    <w:link w:val="973"/>
    <w:uiPriority w:val="0"/>
    <w:qFormat/>
    <w:rPr>
      <w:rFonts w:ascii="宋体"/>
      <w:b/>
      <w:sz w:val="32"/>
    </w:rPr>
  </w:style>
  <w:style w:type="character" w:styleId="986" w:customStyle="1">
    <w:name w:val="标题 2 Char1"/>
    <w:link w:val="974"/>
    <w:uiPriority w:val="0"/>
    <w:qFormat/>
    <w:rPr>
      <w:rFonts w:ascii="Arial" w:hAnsi="Arial" w:eastAsia="黑体"/>
      <w:b/>
      <w:sz w:val="30"/>
      <w:lang w:val="en-US" w:eastAsia="zh-CN" w:bidi="ar-SA"/>
    </w:rPr>
  </w:style>
  <w:style w:type="character" w:styleId="987" w:customStyle="1">
    <w:name w:val="正文缩进 Char1"/>
    <w:link w:val="975"/>
    <w:uiPriority w:val="0"/>
    <w:qFormat/>
    <w:rPr>
      <w:rFonts w:ascii="宋体" w:eastAsia="宋体"/>
      <w:sz w:val="24"/>
      <w:szCs w:val="24"/>
      <w:lang w:val="en-US" w:eastAsia="zh-CN" w:bidi="ar-SA"/>
    </w:rPr>
  </w:style>
  <w:style w:type="character" w:styleId="988" w:customStyle="1">
    <w:name w:val="标题 3 Char1"/>
    <w:link w:val="976"/>
    <w:uiPriority w:val="0"/>
    <w:qFormat/>
    <w:rPr>
      <w:rFonts w:ascii="宋体" w:eastAsia="宋体"/>
      <w:b/>
      <w:sz w:val="24"/>
      <w:u w:val="single"/>
      <w:lang w:val="en-US" w:eastAsia="zh-CN" w:bidi="ar-SA"/>
    </w:rPr>
  </w:style>
  <w:style w:type="character" w:styleId="989" w:customStyle="1">
    <w:name w:val="标题 4 Char"/>
    <w:basedOn w:val="983"/>
    <w:link w:val="977"/>
    <w:uiPriority w:val="0"/>
    <w:qFormat/>
    <w:rPr>
      <w:rFonts w:ascii="Arial" w:hAnsi="Arial" w:eastAsia="黑体"/>
      <w:b/>
      <w:sz w:val="28"/>
    </w:rPr>
  </w:style>
  <w:style w:type="character" w:styleId="990" w:customStyle="1">
    <w:name w:val="标题 5 Char"/>
    <w:basedOn w:val="983"/>
    <w:link w:val="978"/>
    <w:uiPriority w:val="0"/>
    <w:qFormat/>
    <w:rPr>
      <w:b/>
      <w:sz w:val="28"/>
    </w:rPr>
  </w:style>
  <w:style w:type="character" w:styleId="991" w:customStyle="1">
    <w:name w:val="标题 6 Char"/>
    <w:basedOn w:val="983"/>
    <w:link w:val="979"/>
    <w:uiPriority w:val="0"/>
    <w:qFormat/>
    <w:rPr>
      <w:rFonts w:ascii="Arial" w:hAnsi="Arial" w:eastAsia="黑体"/>
      <w:b/>
      <w:sz w:val="24"/>
    </w:rPr>
  </w:style>
  <w:style w:type="character" w:styleId="992" w:customStyle="1">
    <w:name w:val="标题 7 Char"/>
    <w:basedOn w:val="983"/>
    <w:link w:val="980"/>
    <w:uiPriority w:val="0"/>
    <w:qFormat/>
    <w:rPr>
      <w:b/>
      <w:sz w:val="24"/>
    </w:rPr>
  </w:style>
  <w:style w:type="character" w:styleId="993" w:customStyle="1">
    <w:name w:val="标题 8 Char"/>
    <w:basedOn w:val="983"/>
    <w:link w:val="981"/>
    <w:uiPriority w:val="0"/>
    <w:qFormat/>
    <w:rPr>
      <w:rFonts w:ascii="Arial" w:hAnsi="Arial" w:eastAsia="黑体"/>
      <w:sz w:val="24"/>
    </w:rPr>
  </w:style>
  <w:style w:type="character" w:styleId="994" w:customStyle="1">
    <w:name w:val="标题 9 Char"/>
    <w:basedOn w:val="983"/>
    <w:link w:val="982"/>
    <w:uiPriority w:val="0"/>
    <w:qFormat/>
    <w:rPr>
      <w:rFonts w:ascii="Arial" w:hAnsi="Arial" w:eastAsia="黑体"/>
      <w:sz w:val="21"/>
    </w:rPr>
  </w:style>
  <w:style w:type="paragraph" w:styleId="995" w:customStyle="1">
    <w:name w:val="目录 71"/>
    <w:basedOn w:val="792"/>
    <w:next w:val="792"/>
    <w:uiPriority w:val="0"/>
    <w:qFormat/>
    <w:pPr>
      <w:ind w:left="2520"/>
    </w:pPr>
  </w:style>
  <w:style w:type="paragraph" w:styleId="996" w:customStyle="1">
    <w:name w:val="题注1"/>
    <w:basedOn w:val="792"/>
    <w:next w:val="792"/>
    <w:uiPriority w:val="0"/>
    <w:qFormat/>
    <w:pPr>
      <w:spacing w:line="480" w:lineRule="auto"/>
    </w:pPr>
    <w:rPr>
      <w:rFonts w:ascii="华文中宋" w:hAnsi="华文中宋" w:eastAsia="华文中宋"/>
      <w:sz w:val="36"/>
      <w:szCs w:val="20"/>
    </w:rPr>
  </w:style>
  <w:style w:type="paragraph" w:styleId="997" w:customStyle="1">
    <w:name w:val="文档结构图1"/>
    <w:basedOn w:val="792"/>
    <w:link w:val="998"/>
    <w:uiPriority w:val="0"/>
    <w:qFormat/>
    <w:pPr>
      <w:shd w:val="clear" w:color="auto" w:fill="000080"/>
    </w:pPr>
  </w:style>
  <w:style w:type="character" w:styleId="998" w:customStyle="1">
    <w:name w:val="文档结构图 Char"/>
    <w:basedOn w:val="983"/>
    <w:link w:val="997"/>
    <w:uiPriority w:val="0"/>
    <w:qFormat/>
    <w:rPr>
      <w:sz w:val="21"/>
      <w:szCs w:val="24"/>
      <w:shd w:val="clear" w:color="auto" w:fill="000080"/>
    </w:rPr>
  </w:style>
  <w:style w:type="paragraph" w:styleId="999" w:customStyle="1">
    <w:name w:val="批注文字1"/>
    <w:basedOn w:val="792"/>
    <w:link w:val="1000"/>
    <w:uiPriority w:val="99"/>
    <w:qFormat/>
    <w:pPr>
      <w:jc w:val="left"/>
    </w:pPr>
  </w:style>
  <w:style w:type="character" w:styleId="1000" w:customStyle="1">
    <w:name w:val="批注文字 Char1"/>
    <w:link w:val="999"/>
    <w:uiPriority w:val="99"/>
    <w:qFormat/>
    <w:rPr>
      <w:sz w:val="21"/>
      <w:szCs w:val="24"/>
    </w:rPr>
  </w:style>
  <w:style w:type="paragraph" w:styleId="1001" w:customStyle="1">
    <w:name w:val="正文文本 31"/>
    <w:basedOn w:val="792"/>
    <w:link w:val="1002"/>
    <w:uiPriority w:val="0"/>
    <w:qFormat/>
    <w:pPr>
      <w:spacing w:after="120"/>
    </w:pPr>
    <w:rPr>
      <w:sz w:val="16"/>
      <w:szCs w:val="16"/>
    </w:rPr>
  </w:style>
  <w:style w:type="character" w:styleId="1002" w:customStyle="1">
    <w:name w:val="正文文本 3 Char"/>
    <w:basedOn w:val="983"/>
    <w:link w:val="1001"/>
    <w:uiPriority w:val="0"/>
    <w:qFormat/>
    <w:rPr>
      <w:sz w:val="16"/>
      <w:szCs w:val="16"/>
    </w:rPr>
  </w:style>
  <w:style w:type="paragraph" w:styleId="1003" w:customStyle="1">
    <w:name w:val="正文文本1"/>
    <w:basedOn w:val="792"/>
    <w:next w:val="792"/>
    <w:link w:val="1004"/>
    <w:uiPriority w:val="0"/>
    <w:qFormat/>
    <w:pPr>
      <w:spacing w:before="120" w:line="22" w:lineRule="atLeast"/>
      <w:tabs>
        <w:tab w:val="left" w:pos="567" w:leader="none"/>
      </w:tabs>
    </w:pPr>
    <w:rPr>
      <w:rFonts w:ascii="宋体" w:hAnsi="宋体"/>
      <w:sz w:val="24"/>
    </w:rPr>
  </w:style>
  <w:style w:type="character" w:styleId="1004" w:customStyle="1">
    <w:name w:val="正文文本 Char"/>
    <w:basedOn w:val="983"/>
    <w:link w:val="1003"/>
    <w:uiPriority w:val="0"/>
    <w:qFormat/>
    <w:rPr>
      <w:rFonts w:ascii="宋体" w:hAnsi="宋体"/>
      <w:sz w:val="24"/>
      <w:szCs w:val="24"/>
    </w:rPr>
  </w:style>
  <w:style w:type="paragraph" w:styleId="1005" w:customStyle="1">
    <w:name w:val="正文文本缩进11"/>
    <w:basedOn w:val="792"/>
    <w:next w:val="1006"/>
    <w:link w:val="1007"/>
    <w:uiPriority w:val="0"/>
    <w:qFormat/>
    <w:pPr>
      <w:ind w:firstLine="570"/>
      <w:spacing w:line="360" w:lineRule="auto"/>
    </w:pPr>
    <w:rPr>
      <w:sz w:val="24"/>
    </w:rPr>
  </w:style>
  <w:style w:type="paragraph" w:styleId="1006" w:customStyle="1">
    <w:name w:val="正文首行缩进 21"/>
    <w:basedOn w:val="1005"/>
    <w:next w:val="792"/>
    <w:link w:val="1008"/>
    <w:uiPriority w:val="0"/>
    <w:qFormat/>
    <w:pPr>
      <w:ind w:left="420" w:firstLine="420"/>
      <w:spacing w:after="120" w:line="480" w:lineRule="exact"/>
    </w:pPr>
    <w:rPr>
      <w:szCs w:val="20"/>
    </w:rPr>
  </w:style>
  <w:style w:type="character" w:styleId="1007" w:customStyle="1">
    <w:name w:val="正文文本缩进 Char2"/>
    <w:link w:val="1005"/>
    <w:uiPriority w:val="0"/>
    <w:qFormat/>
    <w:rPr>
      <w:rFonts w:eastAsia="宋体"/>
      <w:sz w:val="24"/>
      <w:szCs w:val="24"/>
      <w:lang w:val="en-US" w:eastAsia="zh-CN" w:bidi="ar-SA"/>
    </w:rPr>
  </w:style>
  <w:style w:type="character" w:styleId="1008" w:customStyle="1">
    <w:name w:val="正文首行缩进 2 Char"/>
    <w:basedOn w:val="1007"/>
    <w:link w:val="1006"/>
    <w:uiPriority w:val="0"/>
    <w:qFormat/>
    <w:rPr>
      <w:rFonts w:eastAsia="宋体"/>
      <w:sz w:val="24"/>
      <w:szCs w:val="24"/>
      <w:lang w:val="en-US" w:eastAsia="zh-CN" w:bidi="ar-SA"/>
    </w:rPr>
  </w:style>
  <w:style w:type="paragraph" w:styleId="1009" w:customStyle="1">
    <w:name w:val="列表 21"/>
    <w:basedOn w:val="792"/>
    <w:uiPriority w:val="0"/>
    <w:qFormat/>
    <w:pPr>
      <w:ind w:left="100" w:hanging="200"/>
    </w:pPr>
  </w:style>
  <w:style w:type="paragraph" w:styleId="1010" w:customStyle="1">
    <w:name w:val="文本块1"/>
    <w:basedOn w:val="792"/>
    <w:uiPriority w:val="0"/>
    <w:qFormat/>
    <w:pPr>
      <w:ind w:left="480" w:right="-341" w:firstLine="513"/>
      <w:widowControl/>
    </w:pPr>
    <w:rPr>
      <w:sz w:val="24"/>
      <w:szCs w:val="20"/>
    </w:rPr>
  </w:style>
  <w:style w:type="paragraph" w:styleId="1011" w:customStyle="1">
    <w:name w:val="目录 51"/>
    <w:basedOn w:val="792"/>
    <w:next w:val="792"/>
    <w:uiPriority w:val="0"/>
    <w:qFormat/>
    <w:pPr>
      <w:ind w:left="1680"/>
    </w:pPr>
  </w:style>
  <w:style w:type="paragraph" w:styleId="1012" w:customStyle="1">
    <w:name w:val="目录 31"/>
    <w:basedOn w:val="792"/>
    <w:next w:val="792"/>
    <w:uiPriority w:val="39"/>
    <w:qFormat/>
    <w:pPr>
      <w:ind w:left="840"/>
    </w:pPr>
  </w:style>
  <w:style w:type="paragraph" w:styleId="1013" w:customStyle="1">
    <w:name w:val="纯文本11"/>
    <w:basedOn w:val="792"/>
    <w:link w:val="1014"/>
    <w:uiPriority w:val="99"/>
    <w:qFormat/>
    <w:rPr>
      <w:rFonts w:hint="eastAsia" w:ascii="宋体" w:hAnsi="Courier New"/>
      <w:szCs w:val="20"/>
    </w:rPr>
  </w:style>
  <w:style w:type="character" w:styleId="1014" w:customStyle="1">
    <w:name w:val="纯文本 Char"/>
    <w:basedOn w:val="983"/>
    <w:link w:val="1013"/>
    <w:uiPriority w:val="0"/>
    <w:qFormat/>
    <w:rPr>
      <w:rFonts w:hint="eastAsia" w:ascii="宋体" w:hAnsi="Courier New" w:eastAsia="宋体" w:cs="宋体"/>
      <w:sz w:val="21"/>
    </w:rPr>
  </w:style>
  <w:style w:type="paragraph" w:styleId="1015" w:customStyle="1">
    <w:name w:val="列表项目符号 511"/>
    <w:basedOn w:val="792"/>
    <w:uiPriority w:val="0"/>
    <w:qFormat/>
    <w:pPr>
      <w:numPr>
        <w:ilvl w:val="0"/>
        <w:numId w:val="1"/>
      </w:numPr>
    </w:pPr>
  </w:style>
  <w:style w:type="paragraph" w:styleId="1016" w:customStyle="1">
    <w:name w:val="目录 81"/>
    <w:basedOn w:val="792"/>
    <w:next w:val="792"/>
    <w:uiPriority w:val="0"/>
    <w:qFormat/>
    <w:pPr>
      <w:ind w:left="2940"/>
    </w:pPr>
  </w:style>
  <w:style w:type="paragraph" w:styleId="1017" w:customStyle="1">
    <w:name w:val="日期1"/>
    <w:basedOn w:val="792"/>
    <w:next w:val="792"/>
    <w:link w:val="1018"/>
    <w:uiPriority w:val="0"/>
    <w:qFormat/>
    <w:pPr>
      <w:ind w:left="100"/>
    </w:pPr>
    <w:rPr>
      <w:rFonts w:ascii="仿宋_GB2312" w:hAnsi="宋体" w:eastAsia="仿宋_GB2312"/>
      <w:color w:val="000000"/>
      <w:sz w:val="24"/>
    </w:rPr>
  </w:style>
  <w:style w:type="character" w:styleId="1018" w:customStyle="1">
    <w:name w:val="日期 Char"/>
    <w:basedOn w:val="983"/>
    <w:link w:val="1017"/>
    <w:uiPriority w:val="0"/>
    <w:qFormat/>
    <w:rPr>
      <w:rFonts w:ascii="仿宋_GB2312" w:hAnsi="宋体" w:eastAsia="仿宋_GB2312"/>
      <w:color w:val="000000"/>
      <w:sz w:val="24"/>
      <w:szCs w:val="24"/>
    </w:rPr>
  </w:style>
  <w:style w:type="paragraph" w:styleId="1019" w:customStyle="1">
    <w:name w:val="正文文本缩进 21"/>
    <w:basedOn w:val="792"/>
    <w:link w:val="1020"/>
    <w:uiPriority w:val="0"/>
    <w:qFormat/>
    <w:pPr>
      <w:ind w:firstLine="480"/>
    </w:pPr>
    <w:rPr>
      <w:rFonts w:ascii="仿宋_GB2312" w:eastAsia="仿宋_GB2312"/>
      <w:sz w:val="24"/>
    </w:rPr>
  </w:style>
  <w:style w:type="character" w:styleId="1020" w:customStyle="1">
    <w:name w:val="正文文本缩进 2 Char"/>
    <w:basedOn w:val="983"/>
    <w:link w:val="1019"/>
    <w:uiPriority w:val="0"/>
    <w:qFormat/>
    <w:rPr>
      <w:rFonts w:ascii="仿宋_GB2312" w:eastAsia="仿宋_GB2312"/>
      <w:sz w:val="24"/>
      <w:szCs w:val="24"/>
    </w:rPr>
  </w:style>
  <w:style w:type="paragraph" w:styleId="1021" w:customStyle="1">
    <w:name w:val="批注框文本1"/>
    <w:basedOn w:val="792"/>
    <w:link w:val="1022"/>
    <w:uiPriority w:val="0"/>
    <w:qFormat/>
    <w:rPr>
      <w:sz w:val="18"/>
      <w:szCs w:val="18"/>
    </w:rPr>
  </w:style>
  <w:style w:type="character" w:styleId="1022" w:customStyle="1">
    <w:name w:val="批注框文本 Char"/>
    <w:basedOn w:val="983"/>
    <w:link w:val="1021"/>
    <w:uiPriority w:val="0"/>
    <w:qFormat/>
    <w:rPr>
      <w:sz w:val="18"/>
      <w:szCs w:val="18"/>
    </w:rPr>
  </w:style>
  <w:style w:type="paragraph" w:styleId="1023" w:customStyle="1">
    <w:name w:val="页脚11"/>
    <w:basedOn w:val="792"/>
    <w:link w:val="1024"/>
    <w:uiPriority w:val="99"/>
    <w:qFormat/>
    <w:pPr>
      <w:jc w:val="left"/>
      <w:tabs>
        <w:tab w:val="center" w:pos="4153" w:leader="none"/>
        <w:tab w:val="right" w:pos="8306" w:leader="none"/>
      </w:tabs>
    </w:pPr>
    <w:rPr>
      <w:rFonts w:ascii="宋体"/>
      <w:sz w:val="18"/>
      <w:szCs w:val="20"/>
    </w:rPr>
  </w:style>
  <w:style w:type="character" w:styleId="1024" w:customStyle="1">
    <w:name w:val="页脚 Char1"/>
    <w:link w:val="1023"/>
    <w:uiPriority w:val="99"/>
    <w:qFormat/>
    <w:rPr>
      <w:rFonts w:ascii="宋体" w:eastAsia="宋体"/>
      <w:sz w:val="18"/>
      <w:lang w:val="en-US" w:eastAsia="zh-CN" w:bidi="ar-SA"/>
    </w:rPr>
  </w:style>
  <w:style w:type="paragraph" w:styleId="1025" w:customStyle="1">
    <w:name w:val="寄信人地址1"/>
    <w:basedOn w:val="792"/>
    <w:uiPriority w:val="99"/>
    <w:unhideWhenUsed/>
    <w:qFormat/>
    <w:rPr>
      <w:rFonts w:ascii="Arial" w:hAnsi="Arial"/>
    </w:rPr>
  </w:style>
  <w:style w:type="paragraph" w:styleId="1026" w:customStyle="1">
    <w:name w:val="页眉11"/>
    <w:basedOn w:val="792"/>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Char1"/>
    <w:link w:val="1026"/>
    <w:uiPriority w:val="0"/>
    <w:qFormat/>
    <w:rPr>
      <w:rFonts w:eastAsia="宋体"/>
      <w:sz w:val="18"/>
      <w:szCs w:val="18"/>
      <w:lang w:val="en-US" w:eastAsia="zh-CN" w:bidi="ar-SA"/>
    </w:rPr>
  </w:style>
  <w:style w:type="paragraph" w:styleId="1028" w:customStyle="1">
    <w:name w:val="目录 11"/>
    <w:basedOn w:val="792"/>
    <w:next w:val="792"/>
    <w:uiPriority w:val="39"/>
    <w:qFormat/>
    <w:pPr>
      <w:spacing w:line="300" w:lineRule="auto"/>
      <w:tabs>
        <w:tab w:val="left" w:pos="1050" w:leader="none"/>
        <w:tab w:val="right" w:pos="8937" w:leader="dot"/>
      </w:tabs>
    </w:pPr>
    <w:rPr>
      <w:rFonts w:ascii="宋体" w:hAnsi="宋体"/>
      <w:b/>
      <w:sz w:val="24"/>
    </w:rPr>
  </w:style>
  <w:style w:type="paragraph" w:styleId="1029" w:customStyle="1">
    <w:name w:val="目录 41"/>
    <w:basedOn w:val="792"/>
    <w:next w:val="792"/>
    <w:uiPriority w:val="0"/>
    <w:qFormat/>
    <w:pPr>
      <w:ind w:left="1260"/>
    </w:pPr>
  </w:style>
  <w:style w:type="paragraph" w:styleId="1030" w:customStyle="1">
    <w:name w:val="目录 61"/>
    <w:basedOn w:val="792"/>
    <w:next w:val="792"/>
    <w:uiPriority w:val="0"/>
    <w:qFormat/>
    <w:pPr>
      <w:ind w:left="2100"/>
    </w:pPr>
  </w:style>
  <w:style w:type="paragraph" w:styleId="1031" w:customStyle="1">
    <w:name w:val="正文文本缩进 31"/>
    <w:basedOn w:val="792"/>
    <w:link w:val="1032"/>
    <w:uiPriority w:val="0"/>
    <w:qFormat/>
    <w:pPr>
      <w:ind w:left="720" w:firstLine="480"/>
      <w:jc w:val="left"/>
      <w:spacing w:before="120" w:line="22" w:lineRule="atLeast"/>
    </w:pPr>
    <w:rPr>
      <w:rFonts w:ascii="宋体"/>
      <w:sz w:val="24"/>
      <w:szCs w:val="20"/>
    </w:rPr>
  </w:style>
  <w:style w:type="character" w:styleId="1032" w:customStyle="1">
    <w:name w:val="正文文本缩进 3 Char"/>
    <w:basedOn w:val="983"/>
    <w:link w:val="1031"/>
    <w:uiPriority w:val="0"/>
    <w:qFormat/>
    <w:rPr>
      <w:rFonts w:ascii="宋体"/>
      <w:sz w:val="24"/>
    </w:rPr>
  </w:style>
  <w:style w:type="paragraph" w:styleId="1033" w:customStyle="1">
    <w:name w:val="目录 21"/>
    <w:basedOn w:val="792"/>
    <w:next w:val="792"/>
    <w:uiPriority w:val="39"/>
    <w:qFormat/>
    <w:pPr>
      <w:ind w:left="420"/>
      <w:spacing w:line="312" w:lineRule="auto"/>
      <w:tabs>
        <w:tab w:val="right" w:pos="8937" w:leader="dot"/>
      </w:tabs>
    </w:pPr>
  </w:style>
  <w:style w:type="paragraph" w:styleId="1034" w:customStyle="1">
    <w:name w:val="目录 91"/>
    <w:basedOn w:val="792"/>
    <w:next w:val="792"/>
    <w:uiPriority w:val="0"/>
    <w:qFormat/>
    <w:pPr>
      <w:ind w:left="3360"/>
    </w:pPr>
  </w:style>
  <w:style w:type="paragraph" w:styleId="1035" w:customStyle="1">
    <w:name w:val="HTML 预设格式1"/>
    <w:basedOn w:val="792"/>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6" w:customStyle="1">
    <w:name w:val="HTML 预设格式 Char"/>
    <w:basedOn w:val="983"/>
    <w:link w:val="1035"/>
    <w:uiPriority w:val="0"/>
    <w:qFormat/>
    <w:rPr>
      <w:rFonts w:ascii="宋体" w:hAnsi="宋体" w:cs="宋体"/>
      <w:sz w:val="24"/>
      <w:szCs w:val="24"/>
    </w:rPr>
  </w:style>
  <w:style w:type="paragraph" w:styleId="1037" w:customStyle="1">
    <w:name w:val="普通(网站)1"/>
    <w:basedOn w:val="792"/>
    <w:uiPriority w:val="99"/>
    <w:unhideWhenUsed/>
    <w:qFormat/>
    <w:pPr>
      <w:jc w:val="left"/>
      <w:spacing w:before="100" w:beforeAutospacing="1" w:after="100" w:afterAutospacing="1"/>
      <w:widowControl/>
    </w:pPr>
    <w:rPr>
      <w:rFonts w:ascii="宋体" w:hAnsi="宋体" w:cs="宋体"/>
      <w:sz w:val="24"/>
    </w:rPr>
  </w:style>
  <w:style w:type="paragraph" w:styleId="1038" w:customStyle="1">
    <w:name w:val="索引 111"/>
    <w:basedOn w:val="792"/>
    <w:next w:val="792"/>
    <w:uiPriority w:val="0"/>
    <w:qFormat/>
    <w:rPr>
      <w:szCs w:val="20"/>
    </w:rPr>
  </w:style>
  <w:style w:type="paragraph" w:styleId="1039" w:customStyle="1">
    <w:name w:val="标题1"/>
    <w:basedOn w:val="792"/>
    <w:link w:val="1040"/>
    <w:uiPriority w:val="0"/>
    <w:qFormat/>
    <w:pPr>
      <w:jc w:val="center"/>
      <w:outlineLvl w:val="0"/>
    </w:pPr>
    <w:rPr>
      <w:b/>
      <w:sz w:val="32"/>
      <w:szCs w:val="20"/>
    </w:rPr>
  </w:style>
  <w:style w:type="character" w:styleId="1040" w:customStyle="1">
    <w:name w:val="标题 Char1"/>
    <w:link w:val="1039"/>
    <w:uiPriority w:val="0"/>
    <w:qFormat/>
    <w:rPr>
      <w:b/>
      <w:sz w:val="32"/>
    </w:rPr>
  </w:style>
  <w:style w:type="paragraph" w:styleId="1041" w:customStyle="1">
    <w:name w:val="批注主题1"/>
    <w:basedOn w:val="999"/>
    <w:next w:val="999"/>
    <w:link w:val="1042"/>
    <w:uiPriority w:val="0"/>
    <w:qFormat/>
    <w:rPr>
      <w:b/>
      <w:bCs/>
    </w:rPr>
  </w:style>
  <w:style w:type="character" w:styleId="1042" w:customStyle="1">
    <w:name w:val="批注主题 Char"/>
    <w:basedOn w:val="1043"/>
    <w:link w:val="1041"/>
    <w:uiPriority w:val="0"/>
    <w:qFormat/>
    <w:rPr>
      <w:rFonts w:ascii="Times New Roman" w:hAnsi="Times New Roman" w:eastAsia="宋体" w:cs="Times New Roman"/>
      <w:b/>
      <w:bCs/>
      <w:sz w:val="21"/>
      <w:szCs w:val="24"/>
      <w:lang w:val="en-US" w:eastAsia="zh-CN" w:bidi="ar-SA"/>
    </w:rPr>
  </w:style>
  <w:style w:type="character" w:styleId="1043" w:customStyle="1">
    <w:name w:val="批注文字 字符"/>
    <w:link w:val="792"/>
    <w:uiPriority w:val="99"/>
    <w:qFormat/>
    <w:rPr>
      <w:rFonts w:ascii="Times New Roman" w:hAnsi="Times New Roman" w:eastAsia="宋体" w:cs="Times New Roman"/>
      <w:sz w:val="24"/>
      <w:lang w:val="en-US" w:eastAsia="zh-CN" w:bidi="ar-SA"/>
    </w:rPr>
  </w:style>
  <w:style w:type="paragraph" w:styleId="1044" w:customStyle="1">
    <w:name w:val="正文首行缩进1"/>
    <w:basedOn w:val="1003"/>
    <w:next w:val="792"/>
    <w:uiPriority w:val="99"/>
    <w:unhideWhenUsed/>
    <w:qFormat/>
    <w:pPr>
      <w:ind w:firstLine="420"/>
    </w:pPr>
  </w:style>
  <w:style w:type="table" w:styleId="1045" w:customStyle="1">
    <w:name w:val="网格型1"/>
    <w:basedOn w:val="984"/>
    <w:uiPriority w:val="39"/>
    <w:qFormat/>
    <w:tblPr/>
  </w:style>
  <w:style w:type="table" w:styleId="1046" w:customStyle="1">
    <w:name w:val="中等深浅网格 1 - 强调文字颜色 21"/>
    <w:basedOn w:val="984"/>
    <w:uiPriority w:val="0"/>
    <w:qFormat/>
    <w:rPr>
      <w:sz w:val="21"/>
      <w:szCs w:val="24"/>
    </w:rPr>
    <w:tblPr/>
  </w:style>
  <w:style w:type="character" w:styleId="1047" w:customStyle="1">
    <w:name w:val="要点1"/>
    <w:basedOn w:val="983"/>
    <w:link w:val="792"/>
    <w:uiPriority w:val="0"/>
    <w:qFormat/>
    <w:rPr>
      <w:b/>
      <w:bCs/>
    </w:rPr>
  </w:style>
  <w:style w:type="character" w:styleId="1048" w:customStyle="1">
    <w:name w:val="页码11"/>
    <w:basedOn w:val="983"/>
    <w:link w:val="792"/>
    <w:uiPriority w:val="0"/>
    <w:qFormat/>
  </w:style>
  <w:style w:type="character" w:styleId="1049" w:customStyle="1">
    <w:name w:val="超链接1"/>
    <w:basedOn w:val="983"/>
    <w:link w:val="792"/>
    <w:uiPriority w:val="99"/>
    <w:qFormat/>
    <w:rPr>
      <w:color w:val="0000ff"/>
      <w:u w:val="single"/>
    </w:rPr>
  </w:style>
  <w:style w:type="character" w:styleId="1050" w:customStyle="1">
    <w:name w:val="批注引用1"/>
    <w:link w:val="792"/>
    <w:uiPriority w:val="99"/>
    <w:qFormat/>
    <w:rPr>
      <w:sz w:val="21"/>
      <w:szCs w:val="21"/>
    </w:rPr>
  </w:style>
  <w:style w:type="character" w:styleId="1051" w:customStyle="1">
    <w:name w:val="HTML 引文1"/>
    <w:link w:val="792"/>
    <w:uiPriority w:val="0"/>
    <w:qFormat/>
    <w:rPr>
      <w:i/>
      <w:iCs/>
    </w:rPr>
  </w:style>
  <w:style w:type="paragraph" w:styleId="1052" w:customStyle="1">
    <w:name w:val="正文文本11"/>
    <w:basedOn w:val="792"/>
    <w:next w:val="1053"/>
    <w:uiPriority w:val="0"/>
    <w:qFormat/>
    <w:pPr>
      <w:spacing w:before="120" w:line="22" w:lineRule="atLeast"/>
      <w:tabs>
        <w:tab w:val="left" w:pos="567" w:leader="none"/>
      </w:tabs>
    </w:pPr>
    <w:rPr>
      <w:rFonts w:ascii="宋体" w:hAnsi="宋体"/>
      <w:sz w:val="24"/>
    </w:rPr>
  </w:style>
  <w:style w:type="paragraph" w:styleId="1053" w:customStyle="1">
    <w:name w:val="列表项目符号 51"/>
    <w:basedOn w:val="792"/>
    <w:uiPriority w:val="0"/>
    <w:qFormat/>
    <w:pPr>
      <w:numPr>
        <w:ilvl w:val="0"/>
        <w:numId w:val="2"/>
      </w:numPr>
    </w:pPr>
  </w:style>
  <w:style w:type="character" w:styleId="1054" w:customStyle="1">
    <w:name w:val="页码1"/>
    <w:link w:val="792"/>
    <w:uiPriority w:val="0"/>
    <w:qFormat/>
    <w:rPr>
      <w:sz w:val="21"/>
      <w:szCs w:val="24"/>
      <w:lang w:val="en-US" w:eastAsia="zh-CN" w:bidi="ar-SA"/>
    </w:rPr>
  </w:style>
  <w:style w:type="character" w:styleId="1055" w:customStyle="1">
    <w:name w:val="c21"/>
    <w:link w:val="792"/>
    <w:uiPriority w:val="0"/>
    <w:qFormat/>
    <w:rPr>
      <w:rFonts w:ascii="ˎ̥" w:hAnsi="ˎ̥"/>
      <w:color w:val="000000"/>
      <w:sz w:val="20"/>
      <w:szCs w:val="20"/>
      <w:u w:val="none"/>
    </w:rPr>
  </w:style>
  <w:style w:type="character" w:styleId="1056" w:customStyle="1">
    <w:name w:val="title4"/>
    <w:link w:val="792"/>
    <w:uiPriority w:val="0"/>
    <w:qFormat/>
    <w:rPr>
      <w:b/>
      <w:bCs/>
      <w:color w:val="1d87b3"/>
      <w:sz w:val="15"/>
      <w:szCs w:val="15"/>
    </w:rPr>
  </w:style>
  <w:style w:type="character" w:styleId="1057" w:customStyle="1">
    <w:name w:val="标题 2 Char Char"/>
    <w:link w:val="792"/>
    <w:uiPriority w:val="0"/>
    <w:qFormat/>
    <w:rPr>
      <w:rFonts w:ascii="Arial" w:hAnsi="Arial" w:eastAsia="黑体"/>
      <w:b/>
      <w:bCs/>
      <w:sz w:val="32"/>
      <w:szCs w:val="32"/>
      <w:lang w:val="en-US" w:eastAsia="zh-CN" w:bidi="ar-SA"/>
    </w:rPr>
  </w:style>
  <w:style w:type="character" w:styleId="1058" w:customStyle="1">
    <w:name w:val="black1"/>
    <w:link w:val="792"/>
    <w:uiPriority w:val="0"/>
    <w:qFormat/>
    <w:rPr>
      <w:color w:val="000000"/>
    </w:rPr>
  </w:style>
  <w:style w:type="character" w:styleId="1059" w:customStyle="1">
    <w:name w:val="street-address"/>
    <w:basedOn w:val="983"/>
    <w:link w:val="792"/>
    <w:uiPriority w:val="0"/>
    <w:qFormat/>
  </w:style>
  <w:style w:type="character" w:styleId="1060" w:customStyle="1">
    <w:name w:val="locality"/>
    <w:basedOn w:val="983"/>
    <w:link w:val="792"/>
    <w:uiPriority w:val="0"/>
    <w:qFormat/>
  </w:style>
  <w:style w:type="character" w:styleId="1061" w:customStyle="1">
    <w:name w:val="正文文本缩进 Char1"/>
    <w:link w:val="1062"/>
    <w:uiPriority w:val="0"/>
    <w:qFormat/>
    <w:rPr>
      <w:rFonts w:ascii="宋体" w:hAnsi="宋体" w:eastAsia="宋体"/>
      <w:sz w:val="24"/>
      <w:szCs w:val="24"/>
      <w:lang w:bidi="ar-SA"/>
    </w:rPr>
  </w:style>
  <w:style w:type="paragraph" w:styleId="1062" w:customStyle="1">
    <w:name w:val="正文文本缩进1"/>
    <w:basedOn w:val="792"/>
    <w:link w:val="1061"/>
    <w:uiPriority w:val="0"/>
    <w:qFormat/>
    <w:pPr>
      <w:ind w:firstLine="480"/>
      <w:spacing w:line="480" w:lineRule="exact"/>
    </w:pPr>
    <w:rPr>
      <w:rFonts w:ascii="宋体" w:hAnsi="宋体"/>
      <w:sz w:val="24"/>
    </w:rPr>
  </w:style>
  <w:style w:type="character" w:styleId="1063" w:customStyle="1">
    <w:name w:val="Char Char11"/>
    <w:link w:val="792"/>
    <w:uiPriority w:val="0"/>
    <w:qFormat/>
    <w:rPr>
      <w:rFonts w:ascii="宋体" w:eastAsia="宋体"/>
      <w:b/>
      <w:sz w:val="24"/>
      <w:u w:val="single"/>
      <w:lang w:val="en-US" w:eastAsia="zh-CN" w:bidi="ar-SA"/>
    </w:rPr>
  </w:style>
  <w:style w:type="character" w:styleId="1064" w:customStyle="1">
    <w:name w:val="txt"/>
    <w:basedOn w:val="983"/>
    <w:link w:val="792"/>
    <w:uiPriority w:val="0"/>
    <w:qFormat/>
  </w:style>
  <w:style w:type="character" w:styleId="1065" w:customStyle="1">
    <w:name w:val="正文缩进 Char Char"/>
    <w:link w:val="1066"/>
    <w:uiPriority w:val="0"/>
    <w:qFormat/>
    <w:rPr>
      <w:rFonts w:ascii="宋体" w:eastAsia="宋体"/>
      <w:color w:val="000000"/>
      <w:sz w:val="28"/>
      <w:lang w:bidi="ar-SA"/>
    </w:rPr>
  </w:style>
  <w:style w:type="paragraph" w:styleId="1066" w:customStyle="1">
    <w:name w:val="正文缩进1"/>
    <w:basedOn w:val="792"/>
    <w:link w:val="1065"/>
    <w:uiPriority w:val="0"/>
    <w:qFormat/>
    <w:pPr>
      <w:ind w:firstLine="567"/>
      <w:spacing w:line="480" w:lineRule="exact"/>
      <w:widowControl/>
    </w:pPr>
    <w:rPr>
      <w:rFonts w:ascii="宋体"/>
      <w:color w:val="000000"/>
      <w:sz w:val="28"/>
      <w:szCs w:val="20"/>
    </w:rPr>
  </w:style>
  <w:style w:type="character" w:styleId="1067" w:customStyle="1">
    <w:name w:val="普通文字1 Char1"/>
    <w:link w:val="792"/>
    <w:uiPriority w:val="0"/>
    <w:qFormat/>
    <w:rPr>
      <w:rFonts w:ascii="宋体" w:hAnsi="Courier New" w:eastAsia="宋体"/>
      <w:sz w:val="21"/>
      <w:lang w:val="en-US" w:eastAsia="zh-CN" w:bidi="ar-SA"/>
    </w:rPr>
  </w:style>
  <w:style w:type="character" w:styleId="1068" w:customStyle="1">
    <w:name w:val="chanpin1"/>
    <w:link w:val="792"/>
    <w:uiPriority w:val="0"/>
    <w:qFormat/>
    <w:rPr>
      <w:rFonts w:ascii="ˎ̥" w:hAnsi="ˎ̥"/>
      <w:color w:val="000000"/>
      <w:sz w:val="20"/>
      <w:szCs w:val="20"/>
      <w:u w:val="none"/>
    </w:rPr>
  </w:style>
  <w:style w:type="character" w:styleId="1069" w:customStyle="1">
    <w:name w:val="列出段落 Char1"/>
    <w:link w:val="1070"/>
    <w:uiPriority w:val="34"/>
    <w:qFormat/>
    <w:rPr>
      <w:rFonts w:ascii="Calibri" w:hAnsi="Calibri" w:eastAsia="宋体"/>
      <w:sz w:val="21"/>
      <w:szCs w:val="22"/>
      <w:lang w:val="en-US" w:eastAsia="zh-CN" w:bidi="ar-SA"/>
    </w:rPr>
  </w:style>
  <w:style w:type="paragraph" w:styleId="1070" w:customStyle="1">
    <w:name w:val="列出段落"/>
    <w:basedOn w:val="792"/>
    <w:link w:val="1069"/>
    <w:uiPriority w:val="34"/>
    <w:qFormat/>
    <w:pPr>
      <w:ind w:firstLine="420"/>
    </w:pPr>
    <w:rPr>
      <w:rFonts w:ascii="Calibri" w:hAnsi="Calibri"/>
      <w:szCs w:val="22"/>
    </w:rPr>
  </w:style>
  <w:style w:type="character" w:styleId="1071" w:customStyle="1">
    <w:name w:val="标题 3 Char Char"/>
    <w:link w:val="792"/>
    <w:uiPriority w:val="0"/>
    <w:qFormat/>
    <w:rPr>
      <w:rFonts w:eastAsia="宋体"/>
      <w:b/>
      <w:bCs/>
      <w:sz w:val="32"/>
      <w:szCs w:val="32"/>
      <w:lang w:val="en-US" w:eastAsia="zh-CN" w:bidi="ar-SA"/>
    </w:rPr>
  </w:style>
  <w:style w:type="character" w:styleId="1072" w:customStyle="1">
    <w:name w:val="段1 Char"/>
    <w:link w:val="792"/>
    <w:uiPriority w:val="0"/>
    <w:qFormat/>
    <w:rPr>
      <w:rFonts w:ascii="宋体" w:eastAsia="宋体"/>
      <w:sz w:val="24"/>
      <w:lang w:val="en-US" w:eastAsia="zh-CN" w:bidi="ar-SA"/>
    </w:rPr>
  </w:style>
  <w:style w:type="character" w:styleId="1073" w:customStyle="1">
    <w:name w:val="chanpin拷贝"/>
    <w:basedOn w:val="983"/>
    <w:link w:val="792"/>
    <w:uiPriority w:val="0"/>
    <w:qFormat/>
  </w:style>
  <w:style w:type="character" w:styleId="1074" w:customStyle="1">
    <w:name w:val="纯文本 Char1"/>
    <w:link w:val="792"/>
    <w:uiPriority w:val="0"/>
    <w:qFormat/>
    <w:rPr>
      <w:rFonts w:ascii="宋体" w:hAnsi="Courier New" w:eastAsia="宋体"/>
      <w:sz w:val="21"/>
      <w:lang w:val="en-US" w:eastAsia="zh-CN" w:bidi="ar-SA"/>
    </w:rPr>
  </w:style>
  <w:style w:type="character" w:styleId="1075" w:customStyle="1">
    <w:name w:val="apple-style-span"/>
    <w:link w:val="792"/>
    <w:uiPriority w:val="0"/>
    <w:qFormat/>
    <w:rPr>
      <w:rFonts w:cs="Times New Roman"/>
    </w:rPr>
  </w:style>
  <w:style w:type="paragraph" w:styleId="1076" w:customStyle="1">
    <w:name w:val="二级条标题"/>
    <w:basedOn w:val="1077"/>
    <w:next w:val="79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7" w:customStyle="1">
    <w:name w:val="一级条标题"/>
    <w:basedOn w:val="1078"/>
    <w:next w:val="792"/>
    <w:uiPriority w:val="0"/>
    <w:qFormat/>
    <w:pPr>
      <w:numPr>
        <w:ilvl w:val="1"/>
      </w:numPr>
      <w:ind w:left="0" w:hanging="840"/>
      <w:tabs>
        <w:tab w:val="left" w:pos="360" w:leader="none"/>
        <w:tab w:val="left" w:pos="840" w:leader="none"/>
      </w:tabs>
      <w:outlineLvl w:val="1"/>
    </w:pPr>
  </w:style>
  <w:style w:type="paragraph" w:styleId="1078" w:customStyle="1">
    <w:name w:val="章标题"/>
    <w:next w:val="792"/>
    <w:uiPriority w:val="0"/>
    <w:qFormat/>
    <w:pPr>
      <w:numPr>
        <w:ilvl w:val="0"/>
        <w:numId w:val="3"/>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79" w:customStyle="1">
    <w:name w:val="font7"/>
    <w:basedOn w:val="792"/>
    <w:uiPriority w:val="0"/>
    <w:qFormat/>
    <w:pPr>
      <w:jc w:val="left"/>
      <w:spacing w:before="100" w:beforeAutospacing="1" w:after="100" w:afterAutospacing="1"/>
      <w:widowControl/>
    </w:pPr>
    <w:rPr>
      <w:rFonts w:eastAsia="Arial Unicode MS"/>
      <w:b/>
      <w:bCs/>
      <w:color w:val="000000"/>
      <w:sz w:val="20"/>
      <w:szCs w:val="20"/>
    </w:rPr>
  </w:style>
  <w:style w:type="paragraph" w:styleId="1080" w:customStyle="1">
    <w:name w:val="字元 字元"/>
    <w:basedOn w:val="792"/>
    <w:uiPriority w:val="0"/>
    <w:qFormat/>
    <w:rPr>
      <w:rFonts w:ascii="Tahoma" w:hAnsi="Tahoma"/>
      <w:sz w:val="24"/>
      <w:szCs w:val="20"/>
    </w:rPr>
  </w:style>
  <w:style w:type="paragraph" w:styleId="1081" w:customStyle="1">
    <w:name w:val="Char3 Char Char Char"/>
    <w:basedOn w:val="792"/>
    <w:uiPriority w:val="0"/>
    <w:qFormat/>
    <w:rPr>
      <w:rFonts w:ascii="Tahoma" w:hAnsi="Tahoma"/>
      <w:sz w:val="24"/>
      <w:szCs w:val="20"/>
    </w:rPr>
  </w:style>
  <w:style w:type="paragraph" w:styleId="1082" w:customStyle="1">
    <w:name w:val="font6"/>
    <w:basedOn w:val="792"/>
    <w:uiPriority w:val="0"/>
    <w:qFormat/>
    <w:pPr>
      <w:jc w:val="left"/>
      <w:spacing w:before="100" w:beforeAutospacing="1" w:after="100" w:afterAutospacing="1"/>
      <w:widowControl/>
    </w:pPr>
    <w:rPr>
      <w:rFonts w:ascii="宋体" w:hAnsi="宋体" w:cs="宋体"/>
      <w:sz w:val="20"/>
      <w:szCs w:val="20"/>
    </w:rPr>
  </w:style>
  <w:style w:type="paragraph" w:styleId="1083" w:customStyle="1">
    <w:name w:val="项目编号2"/>
    <w:basedOn w:val="1084"/>
    <w:uiPriority w:val="0"/>
    <w:qFormat/>
    <w:pPr>
      <w:numPr>
        <w:numId w:val="4"/>
      </w:numPr>
    </w:pPr>
  </w:style>
  <w:style w:type="paragraph" w:styleId="1084" w:customStyle="1">
    <w:name w:val="项目编号1"/>
    <w:basedOn w:val="792"/>
    <w:uiPriority w:val="0"/>
    <w:qFormat/>
    <w:pPr>
      <w:numPr>
        <w:ilvl w:val="0"/>
        <w:numId w:val="5"/>
      </w:numPr>
      <w:spacing w:before="100" w:beforeAutospacing="1" w:after="100" w:afterAutospacing="1" w:line="360" w:lineRule="auto"/>
    </w:pPr>
    <w:rPr>
      <w:sz w:val="24"/>
    </w:rPr>
  </w:style>
  <w:style w:type="paragraph" w:styleId="1085" w:customStyle="1">
    <w:name w:val="图中文字"/>
    <w:basedOn w:val="792"/>
    <w:uiPriority w:val="0"/>
    <w:qFormat/>
    <w:pPr>
      <w:jc w:val="center"/>
      <w:spacing w:line="0" w:lineRule="atLeast"/>
    </w:pPr>
    <w:rPr>
      <w:sz w:val="24"/>
      <w:szCs w:val="20"/>
    </w:rPr>
  </w:style>
  <w:style w:type="paragraph" w:styleId="1086" w:customStyle="1">
    <w:name w:val="xl46"/>
    <w:basedOn w:val="79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7" w:customStyle="1">
    <w:name w:val="xl2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Char2"/>
    <w:basedOn w:val="792"/>
    <w:uiPriority w:val="0"/>
    <w:qFormat/>
    <w:rPr>
      <w:rFonts w:ascii="Tahoma" w:hAnsi="Tahoma"/>
      <w:sz w:val="24"/>
      <w:szCs w:val="20"/>
    </w:rPr>
  </w:style>
  <w:style w:type="paragraph" w:styleId="1089" w:customStyle="1">
    <w:name w:val="xl35"/>
    <w:basedOn w:val="7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0" w:customStyle="1">
    <w:name w:val="xl40"/>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1" w:customStyle="1">
    <w:name w:val="xl52"/>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2" w:customStyle="1">
    <w:name w:val="xl43"/>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3" w:customStyle="1">
    <w:name w:val="background1"/>
    <w:basedOn w:val="792"/>
    <w:uiPriority w:val="0"/>
    <w:qFormat/>
    <w:pPr>
      <w:jc w:val="left"/>
      <w:spacing w:before="100" w:beforeAutospacing="1" w:after="100" w:afterAutospacing="1"/>
      <w:widowControl/>
    </w:pPr>
    <w:rPr>
      <w:rFonts w:ascii="宋体" w:hAnsi="宋体" w:cs="宋体"/>
      <w:sz w:val="24"/>
    </w:rPr>
  </w:style>
  <w:style w:type="paragraph" w:styleId="1094" w:customStyle="1">
    <w:name w:val="Char Char Char Char Char Char Char"/>
    <w:basedOn w:val="792"/>
    <w:uiPriority w:val="0"/>
    <w:qFormat/>
    <w:pPr>
      <w:ind w:firstLine="200"/>
      <w:spacing w:line="360" w:lineRule="auto"/>
    </w:pPr>
    <w:rPr>
      <w:rFonts w:eastAsia="仿宋_GB2312"/>
      <w:sz w:val="24"/>
    </w:rPr>
  </w:style>
  <w:style w:type="paragraph" w:styleId="1095" w:customStyle="1">
    <w:name w:val="xl3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6" w:customStyle="1">
    <w:name w:val="xl36"/>
    <w:basedOn w:val="79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customStyle="1">
    <w:name w:val="正文 + 宋体"/>
    <w:basedOn w:val="792"/>
    <w:uiPriority w:val="0"/>
    <w:qFormat/>
    <w:pPr>
      <w:ind w:left="360" w:hanging="360"/>
      <w:jc w:val="left"/>
      <w:widowControl/>
    </w:pPr>
    <w:rPr>
      <w:rFonts w:ascii="宋体" w:hAnsi="宋体" w:cs="宋体"/>
      <w:b/>
      <w:bCs/>
      <w:color w:val="000000"/>
      <w:sz w:val="18"/>
      <w:szCs w:val="18"/>
    </w:rPr>
  </w:style>
  <w:style w:type="paragraph" w:styleId="1098" w:customStyle="1">
    <w:name w:val="正文列项_数字"/>
    <w:basedOn w:val="792"/>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099" w:customStyle="1">
    <w:name w:val="xl39"/>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37"/>
    <w:basedOn w:val="7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xl32"/>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font8"/>
    <w:basedOn w:val="792"/>
    <w:uiPriority w:val="0"/>
    <w:qFormat/>
    <w:pPr>
      <w:jc w:val="left"/>
      <w:spacing w:before="100" w:beforeAutospacing="1" w:after="100" w:afterAutospacing="1"/>
      <w:widowControl/>
    </w:pPr>
    <w:rPr>
      <w:sz w:val="36"/>
      <w:szCs w:val="36"/>
    </w:rPr>
  </w:style>
  <w:style w:type="paragraph" w:styleId="1103" w:customStyle="1">
    <w:name w:val="Char"/>
    <w:basedOn w:val="792"/>
    <w:uiPriority w:val="0"/>
    <w:qFormat/>
    <w:pPr>
      <w:tabs>
        <w:tab w:val="left" w:pos="360" w:leader="none"/>
      </w:tabs>
    </w:pPr>
    <w:rPr>
      <w:sz w:val="24"/>
    </w:rPr>
  </w:style>
  <w:style w:type="paragraph" w:styleId="1104" w:customStyle="1">
    <w:name w:val="Char Char Char Char Char Char Char Char Char Char Char Char Char Char Char Char"/>
    <w:basedOn w:val="792"/>
    <w:uiPriority w:val="0"/>
    <w:qFormat/>
    <w:pPr>
      <w:jc w:val="center"/>
      <w:spacing w:after="160" w:line="240" w:lineRule="exact"/>
      <w:widowControl/>
    </w:pPr>
    <w:rPr>
      <w:rFonts w:ascii="宋体" w:hAnsi="宋体"/>
      <w:b/>
      <w:sz w:val="30"/>
      <w:szCs w:val="30"/>
      <w:lang w:eastAsia="en-US"/>
    </w:rPr>
  </w:style>
  <w:style w:type="paragraph" w:styleId="1105" w:customStyle="1">
    <w:name w:val="xl4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6" w:customStyle="1">
    <w:name w:val="Char Char1 Char Char Char Char Char Char"/>
    <w:basedOn w:val="792"/>
    <w:uiPriority w:val="0"/>
    <w:qFormat/>
    <w:pPr>
      <w:jc w:val="left"/>
      <w:spacing w:after="160" w:line="240" w:lineRule="exact"/>
      <w:widowControl/>
    </w:pPr>
    <w:rPr>
      <w:rFonts w:ascii="Verdana" w:hAnsi="Verdana" w:eastAsia="仿宋_GB2312"/>
      <w:sz w:val="24"/>
      <w:szCs w:val="20"/>
      <w:lang w:eastAsia="en-US"/>
    </w:rPr>
  </w:style>
  <w:style w:type="paragraph" w:styleId="1107" w:customStyle="1">
    <w:name w:val="Char Char1"/>
    <w:basedOn w:val="997"/>
    <w:uiPriority w:val="0"/>
    <w:qFormat/>
    <w:rPr>
      <w:rFonts w:ascii="Tahoma" w:hAnsi="Tahoma"/>
      <w:sz w:val="24"/>
    </w:rPr>
  </w:style>
  <w:style w:type="paragraph" w:styleId="1108" w:customStyle="1">
    <w:name w:val="xl26"/>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9" w:customStyle="1">
    <w:name w:val="xl30"/>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customStyle="1">
    <w:name w:val="xl41"/>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1" w:customStyle="1">
    <w:name w:val="样式 宋体 五号 行距: 单倍行距"/>
    <w:basedOn w:val="792"/>
    <w:uiPriority w:val="0"/>
    <w:qFormat/>
    <w:pPr>
      <w:jc w:val="left"/>
    </w:pPr>
    <w:rPr>
      <w:rFonts w:ascii="宋体" w:hAnsi="宋体"/>
      <w:szCs w:val="20"/>
    </w:rPr>
  </w:style>
  <w:style w:type="paragraph" w:styleId="1112" w:customStyle="1">
    <w:name w:val="Char1 Char Char Char1"/>
    <w:basedOn w:val="792"/>
    <w:uiPriority w:val="0"/>
    <w:qFormat/>
    <w:rPr>
      <w:rFonts w:ascii="Tahoma" w:hAnsi="Tahoma" w:cs="仿宋_GB2312"/>
      <w:sz w:val="24"/>
      <w:szCs w:val="28"/>
    </w:rPr>
  </w:style>
  <w:style w:type="paragraph" w:styleId="1113" w:customStyle="1">
    <w:name w:val="四级条标题"/>
    <w:basedOn w:val="1114"/>
    <w:next w:val="792"/>
    <w:uiPriority w:val="0"/>
    <w:qFormat/>
    <w:pPr>
      <w:numPr>
        <w:ilvl w:val="4"/>
      </w:numPr>
      <w:ind w:left="0" w:hanging="840"/>
      <w:tabs>
        <w:tab w:val="left" w:pos="360" w:leader="none"/>
        <w:tab w:val="left" w:pos="840" w:leader="none"/>
      </w:tabs>
      <w:outlineLvl w:val="4"/>
    </w:pPr>
  </w:style>
  <w:style w:type="paragraph" w:styleId="1114" w:customStyle="1">
    <w:name w:val="三级条标题"/>
    <w:basedOn w:val="1076"/>
    <w:next w:val="792"/>
    <w:uiPriority w:val="0"/>
    <w:qFormat/>
    <w:pPr>
      <w:numPr>
        <w:ilvl w:val="3"/>
        <w:numId w:val="3"/>
      </w:numPr>
      <w:ind w:left="0" w:hanging="840"/>
      <w:outlineLvl w:val="3"/>
    </w:pPr>
  </w:style>
  <w:style w:type="paragraph" w:styleId="111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16" w:customStyle="1">
    <w:name w:val="样式 标题 2 + 宋体 五号 行距: 单倍行距"/>
    <w:basedOn w:val="974"/>
    <w:uiPriority w:val="0"/>
    <w:qFormat/>
    <w:pPr>
      <w:numPr>
        <w:ilvl w:val="1"/>
        <w:numId w:val="6"/>
      </w:numPr>
      <w:jc w:val="left"/>
      <w:spacing w:before="260" w:after="260" w:line="240" w:lineRule="auto"/>
    </w:pPr>
    <w:rPr>
      <w:rFonts w:ascii="宋体" w:hAnsi="宋体" w:eastAsia="宋体"/>
      <w:bCs/>
      <w:sz w:val="21"/>
    </w:rPr>
  </w:style>
  <w:style w:type="paragraph" w:styleId="1117" w:customStyle="1">
    <w:name w:val="List Paragraph1"/>
    <w:basedOn w:val="792"/>
    <w:uiPriority w:val="0"/>
    <w:qFormat/>
    <w:pPr>
      <w:ind w:firstLine="420"/>
    </w:pPr>
    <w:rPr>
      <w:rFonts w:ascii="Calibri" w:hAnsi="Calibri"/>
      <w:szCs w:val="22"/>
    </w:rPr>
  </w:style>
  <w:style w:type="paragraph" w:styleId="1118" w:customStyle="1">
    <w:name w:val="项目符号1"/>
    <w:basedOn w:val="1119"/>
    <w:uiPriority w:val="0"/>
    <w:qFormat/>
    <w:pPr>
      <w:ind w:left="-25" w:firstLine="0"/>
    </w:pPr>
  </w:style>
  <w:style w:type="paragraph" w:styleId="1119" w:customStyle="1">
    <w:name w:val="正文文本样式"/>
    <w:basedOn w:val="792"/>
    <w:uiPriority w:val="0"/>
    <w:qFormat/>
    <w:pPr>
      <w:ind w:firstLine="482"/>
      <w:spacing w:line="360" w:lineRule="auto"/>
    </w:pPr>
    <w:rPr>
      <w:rFonts w:cs="宋体"/>
      <w:sz w:val="24"/>
      <w:szCs w:val="20"/>
    </w:rPr>
  </w:style>
  <w:style w:type="paragraph" w:styleId="1120" w:customStyle="1">
    <w:name w:val="xl27"/>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1" w:customStyle="1">
    <w:name w:val="font5"/>
    <w:basedOn w:val="792"/>
    <w:uiPriority w:val="0"/>
    <w:qFormat/>
    <w:pPr>
      <w:jc w:val="left"/>
      <w:spacing w:before="100" w:beforeAutospacing="1" w:after="100" w:afterAutospacing="1"/>
      <w:widowControl/>
    </w:pPr>
    <w:rPr>
      <w:rFonts w:ascii="宋体" w:hAnsi="宋体" w:cs="宋体"/>
      <w:sz w:val="18"/>
      <w:szCs w:val="18"/>
    </w:rPr>
  </w:style>
  <w:style w:type="paragraph" w:styleId="1122" w:customStyle="1">
    <w:name w:val="五级条标题"/>
    <w:basedOn w:val="1113"/>
    <w:next w:val="792"/>
    <w:uiPriority w:val="0"/>
    <w:qFormat/>
    <w:pPr>
      <w:numPr>
        <w:ilvl w:val="5"/>
      </w:numPr>
      <w:ind w:left="0" w:hanging="840"/>
      <w:outlineLvl w:val="5"/>
    </w:pPr>
  </w:style>
  <w:style w:type="paragraph" w:styleId="1123" w:customStyle="1">
    <w:name w:val="xl49"/>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4" w:customStyle="1">
    <w:name w:val="文档正文"/>
    <w:basedOn w:val="792"/>
    <w:uiPriority w:val="0"/>
    <w:qFormat/>
    <w:pPr>
      <w:spacing w:before="120" w:after="120" w:line="180" w:lineRule="auto"/>
    </w:pPr>
    <w:rPr>
      <w:rFonts w:ascii="Arial" w:hAnsi="Arial"/>
      <w:szCs w:val="20"/>
    </w:rPr>
  </w:style>
  <w:style w:type="paragraph" w:styleId="1125" w:customStyle="1">
    <w:name w:val="xl33"/>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customStyle="1">
    <w:name w:val="xl42"/>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7" w:customStyle="1">
    <w:name w:val="Char Char Char1 Char"/>
    <w:basedOn w:val="792"/>
    <w:uiPriority w:val="0"/>
    <w:qFormat/>
    <w:rPr>
      <w:rFonts w:ascii="Tahoma" w:hAnsi="Tahoma"/>
      <w:sz w:val="24"/>
      <w:szCs w:val="20"/>
    </w:rPr>
  </w:style>
  <w:style w:type="paragraph" w:styleId="1128" w:customStyle="1">
    <w:name w:val="xl44"/>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9" w:customStyle="1">
    <w:name w:val="1名"/>
    <w:basedOn w:val="792"/>
    <w:uiPriority w:val="0"/>
    <w:qFormat/>
    <w:pPr>
      <w:numPr>
        <w:ilvl w:val="0"/>
        <w:numId w:val="7"/>
      </w:numPr>
      <w:spacing w:before="120"/>
    </w:pPr>
    <w:rPr>
      <w:rFonts w:ascii="宋体"/>
      <w:sz w:val="28"/>
      <w:szCs w:val="20"/>
    </w:rPr>
  </w:style>
  <w:style w:type="paragraph" w:styleId="1130" w:customStyle="1">
    <w:name w:val="font9"/>
    <w:basedOn w:val="79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1" w:customStyle="1">
    <w:name w:val="Char Char Char1 Char1"/>
    <w:basedOn w:val="792"/>
    <w:uiPriority w:val="0"/>
    <w:qFormat/>
    <w:rPr>
      <w:rFonts w:ascii="Tahoma" w:hAnsi="Tahoma"/>
      <w:sz w:val="24"/>
      <w:szCs w:val="20"/>
    </w:rPr>
  </w:style>
  <w:style w:type="paragraph" w:styleId="1132" w:customStyle="1">
    <w:name w:val="Char Char Char Char Char Char Char Char Char Char"/>
    <w:basedOn w:val="792"/>
    <w:uiPriority w:val="0"/>
    <w:qFormat/>
  </w:style>
  <w:style w:type="paragraph" w:styleId="1133" w:customStyle="1">
    <w:name w:val="Char Char1 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134" w:customStyle="1">
    <w:name w:val="Char1"/>
    <w:basedOn w:val="792"/>
    <w:uiPriority w:val="0"/>
    <w:qFormat/>
    <w:pPr>
      <w:tabs>
        <w:tab w:val="left" w:pos="360" w:leader="none"/>
      </w:tabs>
    </w:pPr>
    <w:rPr>
      <w:sz w:val="24"/>
    </w:rPr>
  </w:style>
  <w:style w:type="paragraph" w:styleId="1135" w:customStyle="1">
    <w:name w:val="正文列项_字母"/>
    <w:basedOn w:val="792"/>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36" w:customStyle="1">
    <w:name w:val="xl28"/>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47"/>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默认段落字体 Para Char Char Char Char"/>
    <w:basedOn w:val="792"/>
    <w:uiPriority w:val="0"/>
    <w:qFormat/>
    <w:rPr>
      <w:rFonts w:ascii="Arial" w:hAnsi="Arial" w:cs="Arial"/>
      <w:szCs w:val="21"/>
    </w:rPr>
  </w:style>
  <w:style w:type="paragraph" w:styleId="1139" w:customStyle="1">
    <w:name w:val="xl48"/>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0" w:customStyle="1">
    <w:name w:val="xl31"/>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1" w:customStyle="1">
    <w:name w:val="xl53"/>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Char Char Char"/>
    <w:basedOn w:val="792"/>
    <w:uiPriority w:val="0"/>
    <w:qFormat/>
    <w:rPr>
      <w:rFonts w:ascii="Tahoma" w:hAnsi="Tahoma"/>
      <w:sz w:val="24"/>
      <w:szCs w:val="20"/>
    </w:rPr>
  </w:style>
  <w:style w:type="paragraph" w:styleId="1143" w:customStyle="1">
    <w:name w:val="xl50"/>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4" w:customStyle="1">
    <w:name w:val="缺省文本"/>
    <w:basedOn w:val="792"/>
    <w:uiPriority w:val="0"/>
    <w:qFormat/>
    <w:pPr>
      <w:jc w:val="left"/>
    </w:pPr>
    <w:rPr>
      <w:sz w:val="24"/>
    </w:rPr>
  </w:style>
  <w:style w:type="paragraph" w:styleId="1145" w:customStyle="1">
    <w:name w:val="Char Char Char1"/>
    <w:basedOn w:val="792"/>
    <w:uiPriority w:val="0"/>
    <w:qFormat/>
    <w:rPr>
      <w:rFonts w:ascii="Tahoma" w:hAnsi="Tahoma"/>
      <w:sz w:val="24"/>
      <w:szCs w:val="20"/>
    </w:rPr>
  </w:style>
  <w:style w:type="paragraph" w:styleId="1146" w:customStyle="1">
    <w:name w:val="Char Char Char Char Char Char Char1"/>
    <w:basedOn w:val="792"/>
    <w:uiPriority w:val="0"/>
    <w:qFormat/>
    <w:pPr>
      <w:ind w:firstLine="200"/>
      <w:spacing w:line="360" w:lineRule="auto"/>
    </w:pPr>
    <w:rPr>
      <w:rFonts w:eastAsia="仿宋_GB2312"/>
      <w:sz w:val="24"/>
    </w:rPr>
  </w:style>
  <w:style w:type="paragraph" w:styleId="1147" w:customStyle="1">
    <w:name w:val="xl51"/>
    <w:basedOn w:val="7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customStyle="1">
    <w:name w:val="样式2"/>
    <w:basedOn w:val="1038"/>
    <w:uiPriority w:val="0"/>
    <w:qFormat/>
    <w:pPr>
      <w:jc w:val="center"/>
      <w:spacing w:line="360" w:lineRule="auto"/>
    </w:pPr>
    <w:rPr>
      <w:sz w:val="24"/>
    </w:rPr>
  </w:style>
  <w:style w:type="paragraph" w:styleId="1149" w:customStyle="1">
    <w:name w:val="xl24"/>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customStyle="1">
    <w:name w:val="xl29"/>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1" w:customStyle="1">
    <w:name w:val="正文 + 楷体_GB2312"/>
    <w:basedOn w:val="792"/>
    <w:uiPriority w:val="0"/>
    <w:qFormat/>
    <w:pPr>
      <w:jc w:val="left"/>
      <w:widowControl/>
    </w:pPr>
    <w:rPr>
      <w:rFonts w:ascii="楷体_GB2312" w:eastAsia="楷体_GB2312" w:cs="Arial"/>
      <w:sz w:val="24"/>
    </w:rPr>
  </w:style>
  <w:style w:type="paragraph" w:styleId="1152" w:customStyle="1">
    <w:name w:val="xl34"/>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3" w:customStyle="1">
    <w:name w:val="1 Char Char Char Char"/>
    <w:basedOn w:val="792"/>
    <w:uiPriority w:val="0"/>
    <w:qFormat/>
    <w:rPr>
      <w:rFonts w:ascii="Tahoma" w:hAnsi="Tahoma"/>
      <w:sz w:val="24"/>
      <w:szCs w:val="20"/>
    </w:rPr>
  </w:style>
  <w:style w:type="paragraph" w:styleId="115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55" w:customStyle="1">
    <w:name w:val="列出段落1"/>
    <w:basedOn w:val="792"/>
    <w:uiPriority w:val="0"/>
    <w:qFormat/>
    <w:pPr>
      <w:ind w:firstLine="420"/>
    </w:pPr>
    <w:rPr>
      <w:rFonts w:ascii="Calibri" w:hAnsi="Calibri"/>
      <w:szCs w:val="22"/>
    </w:rPr>
  </w:style>
  <w:style w:type="paragraph" w:styleId="1156" w:customStyle="1">
    <w:name w:val="default"/>
    <w:basedOn w:val="792"/>
    <w:uiPriority w:val="0"/>
    <w:qFormat/>
    <w:pPr>
      <w:jc w:val="left"/>
      <w:spacing w:before="100" w:beforeAutospacing="1" w:after="100" w:afterAutospacing="1"/>
      <w:widowControl/>
    </w:pPr>
    <w:rPr>
      <w:rFonts w:ascii="宋体" w:hAnsi="宋体" w:cs="宋体"/>
      <w:sz w:val="24"/>
    </w:rPr>
  </w:style>
  <w:style w:type="paragraph" w:styleId="1157" w:customStyle="1">
    <w:name w:val="字元 字元1"/>
    <w:basedOn w:val="792"/>
    <w:uiPriority w:val="0"/>
    <w:qFormat/>
    <w:rPr>
      <w:rFonts w:ascii="Tahoma" w:hAnsi="Tahoma"/>
      <w:sz w:val="24"/>
      <w:szCs w:val="20"/>
    </w:rPr>
  </w:style>
  <w:style w:type="paragraph" w:styleId="1158" w:customStyle="1">
    <w:name w:val="_Style 160"/>
    <w:uiPriority w:val="0"/>
    <w:qFormat/>
    <w:rPr>
      <w:rFonts w:hint="default" w:ascii="Times New Roman" w:hAnsi="Times New Roman" w:eastAsia="宋体" w:cs="Times New Roman"/>
      <w:sz w:val="21"/>
      <w:szCs w:val="24"/>
      <w:lang w:val="en-US" w:eastAsia="zh-CN" w:bidi="ar-SA"/>
    </w:rPr>
  </w:style>
  <w:style w:type="paragraph" w:styleId="1159" w:customStyle="1">
    <w:name w:val="项目编号3"/>
    <w:basedOn w:val="1119"/>
    <w:uiPriority w:val="0"/>
    <w:qFormat/>
    <w:pPr>
      <w:numPr>
        <w:ilvl w:val="0"/>
        <w:numId w:val="8"/>
      </w:numPr>
    </w:pPr>
  </w:style>
  <w:style w:type="paragraph" w:styleId="1160" w:customStyle="1">
    <w:name w:val="Char21"/>
    <w:basedOn w:val="792"/>
    <w:uiPriority w:val="0"/>
    <w:qFormat/>
    <w:rPr>
      <w:rFonts w:ascii="Tahoma" w:hAnsi="Tahoma"/>
      <w:sz w:val="24"/>
      <w:szCs w:val="20"/>
    </w:rPr>
  </w:style>
  <w:style w:type="paragraph" w:styleId="1161" w:customStyle="1">
    <w:name w:val="表格文字"/>
    <w:basedOn w:val="1005"/>
    <w:uiPriority w:val="0"/>
    <w:qFormat/>
    <w:pPr>
      <w:ind w:firstLine="0"/>
      <w:spacing w:before="20" w:after="20" w:line="240" w:lineRule="auto"/>
    </w:pPr>
    <w:rPr>
      <w:rFonts w:ascii="Century Gothic" w:hAnsi="Century Gothic"/>
      <w:sz w:val="20"/>
      <w:szCs w:val="20"/>
    </w:rPr>
  </w:style>
  <w:style w:type="paragraph" w:styleId="1162" w:customStyle="1">
    <w:name w:val="Char Char Char Char Char Char Char Char Char Char1"/>
    <w:basedOn w:val="792"/>
    <w:uiPriority w:val="0"/>
    <w:qFormat/>
    <w:rPr>
      <w:rFonts w:ascii="宋体" w:hAnsi="宋体" w:cs="Courier New"/>
      <w:sz w:val="32"/>
      <w:szCs w:val="32"/>
    </w:rPr>
  </w:style>
  <w:style w:type="paragraph" w:styleId="1163" w:customStyle="1">
    <w:name w:val="正文文本样式 加粗"/>
    <w:basedOn w:val="1119"/>
    <w:uiPriority w:val="0"/>
    <w:qFormat/>
    <w:rPr>
      <w:b/>
    </w:rPr>
  </w:style>
  <w:style w:type="paragraph" w:styleId="1164" w:customStyle="1">
    <w:name w:val="Char2 Char Char Char Char Char Char"/>
    <w:basedOn w:val="792"/>
    <w:uiPriority w:val="0"/>
    <w:qFormat/>
    <w:pPr>
      <w:jc w:val="center"/>
      <w:spacing w:line="400" w:lineRule="exact"/>
      <w:widowControl/>
    </w:pPr>
  </w:style>
  <w:style w:type="paragraph" w:styleId="1165" w:customStyle="1">
    <w:name w:val="Char Char4"/>
    <w:basedOn w:val="792"/>
    <w:uiPriority w:val="0"/>
    <w:qFormat/>
    <w:pPr>
      <w:jc w:val="center"/>
      <w:spacing w:line="400" w:lineRule="exact"/>
      <w:widowControl/>
    </w:pPr>
  </w:style>
  <w:style w:type="paragraph" w:styleId="1166" w:customStyle="1">
    <w:name w:val="Char3 Char Char Char1"/>
    <w:basedOn w:val="792"/>
    <w:uiPriority w:val="0"/>
    <w:qFormat/>
    <w:rPr>
      <w:rFonts w:ascii="Tahoma" w:hAnsi="Tahoma"/>
      <w:sz w:val="24"/>
      <w:szCs w:val="20"/>
    </w:rPr>
  </w:style>
  <w:style w:type="paragraph" w:styleId="116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22222222222222"/>
    <w:basedOn w:val="792"/>
    <w:uiPriority w:val="0"/>
    <w:qFormat/>
    <w:pPr>
      <w:ind w:firstLine="480"/>
      <w:jc w:val="left"/>
      <w:spacing w:line="360" w:lineRule="auto"/>
      <w:widowControl/>
    </w:pPr>
    <w:rPr>
      <w:color w:val="ff0000"/>
      <w:sz w:val="24"/>
      <w:szCs w:val="20"/>
    </w:rPr>
  </w:style>
  <w:style w:type="character" w:styleId="1169" w:customStyle="1">
    <w:name w:val="中等深浅网格 1 - 强调文字颜色 2 Char"/>
    <w:link w:val="1170"/>
    <w:uiPriority w:val="0"/>
    <w:qFormat/>
    <w:rPr>
      <w:sz w:val="21"/>
      <w:szCs w:val="24"/>
      <w:lang w:val="zh-CN" w:eastAsia="zh-CN" w:bidi="ar-SA"/>
    </w:rPr>
  </w:style>
  <w:style w:type="paragraph" w:styleId="1170" w:customStyle="1">
    <w:name w:val="1"/>
    <w:link w:val="1169"/>
    <w:uiPriority w:val="0"/>
    <w:qFormat/>
    <w:rPr>
      <w:rFonts w:hint="default" w:ascii="Times New Roman" w:hAnsi="Times New Roman" w:eastAsia="宋体" w:cs="Times New Roman"/>
      <w:sz w:val="21"/>
      <w:szCs w:val="24"/>
      <w:lang w:val="zh-CN" w:eastAsia="zh-CN" w:bidi="ar-SA"/>
    </w:rPr>
  </w:style>
  <w:style w:type="paragraph" w:styleId="1171" w:customStyle="1">
    <w:name w:val="图文"/>
    <w:basedOn w:val="792"/>
    <w:uiPriority w:val="0"/>
    <w:qFormat/>
    <w:pPr>
      <w:spacing w:after="50" w:line="360" w:lineRule="auto"/>
    </w:pPr>
    <w:rPr>
      <w:sz w:val="24"/>
    </w:rPr>
  </w:style>
  <w:style w:type="paragraph" w:styleId="1172" w:customStyle="1">
    <w:name w:val="xl23"/>
    <w:basedOn w:val="792"/>
    <w:uiPriority w:val="0"/>
    <w:qFormat/>
    <w:pPr>
      <w:spacing w:before="100" w:beforeAutospacing="1" w:after="100" w:afterAutospacing="1" w:line="360" w:lineRule="auto"/>
      <w:widowControl/>
    </w:pPr>
    <w:rPr>
      <w:sz w:val="24"/>
      <w:szCs w:val="20"/>
    </w:rPr>
  </w:style>
  <w:style w:type="paragraph" w:styleId="1173" w:customStyle="1">
    <w:name w:val="正文表格"/>
    <w:basedOn w:val="792"/>
    <w:link w:val="1174"/>
    <w:uiPriority w:val="0"/>
    <w:qFormat/>
    <w:pPr>
      <w:jc w:val="left"/>
    </w:pPr>
    <w:rPr>
      <w:rFonts w:ascii="宋体" w:hAnsi="宋体"/>
      <w:color w:val="000000"/>
      <w:szCs w:val="21"/>
    </w:rPr>
  </w:style>
  <w:style w:type="character" w:styleId="1174" w:customStyle="1">
    <w:name w:val="正文表格 Char"/>
    <w:link w:val="1173"/>
    <w:uiPriority w:val="0"/>
    <w:qFormat/>
    <w:rPr>
      <w:rFonts w:ascii="宋体" w:hAnsi="宋体"/>
      <w:color w:val="000000"/>
      <w:sz w:val="21"/>
      <w:szCs w:val="21"/>
    </w:rPr>
  </w:style>
  <w:style w:type="paragraph" w:styleId="1175" w:customStyle="1">
    <w:name w:val="正文重点"/>
    <w:basedOn w:val="792"/>
    <w:link w:val="1176"/>
    <w:uiPriority w:val="0"/>
    <w:qFormat/>
    <w:pPr>
      <w:ind w:firstLine="482"/>
      <w:jc w:val="left"/>
      <w:spacing w:line="360" w:lineRule="auto"/>
    </w:pPr>
    <w:rPr>
      <w:b/>
      <w:sz w:val="24"/>
      <w:szCs w:val="20"/>
    </w:rPr>
  </w:style>
  <w:style w:type="character" w:styleId="1176" w:customStyle="1">
    <w:name w:val="正文重点 Char"/>
    <w:link w:val="1175"/>
    <w:uiPriority w:val="0"/>
    <w:qFormat/>
    <w:rPr>
      <w:b/>
      <w:sz w:val="24"/>
    </w:rPr>
  </w:style>
  <w:style w:type="paragraph" w:styleId="1177" w:customStyle="1">
    <w:name w:val="标题1-附件"/>
    <w:basedOn w:val="973"/>
    <w:uiPriority w:val="0"/>
    <w:qFormat/>
    <w:pPr>
      <w:jc w:val="left"/>
    </w:pPr>
    <w:rPr>
      <w:sz w:val="24"/>
      <w:szCs w:val="24"/>
    </w:rPr>
  </w:style>
  <w:style w:type="paragraph" w:styleId="1178" w:customStyle="1">
    <w:name w:val="正文小标题"/>
    <w:basedOn w:val="792"/>
    <w:next w:val="975"/>
    <w:link w:val="1179"/>
    <w:uiPriority w:val="0"/>
    <w:qFormat/>
    <w:pPr>
      <w:ind w:firstLine="482"/>
      <w:jc w:val="left"/>
      <w:spacing w:before="312" w:after="312"/>
    </w:pPr>
    <w:rPr>
      <w:rFonts w:ascii="宋体" w:hAnsi="宋体"/>
      <w:b/>
      <w:i/>
      <w:color w:val="ff0000"/>
      <w:sz w:val="24"/>
      <w:szCs w:val="20"/>
    </w:rPr>
  </w:style>
  <w:style w:type="character" w:styleId="1179" w:customStyle="1">
    <w:name w:val="正文小标题 Char"/>
    <w:link w:val="1178"/>
    <w:uiPriority w:val="0"/>
    <w:qFormat/>
    <w:rPr>
      <w:rFonts w:ascii="宋体" w:hAnsi="宋体"/>
      <w:b/>
      <w:i/>
      <w:color w:val="ff0000"/>
      <w:sz w:val="24"/>
    </w:rPr>
  </w:style>
  <w:style w:type="paragraph" w:styleId="1180" w:customStyle="1">
    <w:name w:val="正文大标题"/>
    <w:basedOn w:val="1178"/>
    <w:next w:val="975"/>
    <w:link w:val="1181"/>
    <w:uiPriority w:val="0"/>
    <w:qFormat/>
    <w:pPr>
      <w:jc w:val="center"/>
    </w:pPr>
    <w:rPr>
      <w:i w:val="0"/>
      <w:color w:val="000000"/>
      <w:sz w:val="28"/>
      <w:szCs w:val="21"/>
    </w:rPr>
  </w:style>
  <w:style w:type="character" w:styleId="1181" w:customStyle="1">
    <w:name w:val="正文大标题 Char"/>
    <w:link w:val="1180"/>
    <w:uiPriority w:val="0"/>
    <w:qFormat/>
    <w:rPr>
      <w:rFonts w:ascii="宋体" w:hAnsi="宋体"/>
      <w:b/>
      <w:color w:val="000000"/>
      <w:sz w:val="28"/>
      <w:szCs w:val="21"/>
    </w:rPr>
  </w:style>
  <w:style w:type="paragraph" w:styleId="1182" w:customStyle="1">
    <w:name w:val="注释"/>
    <w:basedOn w:val="792"/>
    <w:link w:val="1183"/>
    <w:uiPriority w:val="0"/>
    <w:qFormat/>
    <w:pPr>
      <w:ind w:left="420" w:hanging="420"/>
      <w:jc w:val="left"/>
    </w:pPr>
    <w:rPr>
      <w:rFonts w:ascii="宋体" w:hAnsi="宋体"/>
      <w:szCs w:val="21"/>
    </w:rPr>
  </w:style>
  <w:style w:type="character" w:styleId="1183" w:customStyle="1">
    <w:name w:val="注释 Char"/>
    <w:link w:val="1182"/>
    <w:uiPriority w:val="0"/>
    <w:qFormat/>
    <w:rPr>
      <w:rFonts w:ascii="宋体" w:hAnsi="宋体"/>
      <w:sz w:val="21"/>
      <w:szCs w:val="21"/>
    </w:rPr>
  </w:style>
  <w:style w:type="paragraph" w:styleId="1184" w:customStyle="1">
    <w:name w:val="正文须知-1级"/>
    <w:basedOn w:val="792"/>
    <w:next w:val="792"/>
    <w:uiPriority w:val="0"/>
    <w:qFormat/>
    <w:pPr>
      <w:numPr>
        <w:ilvl w:val="0"/>
        <w:numId w:val="9"/>
      </w:numPr>
      <w:spacing w:line="300" w:lineRule="auto"/>
    </w:pPr>
    <w:rPr>
      <w:rFonts w:ascii="宋体" w:hAnsi="Calibri"/>
      <w:sz w:val="24"/>
      <w:szCs w:val="21"/>
    </w:rPr>
  </w:style>
  <w:style w:type="paragraph" w:styleId="1185" w:customStyle="1">
    <w:name w:val="正文须知-2级"/>
    <w:basedOn w:val="792"/>
    <w:uiPriority w:val="0"/>
    <w:qFormat/>
    <w:pPr>
      <w:numPr>
        <w:ilvl w:val="1"/>
        <w:numId w:val="9"/>
      </w:numPr>
      <w:spacing w:line="300" w:lineRule="auto"/>
    </w:pPr>
    <w:rPr>
      <w:rFonts w:ascii="宋体" w:hAnsi="Calibri"/>
      <w:sz w:val="24"/>
      <w:szCs w:val="21"/>
    </w:rPr>
  </w:style>
  <w:style w:type="paragraph" w:styleId="1186" w:customStyle="1">
    <w:name w:val="正文须知-3级"/>
    <w:basedOn w:val="792"/>
    <w:uiPriority w:val="0"/>
    <w:qFormat/>
    <w:pPr>
      <w:numPr>
        <w:ilvl w:val="2"/>
        <w:numId w:val="9"/>
      </w:numPr>
      <w:ind w:hanging="355"/>
      <w:spacing w:line="300" w:lineRule="auto"/>
    </w:pPr>
    <w:rPr>
      <w:rFonts w:ascii="宋体" w:hAnsi="Calibri"/>
      <w:sz w:val="24"/>
      <w:szCs w:val="21"/>
    </w:rPr>
  </w:style>
  <w:style w:type="character" w:styleId="1187" w:customStyle="1">
    <w:name w:val="纯文本 字符"/>
    <w:link w:val="792"/>
    <w:uiPriority w:val="99"/>
    <w:qFormat/>
    <w:rPr>
      <w:rFonts w:ascii="宋体" w:hAnsi="Courier New" w:eastAsia="宋体" w:cs="Times New Roman"/>
      <w:sz w:val="21"/>
      <w:szCs w:val="21"/>
      <w:lang w:val="en-US" w:eastAsia="zh-CN" w:bidi="ar-SA"/>
    </w:rPr>
  </w:style>
  <w:style w:type="paragraph" w:styleId="1188" w:customStyle="1">
    <w:name w:val="表格1"/>
    <w:basedOn w:val="792"/>
    <w:uiPriority w:val="0"/>
    <w:qFormat/>
    <w:pPr>
      <w:ind w:firstLine="480"/>
      <w:jc w:val="center"/>
    </w:pPr>
    <w:rPr>
      <w:sz w:val="24"/>
      <w:szCs w:val="20"/>
    </w:rPr>
  </w:style>
  <w:style w:type="character" w:styleId="1189" w:customStyle="1">
    <w:name w:val="纯文本 字符1"/>
    <w:link w:val="792"/>
    <w:uiPriority w:val="0"/>
    <w:qFormat/>
    <w:rPr>
      <w:rFonts w:ascii="宋体" w:hAnsi="Courier New"/>
    </w:rPr>
  </w:style>
  <w:style w:type="character" w:styleId="1190" w:customStyle="1">
    <w:name w:val="bjh-p"/>
    <w:link w:val="792"/>
    <w:uiPriority w:val="0"/>
    <w:qFormat/>
  </w:style>
  <w:style w:type="paragraph" w:styleId="1191" w:customStyle="1">
    <w:name w:val="无标题条"/>
    <w:next w:val="792"/>
    <w:uiPriority w:val="0"/>
    <w:qFormat/>
    <w:pPr>
      <w:jc w:val="both"/>
    </w:pPr>
    <w:rPr>
      <w:rFonts w:hint="default" w:ascii="Times New Roman" w:hAnsi="Times New Roman" w:eastAsia="宋体" w:cs="Times New Roman"/>
      <w:sz w:val="21"/>
      <w:lang w:val="en-US" w:eastAsia="zh-CN" w:bidi="ar-SA"/>
    </w:rPr>
  </w:style>
  <w:style w:type="character" w:styleId="1192" w:customStyle="1">
    <w:name w:val="正文格式 Char"/>
    <w:link w:val="1193"/>
    <w:uiPriority w:val="0"/>
    <w:qFormat/>
    <w:rPr>
      <w:rFonts w:ascii="宋体" w:hAnsi="宋体"/>
      <w:sz w:val="24"/>
      <w:szCs w:val="24"/>
      <w:lang w:val="en-GB"/>
    </w:rPr>
  </w:style>
  <w:style w:type="paragraph" w:styleId="1193" w:customStyle="1">
    <w:name w:val="正文格式"/>
    <w:basedOn w:val="792"/>
    <w:link w:val="1192"/>
    <w:uiPriority w:val="0"/>
    <w:qFormat/>
    <w:pPr>
      <w:ind w:firstLine="480"/>
      <w:spacing w:line="360" w:lineRule="auto"/>
    </w:pPr>
    <w:rPr>
      <w:rFonts w:ascii="宋体" w:hAnsi="宋体"/>
      <w:sz w:val="24"/>
      <w:lang w:val="en-GB"/>
    </w:rPr>
  </w:style>
  <w:style w:type="character" w:styleId="1194" w:customStyle="1">
    <w:name w:val="标题 3 Char"/>
    <w:link w:val="792"/>
    <w:uiPriority w:val="0"/>
    <w:qFormat/>
    <w:rPr>
      <w:rFonts w:ascii="宋体" w:eastAsia="宋体"/>
      <w:b/>
      <w:sz w:val="24"/>
      <w:u w:val="single"/>
      <w:lang w:val="en-US" w:eastAsia="zh-CN" w:bidi="ar-SA"/>
    </w:rPr>
  </w:style>
  <w:style w:type="character" w:styleId="1195" w:customStyle="1">
    <w:name w:val="正文缩进 Char"/>
    <w:link w:val="792"/>
    <w:uiPriority w:val="0"/>
    <w:qFormat/>
    <w:rPr>
      <w:rFonts w:ascii="宋体" w:eastAsia="宋体"/>
      <w:sz w:val="24"/>
      <w:szCs w:val="24"/>
      <w:lang w:val="en-US" w:eastAsia="zh-CN" w:bidi="ar-SA"/>
    </w:rPr>
  </w:style>
  <w:style w:type="character" w:styleId="1196" w:customStyle="1">
    <w:name w:val="Char Char111"/>
    <w:link w:val="792"/>
    <w:uiPriority w:val="0"/>
    <w:qFormat/>
    <w:rPr>
      <w:rFonts w:ascii="宋体" w:eastAsia="宋体"/>
      <w:b/>
      <w:sz w:val="24"/>
      <w:u w:val="single"/>
      <w:lang w:val="en-US" w:eastAsia="zh-CN" w:bidi="ar-SA"/>
    </w:rPr>
  </w:style>
  <w:style w:type="character" w:styleId="1197" w:customStyle="1">
    <w:name w:val="正文文本缩进 Char"/>
    <w:link w:val="792"/>
    <w:uiPriority w:val="0"/>
    <w:qFormat/>
    <w:rPr>
      <w:rFonts w:eastAsia="宋体"/>
      <w:sz w:val="24"/>
      <w:szCs w:val="24"/>
      <w:lang w:val="en-US" w:eastAsia="zh-CN" w:bidi="ar-SA"/>
    </w:rPr>
  </w:style>
  <w:style w:type="character" w:styleId="1198" w:customStyle="1">
    <w:name w:val="列出段落 Char"/>
    <w:link w:val="792"/>
    <w:uiPriority w:val="0"/>
    <w:qFormat/>
    <w:rPr>
      <w:rFonts w:ascii="Calibri" w:hAnsi="Calibri" w:eastAsia="宋体"/>
      <w:sz w:val="21"/>
      <w:szCs w:val="22"/>
      <w:lang w:val="en-US" w:eastAsia="zh-CN" w:bidi="ar-SA"/>
    </w:rPr>
  </w:style>
  <w:style w:type="character" w:styleId="1199" w:customStyle="1">
    <w:name w:val="页眉 Char"/>
    <w:link w:val="792"/>
    <w:uiPriority w:val="0"/>
    <w:qFormat/>
    <w:rPr>
      <w:rFonts w:eastAsia="宋体"/>
      <w:sz w:val="18"/>
      <w:szCs w:val="18"/>
      <w:lang w:val="en-US" w:eastAsia="zh-CN" w:bidi="ar-SA"/>
    </w:rPr>
  </w:style>
  <w:style w:type="character" w:styleId="1200" w:customStyle="1">
    <w:name w:val="标题 2 Char"/>
    <w:link w:val="792"/>
    <w:uiPriority w:val="0"/>
    <w:qFormat/>
    <w:rPr>
      <w:rFonts w:ascii="Arial" w:hAnsi="Arial" w:eastAsia="黑体"/>
      <w:b/>
      <w:sz w:val="30"/>
      <w:lang w:val="en-US" w:eastAsia="zh-CN" w:bidi="ar-SA"/>
    </w:rPr>
  </w:style>
  <w:style w:type="paragraph" w:styleId="1201" w:customStyle="1">
    <w:name w:val="字元 字元2"/>
    <w:basedOn w:val="792"/>
    <w:uiPriority w:val="0"/>
    <w:qFormat/>
    <w:rPr>
      <w:rFonts w:ascii="Tahoma" w:hAnsi="Tahoma"/>
      <w:sz w:val="24"/>
      <w:szCs w:val="20"/>
    </w:rPr>
  </w:style>
  <w:style w:type="paragraph" w:styleId="1202" w:customStyle="1">
    <w:name w:val="Char3 Char Char Char2"/>
    <w:basedOn w:val="792"/>
    <w:uiPriority w:val="0"/>
    <w:qFormat/>
    <w:rPr>
      <w:rFonts w:ascii="Tahoma" w:hAnsi="Tahoma"/>
      <w:sz w:val="24"/>
      <w:szCs w:val="20"/>
    </w:rPr>
  </w:style>
  <w:style w:type="paragraph" w:styleId="1203" w:customStyle="1">
    <w:name w:val="正文文本缩进2"/>
    <w:basedOn w:val="792"/>
    <w:uiPriority w:val="0"/>
    <w:qFormat/>
    <w:pPr>
      <w:ind w:firstLine="480"/>
      <w:spacing w:line="480" w:lineRule="exact"/>
    </w:pPr>
    <w:rPr>
      <w:rFonts w:ascii="宋体" w:hAnsi="宋体"/>
      <w:sz w:val="24"/>
      <w:lang w:val="zh-CN" w:eastAsia="zh-CN"/>
    </w:rPr>
  </w:style>
  <w:style w:type="paragraph" w:styleId="1204" w:customStyle="1">
    <w:name w:val="Char3"/>
    <w:basedOn w:val="792"/>
    <w:uiPriority w:val="0"/>
    <w:qFormat/>
    <w:pPr>
      <w:tabs>
        <w:tab w:val="left" w:pos="360" w:leader="none"/>
      </w:tabs>
    </w:pPr>
    <w:rPr>
      <w:sz w:val="24"/>
    </w:rPr>
  </w:style>
  <w:style w:type="paragraph" w:styleId="1205" w:customStyle="1">
    <w:name w:val="Char Char Char Char Char Char Char Char Char Char Char Char Char Char Char Char1"/>
    <w:basedOn w:val="792"/>
    <w:uiPriority w:val="0"/>
    <w:qFormat/>
    <w:pPr>
      <w:jc w:val="center"/>
      <w:spacing w:after="160" w:line="240" w:lineRule="exact"/>
      <w:widowControl/>
    </w:pPr>
    <w:rPr>
      <w:rFonts w:ascii="宋体" w:hAnsi="宋体"/>
      <w:b/>
      <w:sz w:val="30"/>
      <w:szCs w:val="30"/>
      <w:lang w:eastAsia="en-US"/>
    </w:rPr>
  </w:style>
  <w:style w:type="paragraph" w:styleId="1206" w:customStyle="1">
    <w:name w:val="Char Char1 Char Char Char Char Char Char1"/>
    <w:basedOn w:val="792"/>
    <w:uiPriority w:val="0"/>
    <w:qFormat/>
    <w:pPr>
      <w:jc w:val="left"/>
      <w:spacing w:after="160" w:line="240" w:lineRule="exact"/>
      <w:widowControl/>
    </w:pPr>
    <w:rPr>
      <w:rFonts w:ascii="Verdana" w:hAnsi="Verdana" w:eastAsia="仿宋_GB2312"/>
      <w:sz w:val="24"/>
      <w:szCs w:val="20"/>
      <w:lang w:eastAsia="en-US"/>
    </w:rPr>
  </w:style>
  <w:style w:type="paragraph" w:styleId="1207" w:customStyle="1">
    <w:name w:val="列出段落2"/>
    <w:basedOn w:val="792"/>
    <w:uiPriority w:val="0"/>
    <w:qFormat/>
    <w:pPr>
      <w:ind w:firstLine="420"/>
    </w:pPr>
    <w:rPr>
      <w:rFonts w:ascii="Calibri" w:hAnsi="Calibri"/>
      <w:szCs w:val="22"/>
    </w:rPr>
  </w:style>
  <w:style w:type="paragraph" w:styleId="1208" w:customStyle="1">
    <w:name w:val="Char Char Char1 Char2"/>
    <w:basedOn w:val="792"/>
    <w:uiPriority w:val="0"/>
    <w:qFormat/>
    <w:rPr>
      <w:rFonts w:ascii="Tahoma" w:hAnsi="Tahoma"/>
      <w:sz w:val="24"/>
      <w:szCs w:val="20"/>
    </w:rPr>
  </w:style>
  <w:style w:type="paragraph" w:styleId="1209" w:customStyle="1">
    <w:name w:val="Char Char Char2"/>
    <w:basedOn w:val="792"/>
    <w:uiPriority w:val="0"/>
    <w:qFormat/>
    <w:rPr>
      <w:rFonts w:ascii="Tahoma" w:hAnsi="Tahoma"/>
      <w:sz w:val="24"/>
      <w:szCs w:val="20"/>
    </w:rPr>
  </w:style>
  <w:style w:type="paragraph" w:styleId="1210" w:customStyle="1">
    <w:name w:val="Char Char Char Char Char Char Char2"/>
    <w:basedOn w:val="792"/>
    <w:uiPriority w:val="0"/>
    <w:qFormat/>
    <w:pPr>
      <w:ind w:firstLine="200"/>
      <w:spacing w:line="360" w:lineRule="auto"/>
    </w:pPr>
    <w:rPr>
      <w:rFonts w:eastAsia="仿宋_GB2312"/>
      <w:sz w:val="24"/>
    </w:rPr>
  </w:style>
  <w:style w:type="paragraph" w:styleId="1211" w:customStyle="1">
    <w:name w:val="正文缩进2"/>
    <w:basedOn w:val="792"/>
    <w:uiPriority w:val="0"/>
    <w:qFormat/>
    <w:pPr>
      <w:ind w:firstLine="567"/>
      <w:spacing w:line="480" w:lineRule="exact"/>
      <w:widowControl/>
    </w:pPr>
    <w:rPr>
      <w:rFonts w:ascii="宋体"/>
      <w:color w:val="000000"/>
      <w:sz w:val="28"/>
      <w:szCs w:val="20"/>
      <w:lang w:val="zh-CN" w:eastAsia="zh-CN"/>
    </w:rPr>
  </w:style>
  <w:style w:type="paragraph" w:styleId="1212" w:customStyle="1">
    <w:name w:val="Revision"/>
    <w:uiPriority w:val="0"/>
    <w:qFormat/>
    <w:rPr>
      <w:rFonts w:hint="default" w:ascii="Times New Roman" w:hAnsi="Times New Roman" w:eastAsia="宋体" w:cs="Times New Roman"/>
      <w:sz w:val="21"/>
      <w:szCs w:val="24"/>
      <w:lang w:val="en-US" w:eastAsia="zh-CN" w:bidi="ar-SA"/>
    </w:rPr>
  </w:style>
  <w:style w:type="paragraph" w:styleId="1213" w:customStyle="1">
    <w:name w:val="Char22"/>
    <w:basedOn w:val="792"/>
    <w:uiPriority w:val="0"/>
    <w:qFormat/>
    <w:rPr>
      <w:rFonts w:ascii="Tahoma" w:hAnsi="Tahoma"/>
      <w:sz w:val="24"/>
      <w:szCs w:val="20"/>
    </w:rPr>
  </w:style>
  <w:style w:type="paragraph" w:styleId="1214" w:customStyle="1">
    <w:name w:val="Char Char Char Char Char Char Char Char Char Char2"/>
    <w:basedOn w:val="792"/>
    <w:uiPriority w:val="0"/>
    <w:qFormat/>
    <w:rPr>
      <w:rFonts w:ascii="宋体" w:hAnsi="宋体" w:cs="Courier New"/>
      <w:sz w:val="32"/>
      <w:szCs w:val="32"/>
    </w:rPr>
  </w:style>
  <w:style w:type="paragraph" w:styleId="1215" w:customStyle="1">
    <w:name w:val="Char2 Char Char Char Char Char Char1"/>
    <w:basedOn w:val="792"/>
    <w:uiPriority w:val="0"/>
    <w:qFormat/>
    <w:pPr>
      <w:jc w:val="center"/>
      <w:spacing w:line="400" w:lineRule="exact"/>
      <w:widowControl/>
    </w:pPr>
  </w:style>
  <w:style w:type="character" w:styleId="1216" w:customStyle="1">
    <w:name w:val="页脚 Char"/>
    <w:link w:val="792"/>
    <w:uiPriority w:val="0"/>
    <w:qFormat/>
    <w:rPr>
      <w:rFonts w:ascii="宋体" w:eastAsia="宋体"/>
      <w:sz w:val="18"/>
      <w:lang w:val="en-US" w:eastAsia="zh-CN" w:bidi="ar-SA"/>
    </w:rPr>
  </w:style>
  <w:style w:type="paragraph" w:styleId="1217" w:customStyle="1">
    <w:name w:val="Char Char41"/>
    <w:basedOn w:val="792"/>
    <w:uiPriority w:val="0"/>
    <w:qFormat/>
    <w:pPr>
      <w:jc w:val="center"/>
      <w:spacing w:line="400" w:lineRule="exact"/>
      <w:widowControl/>
    </w:pPr>
  </w:style>
  <w:style w:type="character" w:styleId="1218" w:customStyle="1">
    <w:name w:val="批注文字 Char"/>
    <w:link w:val="792"/>
    <w:uiPriority w:val="99"/>
    <w:qFormat/>
    <w:rPr>
      <w:sz w:val="21"/>
      <w:szCs w:val="24"/>
    </w:rPr>
  </w:style>
  <w:style w:type="character" w:styleId="1219" w:customStyle="1">
    <w:name w:val="标题 Char"/>
    <w:link w:val="792"/>
    <w:uiPriority w:val="0"/>
    <w:qFormat/>
    <w:rPr>
      <w:b/>
      <w:sz w:val="32"/>
    </w:rPr>
  </w:style>
  <w:style w:type="paragraph" w:styleId="1220" w:customStyle="1">
    <w:name w:val="图例"/>
    <w:basedOn w:val="792"/>
    <w:uiPriority w:val="0"/>
    <w:qFormat/>
    <w:pPr>
      <w:jc w:val="center"/>
      <w:spacing w:before="120" w:after="120" w:line="360" w:lineRule="auto"/>
    </w:pPr>
    <w:rPr>
      <w:rFonts w:eastAsia="仿宋_GB2312"/>
      <w:b/>
      <w:sz w:val="24"/>
      <w:szCs w:val="20"/>
    </w:rPr>
  </w:style>
  <w:style w:type="table" w:styleId="1221" w:customStyle="1">
    <w:name w:val="Table Normal"/>
    <w:uiPriority w:val="2"/>
    <w:unhideWhenUsed/>
    <w:qFormat/>
    <w:pPr>
      <w:widowControl w:val="off"/>
    </w:pPr>
    <w:rPr>
      <w:rFonts w:ascii="Calibri" w:hAnsi="Calibri"/>
      <w:sz w:val="22"/>
      <w:szCs w:val="22"/>
      <w:lang w:val="en-US" w:eastAsia="en-US" w:bidi="ar-SA"/>
    </w:rPr>
    <w:tblPr/>
  </w:style>
  <w:style w:type="paragraph" w:styleId="1222" w:customStyle="1">
    <w:name w:val="Table Paragraph"/>
    <w:basedOn w:val="792"/>
    <w:uiPriority w:val="1"/>
    <w:qFormat/>
    <w:pPr>
      <w:jc w:val="left"/>
    </w:pPr>
    <w:rPr>
      <w:rFonts w:ascii="宋体" w:hAnsi="宋体" w:cs="宋体"/>
      <w:sz w:val="22"/>
      <w:szCs w:val="22"/>
      <w:lang w:eastAsia="en-US"/>
    </w:rPr>
  </w:style>
  <w:style w:type="paragraph" w:styleId="1223" w:customStyle="1">
    <w:name w:val="成文日期"/>
    <w:basedOn w:val="792"/>
    <w:link w:val="1224"/>
    <w:uiPriority w:val="0"/>
    <w:qFormat/>
    <w:pPr>
      <w:ind w:right="400" w:firstLine="200"/>
      <w:jc w:val="right"/>
      <w:spacing w:line="570" w:lineRule="exact"/>
    </w:pPr>
    <w:rPr>
      <w:rFonts w:ascii="仿宋_GB2312" w:eastAsia="仿宋_GB2312"/>
      <w:sz w:val="32"/>
      <w:szCs w:val="20"/>
    </w:rPr>
  </w:style>
  <w:style w:type="character" w:styleId="1224" w:customStyle="1">
    <w:name w:val="成文日期 Char"/>
    <w:link w:val="1223"/>
    <w:uiPriority w:val="0"/>
    <w:qFormat/>
    <w:rPr>
      <w:rFonts w:ascii="仿宋_GB2312" w:eastAsia="仿宋_GB2312"/>
      <w:sz w:val="32"/>
    </w:rPr>
  </w:style>
  <w:style w:type="paragraph" w:styleId="122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26" w:customStyle="1">
    <w:name w:val="_Style 39"/>
    <w:basedOn w:val="792"/>
    <w:next w:val="792"/>
    <w:uiPriority w:val="39"/>
    <w:qFormat/>
    <w:pPr>
      <w:spacing w:line="300" w:lineRule="auto"/>
      <w:tabs>
        <w:tab w:val="left" w:pos="1050" w:leader="none"/>
        <w:tab w:val="right" w:pos="8937" w:leader="dot"/>
      </w:tabs>
    </w:pPr>
    <w:rPr>
      <w:rFonts w:ascii="宋体" w:hAnsi="宋体" w:eastAsia="宋体"/>
      <w:b/>
      <w:sz w:val="24"/>
      <w:szCs w:val="24"/>
    </w:rPr>
  </w:style>
  <w:style w:type="character" w:styleId="1227" w:customStyle="1">
    <w:name w:val="content-right_8zs401"/>
    <w:basedOn w:val="983"/>
    <w:link w:val="792"/>
    <w:uiPriority w:val="0"/>
    <w:qFormat/>
  </w:style>
  <w:style w:type="paragraph" w:styleId="1228" w:customStyle="1">
    <w:name w:val="图名"/>
    <w:basedOn w:val="792"/>
    <w:uiPriority w:val="0"/>
    <w:qFormat/>
    <w:pPr>
      <w:ind w:firstLine="0"/>
      <w:jc w:val="center"/>
    </w:pPr>
    <w:rPr>
      <w:b/>
      <w:sz w:val="21"/>
    </w:rPr>
  </w:style>
  <w:style w:type="paragraph" w:styleId="1229" w:customStyle="1">
    <w:name w:val="wl-表名"/>
    <w:basedOn w:val="1003"/>
    <w:next w:val="792"/>
    <w:uiPriority w:val="0"/>
    <w:qFormat/>
    <w:pPr>
      <w:ind w:firstLine="0"/>
      <w:jc w:val="center"/>
      <w:spacing w:after="0" w:line="440" w:lineRule="exact"/>
    </w:pPr>
    <w:rPr>
      <w:b/>
      <w:sz w:val="21"/>
    </w:rPr>
  </w:style>
  <w:style w:type="paragraph" w:styleId="1230" w:customStyle="1">
    <w:name w:val="纯文本1"/>
    <w:basedOn w:val="792"/>
    <w:uiPriority w:val="0"/>
    <w:qFormat/>
    <w:rPr>
      <w:rFonts w:hint="eastAsia" w:ascii="宋体" w:hAnsi="Courier New"/>
      <w:szCs w:val="20"/>
    </w:rPr>
  </w:style>
  <w:style w:type="paragraph" w:styleId="1231" w:customStyle="1">
    <w:name w:val="页脚1"/>
    <w:basedOn w:val="792"/>
    <w:uiPriority w:val="99"/>
    <w:qFormat/>
    <w:pPr>
      <w:jc w:val="left"/>
      <w:tabs>
        <w:tab w:val="center" w:pos="4153" w:leader="none"/>
        <w:tab w:val="right" w:pos="8306" w:leader="none"/>
      </w:tabs>
    </w:pPr>
    <w:rPr>
      <w:rFonts w:ascii="宋体"/>
      <w:sz w:val="18"/>
      <w:szCs w:val="20"/>
    </w:rPr>
  </w:style>
  <w:style w:type="paragraph" w:styleId="1232" w:customStyle="1">
    <w:name w:val="Normal_0"/>
    <w:uiPriority w:val="0"/>
    <w:qFormat/>
    <w:rPr>
      <w:rFonts w:hint="default" w:ascii="Times New Roman" w:hAnsi="Times New Roman" w:eastAsia="宋体" w:cs="Times New Roman"/>
      <w:sz w:val="24"/>
      <w:szCs w:val="24"/>
      <w:lang w:val="en-US" w:eastAsia="zh-CN" w:bidi="ar-SA"/>
    </w:rPr>
  </w:style>
  <w:style w:type="paragraph" w:styleId="123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34" w:customStyle="1">
    <w:name w:val="索引 11"/>
    <w:basedOn w:val="792"/>
    <w:next w:val="792"/>
    <w:uiPriority w:val="0"/>
    <w:qFormat/>
    <w:pPr>
      <w:spacing w:line="360" w:lineRule="auto"/>
    </w:pPr>
    <w:rPr>
      <w:rFonts w:ascii="仿宋_GB2312" w:eastAsia="仿宋_GB2312"/>
      <w:sz w:val="24"/>
      <w:szCs w:val="20"/>
    </w:rPr>
  </w:style>
  <w:style w:type="paragraph" w:styleId="1235" w:customStyle="1">
    <w:name w:val="正文缩进11"/>
    <w:basedOn w:val="792"/>
    <w:uiPriority w:val="99"/>
    <w:qFormat/>
    <w:pPr>
      <w:ind w:firstLine="200"/>
    </w:pPr>
    <w:rPr>
      <w:sz w:val="24"/>
      <w:szCs w:val="24"/>
    </w:rPr>
  </w:style>
  <w:style w:type="character" w:styleId="1236" w:customStyle="1">
    <w:name w:val="NormalCharacter1"/>
    <w:link w:val="792"/>
    <w:uiPriority w:val="0"/>
    <w:qFormat/>
  </w:style>
  <w:style w:type="character" w:styleId="1237" w:customStyle="1">
    <w:name w:val="font21"/>
    <w:basedOn w:val="983"/>
    <w:link w:val="792"/>
    <w:uiPriority w:val="0"/>
    <w:qFormat/>
    <w:rPr>
      <w:rFonts w:hint="eastAsia" w:ascii="宋体" w:hAnsi="宋体" w:eastAsia="宋体" w:cs="宋体"/>
      <w:color w:val="ff0000"/>
      <w:sz w:val="21"/>
      <w:szCs w:val="21"/>
      <w:u w:val="none"/>
    </w:rPr>
  </w:style>
  <w:style w:type="character" w:styleId="1238" w:customStyle="1">
    <w:name w:val="font11"/>
    <w:basedOn w:val="983"/>
    <w:link w:val="792"/>
    <w:uiPriority w:val="0"/>
    <w:qFormat/>
    <w:rPr>
      <w:rFonts w:hint="eastAsia" w:ascii="宋体" w:hAnsi="宋体" w:eastAsia="宋体" w:cs="宋体"/>
      <w:color w:val="000000"/>
      <w:sz w:val="21"/>
      <w:szCs w:val="21"/>
      <w:u w:val="none"/>
    </w:rPr>
  </w:style>
  <w:style w:type="character" w:styleId="1239" w:customStyle="1">
    <w:name w:val="font31"/>
    <w:basedOn w:val="983"/>
    <w:link w:val="792"/>
    <w:uiPriority w:val="0"/>
    <w:qFormat/>
    <w:rPr>
      <w:rFonts w:hint="eastAsia" w:ascii="宋体" w:hAnsi="宋体" w:eastAsia="宋体" w:cs="宋体"/>
      <w:strike/>
      <w:color w:val="ff0000"/>
      <w:sz w:val="21"/>
      <w:szCs w:val="21"/>
    </w:rPr>
  </w:style>
  <w:style w:type="paragraph" w:styleId="1240" w:customStyle="1">
    <w:name w:val="_Style 50"/>
    <w:basedOn w:val="792"/>
    <w:next w:val="1070"/>
    <w:uiPriority w:val="34"/>
    <w:qFormat/>
    <w:pPr>
      <w:ind w:firstLine="420"/>
    </w:pPr>
    <w:rPr>
      <w:szCs w:val="22"/>
    </w:rPr>
  </w:style>
  <w:style w:type="paragraph" w:styleId="1241" w:customStyle="1">
    <w:name w:val="标题 211"/>
    <w:basedOn w:val="792"/>
    <w:next w:val="1242"/>
    <w:uiPriority w:val="0"/>
    <w:qFormat/>
    <w:pPr>
      <w:jc w:val="center"/>
      <w:keepLines/>
      <w:keepNext/>
      <w:spacing w:before="120" w:line="300" w:lineRule="auto"/>
      <w:outlineLvl w:val="1"/>
    </w:pPr>
    <w:rPr>
      <w:rFonts w:ascii="Arial" w:hAnsi="Arial" w:eastAsia="黑体"/>
      <w:b/>
      <w:sz w:val="30"/>
      <w:szCs w:val="20"/>
    </w:rPr>
  </w:style>
  <w:style w:type="paragraph" w:styleId="1242" w:customStyle="1">
    <w:name w:val="正文缩进111"/>
    <w:basedOn w:val="792"/>
    <w:uiPriority w:val="0"/>
    <w:qFormat/>
    <w:pPr>
      <w:ind w:firstLine="420"/>
      <w:jc w:val="left"/>
    </w:pPr>
    <w:rPr>
      <w:rFonts w:ascii="宋体"/>
      <w:sz w:val="24"/>
    </w:rPr>
  </w:style>
  <w:style w:type="paragraph" w:styleId="1243"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numbering" w:styleId="29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沈佩铭</cp:lastModifiedBy>
  <cp:revision>6</cp:revision>
  <dcterms:created xsi:type="dcterms:W3CDTF">2024-12-30T01:04:00Z</dcterms:created>
  <dcterms:modified xsi:type="dcterms:W3CDTF">2026-06-23T07:39:25Z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eyJoZGlkIjoiNmI1OWM3MmMzOTVmZGY1ODlhN2U5NGI0YWMxNjhkMDIiLCJ1c2VySWQiOiI5MjQ4ODE5MzIifQ==</vt:lpwstr>
  </property>
  <property fmtid="{D5CDD505-2E9C-101B-9397-08002B2CF9AE}" pid="3" name="KSOProductBuildVer">
    <vt:lpwstr>2052-12.1.0.26895</vt:lpwstr>
  </property>
  <property fmtid="{D5CDD505-2E9C-101B-9397-08002B2CF9AE}" pid="4" name="ICV">
    <vt:lpwstr>52BCA8BF1E44476F83BBD6CC93ACDC4A_12</vt:lpwstr>
  </property>
</Properties>
</file>