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84"/>
          <w:highlight w:val="none"/>
        </w:rPr>
      </w:r>
      <w:r>
        <w:rPr>
          <w:rFonts w:ascii="KaiTi" w:hAnsi="KaiTi" w:eastAsia="KaiTi" w:cs="KaiTi"/>
          <w:b/>
          <w:color w:val="000000"/>
          <w:sz w:val="84"/>
          <w:highlight w:val="none"/>
        </w:rPr>
      </w:r>
      <w:r/>
    </w:p>
    <w:p>
      <w:pPr>
        <w:ind w:left="0" w:right="0" w:firstLine="0"/>
        <w:jc w:val="left"/>
        <w:spacing w:before="0" w:after="0" w:line="85" w:lineRule="atLeast"/>
        <w:rPr>
          <w:rFonts w:ascii="KaiTi" w:hAnsi="KaiTi" w:eastAsia="KaiTi" w:cs="KaiT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84"/>
          <w:highlight w:val="none"/>
        </w:rPr>
      </w:r>
      <w:r>
        <w:rPr>
          <w:rFonts w:ascii="KaiTi" w:hAnsi="KaiTi" w:eastAsia="KaiTi" w:cs="KaiTi"/>
          <w:b/>
          <w:color w:val="000000"/>
          <w:sz w:val="84"/>
          <w:highlight w:val="none"/>
        </w:rPr>
      </w:r>
      <w:r/>
    </w:p>
    <w:p>
      <w:pPr>
        <w:ind w:left="0" w:right="0" w:firstLine="0"/>
        <w:jc w:val="center"/>
        <w:spacing w:before="0" w:after="0" w:line="85" w:lineRule="atLeast"/>
        <w:rPr>
          <w:rFonts w:ascii="KaiTi" w:hAnsi="KaiTi" w:eastAsia="KaiTi" w:cs="KaiT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84"/>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44"/>
        </w:rPr>
        <w:t xml:space="preserve">（电子招投标）</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highlight w:val="none"/>
        </w:rPr>
      </w:r>
      <w:r>
        <w:rPr>
          <w:rFonts w:ascii="KaiTi" w:hAnsi="KaiTi" w:eastAsia="KaiTi" w:cs="KaiTi"/>
          <w:b/>
          <w:color w:val="000000"/>
          <w:sz w:val="36"/>
          <w:highlight w:val="none"/>
        </w:rPr>
      </w:r>
      <w:r/>
    </w:p>
    <w:p>
      <w:pPr>
        <w:ind w:left="0" w:right="0" w:firstLine="723"/>
        <w:jc w:val="center"/>
        <w:spacing w:before="0" w:after="0" w:line="85" w:lineRule="atLeast"/>
        <w:rPr>
          <w:rFonts w:ascii="KaiTi" w:hAnsi="KaiTi" w:eastAsia="KaiTi" w:cs="KaiTi"/>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highlight w:val="none"/>
        </w:rPr>
      </w:r>
      <w:r>
        <w:rPr>
          <w:rFonts w:ascii="KaiTi" w:hAnsi="KaiTi" w:eastAsia="KaiTi" w:cs="KaiTi"/>
          <w:b/>
          <w:color w:val="000000"/>
          <w:sz w:val="36"/>
          <w:highlight w:val="none"/>
        </w:rPr>
      </w:r>
      <w:r/>
    </w:p>
    <w:p>
      <w:pPr>
        <w:ind w:left="0" w:right="0" w:firstLine="723"/>
        <w:jc w:val="center"/>
        <w:spacing w:before="0" w:after="0" w:line="85" w:lineRule="atLeast"/>
        <w:rPr>
          <w:rFonts w:ascii="KaiTi" w:hAnsi="KaiTi" w:eastAsia="KaiTi" w:cs="KaiTi"/>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highlight w:val="none"/>
        </w:rPr>
      </w:r>
      <w:r>
        <w:rPr>
          <w:rFonts w:ascii="KaiTi" w:hAnsi="KaiTi" w:eastAsia="KaiTi" w:cs="KaiTi"/>
          <w:b/>
          <w:color w:val="000000"/>
          <w:sz w:val="36"/>
          <w:highlight w:val="none"/>
        </w:rPr>
      </w:r>
      <w:r/>
    </w:p>
    <w:p>
      <w:pPr>
        <w:ind w:left="0" w:right="0" w:firstLine="723"/>
        <w:jc w:val="center"/>
        <w:spacing w:before="0" w:after="0" w:line="85" w:lineRule="atLeast"/>
        <w:rPr>
          <w:rFonts w:ascii="KaiTi" w:hAnsi="KaiTi" w:eastAsia="KaiTi" w:cs="KaiTi"/>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723"/>
        <w:jc w:val="center"/>
        <w:spacing w:before="0" w:after="0" w:line="85" w:lineRule="atLeast"/>
        <w:rPr>
          <w:rFonts w:ascii="KaiTi" w:hAnsi="KaiTi" w:eastAsia="KaiTi" w:cs="KaiTi"/>
          <w:b/>
          <w:bCs/>
          <w:color w:val="000000"/>
          <w:sz w:val="36"/>
          <w:szCs w:val="36"/>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line="360" w:lineRule="auto"/>
        <w:rPr>
          <w:rFonts w:ascii="KaiTi" w:hAnsi="KaiTi" w:eastAsia="KaiTi" w:cs="KaiTi"/>
          <w:b/>
          <w:bCs/>
          <w:color w:val="000000"/>
          <w:sz w:val="36"/>
          <w:szCs w:val="36"/>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r>
      <w:r>
        <w:rPr>
          <w:rFonts w:ascii="KaiTi" w:hAnsi="KaiTi" w:eastAsia="KaiTi" w:cs="KaiTi"/>
          <w:b/>
          <w:color w:val="000000"/>
          <w:sz w:val="36"/>
        </w:rPr>
        <w:t xml:space="preserve">项目编号：JSZC-321182-JZCG-G2026-0003</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r>
      <w:r>
        <w:rPr>
          <w:rFonts w:ascii="KaiTi" w:hAnsi="KaiTi" w:eastAsia="KaiTi" w:cs="KaiTi"/>
          <w:b/>
          <w:color w:val="000000"/>
          <w:sz w:val="36"/>
        </w:rPr>
        <w:t xml:space="preserve">项目名称</w:t>
      </w:r>
      <w:r>
        <w:rPr>
          <w:rFonts w:ascii="KaiTi" w:hAnsi="KaiTi" w:eastAsia="KaiTi" w:cs="KaiTi"/>
          <w:color w:val="000000"/>
          <w:sz w:val="36"/>
        </w:rPr>
        <w:t xml:space="preserve">：</w:t>
      </w:r>
      <w:r>
        <w:rPr>
          <w:rFonts w:ascii="KaiTi" w:hAnsi="KaiTi" w:eastAsia="KaiTi" w:cs="KaiTi"/>
          <w:b/>
          <w:color w:val="000000"/>
          <w:sz w:val="32"/>
          <w:szCs w:val="18"/>
          <w:highlight w:val="white"/>
        </w:rPr>
        <w:t xml:space="preserve">2026—2029年扬中市行政中心物业管理服务采购</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highlight w:val="none"/>
        </w:rPr>
      </w:r>
      <w:r>
        <w:rPr>
          <w:rFonts w:ascii="KaiTi" w:hAnsi="KaiTi" w:eastAsia="KaiTi" w:cs="KaiTi"/>
          <w:b/>
          <w:color w:val="000000"/>
          <w:sz w:val="36"/>
          <w:highlight w:val="none"/>
        </w:rPr>
      </w:r>
      <w:r/>
    </w:p>
    <w:p>
      <w:pPr>
        <w:ind w:left="0" w:right="0" w:firstLine="723"/>
        <w:jc w:val="center"/>
        <w:spacing w:before="0" w:after="0" w:line="85" w:lineRule="atLeast"/>
        <w:rPr>
          <w:rFonts w:ascii="KaiTi" w:hAnsi="KaiTi" w:eastAsia="KaiTi" w:cs="KaiTi"/>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highlight w:val="none"/>
        </w:rPr>
      </w:r>
      <w:r>
        <w:rPr>
          <w:rFonts w:ascii="KaiTi" w:hAnsi="KaiTi" w:eastAsia="KaiTi" w:cs="KaiTi"/>
          <w:b/>
          <w:color w:val="000000"/>
          <w:sz w:val="36"/>
          <w:highlight w:val="none"/>
        </w:rPr>
      </w:r>
      <w:r/>
    </w:p>
    <w:p>
      <w:pPr>
        <w:ind w:left="0" w:right="0" w:firstLine="723"/>
        <w:jc w:val="center"/>
        <w:spacing w:before="0" w:after="0" w:line="85" w:lineRule="atLeast"/>
        <w:rPr>
          <w:rFonts w:ascii="KaiTi" w:hAnsi="KaiTi" w:eastAsia="KaiTi" w:cs="KaiTi"/>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highlight w:val="none"/>
        </w:rPr>
      </w:r>
      <w:r>
        <w:rPr>
          <w:rFonts w:ascii="KaiTi" w:hAnsi="KaiTi" w:eastAsia="KaiTi" w:cs="KaiTi"/>
          <w:b/>
          <w:color w:val="000000"/>
          <w:sz w:val="36"/>
          <w:highlight w:val="none"/>
        </w:rPr>
      </w:r>
      <w:r/>
    </w:p>
    <w:p>
      <w:pPr>
        <w:ind w:left="0" w:right="0" w:firstLine="723"/>
        <w:jc w:val="center"/>
        <w:spacing w:before="0" w:after="0" w:line="85" w:lineRule="atLeast"/>
        <w:rPr>
          <w:rFonts w:ascii="KaiTi" w:hAnsi="KaiTi" w:eastAsia="KaiTi" w:cs="KaiTi"/>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highlight w:val="none"/>
        </w:rPr>
      </w:r>
      <w:r>
        <w:rPr>
          <w:rFonts w:ascii="KaiTi" w:hAnsi="KaiTi" w:eastAsia="KaiTi" w:cs="KaiTi"/>
          <w:b/>
          <w:color w:val="000000"/>
          <w:sz w:val="36"/>
          <w:highlight w:val="none"/>
        </w:rPr>
      </w:r>
      <w:r/>
    </w:p>
    <w:p>
      <w:pPr>
        <w:ind w:left="0" w:right="0" w:firstLine="723"/>
        <w:jc w:val="center"/>
        <w:spacing w:before="0" w:after="0" w:line="85" w:lineRule="atLeast"/>
        <w:rPr>
          <w:rFonts w:ascii="KaiTi" w:hAnsi="KaiTi" w:eastAsia="KaiTi" w:cs="KaiTi"/>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扬中市公共资源交易中心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2026年5月</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招标文件目录</w:t>
      </w:r>
      <w:r/>
    </w:p>
    <w:p>
      <w:pPr>
        <w:ind w:left="0" w:firstLine="0"/>
        <w:jc w:val="both"/>
        <w:spacing w:before="0" w:after="0" w:line="85" w:lineRule="atLeast"/>
        <w:rPr>
          <w:rFonts w:ascii="KaiTi" w:hAnsi="KaiTi" w:eastAsia="KaiTi" w:cs="KaiTi"/>
          <w:b/>
          <w:bCs/>
          <w:color w:val="000000"/>
          <w:sz w:val="30"/>
          <w:szCs w:val="30"/>
          <w14:ligatures w14:val="none"/>
        </w:rPr>
        <w:pBdr>
          <w:top w:val="none" w:color="000000" w:sz="4" w:space="0"/>
          <w:left w:val="none" w:color="000000" w:sz="4" w:space="0"/>
          <w:bottom w:val="none" w:color="000000" w:sz="4" w:space="0"/>
          <w:right w:val="none" w:color="000000" w:sz="4" w:space="0"/>
        </w:pBdr>
      </w:pPr>
      <w:r>
        <w:rPr>
          <w:rFonts w:ascii="KaiTi" w:hAnsi="KaiTi" w:eastAsia="KaiTi" w:cs="KaiTi"/>
          <w:b/>
          <w:bCs/>
          <w:color w:val="000000"/>
          <w:sz w:val="30"/>
          <w:szCs w:val="30"/>
        </w:rPr>
        <w:t xml:space="preserve">    第一部分 投标邀请</w:t>
      </w:r>
      <w:r>
        <w:rPr>
          <w:rFonts w:ascii="KaiTi" w:hAnsi="KaiTi" w:eastAsia="KaiTi" w:cs="KaiTi"/>
          <w:b/>
          <w:bCs/>
          <w:color w:val="000000"/>
          <w:sz w:val="30"/>
          <w:szCs w:val="30"/>
        </w:rPr>
      </w:r>
      <w:r/>
    </w:p>
    <w:p>
      <w:pPr>
        <w:ind w:left="0" w:firstLine="0"/>
        <w:jc w:val="both"/>
        <w:spacing w:before="0" w:after="0" w:line="85" w:lineRule="atLeast"/>
        <w:rPr>
          <w:rFonts w:ascii="KaiTi" w:hAnsi="KaiTi" w:eastAsia="KaiTi" w:cs="KaiTi"/>
          <w:b/>
          <w:bCs/>
          <w:color w:val="000000"/>
          <w:sz w:val="30"/>
          <w:szCs w:val="30"/>
          <w14:ligatures w14:val="none"/>
        </w:rPr>
        <w:pBdr>
          <w:top w:val="none" w:color="000000" w:sz="4" w:space="0"/>
          <w:left w:val="none" w:color="000000" w:sz="4" w:space="0"/>
          <w:bottom w:val="none" w:color="000000" w:sz="4" w:space="0"/>
          <w:right w:val="none" w:color="000000" w:sz="4" w:space="0"/>
        </w:pBdr>
      </w:pPr>
      <w:r>
        <w:rPr>
          <w:rFonts w:ascii="KaiTi" w:hAnsi="KaiTi" w:eastAsia="KaiTi" w:cs="KaiTi"/>
          <w:b/>
          <w:bCs/>
          <w:color w:val="000000"/>
          <w:sz w:val="30"/>
          <w:szCs w:val="30"/>
        </w:rPr>
        <w:t xml:space="preserve">    第二部分 投标人须知</w:t>
      </w:r>
      <w:r>
        <w:rPr>
          <w:rFonts w:ascii="KaiTi" w:hAnsi="KaiTi" w:eastAsia="KaiTi" w:cs="KaiTi"/>
          <w:b/>
          <w:bCs/>
          <w:color w:val="000000"/>
          <w:sz w:val="30"/>
          <w:szCs w:val="30"/>
        </w:rPr>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第三部分 拟签订的合同文本</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第四部分 采购需求</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第五部分 评标办法和标准</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第六部分 投标文件（格式） </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6"/>
          <w:u w:val="none"/>
        </w:rPr>
        <w:t xml:space="preserve">第一部分 投标邀请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KaiTi" w:hAnsi="KaiTi" w:eastAsia="KaiTi" w:cs="KaiTi"/>
          <w:color w:val="000000"/>
          <w:sz w:val="24"/>
          <w:u w:val="non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4"/>
          <w:u w:val="single"/>
        </w:rPr>
        <w:t xml:space="preserve">2026</w:t>
      </w:r>
      <w:r>
        <w:rPr>
          <w:rFonts w:ascii="KaiTi" w:hAnsi="KaiTi" w:eastAsia="KaiTi" w:cs="KaiTi"/>
          <w:color w:val="000000"/>
          <w:sz w:val="24"/>
          <w:u w:val="single"/>
        </w:rPr>
        <w:t xml:space="preserve">—</w:t>
      </w:r>
      <w:r>
        <w:rPr>
          <w:rFonts w:ascii="Times New Roman" w:hAnsi="Times New Roman" w:eastAsia="Times New Roman" w:cs="Times New Roman"/>
          <w:color w:val="000000"/>
          <w:sz w:val="24"/>
          <w:u w:val="single"/>
        </w:rPr>
        <w:t xml:space="preserve">2029</w:t>
      </w:r>
      <w:r>
        <w:rPr>
          <w:rFonts w:ascii="KaiTi" w:hAnsi="KaiTi" w:eastAsia="KaiTi" w:cs="KaiTi"/>
          <w:color w:val="000000"/>
          <w:sz w:val="24"/>
          <w:u w:val="single"/>
        </w:rPr>
        <w:t xml:space="preserve">年扬中市行政中心物业管理服务采购项目</w:t>
      </w:r>
      <w:r>
        <w:rPr>
          <w:rFonts w:ascii="KaiTi" w:hAnsi="KaiTi" w:eastAsia="KaiTi" w:cs="KaiTi"/>
          <w:color w:val="000000"/>
          <w:sz w:val="24"/>
        </w:rPr>
        <w:t xml:space="preserve">的潜在投标人应在</w:t>
      </w:r>
      <w:r>
        <w:rPr>
          <w:rFonts w:ascii="Times New Roman" w:hAnsi="Times New Roman" w:eastAsia="Times New Roman" w:cs="Times New Roman"/>
          <w:color w:val="000000"/>
          <w:sz w:val="24"/>
          <w:highlight w:val="white"/>
        </w:rPr>
        <w:t xml:space="preserve">“</w:t>
      </w:r>
      <w:r>
        <w:rPr>
          <w:rFonts w:ascii="KaiTi" w:hAnsi="KaiTi" w:eastAsia="KaiTi" w:cs="KaiTi"/>
          <w:color w:val="000000"/>
          <w:sz w:val="24"/>
          <w:highlight w:val="white"/>
        </w:rPr>
        <w:t xml:space="preserve">苏采云</w:t>
      </w:r>
      <w:r>
        <w:rPr>
          <w:rFonts w:ascii="Times New Roman" w:hAnsi="Times New Roman" w:eastAsia="Times New Roman" w:cs="Times New Roman"/>
          <w:color w:val="000000"/>
          <w:sz w:val="24"/>
          <w:highlight w:val="white"/>
        </w:rPr>
        <w:t xml:space="preserve">”</w:t>
      </w:r>
      <w:r>
        <w:rPr>
          <w:rFonts w:ascii="KaiTi" w:hAnsi="KaiTi" w:eastAsia="KaiTi" w:cs="KaiTi"/>
          <w:color w:val="000000"/>
          <w:sz w:val="24"/>
          <w:highlight w:val="white"/>
          <w:u w:val="single"/>
        </w:rPr>
        <w:t xml:space="preserve">电子交易平台</w:t>
      </w:r>
      <w:r>
        <w:rPr>
          <w:rFonts w:ascii="KaiTi" w:hAnsi="KaiTi" w:eastAsia="KaiTi" w:cs="KaiTi"/>
          <w:color w:val="000000" w:themeColor="text1"/>
          <w:sz w:val="24"/>
          <w:highlight w:val="white"/>
          <w:u w:val="single"/>
        </w:rPr>
        <w:t xml:space="preserve">（网址：</w:t>
      </w:r>
      <w:hyperlink r:id="rId9" w:tooltip="http://jszfcg.jsczt.cn/%EF%BC%89%E6%8B%9B%E6%A0%87%E6%96%87%E4%BB%B6%EF%BC%8C%E5%B9%B6%E4%BA%8E2024%E5%B9%B4" w:history="1">
        <w:r>
          <w:rPr>
            <w:rStyle w:val="812"/>
            <w:rFonts w:ascii="Times New Roman" w:hAnsi="Times New Roman" w:eastAsia="Times New Roman" w:cs="Times New Roman"/>
            <w:color w:val="000000" w:themeColor="text1"/>
            <w:sz w:val="24"/>
            <w:u w:val="single"/>
          </w:rPr>
          <w:t xml:space="preserve">http://jszfcg.jsczt.cn/</w:t>
        </w:r>
        <w:r>
          <w:rPr>
            <w:rStyle w:val="812"/>
            <w:rFonts w:ascii="KaiTi" w:hAnsi="KaiTi" w:eastAsia="KaiTi" w:cs="KaiTi"/>
            <w:color w:val="000000" w:themeColor="text1"/>
            <w:sz w:val="24"/>
            <w:u w:val="single"/>
          </w:rPr>
          <w:t xml:space="preserve">）获取招标文件，并于</w:t>
        </w:r>
        <w:r>
          <w:rPr>
            <w:rStyle w:val="812"/>
            <w:rFonts w:ascii="Times New Roman" w:hAnsi="Times New Roman" w:eastAsia="Times New Roman" w:cs="Times New Roman"/>
            <w:color w:val="000000" w:themeColor="text1"/>
            <w:sz w:val="24"/>
            <w:u w:val="single"/>
          </w:rPr>
          <w:t xml:space="preserve">2026</w:t>
        </w:r>
        <w:r>
          <w:rPr>
            <w:rStyle w:val="812"/>
            <w:rFonts w:ascii="KaiTi" w:hAnsi="KaiTi" w:eastAsia="KaiTi" w:cs="KaiTi"/>
            <w:color w:val="000000" w:themeColor="text1"/>
            <w:sz w:val="24"/>
            <w:u w:val="single"/>
          </w:rPr>
          <w:t xml:space="preserve">年</w:t>
        </w:r>
      </w:hyperlink>
      <w:r>
        <w:rPr>
          <w:rFonts w:ascii="Times New Roman" w:hAnsi="Times New Roman" w:eastAsia="Times New Roman" w:cs="Times New Roman"/>
          <w:color w:val="000000" w:themeColor="text1"/>
          <w:sz w:val="24"/>
          <w:u w:val="single"/>
        </w:rPr>
        <w:t xml:space="preserve">6</w:t>
      </w:r>
      <w:r>
        <w:rPr>
          <w:rFonts w:ascii="KaiTi" w:hAnsi="KaiTi" w:eastAsia="KaiTi" w:cs="KaiTi"/>
          <w:color w:val="000000"/>
          <w:sz w:val="24"/>
          <w:u w:val="single"/>
        </w:rPr>
        <w:t xml:space="preserve">月</w:t>
      </w:r>
      <w:r>
        <w:rPr>
          <w:rFonts w:ascii="Times New Roman" w:hAnsi="Times New Roman" w:eastAsia="Times New Roman" w:cs="Times New Roman"/>
          <w:color w:val="000000"/>
          <w:sz w:val="24"/>
          <w:u w:val="single"/>
        </w:rPr>
        <w:t xml:space="preserve">17</w:t>
      </w:r>
      <w:r>
        <w:rPr>
          <w:rFonts w:ascii="KaiTi" w:hAnsi="KaiTi" w:eastAsia="KaiTi" w:cs="KaiTi"/>
          <w:color w:val="000000"/>
          <w:sz w:val="24"/>
          <w:u w:val="single"/>
        </w:rPr>
        <w:t xml:space="preserve">日</w:t>
      </w:r>
      <w:r>
        <w:rPr>
          <w:rFonts w:ascii="Times New Roman" w:hAnsi="Times New Roman" w:eastAsia="Times New Roman" w:cs="Times New Roman"/>
          <w:color w:val="000000"/>
          <w:sz w:val="24"/>
          <w:u w:val="single"/>
        </w:rPr>
        <w:t xml:space="preserve">9</w:t>
      </w:r>
      <w:r>
        <w:rPr>
          <w:rFonts w:ascii="KaiTi" w:hAnsi="KaiTi" w:eastAsia="KaiTi" w:cs="KaiTi"/>
          <w:color w:val="000000"/>
          <w:sz w:val="24"/>
          <w:u w:val="single"/>
        </w:rPr>
        <w:t xml:space="preserve">点</w:t>
      </w:r>
      <w:r>
        <w:rPr>
          <w:rFonts w:ascii="Times New Roman" w:hAnsi="Times New Roman" w:eastAsia="Times New Roman" w:cs="Times New Roman"/>
          <w:color w:val="000000"/>
          <w:sz w:val="24"/>
          <w:u w:val="single"/>
        </w:rPr>
        <w:t xml:space="preserve">00</w:t>
      </w:r>
      <w:r>
        <w:rPr>
          <w:rFonts w:ascii="KaiTi" w:hAnsi="KaiTi" w:eastAsia="KaiTi" w:cs="KaiTi"/>
          <w:color w:val="000000"/>
          <w:sz w:val="24"/>
          <w:u w:val="single"/>
        </w:rPr>
        <w:t xml:space="preserve">分（北京时间）前按要求递交投标文件。</w:t>
      </w:r>
      <w:r/>
    </w:p>
    <w:p>
      <w:pPr>
        <w:ind w:left="-142"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项目编号：</w:t>
      </w:r>
      <w:r>
        <w:rPr>
          <w:rFonts w:ascii="Times New Roman" w:hAnsi="Times New Roman" w:eastAsia="Times New Roman" w:cs="Times New Roman"/>
          <w:color w:val="000000"/>
          <w:sz w:val="24"/>
        </w:rPr>
        <w:t xml:space="preserve">JSZC-321182-JZCG-G2026-0003</w:t>
      </w:r>
      <w:r>
        <w:rPr>
          <w:rFonts w:ascii="KaiTi" w:hAnsi="KaiTi" w:eastAsia="KaiTi" w:cs="KaiTi"/>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项目名称：</w:t>
      </w:r>
      <w:r>
        <w:rPr>
          <w:rFonts w:ascii="Times New Roman" w:hAnsi="Times New Roman" w:eastAsia="Times New Roman" w:cs="Times New Roman"/>
          <w:color w:val="000000"/>
          <w:sz w:val="24"/>
        </w:rPr>
        <w:t xml:space="preserve">2026</w:t>
      </w:r>
      <w:r>
        <w:rPr>
          <w:rFonts w:ascii="KaiTi" w:hAnsi="KaiTi" w:eastAsia="KaiTi" w:cs="KaiTi"/>
          <w:color w:val="000000"/>
          <w:sz w:val="24"/>
        </w:rPr>
        <w:t xml:space="preserve">—</w:t>
      </w:r>
      <w:r>
        <w:rPr>
          <w:rFonts w:ascii="Times New Roman" w:hAnsi="Times New Roman" w:eastAsia="Times New Roman" w:cs="Times New Roman"/>
          <w:color w:val="000000"/>
          <w:sz w:val="24"/>
        </w:rPr>
        <w:t xml:space="preserve">2029</w:t>
      </w:r>
      <w:r>
        <w:rPr>
          <w:rFonts w:ascii="KaiTi" w:hAnsi="KaiTi" w:eastAsia="KaiTi" w:cs="KaiTi"/>
          <w:color w:val="000000"/>
          <w:sz w:val="24"/>
        </w:rPr>
        <w:t xml:space="preserve">年扬中市行政中心物业管理服务采购；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预算金额：</w:t>
      </w:r>
      <w:r>
        <w:rPr>
          <w:rFonts w:ascii="Times New Roman" w:hAnsi="Times New Roman" w:eastAsia="Times New Roman" w:cs="Times New Roman"/>
          <w:color w:val="000000"/>
          <w:sz w:val="24"/>
        </w:rPr>
        <w:t xml:space="preserve">895</w:t>
      </w:r>
      <w:r>
        <w:rPr>
          <w:rFonts w:ascii="KaiTi" w:hAnsi="KaiTi" w:eastAsia="KaiTi" w:cs="KaiTi"/>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项目最高限价：</w:t>
      </w:r>
      <w:r>
        <w:rPr>
          <w:rFonts w:ascii="Times New Roman" w:hAnsi="Times New Roman" w:eastAsia="Times New Roman" w:cs="Times New Roman"/>
          <w:color w:val="000000"/>
          <w:sz w:val="24"/>
        </w:rPr>
        <w:t xml:space="preserve">895</w:t>
      </w:r>
      <w:r>
        <w:rPr>
          <w:rFonts w:ascii="KaiTi" w:hAnsi="KaiTi" w:eastAsia="KaiTi" w:cs="KaiTi"/>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采购需求：详细内容及要求见本招标文件第四章采购需求；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合同履行期限：三年；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本项目是否接受联合体投标：不接受。</w:t>
      </w:r>
      <w:r/>
    </w:p>
    <w:p>
      <w:pPr>
        <w:ind w:left="-142"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KaiTi" w:hAnsi="KaiTi" w:eastAsia="KaiTi" w:cs="KaiTi"/>
          <w:color w:val="000000"/>
          <w:sz w:val="24"/>
          <w:u w:val="none"/>
        </w:rPr>
        <w:t xml:space="preserve">满足《中华人民共和国政府采购法》第二十二条规定：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KaiTi" w:hAnsi="KaiTi" w:eastAsia="KaiTi" w:cs="KaiTi"/>
          <w:color w:val="000000"/>
          <w:sz w:val="24"/>
        </w:rPr>
        <w:t xml:space="preserve">具有独立承担民事责任的能力（提供法人或者其他组织的营业执照等证明文件扫描件；投标人为自然人的，提供其身份证扫描件）；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KaiTi" w:hAnsi="KaiTi" w:eastAsia="KaiTi" w:cs="KaiTi"/>
          <w:color w:val="000000"/>
          <w:sz w:val="24"/>
        </w:rPr>
        <w:t xml:space="preserve">具有良好的商业信誉和健全的财务会计制度（提供</w:t>
      </w:r>
      <w:r>
        <w:rPr>
          <w:rFonts w:ascii="Times New Roman" w:hAnsi="Times New Roman" w:eastAsia="Times New Roman" w:cs="Times New Roman"/>
          <w:color w:val="000000"/>
          <w:sz w:val="24"/>
        </w:rPr>
        <w:t xml:space="preserve">2025</w:t>
      </w:r>
      <w:r>
        <w:rPr>
          <w:rFonts w:ascii="KaiTi" w:hAnsi="KaiTi" w:eastAsia="KaiTi" w:cs="KaiTi"/>
          <w:color w:val="000000"/>
          <w:sz w:val="24"/>
        </w:rPr>
        <w:t xml:space="preserve">年度财务报告，成立不满一年的提供至少一个月财务报告，或银行出具的资信证明，或财政部门认可的政府采购专业担保机构出具的投标担保函等；或提供资格承诺函）；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KaiTi" w:hAnsi="KaiTi" w:eastAsia="KaiTi" w:cs="KaiTi"/>
          <w:color w:val="000000"/>
          <w:sz w:val="24"/>
        </w:rPr>
        <w:t xml:space="preserve">具有履行合同所必需的设备和专业技术能力（提供投标人相关信息一览表；或提供资格承诺函）；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KaiTi" w:hAnsi="KaiTi" w:eastAsia="KaiTi" w:cs="KaiTi"/>
          <w:color w:val="000000"/>
          <w:sz w:val="24"/>
        </w:rPr>
        <w:t xml:space="preserve">有依法缴纳税收和社会保障资金的良好记录【提供参加本次政府采购活动前半年内（至少一个月）依法缴纳税收和社会保险资金的相关材料；或提供资格承诺函】；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KaiTi" w:hAnsi="KaiTi" w:eastAsia="KaiTi" w:cs="KaiTi"/>
          <w:color w:val="000000"/>
          <w:sz w:val="24"/>
        </w:rPr>
        <w:t xml:space="preserve">参加政府采购活动前三年内，在经营活动中没有重大违法记录（提供投标函；或提供资格承诺函）；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KaiTi" w:hAnsi="KaiTi" w:eastAsia="KaiTi" w:cs="KaiTi"/>
          <w:color w:val="000000"/>
          <w:sz w:val="24"/>
        </w:rPr>
        <w:t xml:space="preserve">法律、行政法规规定的其他条件。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KaiTi" w:hAnsi="KaiTi" w:eastAsia="KaiTi" w:cs="KaiTi"/>
          <w:color w:val="000000"/>
          <w:sz w:val="24"/>
        </w:rPr>
        <w:t xml:space="preserve">落实政府采购政策需满足的资格要求：本次采购专门面向中、小、微型企业。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KaiTi" w:hAnsi="KaiTi" w:eastAsia="KaiTi" w:cs="KaiTi"/>
          <w:color w:val="000000"/>
          <w:sz w:val="24"/>
        </w:rPr>
        <w:t xml:space="preserve">本项目的特定资格要求：无</w:t>
      </w:r>
      <w:r/>
    </w:p>
    <w:p>
      <w:pPr>
        <w:ind w:left="-14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获取时间：自招标文件公告发布之日起</w:t>
      </w:r>
      <w:r>
        <w:rPr>
          <w:rFonts w:ascii="Times New Roman" w:hAnsi="Times New Roman" w:eastAsia="Times New Roman" w:cs="Times New Roman"/>
          <w:color w:val="000000"/>
          <w:sz w:val="24"/>
        </w:rPr>
        <w:t xml:space="preserve">5</w:t>
      </w:r>
      <w:r>
        <w:rPr>
          <w:rFonts w:ascii="KaiTi" w:hAnsi="KaiTi" w:eastAsia="KaiTi" w:cs="KaiTi"/>
          <w:color w:val="000000"/>
          <w:sz w:val="24"/>
        </w:rPr>
        <w:t xml:space="preserve">个工作日</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获取地点：</w:t>
      </w:r>
      <w:r>
        <w:rPr>
          <w:rFonts w:ascii="Times New Roman" w:hAnsi="Times New Roman" w:eastAsia="Times New Roman" w:cs="Times New Roman"/>
          <w:color w:val="000000"/>
          <w:sz w:val="24"/>
          <w:highlight w:val="white"/>
        </w:rPr>
        <w:t xml:space="preserve">“</w:t>
      </w:r>
      <w:r>
        <w:rPr>
          <w:rFonts w:ascii="KaiTi" w:hAnsi="KaiTi" w:eastAsia="KaiTi" w:cs="KaiTi"/>
          <w:color w:val="000000"/>
          <w:sz w:val="24"/>
          <w:highlight w:val="white"/>
        </w:rPr>
        <w:t xml:space="preserve">苏采云</w:t>
      </w:r>
      <w:r>
        <w:rPr>
          <w:rFonts w:ascii="Times New Roman" w:hAnsi="Times New Roman" w:eastAsia="Times New Roman" w:cs="Times New Roman"/>
          <w:color w:val="000000"/>
          <w:sz w:val="24"/>
          <w:highlight w:val="white"/>
        </w:rPr>
        <w:t xml:space="preserve">”</w:t>
      </w:r>
      <w:r>
        <w:rPr>
          <w:rFonts w:ascii="KaiTi" w:hAnsi="KaiTi" w:eastAsia="KaiTi" w:cs="KaiTi"/>
          <w:color w:val="000000"/>
          <w:sz w:val="24"/>
          <w:highlight w:val="white"/>
          <w:u w:val="single"/>
        </w:rPr>
        <w:t xml:space="preserve">电子交易平台（网</w:t>
      </w:r>
      <w:r>
        <w:rPr>
          <w:rFonts w:ascii="KaiTi" w:hAnsi="KaiTi" w:eastAsia="KaiTi" w:cs="KaiTi"/>
          <w:color w:val="000000" w:themeColor="text1"/>
          <w:sz w:val="24"/>
          <w:highlight w:val="white"/>
          <w:u w:val="single"/>
        </w:rPr>
        <w:t xml:space="preserve">址：</w:t>
      </w:r>
      <w:hyperlink r:id="rId10" w:tooltip="http://jszfcg.jsczt.cn/%EF%BC%89" w:history="1">
        <w:r>
          <w:rPr>
            <w:rStyle w:val="812"/>
            <w:rFonts w:ascii="Times New Roman" w:hAnsi="Times New Roman" w:eastAsia="Times New Roman" w:cs="Times New Roman"/>
            <w:color w:val="000000" w:themeColor="text1"/>
            <w:sz w:val="24"/>
            <w:highlight w:val="white"/>
            <w:u w:val="single"/>
          </w:rPr>
          <w:t xml:space="preserve">http://jszfcg.jsczt.cn/</w:t>
        </w:r>
        <w:r>
          <w:rPr>
            <w:rStyle w:val="812"/>
            <w:rFonts w:ascii="KaiTi" w:hAnsi="KaiTi" w:eastAsia="KaiTi" w:cs="KaiTi"/>
            <w:color w:val="000000" w:themeColor="text1"/>
            <w:sz w:val="24"/>
            <w:highlight w:val="white"/>
            <w:u w:val="single"/>
          </w:rPr>
          <w:t xml:space="preserve">）</w:t>
        </w:r>
      </w:hyperlink>
      <w:r>
        <w:rPr>
          <w:color w:val="000000" w:themeColor="text1"/>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采购文件售价：免费</w:t>
      </w:r>
      <w:r/>
    </w:p>
    <w:p>
      <w:pPr>
        <w:ind w:left="-142"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u w:val="none"/>
        </w:rPr>
        <w:t xml:space="preserve">四、</w:t>
      </w:r>
      <w:r>
        <w:rPr>
          <w:rFonts w:ascii="KaiTi" w:hAnsi="KaiTi" w:eastAsia="KaiTi" w:cs="KaiTi"/>
          <w:color w:val="000000"/>
          <w:sz w:val="24"/>
        </w:rPr>
        <w:t xml:space="preserve">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提交投标文件截止时间及开标时间：</w:t>
      </w:r>
      <w:r>
        <w:rPr>
          <w:rFonts w:ascii="Times New Roman" w:hAnsi="Times New Roman" w:eastAsia="Times New Roman" w:cs="Times New Roman"/>
          <w:color w:val="000000"/>
          <w:sz w:val="24"/>
          <w:u w:val="single"/>
        </w:rPr>
        <w:t xml:space="preserve">2026</w:t>
      </w:r>
      <w:r>
        <w:rPr>
          <w:rFonts w:ascii="KaiTi" w:hAnsi="KaiTi" w:eastAsia="KaiTi" w:cs="KaiTi"/>
          <w:color w:val="000000"/>
          <w:sz w:val="24"/>
          <w:u w:val="single"/>
        </w:rPr>
        <w:t xml:space="preserve">年</w:t>
      </w:r>
      <w:r>
        <w:rPr>
          <w:rFonts w:ascii="Times New Roman" w:hAnsi="Times New Roman" w:eastAsia="Times New Roman" w:cs="Times New Roman"/>
          <w:color w:val="000000"/>
          <w:sz w:val="24"/>
          <w:u w:val="single"/>
        </w:rPr>
        <w:t xml:space="preserve"> 6 </w:t>
      </w:r>
      <w:r>
        <w:rPr>
          <w:rFonts w:ascii="KaiTi" w:hAnsi="KaiTi" w:eastAsia="KaiTi" w:cs="KaiTi"/>
          <w:color w:val="000000"/>
          <w:sz w:val="24"/>
          <w:u w:val="single"/>
        </w:rPr>
        <w:t xml:space="preserve">月</w:t>
      </w:r>
      <w:r>
        <w:rPr>
          <w:rFonts w:ascii="Times New Roman" w:hAnsi="Times New Roman" w:eastAsia="Times New Roman" w:cs="Times New Roman"/>
          <w:color w:val="000000"/>
          <w:sz w:val="24"/>
          <w:u w:val="single"/>
        </w:rPr>
        <w:t xml:space="preserve"> 17 </w:t>
      </w:r>
      <w:r>
        <w:rPr>
          <w:rFonts w:ascii="KaiTi" w:hAnsi="KaiTi" w:eastAsia="KaiTi" w:cs="KaiTi"/>
          <w:color w:val="000000"/>
          <w:sz w:val="24"/>
          <w:u w:val="single"/>
        </w:rPr>
        <w:t xml:space="preserve">日</w:t>
      </w:r>
      <w:r>
        <w:rPr>
          <w:rFonts w:ascii="Times New Roman" w:hAnsi="Times New Roman" w:eastAsia="Times New Roman" w:cs="Times New Roman"/>
          <w:color w:val="000000"/>
          <w:sz w:val="24"/>
          <w:u w:val="single"/>
        </w:rPr>
        <w:t xml:space="preserve">9</w:t>
      </w:r>
      <w:r>
        <w:rPr>
          <w:rFonts w:ascii="KaiTi" w:hAnsi="KaiTi" w:eastAsia="KaiTi" w:cs="KaiTi"/>
          <w:color w:val="000000"/>
          <w:sz w:val="24"/>
          <w:u w:val="single"/>
        </w:rPr>
        <w:t xml:space="preserve">点</w:t>
      </w:r>
      <w:r>
        <w:rPr>
          <w:rFonts w:ascii="Times New Roman" w:hAnsi="Times New Roman" w:eastAsia="Times New Roman" w:cs="Times New Roman"/>
          <w:color w:val="000000"/>
          <w:sz w:val="24"/>
          <w:u w:val="single"/>
        </w:rPr>
        <w:t xml:space="preserve">00</w:t>
      </w:r>
      <w:r>
        <w:rPr>
          <w:rFonts w:ascii="KaiTi" w:hAnsi="KaiTi" w:eastAsia="KaiTi" w:cs="KaiTi"/>
          <w:color w:val="000000"/>
          <w:sz w:val="24"/>
          <w:u w:val="single"/>
        </w:rPr>
        <w:t xml:space="preserve">分</w:t>
      </w:r>
      <w:r>
        <w:rPr>
          <w:rFonts w:ascii="KaiTi" w:hAnsi="KaiTi" w:eastAsia="KaiTi" w:cs="KaiTi"/>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开标地点：</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苏采云</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政府采购交易系统网上</w:t>
      </w:r>
      <w:r>
        <w:rPr>
          <w:rFonts w:ascii="KaiTi" w:hAnsi="KaiTi" w:eastAsia="KaiTi" w:cs="KaiTi"/>
          <w:color w:val="000000"/>
          <w:sz w:val="21"/>
        </w:rPr>
        <w:t xml:space="preserve">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注意事项：</w:t>
      </w:r>
      <w:r>
        <w:rPr>
          <w:rFonts w:ascii="KaiTi" w:hAnsi="KaiTi" w:eastAsia="KaiTi" w:cs="KaiTi"/>
          <w:color w:val="000000"/>
          <w:sz w:val="24"/>
          <w:u w:val="none"/>
        </w:rPr>
        <w:t xml:space="preserve">（</w:t>
      </w:r>
      <w:r>
        <w:rPr>
          <w:rFonts w:ascii="Times New Roman" w:hAnsi="Times New Roman" w:eastAsia="Times New Roman" w:cs="Times New Roman"/>
          <w:color w:val="000000"/>
          <w:sz w:val="24"/>
        </w:rPr>
        <w:t xml:space="preserve">1</w:t>
      </w:r>
      <w:r>
        <w:rPr>
          <w:rFonts w:ascii="KaiTi" w:hAnsi="KaiTi" w:eastAsia="KaiTi" w:cs="KaiTi"/>
          <w:color w:val="000000"/>
          <w:sz w:val="24"/>
          <w:u w:val="none"/>
        </w:rPr>
        <w:t xml:space="preserve">）本项目通过</w:t>
      </w:r>
      <w:r>
        <w:rPr>
          <w:rFonts w:ascii="Times New Roman" w:hAnsi="Times New Roman" w:eastAsia="Times New Roman" w:cs="Times New Roman"/>
          <w:color w:val="000000"/>
          <w:sz w:val="24"/>
          <w:u w:val="single"/>
        </w:rPr>
        <w:t xml:space="preserve">“</w:t>
      </w:r>
      <w:r>
        <w:rPr>
          <w:rFonts w:ascii="KaiTi" w:hAnsi="KaiTi" w:eastAsia="KaiTi" w:cs="KaiTi"/>
          <w:color w:val="000000"/>
          <w:sz w:val="24"/>
          <w:u w:val="single"/>
        </w:rPr>
        <w:t xml:space="preserve">苏采云</w:t>
      </w:r>
      <w:r>
        <w:rPr>
          <w:rFonts w:ascii="Times New Roman" w:hAnsi="Times New Roman" w:eastAsia="Times New Roman" w:cs="Times New Roman"/>
          <w:color w:val="000000"/>
          <w:sz w:val="24"/>
          <w:u w:val="single"/>
        </w:rPr>
        <w:t xml:space="preserve">”</w:t>
      </w:r>
      <w:r>
        <w:rPr>
          <w:rFonts w:ascii="KaiTi" w:hAnsi="KaiTi" w:eastAsia="KaiTi" w:cs="KaiTi"/>
          <w:color w:val="000000"/>
          <w:sz w:val="24"/>
          <w:u w:val="single"/>
        </w:rPr>
        <w:t xml:space="preserve">系统</w:t>
      </w:r>
      <w:r>
        <w:rPr>
          <w:rFonts w:ascii="KaiTi" w:hAnsi="KaiTi" w:eastAsia="KaiTi" w:cs="KaiTi"/>
          <w:color w:val="000000"/>
          <w:sz w:val="24"/>
        </w:rPr>
        <w:t xml:space="preserve">进行采购，投标人须通过</w:t>
      </w:r>
      <w:r>
        <w:rPr>
          <w:rFonts w:ascii="Times New Roman" w:hAnsi="Times New Roman" w:eastAsia="Times New Roman" w:cs="Times New Roman"/>
          <w:color w:val="000000"/>
          <w:sz w:val="24"/>
          <w:u w:val="single"/>
        </w:rPr>
        <w:t xml:space="preserve">“</w:t>
      </w:r>
      <w:r>
        <w:rPr>
          <w:rFonts w:ascii="KaiTi" w:hAnsi="KaiTi" w:eastAsia="KaiTi" w:cs="KaiTi"/>
          <w:color w:val="000000"/>
          <w:sz w:val="24"/>
          <w:u w:val="single"/>
        </w:rPr>
        <w:t xml:space="preserve">江苏政府采购网</w:t>
      </w:r>
      <w:r>
        <w:rPr>
          <w:rFonts w:ascii="Times New Roman" w:hAnsi="Times New Roman" w:eastAsia="Times New Roman" w:cs="Times New Roman"/>
          <w:color w:val="000000"/>
          <w:sz w:val="24"/>
          <w:u w:val="single"/>
        </w:rPr>
        <w:t xml:space="preserve">”</w:t>
      </w:r>
      <w:r>
        <w:rPr>
          <w:rFonts w:ascii="KaiTi" w:hAnsi="KaiTi" w:eastAsia="KaiTi" w:cs="KaiTi"/>
          <w:color w:val="000000"/>
          <w:sz w:val="24"/>
        </w:rPr>
        <w:t xml:space="preserve">发布的最新响应文件制作软件（下载路径：江苏政府采购网</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资料下载</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《江苏省政府采购交易管理系统（苏采云）供应商操作指南》）</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苏采云</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系统在线制作并提交投标文件。截至投标截止时间，</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苏采云</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系统投标通道将关闭，投标人未完成电子投标文件有效提交的，其投标将被拒绝。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Times New Roman" w:hAnsi="Times New Roman" w:eastAsia="Times New Roman" w:cs="Times New Roman"/>
          <w:color w:val="000000"/>
          <w:sz w:val="24"/>
        </w:rPr>
        <w:t xml:space="preserve">2</w:t>
      </w:r>
      <w:r>
        <w:rPr>
          <w:rFonts w:ascii="KaiTi" w:hAnsi="KaiTi" w:eastAsia="KaiTi" w:cs="KaiTi"/>
          <w:color w:val="000000"/>
          <w:sz w:val="24"/>
        </w:rPr>
        <w:t xml:space="preserve">）本项目采用网上开标方式，请投标人事先做好电脑环境准备，自行选择互联网连接畅通的场地，在规定的开标时间内登录网上开标大厅进行投标文件解密等操作，直至评标结束方可离开电脑。</w:t>
      </w:r>
      <w:r/>
    </w:p>
    <w:p>
      <w:pPr>
        <w:ind w:left="-142"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自本公告发布之日起</w:t>
      </w:r>
      <w:r>
        <w:rPr>
          <w:rFonts w:ascii="Times New Roman" w:hAnsi="Times New Roman" w:eastAsia="Times New Roman" w:cs="Times New Roman"/>
          <w:color w:val="000000"/>
          <w:sz w:val="24"/>
        </w:rPr>
        <w:t xml:space="preserve">5</w:t>
      </w:r>
      <w:r>
        <w:rPr>
          <w:rFonts w:ascii="KaiTi" w:hAnsi="KaiTi" w:eastAsia="KaiTi" w:cs="KaiTi"/>
          <w:color w:val="000000"/>
          <w:sz w:val="24"/>
        </w:rPr>
        <w:t xml:space="preserve">个工作日。</w:t>
      </w:r>
      <w:r/>
    </w:p>
    <w:p>
      <w:pPr>
        <w:ind w:left="-142"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u w:val="none"/>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KaiTi" w:hAnsi="KaiTi" w:eastAsia="KaiTi" w:cs="KaiTi"/>
          <w:color w:val="000000"/>
          <w:sz w:val="24"/>
          <w:u w:val="none"/>
        </w:rPr>
        <w:t xml:space="preserve">本项目通过</w:t>
      </w:r>
      <w:r>
        <w:rPr>
          <w:rFonts w:ascii="Times New Roman" w:hAnsi="Times New Roman" w:eastAsia="Times New Roman" w:cs="Times New Roman"/>
          <w:color w:val="000000"/>
          <w:sz w:val="24"/>
          <w:u w:val="none"/>
        </w:rPr>
        <w:t xml:space="preserve">“</w:t>
      </w:r>
      <w:r>
        <w:rPr>
          <w:rFonts w:ascii="KaiTi" w:hAnsi="KaiTi" w:eastAsia="KaiTi" w:cs="KaiTi"/>
          <w:color w:val="000000"/>
          <w:sz w:val="24"/>
          <w:u w:val="none"/>
        </w:rPr>
        <w:t xml:space="preserve">苏采云</w:t>
      </w:r>
      <w:r>
        <w:rPr>
          <w:rFonts w:ascii="Times New Roman" w:hAnsi="Times New Roman" w:eastAsia="Times New Roman" w:cs="Times New Roman"/>
          <w:color w:val="000000"/>
          <w:sz w:val="24"/>
          <w:u w:val="none"/>
        </w:rPr>
        <w:t xml:space="preserve">”</w:t>
      </w:r>
      <w:r>
        <w:rPr>
          <w:rFonts w:ascii="KaiTi" w:hAnsi="KaiTi" w:eastAsia="KaiTi" w:cs="KaiTi"/>
          <w:color w:val="000000"/>
          <w:sz w:val="24"/>
          <w:u w:val="none"/>
        </w:rPr>
        <w:t xml:space="preserve">系统进行采购，请在投标前详细阅读《</w:t>
      </w:r>
      <w:r>
        <w:rPr>
          <w:rFonts w:ascii="Times New Roman" w:hAnsi="Times New Roman" w:eastAsia="Times New Roman" w:cs="Times New Roman"/>
          <w:color w:val="000000"/>
          <w:sz w:val="24"/>
          <w:u w:val="none"/>
        </w:rPr>
        <w:t xml:space="preserve">“</w:t>
      </w:r>
      <w:r>
        <w:rPr>
          <w:rFonts w:ascii="KaiTi" w:hAnsi="KaiTi" w:eastAsia="KaiTi" w:cs="KaiTi"/>
          <w:color w:val="000000"/>
          <w:sz w:val="24"/>
          <w:u w:val="none"/>
        </w:rPr>
        <w:t xml:space="preserve">苏采云</w:t>
      </w:r>
      <w:r>
        <w:rPr>
          <w:rFonts w:ascii="Times New Roman" w:hAnsi="Times New Roman" w:eastAsia="Times New Roman" w:cs="Times New Roman"/>
          <w:color w:val="000000"/>
          <w:sz w:val="24"/>
          <w:u w:val="none"/>
        </w:rPr>
        <w:t xml:space="preserve">”</w:t>
      </w:r>
      <w:r>
        <w:rPr>
          <w:rFonts w:ascii="KaiTi" w:hAnsi="KaiTi" w:eastAsia="KaiTi" w:cs="KaiTi"/>
          <w:color w:val="000000"/>
          <w:sz w:val="24"/>
          <w:u w:val="none"/>
        </w:rPr>
        <w:t xml:space="preserve">系统供应商操作手册》（下载路径：江苏政府采购网</w:t>
      </w:r>
      <w:r>
        <w:rPr>
          <w:rFonts w:ascii="Times New Roman" w:hAnsi="Times New Roman" w:eastAsia="Times New Roman" w:cs="Times New Roman"/>
          <w:color w:val="000000"/>
          <w:sz w:val="24"/>
          <w:u w:val="none"/>
        </w:rPr>
        <w:t xml:space="preserve">——</w:t>
      </w:r>
      <w:r>
        <w:rPr>
          <w:rFonts w:ascii="KaiTi" w:hAnsi="KaiTi" w:eastAsia="KaiTi" w:cs="KaiTi"/>
          <w:color w:val="000000"/>
          <w:sz w:val="24"/>
          <w:u w:val="none"/>
        </w:rPr>
        <w:t xml:space="preserve">资料下载</w:t>
      </w:r>
      <w:r>
        <w:rPr>
          <w:rFonts w:ascii="Times New Roman" w:hAnsi="Times New Roman" w:eastAsia="Times New Roman" w:cs="Times New Roman"/>
          <w:color w:val="000000"/>
          <w:sz w:val="24"/>
          <w:u w:val="none"/>
        </w:rPr>
        <w:t xml:space="preserve">——</w:t>
      </w:r>
      <w:r>
        <w:rPr>
          <w:rFonts w:ascii="KaiTi" w:hAnsi="KaiTi" w:eastAsia="KaiTi" w:cs="KaiTi"/>
          <w:color w:val="000000"/>
          <w:sz w:val="24"/>
          <w:u w:val="none"/>
        </w:rPr>
        <w:t xml:space="preserve">《江苏省政府采购交易管理系统（苏采云）供应商操作指南》）；投标人在使用系统进行投标的过程中如遇到涉及</w:t>
      </w:r>
      <w:r>
        <w:rPr>
          <w:rFonts w:ascii="Times New Roman" w:hAnsi="Times New Roman" w:eastAsia="Times New Roman" w:cs="Times New Roman"/>
          <w:color w:val="000000"/>
          <w:sz w:val="24"/>
          <w:u w:val="none"/>
        </w:rPr>
        <w:t xml:space="preserve">“</w:t>
      </w:r>
      <w:r>
        <w:rPr>
          <w:rFonts w:ascii="KaiTi" w:hAnsi="KaiTi" w:eastAsia="KaiTi" w:cs="KaiTi"/>
          <w:color w:val="000000"/>
          <w:sz w:val="24"/>
          <w:u w:val="none"/>
        </w:rPr>
        <w:t xml:space="preserve">苏采云</w:t>
      </w:r>
      <w:r>
        <w:rPr>
          <w:rFonts w:ascii="Times New Roman" w:hAnsi="Times New Roman" w:eastAsia="Times New Roman" w:cs="Times New Roman"/>
          <w:color w:val="000000"/>
          <w:sz w:val="24"/>
          <w:u w:val="none"/>
        </w:rPr>
        <w:t xml:space="preserve">”</w:t>
      </w:r>
      <w:r>
        <w:rPr>
          <w:rFonts w:ascii="KaiTi" w:hAnsi="KaiTi" w:eastAsia="KaiTi" w:cs="KaiTi"/>
          <w:color w:val="000000"/>
          <w:sz w:val="24"/>
          <w:u w:val="none"/>
        </w:rPr>
        <w:t xml:space="preserve">系统使用的任何问题，应在工作日</w:t>
      </w:r>
      <w:r>
        <w:rPr>
          <w:rFonts w:ascii="Times New Roman" w:hAnsi="Times New Roman" w:eastAsia="Times New Roman" w:cs="Times New Roman"/>
          <w:color w:val="000000"/>
          <w:sz w:val="24"/>
          <w:u w:val="none"/>
        </w:rPr>
        <w:t xml:space="preserve">9</w:t>
      </w:r>
      <w:r>
        <w:rPr>
          <w:rFonts w:ascii="Times New Roman" w:hAnsi="Times New Roman" w:eastAsia="Times New Roman" w:cs="Times New Roman"/>
          <w:color w:val="000000"/>
          <w:sz w:val="24"/>
        </w:rPr>
        <w:t xml:space="preserve">:00-11:30 13:30-17:30</w:t>
      </w:r>
      <w:r>
        <w:rPr>
          <w:rFonts w:ascii="KaiTi" w:hAnsi="KaiTi" w:eastAsia="KaiTi" w:cs="KaiTi"/>
          <w:color w:val="000000"/>
          <w:sz w:val="24"/>
        </w:rPr>
        <w:t xml:space="preserve">期间致电技术支持热线咨询，联系方式：</w:t>
      </w:r>
      <w:r>
        <w:rPr>
          <w:rFonts w:ascii="Times New Roman" w:hAnsi="Times New Roman" w:eastAsia="Times New Roman" w:cs="Times New Roman"/>
          <w:color w:val="000000"/>
          <w:sz w:val="24"/>
        </w:rPr>
        <w:t xml:space="preserve">15252929439</w:t>
      </w:r>
      <w:r>
        <w:rPr>
          <w:rFonts w:ascii="KaiTi" w:hAnsi="KaiTi" w:eastAsia="KaiTi" w:cs="KaiTi"/>
          <w:color w:val="000000"/>
          <w:sz w:val="24"/>
        </w:rPr>
        <w:t xml:space="preserve">（周工）、</w:t>
      </w:r>
      <w:r>
        <w:rPr>
          <w:rFonts w:ascii="Times New Roman" w:hAnsi="Times New Roman" w:eastAsia="Times New Roman" w:cs="Times New Roman"/>
          <w:color w:val="000000"/>
          <w:sz w:val="24"/>
        </w:rPr>
        <w:t xml:space="preserve">0519-86722803</w:t>
      </w:r>
      <w:r>
        <w:rPr>
          <w:rFonts w:ascii="KaiTi" w:hAnsi="KaiTi" w:eastAsia="KaiTi" w:cs="KaiTi"/>
          <w:color w:val="000000"/>
          <w:sz w:val="24"/>
        </w:rPr>
        <w:t xml:space="preserve">、</w:t>
      </w:r>
      <w:r>
        <w:rPr>
          <w:rFonts w:ascii="Times New Roman" w:hAnsi="Times New Roman" w:eastAsia="Times New Roman" w:cs="Times New Roman"/>
          <w:color w:val="000000"/>
          <w:sz w:val="24"/>
        </w:rPr>
        <w:t xml:space="preserve">0519-86722805</w:t>
      </w:r>
      <w:r>
        <w:rPr>
          <w:rFonts w:ascii="KaiTi" w:hAnsi="KaiTi" w:eastAsia="KaiTi" w:cs="KaiTi"/>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KaiTi" w:hAnsi="KaiTi" w:eastAsia="KaiTi" w:cs="KaiTi"/>
          <w:color w:val="000000"/>
          <w:sz w:val="24"/>
        </w:rPr>
        <w:t xml:space="preserve">投标人投标需提前办理数字认证证书，办理方式和注意事项详见：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镇江地区意源（方正）办理方式：镇江市润州区冠城路</w:t>
      </w:r>
      <w:r>
        <w:rPr>
          <w:rFonts w:ascii="Times New Roman" w:hAnsi="Times New Roman" w:eastAsia="Times New Roman" w:cs="Times New Roman"/>
          <w:color w:val="000000"/>
          <w:sz w:val="24"/>
        </w:rPr>
        <w:t xml:space="preserve">8</w:t>
      </w:r>
      <w:r>
        <w:rPr>
          <w:rFonts w:ascii="KaiTi" w:hAnsi="KaiTi" w:eastAsia="KaiTi" w:cs="KaiTi"/>
          <w:color w:val="000000"/>
          <w:sz w:val="24"/>
        </w:rPr>
        <w:t xml:space="preserve">号工人大厦</w:t>
      </w:r>
      <w:r>
        <w:rPr>
          <w:rFonts w:ascii="Times New Roman" w:hAnsi="Times New Roman" w:eastAsia="Times New Roman" w:cs="Times New Roman"/>
          <w:color w:val="000000"/>
          <w:sz w:val="24"/>
        </w:rPr>
        <w:t xml:space="preserve">7</w:t>
      </w:r>
      <w:r>
        <w:rPr>
          <w:rFonts w:ascii="KaiTi" w:hAnsi="KaiTi" w:eastAsia="KaiTi" w:cs="KaiTi"/>
          <w:color w:val="000000"/>
          <w:sz w:val="24"/>
        </w:rPr>
        <w:t xml:space="preserve">楼公共资源交易中心大厅</w:t>
      </w:r>
      <w:r>
        <w:rPr>
          <w:rFonts w:ascii="Times New Roman" w:hAnsi="Times New Roman" w:eastAsia="Times New Roman" w:cs="Times New Roman"/>
          <w:color w:val="000000"/>
          <w:sz w:val="24"/>
        </w:rPr>
        <w:t xml:space="preserve">CA</w:t>
      </w:r>
      <w:r>
        <w:rPr>
          <w:rFonts w:ascii="KaiTi" w:hAnsi="KaiTi" w:eastAsia="KaiTi" w:cs="KaiTi"/>
          <w:color w:val="000000"/>
          <w:sz w:val="24"/>
        </w:rPr>
        <w:t xml:space="preserve">窗口。工作日办公时间：</w:t>
      </w:r>
      <w:r>
        <w:rPr>
          <w:rFonts w:ascii="Times New Roman" w:hAnsi="Times New Roman" w:eastAsia="Times New Roman" w:cs="Times New Roman"/>
          <w:color w:val="000000"/>
          <w:sz w:val="24"/>
        </w:rPr>
        <w:t xml:space="preserve">9:00-12:00</w:t>
      </w:r>
      <w:r>
        <w:rPr>
          <w:rFonts w:ascii="KaiTi" w:hAnsi="KaiTi" w:eastAsia="KaiTi" w:cs="KaiTi"/>
          <w:color w:val="000000"/>
          <w:sz w:val="24"/>
        </w:rPr>
        <w:t xml:space="preserve">、</w:t>
      </w:r>
      <w:r>
        <w:rPr>
          <w:rFonts w:ascii="Times New Roman" w:hAnsi="Times New Roman" w:eastAsia="Times New Roman" w:cs="Times New Roman"/>
          <w:color w:val="000000"/>
          <w:sz w:val="24"/>
        </w:rPr>
        <w:t xml:space="preserve">13:30-17:30</w:t>
      </w:r>
      <w:r>
        <w:rPr>
          <w:rFonts w:ascii="KaiTi" w:hAnsi="KaiTi" w:eastAsia="KaiTi" w:cs="KaiTi"/>
          <w:color w:val="000000"/>
          <w:sz w:val="24"/>
        </w:rPr>
        <w:t xml:space="preserve">。联系人：邵娟，联系电话：</w:t>
      </w:r>
      <w:r>
        <w:rPr>
          <w:rFonts w:ascii="Times New Roman" w:hAnsi="Times New Roman" w:eastAsia="Times New Roman" w:cs="Times New Roman"/>
          <w:color w:val="000000"/>
          <w:sz w:val="24"/>
        </w:rPr>
        <w:t xml:space="preserve">13655287962</w:t>
      </w:r>
      <w:r>
        <w:rPr>
          <w:rFonts w:ascii="KaiTi" w:hAnsi="KaiTi" w:eastAsia="KaiTi" w:cs="KaiTi"/>
          <w:color w:val="000000"/>
          <w:sz w:val="24"/>
        </w:rPr>
        <w:t xml:space="preserve">，办理指南地址：</w:t>
      </w:r>
      <w:r>
        <w:rPr>
          <w:rFonts w:ascii="Times New Roman" w:hAnsi="Times New Roman" w:eastAsia="Times New Roman" w:cs="Times New Roman"/>
          <w:color w:val="000000"/>
          <w:sz w:val="24"/>
        </w:rPr>
        <w:t xml:space="preserve">http://jsxcmm.com/help/gys.html</w:t>
      </w:r>
      <w:r>
        <w:rPr>
          <w:rFonts w:ascii="KaiTi" w:hAnsi="KaiTi" w:eastAsia="KaiTi" w:cs="KaiTi"/>
          <w:color w:val="000000"/>
          <w:sz w:val="24"/>
        </w:rPr>
        <w:t xml:space="preserve">。</w:t>
      </w:r>
      <w:r/>
    </w:p>
    <w:p>
      <w:pPr>
        <w:ind w:left="-142"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KaiTi" w:hAnsi="KaiTi" w:eastAsia="KaiTi" w:cs="KaiTi"/>
          <w:color w:val="000000"/>
          <w:sz w:val="24"/>
        </w:rPr>
        <w:t xml:space="preserve">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名称：扬中市机关事务管理中心</w:t>
      </w:r>
      <w:r>
        <w:rPr>
          <w:rFonts w:ascii="Times New Roman" w:hAnsi="Times New Roman" w:eastAsia="Times New Roman" w:cs="Times New Roma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地址：扬中市中电大道 </w:t>
      </w:r>
      <w:r>
        <w:rPr>
          <w:rFonts w:ascii="Times New Roman" w:hAnsi="Times New Roman" w:eastAsia="Times New Roman" w:cs="Times New Roman"/>
          <w:color w:val="000000"/>
          <w:sz w:val="24"/>
          <w:highlight w:val="white"/>
        </w:rPr>
        <w:t xml:space="preserve">8 </w:t>
      </w:r>
      <w:r>
        <w:rPr>
          <w:rFonts w:ascii="KaiTi" w:hAnsi="KaiTi" w:eastAsia="KaiTi" w:cs="KaiTi"/>
          <w:color w:val="000000"/>
          <w:sz w:val="24"/>
          <w:highlight w:val="white"/>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联系人：奚柏华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联系方式：</w:t>
      </w:r>
      <w:r>
        <w:rPr>
          <w:rFonts w:ascii="Times New Roman" w:hAnsi="Times New Roman" w:eastAsia="Times New Roman" w:cs="Times New Roman"/>
          <w:color w:val="000000"/>
          <w:sz w:val="24"/>
          <w:highlight w:val="white"/>
        </w:rPr>
        <w:t xml:space="preserve">0511-88323569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KaiTi" w:hAnsi="KaiTi" w:eastAsia="KaiTi" w:cs="KaiTi"/>
          <w:color w:val="000000"/>
          <w:sz w:val="24"/>
        </w:rPr>
        <w:t xml:space="preserve">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名</w:t>
      </w:r>
      <w:r>
        <w:rPr>
          <w:rFonts w:ascii="Times New Roman" w:hAnsi="Times New Roman" w:eastAsia="Times New Roman" w:cs="Times New Roman"/>
          <w:color w:val="000000"/>
          <w:sz w:val="24"/>
          <w:highlight w:val="white"/>
        </w:rPr>
        <w:t xml:space="preserve"> </w:t>
      </w:r>
      <w:r>
        <w:rPr>
          <w:rFonts w:ascii="KaiTi" w:hAnsi="KaiTi" w:eastAsia="KaiTi" w:cs="KaiTi"/>
          <w:color w:val="000000"/>
          <w:sz w:val="24"/>
          <w:highlight w:val="white"/>
        </w:rPr>
        <w:t xml:space="preserve">称：扬中市公共资源交易中心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地</w:t>
      </w:r>
      <w:r>
        <w:rPr>
          <w:rFonts w:ascii="Times New Roman" w:hAnsi="Times New Roman" w:eastAsia="Times New Roman" w:cs="Times New Roman"/>
          <w:color w:val="000000"/>
          <w:sz w:val="24"/>
          <w:highlight w:val="white"/>
        </w:rPr>
        <w:t xml:space="preserve"> </w:t>
      </w:r>
      <w:r>
        <w:rPr>
          <w:rFonts w:ascii="KaiTi" w:hAnsi="KaiTi" w:eastAsia="KaiTi" w:cs="KaiTi"/>
          <w:color w:val="000000"/>
          <w:sz w:val="24"/>
          <w:highlight w:val="white"/>
        </w:rPr>
        <w:t xml:space="preserve">址：</w:t>
      </w:r>
      <w:r>
        <w:rPr>
          <w:rFonts w:ascii="KaiTi" w:hAnsi="KaiTi" w:eastAsia="KaiTi" w:cs="KaiTi"/>
          <w:color w:val="000000"/>
          <w:sz w:val="24"/>
        </w:rPr>
        <w:t xml:space="preserve">扬中市扬子中路</w:t>
      </w:r>
      <w:r>
        <w:rPr>
          <w:rFonts w:ascii="Times New Roman" w:hAnsi="Times New Roman" w:eastAsia="Times New Roman" w:cs="Times New Roman"/>
          <w:color w:val="000000"/>
          <w:sz w:val="24"/>
        </w:rPr>
        <w:t xml:space="preserve">168</w:t>
      </w:r>
      <w:r>
        <w:rPr>
          <w:rFonts w:ascii="KaiTi" w:hAnsi="KaiTi" w:eastAsia="KaiTi" w:cs="KaiTi"/>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联系方式：</w:t>
      </w:r>
      <w:r>
        <w:rPr>
          <w:rFonts w:ascii="Times New Roman" w:hAnsi="Times New Roman" w:eastAsia="Times New Roman" w:cs="Times New Roman"/>
          <w:color w:val="000000"/>
          <w:sz w:val="24"/>
        </w:rPr>
        <w:t xml:space="preserve">0511-88358235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KaiTi" w:hAnsi="KaiTi" w:eastAsia="KaiTi" w:cs="KaiTi"/>
          <w:color w:val="000000"/>
          <w:sz w:val="24"/>
          <w:highlight w:val="white"/>
        </w:rPr>
        <w:t xml:space="preserve">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项目联系人：吴慧秀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电</w:t>
      </w:r>
      <w:r>
        <w:rPr>
          <w:rFonts w:ascii="Times New Roman" w:hAnsi="Times New Roman" w:eastAsia="Times New Roman" w:cs="Times New Roman"/>
          <w:color w:val="000000"/>
          <w:sz w:val="24"/>
          <w:highlight w:val="white"/>
        </w:rPr>
        <w:t xml:space="preserve"> </w:t>
      </w:r>
      <w:r>
        <w:rPr>
          <w:rFonts w:ascii="KaiTi" w:hAnsi="KaiTi" w:eastAsia="KaiTi" w:cs="KaiTi"/>
          <w:color w:val="000000"/>
          <w:sz w:val="24"/>
          <w:highlight w:val="white"/>
        </w:rPr>
        <w:t xml:space="preserve">话：</w:t>
      </w:r>
      <w:r>
        <w:rPr>
          <w:rFonts w:ascii="Times New Roman" w:hAnsi="Times New Roman" w:eastAsia="Times New Roman" w:cs="Times New Roman"/>
          <w:color w:val="000000"/>
          <w:sz w:val="24"/>
          <w:highlight w:val="white"/>
        </w:rPr>
        <w:t xml:space="preserve">0511-</w:t>
      </w:r>
      <w:r>
        <w:rPr>
          <w:rFonts w:ascii="Times New Roman" w:hAnsi="Times New Roman" w:eastAsia="Times New Roman" w:cs="Times New Roman"/>
          <w:color w:val="000000"/>
          <w:sz w:val="24"/>
        </w:rPr>
        <w:t xml:space="preserve">88395026/ 0511-88358235</w:t>
      </w:r>
      <w:r/>
    </w:p>
    <w:p>
      <w:pPr>
        <w:shd w:val="nil" w:color="auto"/>
      </w:pPr>
      <w:r>
        <w:rPr>
          <w:rFonts w:ascii="KaiTi" w:hAnsi="KaiTi" w:eastAsia="KaiTi" w:cs="KaiTi"/>
          <w:b/>
          <w:color w:val="000000"/>
          <w:sz w:val="32"/>
          <w:highlight w:val="none"/>
        </w:rPr>
        <w:br w:type="page" w:clear="all"/>
      </w:r>
      <w:r>
        <w:rPr>
          <w:rFonts w:ascii="KaiTi" w:hAnsi="KaiTi" w:eastAsia="KaiTi" w:cs="KaiTi"/>
          <w:b/>
          <w:color w:val="000000"/>
          <w:sz w:val="32"/>
          <w:highlight w:val="none"/>
        </w:rPr>
      </w:r>
      <w:r/>
    </w:p>
    <w:p>
      <w:pPr>
        <w:ind w:left="0" w:right="0" w:firstLine="643"/>
        <w:jc w:val="center"/>
        <w:spacing w:before="0" w:after="0" w:line="85" w:lineRule="atLeast"/>
        <w:rPr>
          <w:rFonts w:ascii="KaiTi" w:hAnsi="KaiTi" w:eastAsia="KaiTi" w:cs="KaiT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第二部分投标人须知</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前附表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
        <w:gridCol w:w="1852"/>
        <w:gridCol w:w="6686"/>
      </w:tblGrid>
      <w:tr>
        <w:trPr>
          <w:trHeight w:val="1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本次投标报价的币种为人民币。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投标人应按招标文件所提供的各报价表格式报价。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投标人应对本项目报出最具有竞争力的价格，应包括本次招标要求提供的货物（服务）已支付或将支付的所有费用（含税费）。</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最低投标报价不能作为中标的保证。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中标价即为合同签约价。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如出现报价前后不一致的，将按招标文件第五部分“评标办法和标准”第5项规定进行修正。</w:t>
            </w:r>
            <w:r/>
          </w:p>
        </w:tc>
      </w:tr>
      <w:tr>
        <w:trPr>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项目依法不得转包；</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本项目不同意分包。</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不组织。</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不统一组织。</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无。</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不要求提供。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服务类。本项目核心产品为：物业服务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标的：</w:t>
            </w:r>
            <w:r>
              <w:rPr>
                <w:rFonts w:ascii="KaiTi" w:hAnsi="KaiTi" w:eastAsia="KaiTi" w:cs="KaiTi"/>
                <w:color w:val="000000"/>
                <w:sz w:val="24"/>
                <w:u w:val="single"/>
              </w:rPr>
              <w:t xml:space="preserve"> 2026—2029年扬中市行政中心物业管理服务采购项目 </w:t>
            </w:r>
            <w:r>
              <w:rPr>
                <w:rFonts w:ascii="KaiTi" w:hAnsi="KaiTi" w:eastAsia="KaiTi" w:cs="KaiTi"/>
                <w:color w:val="000000"/>
                <w:sz w:val="24"/>
              </w:rPr>
              <w:t xml:space="preserve">，属于</w:t>
            </w:r>
            <w:r>
              <w:rPr>
                <w:rFonts w:ascii="KaiTi" w:hAnsi="KaiTi" w:eastAsia="KaiTi" w:cs="KaiTi"/>
                <w:color w:val="000000"/>
                <w:sz w:val="24"/>
                <w:u w:val="single"/>
              </w:rPr>
              <w:t xml:space="preserve">物业管理 </w:t>
            </w:r>
            <w:r>
              <w:rPr>
                <w:rFonts w:ascii="KaiTi" w:hAnsi="KaiTi" w:eastAsia="KaiTi" w:cs="KaiTi"/>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w:t>
            </w:r>
            <w:r>
              <w:rPr>
                <w:rFonts w:ascii="Times New Roman" w:hAnsi="Times New Roman" w:eastAsia="Times New Roman" w:cs="Times New Roman"/>
                <w:color w:val="000000"/>
                <w:sz w:val="24"/>
              </w:rPr>
              <w:t xml:space="preserve">http://www.ccgp-jiangsu.gov.cn/jiangsu/paying.html</w:t>
            </w:r>
            <w:r>
              <w:rPr>
                <w:rFonts w:ascii="KaiTi" w:hAnsi="KaiTi" w:eastAsia="KaiTi" w:cs="KaiTi"/>
                <w:color w:val="000000"/>
                <w:sz w:val="24"/>
              </w:rPr>
              <w:t xml:space="preserve">咨询电话：镇江市财政局政府采购处</w:t>
            </w:r>
            <w:r>
              <w:rPr>
                <w:rFonts w:ascii="Times New Roman" w:hAnsi="Times New Roman" w:eastAsia="Times New Roman" w:cs="Times New Roman"/>
                <w:color w:val="000000"/>
                <w:sz w:val="24"/>
              </w:rPr>
              <w:t xml:space="preserve">0511-80909958</w:t>
            </w:r>
            <w:r>
              <w:rPr>
                <w:rFonts w:ascii="KaiTi" w:hAnsi="KaiTi" w:eastAsia="KaiTi" w:cs="KaiTi"/>
                <w:color w:val="000000"/>
                <w:sz w:val="24"/>
              </w:rPr>
              <w:t xml:space="preserve">。</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采购人采购数据中心相关设备、运维服务，按照《绿色数据中心政府采购需求标准（试行）》实施相关采购活动。</w:t>
            </w:r>
            <w:r/>
          </w:p>
        </w:tc>
      </w:tr>
    </w:tbl>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u w:val="none"/>
        </w:rPr>
        <w:t xml:space="preserve">1.</w:t>
      </w:r>
      <w:r>
        <w:rPr>
          <w:rFonts w:ascii="KaiTi" w:hAnsi="KaiTi" w:eastAsia="KaiTi" w:cs="KaiTi"/>
          <w:b/>
          <w:color w:val="000000"/>
          <w:sz w:val="30"/>
        </w:rPr>
        <w:t xml:space="preserve">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 本招标文件仅适用于</w:t>
      </w:r>
      <w:r>
        <w:rPr>
          <w:rFonts w:ascii="KaiTi" w:hAnsi="KaiTi" w:eastAsia="KaiTi" w:cs="KaiTi"/>
          <w:color w:val="000000"/>
          <w:sz w:val="24"/>
          <w:u w:val="single"/>
        </w:rPr>
        <w:t xml:space="preserve">2026—2029年扬中市行政中心物业管理服务采购项目</w:t>
      </w:r>
      <w:r>
        <w:rPr>
          <w:rFonts w:ascii="KaiTi" w:hAnsi="KaiTi" w:eastAsia="KaiTi" w:cs="KaiTi"/>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u w:val="none"/>
        </w:rPr>
        <w:t xml:space="preserve">2.</w:t>
      </w:r>
      <w:r>
        <w:rPr>
          <w:rFonts w:ascii="KaiTi" w:hAnsi="KaiTi" w:eastAsia="KaiTi" w:cs="KaiTi"/>
          <w:b/>
          <w:color w:val="000000"/>
          <w:sz w:val="30"/>
        </w:rPr>
        <w:t xml:space="preserve">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 “采购人”系指依法进行政府采购的国家机关、事业单位、团体组织，即：</w:t>
      </w:r>
      <w:r>
        <w:rPr>
          <w:rFonts w:ascii="KaiTi" w:hAnsi="KaiTi" w:eastAsia="KaiTi" w:cs="KaiTi"/>
          <w:color w:val="000000"/>
          <w:sz w:val="24"/>
          <w:u w:val="single"/>
        </w:rPr>
        <w:t xml:space="preserve"> 扬中市机关事务管理中心 </w:t>
      </w:r>
      <w:r>
        <w:rPr>
          <w:rFonts w:ascii="KaiTi" w:hAnsi="KaiTi" w:eastAsia="KaiTi" w:cs="KaiTi"/>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2.2 “投标人”系指响应招标、参加投标竞争的法人、其他组织或者自然人。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2.3 “采购代理机构”系指组织本次采购活动的单位，即：</w:t>
      </w:r>
      <w:r>
        <w:rPr>
          <w:rFonts w:ascii="KaiTi" w:hAnsi="KaiTi" w:eastAsia="KaiTi" w:cs="KaiTi"/>
          <w:color w:val="000000"/>
          <w:sz w:val="24"/>
          <w:u w:val="single"/>
        </w:rPr>
        <w:t xml:space="preserve">扬中市公共资源交易中心</w:t>
      </w:r>
      <w:r>
        <w:rPr>
          <w:rFonts w:ascii="KaiTi" w:hAnsi="KaiTi" w:eastAsia="KaiTi" w:cs="KaiTi"/>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2.4 “服务”系指本招标文件所述采购标的，即物业管理服务，亦包括招标文件中特别描述的其他形式的服务</w:t>
      </w:r>
      <w:r>
        <w:rPr>
          <w:rFonts w:ascii="KaiTi" w:hAnsi="KaiTi" w:eastAsia="KaiTi" w:cs="KaiTi"/>
          <w:color w:val="000000"/>
          <w:sz w:val="24"/>
          <w:highlight w:val="white"/>
        </w:rPr>
        <w:t xml:space="preserve">。 </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 本项目资格审查方式：☑资格后审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 投标人应自行承担所有与参加投标有关的费用</w:t>
      </w:r>
      <w:r>
        <w:rPr>
          <w:rFonts w:ascii="KaiTi" w:hAnsi="KaiTi" w:eastAsia="KaiTi" w:cs="KaiTi"/>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u w:val="none"/>
        </w:rPr>
        <w:t xml:space="preserve">5.</w:t>
      </w:r>
      <w:r>
        <w:rPr>
          <w:rFonts w:ascii="KaiTi" w:hAnsi="KaiTi" w:eastAsia="KaiTi" w:cs="KaiTi"/>
          <w:b/>
          <w:color w:val="000000"/>
          <w:sz w:val="30"/>
        </w:rPr>
        <w:t xml:space="preserve">政策功能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5.1支持中小企业发展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符合中小企业划分标准的个体工商户，在政府采购活动中视同中小企业。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5.1.2在政府采购活动中，投标人提供的货物、工程或者服务符合下列情形的，享受中小企业扶持政策：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5.1.2.1在货物采购项目中，货物由中小企业制造，即货物由中小企业生产且使用该中小企业商号或者注册商标；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5.1.2.2在工程采购项目中，工程由中小企业承建，即工程施工单位为中小企业；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5.1.2.3在服务采购项目中，服务由中小企业承接，即提供服务的人员为中小企业依照《中华人民共和国劳动合同法》订立劳动合同的从业人员。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在货物采购项目中，投标人提供的货物既有中小企业制造货物，也有大型企业制造货物的，不享受中小企业扶持政策。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5.1.3根据《政府采购促进中小企业发展管理办法》要求，</w:t>
      </w:r>
      <w:r>
        <w:rPr>
          <w:rFonts w:ascii="KaiTi" w:hAnsi="KaiTi" w:eastAsia="KaiTi" w:cs="KaiTi"/>
          <w:color w:val="000000"/>
          <w:sz w:val="24"/>
          <w:u w:val="single"/>
        </w:rPr>
        <w:t xml:space="preserve">本项目专门面向中小微企业</w:t>
      </w:r>
      <w:r>
        <w:rPr>
          <w:rFonts w:ascii="KaiTi" w:hAnsi="KaiTi" w:eastAsia="KaiTi" w:cs="KaiTi"/>
          <w:color w:val="000000"/>
          <w:sz w:val="24"/>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5.3.2本项目中涉及商品包装和快递包装的，参考《财政部办公厅关于印发《商品包装政府采购需求标准（试行）》《快递包装政府采购需求标准（试行）》的通知》</w:t>
      </w:r>
      <w:r>
        <w:rPr>
          <w:rFonts w:ascii="KaiTi" w:hAnsi="KaiTi" w:eastAsia="KaiTi" w:cs="KaiTi"/>
          <w:color w:val="000000"/>
          <w:sz w:val="24"/>
          <w:u w:val="none"/>
        </w:rPr>
        <w:t xml:space="preserve">（财办库〔2020〕123号）</w:t>
      </w:r>
      <w:r>
        <w:rPr>
          <w:rFonts w:ascii="KaiTi" w:hAnsi="KaiTi" w:eastAsia="KaiTi" w:cs="KaiTi"/>
          <w:color w:val="000000"/>
          <w:sz w:val="24"/>
        </w:rPr>
        <w:t xml:space="preserve">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5.4 根据国家扶持中小企业的有关政策，采购项目中标人在履约过程中如遇到资金困难，凭政府采购合同在相关金融机构办理授信申请，相关事宜详见江苏政府采购网站“政采贷”栏目。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5.7实施本国产品标准及相关政策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5.7.1认定标准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（二）在中国境内生产的组件成本占比达到规定比例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产品在中国境内生产的组件成本占比应当达到规定比例，计算公式为：</w:t>
      </w:r>
      <w:r/>
    </w:p>
    <w:p>
      <w:pPr>
        <w:ind w:left="0" w:right="0" w:firstLine="480"/>
        <w:jc w:val="both"/>
        <w:spacing w:before="0" w:after="0" w:line="85" w:lineRule="atLeast"/>
        <w:rPr>
          <w:rFonts w:ascii="KaiTi" w:hAnsi="KaiTi" w:eastAsia="KaiTi" w:cs="KaiTi"/>
          <w:color w:val="000000"/>
          <w:szCs w:val="24"/>
          <w14:ligatures w14: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KaiTi" w:hAnsi="KaiTi" w:eastAsia="KaiTi" w:cs="KaiTi"/>
          <w:color w:val="000000"/>
          <w:sz w:val="24"/>
          <w:szCs w:val="24"/>
        </w:rPr>
        <w:t xml:space="preserve"> 产品在中国境内生产的组件成本</w:t>
      </w:r>
      <w:r>
        <w:rPr>
          <w:rFonts w:ascii="KaiTi" w:hAnsi="KaiTi" w:eastAsia="KaiTi" w:cs="KaiTi"/>
          <w:color w:val="000000"/>
          <w:sz w:val="24"/>
          <w:szCs w:val="24"/>
        </w:rPr>
      </w:r>
      <w:r/>
    </w:p>
    <w:p>
      <w:pPr>
        <w:ind w:left="0" w:right="0" w:firstLine="480"/>
        <w:jc w:val="both"/>
        <w:spacing w:before="0" w:after="0" w:line="85" w:lineRule="atLeast"/>
        <w:rPr>
          <w:rFonts w:ascii="KaiTi" w:hAnsi="KaiTi" w:eastAsia="KaiTi" w:cs="KaiTi"/>
          <w:color w:val="000000"/>
          <w:szCs w:val="24"/>
          <w14:ligatures w14: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szCs w:val="24"/>
        </w:rPr>
        <w:t xml:space="preserve">————————————————————  ≥  规定比例</w:t>
      </w:r>
      <w:r>
        <w:rPr>
          <w:rFonts w:ascii="KaiTi" w:hAnsi="KaiTi" w:eastAsia="KaiTi" w:cs="KaiTi"/>
          <w:color w:val="000000"/>
          <w:sz w:val="24"/>
          <w:szCs w:val="24"/>
        </w:rPr>
      </w:r>
      <w:r/>
    </w:p>
    <w:p>
      <w:pPr>
        <w:ind w:left="0" w:right="0" w:firstLine="480"/>
        <w:jc w:val="both"/>
        <w:spacing w:before="0" w:after="0" w:line="85" w:lineRule="atLeast"/>
        <w:rPr>
          <w:rFonts w:ascii="KaiTi" w:hAnsi="KaiTi" w:eastAsia="KaiTi" w:cs="KaiTi"/>
          <w:color w:val="000000"/>
          <w:sz w:val="24"/>
          <w:szCs w:val="24"/>
          <w14:ligatures w14: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szCs w:val="24"/>
        </w:rPr>
        <w:t xml:space="preserve">              产品总成本</w:t>
      </w:r>
      <w:r>
        <w:rPr>
          <w:rFonts w:ascii="KaiTi" w:hAnsi="KaiTi" w:eastAsia="KaiTi" w:cs="KaiTi"/>
          <w:color w:val="000000"/>
          <w:sz w:val="24"/>
          <w:szCs w:val="24"/>
        </w:rPr>
        <w:t xml:space="preserve"> </w:t>
      </w:r>
      <w:r>
        <w:rPr>
          <w:rFonts w:ascii="KaiTi" w:hAnsi="KaiTi" w:eastAsia="KaiTi" w:cs="KaiTi"/>
          <w:color w:val="000000"/>
          <w:sz w:val="24"/>
          <w:szCs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5.7.2适用范围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5.7.4书面澄清、说明或者补正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6.2 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6.3 </w:t>
      </w:r>
      <w:r>
        <w:rPr>
          <w:rFonts w:ascii="KaiTi" w:hAnsi="KaiTi" w:eastAsia="KaiTi" w:cs="KaiTi"/>
          <w:b/>
          <w:color w:val="000000"/>
          <w:sz w:val="24"/>
          <w:u w:val="single"/>
        </w:rPr>
        <w:t xml:space="preserve">除非有特殊要求，招标文件不单独提供招标所在地自然环境、气象条件、公用设施等情况，投标人被视为熟悉上述与签订和履行合同有关的一切情况</w:t>
      </w:r>
      <w:r>
        <w:rPr>
          <w:rFonts w:ascii="KaiTi" w:hAnsi="KaiTi" w:eastAsia="KaiTi" w:cs="KaiTi"/>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7.1 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7.2 </w:t>
      </w:r>
      <w:r>
        <w:rPr>
          <w:rFonts w:ascii="KaiTi" w:hAnsi="KaiTi" w:eastAsia="KaiTi" w:cs="KaiTi"/>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left="0" w:right="0" w:firstLine="480"/>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7.5</w:t>
      </w:r>
      <w:r>
        <w:rPr>
          <w:rFonts w:ascii="KaiTi" w:hAnsi="KaiTi" w:eastAsia="KaiTi" w:cs="KaiTi"/>
          <w:b/>
          <w:color w:val="000000"/>
          <w:sz w:val="24"/>
        </w:rPr>
        <w:t xml:space="preserve"> 如澄清或修改公告有重新发布招标文件的，投标人应下载最新发布的招标文件制作投标文件。因投标人自身原因未能及时获取的，一切后果由投标人自行承担。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 投标人须通过江苏政府采购网提供的最新响应文件制作软件编制投标文件。下载路径：江苏政府采购网—资料下载—《江苏省政府采购交易管理系统（苏采云）供应商操作指南》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9.2 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10.投标文件的构成</w:t>
      </w:r>
      <w:r/>
    </w:p>
    <w:p>
      <w:pPr>
        <w:ind w:left="0" w:right="0" w:firstLine="480"/>
        <w:jc w:val="both"/>
        <w:spacing w:before="0" w:after="0" w:line="85" w:lineRule="atLeast"/>
        <w:rPr>
          <w:rFonts w:ascii="KaiTi" w:hAnsi="KaiTi" w:eastAsia="KaiTi" w:cs="KaiTi"/>
          <w:color w:val="000000"/>
          <w:sz w:val="24"/>
          <w:szCs w:val="24"/>
          <w14:ligatures w14: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szCs w:val="24"/>
        </w:rPr>
        <w:t xml:space="preserve">10.1 投标文件分为资格部分、商务部分、技术部分和价格部分。</w:t>
      </w:r>
      <w:r>
        <w:rPr>
          <w:rFonts w:ascii="KaiTi" w:hAnsi="KaiTi" w:eastAsia="KaiTi" w:cs="KaiTi"/>
          <w:color w:val="000000"/>
          <w:sz w:val="24"/>
          <w:szCs w:val="24"/>
        </w:rPr>
      </w:r>
      <w:r/>
    </w:p>
    <w:p>
      <w:pPr>
        <w:ind w:left="0" w:right="0" w:firstLine="480"/>
        <w:jc w:val="both"/>
        <w:spacing w:before="0" w:after="0" w:line="85" w:lineRule="atLeast"/>
        <w:rPr>
          <w:rFonts w:ascii="KaiTi" w:hAnsi="KaiTi" w:eastAsia="KaiTi" w:cs="KaiTi"/>
          <w:color w:val="000000"/>
          <w:sz w:val="24"/>
          <w:szCs w:val="24"/>
          <w14:ligatures w14: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szCs w:val="24"/>
        </w:rPr>
        <w:t xml:space="preserve">10.2 资格部分系指投标人提交的证明其有资格参加投标的文件。</w:t>
      </w:r>
      <w:r>
        <w:rPr>
          <w:rFonts w:ascii="KaiTi" w:hAnsi="KaiTi" w:eastAsia="KaiTi" w:cs="KaiTi"/>
          <w:color w:val="000000"/>
          <w:sz w:val="24"/>
          <w:szCs w:val="24"/>
        </w:rPr>
      </w:r>
      <w:r/>
    </w:p>
    <w:p>
      <w:pPr>
        <w:ind w:left="0" w:right="0" w:firstLine="480"/>
        <w:jc w:val="both"/>
        <w:spacing w:before="0" w:after="0" w:line="85" w:lineRule="atLeast"/>
        <w:rPr>
          <w:rFonts w:ascii="KaiTi" w:hAnsi="KaiTi" w:eastAsia="KaiTi" w:cs="KaiTi"/>
          <w:color w:val="000000"/>
          <w:sz w:val="24"/>
          <w:szCs w:val="24"/>
          <w14:ligatures w14: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szCs w:val="24"/>
        </w:rPr>
        <w:t xml:space="preserve">10.2 商务部分系指投标人提交的证明其中标后有能力履行合同的文件。</w:t>
      </w:r>
      <w:r>
        <w:rPr>
          <w:rFonts w:ascii="KaiTi" w:hAnsi="KaiTi" w:eastAsia="KaiTi" w:cs="KaiTi"/>
          <w:color w:val="000000"/>
          <w:sz w:val="24"/>
          <w:szCs w:val="24"/>
        </w:rPr>
      </w:r>
      <w:r/>
    </w:p>
    <w:p>
      <w:pPr>
        <w:ind w:left="0" w:right="0" w:firstLine="480"/>
        <w:jc w:val="both"/>
        <w:spacing w:before="0" w:after="0" w:line="85" w:lineRule="atLeast"/>
        <w:rPr>
          <w:rFonts w:ascii="KaiTi" w:hAnsi="KaiTi" w:eastAsia="KaiTi" w:cs="KaiTi"/>
          <w:color w:val="000000"/>
          <w:sz w:val="24"/>
          <w:szCs w:val="24"/>
          <w14:ligatures w14: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szCs w:val="24"/>
        </w:rPr>
        <w:t xml:space="preserve">10.3 技术部分系指投标人提交的能够证明投标人提供的货物（服务）符合招标文件规定的文件。</w:t>
      </w:r>
      <w:r>
        <w:rPr>
          <w:rFonts w:ascii="KaiTi" w:hAnsi="KaiTi" w:eastAsia="KaiTi" w:cs="KaiTi"/>
          <w:color w:val="000000"/>
          <w:sz w:val="24"/>
          <w:szCs w:val="24"/>
        </w:rPr>
      </w:r>
      <w:r/>
    </w:p>
    <w:p>
      <w:pPr>
        <w:ind w:left="0" w:right="0" w:firstLine="480"/>
        <w:jc w:val="both"/>
        <w:spacing w:before="0" w:after="0" w:line="85" w:lineRule="atLeast"/>
        <w:rPr>
          <w:rFonts w:ascii="KaiTi" w:hAnsi="KaiTi" w:eastAsia="KaiTi" w:cs="KaiTi"/>
          <w:color w:val="000000"/>
          <w:sz w:val="24"/>
          <w:szCs w:val="24"/>
          <w14:ligatures w14: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szCs w:val="24"/>
        </w:rPr>
        <w:t xml:space="preserve">10.4 具体填写格式详见招标文件第六部分。</w:t>
      </w:r>
      <w:r>
        <w:rPr>
          <w:rFonts w:ascii="KaiTi" w:hAnsi="KaiTi" w:eastAsia="KaiTi" w:cs="KaiTi"/>
          <w:color w:val="000000"/>
          <w:sz w:val="24"/>
          <w:szCs w:val="24"/>
        </w:rPr>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11.投标文件的编制</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11.1 投标人应仔细阅读招标文件，按照招标文件的要求编制投标文件。投标文件应当对招标文件提出的要求和条件作出明确响应。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11.2 </w:t>
      </w:r>
      <w:r>
        <w:rPr>
          <w:rFonts w:ascii="KaiTi" w:hAnsi="KaiTi" w:eastAsia="KaiTi" w:cs="KaiTi"/>
          <w:b/>
          <w:color w:val="000000"/>
          <w:sz w:val="24"/>
        </w:rPr>
        <w:t xml:space="preserve">投标人在编制投标文件时，请按照招标文件第六部分规定的格式进行填写并提交到对应位置。</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11.4 </w:t>
      </w:r>
      <w:r>
        <w:rPr>
          <w:rFonts w:ascii="KaiTi" w:hAnsi="KaiTi" w:eastAsia="KaiTi" w:cs="KaiTi"/>
          <w:b/>
          <w:color w:val="000000"/>
          <w:sz w:val="24"/>
        </w:rPr>
        <w:t xml:space="preserve">投标人必须保证投标文件所提供的全部资料合法、真实、可靠。</w:t>
      </w:r>
      <w:r/>
    </w:p>
    <w:p>
      <w:pPr>
        <w:ind w:left="0" w:right="0" w:firstLine="602"/>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12.投标保证金</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602"/>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14.1 投标人应通过响应文件制作软件使用数字认证证书对投标文件进行合成、电子签章及加密打包。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15.投标文件的提交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 投标文件提交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15.1.1 投标人须在招标文件规定的截止时间前，通过响应文件编制软件制作完成后，登录“苏采云”系统在规定时间内完成提交。</w:t>
      </w:r>
      <w:r>
        <w:rPr>
          <w:rFonts w:ascii="KaiTi" w:hAnsi="KaiTi" w:eastAsia="KaiTi" w:cs="KaiTi"/>
          <w:b/>
          <w:color w:val="000000"/>
          <w:sz w:val="24"/>
          <w:u w:val="single"/>
        </w:rPr>
        <w:t xml:space="preserve">时间以“苏采云”系统时间为准。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15.1.2 </w:t>
      </w:r>
      <w:r>
        <w:rPr>
          <w:rFonts w:ascii="KaiTi" w:hAnsi="KaiTi" w:eastAsia="KaiTi" w:cs="KaiTi"/>
          <w:b/>
          <w:color w:val="000000"/>
          <w:sz w:val="24"/>
          <w:u w:val="single"/>
        </w:rPr>
        <w:t xml:space="preserve">截止时间以后提交的投标文件，“苏采云”系统将拒绝接收上传的任何投标文件。投标人应充分考虑网络环境、网络带宽等风险因素。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15.1.3 </w:t>
      </w:r>
      <w:r>
        <w:rPr>
          <w:rFonts w:ascii="KaiTi" w:hAnsi="KaiTi" w:eastAsia="KaiTi" w:cs="KaiTi"/>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15.1.4</w:t>
      </w:r>
      <w:r>
        <w:rPr>
          <w:rFonts w:ascii="KaiTi" w:hAnsi="KaiTi" w:eastAsia="KaiTi" w:cs="KaiTi"/>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15.2 采购代理机构可以通过修改招标文件自行酌情延长提交截止时间，在此情况下，推迟的提交截止时间将在原公告媒体上发布公告。投标人应及时自行登录系统查看相应内容。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16.1 在提交截止时间前，投标人可以对所提交的投标文件进行补充、修改或者撤回。投标人撤回电子响应文件，则认为其不再参与本项目采购活动。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16.2 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16.3 在提交截止时间之后，投标人不得对其投标文件作任何补充、修改或撤回。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16.4 在提交截止时间至招标文件中规定的投标有效期满之间，投标人不得撤回其投标。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四、开标及评标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17.1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17.2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17.4本项目在限定的解密时间内，只要有任一家投标人解密成功，即视为“苏采云”系统运行无故障。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17.5电子投标文件解密全部完成后，苏采云系统宣布各投标人名称和投标价格。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17.6投标人在开标过程中涉及的投标文件解密、开标结果确认等工作，应按照《操作手册》规定执行。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17.7投标人如果对开标过程和开标记录有疑义，应当根据《操作手册》规定提出，如苏采云系统中《开标记录表》宣布后5分钟内未提出的，视同认可开标结果。</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18.投标人资格审查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18.1 开标结束后，采购人或者采购代理机构将依法对投标人的资格进行审查。</w:t>
      </w:r>
      <w:r>
        <w:rPr>
          <w:rFonts w:ascii="KaiTi" w:hAnsi="KaiTi" w:eastAsia="KaiTi" w:cs="KaiTi"/>
          <w:b/>
          <w:color w:val="000000"/>
          <w:sz w:val="24"/>
        </w:rPr>
        <w:t xml:space="preserve">合格投标人不足3家的，不进入后续程序。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评审专家对本单位的采购项目只能作为采购人代表参与评标，《政府采购货物和服务招标投标管理办法》第四十八条第二款规定的情形除外。采购代理机构工作人员不得参加由本机构代理的政府采购项目的评标。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20.投标人符合性审查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20.1 评标委员会将按照招标文件第四部分“评标办法和标准”第7项规定对通过资格审查的投标人的投标文件进行符合性审查，以确定是否满足招标文件的实质性要求。</w:t>
      </w:r>
      <w:r>
        <w:rPr>
          <w:rFonts w:ascii="KaiTi" w:hAnsi="KaiTi" w:eastAsia="KaiTi" w:cs="KaiTi"/>
          <w:b/>
          <w:color w:val="000000"/>
          <w:sz w:val="24"/>
        </w:rPr>
        <w:t xml:space="preserve">符合性审查合格投标人不足3家的，不进入详细评审环节。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20.2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20.2.2投标人的澄清应登录“苏采云”系统进入“澄清事项”模块进行。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20.3 开标至评标结束期间，投标人应保持系统在线，如因</w:t>
      </w:r>
      <w:r>
        <w:rPr>
          <w:rFonts w:ascii="KaiTi" w:hAnsi="KaiTi" w:eastAsia="KaiTi" w:cs="KaiTi"/>
          <w:b/>
          <w:color w:val="000000"/>
          <w:sz w:val="24"/>
        </w:rPr>
        <w:t xml:space="preserve">投标人自身原因未在规定时间内按评标委员会要求进行澄清、说明或者补正的，一切后果由投标人自行承担。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21.无效投标的情形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21.1 投标人存在下列情况之一的，其投标无效：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（1）投标文件未按招标文件要求进行有效签章的；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（2）报价超过招标文件中规定的预算金额或最高限价的；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（4）投标文件含有采购人不能接受的附加条件的；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（6）经评标委员会认定符合异常低价无效投标情形的；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（7）投标人对根据修正原则修正后的报价不确认的；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（8）投标文件中提供了虚假或失实资料的；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（9）不同投标人的电子投标文件IP地址、MAC地址、标书制作工具客户端标识码都一致的；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（10）投标人存在串通投标情形的；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（11）为本项目提供整体设计、规范编制或者项目管理、监理、检测等服务的；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（12）不同投标人的法定代表人或单位负责人为同一个人或者存在直接控股、管理关系的；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（13）加“★”参数和要求响应有负偏离的；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（14）投标文件不满足招标文件的其他实质性要求的；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（15）项目配备人员数量有负偏离的；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（16）法律法规、规章（适用本市的）及省级以上规范性文件（适用本市的）规定的其他无效情形（须经评标委员会半数以上同意）。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22.1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（1）不同投标人的投标文件由同一单位或者个人编制；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（5）不同投标人的投标文件相互混装。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23.投标文件详细评审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24.1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24.2 </w:t>
      </w:r>
      <w:r>
        <w:rPr>
          <w:rFonts w:ascii="KaiTi" w:hAnsi="KaiTi" w:eastAsia="KaiTi" w:cs="KaiTi"/>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25.废标的情形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25.1 出现下列情形之一的，将予废标：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（1）符合专业条件的供应商或者对招标文件作实质响应的供应商不足三家的；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（2）出现影响采购公正的违法、违规行为的；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（3）投标人的报价均超过了采购预算，采购人不能支付的；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废标后，采购人应当将废标理由通知所有投标人。</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五、确定结果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u w:val="none"/>
        </w:rPr>
        <w:t xml:space="preserve">26.</w:t>
      </w:r>
      <w:r>
        <w:rPr>
          <w:rFonts w:ascii="KaiTi" w:hAnsi="KaiTi" w:eastAsia="KaiTi" w:cs="KaiTi"/>
          <w:color w:val="000000"/>
          <w:sz w:val="24"/>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六、授予合同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27.中标通知书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27.1 自中标人确定之日起2个工作日内，采购代理机构编制发布采购结果公告，同时向中标人发出中标通知书。</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28.履约保证金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28.1 ☑本项目不收取履约保证金。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□本项目中标供应商应提交政府采购合同金额XX%（不得超过政府采购合同金额的10%）的履约保证金，履约保证金应以支票、汇票、本票、保函、保险保单等非现金形式缴纳或提交。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支持和鼓励中标供应商自愿使用履约（保函）保险代替缴纳履约保证金。省财政厅已上线政府采购电子履约保函（保险）平台，平台可通过域名</w:t>
      </w:r>
      <w:r>
        <w:rPr>
          <w:rFonts w:ascii="Times New Roman" w:hAnsi="Times New Roman" w:eastAsia="Times New Roman" w:cs="Times New Roman"/>
          <w:color w:val="000000"/>
          <w:sz w:val="24"/>
        </w:rPr>
        <w:t xml:space="preserve"> www.jsdzbh.com</w:t>
      </w:r>
      <w:r>
        <w:rPr>
          <w:rFonts w:ascii="KaiTi" w:hAnsi="KaiTi" w:eastAsia="KaiTi" w:cs="KaiTi"/>
          <w:color w:val="000000"/>
          <w:sz w:val="24"/>
        </w:rPr>
        <w:t xml:space="preserve"> 直接访问，也可通过江苏省政府采购网、“苏采云”系统链接访问。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29.1 采购人应当自中标通知书发出之日起</w:t>
      </w:r>
      <w:r>
        <w:rPr>
          <w:rFonts w:ascii="KaiTi" w:hAnsi="KaiTi" w:eastAsia="KaiTi" w:cs="KaiTi"/>
          <w:color w:val="000000"/>
          <w:sz w:val="24"/>
          <w:u w:val="single"/>
        </w:rPr>
        <w:t xml:space="preserve">15</w:t>
      </w:r>
      <w:r>
        <w:rPr>
          <w:rFonts w:ascii="KaiTi" w:hAnsi="KaiTi" w:eastAsia="KaiTi" w:cs="KaiTi"/>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white"/>
        </w:rPr>
        <w:t xml:space="preserve">七、询问、质疑、投诉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r>
        <w:rPr>
          <w:rFonts w:ascii="KaiTi" w:hAnsi="KaiTi" w:eastAsia="KaiTi" w:cs="KaiTi"/>
          <w:color w:val="000000"/>
          <w:sz w:val="24"/>
          <w:u w:val="none"/>
        </w:rPr>
        <w:t xml:space="preserve">政府采购监管部门</w:t>
      </w:r>
      <w:r>
        <w:rPr>
          <w:rFonts w:ascii="KaiTi" w:hAnsi="KaiTi" w:eastAsia="KaiTi" w:cs="KaiTi"/>
          <w:color w:val="000000"/>
          <w:sz w:val="24"/>
        </w:rPr>
        <w:t xml:space="preserve">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31.3 供应商应当在法定质疑期内一次性提出针对同一采购程序环节的质疑。供应商如在法定期限内对同一采购程序环节提出多次质疑的，将只对供应商第一次质疑作出答复。</w:t>
      </w:r>
      <w:r>
        <w:rPr>
          <w:rFonts w:ascii="KaiTi" w:hAnsi="KaiTi" w:eastAsia="KaiTi" w:cs="KaiTi"/>
          <w:b/>
          <w:color w:val="000000"/>
          <w:sz w:val="24"/>
        </w:rPr>
        <w:t xml:space="preserve">供应商如对采购需求质疑，采购人负责处理和答复涉及采购需求的质疑内容。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31.4 本项目只接收以纸质原件形式送达的质疑。（不接受未填写快递运单的快件）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接收部门：扬中市公共资源交易中心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接收地址：扬中市扬子中路168号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联系人：张冬梅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联系电话：0511-88395026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31.5以下情形的质疑不予受理：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（5）供应商组成联合体参加投标，联合体中任何一方或多方未按要求签字、盖章、加盖公章的质疑。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31.6采购人、采购代理机构不得拒收质疑供应商在法定质疑期内发出的质疑函，应当在收到质疑函后7个工作日内作出答复，并以书面形式通知质疑供应商和其他有关供应商。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32.3投诉事宜见江苏政府采购网站“投诉受理方式”。</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white"/>
        </w:rPr>
        <w:t xml:space="preserve">八、诚实信用和解释权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33.3 供应商不得虚假承诺，否则，按照提供虚假材料谋取中标处理。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t>
      </w:r>
      <w:r>
        <w:rPr>
          <w:rFonts w:ascii="Times New Roman" w:hAnsi="Times New Roman" w:eastAsia="Times New Roman" w:cs="Times New Roman"/>
          <w:color w:val="000000"/>
          <w:sz w:val="24"/>
        </w:rPr>
        <w:t xml:space="preserve">www.creditchina.gov.cn</w:t>
      </w:r>
      <w:r>
        <w:rPr>
          <w:rFonts w:ascii="KaiTi" w:hAnsi="KaiTi" w:eastAsia="KaiTi" w:cs="KaiTi"/>
          <w:color w:val="000000"/>
          <w:sz w:val="24"/>
        </w:rPr>
        <w:t xml:space="preserve">）、中国政府采购网（</w:t>
      </w:r>
      <w:r>
        <w:rPr>
          <w:rFonts w:ascii="Times New Roman" w:hAnsi="Times New Roman" w:eastAsia="Times New Roman" w:cs="Times New Roman"/>
          <w:color w:val="000000"/>
          <w:sz w:val="24"/>
        </w:rPr>
        <w:t xml:space="preserve">www.ccgp.gov.cn</w:t>
      </w:r>
      <w:r>
        <w:rPr>
          <w:rFonts w:ascii="KaiTi" w:hAnsi="KaiTi" w:eastAsia="KaiTi" w:cs="KaiTi"/>
          <w:color w:val="000000"/>
          <w:sz w:val="24"/>
        </w:rPr>
        <w:t xml:space="preserve">）、</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信用江苏</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网站（</w:t>
      </w:r>
      <w:r>
        <w:rPr>
          <w:rFonts w:ascii="Times New Roman" w:hAnsi="Times New Roman" w:eastAsia="Times New Roman" w:cs="Times New Roman"/>
          <w:color w:val="000000"/>
          <w:sz w:val="24"/>
        </w:rPr>
        <w:t xml:space="preserve">http://www.jscredit.gov.cn</w:t>
      </w:r>
      <w:r>
        <w:rPr>
          <w:rFonts w:ascii="KaiTi" w:hAnsi="KaiTi" w:eastAsia="KaiTi" w:cs="KaiTi"/>
          <w:color w:val="000000"/>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34.1 </w:t>
      </w:r>
      <w:r>
        <w:rPr>
          <w:rFonts w:ascii="KaiTi" w:hAnsi="KaiTi" w:eastAsia="KaiTi" w:cs="KaiTi"/>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34.2 本次招标及由本次招标产生的合同受中华人民共和国法律制约和保护。</w:t>
      </w:r>
      <w:r/>
    </w:p>
    <w:p>
      <w:pPr>
        <w:ind w:left="0" w:right="0" w:firstLine="602"/>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35.解释权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除相关法律法规规定外，本招标文件的解释权归扬中市公共资源交易中心所有。</w:t>
        <w:br w:type="page" w:clear="all"/>
      </w:r>
      <w:r/>
    </w:p>
    <w:p>
      <w:pPr>
        <w:ind w:left="0" w:right="0" w:firstLine="602"/>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第三部分合同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mc:AlternateContent>
          <mc:Choice Requires="wpg">
            <w:drawing>
              <wp:anchor xmlns:wp="http://schemas.openxmlformats.org/drawingml/2006/wordprocessingDrawing" xmlns:wp14="http://schemas.microsoft.com/office/word/2010/wordprocessingDrawing" distT="0" distB="0" distL="115200" distR="115200" simplePos="0" relativeHeight="12288" behindDoc="0" locked="0" layoutInCell="1" allowOverlap="1">
                <wp:simplePos x="0" y="0"/>
                <wp:positionH relativeFrom="column">
                  <wp:posOffset>3675240</wp:posOffset>
                </wp:positionH>
                <wp:positionV relativeFrom="paragraph">
                  <wp:posOffset>66503</wp:posOffset>
                </wp:positionV>
                <wp:extent cx="1952625" cy="587375"/>
                <wp:effectExtent l="3175" t="3175" r="3175" b="3175"/>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952624" cy="587374"/>
                        </a:xfrm>
                        <a:prstGeom prst="rect">
                          <a:avLst/>
                        </a:prstGeom>
                        <a:solidFill>
                          <a:schemeClr val="lt1"/>
                        </a:solidFill>
                        <a:ln w="6350">
                          <a:solidFill>
                            <a:prstClr val="black"/>
                          </a:solidFill>
                        </a:ln>
                      </wps:spPr>
                      <wps:txbx>
                        <w:txbxContent>
                          <w:p>
                            <w:pPr>
                              <w:jc w:val="center"/>
                            </w:pPr>
                            <w:r>
                              <w:rPr>
                                <w:rFonts w:ascii="FangSong" w:hAnsi="FangSong" w:eastAsia="FangSong" w:cs="FangSong"/>
                                <w:color w:val="000000"/>
                                <w:sz w:val="24"/>
                              </w:rPr>
                              <w:t xml:space="preserve">合同备案章</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0" o:spid="_x0000_s0" o:spt="202" type="#_x0000_t202" style="position:absolute;z-index:12288;o:allowoverlap:true;o:allowincell:true;mso-position-horizontal-relative:text;margin-left:289.4pt;mso-position-horizontal:absolute;mso-position-vertical-relative:text;margin-top:5.2pt;mso-position-vertical:absolute;width:153.8pt;height:46.2pt;mso-wrap-distance-left:9.1pt;mso-wrap-distance-top:0.0pt;mso-wrap-distance-right:9.1pt;mso-wrap-distance-bottom:0.0pt;v-text-anchor:top;visibility:visible;" fillcolor="#FFFFFF" strokecolor="#000000" strokeweight="0.50pt">
                <v:textbox inset="0,0,0,0">
                  <w:txbxContent>
                    <w:p>
                      <w:pPr>
                        <w:jc w:val="center"/>
                      </w:pPr>
                      <w:r>
                        <w:rPr>
                          <w:rFonts w:ascii="FangSong" w:hAnsi="FangSong" w:eastAsia="FangSong" w:cs="FangSong"/>
                          <w:color w:val="000000"/>
                          <w:sz w:val="24"/>
                        </w:rPr>
                        <w:t xml:space="preserve">合同备案章</w:t>
                      </w:r>
                      <w:r/>
                    </w:p>
                  </w:txbxContent>
                </v:textbox>
              </v:shape>
            </w:pict>
          </mc:Fallback>
        </mc:AlternateContent>
      </w:r>
      <w:r>
        <w:rPr>
          <w:rFonts w:ascii="FangSong" w:hAnsi="FangSong" w:eastAsia="FangSong" w:cs="FangSong"/>
          <w:b/>
          <w:color w:val="000000"/>
          <w:sz w:val="30"/>
        </w:rPr>
        <w:t xml:space="preserve">合同编号：</w:t>
      </w:r>
      <w:r>
        <w:rPr>
          <w:rFonts w:ascii="SimSun" w:hAnsi="SimSun" w:eastAsia="SimSun" w:cs="SimSun"/>
          <w:b/>
          <w:color w:val="000000"/>
          <w:sz w:val="30"/>
        </w:rPr>
        <w:t xml:space="preserve">YZZCJY2026-XX            </w:t>
      </w:r>
      <w:r>
        <w:rPr>
          <w:rFonts w:ascii="SimSun" w:hAnsi="SimSun" w:eastAsia="SimSun" w:cs="SimSun"/>
          <w:b/>
          <w:color w:val="000000"/>
          <w:sz w:val="30"/>
        </w:rPr>
      </w:r>
      <w:r/>
    </w:p>
    <w:p>
      <w:pPr>
        <w:ind w:left="0" w:right="0" w:firstLine="0"/>
        <w:jc w:val="center"/>
        <w:spacing w:before="780" w:after="156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扬中市政府采购合同</w:t>
      </w:r>
      <w:r/>
    </w:p>
    <w:p>
      <w:pPr>
        <w:ind w:left="0" w:right="0" w:firstLine="640"/>
        <w:jc w:val="both"/>
        <w:spacing w:before="0" w:after="0" w:line="19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项目名称：</w:t>
      </w:r>
      <w:r>
        <w:rPr>
          <w:rFonts w:ascii="SimHei" w:hAnsi="SimHei" w:eastAsia="SimHei" w:cs="SimHei"/>
          <w:color w:val="000000"/>
          <w:sz w:val="32"/>
          <w:u w:val="single"/>
        </w:rPr>
        <w:t xml:space="preserve">                                 </w:t>
      </w:r>
      <w:r/>
    </w:p>
    <w:p>
      <w:pPr>
        <w:ind w:left="0" w:right="0" w:firstLine="640"/>
        <w:spacing w:before="0" w:after="0" w:line="19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项目编号：</w:t>
      </w:r>
      <w:r>
        <w:rPr>
          <w:rFonts w:ascii="SimHei" w:hAnsi="SimHei" w:eastAsia="SimHei" w:cs="SimHei"/>
          <w:color w:val="000000"/>
          <w:sz w:val="32"/>
          <w:u w:val="single"/>
        </w:rPr>
        <w:t xml:space="preserve">                                  </w:t>
      </w:r>
      <w:r/>
    </w:p>
    <w:p>
      <w:pPr>
        <w:ind w:left="0" w:right="0" w:firstLine="640"/>
        <w:spacing w:before="0" w:after="0" w:line="19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采购单位：</w:t>
      </w:r>
      <w:r>
        <w:rPr>
          <w:rFonts w:ascii="SimHei" w:hAnsi="SimHei" w:eastAsia="SimHei" w:cs="SimHei"/>
          <w:color w:val="000000"/>
          <w:sz w:val="32"/>
          <w:u w:val="single"/>
        </w:rPr>
        <w:t xml:space="preserve">                                  </w:t>
      </w:r>
      <w:r/>
    </w:p>
    <w:p>
      <w:pPr>
        <w:ind w:left="0" w:right="0" w:firstLine="640"/>
        <w:spacing w:before="0" w:after="0" w:line="19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中标单位：</w:t>
      </w:r>
      <w:r>
        <w:rPr>
          <w:rFonts w:ascii="SimHei" w:hAnsi="SimHei" w:eastAsia="SimHei" w:cs="SimHei"/>
          <w:color w:val="000000"/>
          <w:sz w:val="32"/>
          <w:u w:val="single"/>
        </w:rPr>
        <w:t xml:space="preserve">                       </w:t>
      </w:r>
      <w:r>
        <w:rPr>
          <w:rFonts w:ascii="SimHei" w:hAnsi="SimHei" w:eastAsia="SimHei" w:cs="SimHei"/>
          <w:color w:val="000000"/>
          <w:sz w:val="28"/>
          <w:u w:val="single"/>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XXXXXXX</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二〇二  年月日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项目（项目编号：）公开招标的结果，签署本合同。</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1.主要内容：2026—2029年扬中市行政中心物业管理服务采购项目；</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2.服务地点：扬中市行政中心办公大楼；</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3.服务范围及内容：详见招标文件第四部分采购需求；</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4.合同组成部分：</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扬中市公共资源交易中心政府采购招标文件，提交的投标文件均是本合同不可分割的部分，还包括：</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（1）合同条款；</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（3）开标一览表；</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（4）服务方案及服务承诺；</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（5）中标通知书</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（6）甲、乙方商定的其他必要文件。</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二、合同总价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1.本项目单年总价为人民币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元/年；合同服务期为三年；项目总价为人民币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价格包括人员工资、社保、福利、服装、培训、管理、加班费、利润、办公、高温补贴、税金、政策风险、人员意外险、物价风险等一切费用。（各类活动、突击迎检、节假日期间等因素导致的，不论这些因素是可预测或不可预测的，也已包含在合同总价中）</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3.本合同合同期内的费用一律不予调整（因人员增减所导致的增减费用除外），乙方已考虑合同期内的物价、政策等所有风险因素，在投标时已预测并纳入投标总价中。</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三、服务期限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合同服务期限为三年，自202  年  月  日起-202  年  月  日止。</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乙方应完全响应招标文件第四部分的服务要求和严格履行投标响应文件中的服务承诺和提供的优惠条件。</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1.合同款项的支付方式及进度安排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（1）预付款支付：乙方</w:t>
      </w:r>
      <w:r>
        <w:rPr>
          <w:rFonts w:ascii="SimSun" w:hAnsi="SimSun" w:eastAsia="SimSun" w:cs="SimSun"/>
          <w:color w:val="000000"/>
          <w:sz w:val="24"/>
          <w:u w:val="single"/>
        </w:rPr>
        <w:t xml:space="preserve">     </w:t>
      </w:r>
      <w:r>
        <w:rPr>
          <w:rFonts w:ascii="SimSun" w:hAnsi="SimSun" w:eastAsia="SimSun" w:cs="SimSun"/>
          <w:color w:val="000000"/>
          <w:sz w:val="24"/>
        </w:rPr>
        <w:t xml:space="preserve">（需要/不需要）向甲方支付预付款。若需要支付预付款的，则：支付预付款比例为当年中标金额的10%。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需要预付款，则：合同签订收到乙方正规发票后10个工作日内，甲方向乙方支付年物业管理服务费用的10%预付款，预付款抵付后续部分服务费；余款于每季度考核结束后，甲方按上一季度考核结果向乙方支付上一季度的作业经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若不需要预付款，则：甲方于每季度考核结束后，按上一季度考核结果向乙方支付上一季度的作业经费。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当自合同签订之日起按约定开具正式预付款发票，甲方自收到发票之日起10个工作日内完成预付款支付。因乙方未开具预付款发票导致甲方未及时完成预付款支付的，由乙方承担相关责任。乙方需与甲方项目负责人确定好开具发票时间，并在发票开具后第一时间送至甲方项目负责人手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2.甲方开票信息：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纳税号：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单位银行账号户名：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项目负责联系人：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乙方开票信息：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纳税号：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单位银行账号户名：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□本项目中标供应商应提交政府采购合同金额</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（不得超过政府采购合同金额的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）的履约保证金，履约保证金应以支票、汇票、本票、保函、保险保单等非现金形式缴纳或提交。</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支持和鼓励中标供应商自愿使用履约（保函）保险代替缴纳履约保证金。省财政厅已上线政府采购电子履约保函（保险）平台，平台可通过域名</w:t>
      </w:r>
      <w:r>
        <w:rPr>
          <w:rFonts w:ascii="Times New Roman" w:hAnsi="Times New Roman" w:eastAsia="Times New Roman" w:cs="Times New Roman"/>
          <w:color w:val="000000"/>
          <w:sz w:val="24"/>
        </w:rPr>
        <w:t xml:space="preserve"> www.jsdzbh.com </w:t>
      </w:r>
      <w:r>
        <w:rPr>
          <w:rFonts w:ascii="SimSun" w:hAnsi="SimSun" w:eastAsia="SimSun" w:cs="SimSun"/>
          <w:color w:val="000000"/>
          <w:sz w:val="24"/>
        </w:rPr>
        <w:t xml:space="preserve">直接访问，也可通过江苏省政府采购网、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系统链接访问。</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七、双方责任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（一）甲方的权利和义务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1.甲方对乙方进行监管，检查监督乙方对甲方要求的服务范围内的执行情况，通过突击检查、抽查等形式，对乙方实施考核，并对考核与测评的结果进行奖惩。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对服务人员的工作进行监督、检查和具体指导，甲乙双方对配备到位的服务人员实行双重管理，乙方服务人员应当自觉遵守甲方的规章制度，自觉服从配合甲方管理。甲方应当建立健全管理制度，有权对乙方服务人员进行考核，对考核不合格的甲方有权要求乙方及时调换服务人员，乙方承诺在接到甲方调换通知之日起 10日内调换到位；乙方应保证服务人员相对稳定，若需对其进行调换时，需提前1个月征得甲方书面同意。乙方在甲方提供物业管理服务的所有成员的基本信息资料应及时报甲方备案。 </w:t>
      </w:r>
      <w:r/>
    </w:p>
    <w:p>
      <w:pPr>
        <w:ind w:left="0" w:right="0" w:firstLine="480"/>
        <w:spacing w:before="240" w:after="24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3.甲方根据检查情况，向乙方下达整改通知书，并视情况，对照违约责任条款，对乙方</w:t>
      </w:r>
      <w:r>
        <w:rPr>
          <w:rFonts w:ascii="SimSun" w:hAnsi="SimSun" w:eastAsia="SimSun" w:cs="SimSun"/>
          <w:color w:val="000000"/>
          <w:sz w:val="24"/>
          <w:szCs w:val="24"/>
        </w:rPr>
        <w:t xml:space="preserve">的违约行为追究违约责任。 </w:t>
      </w:r>
      <w:r>
        <w:rPr>
          <w:rFonts w:ascii="SimSun" w:hAnsi="SimSun" w:eastAsia="SimSun" w:cs="SimSun"/>
          <w:color w:val="000000"/>
          <w:sz w:val="24"/>
          <w:szCs w:val="24"/>
        </w:rPr>
      </w:r>
      <w:r/>
    </w:p>
    <w:p>
      <w:pPr>
        <w:ind w:left="0" w:right="0" w:firstLine="480"/>
        <w:spacing w:before="240" w:after="24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4.负责向乙方传达甲方的管理制度，规范工作要求。 </w:t>
      </w:r>
      <w:r>
        <w:rPr>
          <w:rFonts w:ascii="SimSun" w:hAnsi="SimSun" w:eastAsia="SimSun" w:cs="SimSun"/>
          <w:color w:val="000000"/>
          <w:sz w:val="24"/>
          <w:szCs w:val="24"/>
        </w:rPr>
      </w:r>
      <w:r/>
    </w:p>
    <w:p>
      <w:pPr>
        <w:ind w:left="0" w:right="0" w:firstLine="480"/>
        <w:spacing w:before="240" w:after="24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5.参与乙方服务人员的业务培训、指导和督促管理。</w:t>
      </w:r>
      <w:r>
        <w:rPr>
          <w:rFonts w:ascii="SimSun" w:hAnsi="SimSun" w:eastAsia="SimSun" w:cs="SimSun"/>
          <w:color w:val="000000"/>
          <w:sz w:val="24"/>
          <w:szCs w:val="24"/>
        </w:rPr>
      </w:r>
      <w:r/>
    </w:p>
    <w:p>
      <w:pPr>
        <w:ind w:left="0" w:right="0" w:firstLine="480"/>
        <w:spacing w:before="240" w:after="24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6.及时向乙方传达甲方重大活动、临时检查等要求。 </w:t>
      </w:r>
      <w:r>
        <w:rPr>
          <w:rFonts w:ascii="SimSun" w:hAnsi="SimSun" w:eastAsia="SimSun" w:cs="SimSun"/>
          <w:color w:val="000000"/>
          <w:sz w:val="24"/>
          <w:szCs w:val="24"/>
        </w:rPr>
      </w:r>
      <w:r/>
    </w:p>
    <w:p>
      <w:pPr>
        <w:ind w:left="0" w:right="0" w:firstLine="480"/>
        <w:spacing w:before="240" w:after="24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7.及时向乙方传达人员管理等要求。 </w:t>
      </w:r>
      <w:r>
        <w:rPr>
          <w:rFonts w:ascii="SimSun" w:hAnsi="SimSun" w:eastAsia="SimSun" w:cs="SimSun"/>
          <w:color w:val="000000"/>
          <w:sz w:val="24"/>
          <w:szCs w:val="24"/>
        </w:rPr>
      </w:r>
      <w:r/>
    </w:p>
    <w:p>
      <w:pPr>
        <w:ind w:left="0" w:right="0" w:firstLine="480"/>
        <w:spacing w:before="240" w:after="24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8.法律、政策规定由甲方承担的其他责任。</w:t>
      </w:r>
      <w:r>
        <w:rPr>
          <w:rFonts w:ascii="SimSun" w:hAnsi="SimSun" w:eastAsia="SimSun" w:cs="SimSun"/>
          <w:color w:val="000000"/>
          <w:sz w:val="24"/>
          <w:szCs w:val="24"/>
        </w:rPr>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乙方的权利和义务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1.根据行业服务标准与甲方规定要求，对照本合同的约定及甲方招标要求与投标承诺，独立运作，围绕甲方物业管理服务的总体要求和标准做好服务工作。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承诺具备从事物业管理服务的合法法人资质，有具备法定条件和本合同约定条件的服务人员，服务人员应着统一服装，自觉遵守甲方管理制度；乙方提供的物业服务不符合甲方要求时，甲方有权要求其限期整改。若经甲方两次书面整改通知，甲方仍认为乙方物业管理服务不符合甲方要求时，甲方有权单方解除或终止本合同，因此给甲方造成的损失由乙方承担。乙方人员因执行工作任务提供服务时造成他人损害，与甲方无关的，由乙方独立承担法律责任，负责赔偿甲方全部损失。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3.乙方有权根据有关法律法规，围绕甲方管理规定，制订管理办法，但须征得甲方书面认可后方可实施。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4.乙方在征得甲方书面认可后建立健全物业管理制度、管理办法、负责服务人员的思想教育、业务培训等日常管理和服务人员违约问题的处置；乙方应及时撤换甲方提出的对教育、考核仍不称职的服务人员。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当及时与被录用安排到甲方从事服务的人员签订书面劳动（劳务）合同，并及时报甲方备案。乙方服务人员在工作期间发生工伤等事故，由乙方自行处理，发生的相应费用由乙方自行承担，甲方概不负责。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6.按照甲方要求对甲方实施公共秩序管理，有权要求甲方提供有关制度支持与工作协调。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7.乙方有用工自主权，但须严把用人关，依法办事，人员要符合招标文件要求，严禁使用品行不端，有违法犯罪记录的人员。所用人员证件资料齐全，满足甲方人员素质要求。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8.乙方须重视进驻服务队伍的人员稳定，服务队伍的主要人员的更换，应提前一个月通知甲方；确保服务质量不因人员变动而受影响。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9.乙方须经常性开展服务队伍业务培训与应急预案演练；狠抓队伍建设与纪律管理，落实监管措施；新队员上岗前必须经过专门的业务知识培训。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10.乙方须主动接受甲方监管，配合甲方开展综合治理工作与违规事件的处理。加强与甲方的团结协作，不推诿、不扯皮。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11.乙方须无条件服从甲方的管理规定与工作安排，及时反馈工作开展情况。每天通报情况一次，每月组织考核一次，每年总结表彰一次。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12.乙方负责提供进驻服务人员所必需的服装、装备、办公用品文具及设备（耗材）等。乙方负责承担聘用人员的工资、劳保、相关福利以及聘用期间所发生的人身意外伤亡、伤害事故的所有费用和全部责任。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13.乙方服务人员应自觉维护甲方的公共财物，爱护各类设施，及时清扫执勤场所，保持住处与执勤场所的整洁，责任落实到人，承担甲方委托管理资产设备的维护工作。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14.因员工辞职或被辞退等原因造成人员不足时：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（1）第一时间必须向甲方汇报，如不汇报，甲方发现则按所缺人数的每人每月服务费同比例扣除。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（2）所缺人员必须在三天内补齐（三天则要有其他员工代班），三天内没补齐，则按每人每天费用的标准扣除（包括三天）。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15.未经批准，不得开展本合同及招标文件以外的有偿服务项目。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16.法律、政策规定由乙方承担的其他责任。</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八、特别约定条款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间，乙方依法具有独立的法人经营管理自主权，独立承担民事责任，服务人员若发生人身或财产损害的由乙方承担全部责任，乙方服务人员在甲方服务期间所发生的劳动（劳务）争议由乙方作为民事责任主体负责处理，与甲方无关。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2.乙方未能履行或未能完全履行法律法规规章规定或者行业规范确定以及本合同约定的应尽义务，致使甲方人身或者财产受到第三人侵害的，由乙方独立承担民事责任，负责赔偿全部损失。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诚信全面履行本合同约定之义务，确保甲方安全。乙方物业管理服务不符合甲方要求时，甲方有权要求其限期整改。若经甲方两次书面整改通知，甲方仍认为乙方管理服务不符合甲方要求时，甲方有权单方解除或终止本合同，由乙方赔偿甲方损失。</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4.未经甲方书面同意，乙方不得转让本合同约定管理服务义务；否则，甲方有权单方解除或终止本合同，由此造成的损失由乙方承担。</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5.本合同订立后，甲乙双方应当全面诚信履行，除不可抗力外，任何一方均不得擅自变更或解除；否则，由其造成的损失由甲、乙双方自行承担。</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1.乙方未能达到招标文件基本要求的，甲方有权要求乙方整改。乙方未能按甲方要求的期限整改或整改不到位的，甲方视情况对乙方作出处罚。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2.乙方违规使用服务人员，在治理整顿中造成合同被终止，不属于甲方违约，由此造成的一切损失由乙方承担。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3.由于乙方管理不善，无法达到管理要求的，乙方须承担违约责任，并向甲方赔偿由此造成的损失。甲方视情况进行处罚。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4.甲方服务范围内发生治安事件、刑事案件或灾害事故，经公安机关、消防等主管部门案件分析，确认因乙方失职或失误等原因造成甲方财产损失、人身伤害的，乙方应承担相应责任，并按实赔偿经济损失。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5.乙方因保管不善、使用不当，造成甲方所提供的设备器材丢失、损坏的，乙方照价赔偿。</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6.乙方忽视内部管理，影响服务质量，属乙方违约。有下述情节的，甲方有权按 100 元/人/次的标准承担违约金。在当月应支付服务费中直接扣除。如：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（1）上岗期间乙方服务人员脱岗、睡觉、迟到、早退，做与工作无关的事，如看书报、听音乐、吃零食、打牌、下棋、玩手机、与他人闲聊等。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（2）乙方服务人员违反甲方管理规定，造成后果的乙方承担全部责任。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（3）乙方服务不到位，流于形式；在岗人员对于违规行为，无动于衷。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（4）乙方连续两次被抽查同一项目达不到服务标准的。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7.甲方领导、相关部门等接到各方对乙方服务人员的投诉，并经核实属乙方责任的，甲方视情况对乙方予以处罚。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8.乙方人员轮换比例超过 50%时，属乙方违约，甲方有权惩治或单方面立即终止合同。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上述条款中，如有情节严重的，造成恶劣影响和甲方重大损失的，或者因乙方不履行服务承诺，不服从甲方管理，管理混乱，工作不到位，远离甲方所期望的质量目标要求与服务要求，均视作乙方违约，甲方有权单方面终止合同。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10.由甲方原因造成乙方达不到服务要求的，由甲方承担责任。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11.乙方若违反招标文件中所要求的用工年龄将扣除相关费用。</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十、合同的解除</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有下列情形之一，合同一方可以解除合同：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2.在履行期限届满前，当事人一方明确表示或者以自己的行为表明不履行主要债务；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3.当事人一方迟延履行主要债务，经催告后在合理期限内仍未履行；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4.当事人一方迟延履行债务或者有其他违约行为致使不能实现合同目的；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5.法律规定的其他情形。</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十一、争议解决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甲乙双方在合同履行过程中发生争议，应通过友好协商方式解决，如协商不能达成协议，可将争议提交扬中市人民法院，律师费用由违约方承担。</w:t>
      </w:r>
      <w:r/>
    </w:p>
    <w:p>
      <w:pPr>
        <w:ind w:left="0" w:right="0" w:firstLine="482"/>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十二、合同生效及其它</w:t>
      </w:r>
      <w:r/>
    </w:p>
    <w:p>
      <w:pPr>
        <w:ind w:left="0" w:right="0" w:firstLine="48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1.甲方招标文件、乙方投标文件、会议记录均为本合同的组成部分，具有同等法律效力。</w:t>
      </w:r>
      <w:r/>
    </w:p>
    <w:p>
      <w:pPr>
        <w:ind w:left="0" w:right="0" w:firstLine="48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2.若合同期内实际成交量与本合同内容发生偏离，签订补充合同（协议），须经政府采购管理科备案后方可签订，且补充合同的采购金额不得超过本合同采购金额的10%。 </w:t>
      </w:r>
      <w:r/>
    </w:p>
    <w:p>
      <w:pPr>
        <w:ind w:left="0" w:right="0" w:firstLine="48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3.本合同经双方签字盖章即生效，并自签订之日起七个工作日内，政府采购代理机构须将合同报政府采购监督管理部门备案，加盖“扬中市政府采购备案章”。</w:t>
      </w:r>
      <w:r/>
    </w:p>
    <w:p>
      <w:pPr>
        <w:ind w:left="0" w:right="0" w:firstLine="48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4.本合同一式陆份，甲方、乙方各执贰份、政府采购代理机构、政府采购监督管理部门各执一份。</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以下无正文。</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甲方（公章）：乙方（公章）：</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地址：地址：</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法定代表人或授权代表：法定代表人或授权代表：</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代理机构（公章）：</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地址： </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法定代表人或授权代表：</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19"/>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签约日期：年月日</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361"/>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第四部分 采购需求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扬中市行政中心四至：东至中电大道西侧路牙，南至扬子西路北侧路牙，西至新城路东侧园区道路，北至天后宫路北侧停车场南围栏。占地面积为 158000 平方米，主楼建筑面积为 34800 平方米，室外面积为 165841 平方米，其中广场、区间道路及停车场面积为69927平方米，室外绿化面积为55915平方米，景观河水域面积为 39999 平方米。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1.1本次招标的项目内容：扬中市行政中心办公大楼秩序管理、卫生保洁、会务接待、设备设施的维护保养等物业管理服务。</w:t>
      </w:r>
      <w:r/>
    </w:p>
    <w:p>
      <w:pPr>
        <w:pStyle w:val="654"/>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1.2本次招标的项目地点：扬中市行政中心办公大楼。</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1.3本次招标的项目所属行业：物业管理。</w:t>
      </w:r>
      <w:r/>
    </w:p>
    <w:p>
      <w:pPr>
        <w:pStyle w:val="654"/>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1.4物业服务场所基本情况</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
        <w:gridCol w:w="2981"/>
        <w:gridCol w:w="5383"/>
      </w:tblGrid>
      <w:tr>
        <w:trPr>
          <w:trHeight w:val="4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r>
      <w:tr>
        <w:trPr>
          <w:trHeight w:val="4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建筑1名称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扬中市行政中心办公大楼</w:t>
            </w:r>
            <w:r/>
          </w:p>
        </w:tc>
      </w:tr>
      <w:tr>
        <w:trPr>
          <w:trHeight w:val="4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总面积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建筑面积（㎡）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约158000㎡</w:t>
            </w:r>
            <w:r/>
          </w:p>
        </w:tc>
      </w:tr>
      <w:tr>
        <w:trPr>
          <w:trHeight w:val="47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需保洁面积（㎡）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约326483㎡</w:t>
            </w:r>
            <w:r/>
          </w:p>
        </w:tc>
      </w:tr>
      <w:tr>
        <w:trPr>
          <w:trHeight w:val="49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地上建筑面积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34800㎡</w:t>
            </w:r>
            <w:r/>
          </w:p>
        </w:tc>
      </w:tr>
      <w:tr>
        <w:trPr>
          <w:trHeight w:val="4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办公楼（南楼）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以现场勘察为准</w:t>
            </w:r>
            <w:r/>
          </w:p>
        </w:tc>
      </w:tr>
      <w:tr>
        <w:trPr>
          <w:trHeight w:val="47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办公楼（北楼）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以现场勘察为准</w:t>
            </w:r>
            <w:r/>
          </w:p>
        </w:tc>
      </w:tr>
      <w:tr>
        <w:trPr>
          <w:trHeight w:val="4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地下建筑面积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以现场勘察为准</w:t>
            </w:r>
            <w:r/>
          </w:p>
        </w:tc>
      </w:tr>
      <w:tr>
        <w:trPr>
          <w:trHeight w:val="4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建筑占地面积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158000㎡</w:t>
            </w:r>
            <w:r/>
          </w:p>
        </w:tc>
      </w:tr>
      <w:tr>
        <w:trPr>
          <w:trHeight w:val="4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建筑密度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以现场勘察为准</w:t>
            </w:r>
            <w:r/>
          </w:p>
        </w:tc>
      </w:tr>
      <w:tr>
        <w:trPr>
          <w:trHeight w:val="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容积率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以现场勘察为准</w:t>
            </w:r>
            <w:r/>
          </w:p>
        </w:tc>
      </w:tr>
      <w:tr>
        <w:trPr>
          <w:trHeight w:val="4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以现场勘察为准</w:t>
            </w:r>
            <w:r/>
          </w:p>
        </w:tc>
      </w:tr>
      <w:tr>
        <w:trPr>
          <w:trHeight w:val="4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机动车停车位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约706个</w:t>
            </w:r>
            <w:r/>
          </w:p>
        </w:tc>
      </w:tr>
      <w:tr>
        <w:trPr>
          <w:trHeight w:val="4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车位数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地下车位数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 62个</w:t>
            </w:r>
            <w:r/>
          </w:p>
        </w:tc>
      </w:tr>
      <w:tr>
        <w:trPr>
          <w:trHeight w:val="76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地面车位数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约644个</w:t>
            </w:r>
            <w:r/>
          </w:p>
        </w:tc>
      </w:tr>
      <w:tr>
        <w:trPr>
          <w:trHeight w:val="48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非机动车停车位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约225个</w:t>
            </w:r>
            <w:r/>
          </w:p>
        </w:tc>
      </w:tr>
    </w:tbl>
    <w:p>
      <w:pPr>
        <w:pStyle w:val="654"/>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注：以上数据以现场勘察为准，未列入与物业服务相关的内容，如有必要现场勘察；中标后除相应约定的内容和国家政策法律法规规定要求外，费用一律不予增加。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二、岗位人员需求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1.项目经理：55周岁以下，三年以上从业经验，具有大专及以上学历、中级或以上职称证书、物业管理师职业技能等级证书、应急救援员证的优先；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2.部门主管：（1）保安主管年龄在 50 周岁以下、大专及以上学历，具有保安服务技能及职称证书的优先；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（2）保洁主管年龄在 50 周岁以下、大专及以上学历，具有保洁员服务技能及职称证书的优先；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（3）工程运维主管年龄在 55 周岁以下，大专及以上学历，素质良好，具有电工、智能楼宇职业技能资格及职称证书的优先。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3.客服（会务）人员：具有高中及以上文化，女性，身高 1.60米以上，年龄在 40 周岁以下；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4.保安人员：男，年龄 57 周岁及以内；消控室岗位须持消控上岗证。身体健康、责任心优秀者，年龄可放宽至 65 周岁以下。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5.保洁人员：女性，55周岁以下，初中及以上文化，有吃苦耐劳精神。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6.所有在岗人员必须通过物业公司的培训、试用，综合考核合格后方可上岗，物业公司需定期对在岗人员进行培训。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物业人员应自觉遵守采购人和物业公司的各项规章制度和管理规定，服从物业公司的管理，认真履行指定区域的工作职责。工作时间内所有员工必须统一着装，佩戴好工号牌，做到着装整洁，举止大方。不迟到、早退，不串岗、脱岗，不做与工作无关的事，做到文明用语，礼貌待人，宽容忍让，互相协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8.岗位人员配置要求（下表）</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扬中行政中心物业人员配置</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6"/>
        <w:gridCol w:w="1789"/>
        <w:gridCol w:w="698"/>
        <w:gridCol w:w="5342"/>
      </w:tblGrid>
      <w:tr>
        <w:trPr>
          <w:trHeight w:val="7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  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  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主要工作内容</w:t>
            </w:r>
            <w:r/>
          </w:p>
        </w:tc>
      </w:tr>
      <w:tr>
        <w:trPr>
          <w:trHeight w:val="7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服务处1人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负责服务处日常管理与服务工作；负责人事、行政、接待、问询答复、质量回访等工作；负责服务处操作层员工的培训、一级考核、物料申领发放等工作，对服务处日常质量进行监督、整改，组织召开服务处的工作例会。</w:t>
            </w:r>
            <w:r/>
          </w:p>
        </w:tc>
      </w:tr>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工程运维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  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全面负责机电设施设备的运行、维修、保养、管理等督查、考核工作。</w:t>
            </w:r>
            <w:r/>
          </w:p>
        </w:tc>
      </w:tr>
      <w:tr>
        <w:trPr>
          <w:trHeight w:val="129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工程运维员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设施、设备、房屋建筑设施的巡查、维护保养及相关报修服务；管道的巡查、维修保养及强弱电、空调设备等系统的日常管理工作。</w:t>
            </w:r>
            <w:r/>
          </w:p>
        </w:tc>
      </w:tr>
      <w:tr>
        <w:trPr>
          <w:trHeight w:val="56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高配值班员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负责变电所的正常运行值班和台账记录。</w:t>
            </w:r>
            <w:r/>
          </w:p>
        </w:tc>
      </w:tr>
      <w:tr>
        <w:trPr>
          <w:trHeight w:val="71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监控值班员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负责监控室值班工作，发现异常及时报告并</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做好台账记录。</w:t>
            </w:r>
            <w:r/>
          </w:p>
        </w:tc>
      </w:tr>
      <w:tr>
        <w:trPr>
          <w:trHeight w:val="9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会议客服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会务员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负责会议室清洁、会议用品的清洗/消毒/摆</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放、会场的布置、会议期间的茶水等服务，</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做好客服接待工作。</w:t>
            </w:r>
            <w:r/>
          </w:p>
        </w:tc>
      </w:tr>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  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vMerge w:val="restart"/>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物业安保人员应实行二十四小时全天定岗检</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查及流动巡检相结合的管理模式，在管理范</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围进行安全保卫、消防应急、车辆停放等的</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管理和引导，并做好外来人员的登记和管</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理，协助处理突发事件、治安事件，做好防</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火、防盗等工作，履行火险、火灾的救助义</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务，保证行政中心的安全。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39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5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51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8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外场巡逻、车辆停放管理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单休。</w:t>
            </w:r>
            <w:r/>
          </w:p>
        </w:tc>
      </w:tr>
      <w:tr>
        <w:trPr>
          <w:trHeight w:val="4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  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2" w:type="dxa"/>
            <w:vAlign w:val="center"/>
            <w:vMerge w:val="restart"/>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全面负责环境保洁工作；负责大楼内委托服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务范围的保洁工作；负责外环境、车库及绿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化带范围内的保洁工作；负责石材地面、地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板、地毯的定期清洗。</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主楼公共区域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8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领导层办公室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外围公共区域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64人</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注：1.以上岗位为最低配置要求，投标人应充分考虑现场实际情况，合理调配人员确保物业服务的各项工作能满足采购人需求。</w:t>
      </w:r>
      <w:r/>
    </w:p>
    <w:p>
      <w:pPr>
        <w:numPr>
          <w:ilvl w:val="0"/>
          <w:numId w:val="3"/>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如采购人根据项目实际需求调整或合同人数无法满足实际物业服务需要的，中标人提出申请，经采购人审核同意后调整。</w:t>
      </w:r>
      <w:r/>
    </w:p>
    <w:p>
      <w:pPr>
        <w:numPr>
          <w:ilvl w:val="0"/>
          <w:numId w:val="3"/>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投标人应当自行为服务人员办理必需的保险，相关费用包含在报价中。</w:t>
      </w:r>
      <w:r/>
    </w:p>
    <w:p>
      <w:pPr>
        <w:pStyle w:val="654"/>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三、技术服务要求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物业管理服务包括基本服务、房屋维护服务、公用设施设备维护服务、保洁服务、保安服务等。现制定本技术服务要求。</w:t>
      </w:r>
      <w:r/>
    </w:p>
    <w:p>
      <w:pPr>
        <w:ind w:left="541"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2"/>
        </w:rPr>
        <w:t xml:space="preserve">3.1基本服务</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121"/>
        <w:gridCol w:w="644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目标与责任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（1）结合采购人要求及物业服务实际情况，制定年度管理目标，明确责任分工，并制定配套实施方案。</w:t>
            </w:r>
            <w:r/>
          </w:p>
        </w:tc>
      </w:tr>
      <w:tr>
        <w:trPr>
          <w:trHeight w:val="22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（2）项目区域内开展走动式管理与台账管理的结合模式，做好行政中心品质整体形象提升。</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服务人员要求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（1）每季度至少开展1次岗位技能、职业素质、服务知识、客户文化、绿色节能环保等教育培训，并进行适当形式的考核。</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（2）根据采购人要求对服务人员进行从业资格审查，审查结果向采购人报备。</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53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（5）着装分类统一，佩戴标识。仪容整洁、姿态端正、举止文明。用语文明礼貌，态度温和耐心。</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保密和思想政治教育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（1）建立保密管理制度。制度内容应当包括但不限于：①明确重点要害岗位保密职责。②对涉密工作岗位的保密要求。</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（2）根据采购人要求与涉密工作岗位的服务人员签订保密协议。保密协议应当向采购人报备。</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每季度至少开展1次对服务人员进行保密、思想政治教育培训，增强服务人员保密意识和思想政治意识。新入职员工应当接受保密、思想政治教育培训，进行必要的人员经历审查，合格后签订保密协议方可上岗。</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（4）发现服务人员违法违规或重大过失，及时报告采购人，并采取必要补救措施。</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（1）建立物业信息，准确、及时地对文件资料和服务记录进行归档保存，并确保其物理安全。</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其他：客户信息、财务明细、合同协议、信报信息登记、大件物品进出登记等。</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（3）遵守采购人的信息、档案资料保密要求，未经许可，不得将建筑物平面图等资料转作其他用途或向其他单位、个人提供。</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（4）履约结束后，相关资料交还采购人，采购人按政府采购相关规定存档。</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（5）采用计算机管理，所有档案要求做到保存完整，管理完善，交接手续完备，检索方便准确。</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服务改进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（1）明确负责人，定期对物业服务过程进行自查，结合反馈意见与评价结果采取改进措施，持续提升管理与服务水平。</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（2）对不合格服务进行控制，对不合格服务的原因进行识别和分析，及时采取纠正措施，消除不合格的原因，防止不合格再发生。</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（3）做好采购人的沟通衔接工作，定期做好项目意见征询，项目做到精益求精。需整改问题及时整改完成。</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重大活动后勤保障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（1）制订流程。配合采购人制订重大活动后勤保障工作流程，需对任务进行详细了解，并根据工作安排制定详细的后勤保障计划。</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（3）收尾工作。对现场进行检查，做好清理工作。</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应急保障预案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服务方案及工作制度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（1）制定工作制度，主要包括：人员录用制度、档案管理制度、物业服务管理制度、公用设施设备相关管理制度等。</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（2）制定项目实施方案，主要包括：交接方案、人员培训方案、人员稳定性方案、保密方案等。</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（3）制定物业服务方案，主要包括：房屋维护服务方案、公用设施设备维护服务方案、保洁服务方案、保安服务方案等。</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信报服务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（1）对邮件、包裹和挂号信等进行正确分类、安全检查和防疫卫生检查。</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（2）及时报送或通知收件人领取。</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（3）大件物品出入向采购人报告，待采购人确认无误后放行。</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服务热线及紧急维修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（1）设置24小时报修服务热线。</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（2）紧急维修应当在15分钟内到达现场，不间断维修直至修复。</w:t>
            </w:r>
            <w:r/>
          </w:p>
        </w:tc>
      </w:tr>
    </w:tbl>
    <w:p>
      <w:pPr>
        <w:pStyle w:val="656"/>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3.2物业管理人员服务内容</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3.2.1项目区域内开展走动式管理与台账管理的结合模式，做好政府办公大楼的品质整体形象提升。 </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3.2.2做好委托方的沟通衔接工作，定期做好项目意见征询，项目做到精益求精。 </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3.2.3安全为上，针对项目的整体概况和特性，做好年度安全状况评估，体现物业服务水平。</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3.2.4全面了解和掌握项目的人员情况，配合好委托方组织和开展的各项工作。</w:t>
      </w:r>
      <w:r/>
    </w:p>
    <w:p>
      <w:pPr>
        <w:pStyle w:val="656"/>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3.3秩序管理</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3.2.1安保人员实行 24 小时值班制度，南、北门入口安排安保人员立岗执勤，经过专业培训，具有良好的军姿形象，配备全套值勤物品。 </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3.2.2安保人员应热情礼貌、全面周到地做好来访人员的接待、引导等服务，维护门口及大厅的秩序，保障门前畅通。 </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3.2.3安保人员应对行政中心内外所属区域，进行定时巡查，并做好巡视记录，维护区域内的正常治安秩序，检查、发现安全防范方面的漏洞，做好突发事件或意外事故的处理。 </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3.2.4安保人员要做好物品进入审查不得有违禁物品进入行政中心，物品进出要有书面证明，并做好登记。并时刻注意公共区域无烟蒂、无明火。 </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3.2.5做好园区及天后宫路车棚的车辆停放及会议中心召开大型会议时车辆停放管理工作，做到按规整齐有序。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3.2.6安保服务内容</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2171"/>
        <w:gridCol w:w="6374"/>
      </w:tblGrid>
      <w:tr>
        <w:trPr>
          <w:trHeight w:val="4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r>
        <w:trPr>
          <w:trHeight w:val="8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（1）建立保安服务相关制度，按照执行，并做好巡视记录，维护区域内的正常治安秩序，检查、发现安全防范方面的漏洞，做好突发事件或意外事故的处理。</w:t>
            </w:r>
            <w:r/>
          </w:p>
        </w:tc>
      </w:tr>
      <w:tr>
        <w:trPr>
          <w:trHeight w:val="54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（2）对巡查、值守及异常情况等做好相关记录，填写规范，保存完好。</w:t>
            </w:r>
            <w:r/>
          </w:p>
        </w:tc>
      </w:tr>
      <w:tr>
        <w:trPr>
          <w:trHeight w:val="14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（3）配备保安服务必要的器材。</w:t>
            </w:r>
            <w:r/>
          </w:p>
        </w:tc>
      </w:tr>
      <w:tr>
        <w:trPr>
          <w:trHeight w:val="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出入管理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（1）办公楼（区）主出入口应当实行 24小时值班制。入口安排安保人员立岗执勤（大楼工作人员上下班时间段），经过专业培训，具有良好的军姿形象，配备全套执勤物品。</w:t>
            </w:r>
            <w:r/>
          </w:p>
        </w:tc>
      </w:tr>
      <w:tr>
        <w:trPr>
          <w:trHeight w:val="22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（2）设置门岗。</w:t>
            </w:r>
            <w:r/>
          </w:p>
        </w:tc>
      </w:tr>
      <w:tr>
        <w:trPr>
          <w:trHeight w:val="40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（3）在出入口对外来人员及其携带大件物品、外来车辆进行询问和记录，并与相关部门取得联系，同意后方可进入。</w:t>
            </w:r>
            <w:r/>
          </w:p>
        </w:tc>
      </w:tr>
      <w:tr>
        <w:trPr>
          <w:trHeight w:val="25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（4）大件物品搬出有相关部门开具的证明和清单，经核实后放行。</w:t>
            </w:r>
            <w:r/>
          </w:p>
        </w:tc>
      </w:tr>
      <w:tr>
        <w:trPr>
          <w:trHeight w:val="31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（5）排查可疑人员，对于不出示证件、不按规定登记、不听劝阻而强行闯入者，及时劝离，必要时通知公安机关进行处理。</w:t>
            </w:r>
            <w:r/>
          </w:p>
        </w:tc>
      </w:tr>
      <w:tr>
        <w:trPr>
          <w:trHeight w:val="20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（6）配合相关部门积极疏导上访人员，有效疏导出入口人群集聚、车辆拥堵、货物堵塞道路等情况。</w:t>
            </w:r>
            <w:r/>
          </w:p>
        </w:tc>
      </w:tr>
      <w:tr>
        <w:trPr>
          <w:trHeight w:val="67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0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（8）提供现场接待服务。</w:t>
            </w:r>
            <w:r/>
          </w:p>
        </w:tc>
      </w:tr>
      <w:tr>
        <w:trPr>
          <w:trHeight w:val="2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值班巡查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（1）建立24小时值班巡查制度。</w:t>
            </w:r>
            <w:r/>
          </w:p>
        </w:tc>
      </w:tr>
      <w:tr>
        <w:trPr>
          <w:trHeight w:val="46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（2）制定巡查路线，按照指定时间和路线执行，加强重点区域、重点部位及装修区域的巡查。</w:t>
            </w:r>
            <w:r/>
          </w:p>
        </w:tc>
      </w:tr>
      <w:tr>
        <w:trPr>
          <w:trHeight w:val="47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（3）巡查期间保持通信设施设备畅通，遇到异常情况立即上报并在现场采取相应措施。</w:t>
            </w:r>
            <w:r/>
          </w:p>
        </w:tc>
      </w:tr>
      <w:tr>
        <w:trPr>
          <w:trHeight w:val="29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（4）收到监控室指令后，巡查人员及时到达指定地点并迅速采取相应措施。</w:t>
            </w:r>
            <w:r/>
          </w:p>
        </w:tc>
      </w:tr>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监控值守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（1）监控室环境符合系统设备运行要求，定期进行检查和检测，确保系统功能正常。</w:t>
            </w:r>
            <w:r/>
          </w:p>
        </w:tc>
      </w:tr>
      <w:tr>
        <w:trPr>
          <w:trHeight w:val="37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（2）监控设备24小时正常运行，监控室实行专人24小时值班制度。</w:t>
            </w:r>
            <w:r/>
          </w:p>
        </w:tc>
      </w:tr>
      <w:tr>
        <w:trPr>
          <w:trHeight w:val="29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（3）监控记录画面清晰，视频监控无死角、无盲区。</w:t>
            </w:r>
            <w:r/>
          </w:p>
        </w:tc>
      </w:tr>
      <w:tr>
        <w:trPr>
          <w:trHeight w:val="37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（4）值班期间遵守操作规程和保密制度，做好监控记录的保存工作。</w:t>
            </w:r>
            <w:r/>
          </w:p>
        </w:tc>
      </w:tr>
      <w:tr>
        <w:trPr>
          <w:trHeight w:val="35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（5）监控记录保持完整，保存时间不应少于90天。</w:t>
            </w:r>
            <w:r/>
          </w:p>
        </w:tc>
      </w:tr>
      <w:tr>
        <w:trPr>
          <w:trHeight w:val="52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（6）无关人员进入监控室或查阅监控记录，经授权人批准并做好相关记录。</w:t>
            </w:r>
            <w:r/>
          </w:p>
        </w:tc>
      </w:tr>
      <w:tr>
        <w:trPr>
          <w:trHeight w:val="57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（7）监控室收到火情等报警信号、其他异常情况信号后，及时报警并安排其他安保人员前往现场进行处理。</w:t>
            </w:r>
            <w:r/>
          </w:p>
        </w:tc>
      </w:tr>
      <w:tr>
        <w:trPr>
          <w:trHeight w:val="1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车辆停放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（1）车辆行驶路线设置合理、规范，导向标志完整、清晰。</w:t>
            </w:r>
            <w:r/>
          </w:p>
        </w:tc>
      </w:tr>
      <w:tr>
        <w:trPr>
          <w:trHeight w:val="39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（2）合理规划车辆停放区域，张贴车辆引导标识，对车辆及停放区域实行规范管理。</w:t>
            </w:r>
            <w:r/>
          </w:p>
        </w:tc>
      </w:tr>
      <w:tr>
        <w:trPr>
          <w:trHeight w:val="46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（3）严禁在办公楼的公用走道、楼梯间、安全出口处等公共区域停放车辆或充电。</w:t>
            </w:r>
            <w:r/>
          </w:p>
        </w:tc>
      </w:tr>
      <w:tr>
        <w:trPr>
          <w:trHeight w:val="14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（4）非机动车定点有序停放。</w:t>
            </w:r>
            <w:r/>
          </w:p>
        </w:tc>
      </w:tr>
      <w:tr>
        <w:trPr>
          <w:trHeight w:val="63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（5）发现车辆异常情况及时通知车主，并做好登记；发生交通事故、自然灾害等意外事故时及时赶赴现场疏导和协助处理，响应时间不超过3分钟。</w:t>
            </w:r>
            <w:r/>
          </w:p>
        </w:tc>
      </w:tr>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消防安全管理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（1）建立消防安全责任制，确定各级消防安全责任人及其职责。</w:t>
            </w:r>
            <w:r/>
          </w:p>
        </w:tc>
      </w:tr>
      <w:tr>
        <w:trPr>
          <w:trHeight w:val="86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（2）消防控制室实行24小时值班制度，每班不少于2人。当班人员必须保持充沛精力，不打瞌睡，以高度的责任感认真观察，不得随意向外人提供本楼监控点，消防设备等保安方面的详细资料。</w:t>
            </w:r>
            <w:r/>
          </w:p>
        </w:tc>
      </w:tr>
      <w:tr>
        <w:trPr>
          <w:trHeight w:val="36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（3）消火栓、应急照明、应急物资、消防及人员逃生通道、消防车通道可随时正常使用。</w:t>
            </w:r>
            <w:r/>
          </w:p>
        </w:tc>
      </w:tr>
      <w:tr>
        <w:trPr>
          <w:trHeight w:val="35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（4）建立岗位记事本，发现有异常情况应记录备案，做好交接班的口头和书面汇报。易燃易爆品设专区专人管理，做好相关记录。</w:t>
            </w:r>
            <w:r/>
          </w:p>
        </w:tc>
      </w:tr>
      <w:tr>
        <w:trPr>
          <w:trHeight w:val="29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（5）定期组织消防安全宣传，每半年至少开展1次消防演练。</w:t>
            </w:r>
            <w:r/>
          </w:p>
        </w:tc>
      </w:tr>
      <w:tr>
        <w:trPr>
          <w:trHeight w:val="4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突发事件处理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（1）制定突发事件安全责任书，明确突发事件责任人及应承担的安全责任。</w:t>
            </w:r>
            <w:r/>
          </w:p>
        </w:tc>
      </w:tr>
      <w:tr>
        <w:trPr>
          <w:trHeight w:val="45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（2）建立应急突发事件处置队伍，明确各自的职责。</w:t>
            </w:r>
            <w:r/>
          </w:p>
        </w:tc>
      </w:tr>
      <w:tr>
        <w:trPr>
          <w:trHeight w:val="32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（3）识别、分析各种潜在风险，针对不同风险类型制定相应解决方案，并配备应急物资。</w:t>
            </w:r>
            <w:r/>
          </w:p>
        </w:tc>
      </w:tr>
      <w:tr>
        <w:trPr>
          <w:trHeight w:val="17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（4）每半年至少开展1次突发事件应急演练，并有相应记录。</w:t>
            </w:r>
            <w:r/>
          </w:p>
        </w:tc>
      </w:tr>
      <w:tr>
        <w:trPr>
          <w:trHeight w:val="51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（5）发生意外事件时，及时采取应急措施，维护办公区域物业服务正常进行，保护人身财产安全。</w:t>
            </w:r>
            <w:r/>
          </w:p>
        </w:tc>
      </w:tr>
      <w:tr>
        <w:trPr>
          <w:trHeight w:val="60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（6）办公区域物业服务应急预案终止实施后，积极采取措施，在尽可能短的时间内，消除事故带来的不良影响，妥善安置和慰问受害及受影响的人员和部门。</w:t>
            </w:r>
            <w:r/>
          </w:p>
        </w:tc>
      </w:tr>
      <w:tr>
        <w:trPr>
          <w:trHeight w:val="40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（7）事故处理后，及时形成事故应急总结报告，完善应急救援工作方案。</w:t>
            </w:r>
            <w:r/>
          </w:p>
        </w:tc>
      </w:tr>
      <w:tr>
        <w:trPr>
          <w:trHeight w:val="4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大型活动秩序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（1）制定相应的活动秩序维护方案，合理安排人员，并对场所的安全隐患进行排查。</w:t>
            </w:r>
            <w:r/>
          </w:p>
        </w:tc>
      </w:tr>
      <w:tr>
        <w:trPr>
          <w:trHeight w:val="24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（2）应当保障通道、出入口、停车场等区域畅通。</w:t>
            </w:r>
            <w:r/>
          </w:p>
        </w:tc>
      </w:tr>
      <w:tr>
        <w:trPr>
          <w:trHeight w:val="35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（3）活动举办过程中，做好现场秩序的维护和突发事故的处置工作，确保活动正常进行。</w:t>
            </w:r>
            <w:r/>
          </w:p>
        </w:tc>
      </w:tr>
    </w:tbl>
    <w:p>
      <w:pPr>
        <w:pStyle w:val="656"/>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3.3卫生保洁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3.3.1保洁服务内容</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3"/>
        <w:gridCol w:w="2165"/>
        <w:gridCol w:w="640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r>
      <w:tr>
        <w:trPr>
          <w:trHeight w:val="3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（1）建立保洁服务的工作制度及工作计划，并按照执行。</w:t>
            </w:r>
            <w:r/>
          </w:p>
        </w:tc>
      </w:tr>
      <w:tr>
        <w:trPr>
          <w:trHeight w:val="36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（2）做好保洁服务工作记录，记录填写规范、保存完好。</w:t>
            </w:r>
            <w:r/>
          </w:p>
        </w:tc>
      </w:tr>
      <w:tr>
        <w:trPr>
          <w:trHeight w:val="4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（3）作业时采取安全防护措施，防止对作业人员或他人造成伤害。相关耗材的环保、安全性等应当符合国家相关规定要求。</w:t>
            </w:r>
            <w:r/>
          </w:p>
        </w:tc>
      </w:tr>
      <w:tr>
        <w:trPr>
          <w:trHeight w:val="36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（4）进入保密区域时，有采购人相关人员全程在场。</w:t>
            </w:r>
            <w:r/>
          </w:p>
        </w:tc>
      </w:tr>
      <w:tr>
        <w:trPr>
          <w:trHeight w:val="3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厕所28间；女厕所22间；强、弱电间22间；垃圾集中处11间；茶水间11间；电梯6部；电梯厅11间；楼梯通道6个；地下车库1个；走道、厅、堂等公共部位；市四套班子主要领导办公室、接待室及会议室。南门值班室、会议室及主楼二楼中心会议室等。</w:t>
            </w:r>
            <w:r/>
          </w:p>
        </w:tc>
      </w:tr>
      <w:tr>
        <w:trPr>
          <w:trHeight w:val="3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室外范围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南、北广场、周边道路、停车场、南北门庭及四楼玻璃天台、十一楼观光平台及楼顶（含电梯机房）；消防通道、绿化带、木地板、景观河通道及景观河；公共厕所1个。</w:t>
            </w:r>
            <w:r/>
          </w:p>
        </w:tc>
      </w:tr>
      <w:tr>
        <w:trPr>
          <w:trHeight w:val="3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本次招标的保洁范围不包括石材养护、石材翻新及每年一次的外墙清洗。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3.3.2清洁内容及要求</w:t>
      </w:r>
      <w:r/>
    </w:p>
    <w:tbl>
      <w:tblPr>
        <w:tblStyle w:val="686"/>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715"/>
        <w:gridCol w:w="1209"/>
        <w:gridCol w:w="4923"/>
        <w:gridCol w:w="2508"/>
      </w:tblGrid>
      <w:tr>
        <w:trPr>
          <w:trHeight w:val="90"/>
        </w:trPr>
        <w:tc>
          <w:tcPr>
            <w:tcBorders>
              <w:bottom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清洁范围</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清洁内容</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清洁要求</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left w:val="single" w:color="000000" w:sz="8" w:space="0"/>
            </w:tcBorders>
            <w:tcMar>
              <w:left w:w="108" w:type="dxa"/>
              <w:top w:w="0" w:type="dxa"/>
              <w:right w:w="108" w:type="dxa"/>
              <w:bottom w:w="0" w:type="dxa"/>
            </w:tcMar>
            <w:tcW w:w="12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入口大堂</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1.清扫及洗刷大堂入口地台及梯级</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4 次</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2.大堂地坪、台阶</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每天数次</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3.清洁 2 米以下大堂玻璃、窗户；</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1 次</w:t>
            </w:r>
            <w:r/>
          </w:p>
        </w:tc>
      </w:tr>
      <w:tr>
        <w:trPr>
          <w:trHeight w:val="21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4.墙角线、大理石、墙面用碧丽珠抛光</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每周 1 次</w:t>
            </w:r>
            <w:r/>
          </w:p>
        </w:tc>
      </w:tr>
      <w:tr>
        <w:trPr>
          <w:trHeight w:val="191"/>
        </w:trPr>
        <w:tc>
          <w:tcPr>
            <w:tcBorders>
              <w:top w:val="single" w:color="000000" w:sz="8" w:space="0"/>
            </w:tcBorders>
            <w:tcMar>
              <w:left w:w="108" w:type="dxa"/>
              <w:top w:w="0" w:type="dxa"/>
              <w:right w:w="108" w:type="dxa"/>
              <w:bottom w:w="0" w:type="dxa"/>
            </w:tcMar>
            <w:tcW w:w="7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Mar>
              <w:left w:w="108" w:type="dxa"/>
              <w:top w:w="0" w:type="dxa"/>
              <w:right w:w="108" w:type="dxa"/>
              <w:bottom w:w="0" w:type="dxa"/>
            </w:tcMar>
            <w:tcW w:w="12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公共区域和茶水间</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1.走廊、过道除尘</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每天数次</w:t>
            </w:r>
            <w:r/>
          </w:p>
        </w:tc>
      </w:tr>
      <w:tr>
        <w:trPr>
          <w:trHeight w:val="10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2.清洁门窗、框、栏杆、扶手</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2 次</w:t>
            </w:r>
            <w:r/>
          </w:p>
        </w:tc>
      </w:tr>
      <w:tr>
        <w:trPr>
          <w:trHeight w:val="90"/>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3.清洁空调风口、照明灯罩</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每月 1 次</w:t>
            </w:r>
            <w:r/>
          </w:p>
        </w:tc>
      </w:tr>
      <w:tr>
        <w:trPr>
          <w:trHeight w:val="90"/>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4.清洁垃圾箱、烟灰缸及花槽内外表面</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4 次</w:t>
            </w:r>
            <w:r/>
          </w:p>
        </w:tc>
      </w:tr>
      <w:tr>
        <w:trPr>
          <w:trHeight w:val="219"/>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5.收集清理所有垃圾箱、烟灰缸及花槽内的垃圾</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4 次</w:t>
            </w:r>
            <w:r/>
          </w:p>
        </w:tc>
      </w:tr>
      <w:tr>
        <w:trPr>
          <w:trHeight w:val="227"/>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6.门、框、栏杆、扶手清洁</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每月 2 次</w:t>
            </w:r>
            <w:r/>
          </w:p>
        </w:tc>
      </w:tr>
      <w:tr>
        <w:trPr>
          <w:trHeight w:val="218"/>
        </w:trPr>
        <w:tc>
          <w:tcPr>
            <w:tcMar>
              <w:left w:w="108" w:type="dxa"/>
              <w:top w:w="0" w:type="dxa"/>
              <w:right w:w="108" w:type="dxa"/>
              <w:bottom w:w="0" w:type="dxa"/>
            </w:tcMar>
            <w:tcW w:w="7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Mar>
              <w:left w:w="108" w:type="dxa"/>
              <w:top w:w="0" w:type="dxa"/>
              <w:right w:w="108" w:type="dxa"/>
              <w:bottom w:w="0" w:type="dxa"/>
            </w:tcMar>
            <w:tcW w:w="12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卫生间</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1.用全能清洗剂洗马桶</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1 次</w:t>
            </w:r>
            <w:r/>
          </w:p>
        </w:tc>
      </w:tr>
      <w:tr>
        <w:trPr>
          <w:trHeight w:val="199"/>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2.清洁门、窗、框</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1 次</w:t>
            </w:r>
            <w:r/>
          </w:p>
        </w:tc>
      </w:tr>
      <w:tr>
        <w:trPr>
          <w:trHeight w:val="186"/>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3.冲洗及擦净马桶</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每天数次</w:t>
            </w:r>
            <w:r/>
          </w:p>
        </w:tc>
      </w:tr>
      <w:tr>
        <w:trPr>
          <w:trHeight w:val="90"/>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4.擦净卫生间内镜面、面池及地面拖干</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4 次</w:t>
            </w:r>
            <w:r/>
          </w:p>
        </w:tc>
      </w:tr>
      <w:tr>
        <w:trPr>
          <w:trHeight w:val="103"/>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5.天花板及灯罩表面除尘</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每周 2 次</w:t>
            </w:r>
            <w:r/>
          </w:p>
        </w:tc>
      </w:tr>
      <w:tr>
        <w:trPr>
          <w:trHeight w:val="172"/>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6.更换卫生间纸、毛巾、肥皂及清洁液</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及时更换 2 次</w:t>
            </w:r>
            <w:r/>
          </w:p>
        </w:tc>
      </w:tr>
      <w:tr>
        <w:trPr>
          <w:trHeight w:val="295"/>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7.清理手纸篓</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2 次</w:t>
            </w:r>
            <w:r/>
          </w:p>
        </w:tc>
      </w:tr>
      <w:tr>
        <w:trPr>
          <w:trHeight w:val="300"/>
        </w:trPr>
        <w:tc>
          <w:tcPr>
            <w:tcMar>
              <w:left w:w="108" w:type="dxa"/>
              <w:top w:w="0" w:type="dxa"/>
              <w:right w:w="108" w:type="dxa"/>
              <w:bottom w:w="0" w:type="dxa"/>
            </w:tcMar>
            <w:tcW w:w="7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Mar>
              <w:left w:w="108" w:type="dxa"/>
              <w:top w:w="0" w:type="dxa"/>
              <w:right w:w="108" w:type="dxa"/>
              <w:bottom w:w="0" w:type="dxa"/>
            </w:tcMar>
            <w:tcW w:w="12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电梯</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1.清洁电梯门表面及内壁</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2 次</w:t>
            </w:r>
            <w:r/>
          </w:p>
        </w:tc>
      </w:tr>
      <w:tr>
        <w:trPr>
          <w:trHeight w:val="363"/>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2.电梯天花板表面除尘</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1 次</w:t>
            </w:r>
            <w:r/>
          </w:p>
        </w:tc>
      </w:tr>
      <w:tr>
        <w:trPr>
          <w:trHeight w:val="253"/>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3.电梯吸尘</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1 次</w:t>
            </w:r>
            <w:r/>
          </w:p>
        </w:tc>
      </w:tr>
      <w:tr>
        <w:trPr>
          <w:trHeight w:val="145"/>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4.清洁电梯通风口及照明罩</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每周 1 次</w:t>
            </w:r>
            <w:r/>
          </w:p>
        </w:tc>
      </w:tr>
      <w:tr>
        <w:trPr>
          <w:trHeight w:val="240"/>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5.电梯表面涂上保护膜</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2 次</w:t>
            </w:r>
            <w:r/>
          </w:p>
        </w:tc>
      </w:tr>
      <w:tr>
        <w:trPr>
          <w:trHeight w:val="259"/>
        </w:trPr>
        <w:tc>
          <w:tcPr>
            <w:tcMar>
              <w:left w:w="108" w:type="dxa"/>
              <w:top w:w="0" w:type="dxa"/>
              <w:right w:w="108" w:type="dxa"/>
              <w:bottom w:w="0" w:type="dxa"/>
            </w:tcMar>
            <w:tcW w:w="7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Mar>
              <w:left w:w="108" w:type="dxa"/>
              <w:top w:w="0" w:type="dxa"/>
              <w:right w:w="108" w:type="dxa"/>
              <w:bottom w:w="0" w:type="dxa"/>
            </w:tcMar>
            <w:tcW w:w="12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楼梯</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1.清理各楼层楼梯</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每天 2 次</w:t>
            </w:r>
            <w:r/>
          </w:p>
        </w:tc>
      </w:tr>
      <w:tr>
        <w:trPr>
          <w:trHeight w:val="281"/>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2.栏杆和扶手清洁</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每周 1 次</w:t>
            </w:r>
            <w:r/>
          </w:p>
        </w:tc>
      </w:tr>
      <w:tr>
        <w:trPr>
          <w:trHeight w:val="269"/>
        </w:trPr>
        <w:tc>
          <w:tcPr>
            <w:tcMar>
              <w:left w:w="108" w:type="dxa"/>
              <w:top w:w="0" w:type="dxa"/>
              <w:right w:w="108" w:type="dxa"/>
              <w:bottom w:w="0" w:type="dxa"/>
            </w:tcMar>
            <w:tcW w:w="7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Mar>
              <w:left w:w="108" w:type="dxa"/>
              <w:top w:w="0" w:type="dxa"/>
              <w:right w:w="108" w:type="dxa"/>
              <w:bottom w:w="0" w:type="dxa"/>
            </w:tcMar>
            <w:tcW w:w="12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室内保洁</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1.会议室保洁</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及时服务</w:t>
            </w:r>
            <w:r/>
          </w:p>
        </w:tc>
      </w:tr>
      <w:tr>
        <w:trPr>
          <w:trHeight w:val="419"/>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2.主要领导办公室</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及时服务</w:t>
            </w:r>
            <w:r/>
          </w:p>
        </w:tc>
      </w:tr>
      <w:tr>
        <w:trPr>
          <w:trHeight w:val="137"/>
        </w:trPr>
        <w:tc>
          <w:tcPr>
            <w:tcMar>
              <w:left w:w="108" w:type="dxa"/>
              <w:top w:w="0" w:type="dxa"/>
              <w:right w:w="108" w:type="dxa"/>
              <w:bottom w:w="0" w:type="dxa"/>
            </w:tcMar>
            <w:tcW w:w="7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Mar>
              <w:left w:w="108" w:type="dxa"/>
              <w:top w:w="0" w:type="dxa"/>
              <w:right w:w="108" w:type="dxa"/>
              <w:bottom w:w="0" w:type="dxa"/>
            </w:tcMar>
            <w:tcW w:w="12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室外区域</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1.道路、停车场、绿化带</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每日两次</w:t>
            </w:r>
            <w:r/>
          </w:p>
        </w:tc>
      </w:tr>
      <w:tr>
        <w:trPr>
          <w:trHeight w:val="240"/>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2.路牌、标识、灯柱等室外设施</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每日一次</w:t>
            </w:r>
            <w:r/>
          </w:p>
        </w:tc>
      </w:tr>
      <w:tr>
        <w:trPr>
          <w:trHeight w:val="213"/>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3.垃圾收集、清运</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每日数次</w:t>
            </w:r>
            <w:r/>
          </w:p>
        </w:tc>
      </w:tr>
      <w:tr>
        <w:trPr>
          <w:trHeight w:val="186"/>
        </w:trPr>
        <w:tc>
          <w:tcPr>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外墙</w:t>
            </w:r>
            <w:r/>
          </w:p>
        </w:tc>
        <w:tc>
          <w:tcPr>
            <w:tcMar>
              <w:left w:w="108" w:type="dxa"/>
              <w:top w:w="0" w:type="dxa"/>
              <w:right w:w="108" w:type="dxa"/>
              <w:bottom w:w="0" w:type="dxa"/>
            </w:tcMar>
            <w:tcW w:w="4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米以下外墙保持无污迹</w:t>
            </w:r>
            <w:r/>
          </w:p>
        </w:tc>
        <w:tc>
          <w:tcPr>
            <w:tcMar>
              <w:left w:w="108" w:type="dxa"/>
              <w:top w:w="0" w:type="dxa"/>
              <w:right w:w="108" w:type="dxa"/>
              <w:bottom w:w="0" w:type="dxa"/>
            </w:tcMar>
            <w:tcW w:w="2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随时保洁</w:t>
            </w:r>
            <w:r/>
          </w:p>
        </w:tc>
      </w:tr>
    </w:tbl>
    <w:p>
      <w:pPr>
        <w:pStyle w:val="656"/>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3.4会务接待</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3.4.1市四套班子领导办公室、接待室及会议室。</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3.4.2会务管理</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（1）建立会议管理制度，制定会议服务规程并认真落实。</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（2）会议室的灯光、音响设备每周检查一次，发现问题应及时维修。</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（3）负责会场布置、音响保障、茶水供应、保洁等服务。</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（4）会务保密：会场服务人员不得随意翻阅会议资料，防止闲杂人员进场，不得去任何场所透露会议的内容。</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（5）会后及时清理检查是否有遗留物品、未熄灭的火种，关闭设备电源等。</w:t>
      </w:r>
      <w:r/>
    </w:p>
    <w:p>
      <w:pPr>
        <w:pStyle w:val="656"/>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3.5设备设施的维护保养</w:t>
      </w:r>
      <w:r/>
    </w:p>
    <w:p>
      <w:pPr>
        <w:pStyle w:val="65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3.5.1行政中心主楼及能源中心、信访楼、档案楼、会议中心、大礼堂、行政服务中心、机关食堂（包括贵宾楼中央空调）、园区内公共部位。包括房屋的维护保养、强弱电系统、给排水系统、通风和空调系统、电梯系统、消防系统、喷灌系统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3.5.2房屋维护服务</w:t>
      </w:r>
      <w:r/>
    </w:p>
    <w:tbl>
      <w:tblPr>
        <w:tblStyle w:val="686"/>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798"/>
        <w:gridCol w:w="2132"/>
        <w:gridCol w:w="6424"/>
      </w:tblGrid>
      <w:tr>
        <w:trPr>
          <w:trHeight w:val="454"/>
        </w:trPr>
        <w:tc>
          <w:tcPr>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bottom w:val="single" w:color="000000" w:sz="8"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r>
        <w:trPr>
          <w:trHeight w:val="454"/>
        </w:trPr>
        <w:tc>
          <w:tcPr>
            <w:tcBorders>
              <w:right w:val="single" w:color="000000" w:sz="8" w:space="0"/>
            </w:tcBorders>
            <w:tcMar>
              <w:left w:w="108" w:type="dxa"/>
              <w:top w:w="0" w:type="dxa"/>
              <w:right w:w="108" w:type="dxa"/>
              <w:bottom w:w="0" w:type="dxa"/>
            </w:tcMar>
            <w:tcW w:w="7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主体结构、围护结构、部品部件</w:t>
            </w:r>
            <w:r/>
          </w:p>
        </w:tc>
        <w:tc>
          <w:tcPr>
            <w:tcBorders>
              <w:left w:val="single" w:color="000000" w:sz="8" w:space="0"/>
            </w:tcBorders>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（1）每季度至少开展1次房屋结构安全巡视，发现外观有变形、开裂等现象，及时建议采购人申请房屋安全鉴定，并采取必要的避险和防护措施。</w:t>
            </w:r>
            <w:r/>
          </w:p>
        </w:tc>
      </w:tr>
      <w:tr>
        <w:trPr>
          <w:trHeight w:val="45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（2）每季度至少开展1次外墙贴饰面、幕墙玻璃、雨棚、散水、空调室外机支撑构件等检查，发现破损，及时向采购人报告，按采购人要求出具维修方案，待采购人同意后按维修方案实施维修。</w:t>
            </w:r>
            <w:r/>
          </w:p>
        </w:tc>
      </w:tr>
      <w:tr>
        <w:trPr>
          <w:trHeight w:val="45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（4）每年强降雨天气前后、雨雪季节检查屋面防水和雨落管等，发现破损，及时向采购人报告，按采购人要求出具维修方案，待采购人同意后按维修方案实施维修。</w:t>
            </w:r>
            <w:r/>
          </w:p>
        </w:tc>
      </w:tr>
      <w:tr>
        <w:trPr>
          <w:trHeight w:val="45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（5）办公楼外观完好，建筑装饰面无脱落、无破损、无污渍，玻璃幕墙清洁明亮、无破损。</w:t>
            </w:r>
            <w:r/>
          </w:p>
        </w:tc>
      </w:tr>
      <w:tr>
        <w:trPr>
          <w:trHeight w:val="45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（6）通道、楼梯、门窗等设施的完好和正常使用。</w:t>
            </w:r>
            <w:r/>
          </w:p>
        </w:tc>
      </w:tr>
      <w:tr>
        <w:trPr>
          <w:trHeight w:val="454"/>
        </w:trPr>
        <w:tc>
          <w:tcPr>
            <w:tcMar>
              <w:left w:w="108" w:type="dxa"/>
              <w:top w:w="0" w:type="dxa"/>
              <w:right w:w="108" w:type="dxa"/>
              <w:bottom w:w="0" w:type="dxa"/>
            </w:tcMar>
            <w:tcW w:w="7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tcBorders>
            <w:tcMar>
              <w:left w:w="108" w:type="dxa"/>
              <w:top w:w="0" w:type="dxa"/>
              <w:right w:w="108" w:type="dxa"/>
              <w:bottom w:w="0" w:type="dxa"/>
            </w:tcMar>
            <w:tcW w:w="21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其他设施</w:t>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（2）每年至少开展1次防雷装置检测，发现失效，及时向采购人报告，按采购人要求出具维修方案，待采购人同意后按维修方案实施维修。</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（3）路面状态良好，地漏通畅不堵塞。</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（4）接到采购人家具报修服务后，及时通知家具供货商对保修期内的家具进行维修，及时对保修期外的家具进行维修。</w:t>
            </w:r>
            <w:r/>
          </w:p>
        </w:tc>
      </w:tr>
      <w:tr>
        <w:trPr>
          <w:trHeight w:val="454"/>
        </w:trPr>
        <w:tc>
          <w:tcPr>
            <w:tcMar>
              <w:left w:w="108" w:type="dxa"/>
              <w:top w:w="0" w:type="dxa"/>
              <w:right w:w="108" w:type="dxa"/>
              <w:bottom w:w="0" w:type="dxa"/>
            </w:tcMar>
            <w:tcW w:w="7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Mar>
              <w:left w:w="108" w:type="dxa"/>
              <w:top w:w="0" w:type="dxa"/>
              <w:right w:w="108" w:type="dxa"/>
              <w:bottom w:w="0" w:type="dxa"/>
            </w:tcMar>
            <w:tcW w:w="21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装饰装修监督管理</w:t>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（1）装饰装修前，供应商应当与采购人或采购人委托的装修企业签订装饰装修管理服务协议，告知装饰装修须知，并对装饰装修过程进行管理服务。</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（2）根据协议内容，做好装修垃圾临时堆放、清运等。</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（3）受采购人委托对房屋内装修进行严格的监督管理，发现问题及时上报，确保不因装修而危及大楼结构安全、人身安全和影响正常办公秩序。</w:t>
            </w:r>
            <w:r/>
          </w:p>
        </w:tc>
      </w:tr>
      <w:tr>
        <w:trPr>
          <w:trHeight w:val="454"/>
        </w:trPr>
        <w:tc>
          <w:tcPr>
            <w:tcMar>
              <w:left w:w="108" w:type="dxa"/>
              <w:top w:w="0" w:type="dxa"/>
              <w:right w:w="108" w:type="dxa"/>
              <w:bottom w:w="0" w:type="dxa"/>
            </w:tcMar>
            <w:tcW w:w="7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Mar>
              <w:left w:w="108" w:type="dxa"/>
              <w:top w:w="0" w:type="dxa"/>
              <w:right w:w="108" w:type="dxa"/>
              <w:bottom w:w="0" w:type="dxa"/>
            </w:tcMar>
            <w:tcW w:w="21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标识标牌</w:t>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（1）标识标牌符合《公共信息图形符号 第1部分：通用符号》（GB/T 10001.1）的相关要求，消防与安全标识符合《安全标志及其使用导则》（GB2894）、《消防安全标志　第1部分：标志》（GB13495.1）的相关要求。</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（2）每月至少检查1次标识标牌和消防与安全标识。应当规范清晰、路线指引正确、安装稳固。</w:t>
            </w:r>
            <w:r/>
          </w:p>
        </w:tc>
      </w:tr>
    </w:tbl>
    <w:p>
      <w:pPr>
        <w:pStyle w:val="656"/>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3.6消控中心的管理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3.6.1公用设施设备维护服务</w:t>
      </w:r>
      <w:r/>
    </w:p>
    <w:tbl>
      <w:tblPr>
        <w:tblStyle w:val="686"/>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795"/>
        <w:gridCol w:w="2143"/>
        <w:gridCol w:w="6416"/>
      </w:tblGrid>
      <w:tr>
        <w:trPr>
          <w:trHeight w:val="454"/>
        </w:trPr>
        <w:tc>
          <w:tcPr>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Mar>
              <w:left w:w="108" w:type="dxa"/>
              <w:top w:w="0" w:type="dxa"/>
              <w:right w:w="108" w:type="dxa"/>
              <w:bottom w:w="0" w:type="dxa"/>
            </w:tcMar>
            <w:tcW w:w="2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r>
        <w:trPr>
          <w:trHeight w:val="454"/>
        </w:trPr>
        <w:tc>
          <w:tcPr>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bottom w:val="single" w:color="000000" w:sz="8" w:space="0"/>
            </w:tcBorders>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基本要求</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（1）重大节假日及恶劣天气前后，组织系统巡检1次。</w:t>
            </w:r>
            <w:r/>
          </w:p>
        </w:tc>
      </w:tr>
      <w:tr>
        <w:trPr>
          <w:trHeight w:val="45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（2）具备设施设备安全、稳定运行的环境和场所（含有限空间），温湿度、照度、粉尘和烟雾浓度等符合相关安全规范。</w:t>
            </w:r>
            <w:r/>
          </w:p>
        </w:tc>
      </w:tr>
      <w:tr>
        <w:trPr>
          <w:trHeight w:val="90"/>
        </w:trPr>
        <w:tc>
          <w:tcPr>
            <w:tcBorders>
              <w:right w:val="single" w:color="000000" w:sz="8" w:space="0"/>
            </w:tcBorders>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设备机房</w:t>
            </w:r>
            <w:r/>
          </w:p>
        </w:tc>
        <w:tc>
          <w:tcPr>
            <w:tcBorders>
              <w:lef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（2）设备机房门窗、锁具应当完好、有效。</w:t>
            </w:r>
            <w:r/>
          </w:p>
        </w:tc>
      </w:tr>
      <w:tr>
        <w:trPr>
          <w:trHeight w:val="483"/>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（3）每半月至少开展1次清洁，整洁有序、无杂物、无积尘、无鼠、无虫害，温湿度符合设备运行要求。</w:t>
            </w:r>
            <w:r/>
          </w:p>
        </w:tc>
      </w:tr>
      <w:tr>
        <w:trPr>
          <w:trHeight w:val="481"/>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（4）按各设备机房国家标准和规范规定维护/保管消防、通风、应急照明，防止小动物进入。</w:t>
            </w:r>
            <w:r/>
          </w:p>
        </w:tc>
      </w:tr>
      <w:tr>
        <w:trPr>
          <w:trHeight w:val="493"/>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（5）安全防护用具配置齐全，检验合格。</w:t>
            </w:r>
            <w:r/>
          </w:p>
        </w:tc>
      </w:tr>
      <w:tr>
        <w:trPr>
          <w:trHeight w:val="481"/>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（6）应急设施设备用品应当齐全、完备，可随时启用。</w:t>
            </w:r>
            <w:r/>
          </w:p>
        </w:tc>
      </w:tr>
      <w:tr>
        <w:trPr>
          <w:trHeight w:val="454"/>
        </w:trPr>
        <w:tc>
          <w:tcPr>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tcBorders>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给排水系统</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（1）生活饮用水卫生符合《生活饮用水卫生标准》（GB5749）的相关要求。</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（2）二次供水卫生符合《二次供水设施卫生规范》（GB17051）的相关要求。</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（3）设施设备、阀门、管道等运行正常，无跑、冒、滴、漏现象。</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（4）有水泵房、水箱间的，每日至少巡视1次。每年至少养护1次水泵。</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（5）遇供水单位限水、停水，按规定时间通知采购人。</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（6）每季度至少开展1次对排水管进行疏通、清污，保证室内外排水系统通畅。</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（7）每月严格由专业水工巡检供水管网、排水管网及龙头、开关、接头等，保证大厦水的正常使用，处理突发事件，确保给排水管道、通风管、清通设备、室外排水管道正常工作。</w:t>
            </w:r>
            <w:r/>
          </w:p>
        </w:tc>
      </w:tr>
      <w:tr>
        <w:trPr>
          <w:trHeight w:val="454"/>
        </w:trPr>
        <w:tc>
          <w:tcPr>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电梯系统</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（1）电梯运行平稳、无异响、平层、开关正常。</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（2）电梯准用证、年检合格证等证件齐全。相关证件、紧急救援电话和乘客注意事项置于轿厢醒目位置。</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（3）根据采购人需求，合理设置电梯开启的数量、时间。</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（4）对电梯做好日常维修保养工作，安排专人现场跟踪拍照留存、监管，并协助做好电梯的定期大、中修工作，常规保养。</w:t>
            </w:r>
            <w:r/>
          </w:p>
        </w:tc>
      </w:tr>
      <w:tr>
        <w:trPr>
          <w:trHeight w:val="454"/>
        </w:trPr>
        <w:tc>
          <w:tcPr>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空调系统</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定期维保并做好记录，保证空调设施设备处于良好状态。根据采购人规定时间定时开启和关闭系统，按制度进行监视、巡检、记录，并根据天气情况和运行中可能出现的偏差和业主反馈进行汇总，报知业主维保单位进行维保。</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（2）制冷、供暖系统温度设定及启用时间符合节能要求。</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（3）每年夏、冬季来临前，空调停用期间应对中央空调系统进行综合维护，有效地延长使用寿命，降低能耗。</w:t>
            </w:r>
            <w:r/>
          </w:p>
        </w:tc>
      </w:tr>
      <w:tr>
        <w:trPr>
          <w:trHeight w:val="454"/>
        </w:trPr>
        <w:tc>
          <w:tcPr>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消防系统</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（1）消防设施平面图、火警疏散示意图、防火分区图等按幢设置在楼层醒目位置。</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（2）消防系统各设施设备使用说明清晰，宜图文结合。</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（3）自动喷水灭火系统启动正常。</w:t>
            </w:r>
            <w:r/>
          </w:p>
        </w:tc>
      </w:tr>
      <w:tr>
        <w:trPr>
          <w:trHeight w:val="620"/>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（4）消火栓箱、防火门、灭火器、消防水泵、红外线报警器、应急照明、安全疏散等系统运行正常。</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（5）消防监控系统运行良好，自动和手动报警设施启动正常。</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（6）正压送风、防排烟系统运行正常。</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（7）由专业水工配合消防维保驻场人员定期检查，消防驻场人员负责维护消防系统的各个部件，并组织员工进行消防演练，成立义务消防队，严格管理，防患于未然。</w:t>
            </w:r>
            <w:r/>
          </w:p>
        </w:tc>
      </w:tr>
      <w:tr>
        <w:trPr>
          <w:trHeight w:val="454"/>
        </w:trPr>
        <w:tc>
          <w:tcPr>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供配电系统</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（1）建立24小时运行值班监控制度。</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（2）对供电范围内的电气设备定期巡视维护，加强高低压配电柜、配电箱、控制柜及线路等重点部位监测。</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（3）公共使用的照明、指示灯具线路、开关、接地等保持完好，确保用电安全。</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（4）核心部位用电建立高可控用电保障和配备应急发电设备，定期维护应急发电设备。</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（5）发生非计划性停电的，应当在事件发生后及时通知采购人，快速恢复或启用应急电源，并做好应急事件上报及处理工作。</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（6）复杂故障涉及供电部门维修处置的及时与供电部门联系，并向采购人报告。</w:t>
            </w:r>
            <w:r/>
          </w:p>
        </w:tc>
      </w:tr>
      <w:tr>
        <w:trPr>
          <w:trHeight w:val="605"/>
        </w:trPr>
        <w:tc>
          <w:tcPr>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弱电系统</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（1）安全防范系统维护保养符合《安全防范系统维护保养规范》（GA/T 1081）的相关要求。</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（2）保持监控系统、门禁系统、安全防范系统等运行正常，有故障及时排除。</w:t>
            </w:r>
            <w:r/>
          </w:p>
        </w:tc>
      </w:tr>
      <w:tr>
        <w:trPr>
          <w:trHeight w:val="454"/>
        </w:trPr>
        <w:tc>
          <w:tcPr>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Mar>
              <w:left w:w="108" w:type="dxa"/>
              <w:top w:w="0" w:type="dxa"/>
              <w:right w:w="108" w:type="dxa"/>
              <w:bottom w:w="0" w:type="dxa"/>
            </w:tcMar>
            <w:tcW w:w="2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照明系统</w:t>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（1）外观整洁无缺损、无松落。</w:t>
            </w:r>
            <w:r/>
          </w:p>
        </w:tc>
      </w:tr>
      <w:tr>
        <w:trPr>
          <w:trHeight w:val="605"/>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（2）更换的照明灯具应当选用节能环保产品，亮度与更换前保持一致。</w:t>
            </w:r>
            <w:r/>
          </w:p>
        </w:tc>
      </w:tr>
      <w:tr>
        <w:trPr>
          <w:trHeight w:val="45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（3）每周至少开展1次公共区域照明设备巡视。</w:t>
            </w:r>
            <w:r/>
          </w:p>
        </w:tc>
      </w:tr>
    </w:tbl>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3.6.2供电系统的管理和维护措施</w:t>
      </w:r>
      <w:r>
        <w:rPr>
          <w:rFonts w:ascii="SimSun" w:hAnsi="SimSun" w:eastAsia="SimSun" w:cs="SimSun"/>
          <w:color w:val="000000"/>
          <w:sz w:val="24"/>
          <w:szCs w:val="24"/>
        </w:rPr>
      </w:r>
      <w:r/>
    </w:p>
    <w:p>
      <w:pPr>
        <w:ind w:left="0" w:right="0" w:firstLine="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（1）建立严格的配送电运行制度和电气维修制度；</w:t>
      </w:r>
      <w:r>
        <w:rPr>
          <w:rFonts w:ascii="SimSun" w:hAnsi="SimSun" w:eastAsia="SimSun" w:cs="SimSun"/>
          <w:color w:val="000000"/>
          <w:sz w:val="24"/>
          <w:szCs w:val="24"/>
        </w:rPr>
      </w:r>
      <w:r/>
    </w:p>
    <w:p>
      <w:pPr>
        <w:ind w:left="480" w:right="0" w:firstLine="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（2）配备专职的电气工程技术人员；</w:t>
      </w:r>
      <w:r>
        <w:rPr>
          <w:rFonts w:ascii="SimSun" w:hAnsi="SimSun" w:eastAsia="SimSun" w:cs="SimSun"/>
          <w:color w:val="000000"/>
          <w:sz w:val="24"/>
          <w:szCs w:val="24"/>
        </w:rPr>
      </w:r>
      <w:r/>
    </w:p>
    <w:p>
      <w:pPr>
        <w:ind w:left="480" w:right="0" w:firstLine="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（3）建立值班制度、发现故障，及时排除；</w:t>
      </w:r>
      <w:r>
        <w:rPr>
          <w:rFonts w:ascii="SimSun" w:hAnsi="SimSun" w:eastAsia="SimSun" w:cs="SimSun"/>
          <w:color w:val="000000"/>
          <w:sz w:val="24"/>
          <w:szCs w:val="24"/>
        </w:rPr>
      </w:r>
      <w:r/>
    </w:p>
    <w:p>
      <w:pPr>
        <w:ind w:left="480" w:right="0" w:firstLine="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（4）加强日常维护、检修，确保供电设备安全运行；</w:t>
      </w:r>
      <w:r>
        <w:rPr>
          <w:rFonts w:ascii="SimSun" w:hAnsi="SimSun" w:eastAsia="SimSun" w:cs="SimSun"/>
          <w:color w:val="000000"/>
          <w:sz w:val="24"/>
          <w:szCs w:val="24"/>
        </w:rPr>
      </w:r>
      <w:r/>
    </w:p>
    <w:p>
      <w:pPr>
        <w:ind w:left="480" w:right="0" w:firstLine="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（5）若有限电、停电事宜应提前通知；</w:t>
      </w:r>
      <w:r>
        <w:rPr>
          <w:rFonts w:ascii="SimSun" w:hAnsi="SimSun" w:eastAsia="SimSun" w:cs="SimSun"/>
          <w:color w:val="000000"/>
          <w:sz w:val="24"/>
          <w:szCs w:val="24"/>
        </w:rPr>
      </w:r>
      <w:r/>
    </w:p>
    <w:p>
      <w:pPr>
        <w:ind w:left="480" w:right="0" w:firstLine="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（6）协助供电部门做好安全用电的有关工作。</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3.6.3电梯的管理和维护措施（电梯 6 部）</w:t>
      </w:r>
      <w:r>
        <w:rPr>
          <w:rFonts w:ascii="SimSun" w:hAnsi="SimSun" w:eastAsia="SimSun" w:cs="SimSun"/>
          <w:color w:val="000000"/>
          <w:sz w:val="24"/>
          <w:szCs w:val="24"/>
        </w:rPr>
      </w:r>
      <w:r/>
    </w:p>
    <w:p>
      <w:pPr>
        <w:ind w:left="0" w:right="0" w:firstLine="480"/>
        <w:spacing w:before="0" w:after="0"/>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对电梯做好日常维修保养工作，安排专人现场跟踪拍照留存、监管，并协助做好电梯的定期大、中修工作，常规保养。</w:t>
      </w:r>
      <w:r>
        <w:rPr>
          <w:rFonts w:ascii="SimSun" w:hAnsi="SimSun" w:eastAsia="SimSun" w:cs="SimSun"/>
          <w:b/>
          <w:bCs/>
          <w:color w:val="000000"/>
          <w:sz w:val="24"/>
          <w:szCs w:val="24"/>
        </w:rPr>
        <w:t xml:space="preserve">（电梯年检及维护费用由采购人负责）</w:t>
      </w:r>
      <w:r>
        <w:rPr>
          <w:rFonts w:ascii="SimSun" w:hAnsi="SimSun" w:eastAsia="SimSun" w:cs="SimSun"/>
          <w:b/>
          <w:bCs/>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3.6.4中央空调系统的管理和维护措施</w:t>
      </w:r>
      <w:r>
        <w:rPr>
          <w:rFonts w:ascii="SimSun" w:hAnsi="SimSun" w:eastAsia="SimSun" w:cs="SimSun"/>
          <w:color w:val="000000"/>
          <w:sz w:val="24"/>
          <w:szCs w:val="24"/>
        </w:rPr>
      </w:r>
      <w:r/>
    </w:p>
    <w:p>
      <w:pPr>
        <w:ind w:left="0" w:right="0" w:firstLine="480"/>
        <w:spacing w:before="0" w:after="0"/>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建立一套合理的规章制度按制度定时开启和关闭系统，按制度进行监视、巡检、记录，并根据天气情况和运行中可能出现的偏差和业主反馈进行汇总， 报知业主维保单位进行维保每年夏季、冬季来临前，空调停用期间应对中央空调系统进行综合维护，有效地延长使用寿命，降低能耗。</w:t>
      </w:r>
      <w:r>
        <w:rPr>
          <w:rFonts w:ascii="SimSun" w:hAnsi="SimSun" w:eastAsia="SimSun" w:cs="SimSun"/>
          <w:b/>
          <w:bCs/>
          <w:color w:val="000000"/>
          <w:sz w:val="24"/>
          <w:szCs w:val="24"/>
        </w:rPr>
        <w:t xml:space="preserve">（年检及维护费用由采购人负责）</w:t>
      </w:r>
      <w:r>
        <w:rPr>
          <w:rFonts w:ascii="SimSun" w:hAnsi="SimSun" w:eastAsia="SimSun" w:cs="SimSun"/>
          <w:b/>
          <w:bCs/>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3.6.5消防系统的使用维护措施</w:t>
      </w:r>
      <w:r>
        <w:rPr>
          <w:rFonts w:ascii="SimSun" w:hAnsi="SimSun" w:eastAsia="SimSun" w:cs="SimSun"/>
          <w:color w:val="000000"/>
          <w:sz w:val="24"/>
          <w:szCs w:val="24"/>
        </w:rPr>
      </w:r>
      <w:r/>
    </w:p>
    <w:p>
      <w:pPr>
        <w:ind w:left="0" w:right="0" w:firstLine="480"/>
        <w:spacing w:before="0" w:after="0"/>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由专业水工配合消防维保驻场人员定期检查，消防驻场人员负责维护消防系统的各个部件，并组织员工进行消防演练，成立义务消防队，严格管理，防患于未然。</w:t>
      </w:r>
      <w:r>
        <w:rPr>
          <w:rFonts w:ascii="SimSun" w:hAnsi="SimSun" w:eastAsia="SimSun" w:cs="SimSun"/>
          <w:b/>
          <w:bCs/>
          <w:color w:val="000000"/>
          <w:sz w:val="24"/>
          <w:szCs w:val="24"/>
        </w:rPr>
        <w:t xml:space="preserve">（年检、维护费用及灭火器定期更换由采购人负责）</w:t>
      </w:r>
      <w:r>
        <w:rPr>
          <w:rFonts w:ascii="SimSun" w:hAnsi="SimSun" w:eastAsia="SimSun" w:cs="SimSun"/>
          <w:b/>
          <w:bCs/>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3.6.6给排水系统的管理和维护措施</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每月严格由专业水工巡检供水管网、排水管网及龙头、开关、接头等，保证大厦水的正常使用，处理突发事件，确保给排水管 道、通风管、清通设备、室外排水管道正常工作。</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3.6.7消控中心管理措施</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（1）消防报警系统昼夜开通，设立 24 小时监控值班岗，全面了解和密切监视大厦安全状况，发现情况及时报告。</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（2）建立岗位记事本，发现有异常情况应记录备案，做好交接班的口头和书面汇报。</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（3）必须按规定配足人员，当班人员必须保持充沛精力，不打瞌睡，以高度的责任感认真观察，不得随意向外人提供本楼监控点， 消防设备等保安方面的详细资料。</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3.7协助护卫中队日常管理</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3.8档案资料管理</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3.8.1采用计算机管理，所有档案要求做到保存完整，管理完善，交接手续完备，检索方便准确。</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3.9公共机构节能等管理</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市级（含）以上部门下达的相关目标任务，投标人能独立完成的要确保完成，不能独立完成的，要积极配合采购人做好本职范围内的相关管理工作，配合采购人节约能耗，按采购人要求实施楼层及垃圾集中区垃圾分类服务。</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四、供应商履行合同所需的设备</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除采购人负责提供的设备以外，其他为提供本项目服务所需的设备，如进驻服务人员所必需的服装、装备、办公用品文具及设备（耗材）等，具体以实际需求为准。</w:t>
      </w:r>
      <w:r>
        <w:rPr>
          <w:rFonts w:ascii="SimSun" w:hAnsi="SimSun" w:eastAsia="SimSun" w:cs="SimSun"/>
          <w:color w:val="000000"/>
          <w:sz w:val="24"/>
          <w:szCs w:val="24"/>
        </w:r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五、</w:t>
      </w:r>
      <w:r>
        <w:rPr>
          <w:rFonts w:ascii="SimSun" w:hAnsi="SimSun" w:eastAsia="SimSun" w:cs="SimSun"/>
          <w:color w:val="000000"/>
          <w:sz w:val="24"/>
          <w:szCs w:val="24"/>
        </w:rPr>
        <w:t xml:space="preserve">费用测算要求（标</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项为实质性条款，若负偏离则将视为未实质性响应招标文件要求）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5.1投标人自行测算。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★（1）本项目总配备人数不少于 64 人，缴纳社会保险人数不少于 20 人。采购人不再另外支付人员其他任何费用，节假日每天加班人数不少于 10 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★（2）投标人应按照《中华人民共和国劳动法》发放工资，服务人员工资不低于扬中市企业职工最低工资标准 2660 元 / 月（不含社保及其他法定应付费用）。合同期内如遇最低工资上调，相关差额由投标人承担。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★（3）投标人应按照《中华人民共和国社会保险法》缴纳五险，社保以 4952 元为缴费基数测算，政策如有更新以主管部门规定为准。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★（4）高温费按不少于 15 人计算，每人每月 300 元，发放时间为 6—9 月共 4 个月，防暑降温饮料、药品等不得冲抵高温津贴。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★（5）本项目消控室、高压配电房、南北门岗须 24 小时有人值守，相关费用包含在报价中，采购人不另外支付人员任何费用。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★（6）未缴纳五险的员工，投标人须为其购买雇主责任险，按每人每月不少于 100 元标准测算。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★（7）投标人应依法纳税，在《物业服务费用分析表》中明确税费费率及纳税人类型，附优惠政策证明材料并承诺真实，违规自行承担法律责任。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（8）所提供人员费用不得低于上述标准测算，否则视为未实质性响应招标文件要求。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（9）利润、管理费及其他相应费用由投标人自行考虑。</w:t>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5.2</w:t>
      </w:r>
      <w:r>
        <w:rPr>
          <w:rFonts w:ascii="SimSun" w:hAnsi="SimSun" w:eastAsia="SimSun" w:cs="SimSun"/>
          <w:color w:val="000000"/>
          <w:sz w:val="24"/>
          <w:szCs w:val="24"/>
        </w:rPr>
        <w:t xml:space="preserve">投标人自行承担综合治理、刑事、民事、工伤、社保、劳保福利等全部责任；项目人员违法违规造成的后果与损失，由中标人承担并赔偿。履约期间遇国家政策调整，双方可协商签订补充合同。</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5.3</w:t>
      </w:r>
      <w:r>
        <w:rPr>
          <w:rFonts w:ascii="SimSun" w:hAnsi="SimSun" w:eastAsia="SimSun" w:cs="SimSun"/>
          <w:color w:val="000000"/>
          <w:sz w:val="24"/>
          <w:szCs w:val="24"/>
        </w:rPr>
        <w:t xml:space="preserve">各类活动、突击迎检、节假日等产生的相关费用，无论是否可预见，均已包含在投标报价中，除甲方要求外不予调整。</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5.4</w:t>
      </w:r>
      <w:r>
        <w:rPr>
          <w:rFonts w:ascii="SimSun" w:hAnsi="SimSun" w:eastAsia="SimSun" w:cs="SimSun"/>
          <w:color w:val="000000"/>
          <w:sz w:val="24"/>
          <w:szCs w:val="24"/>
        </w:rPr>
        <w:t xml:space="preserve">投标人报价应充分考虑所有风险因素。对物资与服务理解不一致的，以采购人理解为准。除招标文件规定外，合同期内服务费不予调整；投标人错漏、优惠等不得作为减责、减服务、加价、降质量的理由。</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六、对投标人中标后的要求</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6.1采购人对中标人的物业服务质量，每季度进行一次全面督查考核，如因中标人管理不善，造成重大经济损失或管理失误，经采购人认定其工作能力不足的，采购人有权终止本合同。</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6.2投标人中标后必须每季度提供一次其安排在采购人服务的所有员工的相关资料（包括姓名、年龄、从事工种、所在科室、特殊工种证件、身份证号码）给采购人备案。每月将变更人员资料给采购人备案。</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6.3投标人中标后要确保现场物业服务员工人数不少于投标文件要求。投标人须每月将现场服务人员的员工考勤表交一份给相关管理部门。采购人将不定期进行劳动纪律检查，如采购人检查发现人员数量不足的，有权要求中标人整改，并按相关规定进行扣罚。</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6.4服务期内中标人在经营中的一切债权和债务均由中标人负责。</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6.5投标人中标后如有违法经营行为的，或有违法纵容、煽动工人怠工、罢工等过激行为的，或因中标人无视工人权益引致工人有怠工、罢工等过激行为的，采购人有权即时终止本合同。</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6.6中标人对提供物业服务过程中获取的采购人商务、财务、技术、产品的信息或其他标明保密的文件或信息的内容（简称“保密资料”）保守秘密，未经采购人书面事先同意，不得向任何其他方披露。中标人可仅为提供物业服务目的向其确有知悉必要的雇员披露采购人提供的保密资料，但同时须指示其雇员遵守本款规定的保密及不披露义务。中标人应仅为提供物业服务目的而复制和使用保密资料。中标人若有违反上述保密规定的，应承担相应法律责任。中标人保密义务应在合同期满、解除或终止后仍然有效。</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6.7未经采购人同意，中标人不得在合同期限内将本项目的管理权转包或发包。</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6.8中标人须配合采购人接受上级领导部门的监督、检查，并提供必要的资料。</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6.9为保证采购人的正常活动的开展，中标人须提供详细的新旧物业交接方案。</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6.10中标人若违反投标文件所要求的用工年龄等，将扣除相关费用和清退相关人员。</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6.11中标人因采购人规模改变，调整服务人员或在服务过程中需要采购人配合的工作和需要提供的条件，应协商一致；</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6.12合同期内如有合同终止情况或其他原因提前退场的，中标人须无条件配合采购人做好交接工作。</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七、交接工作要求</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7.1中标人需在服务方案中明确后续的进退场及交接方案，并在中标后严格按照方案执行。</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7.2合同签订后成立物业管理办公室，确定管理人员，招聘员工，开展岗前培训，在接到采购人书面通知后七天内进场（合同执行时间按实际进场时间开始计算），了解现场各个岗位情况，积极筹备物资设备进场。未能在规定时间内进场作业的，采购人有权终止承包合同。</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7.3凡在行政中心园区内施工、维护项目的一切活动，中标人都须进行全程跟踪监管。</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7.4采购人向投标中标人提供适当的办公用房、电话通信网络保障。</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八、</w:t>
      </w:r>
      <w:r>
        <w:rPr>
          <w:rFonts w:ascii="SimSun" w:hAnsi="SimSun" w:eastAsia="SimSun" w:cs="SimSun"/>
          <w:color w:val="000000"/>
          <w:sz w:val="24"/>
          <w:szCs w:val="24"/>
        </w:rPr>
        <w:t xml:space="preserve">其他要求</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8.1投标人除需提供整体物业管理方案、项目理解和重点难点分析方案、秩序维护方案、环境保洁服务方案、设备维护方案、会务服务方案、突发事件处理方案等，还需在服务方案中明确后续的进退场及交接方案，并在中标后严格按照方案执行。</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8.2市级（含）以上部门下达的相关目标任务，中标人能独立完成的要确保完成，不能独立完成的，要积极配合采购人做好本职范围内的相关管理工作，配合采购人节约能耗，按采购人要求实施楼层及垃圾集中区垃圾分类服务。</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8.3所提供的项目服务必须遵守国家颁布标准和有关规定。</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8.4中标人须按采购人要求将项目的所有工作内容在规定的时间内实施完毕。</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8.5中标人须承诺中标后有能力及时进场交接。</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8.6中标人在履行合同过程中，一切事故的责任由中标人自行承担。</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九、实施期限</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3年</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十、验收标准与要求</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10.1服务质量标准：物业服务除须符合国家相关法律法规、各级政府管理规定外，还必须严格遵守招标文件、物业服务合同及采购人物业管理考核办法等相关要求，达到采购人既定服务质量标准。</w:t>
      </w:r>
      <w:r>
        <w:rPr>
          <w:rFonts w:ascii="SimSun" w:hAnsi="SimSun" w:eastAsia="SimSun" w:cs="SimSun"/>
          <w:color w:val="000000"/>
          <w:sz w:val="24"/>
          <w:szCs w:val="24"/>
        </w:rPr>
      </w:r>
      <w:r/>
    </w:p>
    <w:p>
      <w:pPr>
        <w:ind w:left="0" w:right="0" w:firstLine="480"/>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10.2 业务量验收标准：中标供应商须按合同及采购人要求，配齐足额在岗人员，落实 24 小时值守、设施设备维保、安保秩序、卫生保洁、会务接待、应急处置、重大活动及临时性工作配合等全部服务内容，按时按质完成各项工作任务。</w:t>
      </w:r>
      <w:r>
        <w:rPr>
          <w:rFonts w:ascii="SimSun" w:hAnsi="SimSun" w:eastAsia="SimSun" w:cs="SimSun"/>
          <w:color w:val="000000"/>
          <w:sz w:val="24"/>
          <w:szCs w:val="24"/>
        </w:r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10.3 采购人对中标人服务定期开展日常督查及考核，考核结果将作为服务费支付、整改追责的依据。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pPr>
      <w:r>
        <w:rPr>
          <w:rFonts w:ascii="KaiTi" w:hAnsi="KaiTi" w:eastAsia="KaiTi" w:cs="KaiTi"/>
          <w:b/>
          <w:color w:val="000000"/>
          <w:sz w:val="30"/>
          <w:highlight w:val="none"/>
          <w:u w:val="none"/>
        </w:rPr>
        <w:br w:type="page" w:clear="all"/>
      </w:r>
      <w:r>
        <w:rPr>
          <w:rFonts w:ascii="KaiTi" w:hAnsi="KaiTi" w:eastAsia="KaiTi" w:cs="KaiTi"/>
          <w:b/>
          <w:color w:val="000000"/>
          <w:sz w:val="30"/>
          <w:highlight w:val="none"/>
          <w:u w:val="none"/>
        </w:rPr>
      </w:r>
      <w:r/>
    </w:p>
    <w:p>
      <w:pPr>
        <w:ind w:left="0" w:right="0" w:firstLine="602"/>
        <w:jc w:val="center"/>
        <w:spacing w:before="0" w:after="0" w:line="85" w:lineRule="atLeast"/>
        <w:rPr>
          <w:rFonts w:ascii="KaiTi" w:hAnsi="KaiTi" w:eastAsia="KaiTi" w:cs="KaiTi"/>
          <w:b/>
          <w:bCs/>
          <w:color w:val="000000"/>
          <w:sz w:val="30"/>
          <w:szCs w:val="30"/>
          <w:highlight w:val="none"/>
          <w:u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第五部分</w:t>
      </w:r>
      <w:r>
        <w:rPr>
          <w:rFonts w:ascii="KaiTi" w:hAnsi="KaiTi" w:eastAsia="KaiTi" w:cs="KaiTi"/>
          <w:b/>
          <w:color w:val="000000"/>
          <w:sz w:val="30"/>
          <w:u w:val="none"/>
        </w:rPr>
        <w:t xml:space="preserve">评标办法和标准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1.采购代理机构职责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 采购代理机构负责组织评标工作，并履行下列职责：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（2）宣布评标纪律；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（3）公布投标人名单，告知评审专家应当回避的情形；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（4）组织评标委员会推选评标组长，采购人代表不得担任组长；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（5）在评标期间采取必要的通讯管理措施，保证评标活动不受外界干扰；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（6）根据评标委员会的要求介绍政府采购相关政策法规、招标文件；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（9）评审工作完成后，按照规定向评审专家支付劳务报酬和异地评审差旅费，不得向评审专家以外的其他人员支付评审劳务报酬；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（10）处理与评标有关的其他事项。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 评标委员会负责具体评标事务，并独立履行下列职责：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（1）审查、评价投标文件是否符合招标文件的商务、技术等实质性要求；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（2）要求投标人对投标文件有关事项作出澄清或者说明；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（3）对投标文件进行比较和评价；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（5）向采购人、采购代理机构或者有关部门报告评标中发现的违法行为。</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w:t>
      </w:r>
      <w:r>
        <w:rPr>
          <w:rFonts w:ascii="KaiTi" w:hAnsi="KaiTi" w:eastAsia="KaiTi" w:cs="KaiTi"/>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3.3评标委员会启动异常低价投标（响应）审查的情形和具体要求</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评审过程中出现下列情形之一的，评标委员会应当启动异常低价投标（响应）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审查程序： </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投标（响应）报价低于全部通过符合性审查供应商投标（响应）报价平均值50%的，即投标（响应）报价〈全部通过符合性审查供应商投标（响应）报价平均值×50%；</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投标（响应）报价低于通过符合性审查的次低报价供应商投标（响应）报价50%的，即投标（响应）报价〈通过符合性审查的次低报价供应商投标（响应）报价×50%；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3.投标（响应）报价低于采购项目最高限价45%的，即投标（响应）报价〈采购项目最高限价×45%；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4.评标委员会基于专业判断，认为供应商报价过低，有可能影响产品质量或者不能诚信履约的其他情形。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评标委员会依据专业经验，参考同类项目中标（成交）价格、类似产品市场价格水平、行业人工费用标准</w:t>
      </w:r>
      <w:r>
        <w:rPr>
          <w:rFonts w:ascii="KaiTi" w:hAnsi="KaiTi" w:eastAsia="KaiTi" w:cs="KaiTi"/>
          <w:color w:val="000000"/>
          <w:sz w:val="24"/>
        </w:rPr>
        <w:t xml:space="preserve">、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4.3</w:t>
      </w:r>
      <w:r>
        <w:rPr>
          <w:rFonts w:ascii="KaiTi" w:hAnsi="KaiTi" w:eastAsia="KaiTi" w:cs="KaiTi"/>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同时出现两种以上不一致的，按上述规定排序在先的原则进行修正</w:t>
      </w:r>
      <w:r>
        <w:rPr>
          <w:rFonts w:ascii="KaiTi" w:hAnsi="KaiTi" w:eastAsia="KaiTi" w:cs="KaiTi"/>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开标结束后，采购人或代理机构将依法对投标人的资格进行审查。资格审查的内容如下：</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2971"/>
        <w:gridCol w:w="56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提供2025年度财务报告，成立不满一年的提供至少一个月财务报告，或银行出具的资信证明，或财政部门认可的政府采购专业担保机构出具的投标担保函等；或提供资格承诺函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提供投标人相关信息一览表；或提供资格承诺函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（1）提供投标函或资格承诺函；</w:t>
            </w:r>
            <w:r/>
          </w:p>
          <w:p>
            <w:pPr>
              <w:contextualSpacing w:val="0"/>
              <w:ind w:left="0" w:right="0" w:firstLine="0"/>
              <w:jc w:val="both"/>
              <w:spacing w:before="0" w:after="0" w:line="85" w:lineRule="atLeast"/>
              <w:widowControl w:val="off"/>
              <w:pBdr>
                <w:top w:val="none" w:color="000000" w:sz="4" w:space="0"/>
                <w:left w:val="none" w:color="000000" w:sz="4" w:space="0"/>
                <w:bottom w:val="none" w:color="000000" w:sz="4" w:space="0"/>
                <w:right w:val="none" w:color="000000" w:sz="4" w:space="0"/>
              </w:pBdr>
              <w:suppressLineNumbers w:val="0"/>
            </w:pPr>
            <w:r>
              <w:rPr>
                <w:rFonts w:ascii="KaiTi" w:hAnsi="KaiTi" w:eastAsia="KaiTi" w:cs="KaiTi"/>
                <w:color w:val="000000"/>
                <w:sz w:val="24"/>
              </w:rPr>
              <w:t xml:space="preserve">（</w:t>
            </w:r>
            <w:r>
              <w:rPr>
                <w:rFonts w:ascii="Times New Roman" w:hAnsi="Times New Roman" w:eastAsia="Times New Roman" w:cs="Times New Roman"/>
                <w:color w:val="000000"/>
                <w:sz w:val="24"/>
              </w:rPr>
              <w:t xml:space="preserve">2</w:t>
            </w:r>
            <w:r>
              <w:rPr>
                <w:rFonts w:ascii="KaiTi" w:hAnsi="KaiTi" w:eastAsia="KaiTi" w:cs="KaiTi"/>
                <w:color w:val="000000"/>
                <w:sz w:val="24"/>
              </w:rPr>
              <w:t xml:space="preserve">）</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信用中国</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网站（</w:t>
            </w:r>
            <w:r>
              <w:rPr>
                <w:rFonts w:ascii="Times New Roman" w:hAnsi="Times New Roman" w:eastAsia="Times New Roman" w:cs="Times New Roman"/>
                <w:color w:val="000000"/>
                <w:sz w:val="24"/>
              </w:rPr>
              <w:t xml:space="preserve">www.creditchina.gov.cn</w:t>
            </w:r>
            <w:r>
              <w:rPr>
                <w:rFonts w:ascii="KaiTi" w:hAnsi="KaiTi" w:eastAsia="KaiTi" w:cs="KaiTi"/>
                <w:color w:val="000000"/>
                <w:sz w:val="24"/>
              </w:rPr>
              <w:t xml:space="preserve">）、中国政府采购网（</w:t>
            </w:r>
            <w:r>
              <w:rPr>
                <w:rFonts w:ascii="Times New Roman" w:hAnsi="Times New Roman" w:eastAsia="Times New Roman" w:cs="Times New Roman"/>
                <w:color w:val="000000"/>
                <w:sz w:val="24"/>
              </w:rPr>
              <w:t xml:space="preserve">www.ccgp.gov.cn</w:t>
            </w:r>
            <w:r>
              <w:rPr>
                <w:rFonts w:ascii="KaiTi" w:hAnsi="KaiTi" w:eastAsia="KaiTi" w:cs="KaiTi"/>
                <w:color w:val="000000"/>
                <w:sz w:val="24"/>
              </w:rPr>
              <w:t xml:space="preserve">）、</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信用江苏</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网站（</w:t>
            </w:r>
            <w:r>
              <w:rPr>
                <w:rFonts w:ascii="Times New Roman" w:hAnsi="Times New Roman" w:eastAsia="Times New Roman" w:cs="Times New Roman"/>
                <w:color w:val="000000"/>
                <w:sz w:val="24"/>
              </w:rPr>
              <w:t xml:space="preserve">http://http://credit.jiangsu.gov.cn/</w:t>
            </w:r>
            <w:r>
              <w:rPr>
                <w:rFonts w:ascii="KaiTi" w:hAnsi="KaiTi" w:eastAsia="KaiTi" w:cs="KaiTi"/>
                <w:color w:val="000000"/>
                <w:sz w:val="24"/>
              </w:rPr>
              <w:t xml:space="preserve">）的查询结果未列入失信被执行人名单、重大税收违法案件当事人名单、政府采购严重违法失信行为名单，以现场查询为准。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无         </w:t>
            </w:r>
            <w:r/>
          </w:p>
        </w:tc>
      </w:tr>
    </w:tbl>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7.投标人符合性审查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686"/>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868"/>
        <w:gridCol w:w="3593"/>
        <w:gridCol w:w="4603"/>
      </w:tblGrid>
      <w:tr>
        <w:trPr>
          <w:trHeight w:val="643"/>
        </w:trPr>
        <w:tc>
          <w:tcPr>
            <w:tcBorders>
              <w:bottom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序号</w:t>
            </w:r>
            <w:r/>
          </w:p>
        </w:tc>
        <w:tc>
          <w:tcPr>
            <w:tcMar>
              <w:left w:w="108" w:type="dxa"/>
              <w:top w:w="0" w:type="dxa"/>
              <w:right w:w="108" w:type="dxa"/>
              <w:bottom w:w="0" w:type="dxa"/>
            </w:tcMar>
            <w:tcW w:w="35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审查要素</w:t>
            </w:r>
            <w:r/>
          </w:p>
        </w:tc>
        <w:tc>
          <w:tcPr>
            <w:tcMar>
              <w:left w:w="108" w:type="dxa"/>
              <w:top w:w="0" w:type="dxa"/>
              <w:right w:w="108" w:type="dxa"/>
              <w:bottom w:w="0" w:type="dxa"/>
            </w:tcMar>
            <w:tcW w:w="46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审查内容</w:t>
            </w:r>
            <w:r/>
          </w:p>
        </w:tc>
      </w:tr>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left w:val="single" w:color="000000" w:sz="8" w:space="0"/>
            </w:tcBorders>
            <w:tcMar>
              <w:left w:w="108" w:type="dxa"/>
              <w:top w:w="0" w:type="dxa"/>
              <w:right w:w="108" w:type="dxa"/>
              <w:bottom w:w="0" w:type="dxa"/>
            </w:tcMar>
            <w:tcW w:w="359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投标文件有效性</w:t>
            </w:r>
            <w:r/>
          </w:p>
        </w:tc>
        <w:tc>
          <w:tcPr>
            <w:tcMar>
              <w:left w:w="108" w:type="dxa"/>
              <w:top w:w="0" w:type="dxa"/>
              <w:right w:w="108" w:type="dxa"/>
              <w:bottom w:w="0" w:type="dxa"/>
            </w:tcMar>
            <w:tcW w:w="4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投标文件的有效电子签章。</w:t>
            </w:r>
            <w:r/>
          </w:p>
        </w:tc>
      </w:tr>
      <w:tr>
        <w:trPr>
          <w:trHeight w:val="587"/>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c>
          <w:tcPr>
            <w:tcBorders>
              <w:left w:val="single" w:color="000000" w:sz="8" w:space="0"/>
            </w:tcBorders>
            <w:tcW w:w="0" w:type="auto"/>
            <w:vMerge w:val="continue"/>
            <w:textDirection w:val="lrTb"/>
            <w:noWrap w:val="false"/>
          </w:tcPr>
          <w:p>
            <w:r/>
            <w:r/>
          </w:p>
        </w:tc>
        <w:tc>
          <w:tcPr>
            <w:tcMar>
              <w:left w:w="108" w:type="dxa"/>
              <w:top w:w="0" w:type="dxa"/>
              <w:right w:w="108" w:type="dxa"/>
              <w:bottom w:w="0" w:type="dxa"/>
            </w:tcMar>
            <w:tcW w:w="4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投标报价。</w:t>
            </w:r>
            <w:r/>
          </w:p>
        </w:tc>
      </w:tr>
      <w:tr>
        <w:trPr>
          <w:trHeight w:val="64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c>
          <w:tcPr>
            <w:tcBorders>
              <w:left w:val="single" w:color="000000" w:sz="8" w:space="0"/>
            </w:tcBorders>
            <w:tcW w:w="0" w:type="auto"/>
            <w:vMerge w:val="continue"/>
            <w:textDirection w:val="lrTb"/>
            <w:noWrap w:val="false"/>
          </w:tcPr>
          <w:p>
            <w:r/>
            <w:r/>
          </w:p>
        </w:tc>
        <w:tc>
          <w:tcPr>
            <w:tcMar>
              <w:left w:w="108" w:type="dxa"/>
              <w:top w:w="0" w:type="dxa"/>
              <w:right w:w="108" w:type="dxa"/>
              <w:bottom w:w="0" w:type="dxa"/>
            </w:tcMar>
            <w:tcW w:w="4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未发现属无效投标的情形。</w:t>
            </w:r>
            <w:r/>
          </w:p>
        </w:tc>
      </w:tr>
      <w:tr>
        <w:trPr>
          <w:trHeight w:val="1927"/>
        </w:trPr>
        <w:tc>
          <w:tcPr>
            <w:tcBorders>
              <w:top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tcMar>
              <w:left w:w="108" w:type="dxa"/>
              <w:top w:w="0" w:type="dxa"/>
              <w:right w:w="108" w:type="dxa"/>
              <w:bottom w:w="0" w:type="dxa"/>
            </w:tcMar>
            <w:tcW w:w="35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对招标文件响应程度</w:t>
            </w:r>
            <w:r/>
          </w:p>
        </w:tc>
        <w:tc>
          <w:tcPr>
            <w:tcMar>
              <w:left w:w="108" w:type="dxa"/>
              <w:top w:w="0" w:type="dxa"/>
              <w:right w:w="108" w:type="dxa"/>
              <w:bottom w:w="0" w:type="dxa"/>
            </w:tcMar>
            <w:tcW w:w="4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审查投标文件，以确定其是否满足招标文件的实质性要求。不满足招标文件的实质性要求的，投标无效。</w:t>
            </w:r>
            <w:r/>
          </w:p>
        </w:tc>
      </w:tr>
    </w:tbl>
    <w:p>
      <w:pPr>
        <w:ind w:left="0" w:right="0" w:firstLine="480"/>
        <w:spacing w:before="541"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 </w:t>
      </w:r>
      <w:r>
        <w:rPr>
          <w:rFonts w:ascii="KaiTi" w:hAnsi="KaiTi" w:eastAsia="KaiTi" w:cs="KaiTi"/>
          <w:b/>
          <w:color w:val="000000"/>
          <w:sz w:val="24"/>
        </w:rPr>
        <w:t xml:space="preserve">本项目采用综合评分法。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00"/>
        <w:gridCol w:w="2835"/>
        <w:gridCol w:w="3082"/>
        <w:gridCol w:w="23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1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0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1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8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0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80"/>
          <w:sz w:val="2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（一）技术评估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1276"/>
        <w:gridCol w:w="6094"/>
        <w:gridCol w:w="1311"/>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0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整体物业管理方案</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根据投标文件中提供的整体物业管理方案，包括但不限于：整体物业方案、项目组织构架、规章制度、岗位分工及职责等，</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方案完全包含上述要点的得3分，有缺项或未提供方案的本项不得分。方案贴合采购人工作实际及需求的加2分；方案科学合理可行性强的加1分；本项最高得6分。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项目理解和重点难点分析方案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中提供的对本项目的理解和重点难点分析，考察其对本项目全面理解的表述、重点难点管理服务工作的分析和解决思路；方案完全包含上述要点的得2分，有缺项或未提供方案的不得分；方案贴合采购人工作实际及需求的加2分；方案科学合理可行性强的加1分；本项最高得5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秩序维护方案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中提供的秩序维护方案，包括但不限于：日常操作流程、安全秩序计划等，方案完全包含上述要点的得2分，有缺项或未提供方案的本项不得分。方案贴合采购人工作实际及需求的加2分，方案科学合理可行性强的加1分；本项最高得5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环境保洁服务方案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中提供的环境保洁服务方案，包括但不限于：室内、室外指定区域环境卫生管理标准等，方案完全包含上述要点的得2分，有缺项或未提供方案的本项不得分。方案贴合采购人工作实际及需求的加1分；方案科学合理可行性强的加1分；本项最高得4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设备维护方案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中提供的设备维护方案，包括但不限于：符合采购人及国家行业标准要求的供电系统、电梯系统、空调系统、消防系统、给排水系统等维护管理方案及措施，方案完全包含上述要点的得2分，有缺项或未提供方案的本项不得分。方案贴合采购人工作实际及需求的加1分；方案科学合理可行性强的加1分；本项最高得4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会务服</w:t>
            </w:r>
            <w:r>
              <w:rPr>
                <w:rFonts w:ascii="SimSun" w:hAnsi="SimSun" w:eastAsia="SimSun" w:cs="SimSun"/>
                <w:color w:val="000000"/>
                <w:sz w:val="21"/>
              </w:rPr>
              <w:t xml:space="preserve">务方案</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会务服务方案，包括但不限于：会议管理制度、会务服务标准、会务人员工作守则，方案完全包含上述要点且满足招标文件要求的得2分，有缺项或未提供方案的本项不得分。方案贴合采购人工作实际及需求的加1分；方案科学合理可行性强的加1分；本项最高得4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突发事件处理方案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突发事件处理方案，包含但不限于：突发事件预测内容、突发事件处理方法、应急处理预案、突发公共卫生事件应急处理方案，方案完全包含上述要点的得2分，有缺项或未提供方案的本项不得分。方案贴合采购人工作实际及需求的加1分；方案科学合理可行性强的加1分；本项最高得4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交接方案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交接方案，包括但不限于：项目结束人员解散安排、交接方案（与上一轮中标供应商交接、与下一轮中标供应商交接），方案完全包含上述要点的得1分；有缺项或未提供方案的本项不得分。方案贴合采购人实际、切实可行的加1分；本项最高得2分。</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80"/>
          <w:sz w:val="2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（二）商务评估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029"/>
        <w:gridCol w:w="6878"/>
        <w:gridCol w:w="80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0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8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5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0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认证证书</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8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投标人具有有效期内与物业管理服务相关的质量管理体系认证、环境管理体系认证、职业健康安全管理体系认证的每有1个得1分，本项最高得3分。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注：提供证书扫描件上传至“苏采云”系统相应位置。（证书须在有效期内，能够在国家认监委官网查询的可提供官网链接及官网截图，否则不得分）。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29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0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经验与荣誉评价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878" w:type="dxa"/>
            <w:vAlign w:val="center"/>
            <w:textDirection w:val="lrTb"/>
            <w:noWrap w:val="false"/>
          </w:tcPr>
          <w:p>
            <w:pPr>
              <w:numPr>
                <w:ilvl w:val="0"/>
                <w:numId w:val="7"/>
              </w:numPr>
              <w:spacing w:before="200" w:after="20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w:t>
            </w:r>
            <w:r>
              <w:rPr>
                <w:rFonts w:ascii="SimSun" w:hAnsi="SimSun" w:eastAsia="SimSun" w:cs="SimSun"/>
                <w:b/>
                <w:color w:val="000000"/>
                <w:sz w:val="21"/>
              </w:rPr>
              <w:t xml:space="preserve">2022年1月1日以来</w:t>
            </w:r>
            <w:r>
              <w:rPr>
                <w:rFonts w:ascii="SimSun" w:hAnsi="SimSun" w:eastAsia="SimSun" w:cs="SimSun"/>
                <w:color w:val="000000"/>
                <w:sz w:val="21"/>
              </w:rPr>
              <w:t xml:space="preserve">（以合同签订日期为准）的（非住宅）项目成功案例，成功案例的内容涵盖本项目内容（秩序维护、卫生保洁、设备设施维护保养、消控室值班）中任意三项及以上服务内容的，每有一个得2分，最高得6分；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注：须提供合同及用户评价材料扫描件并上传至“苏采云”系统相应位置，缺一不可，否则不得分。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w:t>
            </w:r>
            <w:r>
              <w:rPr>
                <w:rFonts w:ascii="SimSun" w:hAnsi="SimSun" w:eastAsia="SimSun" w:cs="SimSun"/>
                <w:b/>
                <w:color w:val="000000"/>
                <w:sz w:val="21"/>
              </w:rPr>
              <w:t xml:space="preserve">2022年1月1日以来</w:t>
            </w:r>
            <w:r>
              <w:rPr>
                <w:rFonts w:ascii="SimSun" w:hAnsi="SimSun" w:eastAsia="SimSun" w:cs="SimSun"/>
                <w:color w:val="000000"/>
                <w:sz w:val="21"/>
              </w:rPr>
              <w:t xml:space="preserve">，投标人所服务的项目（非住宅），获得政府行政部门或行业主管部门荣誉表彰的，每个得 1 分，最高2分；同一项目多项荣誉不重复计分，同类奖项只计1项。</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注：荣誉证明材料以政府行政部门或行业主管部门发布的文件为准，投标人需提供文件通知或其他证明材料扫描件并上传至“苏采云”系统相应位置，否则不得分。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2311"/>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0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8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1.具有大专或以上学历的得1分；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2.具有人社部门颁发的中级或以上职称证书的得 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3.具有三级或以上物业管理师职业技能等级证书的得2分；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4.具有应急管理部门颁发的应急救援员证书的得1分。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注：提供上述有效期内的证书扫描件及投标人近6个月以来任意1个月为其缴纳的社保证明材料并上传至“苏采云”系统相应位置，</w:t>
            </w:r>
            <w:r>
              <w:rPr>
                <w:rFonts w:ascii="Arial" w:hAnsi="Arial" w:eastAsia="Arial" w:cs="Arial"/>
                <w:b/>
                <w:color w:val="000000"/>
                <w:sz w:val="20"/>
              </w:rPr>
              <w:t xml:space="preserve">涉及技能等级证书的需提供技能人才评价证书全国联网（</w:t>
            </w:r>
            <w:r>
              <w:rPr>
                <w:rFonts w:ascii="SimSun" w:hAnsi="SimSun" w:eastAsia="SimSun" w:cs="SimSun"/>
                <w:b/>
                <w:color w:val="000000"/>
                <w:sz w:val="20"/>
              </w:rPr>
              <w:t xml:space="preserve">https://zscx.osta.org.cn/</w:t>
            </w:r>
            <w:r>
              <w:rPr>
                <w:rFonts w:ascii="Arial" w:hAnsi="Arial" w:eastAsia="Arial" w:cs="Arial"/>
                <w:b/>
                <w:color w:val="000000"/>
                <w:sz w:val="20"/>
              </w:rPr>
              <w:t xml:space="preserve">）查询截图，否则不得分。</w:t>
            </w:r>
            <w:r>
              <w:rPr>
                <w:rFonts w:ascii="SimSun" w:hAnsi="SimSun" w:eastAsia="SimSun" w:cs="SimSun"/>
                <w:b/>
                <w:color w:val="000000"/>
                <w:sz w:val="21"/>
              </w:rPr>
              <w:t xml:space="preserve">1.4-1.7</w:t>
            </w:r>
            <w:r>
              <w:rPr>
                <w:rFonts w:ascii="Arial" w:hAnsi="Arial" w:eastAsia="Arial" w:cs="Arial"/>
                <w:b/>
                <w:color w:val="000000"/>
                <w:sz w:val="21"/>
              </w:rPr>
              <w:t xml:space="preserve">所涉及人员不得为同一人。</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0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工程运维主管评价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8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1.具有人社部门颁发的中级或以上职称证书的得 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2.持有人社部门核发的电工职业技能等级证书：四级（中级工）及以下的得1分，三级（高级工）及以上的得2分；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3.具有人社部门颁发的智能楼宇管理员证书：四级（中级工）及以下得 1 分，三级（高级工）及以上得2分；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注：提供上述有效期内的证书扫描件及投标人近6个月以来任意1个月为其缴纳的社保证明材料并上传至“苏采云”系统相应位置，</w:t>
            </w:r>
            <w:r>
              <w:rPr>
                <w:rFonts w:ascii="Times New Roman" w:hAnsi="Times New Roman" w:eastAsia="Times New Roman" w:cs="Times New Roman"/>
                <w:b/>
                <w:color w:val="000000"/>
                <w:sz w:val="20"/>
              </w:rPr>
              <w:t xml:space="preserve">涉及技能等级证书的需提供技能人才评价证书全国联网（</w:t>
            </w:r>
            <w:r>
              <w:rPr>
                <w:rFonts w:ascii="SimSun" w:hAnsi="SimSun" w:eastAsia="SimSun" w:cs="SimSun"/>
                <w:b/>
                <w:color w:val="000000"/>
                <w:sz w:val="20"/>
              </w:rPr>
              <w:t xml:space="preserve">https://zscx.osta.org.cn/</w:t>
            </w:r>
            <w:r>
              <w:rPr>
                <w:rFonts w:ascii="Times New Roman" w:hAnsi="Times New Roman" w:eastAsia="Times New Roman" w:cs="Times New Roman"/>
                <w:b/>
                <w:color w:val="000000"/>
                <w:sz w:val="20"/>
              </w:rPr>
              <w:t xml:space="preserve">）查询截图，否则不得分。</w:t>
            </w:r>
            <w:r>
              <w:rPr>
                <w:rFonts w:ascii="SimSun" w:hAnsi="SimSun" w:eastAsia="SimSun" w:cs="SimSun"/>
                <w:b/>
                <w:color w:val="000000"/>
                <w:sz w:val="21"/>
              </w:rPr>
              <w:t xml:space="preserve">1.4-1.7</w:t>
            </w:r>
            <w:r>
              <w:rPr>
                <w:rFonts w:ascii="Times New Roman" w:hAnsi="Times New Roman" w:eastAsia="Times New Roman" w:cs="Times New Roman"/>
                <w:b/>
                <w:color w:val="000000"/>
                <w:sz w:val="21"/>
              </w:rPr>
              <w:t xml:space="preserve">所涉及人员不得为同一人。</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1456"/>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0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保安主管评价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878" w:type="dxa"/>
            <w:vAlign w:val="center"/>
            <w:textDirection w:val="lrTb"/>
            <w:noWrap w:val="false"/>
          </w:tcPr>
          <w:p>
            <w:pPr>
              <w:ind w:left="210" w:right="0" w:hanging="21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1.具有人社部门颁发</w:t>
            </w:r>
            <w:r>
              <w:rPr>
                <w:rFonts w:ascii="Times New Roman" w:hAnsi="Times New Roman" w:eastAsia="Times New Roman" w:cs="Times New Roman"/>
                <w:color w:val="000000"/>
                <w:sz w:val="21"/>
              </w:rPr>
              <w:t xml:space="preserve">的</w:t>
            </w:r>
            <w:r>
              <w:rPr>
                <w:rFonts w:ascii="SimSun" w:hAnsi="SimSun" w:eastAsia="SimSun" w:cs="SimSun"/>
                <w:color w:val="000000"/>
                <w:sz w:val="21"/>
              </w:rPr>
              <w:t xml:space="preserve">中级</w:t>
            </w:r>
            <w:r>
              <w:rPr>
                <w:rFonts w:ascii="Times New Roman" w:hAnsi="Times New Roman" w:eastAsia="Times New Roman" w:cs="Times New Roman"/>
                <w:color w:val="000000"/>
                <w:sz w:val="21"/>
              </w:rPr>
              <w:t xml:space="preserve">或以上</w:t>
            </w:r>
            <w:r>
              <w:rPr>
                <w:rFonts w:ascii="SimSun" w:hAnsi="SimSun" w:eastAsia="SimSun" w:cs="SimSun"/>
                <w:color w:val="000000"/>
                <w:sz w:val="21"/>
              </w:rPr>
              <w:t xml:space="preserve">职称</w:t>
            </w:r>
            <w:r>
              <w:rPr>
                <w:rFonts w:ascii="Times New Roman" w:hAnsi="Times New Roman" w:eastAsia="Times New Roman" w:cs="Times New Roman"/>
                <w:color w:val="000000"/>
                <w:sz w:val="21"/>
              </w:rPr>
              <w:t xml:space="preserve">证书的</w:t>
            </w:r>
            <w:r>
              <w:rPr>
                <w:rFonts w:ascii="SimSun" w:hAnsi="SimSun" w:eastAsia="SimSun" w:cs="SimSun"/>
                <w:color w:val="000000"/>
                <w:sz w:val="21"/>
              </w:rPr>
              <w:t xml:space="preserve">得2分；</w:t>
            </w:r>
            <w:r/>
          </w:p>
          <w:p>
            <w:pPr>
              <w:ind w:left="210" w:right="0" w:hanging="21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2.持有人社部门核发的保安员职业技能等级证书：四级（中级工）得 1 分，三级（高级工）及以上得2分；</w:t>
            </w:r>
            <w:r/>
          </w:p>
          <w:p>
            <w:pPr>
              <w:ind w:left="422" w:right="0" w:hanging="42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注：提供上述有效期内的证书扫描件及投标人近6个月以来任意1个月为其缴纳的社保证明材料并上传至“苏采云”系统相应位置，</w:t>
            </w:r>
            <w:r>
              <w:rPr>
                <w:rFonts w:ascii="Times New Roman" w:hAnsi="Times New Roman" w:eastAsia="Times New Roman" w:cs="Times New Roman"/>
                <w:b/>
                <w:color w:val="000000"/>
                <w:sz w:val="20"/>
              </w:rPr>
              <w:t xml:space="preserve">涉及技能等级证书的需提供技能人才评价证书全国联网（</w:t>
            </w:r>
            <w:r>
              <w:rPr>
                <w:rFonts w:ascii="SimSun" w:hAnsi="SimSun" w:eastAsia="SimSun" w:cs="SimSun"/>
                <w:b/>
                <w:color w:val="000000"/>
                <w:sz w:val="20"/>
              </w:rPr>
              <w:t xml:space="preserve">https://zscx.osta.org.cn/</w:t>
            </w:r>
            <w:r>
              <w:rPr>
                <w:rFonts w:ascii="Times New Roman" w:hAnsi="Times New Roman" w:eastAsia="Times New Roman" w:cs="Times New Roman"/>
                <w:b/>
                <w:color w:val="000000"/>
                <w:sz w:val="20"/>
              </w:rPr>
              <w:t xml:space="preserve">）查询截图，否则不得分。</w:t>
            </w:r>
            <w:r>
              <w:rPr>
                <w:rFonts w:ascii="SimSun" w:hAnsi="SimSun" w:eastAsia="SimSun" w:cs="SimSun"/>
                <w:b/>
                <w:color w:val="000000"/>
                <w:sz w:val="21"/>
              </w:rPr>
              <w:t xml:space="preserve">1.4-1.7</w:t>
            </w:r>
            <w:r>
              <w:rPr>
                <w:rFonts w:ascii="Times New Roman" w:hAnsi="Times New Roman" w:eastAsia="Times New Roman" w:cs="Times New Roman"/>
                <w:b/>
                <w:color w:val="000000"/>
                <w:sz w:val="21"/>
              </w:rPr>
              <w:t xml:space="preserve">所涉及人员不得为同一人。</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0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保洁主管评价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878" w:type="dxa"/>
            <w:vAlign w:val="center"/>
            <w:textDirection w:val="lrTb"/>
            <w:noWrap w:val="false"/>
          </w:tcPr>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具有人社部门颁发的中级或以上职称证书得 2 分；</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具有四级或以上保洁员职业技能等级证书的得2分。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注：提供上述有效期内的证书扫描件及投标人近6个月以来任意1个月为其缴纳的社保证明材料并上传至“苏采云”系统相应位置，</w:t>
            </w:r>
            <w:r>
              <w:rPr>
                <w:rFonts w:ascii="Times New Roman" w:hAnsi="Times New Roman" w:eastAsia="Times New Roman" w:cs="Times New Roman"/>
                <w:b/>
                <w:color w:val="000000"/>
                <w:sz w:val="20"/>
              </w:rPr>
              <w:t xml:space="preserve">涉及技能等级证书的需提供技能人才评价证书全国联网（</w:t>
            </w:r>
            <w:r>
              <w:rPr>
                <w:rFonts w:ascii="SimSun" w:hAnsi="SimSun" w:eastAsia="SimSun" w:cs="SimSun"/>
                <w:b/>
                <w:color w:val="000000"/>
                <w:sz w:val="20"/>
              </w:rPr>
              <w:t xml:space="preserve">https://zscx.osta.org.cn/</w:t>
            </w:r>
            <w:r>
              <w:rPr>
                <w:rFonts w:ascii="Times New Roman" w:hAnsi="Times New Roman" w:eastAsia="Times New Roman" w:cs="Times New Roman"/>
                <w:b/>
                <w:color w:val="000000"/>
                <w:sz w:val="20"/>
              </w:rPr>
              <w:t xml:space="preserve">）查询截图，否则不得分。</w:t>
            </w:r>
            <w:r>
              <w:rPr>
                <w:rFonts w:ascii="SimSun" w:hAnsi="SimSun" w:eastAsia="SimSun" w:cs="SimSun"/>
                <w:b/>
                <w:color w:val="000000"/>
                <w:sz w:val="21"/>
              </w:rPr>
              <w:t xml:space="preserve">1.4-1.7</w:t>
            </w:r>
            <w:r>
              <w:rPr>
                <w:rFonts w:ascii="Times New Roman" w:hAnsi="Times New Roman" w:eastAsia="Times New Roman" w:cs="Times New Roman"/>
                <w:b/>
                <w:color w:val="000000"/>
                <w:sz w:val="21"/>
              </w:rPr>
              <w:t xml:space="preserve">所涉及人员不得为同一人。</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（三）价格评估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83"/>
        <w:gridCol w:w="1984"/>
        <w:gridCol w:w="4819"/>
        <w:gridCol w:w="116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16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1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16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1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综合评分法中的价格分采用低价优先法计算，即满足招标文件要求且投标价格最低的投标报价为评标基准价，其价格分为满分35分。其他投标人的价格分统一按照下列公式计算：投标报价得分= （评标基准价／投标报价）×35。</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16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w:t>
            </w:r>
            <w:r/>
          </w:p>
        </w:tc>
      </w:tr>
    </w:tbl>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KaiTi" w:hAnsi="KaiTi" w:eastAsia="KaiTi" w:cs="KaiTi"/>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72"/>
          <w:highlight w:val="none"/>
        </w:rPr>
      </w:r>
      <w:r>
        <w:rPr>
          <w:rFonts w:ascii="KaiTi" w:hAnsi="KaiTi" w:eastAsia="KaiTi" w:cs="KaiTi"/>
          <w:b/>
          <w:color w:val="000000"/>
          <w:sz w:val="72"/>
          <w:highlight w:val="none"/>
        </w:rPr>
      </w:r>
      <w:r/>
    </w:p>
    <w:p>
      <w:pPr>
        <w:ind w:left="0" w:right="0" w:firstLine="0"/>
        <w:jc w:val="center"/>
        <w:spacing w:before="0" w:after="0" w:line="85" w:lineRule="atLeast"/>
        <w:rPr>
          <w:rFonts w:ascii="KaiTi" w:hAnsi="KaiTi" w:eastAsia="KaiTi" w:cs="KaiTi"/>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72"/>
          <w:highlight w:val="none"/>
        </w:rPr>
      </w:r>
      <w:r>
        <w:rPr>
          <w:rFonts w:ascii="KaiTi" w:hAnsi="KaiTi" w:eastAsia="KaiTi" w:cs="KaiTi"/>
          <w:b/>
          <w:color w:val="000000"/>
          <w:sz w:val="72"/>
          <w:highlight w:val="none"/>
        </w:rPr>
      </w:r>
      <w:r/>
    </w:p>
    <w:p>
      <w:pPr>
        <w:ind w:left="0" w:right="0" w:firstLine="0"/>
        <w:jc w:val="center"/>
        <w:spacing w:before="0" w:after="0" w:line="85" w:lineRule="atLeast"/>
        <w:rPr>
          <w:rFonts w:ascii="KaiTi" w:hAnsi="KaiTi" w:eastAsia="KaiTi" w:cs="KaiTi"/>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72"/>
          <w:highlight w:val="none"/>
        </w:rPr>
      </w:r>
      <w:r>
        <w:rPr>
          <w:rFonts w:ascii="KaiTi" w:hAnsi="KaiTi" w:eastAsia="KaiTi" w:cs="KaiTi"/>
          <w:b/>
          <w:color w:val="000000"/>
          <w:sz w:val="72"/>
          <w:highlight w:val="none"/>
        </w:rPr>
      </w:r>
      <w:r/>
    </w:p>
    <w:p>
      <w:pPr>
        <w:ind w:left="0" w:right="0" w:firstLine="0"/>
        <w:jc w:val="center"/>
        <w:spacing w:before="0" w:after="0" w:line="85" w:lineRule="atLeast"/>
        <w:rPr>
          <w:rFonts w:ascii="KaiTi" w:hAnsi="KaiTi" w:eastAsia="KaiTi" w:cs="KaiTi"/>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72"/>
          <w:highlight w:val="none"/>
        </w:rPr>
      </w:r>
      <w:r>
        <w:rPr>
          <w:rFonts w:ascii="KaiTi" w:hAnsi="KaiTi" w:eastAsia="KaiTi" w:cs="KaiTi"/>
          <w:b/>
          <w:color w:val="000000"/>
          <w:sz w:val="72"/>
          <w:highlight w:val="none"/>
        </w:rPr>
      </w:r>
      <w:r/>
    </w:p>
    <w:p>
      <w:pPr>
        <w:ind w:left="0" w:right="0" w:firstLine="0"/>
        <w:jc w:val="center"/>
        <w:spacing w:before="0" w:after="0" w:line="85" w:lineRule="atLeast"/>
        <w:rPr>
          <w:rFonts w:ascii="KaiTi" w:hAnsi="KaiTi" w:eastAsia="KaiTi" w:cs="KaiTi"/>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72"/>
        </w:rPr>
        <w:t xml:space="preserve">投标文件</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none"/>
        </w:rPr>
      </w:r>
      <w:r>
        <w:rPr>
          <w:rFonts w:ascii="KaiTi" w:hAnsi="KaiTi" w:eastAsia="KaiTi" w:cs="KaiTi"/>
          <w:b/>
          <w:color w:val="000000"/>
          <w:sz w:val="32"/>
          <w:highlight w:val="none"/>
        </w:rPr>
      </w:r>
      <w:r/>
    </w:p>
    <w:p>
      <w:pPr>
        <w:ind w:left="0" w:right="0" w:firstLine="0"/>
        <w:jc w:val="center"/>
        <w:spacing w:before="0" w:after="0" w:line="85" w:lineRule="atLeast"/>
        <w:rPr>
          <w:rFonts w:ascii="KaiTi" w:hAnsi="KaiTi" w:eastAsia="KaiTi" w:cs="KaiT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none"/>
        </w:rPr>
      </w:r>
      <w:r>
        <w:rPr>
          <w:rFonts w:ascii="KaiTi" w:hAnsi="KaiTi" w:eastAsia="KaiTi" w:cs="KaiTi"/>
          <w:b/>
          <w:color w:val="000000"/>
          <w:sz w:val="32"/>
          <w:highlight w:val="none"/>
        </w:rPr>
      </w:r>
      <w:r/>
    </w:p>
    <w:p>
      <w:pPr>
        <w:ind w:left="0" w:right="0" w:firstLine="0"/>
        <w:jc w:val="center"/>
        <w:spacing w:before="0" w:after="0" w:line="85" w:lineRule="atLeast"/>
        <w:rPr>
          <w:rFonts w:ascii="KaiTi" w:hAnsi="KaiTi" w:eastAsia="KaiTi" w:cs="KaiT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none"/>
        </w:rPr>
      </w:r>
      <w:r>
        <w:rPr>
          <w:rFonts w:ascii="KaiTi" w:hAnsi="KaiTi" w:eastAsia="KaiTi" w:cs="KaiTi"/>
          <w:b/>
          <w:color w:val="000000"/>
          <w:sz w:val="32"/>
          <w:highlight w:val="none"/>
        </w:rPr>
      </w:r>
      <w:r/>
    </w:p>
    <w:p>
      <w:pPr>
        <w:ind w:left="0" w:right="0" w:firstLine="0"/>
        <w:jc w:val="center"/>
        <w:spacing w:before="0" w:after="0" w:line="85" w:lineRule="atLeast"/>
        <w:rPr>
          <w:rFonts w:ascii="KaiTi" w:hAnsi="KaiTi" w:eastAsia="KaiTi" w:cs="KaiT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none"/>
        </w:rPr>
      </w:r>
      <w:r>
        <w:rPr>
          <w:rFonts w:ascii="KaiTi" w:hAnsi="KaiTi" w:eastAsia="KaiTi" w:cs="KaiTi"/>
          <w:b/>
          <w:color w:val="000000"/>
          <w:sz w:val="32"/>
          <w:highlight w:val="none"/>
        </w:rPr>
      </w:r>
      <w:r/>
    </w:p>
    <w:p>
      <w:pPr>
        <w:ind w:left="0" w:right="0" w:firstLine="0"/>
        <w:jc w:val="center"/>
        <w:spacing w:before="0" w:after="0" w:line="85" w:lineRule="atLeast"/>
        <w:rPr>
          <w:rFonts w:ascii="KaiTi" w:hAnsi="KaiTi" w:eastAsia="KaiTi" w:cs="KaiT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none"/>
        </w:rPr>
      </w:r>
      <w:r>
        <w:rPr>
          <w:rFonts w:ascii="KaiTi" w:hAnsi="KaiTi" w:eastAsia="KaiTi" w:cs="KaiTi"/>
          <w:b/>
          <w:color w:val="000000"/>
          <w:sz w:val="32"/>
          <w:highlight w:val="none"/>
        </w:rPr>
      </w:r>
      <w:r/>
    </w:p>
    <w:p>
      <w:pPr>
        <w:ind w:left="0" w:right="0" w:firstLine="0"/>
        <w:jc w:val="center"/>
        <w:spacing w:before="0" w:after="0" w:line="85" w:lineRule="atLeast"/>
        <w:rPr>
          <w:rFonts w:ascii="KaiTi" w:hAnsi="KaiTi" w:eastAsia="KaiTi" w:cs="KaiT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项目编号：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项目名称：XXXXXXXX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投标人全称（加盖CA电子公章）：</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w:t>
      </w:r>
      <w:r>
        <w:rPr>
          <w:rFonts w:ascii="KaiTi" w:hAnsi="KaiTi" w:eastAsia="KaiTi" w:cs="KaiTi"/>
          <w:b/>
          <w:color w:val="000000"/>
          <w:sz w:val="32"/>
        </w:rPr>
        <w:t xml:space="preserve">年</w:t>
      </w:r>
      <w:r>
        <w:rPr>
          <w:rFonts w:ascii="KaiTi" w:hAnsi="KaiTi" w:eastAsia="KaiTi" w:cs="KaiTi"/>
          <w:b/>
          <w:color w:val="000000"/>
          <w:sz w:val="24"/>
          <w:u w:val="single"/>
        </w:rPr>
        <w:t xml:space="preserve">××</w:t>
      </w:r>
      <w:r>
        <w:rPr>
          <w:rFonts w:ascii="KaiTi" w:hAnsi="KaiTi" w:eastAsia="KaiTi" w:cs="KaiTi"/>
          <w:b/>
          <w:color w:val="000000"/>
          <w:sz w:val="32"/>
        </w:rPr>
        <w:t xml:space="preserve">月</w:t>
      </w:r>
      <w:r>
        <w:rPr>
          <w:rFonts w:ascii="KaiTi" w:hAnsi="KaiTi" w:eastAsia="KaiTi" w:cs="KaiTi"/>
          <w:b/>
          <w:color w:val="000000"/>
          <w:sz w:val="24"/>
          <w:u w:val="single"/>
        </w:rPr>
        <w:t xml:space="preserve">××</w:t>
      </w:r>
      <w:r>
        <w:rPr>
          <w:rFonts w:ascii="KaiTi" w:hAnsi="KaiTi" w:eastAsia="KaiTi" w:cs="KaiTi"/>
          <w:b/>
          <w:color w:val="000000"/>
          <w:sz w:val="32"/>
        </w:rPr>
        <w:t xml:space="preserve">日</w:t>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一、资格部分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（一）投标函</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致扬中市公共资源交易中心</w:t>
      </w:r>
      <w:r>
        <w:rPr>
          <w:rFonts w:ascii="KaiTi" w:hAnsi="KaiTi" w:eastAsia="KaiTi" w:cs="KaiTi"/>
          <w:b/>
          <w:color w:val="000000"/>
          <w:sz w:val="30"/>
        </w:rPr>
        <w:t xml:space="preserve">：</w:t>
      </w:r>
      <w:r/>
    </w:p>
    <w:p>
      <w:pPr>
        <w:ind w:left="0" w:right="0" w:firstLine="560"/>
        <w:spacing w:before="240" w:after="24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根据贵方关于XXXXXXXXXXXX项目 </w:t>
      </w:r>
      <w:r>
        <w:rPr>
          <w:rFonts w:ascii="KaiTi" w:hAnsi="KaiTi" w:eastAsia="KaiTi" w:cs="KaiTi"/>
          <w:b/>
          <w:color w:val="000000"/>
          <w:sz w:val="24"/>
          <w:u w:val="single"/>
        </w:rPr>
        <w:t xml:space="preserve">（项目编号：）</w:t>
      </w:r>
      <w:r>
        <w:rPr>
          <w:rFonts w:ascii="KaiTi" w:hAnsi="KaiTi" w:eastAsia="KaiTi" w:cs="KaiTi"/>
          <w:color w:val="000000"/>
          <w:sz w:val="28"/>
        </w:rPr>
        <w:t xml:space="preserve">的投标邀请，我方已完全理解招标文件的所有内容。</w:t>
      </w:r>
      <w:r/>
    </w:p>
    <w:p>
      <w:pPr>
        <w:ind w:left="0" w:right="0" w:firstLine="560"/>
        <w:jc w:val="both"/>
        <w:spacing w:before="0" w:after="0" w:line="460" w:lineRule="atLeast"/>
        <w:tabs>
          <w:tab w:val="left" w:pos="1125" w:leader="none"/>
        </w:tabs>
        <w:rPr>
          <w:rFonts w:ascii="KaiTi" w:hAnsi="KaiTi" w:eastAsia="KaiTi" w:cs="KaiTi"/>
          <w:color w:val="000000"/>
          <w:sz w:val="28"/>
          <w:szCs w:val="28"/>
          <w14:ligatures w14: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8"/>
          <w:szCs w:val="28"/>
        </w:rPr>
        <w:t xml:space="preserve">据此函，我方兹宣布同意如下：</w:t>
      </w:r>
      <w:r>
        <w:rPr>
          <w:rFonts w:ascii="KaiTi" w:hAnsi="KaiTi" w:eastAsia="KaiTi" w:cs="KaiTi"/>
          <w:color w:val="000000"/>
          <w:sz w:val="28"/>
          <w:szCs w:val="28"/>
        </w:rPr>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4348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25565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6241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5428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57089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5104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w:r>
      <w:r>
        <w:rPr>
          <w:rFonts w:ascii="KaiTi" w:hAnsi="KaiTi" w:eastAsia="KaiTi" w:cs="KaiTi"/>
          <w:color w:val="000000"/>
          <w:sz w:val="28"/>
        </w:rPr>
        <w:t xml:space="preserve">2.我方承诺根据招标文件的规定，完成合同义务，并承担责任（如有偏离，在投标文件中另作说明）。</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5.我方同意从规定的招标日期起遵循本招标文件，并在规定的投标有效期期满之前均具有约束力。</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6.我方同意向贵方提供贵方可能要求的与本次投标有关的任何证据或资料。</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8.我方承诺：参加政府采购活动前三年内，在经营活动中没有重大违法记录。</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9.本次投标文件内容与招标文件内容偏离情况见偏离说明（如果有）。</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10.遵守招标文件中要求的收费项目和标准。</w:t>
      </w:r>
      <w:r/>
    </w:p>
    <w:p>
      <w:pPr>
        <w:ind w:left="0" w:right="0" w:firstLine="560"/>
        <w:jc w:val="both"/>
        <w:spacing w:before="0" w:after="0" w:line="460" w:lineRule="atLeast"/>
        <w:tabs>
          <w:tab w:val="left" w:pos="1125"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11.与本次投标有关的一切正式往来通讯请寄：</w:t>
      </w:r>
      <w:r/>
    </w:p>
    <w:p>
      <w:pPr>
        <w:ind w:left="0" w:right="0" w:firstLine="560"/>
        <w:spacing w:before="240" w:after="240" w:line="24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地址： </w:t>
      </w:r>
      <w:r>
        <w:rPr>
          <w:rFonts w:ascii="KaiTi" w:hAnsi="KaiTi" w:eastAsia="KaiTi" w:cs="KaiTi"/>
          <w:b/>
          <w:color w:val="000000"/>
          <w:sz w:val="24"/>
          <w:u w:val="single"/>
        </w:rPr>
        <w:t xml:space="preserve">××</w:t>
      </w:r>
      <w:r>
        <w:rPr>
          <w:rFonts w:ascii="KaiTi" w:hAnsi="KaiTi" w:eastAsia="KaiTi" w:cs="KaiTi"/>
          <w:color w:val="000000"/>
          <w:sz w:val="28"/>
        </w:rPr>
        <w:t xml:space="preserve">                  电话： </w:t>
      </w:r>
      <w:r>
        <w:rPr>
          <w:rFonts w:ascii="KaiTi" w:hAnsi="KaiTi" w:eastAsia="KaiTi" w:cs="KaiTi"/>
          <w:b/>
          <w:color w:val="000000"/>
          <w:sz w:val="24"/>
          <w:u w:val="single"/>
        </w:rPr>
        <w:t xml:space="preserve">××</w:t>
      </w:r>
      <w:r/>
    </w:p>
    <w:p>
      <w:pPr>
        <w:ind w:left="0" w:right="0" w:firstLine="560"/>
        <w:spacing w:before="240" w:after="240" w:line="24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传真：</w:t>
      </w:r>
      <w:r>
        <w:rPr>
          <w:rFonts w:ascii="KaiTi" w:hAnsi="KaiTi" w:eastAsia="KaiTi" w:cs="KaiTi"/>
          <w:b/>
          <w:color w:val="000000"/>
          <w:sz w:val="24"/>
          <w:u w:val="single"/>
        </w:rPr>
        <w:t xml:space="preserve">××</w:t>
      </w:r>
      <w:r>
        <w:rPr>
          <w:rFonts w:ascii="KaiTi" w:hAnsi="KaiTi" w:eastAsia="KaiTi" w:cs="KaiTi"/>
          <w:color w:val="000000"/>
          <w:sz w:val="28"/>
        </w:rPr>
        <w:t xml:space="preserve">                   邮政编码：</w:t>
      </w:r>
      <w:r>
        <w:rPr>
          <w:rFonts w:ascii="KaiTi" w:hAnsi="KaiTi" w:eastAsia="KaiTi" w:cs="KaiTi"/>
          <w:b/>
          <w:color w:val="000000"/>
          <w:sz w:val="24"/>
          <w:u w:val="single"/>
        </w:rPr>
        <w:t xml:space="preserve">××</w:t>
      </w:r>
      <w:r/>
    </w:p>
    <w:p>
      <w:pPr>
        <w:ind w:left="0" w:right="1060" w:firstLine="560"/>
        <w:jc w:val="right"/>
        <w:spacing w:before="240" w:after="24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投标人全称（加盖CA电子公章）：</w:t>
      </w:r>
      <w:r/>
    </w:p>
    <w:p>
      <w:pPr>
        <w:ind w:left="0" w:right="1060" w:firstLine="560"/>
        <w:jc w:val="right"/>
        <w:spacing w:before="240" w:after="24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日期： </w:t>
      </w:r>
      <w:r>
        <w:rPr>
          <w:rFonts w:ascii="KaiTi" w:hAnsi="KaiTi" w:eastAsia="KaiTi" w:cs="KaiTi"/>
          <w:b/>
          <w:color w:val="000000"/>
          <w:sz w:val="24"/>
          <w:u w:val="single"/>
        </w:rPr>
        <w:t xml:space="preserve">××××</w:t>
      </w:r>
      <w:r>
        <w:rPr>
          <w:rFonts w:ascii="KaiTi" w:hAnsi="KaiTi" w:eastAsia="KaiTi" w:cs="KaiTi"/>
          <w:color w:val="000000"/>
          <w:sz w:val="28"/>
        </w:rPr>
        <w:t xml:space="preserve">年</w:t>
      </w:r>
      <w:r>
        <w:rPr>
          <w:rFonts w:ascii="KaiTi" w:hAnsi="KaiTi" w:eastAsia="KaiTi" w:cs="KaiTi"/>
          <w:b/>
          <w:color w:val="000000"/>
          <w:sz w:val="24"/>
          <w:u w:val="single"/>
        </w:rPr>
        <w:t xml:space="preserve">××</w:t>
      </w:r>
      <w:r>
        <w:rPr>
          <w:rFonts w:ascii="KaiTi" w:hAnsi="KaiTi" w:eastAsia="KaiTi" w:cs="KaiTi"/>
          <w:color w:val="000000"/>
          <w:sz w:val="28"/>
        </w:rPr>
        <w:t xml:space="preserve">月</w:t>
      </w:r>
      <w:r>
        <w:rPr>
          <w:rFonts w:ascii="KaiTi" w:hAnsi="KaiTi" w:eastAsia="KaiTi" w:cs="KaiTi"/>
          <w:b/>
          <w:color w:val="000000"/>
          <w:sz w:val="24"/>
          <w:u w:val="single"/>
        </w:rPr>
        <w:t xml:space="preserve">××</w:t>
      </w:r>
      <w:r>
        <w:rPr>
          <w:rFonts w:ascii="KaiTi" w:hAnsi="KaiTi" w:eastAsia="KaiTi" w:cs="KaiTi"/>
          <w:color w:val="000000"/>
          <w:sz w:val="28"/>
        </w:rPr>
        <w:t xml:space="preserve">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（二）独立承担民事责任的能力</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提供法人或者其他组织的营业执照等证明文件扫描件；投标人为自然人的，提供其身份证扫描件。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（三）良好的商业信誉和健全的财务会计制度</w:t>
      </w:r>
      <w:r/>
    </w:p>
    <w:p>
      <w:pPr>
        <w:ind w:left="0" w:right="0" w:firstLine="64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提供2025年度财务报告，成立不满一年的提供至少一个月财务报告，或银行出具的资信证明，或财政部门认可的政府采购专业担保机构出具的投标担保函等；或提供资格承诺函。</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填写下述表格或提供资格承诺函【见本部分（六）资格承诺函】</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502"/>
        <w:gridCol w:w="1605"/>
        <w:gridCol w:w="1653"/>
        <w:gridCol w:w="550"/>
        <w:gridCol w:w="551"/>
        <w:gridCol w:w="220"/>
        <w:gridCol w:w="471"/>
        <w:gridCol w:w="961"/>
        <w:gridCol w:w="243"/>
        <w:gridCol w:w="2155"/>
      </w:tblGrid>
      <w:tr>
        <w:trPr>
          <w:trHeight w:val="404"/>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公司基本信息</w:t>
            </w:r>
            <w:r/>
          </w:p>
        </w:tc>
      </w:tr>
      <w:tr>
        <w:trPr>
          <w:trHeight w:val="3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3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3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u w:val="single"/>
              </w:rPr>
              <w:t xml:space="preserve">2025</w:t>
            </w:r>
            <w:r>
              <w:rPr>
                <w:rFonts w:ascii="KaiTi" w:hAnsi="KaiTi" w:eastAsia="KaiTi" w:cs="KaiTi"/>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营业收入（万元）：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利润总额（万元）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年末“固定资产合计”（万元）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年末“流动资产”余额（万元）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年末“短期负债”余额（万元）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年末“长期负债”余额（万元）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年末“资产总计”余额（万元）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年末“货币资金”余额（万元）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公司</w:t>
            </w:r>
            <w:r>
              <w:rPr>
                <w:rFonts w:ascii="KaiTi" w:hAnsi="KaiTi" w:eastAsia="KaiTi" w:cs="KaiTi"/>
                <w:b/>
                <w:color w:val="000000"/>
                <w:sz w:val="24"/>
                <w:u w:val="single"/>
              </w:rPr>
              <w:t xml:space="preserve">2022</w:t>
            </w:r>
            <w:r>
              <w:rPr>
                <w:rFonts w:ascii="KaiTi" w:hAnsi="KaiTi" w:eastAsia="KaiTi" w:cs="KaiTi"/>
                <w:color w:val="000000"/>
                <w:sz w:val="24"/>
              </w:rPr>
              <w:t xml:space="preserve">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序号</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品牌、型号及主要参数配置简述</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2</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3</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bl>
    <w:p>
      <w:pPr>
        <w:ind w:left="0" w:right="0" w:firstLine="643"/>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（五）依法缴纳税收和社会保障资金的良好记录</w:t>
      </w:r>
      <w:r/>
    </w:p>
    <w:p>
      <w:pPr>
        <w:ind w:left="0" w:right="0" w:firstLine="64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提供参加本次政府采购活动前半年内（至少一个月）依法缴纳税收和社会保险资金的相关材料；或提供资格承诺函。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（六）资格承诺函</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致：</w:t>
      </w:r>
      <w:r>
        <w:rPr>
          <w:rFonts w:ascii="KaiTi" w:hAnsi="KaiTi" w:eastAsia="KaiTi" w:cs="KaiTi"/>
          <w:color w:val="000000"/>
          <w:sz w:val="28"/>
          <w:u w:val="single"/>
        </w:rPr>
        <w:t xml:space="preserve">    （采购人、采购代理机构）  </w:t>
      </w:r>
      <w:r>
        <w:rPr>
          <w:rFonts w:ascii="KaiTi" w:hAnsi="KaiTi" w:eastAsia="KaiTi" w:cs="KaiTi"/>
          <w:color w:val="000000"/>
          <w:sz w:val="28"/>
        </w:rPr>
        <w:t xml:space="preserve"> </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我单位参与</w:t>
      </w:r>
      <w:r>
        <w:rPr>
          <w:rFonts w:ascii="KaiTi" w:hAnsi="KaiTi" w:eastAsia="KaiTi" w:cs="KaiTi"/>
          <w:color w:val="000000"/>
          <w:sz w:val="28"/>
          <w:u w:val="single"/>
        </w:rPr>
        <w:t xml:space="preserve">  （项目名称）  （项目编号：    ）</w:t>
      </w:r>
      <w:r>
        <w:rPr>
          <w:rFonts w:ascii="KaiTi" w:hAnsi="KaiTi" w:eastAsia="KaiTi" w:cs="KaiTi"/>
          <w:color w:val="000000"/>
          <w:sz w:val="28"/>
        </w:rPr>
        <w:t xml:space="preserve">项目的政府采购活动，现承诺如下：</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1.我方具有良好的商业信誉和健全的财务会计制度。</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2.我方具有履行合同所必需的设备和专业技术能力。</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3.我方具有依法缴纳税收和社会保障资金的良好记录。</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4.我方参加本项目采购活动前三年内，在经营活动中没有重大违法记录。</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若我单位承诺不实，自愿承担提供虚假材料谋取中标、成交的法律责任。</w:t>
      </w:r>
      <w:r/>
    </w:p>
    <w:p>
      <w:pPr>
        <w:ind w:left="0" w:right="1060" w:firstLine="0"/>
        <w:spacing w:before="240" w:after="24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投标人全称（加盖CA电子公章）：</w:t>
      </w:r>
      <w:r/>
    </w:p>
    <w:p>
      <w:pPr>
        <w:ind w:left="0" w:right="1060" w:firstLine="0"/>
        <w:spacing w:before="240" w:after="24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投标人法定代表人或授权代表（签字或签章）：    </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日期：     </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说明：1.投标人可自行选择是否提供本承诺函，若不提供本承诺函的，应按采购文件要求提供相应的证明材料。</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2.投标人可删减承诺事项，删减的承诺事项须按采购文件要求提供相应的证明材料。比如删去本承诺函第3项的，则应按采购文件要求提供依法缴纳税收和社会保障资金的良好记录。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（七）法律、行政法规规定的其他条件</w:t>
      </w:r>
      <w:r/>
    </w:p>
    <w:p>
      <w:pPr>
        <w:ind w:left="0" w:right="0" w:firstLine="42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（八）落实政府采购政策需满足的资格要求</w:t>
      </w:r>
      <w:r/>
    </w:p>
    <w:p>
      <w:pPr>
        <w:ind w:left="0" w:right="0" w:firstLine="3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提供《中小企业声明函》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 </w:t>
      </w:r>
      <w:r/>
    </w:p>
    <w:p>
      <w:pPr>
        <w:ind w:left="0" w:right="0" w:firstLine="803"/>
        <w:jc w:val="center"/>
        <w:spacing w:before="146" w:after="541"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二、法人授权书</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本授权书声明</w:t>
      </w:r>
      <w:r>
        <w:rPr>
          <w:rFonts w:ascii="KaiTi" w:hAnsi="KaiTi" w:eastAsia="KaiTi" w:cs="KaiTi"/>
          <w:color w:val="000000"/>
          <w:sz w:val="28"/>
          <w:u w:val="single"/>
        </w:rPr>
        <w:t xml:space="preserve">             </w:t>
      </w:r>
      <w:r>
        <w:rPr>
          <w:rFonts w:ascii="KaiTi" w:hAnsi="KaiTi" w:eastAsia="KaiTi" w:cs="KaiTi"/>
          <w:color w:val="000000"/>
          <w:sz w:val="28"/>
        </w:rPr>
        <w:t xml:space="preserve">（投标人名称）授权_________（被授权人的姓名）为我方就</w:t>
      </w:r>
      <w:r>
        <w:rPr>
          <w:rFonts w:ascii="KaiTi" w:hAnsi="KaiTi" w:eastAsia="KaiTi" w:cs="KaiTi"/>
          <w:color w:val="000000"/>
          <w:sz w:val="28"/>
          <w:u w:val="single"/>
        </w:rPr>
        <w:t xml:space="preserve">       </w:t>
      </w:r>
      <w:r>
        <w:rPr>
          <w:rFonts w:ascii="KaiTi" w:hAnsi="KaiTi" w:eastAsia="KaiTi" w:cs="KaiTi"/>
          <w:color w:val="000000"/>
          <w:sz w:val="28"/>
        </w:rPr>
        <w:t xml:space="preserve">号项目采购活动的合法代理人，以本单位名义全权处理一切与该项目采购有关的事务。</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本授权书于______年____月____日起生效，特此声明。</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被授权人身份证号码：</w:t>
      </w:r>
      <w:r>
        <w:rPr>
          <w:rFonts w:ascii="KaiTi" w:hAnsi="KaiTi" w:eastAsia="KaiTi" w:cs="KaiTi"/>
          <w:color w:val="000000"/>
          <w:sz w:val="28"/>
          <w:u w:val="single"/>
        </w:rPr>
        <w:t xml:space="preserve">                            </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被授权人联系电话：（手机）</w:t>
      </w:r>
      <w:r>
        <w:rPr>
          <w:rFonts w:ascii="KaiTi" w:hAnsi="KaiTi" w:eastAsia="KaiTi" w:cs="KaiTi"/>
          <w:color w:val="000000"/>
          <w:sz w:val="28"/>
          <w:u w:val="single"/>
        </w:rPr>
        <w:t xml:space="preserve">                      </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授权单位名称：</w:t>
      </w:r>
      <w:r>
        <w:rPr>
          <w:rFonts w:ascii="KaiTi" w:hAnsi="KaiTi" w:eastAsia="KaiTi" w:cs="KaiTi"/>
          <w:color w:val="000000"/>
          <w:sz w:val="28"/>
          <w:u w:val="single"/>
        </w:rPr>
        <w:t xml:space="preserve">（加盖CA电子公章）</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单位地址：</w:t>
      </w:r>
      <w:r>
        <w:rPr>
          <w:rFonts w:ascii="KaiTi" w:hAnsi="KaiTi" w:eastAsia="KaiTi" w:cs="KaiTi"/>
          <w:color w:val="000000"/>
          <w:sz w:val="28"/>
          <w:u w:val="single"/>
        </w:rPr>
        <w:t xml:space="preserve">                                      </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日期：</w:t>
      </w:r>
      <w:r>
        <w:rPr>
          <w:rFonts w:ascii="KaiTi" w:hAnsi="KaiTi" w:eastAsia="KaiTi" w:cs="KaiTi"/>
          <w:color w:val="000000"/>
          <w:sz w:val="28"/>
          <w:u w:val="single"/>
        </w:rPr>
        <w:t xml:space="preserve">                 </w:t>
      </w:r>
      <w:r/>
    </w:p>
    <w:p>
      <w:pPr>
        <w:shd w:val="nil" w:color="auto"/>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883"/>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三、价格部分</w:t>
      </w:r>
      <w:r/>
    </w:p>
    <w:p>
      <w:pPr>
        <w:ind w:left="0" w:right="0" w:firstLine="883"/>
        <w:spacing w:before="24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开标一览表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7"/>
        <w:gridCol w:w="6707"/>
      </w:tblGrid>
      <w:tr>
        <w:trPr>
          <w:trHeight w:val="705"/>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投标人全称（加盖CA电子公章）：</w:t>
            </w:r>
            <w:r>
              <w:rPr>
                <w:rFonts w:ascii="KaiTi" w:hAnsi="KaiTi" w:eastAsia="KaiTi" w:cs="KaiTi"/>
                <w:b/>
                <w:color w:val="000000"/>
                <w:sz w:val="24"/>
                <w:u w:val="single"/>
              </w:rPr>
              <w:t xml:space="preserve">××××</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44"/>
              </w:rPr>
              <w:t xml:space="preserve">项目总报价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金额（大写）：</w:t>
            </w:r>
            <w:r>
              <w:rPr>
                <w:rFonts w:ascii="SimSun" w:hAnsi="SimSun" w:eastAsia="SimSun" w:cs="SimSun"/>
                <w:b/>
                <w:color w:val="000000"/>
                <w:sz w:val="24"/>
                <w:u w:val="single"/>
              </w:rPr>
              <w:t xml:space="preserve">××××</w:t>
            </w:r>
            <w:r>
              <w:rPr>
                <w:rFonts w:ascii="SimSun" w:hAnsi="SimSun" w:eastAsia="SimSun" w:cs="SimSun"/>
                <w:color w:val="000000"/>
                <w:sz w:val="44"/>
              </w:rPr>
              <w:t xml:space="preserve">元人民币                </w:t>
            </w:r>
            <w:r/>
          </w:p>
          <w:p>
            <w:pPr>
              <w:ind w:left="0" w:right="0" w:firstLine="880"/>
              <w:jc w:val="both"/>
              <w:spacing w:before="0" w:after="0" w:line="85" w:lineRule="atLeast"/>
              <w:tabs>
                <w:tab w:val="left" w:pos="21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ab/>
              <w:t xml:space="preserve">¥：</w:t>
            </w:r>
            <w:r>
              <w:rPr>
                <w:rFonts w:ascii="SimSun" w:hAnsi="SimSun" w:eastAsia="SimSun" w:cs="SimSun"/>
                <w:b/>
                <w:color w:val="000000"/>
                <w:sz w:val="24"/>
                <w:u w:val="single"/>
              </w:rPr>
              <w:t xml:space="preserve">××××××××</w:t>
            </w:r>
            <w:r>
              <w:rPr>
                <w:rFonts w:ascii="SimSun" w:hAnsi="SimSun" w:eastAsia="SimSun" w:cs="SimSun"/>
                <w:color w:val="000000"/>
                <w:sz w:val="44"/>
              </w:rPr>
              <w:t xml:space="preserve">元  </w:t>
            </w:r>
            <w:r>
              <w:rPr>
                <w:rFonts w:ascii="KaiTi" w:hAnsi="KaiTi" w:eastAsia="KaiTi" w:cs="KaiTi"/>
                <w:color w:val="000000"/>
                <w:sz w:val="4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注： </w:t>
      </w:r>
      <w:r>
        <w:rPr>
          <w:rFonts w:ascii="KaiTi" w:hAnsi="KaiTi" w:eastAsia="KaiTi" w:cs="KaiTi"/>
          <w:color w:val="000000"/>
          <w:sz w:val="24"/>
          <w:u w:val="single"/>
        </w:rPr>
        <w:t xml:space="preserve">1.“项目总报价”包括本次招标要求提供的货物（服务）已支付或将支付的所有费用；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u w:val="single"/>
        </w:rPr>
        <w:t xml:space="preserve">2.投标人必须据实填写此表，报价所含与招标文件要求的内容一致；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u w:val="single"/>
        </w:rPr>
        <w:t xml:space="preserve">3.报价保留至小数点后两位，四舍五入。</w:t>
      </w:r>
      <w:r/>
    </w:p>
    <w:p>
      <w:pPr>
        <w:ind w:left="840" w:right="0" w:firstLine="560"/>
        <w:jc w:val="right"/>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日期：</w:t>
      </w:r>
      <w:r>
        <w:rPr>
          <w:rFonts w:ascii="KaiTi" w:hAnsi="KaiTi" w:eastAsia="KaiTi" w:cs="KaiTi"/>
          <w:b/>
          <w:color w:val="000000"/>
          <w:sz w:val="24"/>
          <w:u w:val="single"/>
        </w:rPr>
        <w:t xml:space="preserve">××××</w:t>
      </w:r>
      <w:r>
        <w:rPr>
          <w:rFonts w:ascii="KaiTi" w:hAnsi="KaiTi" w:eastAsia="KaiTi" w:cs="KaiTi"/>
          <w:color w:val="000000"/>
          <w:sz w:val="28"/>
        </w:rPr>
        <w:t xml:space="preserve">年</w:t>
      </w:r>
      <w:r>
        <w:rPr>
          <w:rFonts w:ascii="KaiTi" w:hAnsi="KaiTi" w:eastAsia="KaiTi" w:cs="KaiTi"/>
          <w:b/>
          <w:color w:val="000000"/>
          <w:sz w:val="24"/>
          <w:u w:val="single"/>
        </w:rPr>
        <w:t xml:space="preserve">××</w:t>
      </w:r>
      <w:r>
        <w:rPr>
          <w:rFonts w:ascii="KaiTi" w:hAnsi="KaiTi" w:eastAsia="KaiTi" w:cs="KaiTi"/>
          <w:color w:val="000000"/>
          <w:sz w:val="28"/>
        </w:rPr>
        <w:t xml:space="preserve">月</w:t>
      </w:r>
      <w:r>
        <w:rPr>
          <w:rFonts w:ascii="KaiTi" w:hAnsi="KaiTi" w:eastAsia="KaiTi" w:cs="KaiTi"/>
          <w:b/>
          <w:color w:val="000000"/>
          <w:sz w:val="24"/>
          <w:u w:val="single"/>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物业服务费用分析表</w:t>
      </w:r>
      <w:r/>
    </w:p>
    <w:tbl>
      <w:tblPr>
        <w:tblStyle w:val="686"/>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520"/>
        <w:gridCol w:w="829"/>
        <w:gridCol w:w="1110"/>
        <w:gridCol w:w="1446"/>
        <w:gridCol w:w="562"/>
        <w:gridCol w:w="1483"/>
        <w:gridCol w:w="1059"/>
        <w:gridCol w:w="2346"/>
      </w:tblGrid>
      <w:tr>
        <w:trPr>
          <w:trHeight w:val="609"/>
        </w:trPr>
        <w:tc>
          <w:tcPr>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bottom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费用类别</w:t>
            </w:r>
            <w:r/>
          </w:p>
        </w:tc>
        <w:tc>
          <w:tcPr>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  门</w:t>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  位</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gridSpan w:val="2"/>
            <w:tcMar>
              <w:left w:w="108" w:type="dxa"/>
              <w:top w:w="0" w:type="dxa"/>
              <w:right w:w="108" w:type="dxa"/>
              <w:bottom w:w="0" w:type="dxa"/>
            </w:tcMar>
            <w:tcW w:w="2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02"/>
        </w:trPr>
        <w:tc>
          <w:tcPr>
            <w:tcBorders>
              <w:right w:val="single" w:color="000000" w:sz="8" w:space="0"/>
            </w:tcBorders>
            <w:tcMar>
              <w:left w:w="108" w:type="dxa"/>
              <w:top w:w="0" w:type="dxa"/>
              <w:right w:w="108" w:type="dxa"/>
              <w:bottom w:w="0" w:type="dxa"/>
            </w:tcMar>
            <w:tcW w:w="5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人员费用</w:t>
            </w:r>
            <w:r/>
          </w:p>
        </w:tc>
        <w:tc>
          <w:tcPr>
            <w:tcBorders>
              <w:lef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服务处1人</w:t>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缴纳社会保险人数不少于20人</w:t>
            </w:r>
            <w:r/>
          </w:p>
        </w:tc>
      </w:tr>
      <w:tr>
        <w:trPr>
          <w:trHeight w:val="482"/>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工程运维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13人</w:t>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  管</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527"/>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工程运维员</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71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高配值班员</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54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监控值班员</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551"/>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会议客服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w:t>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会务员</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680"/>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25人</w:t>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  管</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774"/>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南门</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615"/>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615"/>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511"/>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500"/>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外场巡逻、车辆停放管理</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509"/>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轮休</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458"/>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21人</w:t>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  管</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458"/>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主楼公共区域</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489"/>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领导层办公室</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606"/>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vMerge w:val="continue"/>
            <w:textDirection w:val="lrTb"/>
            <w:noWrap w:val="false"/>
          </w:tcPr>
          <w:p>
            <w:r/>
            <w:r/>
          </w:p>
        </w:tc>
        <w:tc>
          <w:tcPr>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外围公共区域</w:t>
            </w:r>
            <w:r/>
          </w:p>
        </w:tc>
        <w:tc>
          <w:tcPr>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108" w:type="dxa"/>
              <w:top w:w="0" w:type="dxa"/>
              <w:right w:w="108" w:type="dxa"/>
              <w:bottom w:w="0" w:type="dxa"/>
            </w:tcMar>
            <w:tcW w:w="14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元/人/月</w:t>
            </w:r>
            <w:r/>
          </w:p>
        </w:tc>
        <w:tc>
          <w:tcPr>
            <w:tcMar>
              <w:left w:w="108" w:type="dxa"/>
              <w:top w:w="0" w:type="dxa"/>
              <w:right w:w="108" w:type="dxa"/>
              <w:bottom w:w="0" w:type="dxa"/>
            </w:tcMar>
            <w:tcW w:w="105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vMerge w:val="continue"/>
            <w:textDirection w:val="lrTb"/>
            <w:noWrap w:val="false"/>
          </w:tcPr>
          <w:p>
            <w:r/>
            <w:r/>
          </w:p>
        </w:tc>
      </w:tr>
      <w:tr>
        <w:trPr>
          <w:trHeight w:val="639"/>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lef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节假日加班费</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节假日每天加班人数不少于 10 人</w:t>
            </w:r>
            <w:r/>
          </w:p>
        </w:tc>
      </w:tr>
      <w:tr>
        <w:trPr>
          <w:trHeight w:val="639"/>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lef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雇主责任险</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未缴纳五险的员工，投标人须为其购买雇主责任险，按每人每月不少于 100 元标准测算</w:t>
            </w:r>
            <w:r/>
          </w:p>
        </w:tc>
      </w:tr>
      <w:tr>
        <w:trPr>
          <w:trHeight w:val="639"/>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lef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高温费</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高温费按不少于 15 人计算，每人每月 300 元，发放时间为 6—9 月共 4 个月</w:t>
            </w:r>
            <w:r/>
          </w:p>
        </w:tc>
      </w:tr>
      <w:tr>
        <w:trPr>
          <w:trHeight w:val="606"/>
        </w:trPr>
        <w:tc>
          <w:tcPr>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3"/>
            <w:tcMar>
              <w:left w:w="108" w:type="dxa"/>
              <w:top w:w="0" w:type="dxa"/>
              <w:right w:w="108" w:type="dxa"/>
              <w:bottom w:w="0" w:type="dxa"/>
            </w:tcMar>
            <w:tcW w:w="3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管理费用</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6"/>
        </w:trPr>
        <w:tc>
          <w:tcPr>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gridSpan w:val="3"/>
            <w:tcMar>
              <w:left w:w="108" w:type="dxa"/>
              <w:top w:w="0" w:type="dxa"/>
              <w:right w:w="108" w:type="dxa"/>
              <w:bottom w:w="0" w:type="dxa"/>
            </w:tcMar>
            <w:tcW w:w="3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设备物资及耗材费</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6"/>
        </w:trPr>
        <w:tc>
          <w:tcPr>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gridSpan w:val="3"/>
            <w:tcMar>
              <w:left w:w="108" w:type="dxa"/>
              <w:top w:w="0" w:type="dxa"/>
              <w:right w:w="108" w:type="dxa"/>
              <w:bottom w:w="0" w:type="dxa"/>
            </w:tcMar>
            <w:tcW w:w="3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明确税费费率及纳税人类型，附优惠政策证明材料并承诺真实</w:t>
            </w:r>
            <w:r/>
          </w:p>
        </w:tc>
      </w:tr>
      <w:tr>
        <w:trPr>
          <w:trHeight w:val="606"/>
        </w:trPr>
        <w:tc>
          <w:tcPr>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gridSpan w:val="3"/>
            <w:tcMar>
              <w:left w:w="108" w:type="dxa"/>
              <w:top w:w="0" w:type="dxa"/>
              <w:right w:w="108" w:type="dxa"/>
              <w:bottom w:w="0" w:type="dxa"/>
            </w:tcMar>
            <w:tcW w:w="3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6"/>
        </w:trPr>
        <w:tc>
          <w:tcPr>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gridSpan w:val="3"/>
            <w:tcMar>
              <w:left w:w="108" w:type="dxa"/>
              <w:top w:w="0" w:type="dxa"/>
              <w:right w:w="108" w:type="dxa"/>
              <w:bottom w:w="0" w:type="dxa"/>
            </w:tcMar>
            <w:tcW w:w="3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其他费用</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6"/>
        </w:trPr>
        <w:tc>
          <w:tcPr>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gridSpan w:val="3"/>
            <w:tcMar>
              <w:left w:w="108" w:type="dxa"/>
              <w:top w:w="0" w:type="dxa"/>
              <w:right w:w="108" w:type="dxa"/>
              <w:bottom w:w="0" w:type="dxa"/>
            </w:tcMar>
            <w:tcW w:w="3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gridSpan w:val="3"/>
            <w:tcMar>
              <w:left w:w="108" w:type="dxa"/>
              <w:top w:w="0" w:type="dxa"/>
              <w:right w:w="108" w:type="dxa"/>
              <w:bottom w:w="0" w:type="dxa"/>
            </w:tcMar>
            <w:tcW w:w="310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Mar>
              <w:left w:w="108" w:type="dxa"/>
              <w:top w:w="0" w:type="dxa"/>
              <w:right w:w="108" w:type="dxa"/>
              <w:bottom w:w="0" w:type="dxa"/>
            </w:tcMar>
            <w:tcW w:w="23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1.投标人自行测算。</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★（1）本项目总配备人数不少于 64 人，缴纳社会保险人数不少于 20 人。采购人不再另外支付人员其他任何费用，节假日每天加班人数不少于 10 人。</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★（2）投标人应按照《中华人民共和国劳动法》发放工资，服务人员工资不低于扬中市企业职工最低工资标准 2660 元 / 月（不含社保及其他法定应付费用）。合同期内如遇最低工资上调，相关差额由投标人承担。</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★（3）投标人应按照《中华人民共和国社会保险法》缴纳五险，社保以 4952 元为缴费基数测算，政策如有更新以主管部门规定为准。</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★（4）高温费按不少于 15 人计算，每人每月 300 元，发放时间为 6—9 月共 4 个月，防暑降温饮料、药品等不得冲抵高温津贴。</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★（5）本项目消控室、高压配电房、南北门岗须 24 小时有人值守，相关费用包含在报价中，采购人不另外支付人员任何费用。</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★（6）未缴纳五险的员工，投标人须为其购买雇主责任险，按每人每月不少于 100 元标准测算。</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★（7）投标人应依法纳税，在《物业服务费用分析表》中明确税费费率及纳税人类型，附优惠政策证明材料并承诺真实，违规自行承担法律责任。</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（8）所提供人员费用不得低于上述标准测算，否则视为未实质性响应招标文件要求。</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（9）利润、管理费及其他相应费用由投标人自行考虑。</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3.投标人自行承担综合治理、刑事、民事、工伤、社保、劳保福利等全部责任；项目人员违法违规造成的后果与损失，由中标人承担并赔偿。履约期间遇国家政策调整，双方可协商签订补充合同。</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3.各类活动、突击迎检、节假日等产生的相关费用，无论是否可预见，均已包含在投标报价中，除甲方要求外不予调整。</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4.投标人报价应充分考虑所有风险因素。对物资与服务理解不一致的，以采购人理解为准。除招标文件规定外，合同期内服务费不予调整；投标人错漏、优惠等不得作为减责、减服务、加价、降质量的理由。</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5.本表中其他费用由投标人根据项目需求及自身经验进行补充填写，行数、列数不够可自行添加。</w:t>
      </w:r>
      <w:r/>
    </w:p>
    <w:p>
      <w:pPr>
        <w:ind w:left="0" w:right="0" w:firstLine="42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6.本表中项目总计*3应与开标一览表中项目总报价保持一致。报价保留至小数点后两位，四舍五入。</w:t>
        <w:br w:type="page" w:clear="all"/>
      </w:r>
      <w:r/>
    </w:p>
    <w:p>
      <w:pPr>
        <w:ind w:left="0" w:right="0" w:firstLine="723"/>
        <w:jc w:val="center"/>
        <w:spacing w:before="260" w:after="26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四、技术部分（与评分标准对应）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五、商务部分（与评分标准对应）</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六、其他部分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（一）中小企业声明函（服务类）</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本公司（联合体）郑重声明，根据《政府采购促进中小企业发展管理办法》（财库﹝2020﹞46 号）的规定，本公司 （联合体）参加</w:t>
      </w:r>
      <w:r>
        <w:rPr>
          <w:rFonts w:ascii="KaiTi" w:hAnsi="KaiTi" w:eastAsia="KaiTi" w:cs="KaiTi"/>
          <w:color w:val="000000"/>
          <w:sz w:val="28"/>
          <w:u w:val="single"/>
        </w:rPr>
        <w:t xml:space="preserve">（单位名称）</w:t>
      </w:r>
      <w:r>
        <w:rPr>
          <w:rFonts w:ascii="KaiTi" w:hAnsi="KaiTi" w:eastAsia="KaiTi" w:cs="KaiTi"/>
          <w:color w:val="000000"/>
          <w:sz w:val="28"/>
        </w:rPr>
        <w:t xml:space="preserve">的</w:t>
      </w:r>
      <w:r>
        <w:rPr>
          <w:rFonts w:ascii="KaiTi" w:hAnsi="KaiTi" w:eastAsia="KaiTi" w:cs="KaiTi"/>
          <w:color w:val="000000"/>
          <w:sz w:val="28"/>
          <w:u w:val="single"/>
        </w:rPr>
        <w:t xml:space="preserve">（项目名称）</w:t>
      </w:r>
      <w:r>
        <w:rPr>
          <w:rFonts w:ascii="KaiTi" w:hAnsi="KaiTi" w:eastAsia="KaiTi" w:cs="KaiTi"/>
          <w:color w:val="000000"/>
          <w:sz w:val="28"/>
        </w:rPr>
        <w:t xml:space="preserve">采购活动，服务全部由符合政策要求的中小企业承接。相关企业（含联合体中的中小企业、签订分包意向协议的中小企业）的具体情况如下：</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1.</w:t>
      </w:r>
      <w:r>
        <w:rPr>
          <w:rFonts w:ascii="KaiTi" w:hAnsi="KaiTi" w:eastAsia="KaiTi" w:cs="KaiTi"/>
          <w:color w:val="000000"/>
          <w:sz w:val="28"/>
          <w:u w:val="single"/>
        </w:rPr>
        <w:t xml:space="preserve"> （标的名称） </w:t>
      </w:r>
      <w:r>
        <w:rPr>
          <w:rFonts w:ascii="KaiTi" w:hAnsi="KaiTi" w:eastAsia="KaiTi" w:cs="KaiTi"/>
          <w:color w:val="000000"/>
          <w:sz w:val="28"/>
        </w:rPr>
        <w:t xml:space="preserve">，属于</w:t>
      </w:r>
      <w:r>
        <w:rPr>
          <w:rFonts w:ascii="KaiTi" w:hAnsi="KaiTi" w:eastAsia="KaiTi" w:cs="KaiTi"/>
          <w:color w:val="000000"/>
          <w:sz w:val="28"/>
          <w:u w:val="single"/>
        </w:rPr>
        <w:t xml:space="preserve">（采购文件中明确的所属行业）</w:t>
      </w:r>
      <w:r>
        <w:rPr>
          <w:rFonts w:ascii="KaiTi" w:hAnsi="KaiTi" w:eastAsia="KaiTi" w:cs="KaiTi"/>
          <w:color w:val="000000"/>
          <w:sz w:val="28"/>
        </w:rPr>
        <w:t xml:space="preserve">；承接企业为</w:t>
      </w:r>
      <w:r>
        <w:rPr>
          <w:rFonts w:ascii="KaiTi" w:hAnsi="KaiTi" w:eastAsia="KaiTi" w:cs="KaiTi"/>
          <w:color w:val="000000"/>
          <w:sz w:val="28"/>
          <w:u w:val="single"/>
        </w:rPr>
        <w:t xml:space="preserve">（企业名称）</w:t>
      </w:r>
      <w:r>
        <w:rPr>
          <w:rFonts w:ascii="KaiTi" w:hAnsi="KaiTi" w:eastAsia="KaiTi" w:cs="KaiTi"/>
          <w:color w:val="000000"/>
          <w:sz w:val="28"/>
        </w:rPr>
        <w:t xml:space="preserve">，从业人员</w:t>
      </w:r>
      <w:r>
        <w:rPr>
          <w:rFonts w:ascii="KaiTi" w:hAnsi="KaiTi" w:eastAsia="KaiTi" w:cs="KaiTi"/>
          <w:color w:val="000000"/>
          <w:sz w:val="28"/>
          <w:u w:val="single"/>
        </w:rPr>
        <w:t xml:space="preserve">    </w:t>
      </w:r>
      <w:r>
        <w:rPr>
          <w:rFonts w:ascii="KaiTi" w:hAnsi="KaiTi" w:eastAsia="KaiTi" w:cs="KaiTi"/>
          <w:color w:val="000000"/>
          <w:sz w:val="28"/>
        </w:rPr>
        <w:t xml:space="preserve">人，营业 收入为</w:t>
      </w:r>
      <w:r>
        <w:rPr>
          <w:rFonts w:ascii="KaiTi" w:hAnsi="KaiTi" w:eastAsia="KaiTi" w:cs="KaiTi"/>
          <w:color w:val="000000"/>
          <w:sz w:val="28"/>
          <w:u w:val="single"/>
        </w:rPr>
        <w:t xml:space="preserve">    </w:t>
      </w:r>
      <w:r>
        <w:rPr>
          <w:rFonts w:ascii="KaiTi" w:hAnsi="KaiTi" w:eastAsia="KaiTi" w:cs="KaiTi"/>
          <w:color w:val="000000"/>
          <w:sz w:val="28"/>
        </w:rPr>
        <w:t xml:space="preserve">万元，资产总额为</w:t>
      </w:r>
      <w:r>
        <w:rPr>
          <w:rFonts w:ascii="KaiTi" w:hAnsi="KaiTi" w:eastAsia="KaiTi" w:cs="KaiTi"/>
          <w:color w:val="000000"/>
          <w:sz w:val="28"/>
          <w:u w:val="single"/>
        </w:rPr>
        <w:t xml:space="preserve">    </w:t>
      </w:r>
      <w:r>
        <w:rPr>
          <w:rFonts w:ascii="KaiTi" w:hAnsi="KaiTi" w:eastAsia="KaiTi" w:cs="KaiTi"/>
          <w:color w:val="000000"/>
          <w:sz w:val="28"/>
        </w:rPr>
        <w:t xml:space="preserve">万元，属于</w:t>
      </w:r>
      <w:r>
        <w:rPr>
          <w:rFonts w:ascii="KaiTi" w:hAnsi="KaiTi" w:eastAsia="KaiTi" w:cs="KaiTi"/>
          <w:color w:val="000000"/>
          <w:sz w:val="28"/>
          <w:u w:val="single"/>
        </w:rPr>
        <w:t xml:space="preserve">（中型企业、 小型企业、微型企业）</w:t>
      </w:r>
      <w:r>
        <w:rPr>
          <w:rFonts w:ascii="KaiTi" w:hAnsi="KaiTi" w:eastAsia="KaiTi" w:cs="KaiTi"/>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w:t>
      </w:r>
      <w:r>
        <w:rPr>
          <w:rFonts w:ascii="KaiTi" w:hAnsi="KaiTi" w:eastAsia="KaiTi" w:cs="KaiTi"/>
          <w:color w:val="000000"/>
          <w:sz w:val="28"/>
          <w:u w:val="single"/>
        </w:rPr>
        <w:t xml:space="preserve"> （标的名称） </w:t>
      </w:r>
      <w:r>
        <w:rPr>
          <w:rFonts w:ascii="KaiTi" w:hAnsi="KaiTi" w:eastAsia="KaiTi" w:cs="KaiTi"/>
          <w:color w:val="000000"/>
          <w:sz w:val="28"/>
        </w:rPr>
        <w:t xml:space="preserve">，属于</w:t>
      </w:r>
      <w:r>
        <w:rPr>
          <w:rFonts w:ascii="KaiTi" w:hAnsi="KaiTi" w:eastAsia="KaiTi" w:cs="KaiTi"/>
          <w:color w:val="000000"/>
          <w:sz w:val="28"/>
          <w:u w:val="single"/>
        </w:rPr>
        <w:t xml:space="preserve">（采购文件中明确的所属行业）</w:t>
      </w:r>
      <w:r>
        <w:rPr>
          <w:rFonts w:ascii="KaiTi" w:hAnsi="KaiTi" w:eastAsia="KaiTi" w:cs="KaiTi"/>
          <w:color w:val="000000"/>
          <w:sz w:val="28"/>
        </w:rPr>
        <w:t xml:space="preserve">；承接企业为</w:t>
      </w:r>
      <w:r>
        <w:rPr>
          <w:rFonts w:ascii="KaiTi" w:hAnsi="KaiTi" w:eastAsia="KaiTi" w:cs="KaiTi"/>
          <w:color w:val="000000"/>
          <w:sz w:val="28"/>
          <w:u w:val="single"/>
        </w:rPr>
        <w:t xml:space="preserve">（企业名称）</w:t>
      </w:r>
      <w:r>
        <w:rPr>
          <w:rFonts w:ascii="KaiTi" w:hAnsi="KaiTi" w:eastAsia="KaiTi" w:cs="KaiTi"/>
          <w:color w:val="000000"/>
          <w:sz w:val="28"/>
        </w:rPr>
        <w:t xml:space="preserve">，从业人员</w:t>
      </w:r>
      <w:r>
        <w:rPr>
          <w:rFonts w:ascii="KaiTi" w:hAnsi="KaiTi" w:eastAsia="KaiTi" w:cs="KaiTi"/>
          <w:color w:val="000000"/>
          <w:sz w:val="28"/>
          <w:u w:val="single"/>
        </w:rPr>
        <w:t xml:space="preserve">    </w:t>
      </w:r>
      <w:r>
        <w:rPr>
          <w:rFonts w:ascii="KaiTi" w:hAnsi="KaiTi" w:eastAsia="KaiTi" w:cs="KaiTi"/>
          <w:color w:val="000000"/>
          <w:sz w:val="28"/>
        </w:rPr>
        <w:t xml:space="preserve">人，营业 收入为</w:t>
      </w:r>
      <w:r>
        <w:rPr>
          <w:rFonts w:ascii="KaiTi" w:hAnsi="KaiTi" w:eastAsia="KaiTi" w:cs="KaiTi"/>
          <w:color w:val="000000"/>
          <w:sz w:val="28"/>
          <w:u w:val="single"/>
        </w:rPr>
        <w:t xml:space="preserve">    </w:t>
      </w:r>
      <w:r>
        <w:rPr>
          <w:rFonts w:ascii="KaiTi" w:hAnsi="KaiTi" w:eastAsia="KaiTi" w:cs="KaiTi"/>
          <w:color w:val="000000"/>
          <w:sz w:val="28"/>
        </w:rPr>
        <w:t xml:space="preserve">万元，资产总额为</w:t>
      </w:r>
      <w:r>
        <w:rPr>
          <w:rFonts w:ascii="KaiTi" w:hAnsi="KaiTi" w:eastAsia="KaiTi" w:cs="KaiTi"/>
          <w:color w:val="000000"/>
          <w:sz w:val="28"/>
          <w:u w:val="single"/>
        </w:rPr>
        <w:t xml:space="preserve">    </w:t>
      </w:r>
      <w:r>
        <w:rPr>
          <w:rFonts w:ascii="KaiTi" w:hAnsi="KaiTi" w:eastAsia="KaiTi" w:cs="KaiTi"/>
          <w:color w:val="000000"/>
          <w:sz w:val="28"/>
        </w:rPr>
        <w:t xml:space="preserve">万元，属于</w:t>
      </w:r>
      <w:r>
        <w:rPr>
          <w:rFonts w:ascii="KaiTi" w:hAnsi="KaiTi" w:eastAsia="KaiTi" w:cs="KaiTi"/>
          <w:color w:val="000000"/>
          <w:sz w:val="28"/>
          <w:u w:val="single"/>
        </w:rPr>
        <w:t xml:space="preserve">（中型企业、 小型企业、微型企业）</w:t>
      </w:r>
      <w:r>
        <w:rPr>
          <w:rFonts w:ascii="KaiTi" w:hAnsi="KaiTi" w:eastAsia="KaiTi" w:cs="KaiTi"/>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以上企业，不属于大企业的分支机构，不存在控股股东为大企业的情形，也不存在与大企业的负责人为同一人的情形。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本企业对上述声明内容的真实性负责。如有虚假，将依 法承担相应责任。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投标人全称（加盖CA电子公章）：</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 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注：从业人员、营业收入、资产总额填报上一年度数据，无上一年度数据的新成立企业可不填报。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（二）残疾人福利性单位声明函</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KaiTi" w:hAnsi="KaiTi" w:eastAsia="KaiTi" w:cs="KaiTi"/>
          <w:color w:val="000000"/>
          <w:sz w:val="32"/>
          <w:u w:val="single"/>
        </w:rPr>
        <w:t xml:space="preserve">       </w:t>
      </w:r>
      <w:r>
        <w:rPr>
          <w:rFonts w:ascii="KaiTi" w:hAnsi="KaiTi" w:eastAsia="KaiTi" w:cs="KaiTi"/>
          <w:color w:val="000000"/>
          <w:sz w:val="32"/>
        </w:rPr>
        <w:t xml:space="preserve">项目采购活动提供本单位制造的货物，或者提供其他残疾人福利性单位制造的货物（不包括使用非残疾人福利性单位注册商标的货物）。</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本单位对上述声明的真实性负责。如有虚假，将依法承担相应责任。</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（备注：1、投标人如不提供此声明函，价格将不做相应扣除。2、中标人为残疾人福利单位的，此声明函将随中标结果同时公告，接受社会监督）</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投标人全称（加盖CA电子公章）：</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日期：</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（三）按招标文件要求投标人所能提供的其他文件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告供应商书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中标（成交）供应商：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镇江市财政局</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highlight w:val="yellow"/>
        </w:rPr>
        <w:t xml:space="preserve"> </w:t>
      </w:r>
      <w:r/>
    </w:p>
    <w:p>
      <w:pPr>
        <w:rPr>
          <w:highlight w:val="none"/>
        </w:rPr>
      </w:pPr>
      <w:r>
        <w:t xml:space="preserve"> </w:t>
      </w:r>
      <w:r/>
    </w:p>
    <w:p>
      <w:pPr>
        <w:shd w:val="nil" w:color="auto"/>
      </w:pPr>
      <w:r>
        <w:br w:type="page" w:clear="all"/>
      </w:r>
      <w:r/>
    </w:p>
    <w:p>
      <w:pPr>
        <w:ind w:left="0" w:right="0" w:firstLine="480"/>
        <w:jc w:val="center"/>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highlight w:val="white"/>
        </w:rPr>
        <w:t xml:space="preserve">关于符合本国产品标准的声明函</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本公司（单位）对上述声明内容的真实性负责。如有虚假，愿承担相应法律责任。</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p>
    <w:p>
      <w:pPr>
        <w:ind w:left="0" w:right="0" w:firstLine="560"/>
        <w:jc w:val="right"/>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公司（单位）名称（盖章）：　</w:t>
      </w:r>
      <w:r/>
    </w:p>
    <w:p>
      <w:pPr>
        <w:ind w:left="0" w:right="0" w:firstLine="560"/>
        <w:jc w:val="right"/>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日期：　     年　  月　  日         </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r>
        <w:rPr>
          <w:highlight w:val="none"/>
        </w:rPr>
      </w:r>
      <w:r>
        <w:rPr>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部分"/>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272" w:firstLine="0"/>
      </w:pPr>
    </w:lvl>
    <w:lvl w:ilvl="1">
      <w:start w:val="1"/>
      <w:numFmt w:val="bullet"/>
      <w:isLgl w:val="false"/>
      <w:suff w:val="tab"/>
      <w:lvlText w:val="&quot;o&quot;"/>
      <w:lvlJc w:val="left"/>
      <w:pPr>
        <w:ind w:left="1380" w:hanging="360"/>
      </w:pPr>
      <w:rPr>
        <w:rFonts w:hint="default" w:ascii="Courier New" w:hAnsi="Courier New" w:eastAsia="Courier New" w:cs="Courier New"/>
      </w:rPr>
    </w:lvl>
    <w:lvl w:ilvl="2">
      <w:start w:val="1"/>
      <w:numFmt w:val="bullet"/>
      <w:isLgl w:val="false"/>
      <w:suff w:val="tab"/>
      <w:lvlText w:val="&quot;§&quot;"/>
      <w:lvlJc w:val="left"/>
      <w:pPr>
        <w:ind w:left="2100" w:hanging="360"/>
      </w:pPr>
      <w:rPr>
        <w:rFonts w:hint="default" w:ascii="Wingdings" w:hAnsi="Wingdings" w:eastAsia="Wingdings" w:cs="Wingdings"/>
      </w:rPr>
    </w:lvl>
    <w:lvl w:ilvl="3">
      <w:start w:val="1"/>
      <w:numFmt w:val="bullet"/>
      <w:isLgl w:val="false"/>
      <w:suff w:val="tab"/>
      <w:lvlText w:val="&quot;·&quot;"/>
      <w:lvlJc w:val="left"/>
      <w:pPr>
        <w:ind w:left="2820" w:hanging="360"/>
      </w:pPr>
      <w:rPr>
        <w:rFonts w:hint="default" w:ascii="Symbol" w:hAnsi="Symbol" w:eastAsia="Symbol" w:cs="Symbol"/>
      </w:rPr>
    </w:lvl>
    <w:lvl w:ilvl="4">
      <w:start w:val="1"/>
      <w:numFmt w:val="bullet"/>
      <w:isLgl w:val="false"/>
      <w:suff w:val="tab"/>
      <w:lvlText w:val="&quot;o&quot;"/>
      <w:lvlJc w:val="left"/>
      <w:pPr>
        <w:ind w:left="3540" w:hanging="360"/>
      </w:pPr>
      <w:rPr>
        <w:rFonts w:hint="default" w:ascii="Courier New" w:hAnsi="Courier New" w:eastAsia="Courier New" w:cs="Courier New"/>
      </w:rPr>
    </w:lvl>
    <w:lvl w:ilvl="5">
      <w:start w:val="1"/>
      <w:numFmt w:val="bullet"/>
      <w:isLgl w:val="false"/>
      <w:suff w:val="tab"/>
      <w:lvlText w:val="&quot;§&quot;"/>
      <w:lvlJc w:val="left"/>
      <w:pPr>
        <w:ind w:left="4260" w:hanging="360"/>
      </w:pPr>
      <w:rPr>
        <w:rFonts w:hint="default" w:ascii="Wingdings" w:hAnsi="Wingdings" w:eastAsia="Wingdings" w:cs="Wingdings"/>
      </w:rPr>
    </w:lvl>
    <w:lvl w:ilvl="6">
      <w:start w:val="1"/>
      <w:numFmt w:val="bullet"/>
      <w:isLgl w:val="false"/>
      <w:suff w:val="tab"/>
      <w:lvlText w:val="&quot;·&quot;"/>
      <w:lvlJc w:val="left"/>
      <w:pPr>
        <w:ind w:left="4980" w:hanging="360"/>
      </w:pPr>
      <w:rPr>
        <w:rFonts w:hint="default" w:ascii="Symbol" w:hAnsi="Symbol" w:eastAsia="Symbol" w:cs="Symbol"/>
      </w:rPr>
    </w:lvl>
    <w:lvl w:ilvl="7">
      <w:start w:val="1"/>
      <w:numFmt w:val="bullet"/>
      <w:isLgl w:val="false"/>
      <w:suff w:val="tab"/>
      <w:lvlText w:val="&quot;o&quot;"/>
      <w:lvlJc w:val="left"/>
      <w:pPr>
        <w:ind w:left="5700" w:hanging="360"/>
      </w:pPr>
      <w:rPr>
        <w:rFonts w:hint="default" w:ascii="Courier New" w:hAnsi="Courier New" w:eastAsia="Courier New" w:cs="Courier New"/>
      </w:rPr>
    </w:lvl>
    <w:lvl w:ilvl="8">
      <w:start w:val="1"/>
      <w:numFmt w:val="bullet"/>
      <w:isLgl w:val="false"/>
      <w:suff w:val="tab"/>
      <w:lvlText w:val="&quot;§&quot;"/>
      <w:lvlJc w:val="left"/>
      <w:pPr>
        <w:ind w:left="642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6%8B%9B%E6%A0%87%E6%96%87%E4%BB%B6%EF%BC%8C%E5%B9%B6%E4%BA%8E2024%E5%B9%B4" TargetMode="External"/><Relationship Id="rId10" Type="http://schemas.openxmlformats.org/officeDocument/2006/relationships/hyperlink" Target="http://jszfcg.jsczt.cn/%EF%BC%8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吴慧秀</cp:lastModifiedBy>
  <cp:revision>6</cp:revision>
  <dcterms:created xsi:type="dcterms:W3CDTF">2026-05-26T02:47:10Z</dcterms:created>
  <dcterms:modified xsi:type="dcterms:W3CDTF">2026-05-26T08:00:14Z</dcterms:modified>
</cp:coreProperties>
</file>