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AE9E2">
      <w:pPr>
        <w:pStyle w:val="115"/>
        <w:bidi w:val="0"/>
        <w:rPr>
          <w:color w:val="auto"/>
          <w:highlight w:val="none"/>
        </w:rPr>
      </w:pPr>
      <w:bookmarkStart w:id="16" w:name="_GoBack"/>
      <w:bookmarkEnd w:id="16"/>
    </w:p>
    <w:p w14:paraId="2A597162">
      <w:pPr>
        <w:ind w:left="660"/>
        <w:rPr>
          <w:rFonts w:ascii="楷体_GB2312" w:eastAsia="楷体_GB2312"/>
          <w:bCs/>
          <w:color w:val="auto"/>
          <w:sz w:val="30"/>
          <w:highlight w:val="none"/>
        </w:rPr>
      </w:pPr>
    </w:p>
    <w:p w14:paraId="147E57FC">
      <w:pPr>
        <w:jc w:val="center"/>
        <w:rPr>
          <w:rFonts w:ascii="黑体" w:hAnsi="华文中宋" w:eastAsia="黑体"/>
          <w:bCs/>
          <w:color w:val="auto"/>
          <w:spacing w:val="20"/>
          <w:sz w:val="72"/>
          <w:szCs w:val="72"/>
          <w:highlight w:val="none"/>
        </w:rPr>
      </w:pPr>
    </w:p>
    <w:p w14:paraId="186230F4">
      <w:pPr>
        <w:tabs>
          <w:tab w:val="left" w:pos="7022"/>
        </w:tabs>
        <w:jc w:val="left"/>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p>
    <w:p w14:paraId="31BA9FD6">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4A5840FA">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6E211FFB">
      <w:pPr>
        <w:rPr>
          <w:rFonts w:ascii="华文中宋" w:hAnsi="华文中宋" w:eastAsia="华文中宋"/>
          <w:bCs/>
          <w:color w:val="auto"/>
          <w:sz w:val="30"/>
          <w:highlight w:val="none"/>
        </w:rPr>
      </w:pPr>
    </w:p>
    <w:p w14:paraId="18349F65">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06543304">
      <w:pPr>
        <w:jc w:val="center"/>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5yGC9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13459A67">
      <w:pPr>
        <w:jc w:val="center"/>
        <w:rPr>
          <w:rFonts w:ascii="黑体" w:hAnsi="华文中宋" w:eastAsia="黑体"/>
          <w:bCs/>
          <w:color w:val="auto"/>
          <w:spacing w:val="20"/>
          <w:sz w:val="52"/>
          <w:szCs w:val="52"/>
          <w:highlight w:val="none"/>
        </w:rPr>
      </w:pPr>
    </w:p>
    <w:p w14:paraId="3C5CA5F9">
      <w:pPr>
        <w:rPr>
          <w:rFonts w:ascii="华文中宋" w:hAnsi="华文中宋" w:eastAsia="华文中宋"/>
          <w:bCs/>
          <w:color w:val="auto"/>
          <w:sz w:val="30"/>
          <w:highlight w:val="none"/>
        </w:rPr>
      </w:pPr>
    </w:p>
    <w:p w14:paraId="454D9FA2">
      <w:pPr>
        <w:jc w:val="left"/>
        <w:rPr>
          <w:rFonts w:ascii="华文中宋" w:hAnsi="华文中宋" w:eastAsia="华文中宋"/>
          <w:bCs/>
          <w:color w:val="auto"/>
          <w:sz w:val="30"/>
          <w:highlight w:val="none"/>
        </w:rPr>
      </w:pPr>
    </w:p>
    <w:p w14:paraId="356CDC87">
      <w:pPr>
        <w:ind w:firstLine="900"/>
        <w:rPr>
          <w:rFonts w:ascii="黑体" w:hAnsi="华文中宋" w:eastAsia="黑体"/>
          <w:bCs/>
          <w:color w:val="auto"/>
          <w:sz w:val="30"/>
          <w:szCs w:val="30"/>
          <w:highlight w:val="none"/>
        </w:rPr>
      </w:pPr>
    </w:p>
    <w:p w14:paraId="6675C913">
      <w:pPr>
        <w:ind w:firstLine="900"/>
        <w:rPr>
          <w:rFonts w:ascii="黑体" w:hAnsi="华文中宋" w:eastAsia="黑体"/>
          <w:bCs/>
          <w:color w:val="auto"/>
          <w:sz w:val="30"/>
          <w:szCs w:val="30"/>
          <w:highlight w:val="none"/>
        </w:rPr>
      </w:pPr>
    </w:p>
    <w:p w14:paraId="49FAB488">
      <w:pPr>
        <w:ind w:firstLine="900"/>
        <w:rPr>
          <w:rFonts w:ascii="黑体" w:hAnsi="华文中宋" w:eastAsia="黑体"/>
          <w:bCs/>
          <w:color w:val="auto"/>
          <w:sz w:val="30"/>
          <w:szCs w:val="30"/>
          <w:highlight w:val="none"/>
        </w:rPr>
      </w:pPr>
    </w:p>
    <w:p w14:paraId="68B47BCA">
      <w:pPr>
        <w:ind w:firstLine="900"/>
        <w:rPr>
          <w:rFonts w:ascii="黑体" w:hAnsi="华文中宋" w:eastAsia="黑体"/>
          <w:bCs/>
          <w:color w:val="auto"/>
          <w:sz w:val="30"/>
          <w:szCs w:val="30"/>
          <w:highlight w:val="none"/>
        </w:rPr>
      </w:pPr>
    </w:p>
    <w:p w14:paraId="5AB60F6E">
      <w:pPr>
        <w:ind w:firstLine="900"/>
        <w:rPr>
          <w:rFonts w:ascii="黑体" w:hAnsi="华文中宋" w:eastAsia="黑体"/>
          <w:bCs/>
          <w:color w:val="auto"/>
          <w:sz w:val="30"/>
          <w:szCs w:val="30"/>
          <w:highlight w:val="none"/>
        </w:rPr>
      </w:pPr>
    </w:p>
    <w:p w14:paraId="7537E97C">
      <w:pPr>
        <w:ind w:firstLine="900"/>
        <w:rPr>
          <w:rFonts w:ascii="黑体" w:hAnsi="华文中宋" w:eastAsia="黑体"/>
          <w:bCs/>
          <w:color w:val="auto"/>
          <w:sz w:val="30"/>
          <w:szCs w:val="30"/>
          <w:highlight w:val="none"/>
        </w:rPr>
      </w:pPr>
    </w:p>
    <w:p w14:paraId="772A3A2A">
      <w:pPr>
        <w:ind w:firstLine="900"/>
        <w:rPr>
          <w:rFonts w:ascii="黑体" w:hAnsi="华文中宋" w:eastAsia="黑体"/>
          <w:bCs/>
          <w:color w:val="auto"/>
          <w:sz w:val="30"/>
          <w:szCs w:val="30"/>
          <w:highlight w:val="none"/>
        </w:rPr>
      </w:pPr>
    </w:p>
    <w:p w14:paraId="51A44E5F">
      <w:pPr>
        <w:ind w:firstLine="900"/>
        <w:rPr>
          <w:rFonts w:ascii="黑体" w:hAnsi="华文中宋" w:eastAsia="黑体"/>
          <w:bCs/>
          <w:color w:val="auto"/>
          <w:sz w:val="30"/>
          <w:szCs w:val="30"/>
          <w:highlight w:val="none"/>
        </w:rPr>
      </w:pPr>
    </w:p>
    <w:p w14:paraId="7E74E69C">
      <w:pPr>
        <w:ind w:firstLine="900"/>
        <w:rPr>
          <w:rFonts w:ascii="黑体" w:hAnsi="华文中宋" w:eastAsia="黑体"/>
          <w:bCs/>
          <w:color w:val="auto"/>
          <w:sz w:val="30"/>
          <w:szCs w:val="30"/>
          <w:highlight w:val="none"/>
        </w:rPr>
      </w:pPr>
    </w:p>
    <w:p w14:paraId="2FF1BC5C">
      <w:pPr>
        <w:tabs>
          <w:tab w:val="left" w:pos="210"/>
        </w:tabs>
        <w:spacing w:line="360" w:lineRule="auto"/>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JSZC-320214-JSZH-G2026-0029</w:t>
      </w:r>
    </w:p>
    <w:p w14:paraId="4FA973D6">
      <w:pPr>
        <w:spacing w:line="360" w:lineRule="auto"/>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无锡市新吴区2026年执法监测服务采购项目</w:t>
      </w:r>
    </w:p>
    <w:p w14:paraId="740D3DDE">
      <w:pPr>
        <w:spacing w:line="360" w:lineRule="auto"/>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采购代理机构：江苏智汇锡建工程项目管理有限公司</w:t>
      </w:r>
    </w:p>
    <w:p w14:paraId="080B4922">
      <w:pPr>
        <w:spacing w:line="360" w:lineRule="auto"/>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二〇二</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年</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月</w:t>
      </w:r>
    </w:p>
    <w:p w14:paraId="569276A2">
      <w:pPr>
        <w:jc w:val="center"/>
        <w:rPr>
          <w:rStyle w:val="200"/>
          <w:rFonts w:eastAsia="黑体"/>
          <w:bCs/>
          <w:color w:val="auto"/>
          <w:sz w:val="48"/>
          <w:highlight w:val="none"/>
        </w:rPr>
      </w:pPr>
      <w:r>
        <w:rPr>
          <w:rStyle w:val="200"/>
          <w:rFonts w:eastAsia="黑体"/>
          <w:bCs/>
          <w:color w:val="auto"/>
          <w:sz w:val="48"/>
          <w:highlight w:val="none"/>
        </w:rPr>
        <w:br w:type="page" w:clear="all"/>
      </w:r>
      <w:r>
        <w:rPr>
          <w:rStyle w:val="200"/>
          <w:rFonts w:hint="eastAsia" w:eastAsia="黑体"/>
          <w:bCs/>
          <w:color w:val="auto"/>
          <w:sz w:val="48"/>
          <w:highlight w:val="none"/>
        </w:rPr>
        <w:t>目录</w:t>
      </w:r>
    </w:p>
    <w:p w14:paraId="71ABF17F">
      <w:pPr>
        <w:jc w:val="center"/>
        <w:rPr>
          <w:rFonts w:hint="eastAsia" w:ascii="宋体" w:hAnsi="宋体" w:eastAsia="宋体" w:cs="宋体"/>
          <w:bCs/>
          <w:color w:val="auto"/>
          <w:sz w:val="30"/>
          <w:highlight w:val="none"/>
        </w:rPr>
      </w:pPr>
    </w:p>
    <w:p w14:paraId="1348F687">
      <w:pPr>
        <w:pStyle w:val="26"/>
        <w:tabs>
          <w:tab w:val="right" w:leader="dot" w:pos="9746"/>
        </w:tabs>
        <w:spacing w:line="360" w:lineRule="auto"/>
        <w:rPr>
          <w:rFonts w:hint="eastAsia" w:ascii="宋体" w:hAnsi="宋体" w:eastAsia="宋体" w:cs="宋体"/>
          <w:b/>
          <w:bCs/>
          <w:color w:val="auto"/>
          <w:sz w:val="28"/>
          <w:szCs w:val="28"/>
          <w:highlight w:val="none"/>
        </w:rPr>
      </w:pPr>
      <w:bookmarkStart w:id="0" w:name="报价方须知前附表"/>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4B59CF0">
      <w:pPr>
        <w:pStyle w:val="26"/>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FEEF941">
      <w:pPr>
        <w:pStyle w:val="26"/>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579A1615">
      <w:pPr>
        <w:pStyle w:val="26"/>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103F919">
      <w:pPr>
        <w:pStyle w:val="26"/>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B345A71">
      <w:pPr>
        <w:pStyle w:val="26"/>
        <w:tabs>
          <w:tab w:val="right" w:leader="dot" w:pos="9746"/>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7C0111AC">
      <w:pPr>
        <w:spacing w:line="360" w:lineRule="auto"/>
        <w:rPr>
          <w:color w:val="auto"/>
          <w:highlight w:val="none"/>
        </w:rPr>
      </w:pPr>
      <w:r>
        <w:rPr>
          <w:rFonts w:hint="eastAsia" w:ascii="宋体" w:hAnsi="宋体" w:eastAsia="宋体" w:cs="宋体"/>
          <w:b/>
          <w:bCs/>
          <w:color w:val="auto"/>
          <w:sz w:val="28"/>
          <w:szCs w:val="28"/>
          <w:highlight w:val="none"/>
        </w:rPr>
        <w:fldChar w:fldCharType="end"/>
      </w:r>
    </w:p>
    <w:p w14:paraId="05BB69B7">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1" w:name="_Toc2656"/>
      <w:bookmarkStart w:id="2" w:name="_Toc25741"/>
      <w:r>
        <w:rPr>
          <w:rFonts w:hint="eastAsia" w:ascii="黑体" w:eastAsia="黑体"/>
          <w:bCs/>
          <w:color w:val="auto"/>
          <w:sz w:val="28"/>
          <w:szCs w:val="28"/>
          <w:highlight w:val="none"/>
        </w:rPr>
        <w:t>一</w:t>
      </w: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rPr>
        <w:t>投标邀请函</w:t>
      </w:r>
      <w:bookmarkEnd w:id="1"/>
      <w:bookmarkEnd w:id="2"/>
    </w:p>
    <w:p w14:paraId="20BF41F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江苏智汇锡建工程项目管理有限公司受</w:t>
      </w: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无锡市新吴区2026年执法监测服务采购项目</w:t>
      </w:r>
      <w:r>
        <w:rPr>
          <w:rFonts w:hint="eastAsia" w:ascii="宋体" w:hAnsi="宋体"/>
          <w:bCs/>
          <w:color w:val="auto"/>
          <w:sz w:val="24"/>
          <w:szCs w:val="24"/>
          <w:highlight w:val="none"/>
        </w:rPr>
        <w:t>进行公开招标采购，欢迎符合相关条件的供应商参加投标并提请注意下列相关事项：</w:t>
      </w:r>
    </w:p>
    <w:p w14:paraId="045EE2F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8C4D08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无锡市新吴区2026年执法监测服务采购项目</w:t>
      </w:r>
    </w:p>
    <w:p w14:paraId="2341533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JSZC-320214-JSZH-G2026-0029</w:t>
      </w:r>
    </w:p>
    <w:p w14:paraId="4BC4972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3.合同履行期限：</w:t>
      </w:r>
      <w:r>
        <w:rPr>
          <w:rFonts w:hint="eastAsia" w:ascii="宋体" w:hAnsi="宋体" w:cs="宋体"/>
          <w:color w:val="auto"/>
          <w:sz w:val="24"/>
          <w:szCs w:val="24"/>
          <w:highlight w:val="none"/>
          <w:lang w:eastAsia="zh-CN"/>
        </w:rPr>
        <w:t>一年（2026年8月1日至2027年7月31日）</w:t>
      </w:r>
    </w:p>
    <w:p w14:paraId="5F0A431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val="en-US" w:eastAsia="zh-CN"/>
        </w:rPr>
        <w:t>225.00万元（一标段：100万元，二标段：125万元）</w:t>
      </w:r>
    </w:p>
    <w:p w14:paraId="3CC4F8C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5.本项目由各投标供应商报优惠率，设</w:t>
      </w:r>
      <w:r>
        <w:rPr>
          <w:rFonts w:hint="eastAsia" w:ascii="宋体" w:hAnsi="宋体" w:cs="宋体"/>
          <w:color w:val="auto"/>
          <w:sz w:val="24"/>
          <w:szCs w:val="24"/>
          <w:highlight w:val="none"/>
          <w:lang w:eastAsia="zh-CN"/>
        </w:rPr>
        <w:t>最高折扣率≤50%</w:t>
      </w:r>
      <w:r>
        <w:rPr>
          <w:rFonts w:hint="eastAsia" w:ascii="宋体" w:hAnsi="宋体" w:cs="宋体"/>
          <w:color w:val="auto"/>
          <w:sz w:val="24"/>
          <w:szCs w:val="24"/>
          <w:highlight w:val="none"/>
        </w:rPr>
        <w:t>（注：折扣率=1-优惠率），投标报价高于最高折扣率的投标将视为无效投标。</w:t>
      </w:r>
    </w:p>
    <w:p w14:paraId="0B18432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52B50B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w:t>
      </w:r>
      <w:r>
        <w:rPr>
          <w:rFonts w:hint="eastAsia" w:ascii="宋体" w:hAnsi="宋体" w:cs="宋体"/>
          <w:color w:val="auto"/>
          <w:sz w:val="24"/>
          <w:szCs w:val="24"/>
          <w:highlight w:val="none"/>
          <w:lang w:eastAsia="zh-CN"/>
        </w:rPr>
        <w:t>无锡市新吴生态环境局</w:t>
      </w:r>
    </w:p>
    <w:p w14:paraId="7387CEA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8.本项目标的所属行业：其他未列明行业</w:t>
      </w:r>
    </w:p>
    <w:p w14:paraId="4284B55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9.本项目是否专门面向中小企业：</w:t>
      </w:r>
      <w:r>
        <w:rPr>
          <w:rFonts w:hint="eastAsia" w:ascii="宋体" w:hAnsi="宋体" w:cs="宋体"/>
          <w:color w:val="auto"/>
          <w:sz w:val="24"/>
          <w:szCs w:val="24"/>
          <w:highlight w:val="none"/>
          <w:lang w:val="en-US" w:eastAsia="zh-CN"/>
        </w:rPr>
        <w:t>是。</w:t>
      </w:r>
    </w:p>
    <w:p w14:paraId="0F7A440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rPr>
        <w:t>本项目共设</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个标段，一标段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配合开展日常执法监测、强化监督帮扶监测、走航等异常线索交办监测、信访调处监测及突发环境事件应急监测等，具备24小时待命快速检测能力；监测范围涵盖地表水、地下水、空气、噪声、废气、废水等常规污染因子，需满足现场快速检测及实验室精准分析双重需求</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二标段：配合开展“双随机、一公开”监督性监测、专项行动监测、跨部门联合执法、司法联动（大案要案监测）及突发环境事件应急监测等，具备24小时待命快速检测能力；同时需具备土壤与地下水、地表水与沉积物、生态系统环境损害鉴定等司法鉴定和评估资质；监测范围在一标段基础上，增加土壤、沉积物、危险废物等污染因子，满足司法鉴定及生态损害评估相关技术要求。</w:t>
      </w:r>
    </w:p>
    <w:p w14:paraId="51A324C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投标供应商可以参加本次采购所有符合报名条件的</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个标段的投标报名，但中标最多只能中1个标段，由评分排名第1名中标。</w:t>
      </w:r>
      <w:r>
        <w:rPr>
          <w:rFonts w:hint="eastAsia" w:ascii="宋体" w:hAnsi="宋体" w:cs="宋体"/>
          <w:color w:val="auto"/>
          <w:sz w:val="24"/>
          <w:szCs w:val="24"/>
          <w:highlight w:val="none"/>
          <w:lang w:eastAsia="zh-CN"/>
        </w:rPr>
        <w:t>两个及以上标段</w:t>
      </w:r>
      <w:r>
        <w:rPr>
          <w:rFonts w:hint="eastAsia" w:ascii="宋体" w:hAnsi="宋体" w:cs="宋体"/>
          <w:color w:val="auto"/>
          <w:sz w:val="24"/>
          <w:szCs w:val="24"/>
          <w:highlight w:val="none"/>
        </w:rPr>
        <w:t>评分排名均</w:t>
      </w:r>
      <w:r>
        <w:rPr>
          <w:rFonts w:hint="eastAsia" w:ascii="宋体" w:hAnsi="宋体" w:cs="宋体"/>
          <w:color w:val="auto"/>
          <w:sz w:val="24"/>
          <w:szCs w:val="24"/>
          <w:highlight w:val="none"/>
          <w:lang w:eastAsia="zh-CN"/>
        </w:rPr>
        <w:t>排第一</w:t>
      </w:r>
      <w:r>
        <w:rPr>
          <w:rFonts w:hint="eastAsia" w:ascii="宋体" w:hAnsi="宋体" w:cs="宋体"/>
          <w:color w:val="auto"/>
          <w:sz w:val="24"/>
          <w:szCs w:val="24"/>
          <w:highlight w:val="none"/>
        </w:rPr>
        <w:t>的情况下由投标单位在投标文件中承诺优先中何标段。如某标段排名第一的投标人已经中了其他标段，则该标段由排名第二的投标人中标。</w:t>
      </w:r>
    </w:p>
    <w:p w14:paraId="3233090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color w:val="auto"/>
          <w:sz w:val="24"/>
          <w:szCs w:val="24"/>
          <w:highlight w:val="none"/>
        </w:rPr>
        <w:t>本项目不接受联合体投标。</w:t>
      </w:r>
    </w:p>
    <w:p w14:paraId="786698C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6929238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7490C2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2.落实政府采购政策需满足的资格要求：</w:t>
      </w:r>
      <w:r>
        <w:rPr>
          <w:rFonts w:hint="eastAsia" w:ascii="宋体" w:hAnsi="宋体"/>
          <w:color w:val="auto"/>
          <w:sz w:val="24"/>
          <w:szCs w:val="24"/>
          <w:highlight w:val="none"/>
          <w:lang w:val="en-US" w:eastAsia="zh-CN"/>
        </w:rPr>
        <w:t>本项目专门面向中小企业采购（残疾人福利性单位、监狱企业视同小型、微型企业）</w:t>
      </w:r>
      <w:r>
        <w:rPr>
          <w:rFonts w:hint="eastAsia" w:ascii="宋体" w:hAnsi="宋体"/>
          <w:color w:val="auto"/>
          <w:sz w:val="24"/>
          <w:szCs w:val="24"/>
          <w:highlight w:val="none"/>
          <w:lang w:eastAsia="zh-CN"/>
        </w:rPr>
        <w:t>。</w:t>
      </w:r>
    </w:p>
    <w:p w14:paraId="314E2C2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3.具备采购人根据招标项目的特殊要求规定的以下特定资质：未被“信用中国”网站列入失信被执行人、重大税收违法案件当事人名单、政府采购严重违法失信行为记录名单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w:t>
      </w:r>
    </w:p>
    <w:p w14:paraId="1121DCB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AEC97C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20EF697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（1）访问“江苏政府采购网”点击“苏采云”进行账号注册，注册完成后需在系统中填写资质信息并提交审核。也可以直接通过http://jszfcg.jsczt.cn/进入注册界面。</w:t>
      </w:r>
    </w:p>
    <w:p w14:paraId="7FB1B59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w:t>
      </w:r>
      <w:r>
        <w:rPr>
          <w:rFonts w:hint="eastAsia" w:ascii="宋体" w:hAnsi="宋体"/>
          <w:color w:val="auto"/>
          <w:sz w:val="24"/>
          <w:szCs w:val="24"/>
          <w:highlight w:val="none"/>
          <w:lang w:val="en-US" w:eastAsia="zh-CN"/>
        </w:rPr>
        <w:t>一楼</w:t>
      </w:r>
      <w:r>
        <w:rPr>
          <w:rFonts w:hint="eastAsia" w:ascii="宋体" w:hAnsi="宋体"/>
          <w:color w:val="auto"/>
          <w:sz w:val="24"/>
          <w:szCs w:val="24"/>
          <w:highlight w:val="none"/>
        </w:rPr>
        <w:t>窗口），办理指南链接：http://jsxcmm.com/help/help.html。</w:t>
      </w:r>
    </w:p>
    <w:p w14:paraId="43E76DA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（3）CA驱动下载：</w:t>
      </w:r>
    </w:p>
    <w:p w14:paraId="322862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186141E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3BD7235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7EE14BE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55240A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9E5581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2B19339B">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6C3C0AB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2.招标文件（后缀名为“.kedt”）、“苏采云”系统供应商操作手册及政府采购客户端工具也可通过“苏采云”系统－－已参与项目－－报名详情页面内相应链接进行下载。</w:t>
      </w:r>
    </w:p>
    <w:p w14:paraId="71845BC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4891208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72BFB62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江苏智汇锡建工程项目管理有限公司</w:t>
      </w:r>
      <w:r>
        <w:rPr>
          <w:rFonts w:hint="eastAsia" w:ascii="宋体" w:hAnsi="宋体"/>
          <w:bCs/>
          <w:color w:val="auto"/>
          <w:sz w:val="24"/>
          <w:szCs w:val="24"/>
          <w:highlight w:val="none"/>
        </w:rPr>
        <w:t>将以线上不见面、电话咨询、传真等方式开展线上答疑服务。</w:t>
      </w:r>
      <w:r>
        <w:rPr>
          <w:rFonts w:hint="eastAsia" w:ascii="宋体" w:hAnsi="宋体"/>
          <w:bCs/>
          <w:color w:val="auto"/>
          <w:sz w:val="24"/>
          <w:szCs w:val="24"/>
          <w:highlight w:val="none"/>
          <w:lang w:eastAsia="zh-CN"/>
        </w:rPr>
        <w:t>截至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日1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00</w:t>
      </w:r>
      <w:r>
        <w:rPr>
          <w:rFonts w:hint="eastAsia" w:ascii="宋体" w:hAnsi="宋体" w:cs="宋体"/>
          <w:color w:val="auto"/>
          <w:sz w:val="24"/>
          <w:szCs w:val="24"/>
          <w:highlight w:val="none"/>
        </w:rPr>
        <w:t>，</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JSZC-320214-JSZH-G2026-0029</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7F46A3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26B09A1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4C07E9B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s="宋体"/>
          <w:color w:val="auto"/>
          <w:sz w:val="24"/>
          <w:szCs w:val="24"/>
          <w:highlight w:val="none"/>
        </w:rPr>
        <w:t>网上投标截止时间：202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29FFAC3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网上投标解密时间：202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日开启解密后半小时。</w:t>
      </w:r>
    </w:p>
    <w:p w14:paraId="4016D8C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3" w:name="_Toc28359007"/>
      <w:r>
        <w:rPr>
          <w:rFonts w:hint="eastAsia" w:ascii="宋体" w:hAnsi="宋体" w:cs="宋体"/>
          <w:color w:val="auto"/>
          <w:sz w:val="24"/>
          <w:szCs w:val="24"/>
          <w:highlight w:val="none"/>
        </w:rPr>
        <w:t>“苏采云”系统（网址：http://jszfcg.jsczt.cn/）</w:t>
      </w:r>
      <w:bookmarkEnd w:id="3"/>
    </w:p>
    <w:p w14:paraId="08916E5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bCs/>
          <w:color w:val="auto"/>
          <w:sz w:val="24"/>
          <w:szCs w:val="24"/>
          <w:highlight w:val="none"/>
        </w:rPr>
      </w:pPr>
      <w:r>
        <w:rPr>
          <w:rFonts w:hint="eastAsia" w:ascii="宋体" w:hAnsi="宋体"/>
          <w:bCs/>
          <w:color w:val="auto"/>
          <w:sz w:val="24"/>
          <w:szCs w:val="24"/>
          <w:highlight w:val="none"/>
        </w:rPr>
        <w:t>定标时间：评标结束</w:t>
      </w:r>
    </w:p>
    <w:p w14:paraId="7DC9072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542F755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79858A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23C664E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24E8850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黑体" w:hAnsi="黑体" w:eastAsia="黑体"/>
          <w:bCs/>
          <w:color w:val="auto"/>
          <w:sz w:val="24"/>
          <w:szCs w:val="24"/>
          <w:highlight w:val="none"/>
        </w:rPr>
      </w:pPr>
      <w:r>
        <w:rPr>
          <w:rFonts w:hint="eastAsia" w:ascii="黑体" w:hAnsi="黑体" w:eastAsia="黑体"/>
          <w:bCs/>
          <w:color w:val="auto"/>
          <w:sz w:val="24"/>
          <w:szCs w:val="24"/>
          <w:highlight w:val="none"/>
        </w:rPr>
        <w:t>（九）本次采购联系方式</w:t>
      </w:r>
    </w:p>
    <w:p w14:paraId="29B1A808">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有关本次采购活动程序方面的问题，可来人、来函（传真）或电话联系。</w:t>
      </w:r>
    </w:p>
    <w:p w14:paraId="0A25C262">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采购人：无锡市新吴生态环境局</w:t>
      </w:r>
    </w:p>
    <w:p w14:paraId="79FB7D84">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采购人地址：无锡市新吴区净慧东道70号</w:t>
      </w:r>
    </w:p>
    <w:p w14:paraId="0EB5AD08">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default" w:eastAsia="宋体" w:cs="宋体"/>
          <w:color w:val="auto"/>
          <w:highlight w:val="none"/>
          <w:lang w:val="en-US" w:eastAsia="zh-CN"/>
        </w:rPr>
      </w:pPr>
      <w:r>
        <w:rPr>
          <w:rFonts w:hint="eastAsia" w:cs="宋体"/>
          <w:color w:val="auto"/>
          <w:highlight w:val="none"/>
          <w:lang w:val="zh-CN"/>
        </w:rPr>
        <w:t>联系人：</w:t>
      </w:r>
      <w:r>
        <w:rPr>
          <w:rFonts w:hint="eastAsia" w:cs="宋体"/>
          <w:color w:val="auto"/>
          <w:highlight w:val="none"/>
          <w:lang w:val="en-US" w:eastAsia="zh-CN"/>
        </w:rPr>
        <w:t>吴嫣</w:t>
      </w:r>
    </w:p>
    <w:p w14:paraId="57028CA7">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default" w:eastAsia="宋体" w:cs="宋体"/>
          <w:color w:val="auto"/>
          <w:highlight w:val="none"/>
          <w:lang w:val="en-US" w:eastAsia="zh-CN"/>
        </w:rPr>
      </w:pPr>
      <w:r>
        <w:rPr>
          <w:rFonts w:hint="eastAsia" w:cs="宋体"/>
          <w:color w:val="auto"/>
          <w:highlight w:val="none"/>
          <w:lang w:val="zh-CN"/>
        </w:rPr>
        <w:t>联系电话：0510-80595928</w:t>
      </w:r>
    </w:p>
    <w:p w14:paraId="27C9C134">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采购代理机构：江苏智汇锡建工程项目管理有限公司</w:t>
      </w:r>
    </w:p>
    <w:p w14:paraId="13E59CB4">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信用代码：91320214727400523L</w:t>
      </w:r>
    </w:p>
    <w:p w14:paraId="6D3A5560">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联系人：徐丽平、吴雨洁</w:t>
      </w:r>
    </w:p>
    <w:p w14:paraId="72875334">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联系电话：0510-82796055</w:t>
      </w:r>
    </w:p>
    <w:p w14:paraId="38F45C7F">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eastAsia="宋体" w:cs="宋体"/>
          <w:color w:val="auto"/>
          <w:highlight w:val="none"/>
          <w:lang w:eastAsia="zh-CN"/>
        </w:rPr>
      </w:pPr>
      <w:r>
        <w:rPr>
          <w:rFonts w:hint="eastAsia" w:cs="宋体"/>
          <w:color w:val="auto"/>
          <w:highlight w:val="none"/>
          <w:lang w:val="zh-CN"/>
        </w:rPr>
        <w:t>联系地址：</w:t>
      </w:r>
      <w:r>
        <w:rPr>
          <w:rFonts w:hint="eastAsia"/>
          <w:bCs/>
          <w:color w:val="auto"/>
          <w:highlight w:val="none"/>
          <w:lang w:eastAsia="zh-CN"/>
        </w:rPr>
        <w:t>无锡市新吴区和风路19号启迪协信中心6号楼9楼</w:t>
      </w:r>
    </w:p>
    <w:p w14:paraId="68F362F7">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7928561F">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cs="宋体"/>
          <w:color w:val="auto"/>
          <w:highlight w:val="none"/>
        </w:rPr>
      </w:pPr>
      <w:r>
        <w:rPr>
          <w:rFonts w:hint="eastAsia" w:cs="宋体"/>
          <w:color w:val="auto"/>
          <w:highlight w:val="none"/>
          <w:lang w:val="zh-CN"/>
        </w:rPr>
        <w:t>电子邮件地址</w:t>
      </w:r>
      <w:r>
        <w:rPr>
          <w:rFonts w:hint="eastAsia" w:cs="宋体"/>
          <w:color w:val="auto"/>
          <w:highlight w:val="none"/>
        </w:rPr>
        <w:t>：jszh009@163.com</w:t>
      </w:r>
    </w:p>
    <w:p w14:paraId="39FBE783">
      <w:pPr>
        <w:pStyle w:val="187"/>
        <w:keepNext w:val="0"/>
        <w:keepLines w:val="0"/>
        <w:pageBreakBefore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ascii="黑体" w:hAnsi="黑体" w:eastAsia="黑体"/>
          <w:bCs/>
          <w:color w:val="auto"/>
          <w:highlight w:val="none"/>
        </w:rPr>
      </w:pPr>
      <w:r>
        <w:rPr>
          <w:rFonts w:hint="eastAsia" w:ascii="黑体" w:hAnsi="黑体" w:eastAsia="黑体"/>
          <w:bCs/>
          <w:color w:val="auto"/>
          <w:highlight w:val="none"/>
        </w:rPr>
        <w:t>（十）其他</w:t>
      </w:r>
    </w:p>
    <w:p w14:paraId="032FFD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54E2D34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11D6243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1F1C82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754A8E20">
      <w:pPr>
        <w:pStyle w:val="187"/>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5F2E36C8">
      <w:pPr>
        <w:pStyle w:val="187"/>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4" w:name="_Toc380"/>
      <w:bookmarkStart w:id="5" w:name="_Toc18269"/>
      <w:r>
        <w:rPr>
          <w:rFonts w:hint="eastAsia" w:ascii="黑体" w:eastAsia="黑体"/>
          <w:bCs/>
          <w:color w:val="auto"/>
          <w:sz w:val="28"/>
          <w:szCs w:val="28"/>
          <w:highlight w:val="none"/>
        </w:rPr>
        <w:t>二</w:t>
      </w: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rPr>
        <w:t>投标人须知</w:t>
      </w:r>
      <w:bookmarkEnd w:id="4"/>
      <w:bookmarkEnd w:id="5"/>
    </w:p>
    <w:p w14:paraId="568264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1B9FFD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2C82E602">
      <w:pPr>
        <w:keepNext w:val="0"/>
        <w:keepLines w:val="0"/>
        <w:pageBreakBefore w:val="0"/>
        <w:widowControl w:val="0"/>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53FC6F8A">
      <w:pPr>
        <w:keepNext w:val="0"/>
        <w:keepLines w:val="0"/>
        <w:pageBreakBefore w:val="0"/>
        <w:widowControl w:val="0"/>
        <w:numPr>
          <w:ilvl w:val="0"/>
          <w:numId w:val="3"/>
        </w:numPr>
        <w:tabs>
          <w:tab w:val="left" w:pos="-126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489733A6">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58BBF15A">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）下载招标文件及有关资料，按要求制作、上传投标文件，对招标文件各项内容做出实质性响应，否则投标无效。</w:t>
      </w:r>
    </w:p>
    <w:p w14:paraId="19ADE07F">
      <w:pPr>
        <w:keepNext w:val="0"/>
        <w:keepLines w:val="0"/>
        <w:pageBreakBefore w:val="0"/>
        <w:widowControl w:val="0"/>
        <w:numPr>
          <w:ilvl w:val="0"/>
          <w:numId w:val="3"/>
        </w:numPr>
        <w:tabs>
          <w:tab w:val="left" w:pos="0"/>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3384F71E">
      <w:pPr>
        <w:keepNext w:val="0"/>
        <w:keepLines w:val="0"/>
        <w:pageBreakBefore w:val="0"/>
        <w:widowControl w:val="0"/>
        <w:tabs>
          <w:tab w:val="left" w:pos="630"/>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347C8CD4">
      <w:pPr>
        <w:keepNext w:val="0"/>
        <w:keepLines w:val="0"/>
        <w:pageBreakBefore w:val="0"/>
        <w:widowControl w:val="0"/>
        <w:tabs>
          <w:tab w:val="left" w:pos="945"/>
        </w:tabs>
        <w:kinsoku/>
        <w:wordWrap/>
        <w:overflowPunct/>
        <w:topLinePunct w:val="0"/>
        <w:autoSpaceDE/>
        <w:autoSpaceDN/>
        <w:bidi w:val="0"/>
        <w:adjustRightInd/>
        <w:snapToGrid/>
        <w:spacing w:line="360" w:lineRule="auto"/>
        <w:ind w:left="523"/>
        <w:textAlignment w:val="auto"/>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09F5C5E">
      <w:pPr>
        <w:keepNext w:val="0"/>
        <w:keepLines w:val="0"/>
        <w:pageBreakBefore w:val="0"/>
        <w:widowControl w:val="0"/>
        <w:tabs>
          <w:tab w:val="left" w:pos="945"/>
        </w:tabs>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招标文件的补充或修正：</w:t>
      </w:r>
    </w:p>
    <w:p w14:paraId="318E3B3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1.江苏智汇锡建工程项目管理有限公司可在投标截止时间十五日前对招标文件进行必要的澄清或者修改，不足15日的，将顺延提交投标文件的截止时间。</w:t>
      </w:r>
    </w:p>
    <w:p w14:paraId="352E043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2.如需对招标文件进行澄清或修正，江苏智汇锡建工程项目管理有限公司将在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7472082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14:paraId="313EA2E1">
      <w:pPr>
        <w:keepNext w:val="0"/>
        <w:keepLines w:val="0"/>
        <w:pageBreakBefore w:val="0"/>
        <w:widowControl w:val="0"/>
        <w:tabs>
          <w:tab w:val="left" w:pos="945"/>
        </w:tabs>
        <w:kinsoku/>
        <w:wordWrap/>
        <w:overflowPunct/>
        <w:topLinePunct w:val="0"/>
        <w:autoSpaceDE/>
        <w:autoSpaceDN/>
        <w:bidi w:val="0"/>
        <w:adjustRightInd/>
        <w:snapToGrid/>
        <w:spacing w:line="360" w:lineRule="auto"/>
        <w:ind w:left="1200" w:hanging="72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4BCAFF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312457C">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628169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22718B03">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53691C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085732A7">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116B831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2E063E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448C763D">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6A3E949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046ED9EC">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3EBDFC4E">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09E166D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4EC9C22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5B37230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2389D75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质疑的受理与答复</w:t>
      </w:r>
    </w:p>
    <w:p w14:paraId="55CD5DA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5EC5E4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14899F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30BD5C0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接收单位：江苏智汇锡建工程项目管理有限公司</w:t>
      </w:r>
    </w:p>
    <w:p w14:paraId="192590F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地址：</w:t>
      </w:r>
      <w:r>
        <w:rPr>
          <w:rFonts w:hint="eastAsia" w:ascii="宋体" w:hAnsi="宋体"/>
          <w:bCs/>
          <w:color w:val="auto"/>
          <w:sz w:val="24"/>
          <w:szCs w:val="24"/>
          <w:highlight w:val="none"/>
          <w:lang w:eastAsia="zh-CN"/>
        </w:rPr>
        <w:t>无锡市新吴区和风路19号启迪协信中心6号楼9楼</w:t>
      </w:r>
    </w:p>
    <w:p w14:paraId="5DAA5967">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邮编：214000</w:t>
      </w:r>
    </w:p>
    <w:p w14:paraId="4AEDF76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联系人：吴雨洁</w:t>
      </w:r>
    </w:p>
    <w:p w14:paraId="6669754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电话：0510-82796055</w:t>
      </w:r>
    </w:p>
    <w:p w14:paraId="665861A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1253EAF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ED22F5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投诉的提起</w:t>
      </w:r>
    </w:p>
    <w:p w14:paraId="1294CF12">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5DE0C85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9A235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5BA3F6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4D8312D6">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276FB1D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122B3E4">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66737A75">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1F741BC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643A450B">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56F0F770">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60CB1B91">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07BE2A6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098FF47A">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7465739">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66475E0F">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4F170208">
      <w:pPr>
        <w:keepNext w:val="0"/>
        <w:keepLines w:val="0"/>
        <w:pageBreakBefore w:val="0"/>
        <w:widowControl w:val="0"/>
        <w:tabs>
          <w:tab w:val="left" w:pos="0"/>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358567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70D60379">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A58E21C">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684AE65D">
      <w:pPr>
        <w:pStyle w:val="357"/>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360" w:lineRule="auto"/>
        <w:ind w:left="0" w:firstLine="567"/>
        <w:textAlignment w:val="auto"/>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BE9A7AA">
      <w:pPr>
        <w:pStyle w:val="357"/>
        <w:keepNext w:val="0"/>
        <w:keepLines w:val="0"/>
        <w:pageBreakBefore w:val="0"/>
        <w:widowControl w:val="0"/>
        <w:numPr>
          <w:ilvl w:val="1"/>
          <w:numId w:val="4"/>
        </w:numPr>
        <w:tabs>
          <w:tab w:val="left" w:pos="1276"/>
        </w:tabs>
        <w:kinsoku/>
        <w:wordWrap/>
        <w:overflowPunct/>
        <w:topLinePunct w:val="0"/>
        <w:autoSpaceDE/>
        <w:autoSpaceDN/>
        <w:bidi w:val="0"/>
        <w:adjustRightInd/>
        <w:snapToGrid/>
        <w:spacing w:line="360" w:lineRule="auto"/>
        <w:ind w:left="0" w:firstLine="567"/>
        <w:textAlignment w:val="auto"/>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20D3838B">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6326EDF4">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4D0E7D9D">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5C2A63A4">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6603C1">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近两年（2024年或2025年）中任意一年度</w:t>
      </w:r>
      <w:r>
        <w:rPr>
          <w:rFonts w:hint="eastAsia" w:ascii="宋体" w:hAnsi="宋体"/>
          <w:bCs/>
          <w:color w:val="auto"/>
          <w:sz w:val="24"/>
          <w:szCs w:val="24"/>
          <w:highlight w:val="none"/>
        </w:rPr>
        <w:t>的审计报告和所附已审财务报告；</w:t>
      </w:r>
    </w:p>
    <w:p w14:paraId="2260A8D7">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54A7918B">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3F24E54D">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bCs/>
          <w:color w:val="auto"/>
          <w:sz w:val="24"/>
          <w:szCs w:val="24"/>
          <w:highlight w:val="none"/>
          <w:lang w:eastAsia="zh-CN"/>
        </w:rPr>
        <w:t>服务保障承诺书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12CA735F">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r>
        <w:rPr>
          <w:rFonts w:hint="eastAsia" w:ascii="宋体"/>
          <w:bCs/>
          <w:color w:val="auto"/>
          <w:sz w:val="24"/>
          <w:szCs w:val="24"/>
          <w:highlight w:val="none"/>
          <w:lang w:eastAsia="zh-CN"/>
        </w:rPr>
        <w:t>；</w:t>
      </w:r>
    </w:p>
    <w:p w14:paraId="76F7F621">
      <w:pPr>
        <w:keepNext w:val="0"/>
        <w:keepLines w:val="0"/>
        <w:pageBreakBefore w:val="0"/>
        <w:widowControl w:val="0"/>
        <w:numPr>
          <w:ilvl w:val="1"/>
          <w:numId w:val="4"/>
        </w:numPr>
        <w:tabs>
          <w:tab w:val="left" w:pos="945"/>
          <w:tab w:val="left" w:pos="1276"/>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1CF35359">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3B182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78DC27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cs="宋体"/>
          <w:bCs/>
          <w:color w:val="auto"/>
          <w:sz w:val="24"/>
          <w:szCs w:val="24"/>
          <w:highlight w:val="none"/>
        </w:rPr>
        <w:t>项目管理机构配备情况表（</w:t>
      </w:r>
      <w:r>
        <w:rPr>
          <w:rFonts w:hint="eastAsia" w:ascii="宋体" w:hAnsi="宋体" w:cs="宋体"/>
          <w:b/>
          <w:bCs/>
          <w:color w:val="auto"/>
          <w:sz w:val="24"/>
          <w:szCs w:val="24"/>
          <w:highlight w:val="none"/>
        </w:rPr>
        <w:t>格式见附件）</w:t>
      </w:r>
    </w:p>
    <w:p w14:paraId="7DF958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eastAsia="zh-CN"/>
        </w:rPr>
        <w:t>.</w:t>
      </w:r>
      <w:r>
        <w:rPr>
          <w:rFonts w:hint="eastAsia" w:ascii="宋体" w:hAnsi="宋体" w:cs="宋体"/>
          <w:bCs/>
          <w:color w:val="auto"/>
          <w:sz w:val="24"/>
          <w:szCs w:val="24"/>
          <w:highlight w:val="none"/>
        </w:rPr>
        <w:t>项目负责人简历表（</w:t>
      </w:r>
      <w:r>
        <w:rPr>
          <w:rFonts w:hint="eastAsia" w:ascii="宋体" w:hAnsi="宋体" w:cs="宋体"/>
          <w:b/>
          <w:bCs/>
          <w:color w:val="auto"/>
          <w:sz w:val="24"/>
          <w:szCs w:val="24"/>
          <w:highlight w:val="none"/>
        </w:rPr>
        <w:t>格式见附件）</w:t>
      </w:r>
    </w:p>
    <w:p w14:paraId="0F575E3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492D24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lang w:eastAsia="zh-CN"/>
        </w:rPr>
        <w:t>.中标标段优先顺序承诺函（</w:t>
      </w:r>
      <w:r>
        <w:rPr>
          <w:rFonts w:hint="eastAsia" w:ascii="宋体" w:hAnsi="宋体"/>
          <w:b/>
          <w:bCs w:val="0"/>
          <w:color w:val="auto"/>
          <w:sz w:val="24"/>
          <w:szCs w:val="24"/>
          <w:highlight w:val="none"/>
          <w:lang w:eastAsia="zh-CN"/>
        </w:rPr>
        <w:t>如参加多标段投标，本项必须提供，格式见附件</w:t>
      </w:r>
      <w:r>
        <w:rPr>
          <w:rFonts w:hint="eastAsia" w:ascii="宋体" w:hAnsi="宋体"/>
          <w:bCs/>
          <w:color w:val="auto"/>
          <w:sz w:val="24"/>
          <w:szCs w:val="24"/>
          <w:highlight w:val="none"/>
          <w:lang w:eastAsia="zh-CN"/>
        </w:rPr>
        <w:t>）</w:t>
      </w:r>
    </w:p>
    <w:p w14:paraId="24DA2D1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技术文件</w:t>
      </w:r>
      <w:r>
        <w:rPr>
          <w:rFonts w:hint="eastAsia" w:ascii="宋体" w:hAnsi="宋体"/>
          <w:b/>
          <w:color w:val="auto"/>
          <w:sz w:val="24"/>
          <w:szCs w:val="24"/>
          <w:highlight w:val="none"/>
        </w:rPr>
        <w:t>（内容参照评标办法</w:t>
      </w: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格式自拟</w:t>
      </w:r>
      <w:r>
        <w:rPr>
          <w:rFonts w:hint="eastAsia" w:ascii="宋体" w:hAnsi="宋体"/>
          <w:b/>
          <w:color w:val="auto"/>
          <w:sz w:val="24"/>
          <w:szCs w:val="24"/>
          <w:highlight w:val="none"/>
        </w:rPr>
        <w:t>）</w:t>
      </w:r>
    </w:p>
    <w:p w14:paraId="1B2C3A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评分标准中对应的其他所需证明材料（如有自行添加）</w:t>
      </w:r>
    </w:p>
    <w:p w14:paraId="35D834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eastAsia="zh-CN"/>
        </w:rPr>
        <w:t>1</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要求采购人提供的配合（如有自拟并自行添加）</w:t>
      </w:r>
    </w:p>
    <w:p w14:paraId="5A7A06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其他（报价人认为有必要提供的声明和文件，如有自拟并自行添加）</w:t>
      </w:r>
    </w:p>
    <w:p w14:paraId="4603F3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6E429D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01A604C4">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514E34D5">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402E6015">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22B2AF6B">
      <w:pPr>
        <w:keepNext w:val="0"/>
        <w:keepLines w:val="0"/>
        <w:pageBreakBefore w:val="0"/>
        <w:widowControl w:val="0"/>
        <w:numPr>
          <w:ilvl w:val="0"/>
          <w:numId w:val="5"/>
        </w:numPr>
        <w:tabs>
          <w:tab w:val="left" w:pos="525"/>
          <w:tab w:val="left" w:pos="94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投标费用自理。</w:t>
      </w:r>
    </w:p>
    <w:p w14:paraId="3973D775">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1877EE60">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投标供应商应由其法定代表人或法定代表人授权代表在规定的网上投标时间内，凭CA数字证书登陆苏采云平台获取招标文件，在投标客户端制作投标文件（电子数据），并在投标截止时间之前上传投标文件。</w:t>
      </w:r>
    </w:p>
    <w:p w14:paraId="06CCC2BD">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48845131">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01081A07">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2045C971">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1F1B5A8C">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2DEA114D">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72D449BF">
      <w:pPr>
        <w:keepNext w:val="0"/>
        <w:keepLines w:val="0"/>
        <w:pageBreakBefore w:val="0"/>
        <w:widowControl w:val="0"/>
        <w:numPr>
          <w:ilvl w:val="0"/>
          <w:numId w:val="6"/>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
          <w:bCs w:val="0"/>
          <w:color w:val="auto"/>
          <w:sz w:val="24"/>
          <w:szCs w:val="24"/>
          <w:highlight w:val="none"/>
        </w:rPr>
      </w:pPr>
      <w:r>
        <w:rPr>
          <w:rFonts w:hint="eastAsia" w:ascii="宋体" w:hAnsi="宋体"/>
          <w:b/>
          <w:bCs w:val="0"/>
          <w:color w:val="auto"/>
          <w:sz w:val="24"/>
          <w:szCs w:val="24"/>
          <w:highlight w:val="none"/>
        </w:rPr>
        <w:t>请投标人实时关注评标过程，一旦发现有询标函，请按时回复，请投标人密切关注评标过程，因投标人未尽注意义务，而造成的损失及风险（包括但不限于未中标）由投标人自行承担。</w:t>
      </w:r>
    </w:p>
    <w:p w14:paraId="47B97818">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54DAC8E2">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1A7F1BD8">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762" w:leftChars="0" w:hanging="210"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color w:val="auto"/>
          <w:sz w:val="24"/>
          <w:szCs w:val="24"/>
          <w:highlight w:val="none"/>
        </w:rPr>
        <w:t>未按规定在江苏省政府采购（苏采云）平台注册的；</w:t>
      </w:r>
    </w:p>
    <w:p w14:paraId="1E3CF9B3">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电子投标文件未按规定期限投标的，纸质投标文件（如有）未按规定的期限、地点送达的；</w:t>
      </w:r>
    </w:p>
    <w:p w14:paraId="10AFB79A">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电子投标文件未按招标文件要求签章的；</w:t>
      </w:r>
    </w:p>
    <w:p w14:paraId="60518120">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4.</w:t>
      </w:r>
      <w:r>
        <w:rPr>
          <w:rFonts w:hint="eastAsia" w:ascii="宋体" w:hAnsi="宋体"/>
          <w:bCs/>
          <w:color w:val="auto"/>
          <w:sz w:val="24"/>
          <w:szCs w:val="24"/>
          <w:highlight w:val="none"/>
        </w:rPr>
        <w:t>投标人未按招标文件要求解密电子投标文件的；</w:t>
      </w:r>
    </w:p>
    <w:p w14:paraId="0160D0B5">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5.</w:t>
      </w:r>
      <w:r>
        <w:rPr>
          <w:rFonts w:hint="eastAsia" w:ascii="宋体" w:hAnsi="宋体"/>
          <w:bCs/>
          <w:color w:val="auto"/>
          <w:sz w:val="24"/>
          <w:szCs w:val="24"/>
          <w:highlight w:val="none"/>
        </w:rPr>
        <w:t>投标人的法定代表人授权代表，无法定代表人授权委托书的；</w:t>
      </w:r>
    </w:p>
    <w:p w14:paraId="5343AB54">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6.</w:t>
      </w:r>
      <w:r>
        <w:rPr>
          <w:rFonts w:hint="eastAsia" w:ascii="宋体" w:hAnsi="宋体"/>
          <w:bCs/>
          <w:color w:val="auto"/>
          <w:sz w:val="24"/>
          <w:szCs w:val="24"/>
          <w:highlight w:val="none"/>
        </w:rPr>
        <w:t>不具备招标文件中规定的资格要求或未按招标文件规定的要求提供资格、资信证明文件的；</w:t>
      </w:r>
    </w:p>
    <w:p w14:paraId="6213FEC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7.</w:t>
      </w: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243B9A8D">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8.</w:t>
      </w:r>
      <w:r>
        <w:rPr>
          <w:rFonts w:hint="eastAsia" w:ascii="宋体" w:hAnsi="宋体"/>
          <w:bCs/>
          <w:color w:val="auto"/>
          <w:sz w:val="24"/>
          <w:szCs w:val="24"/>
          <w:highlight w:val="none"/>
        </w:rPr>
        <w:t>投标文件未按招标文件规定的内容和要求填写的；没有在投标系统指定位置上传对应文件、材料的；</w:t>
      </w:r>
    </w:p>
    <w:p w14:paraId="4B6B1E6F">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9.</w:t>
      </w:r>
      <w:r>
        <w:rPr>
          <w:rFonts w:hint="eastAsia" w:ascii="宋体" w:hAnsi="宋体"/>
          <w:bCs/>
          <w:color w:val="auto"/>
          <w:sz w:val="24"/>
          <w:szCs w:val="24"/>
          <w:highlight w:val="none"/>
        </w:rPr>
        <w:t>电子投标文件图片、字迹模糊不清、无法辨认的；</w:t>
      </w:r>
    </w:p>
    <w:p w14:paraId="0C387904">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10.</w:t>
      </w:r>
      <w:r>
        <w:rPr>
          <w:rFonts w:hint="eastAsia" w:ascii="宋体" w:hAnsi="宋体"/>
          <w:bCs/>
          <w:color w:val="auto"/>
          <w:sz w:val="24"/>
          <w:szCs w:val="24"/>
          <w:highlight w:val="none"/>
        </w:rPr>
        <w:t>投标文件中有招标文件未允许提供的选择性内容；</w:t>
      </w:r>
    </w:p>
    <w:p w14:paraId="1D0EE560">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11.</w:t>
      </w:r>
      <w:r>
        <w:rPr>
          <w:rFonts w:hint="eastAsia" w:ascii="宋体" w:hAnsi="宋体"/>
          <w:bCs/>
          <w:color w:val="auto"/>
          <w:sz w:val="24"/>
          <w:szCs w:val="24"/>
          <w:highlight w:val="none"/>
        </w:rPr>
        <w:t>不同投标人委托同一单位或者个人办理投标事宜的；</w:t>
      </w:r>
    </w:p>
    <w:p w14:paraId="7ED2101A">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12.</w:t>
      </w:r>
      <w:r>
        <w:rPr>
          <w:rFonts w:hint="eastAsia" w:ascii="宋体" w:hAnsi="宋体"/>
          <w:bCs/>
          <w:color w:val="auto"/>
          <w:sz w:val="24"/>
          <w:szCs w:val="24"/>
          <w:highlight w:val="none"/>
        </w:rPr>
        <w:t>不同投标人的单位负责人为同一人或者存在直接控股、管理关系的；</w:t>
      </w:r>
    </w:p>
    <w:p w14:paraId="53F9E69F">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13.</w:t>
      </w: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78C6AD0A">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14.</w:t>
      </w: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22F705E3">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15.</w:t>
      </w: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03D85334">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16.</w:t>
      </w:r>
      <w:r>
        <w:rPr>
          <w:rFonts w:hint="eastAsia" w:ascii="宋体" w:hAnsi="宋体"/>
          <w:bCs/>
          <w:color w:val="auto"/>
          <w:sz w:val="24"/>
          <w:szCs w:val="24"/>
          <w:highlight w:val="none"/>
        </w:rPr>
        <w:t>项目（标段）投标总价超过本项目（标段）预算或最高限价的；</w:t>
      </w:r>
    </w:p>
    <w:p w14:paraId="6273DBDD">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17.</w:t>
      </w:r>
      <w:r>
        <w:rPr>
          <w:rFonts w:hint="eastAsia" w:ascii="宋体" w:hAnsi="宋体"/>
          <w:bCs/>
          <w:color w:val="auto"/>
          <w:sz w:val="24"/>
          <w:szCs w:val="24"/>
          <w:highlight w:val="none"/>
        </w:rPr>
        <w:t>提供虚假材料的（包括工商营业执照、财务报表、资格证明文件等）；</w:t>
      </w:r>
    </w:p>
    <w:p w14:paraId="1B404168">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18.</w:t>
      </w:r>
      <w:r>
        <w:rPr>
          <w:rFonts w:hint="eastAsia" w:ascii="宋体" w:hAnsi="宋体"/>
          <w:bCs/>
          <w:color w:val="auto"/>
          <w:sz w:val="24"/>
          <w:szCs w:val="24"/>
          <w:highlight w:val="none"/>
        </w:rPr>
        <w:t>投标文件含有采购人不能接受的附加条件的；</w:t>
      </w:r>
    </w:p>
    <w:p w14:paraId="5E6857AB">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19.</w:t>
      </w:r>
      <w:r>
        <w:rPr>
          <w:rFonts w:hint="eastAsia" w:ascii="宋体" w:hAnsi="宋体" w:eastAsia="宋体" w:cs="Times New Roman"/>
          <w:bCs/>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210C3387">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（1）投标（响应）报价低于全部通过符合性审查供应商投标（响应）报价平均值50%的，即投标（响应）报价＜全部通过符合性审查供应商投标（响应）报价平均值×50%；</w:t>
      </w:r>
    </w:p>
    <w:p w14:paraId="6B9A15E7">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（2）投标（响应）报价低于通过符合性审查的次低报价供应商投标（响应）报价50%的，即投标（响应）报价＜通过符合性审查的次低报价供应商投标（响应）报价×50%；</w:t>
      </w:r>
    </w:p>
    <w:p w14:paraId="3039A2C0">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（3）投标（响应）报价低于采购项目最高限价45%的，即投标（响应）报价＜采购项目最高限价×45%；</w:t>
      </w:r>
    </w:p>
    <w:p w14:paraId="37F9D780">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（4）评审委员会基于专业判断，认为供应商报价过低，有可能影响产品质量或者不能诚信履约的其他情形。</w:t>
      </w:r>
    </w:p>
    <w:p w14:paraId="168F3F65">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采购人可以结合具体项目实际情况，提高上述第1项至第3项中启动异常低价投标（响应）审查的数值标准，但是最高不得超过65%。</w:t>
      </w:r>
    </w:p>
    <w:p w14:paraId="36A6866F">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相关法律法规对供应商报价有规定的，从其规定。</w:t>
      </w:r>
    </w:p>
    <w:p w14:paraId="144B52F2">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如果项目或采购包存在有分项价格最高限价要求或单价最高限价（最高限制单价）要求时，有上述情形的，应当启动异常低价投标（响应）审查程序。</w:t>
      </w:r>
    </w:p>
    <w:p w14:paraId="330D3D0D">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F625DC2">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CD604F">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19C5BE2">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财政部门在投诉处理、监督检查中发现评审委员会未按规定对异常低价开展审查的，依法予以纠正并追究评审专家的法律责任。</w:t>
      </w:r>
    </w:p>
    <w:p w14:paraId="1EC0545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rPr>
        <w:t>20.</w:t>
      </w:r>
      <w:r>
        <w:rPr>
          <w:rFonts w:hint="eastAsia" w:ascii="宋体" w:hAnsi="宋体" w:eastAsia="宋体" w:cs="Times New Roman"/>
          <w:bCs/>
          <w:color w:val="auto"/>
          <w:sz w:val="24"/>
          <w:szCs w:val="24"/>
          <w:highlight w:val="none"/>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3B8D47CF">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Times New Roman"/>
          <w:bCs/>
          <w:color w:val="auto"/>
          <w:sz w:val="24"/>
          <w:szCs w:val="24"/>
          <w:highlight w:val="none"/>
          <w:lang w:val="en-US" w:eastAsia="zh-CN" w:bidi="ar-SA"/>
        </w:rPr>
        <w:t>1</w:t>
      </w:r>
      <w:r>
        <w:rPr>
          <w:rFonts w:hint="eastAsia" w:ascii="宋体" w:hAnsi="宋体"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除单一来源采购项目外，为采购项目提供整体设计、规范编制或者项目管理、监理、检测等服务的；</w:t>
      </w:r>
    </w:p>
    <w:p w14:paraId="68629A5D">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Times New Roman"/>
          <w:bCs/>
          <w:color w:val="auto"/>
          <w:sz w:val="24"/>
          <w:szCs w:val="24"/>
          <w:highlight w:val="none"/>
          <w:lang w:val="en-US" w:eastAsia="zh-CN" w:bidi="ar-SA"/>
        </w:rPr>
        <w:t>2</w:t>
      </w:r>
      <w:r>
        <w:rPr>
          <w:rFonts w:hint="eastAsia" w:ascii="宋体" w:hAnsi="宋体"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投标文件内容不全或不符合招标文件中规定的其他实质性要求的；</w:t>
      </w:r>
    </w:p>
    <w:p w14:paraId="3EEBF1F3">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1" w:leftChars="0" w:firstLine="523" w:firstLineChars="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Times New Roman"/>
          <w:bCs/>
          <w:color w:val="auto"/>
          <w:sz w:val="24"/>
          <w:szCs w:val="24"/>
          <w:highlight w:val="none"/>
          <w:lang w:val="en-US" w:eastAsia="zh-CN" w:bidi="ar-SA"/>
        </w:rPr>
        <w:t>3</w:t>
      </w:r>
      <w:r>
        <w:rPr>
          <w:rFonts w:hint="eastAsia" w:ascii="宋体" w:hAnsi="宋体"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法律法规和招标文件规定的其他无效情形。</w:t>
      </w:r>
    </w:p>
    <w:p w14:paraId="0EAC9973">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68056119">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45FCE521">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75D32684">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DE3BBCA">
      <w:pPr>
        <w:keepNext w:val="0"/>
        <w:keepLines w:val="0"/>
        <w:pageBreakBefore w:val="0"/>
        <w:widowControl w:val="0"/>
        <w:tabs>
          <w:tab w:val="left" w:pos="630"/>
          <w:tab w:val="left" w:pos="945"/>
          <w:tab w:val="left" w:pos="1155"/>
          <w:tab w:val="left" w:pos="1554"/>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2713A939">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7391949B">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5354F6C6">
      <w:pPr>
        <w:keepNext w:val="0"/>
        <w:keepLines w:val="0"/>
        <w:pageBreakBefore w:val="0"/>
        <w:widowControl w:val="0"/>
        <w:tabs>
          <w:tab w:val="left" w:pos="630"/>
          <w:tab w:val="left" w:pos="945"/>
          <w:tab w:val="left" w:pos="115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71093528">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5472E265">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6E4719D7">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4D301A7F">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评标程序</w:t>
      </w:r>
    </w:p>
    <w:p w14:paraId="7478DFEF">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评标工作由江苏智汇锡建工程项目管理有限公司负责组织，具体评标事务由依法组建的评标委员会负责。</w:t>
      </w:r>
    </w:p>
    <w:p w14:paraId="49D89008">
      <w:pPr>
        <w:keepNext w:val="0"/>
        <w:keepLines w:val="0"/>
        <w:pageBreakBefore w:val="0"/>
        <w:widowControl w:val="0"/>
        <w:numPr>
          <w:ilvl w:val="0"/>
          <w:numId w:val="8"/>
        </w:numPr>
        <w:tabs>
          <w:tab w:val="left" w:pos="63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3243A1FD">
      <w:pPr>
        <w:keepNext w:val="0"/>
        <w:keepLines w:val="0"/>
        <w:pageBreakBefore w:val="0"/>
        <w:widowControl w:val="0"/>
        <w:numPr>
          <w:ilvl w:val="0"/>
          <w:numId w:val="9"/>
        </w:numPr>
        <w:tabs>
          <w:tab w:val="left" w:pos="525"/>
          <w:tab w:val="left" w:pos="630"/>
          <w:tab w:val="left" w:pos="945"/>
          <w:tab w:val="left" w:pos="136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资格性检查。采购人</w:t>
      </w:r>
      <w:r>
        <w:rPr>
          <w:rFonts w:hint="eastAsia" w:ascii="宋体" w:hAnsi="宋体" w:cs="宋体"/>
          <w:bCs/>
          <w:color w:val="auto"/>
          <w:sz w:val="24"/>
          <w:szCs w:val="24"/>
          <w:highlight w:val="none"/>
          <w:lang w:val="en-US" w:eastAsia="zh-CN"/>
        </w:rPr>
        <w:t>或代理机构</w:t>
      </w:r>
      <w:r>
        <w:rPr>
          <w:rFonts w:hint="eastAsia" w:ascii="宋体" w:hAnsi="宋体" w:cs="宋体"/>
          <w:bCs/>
          <w:color w:val="auto"/>
          <w:sz w:val="24"/>
          <w:szCs w:val="24"/>
          <w:highlight w:val="none"/>
        </w:rPr>
        <w:t>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01AAEAA6">
      <w:pPr>
        <w:keepNext w:val="0"/>
        <w:keepLines w:val="0"/>
        <w:pageBreakBefore w:val="0"/>
        <w:widowControl w:val="0"/>
        <w:numPr>
          <w:ilvl w:val="0"/>
          <w:numId w:val="9"/>
        </w:numPr>
        <w:tabs>
          <w:tab w:val="left" w:pos="525"/>
          <w:tab w:val="left" w:pos="630"/>
          <w:tab w:val="left" w:pos="945"/>
          <w:tab w:val="left" w:pos="1365"/>
        </w:tabs>
        <w:kinsoku/>
        <w:wordWrap/>
        <w:overflowPunct/>
        <w:topLinePunct w:val="0"/>
        <w:autoSpaceDE/>
        <w:autoSpaceDN/>
        <w:bidi w:val="0"/>
        <w:adjustRightInd/>
        <w:snapToGrid/>
        <w:spacing w:line="360" w:lineRule="auto"/>
        <w:ind w:left="0" w:firstLine="523"/>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79A03604">
      <w:pPr>
        <w:keepNext w:val="0"/>
        <w:keepLines w:val="0"/>
        <w:pageBreakBefore w:val="0"/>
        <w:widowControl w:val="0"/>
        <w:numPr>
          <w:ilvl w:val="0"/>
          <w:numId w:val="8"/>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0E144EC7">
      <w:pPr>
        <w:keepNext w:val="0"/>
        <w:keepLines w:val="0"/>
        <w:pageBreakBefore w:val="0"/>
        <w:widowControl w:val="0"/>
        <w:numPr>
          <w:ilvl w:val="0"/>
          <w:numId w:val="8"/>
        </w:numPr>
        <w:tabs>
          <w:tab w:val="left" w:pos="945"/>
          <w:tab w:val="left" w:pos="1155"/>
          <w:tab w:val="left" w:pos="136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27BFBE5A">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bCs/>
          <w:color w:val="auto"/>
          <w:sz w:val="24"/>
          <w:szCs w:val="24"/>
          <w:highlight w:val="none"/>
        </w:rPr>
      </w:pPr>
      <w:r>
        <w:rPr>
          <w:rFonts w:hint="eastAsia" w:ascii="宋体" w:hAnsi="宋体"/>
          <w:bCs/>
          <w:color w:val="auto"/>
          <w:sz w:val="24"/>
          <w:szCs w:val="24"/>
          <w:highlight w:val="none"/>
        </w:rPr>
        <w:t>评标方法</w:t>
      </w:r>
    </w:p>
    <w:p w14:paraId="67F15B31">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2F0D023E">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9A5A507">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62A875A1">
      <w:pPr>
        <w:keepNext w:val="0"/>
        <w:keepLines w:val="0"/>
        <w:pageBreakBefore w:val="0"/>
        <w:widowControl w:val="0"/>
        <w:numPr>
          <w:ilvl w:val="1"/>
          <w:numId w:val="7"/>
        </w:numPr>
        <w:tabs>
          <w:tab w:val="left" w:pos="525"/>
          <w:tab w:val="left" w:pos="945"/>
        </w:tabs>
        <w:kinsoku/>
        <w:wordWrap/>
        <w:overflowPunct/>
        <w:topLinePunct w:val="0"/>
        <w:autoSpaceDE/>
        <w:autoSpaceDN/>
        <w:bidi w:val="0"/>
        <w:adjustRightInd/>
        <w:snapToGrid/>
        <w:spacing w:line="360" w:lineRule="auto"/>
        <w:ind w:left="1"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评分标准</w:t>
      </w:r>
    </w:p>
    <w:p w14:paraId="044234D4">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left="524"/>
        <w:textAlignment w:val="auto"/>
        <w:rPr>
          <w:rFonts w:ascii="宋体" w:hAnsi="宋体"/>
          <w:bCs/>
          <w:color w:val="auto"/>
          <w:sz w:val="24"/>
          <w:szCs w:val="24"/>
          <w:highlight w:val="none"/>
        </w:rPr>
      </w:pPr>
      <w:r>
        <w:rPr>
          <w:rFonts w:hint="eastAsia" w:ascii="宋体" w:hAnsi="宋体"/>
          <w:bCs/>
          <w:color w:val="auto"/>
          <w:sz w:val="24"/>
          <w:szCs w:val="24"/>
          <w:highlight w:val="none"/>
        </w:rPr>
        <w:t>详见附件。</w:t>
      </w:r>
    </w:p>
    <w:p w14:paraId="467BDA0B">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6C5134BB">
      <w:pPr>
        <w:keepNext w:val="0"/>
        <w:keepLines w:val="0"/>
        <w:pageBreakBefore w:val="0"/>
        <w:widowControl w:val="0"/>
        <w:numPr>
          <w:ilvl w:val="0"/>
          <w:numId w:val="10"/>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00AB3E5">
      <w:pPr>
        <w:keepNext w:val="0"/>
        <w:keepLines w:val="0"/>
        <w:pageBreakBefore w:val="0"/>
        <w:widowControl w:val="0"/>
        <w:numPr>
          <w:ilvl w:val="0"/>
          <w:numId w:val="10"/>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江苏智汇锡建工程项目管理有限公司向中标供应商发出中标通知书。</w:t>
      </w:r>
    </w:p>
    <w:p w14:paraId="1F17C0F4">
      <w:pPr>
        <w:keepNext w:val="0"/>
        <w:keepLines w:val="0"/>
        <w:pageBreakBefore w:val="0"/>
        <w:widowControl w:val="0"/>
        <w:numPr>
          <w:ilvl w:val="0"/>
          <w:numId w:val="10"/>
        </w:numPr>
        <w:tabs>
          <w:tab w:val="left" w:pos="52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524937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07FECD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7CB6FE54">
      <w:pPr>
        <w:keepNext w:val="0"/>
        <w:keepLines w:val="0"/>
        <w:pageBreakBefore w:val="0"/>
        <w:widowControl w:val="0"/>
        <w:numPr>
          <w:ilvl w:val="0"/>
          <w:numId w:val="11"/>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1F4AB127">
      <w:pPr>
        <w:keepNext w:val="0"/>
        <w:keepLines w:val="0"/>
        <w:pageBreakBefore w:val="0"/>
        <w:widowControl w:val="0"/>
        <w:numPr>
          <w:ilvl w:val="0"/>
          <w:numId w:val="11"/>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4ACFFD23">
      <w:pPr>
        <w:keepNext w:val="0"/>
        <w:keepLines w:val="0"/>
        <w:pageBreakBefore w:val="0"/>
        <w:widowControl w:val="0"/>
        <w:numPr>
          <w:ilvl w:val="0"/>
          <w:numId w:val="11"/>
        </w:numPr>
        <w:tabs>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34EE8F9B">
      <w:pPr>
        <w:keepNext w:val="0"/>
        <w:keepLines w:val="0"/>
        <w:pageBreakBefore w:val="0"/>
        <w:widowControl w:val="0"/>
        <w:numPr>
          <w:ilvl w:val="0"/>
          <w:numId w:val="11"/>
        </w:numPr>
        <w:tabs>
          <w:tab w:val="right" w:pos="180"/>
          <w:tab w:val="left" w:pos="525"/>
          <w:tab w:val="left" w:pos="945"/>
          <w:tab w:val="left" w:pos="1260"/>
        </w:tabs>
        <w:kinsoku/>
        <w:wordWrap/>
        <w:overflowPunct/>
        <w:topLinePunct w:val="0"/>
        <w:autoSpaceDE/>
        <w:autoSpaceDN/>
        <w:bidi w:val="0"/>
        <w:adjustRightInd/>
        <w:snapToGrid/>
        <w:spacing w:line="360" w:lineRule="auto"/>
        <w:ind w:left="0" w:firstLine="525"/>
        <w:textAlignment w:val="auto"/>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198D798A">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41CBE622">
      <w:pPr>
        <w:keepNext w:val="0"/>
        <w:keepLines w:val="0"/>
        <w:pageBreakBefore w:val="0"/>
        <w:widowControl w:val="0"/>
        <w:numPr>
          <w:ilvl w:val="0"/>
          <w:numId w:val="12"/>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125BECFE">
      <w:pPr>
        <w:keepNext w:val="0"/>
        <w:keepLines w:val="0"/>
        <w:pageBreakBefore w:val="0"/>
        <w:widowControl w:val="0"/>
        <w:numPr>
          <w:ilvl w:val="0"/>
          <w:numId w:val="12"/>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3D8ABD5D">
      <w:pPr>
        <w:keepNext w:val="0"/>
        <w:keepLines w:val="0"/>
        <w:pageBreakBefore w:val="0"/>
        <w:widowControl w:val="0"/>
        <w:numPr>
          <w:ilvl w:val="0"/>
          <w:numId w:val="12"/>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5A2ECBCE">
      <w:pPr>
        <w:keepNext w:val="0"/>
        <w:keepLines w:val="0"/>
        <w:pageBreakBefore w:val="0"/>
        <w:widowControl w:val="0"/>
        <w:numPr>
          <w:ilvl w:val="2"/>
          <w:numId w:val="7"/>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65B7D5DF">
      <w:pPr>
        <w:keepNext w:val="0"/>
        <w:keepLines w:val="0"/>
        <w:pageBreakBefore w:val="0"/>
        <w:widowControl w:val="0"/>
        <w:numPr>
          <w:ilvl w:val="2"/>
          <w:numId w:val="7"/>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30D13724">
      <w:pPr>
        <w:keepNext w:val="0"/>
        <w:keepLines w:val="0"/>
        <w:pageBreakBefore w:val="0"/>
        <w:widowControl w:val="0"/>
        <w:numPr>
          <w:ilvl w:val="2"/>
          <w:numId w:val="7"/>
        </w:numPr>
        <w:tabs>
          <w:tab w:val="left" w:pos="420"/>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584E5DED">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52776F4">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2C4B6C2D">
      <w:pPr>
        <w:keepNext w:val="0"/>
        <w:keepLines w:val="0"/>
        <w:pageBreakBefore w:val="0"/>
        <w:widowControl w:val="0"/>
        <w:numPr>
          <w:ilvl w:val="0"/>
          <w:numId w:val="13"/>
        </w:numPr>
        <w:tabs>
          <w:tab w:val="left" w:pos="525"/>
          <w:tab w:val="left" w:pos="945"/>
          <w:tab w:val="left" w:pos="1050"/>
        </w:tabs>
        <w:kinsoku/>
        <w:wordWrap/>
        <w:overflowPunct/>
        <w:topLinePunct w:val="0"/>
        <w:autoSpaceDE/>
        <w:autoSpaceDN/>
        <w:bidi w:val="0"/>
        <w:adjustRightInd/>
        <w:snapToGrid/>
        <w:spacing w:line="360" w:lineRule="auto"/>
        <w:ind w:left="-105" w:firstLine="525"/>
        <w:textAlignment w:val="auto"/>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5AAF0ABC">
      <w:pPr>
        <w:keepNext w:val="0"/>
        <w:keepLines w:val="0"/>
        <w:pageBreakBefore w:val="0"/>
        <w:widowControl w:val="0"/>
        <w:numPr>
          <w:ilvl w:val="0"/>
          <w:numId w:val="13"/>
        </w:numPr>
        <w:tabs>
          <w:tab w:val="left" w:pos="525"/>
          <w:tab w:val="left" w:pos="945"/>
          <w:tab w:val="left" w:pos="1050"/>
        </w:tabs>
        <w:kinsoku/>
        <w:wordWrap/>
        <w:overflowPunct/>
        <w:topLinePunct w:val="0"/>
        <w:autoSpaceDE/>
        <w:autoSpaceDN/>
        <w:bidi w:val="0"/>
        <w:adjustRightInd/>
        <w:snapToGrid/>
        <w:spacing w:line="360" w:lineRule="auto"/>
        <w:ind w:left="-105" w:firstLine="525"/>
        <w:textAlignment w:val="auto"/>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江苏智汇锡建工程项目管理有限公司</w:t>
      </w:r>
      <w:r>
        <w:rPr>
          <w:rFonts w:hint="eastAsia" w:ascii="宋体" w:hAnsi="宋体"/>
          <w:bCs/>
          <w:color w:val="auto"/>
          <w:sz w:val="24"/>
          <w:szCs w:val="24"/>
          <w:highlight w:val="none"/>
        </w:rPr>
        <w:t>将根据具体情况提请政府采购管理部门作出相应处理。</w:t>
      </w:r>
    </w:p>
    <w:p w14:paraId="23F239EF">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13B4E730">
      <w:pPr>
        <w:keepNext w:val="0"/>
        <w:keepLines w:val="0"/>
        <w:pageBreakBefore w:val="0"/>
        <w:widowControl w:val="0"/>
        <w:tabs>
          <w:tab w:val="left" w:pos="945"/>
        </w:tabs>
        <w:kinsoku/>
        <w:wordWrap/>
        <w:overflowPunct/>
        <w:topLinePunct w:val="0"/>
        <w:autoSpaceDE/>
        <w:autoSpaceDN/>
        <w:bidi w:val="0"/>
        <w:adjustRightInd/>
        <w:snapToGrid/>
        <w:spacing w:line="360" w:lineRule="auto"/>
        <w:ind w:firstLine="480"/>
        <w:textAlignment w:val="auto"/>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31B280F0">
      <w:pPr>
        <w:keepNext w:val="0"/>
        <w:keepLines w:val="0"/>
        <w:pageBreakBefore w:val="0"/>
        <w:widowControl w:val="0"/>
        <w:numPr>
          <w:ilvl w:val="3"/>
          <w:numId w:val="7"/>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7F431667">
      <w:pPr>
        <w:keepNext w:val="0"/>
        <w:keepLines w:val="0"/>
        <w:pageBreakBefore w:val="0"/>
        <w:widowControl w:val="0"/>
        <w:numPr>
          <w:ilvl w:val="3"/>
          <w:numId w:val="7"/>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0C5900D0">
      <w:pPr>
        <w:keepNext w:val="0"/>
        <w:keepLines w:val="0"/>
        <w:pageBreakBefore w:val="0"/>
        <w:widowControl w:val="0"/>
        <w:numPr>
          <w:ilvl w:val="3"/>
          <w:numId w:val="7"/>
        </w:numPr>
        <w:tabs>
          <w:tab w:val="left" w:pos="735"/>
          <w:tab w:val="left" w:pos="945"/>
          <w:tab w:val="left" w:pos="1155"/>
        </w:tabs>
        <w:kinsoku/>
        <w:wordWrap/>
        <w:overflowPunct/>
        <w:topLinePunct w:val="0"/>
        <w:autoSpaceDE/>
        <w:autoSpaceDN/>
        <w:bidi w:val="0"/>
        <w:adjustRightInd/>
        <w:snapToGrid/>
        <w:spacing w:line="360" w:lineRule="auto"/>
        <w:ind w:left="0" w:firstLine="523"/>
        <w:textAlignment w:val="auto"/>
        <w:rPr>
          <w:rFonts w:ascii="宋体"/>
          <w:bCs/>
          <w:color w:val="auto"/>
          <w:sz w:val="24"/>
          <w:szCs w:val="24"/>
          <w:highlight w:val="none"/>
        </w:rPr>
      </w:pPr>
      <w:r>
        <w:rPr>
          <w:rFonts w:hint="eastAsia" w:ascii="宋体" w:hAnsi="宋体"/>
          <w:bCs/>
          <w:color w:val="auto"/>
          <w:sz w:val="24"/>
          <w:szCs w:val="24"/>
          <w:highlight w:val="none"/>
        </w:rPr>
        <w:t>拒绝履行合同义务的。</w:t>
      </w:r>
    </w:p>
    <w:p w14:paraId="273C38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A944C34">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color w:val="auto"/>
          <w:sz w:val="24"/>
          <w:highlight w:val="none"/>
        </w:rPr>
        <w:t>1.本项目招标代理服务费以</w:t>
      </w:r>
      <w:r>
        <w:rPr>
          <w:rFonts w:hint="eastAsia" w:ascii="宋体" w:hAnsi="宋体"/>
          <w:color w:val="auto"/>
          <w:sz w:val="24"/>
          <w:highlight w:val="none"/>
          <w:shd w:val="clear" w:color="auto" w:fill="FFFFFF"/>
        </w:rPr>
        <w:t>各标段采购预算金额</w:t>
      </w:r>
      <w:r>
        <w:rPr>
          <w:rFonts w:hint="eastAsia" w:ascii="宋体" w:hAnsi="宋体"/>
          <w:color w:val="auto"/>
          <w:sz w:val="24"/>
          <w:highlight w:val="none"/>
        </w:rPr>
        <w:t>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，100万－500万</w:t>
      </w:r>
      <w:r>
        <w:rPr>
          <w:rFonts w:ascii="宋体" w:hAnsi="宋体"/>
          <w:color w:val="auto"/>
          <w:sz w:val="24"/>
          <w:highlight w:val="none"/>
        </w:rPr>
        <w:t>费率为</w:t>
      </w:r>
      <w:r>
        <w:rPr>
          <w:rFonts w:hint="eastAsia" w:ascii="宋体" w:hAnsi="宋体"/>
          <w:color w:val="auto"/>
          <w:sz w:val="24"/>
          <w:highlight w:val="none"/>
        </w:rPr>
        <w:t>0.8</w:t>
      </w:r>
      <w:r>
        <w:rPr>
          <w:rFonts w:ascii="宋体" w:hAnsi="宋体"/>
          <w:color w:val="auto"/>
          <w:sz w:val="24"/>
          <w:highlight w:val="none"/>
        </w:rPr>
        <w:t>%</w:t>
      </w:r>
      <w:r>
        <w:rPr>
          <w:rFonts w:hint="eastAsia" w:ascii="宋体" w:hAnsi="宋体"/>
          <w:bCs/>
          <w:color w:val="auto"/>
          <w:sz w:val="24"/>
          <w:highlight w:val="none"/>
        </w:rPr>
        <w:t>；在此基础上打七折计取。</w:t>
      </w:r>
    </w:p>
    <w:p w14:paraId="6A394BE7">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p>
    <w:p w14:paraId="5B2B60D7">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4B5C38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48B0EF4D">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1BB572FF">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26085AE3">
      <w:pPr>
        <w:keepNext w:val="0"/>
        <w:keepLines w:val="0"/>
        <w:pageBreakBefore w:val="0"/>
        <w:widowControl w:val="0"/>
        <w:tabs>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369DC12E">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clear="all"/>
      </w:r>
      <w:bookmarkStart w:id="6" w:name="_Toc2291"/>
      <w:bookmarkStart w:id="7" w:name="_Toc5672"/>
      <w:r>
        <w:rPr>
          <w:rFonts w:hint="eastAsia" w:ascii="黑体" w:eastAsia="黑体"/>
          <w:bCs/>
          <w:color w:val="auto"/>
          <w:sz w:val="30"/>
          <w:szCs w:val="30"/>
          <w:highlight w:val="none"/>
        </w:rPr>
        <w:t>三</w:t>
      </w:r>
      <w:r>
        <w:rPr>
          <w:rFonts w:hint="eastAsia" w:ascii="黑体" w:eastAsia="黑体"/>
          <w:bCs/>
          <w:color w:val="auto"/>
          <w:sz w:val="30"/>
          <w:szCs w:val="30"/>
          <w:highlight w:val="none"/>
          <w:lang w:eastAsia="zh-CN"/>
        </w:rPr>
        <w:t>、</w:t>
      </w:r>
      <w:r>
        <w:rPr>
          <w:rFonts w:hint="eastAsia" w:ascii="黑体" w:eastAsia="黑体"/>
          <w:b/>
          <w:color w:val="auto"/>
          <w:sz w:val="30"/>
          <w:szCs w:val="30"/>
          <w:highlight w:val="none"/>
        </w:rPr>
        <w:t>项目技术要求和有关说明</w:t>
      </w:r>
      <w:bookmarkEnd w:id="6"/>
      <w:bookmarkEnd w:id="7"/>
    </w:p>
    <w:p w14:paraId="412C0C89">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一、项目简介</w:t>
      </w:r>
    </w:p>
    <w:p w14:paraId="18692926">
      <w:pPr>
        <w:widowControl w:val="0"/>
        <w:spacing w:line="360" w:lineRule="auto"/>
        <w:ind w:firstLine="480"/>
        <w:jc w:val="both"/>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无锡市新吴区</w:t>
      </w:r>
      <w:r>
        <w:rPr>
          <w:rFonts w:hint="eastAsia" w:ascii="宋体" w:hAnsi="宋体" w:eastAsia="宋体" w:cs="宋体"/>
          <w:color w:val="auto"/>
          <w:sz w:val="24"/>
          <w:szCs w:val="24"/>
          <w:highlight w:val="none"/>
          <w:lang w:val="en-US" w:eastAsia="zh-CN" w:bidi="ar-SA"/>
        </w:rPr>
        <w:t>2026年执法监测服务采购项目预算为225万元</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拟通过公开招投标的方式采购技术服务单位2家，</w:t>
      </w:r>
      <w:r>
        <w:rPr>
          <w:rFonts w:hint="eastAsia" w:ascii="宋体" w:hAnsi="宋体" w:cs="宋体"/>
          <w:color w:val="auto"/>
          <w:sz w:val="24"/>
          <w:szCs w:val="24"/>
          <w:highlight w:val="none"/>
          <w:lang w:val="en-US" w:eastAsia="zh-CN" w:bidi="ar-SA"/>
        </w:rPr>
        <w:t>服务范围覆盖全区（含原无锡市经开区），主要承担执法、信访和应急相关任务，为新吴生态环境执法、管理及决策提供技术支撑。本项目服务需严格遵循国家、江苏省及无锡市相关环境监测标准、技术规范，确保监测数据合法、有效、精准，助力辖区生态环境质量持续改善。</w:t>
      </w:r>
    </w:p>
    <w:p w14:paraId="6E8F1162">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二、标段划分</w:t>
      </w:r>
    </w:p>
    <w:p w14:paraId="30E0DE4E">
      <w:pPr>
        <w:widowControl w:val="0"/>
        <w:spacing w:line="360" w:lineRule="auto"/>
        <w:ind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投标人可以参加本次采购所有符合报名条件的</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个标段的投标报名，但中标最多只能中1个标段，由评分排名第1名中标。评分排名均在前的情况下由投标单位在投标文件中承诺优先中哪个标段。如某标段排名第一的投标人已经中了其他标段，则该标段由排名第二的投标人中标。</w:t>
      </w:r>
    </w:p>
    <w:p w14:paraId="6B78797B">
      <w:pPr>
        <w:widowControl w:val="0"/>
        <w:spacing w:line="360" w:lineRule="auto"/>
        <w:ind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各标段具体情况如下：</w:t>
      </w:r>
    </w:p>
    <w:tbl>
      <w:tblPr>
        <w:tblStyle w:val="38"/>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4"/>
        <w:gridCol w:w="950"/>
        <w:gridCol w:w="6003"/>
        <w:gridCol w:w="1283"/>
      </w:tblGrid>
      <w:tr w14:paraId="2181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blHeader/>
          <w:jc w:val="center"/>
        </w:trPr>
        <w:tc>
          <w:tcPr>
            <w:tcW w:w="1404" w:type="dxa"/>
            <w:noWrap w:val="0"/>
            <w:vAlign w:val="center"/>
          </w:tcPr>
          <w:p w14:paraId="38957CC7">
            <w:pPr>
              <w:keepNext w:val="0"/>
              <w:keepLines w:val="0"/>
              <w:pageBreakBefore w:val="0"/>
              <w:widowControl w:val="0"/>
              <w:numPr>
                <w:ilvl w:val="0"/>
                <w:numId w:val="0"/>
              </w:numPr>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color w:val="auto"/>
                <w:kern w:val="2"/>
                <w:sz w:val="22"/>
                <w:szCs w:val="22"/>
                <w:highlight w:val="none"/>
                <w:vertAlign w:val="baseline"/>
                <w:lang w:val="en-US" w:eastAsia="zh-CN"/>
              </w:rPr>
            </w:pPr>
            <w:r>
              <w:rPr>
                <w:rFonts w:hint="eastAsia" w:ascii="宋体" w:hAnsi="宋体" w:eastAsia="宋体" w:cs="宋体"/>
                <w:b/>
                <w:color w:val="auto"/>
                <w:kern w:val="2"/>
                <w:sz w:val="22"/>
                <w:szCs w:val="22"/>
                <w:highlight w:val="none"/>
                <w:lang w:val="en-US" w:eastAsia="zh-CN"/>
              </w:rPr>
              <w:t>项目名称</w:t>
            </w:r>
          </w:p>
        </w:tc>
        <w:tc>
          <w:tcPr>
            <w:tcW w:w="950" w:type="dxa"/>
            <w:noWrap w:val="0"/>
            <w:vAlign w:val="center"/>
          </w:tcPr>
          <w:p w14:paraId="7D6ED5E7">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b/>
                <w:color w:val="auto"/>
                <w:kern w:val="2"/>
                <w:sz w:val="22"/>
                <w:szCs w:val="22"/>
                <w:highlight w:val="none"/>
                <w:lang w:val="en-US" w:eastAsia="zh-CN"/>
              </w:rPr>
            </w:pPr>
            <w:r>
              <w:rPr>
                <w:rFonts w:hint="eastAsia" w:ascii="宋体" w:hAnsi="宋体" w:eastAsia="宋体" w:cs="宋体"/>
                <w:b/>
                <w:color w:val="auto"/>
                <w:kern w:val="2"/>
                <w:sz w:val="22"/>
                <w:szCs w:val="22"/>
                <w:highlight w:val="none"/>
                <w:lang w:val="en-US" w:eastAsia="zh-CN"/>
              </w:rPr>
              <w:t>标段</w:t>
            </w:r>
          </w:p>
        </w:tc>
        <w:tc>
          <w:tcPr>
            <w:tcW w:w="6003" w:type="dxa"/>
            <w:noWrap w:val="0"/>
            <w:vAlign w:val="center"/>
          </w:tcPr>
          <w:p w14:paraId="0159BA71">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b/>
                <w:color w:val="auto"/>
                <w:kern w:val="2"/>
                <w:sz w:val="22"/>
                <w:szCs w:val="22"/>
                <w:highlight w:val="none"/>
                <w:lang w:val="en-US" w:eastAsia="zh-CN"/>
              </w:rPr>
            </w:pPr>
            <w:r>
              <w:rPr>
                <w:rFonts w:hint="eastAsia" w:ascii="宋体" w:hAnsi="宋体" w:eastAsia="宋体" w:cs="宋体"/>
                <w:b/>
                <w:color w:val="auto"/>
                <w:kern w:val="2"/>
                <w:sz w:val="22"/>
                <w:szCs w:val="22"/>
                <w:highlight w:val="none"/>
                <w:lang w:val="en-US" w:eastAsia="zh-CN"/>
              </w:rPr>
              <w:t>主要内容</w:t>
            </w:r>
          </w:p>
        </w:tc>
        <w:tc>
          <w:tcPr>
            <w:tcW w:w="1283" w:type="dxa"/>
            <w:noWrap w:val="0"/>
            <w:vAlign w:val="center"/>
          </w:tcPr>
          <w:p w14:paraId="0C7B3265">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b/>
                <w:color w:val="auto"/>
                <w:kern w:val="2"/>
                <w:sz w:val="22"/>
                <w:szCs w:val="22"/>
                <w:highlight w:val="none"/>
                <w:lang w:val="en-US" w:eastAsia="zh-CN"/>
              </w:rPr>
            </w:pPr>
            <w:r>
              <w:rPr>
                <w:rFonts w:hint="eastAsia" w:ascii="宋体" w:hAnsi="宋体" w:eastAsia="宋体" w:cs="宋体"/>
                <w:b/>
                <w:color w:val="auto"/>
                <w:kern w:val="2"/>
                <w:sz w:val="22"/>
                <w:szCs w:val="22"/>
                <w:highlight w:val="none"/>
                <w:lang w:val="en-US" w:eastAsia="zh-CN"/>
              </w:rPr>
              <w:t>预算金额</w:t>
            </w:r>
          </w:p>
          <w:p w14:paraId="4A248214">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b/>
                <w:color w:val="auto"/>
                <w:kern w:val="2"/>
                <w:sz w:val="22"/>
                <w:szCs w:val="22"/>
                <w:highlight w:val="none"/>
                <w:lang w:val="en-US" w:eastAsia="zh-CN"/>
              </w:rPr>
            </w:pPr>
            <w:r>
              <w:rPr>
                <w:rFonts w:hint="eastAsia" w:ascii="宋体" w:hAnsi="宋体" w:eastAsia="宋体" w:cs="宋体"/>
                <w:b/>
                <w:color w:val="auto"/>
                <w:kern w:val="2"/>
                <w:sz w:val="22"/>
                <w:szCs w:val="22"/>
                <w:highlight w:val="none"/>
                <w:lang w:val="en-US" w:eastAsia="zh-CN"/>
              </w:rPr>
              <w:t>（万元）</w:t>
            </w:r>
          </w:p>
        </w:tc>
      </w:tr>
      <w:tr w14:paraId="1DCD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1404" w:type="dxa"/>
            <w:vMerge w:val="restart"/>
            <w:noWrap w:val="0"/>
            <w:vAlign w:val="center"/>
          </w:tcPr>
          <w:p w14:paraId="01F0BFE5">
            <w:pPr>
              <w:autoSpaceDE w:val="0"/>
              <w:autoSpaceDN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无锡市新吴区2026年执法监测服务采购项目</w:t>
            </w:r>
          </w:p>
        </w:tc>
        <w:tc>
          <w:tcPr>
            <w:tcW w:w="950" w:type="dxa"/>
            <w:noWrap w:val="0"/>
            <w:vAlign w:val="center"/>
          </w:tcPr>
          <w:p w14:paraId="063B6639">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一标段</w:t>
            </w:r>
          </w:p>
        </w:tc>
        <w:tc>
          <w:tcPr>
            <w:tcW w:w="6003" w:type="dxa"/>
            <w:noWrap w:val="0"/>
            <w:vAlign w:val="center"/>
          </w:tcPr>
          <w:p w14:paraId="129C7F6C">
            <w:pPr>
              <w:widowControl/>
              <w:autoSpaceDE/>
              <w:autoSpaceDN/>
              <w:snapToGrid/>
              <w:spacing w:after="0" w:line="240" w:lineRule="auto"/>
              <w:ind w:left="0" w:leftChars="0" w:right="0" w:rightChars="0" w:firstLine="0" w:firstLineChars="0"/>
              <w:jc w:val="left"/>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配合开展</w:t>
            </w:r>
            <w:r>
              <w:rPr>
                <w:rFonts w:hint="eastAsia" w:ascii="宋体" w:hAnsi="宋体" w:eastAsia="宋体" w:cs="宋体"/>
                <w:color w:val="auto"/>
                <w:kern w:val="2"/>
                <w:sz w:val="22"/>
                <w:szCs w:val="22"/>
                <w:highlight w:val="none"/>
                <w:lang w:val="en-US" w:eastAsia="zh-CN"/>
              </w:rPr>
              <w:t>日常执法监测、强化监督帮扶监测、走航等</w:t>
            </w:r>
            <w:r>
              <w:rPr>
                <w:rFonts w:hint="eastAsia" w:ascii="宋体" w:hAnsi="宋体" w:eastAsia="宋体" w:cs="宋体"/>
                <w:snapToGrid/>
                <w:color w:val="auto"/>
                <w:spacing w:val="0"/>
                <w:kern w:val="2"/>
                <w:sz w:val="22"/>
                <w:szCs w:val="22"/>
                <w:highlight w:val="none"/>
                <w:lang w:val="en-US" w:eastAsia="zh-CN"/>
              </w:rPr>
              <w:t>异常</w:t>
            </w:r>
            <w:r>
              <w:rPr>
                <w:rFonts w:hint="eastAsia" w:ascii="宋体" w:hAnsi="宋体" w:eastAsia="宋体" w:cs="宋体"/>
                <w:color w:val="auto"/>
                <w:kern w:val="2"/>
                <w:sz w:val="22"/>
                <w:szCs w:val="22"/>
                <w:highlight w:val="none"/>
                <w:lang w:val="en-US" w:eastAsia="zh-CN"/>
              </w:rPr>
              <w:t>线索交办监测、信访调处监测及突发环境事件应急监测等，具备24小时待命快速检测能力</w:t>
            </w:r>
            <w:r>
              <w:rPr>
                <w:rFonts w:hint="eastAsia" w:ascii="宋体" w:hAnsi="宋体" w:cs="宋体"/>
                <w:color w:val="auto"/>
                <w:kern w:val="2"/>
                <w:sz w:val="22"/>
                <w:szCs w:val="22"/>
                <w:highlight w:val="none"/>
                <w:lang w:val="en-US" w:eastAsia="zh-CN"/>
              </w:rPr>
              <w:t>；</w:t>
            </w:r>
            <w:r>
              <w:rPr>
                <w:rFonts w:hint="default" w:ascii="宋体" w:hAnsi="宋体" w:eastAsia="宋体" w:cs="宋体"/>
                <w:color w:val="auto"/>
                <w:kern w:val="0"/>
                <w:sz w:val="22"/>
                <w:szCs w:val="22"/>
                <w:highlight w:val="none"/>
                <w:lang w:val="en-US" w:eastAsia="zh-CN" w:bidi="ar"/>
              </w:rPr>
              <w:t>监测范围涵盖地表水、地下水、空气、噪声、废气、废水等常规污染因子，需满足现场快速检测及实验室精准分析双重需求。</w:t>
            </w:r>
          </w:p>
        </w:tc>
        <w:tc>
          <w:tcPr>
            <w:tcW w:w="1283" w:type="dxa"/>
            <w:noWrap w:val="0"/>
            <w:vAlign w:val="center"/>
          </w:tcPr>
          <w:p w14:paraId="3E3CAEF4">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100</w:t>
            </w:r>
          </w:p>
        </w:tc>
      </w:tr>
      <w:tr w14:paraId="0113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jc w:val="center"/>
        </w:trPr>
        <w:tc>
          <w:tcPr>
            <w:tcW w:w="1404" w:type="dxa"/>
            <w:vMerge w:val="continue"/>
            <w:noWrap w:val="0"/>
            <w:vAlign w:val="center"/>
          </w:tcPr>
          <w:p w14:paraId="5A0761A1">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p>
        </w:tc>
        <w:tc>
          <w:tcPr>
            <w:tcW w:w="950" w:type="dxa"/>
            <w:noWrap w:val="0"/>
            <w:vAlign w:val="center"/>
          </w:tcPr>
          <w:p w14:paraId="42EB9E96">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二标段</w:t>
            </w:r>
          </w:p>
        </w:tc>
        <w:tc>
          <w:tcPr>
            <w:tcW w:w="6003" w:type="dxa"/>
            <w:noWrap w:val="0"/>
            <w:vAlign w:val="center"/>
          </w:tcPr>
          <w:p w14:paraId="02A11B57">
            <w:pPr>
              <w:keepNext w:val="0"/>
              <w:keepLines w:val="0"/>
              <w:widowControl/>
              <w:suppressLineNumbers w:val="0"/>
              <w:spacing w:after="0" w:line="240" w:lineRule="auto"/>
              <w:jc w:val="left"/>
              <w:rPr>
                <w:rFonts w:hint="eastAsia" w:ascii="宋体" w:hAnsi="宋体" w:eastAsia="宋体" w:cs="宋体"/>
                <w:color w:val="auto"/>
                <w:kern w:val="2"/>
                <w:sz w:val="22"/>
                <w:szCs w:val="22"/>
                <w:highlight w:val="none"/>
                <w:lang w:val="en-US" w:eastAsia="zh-CN"/>
              </w:rPr>
            </w:pPr>
            <w:r>
              <w:rPr>
                <w:rFonts w:hint="eastAsia" w:ascii="宋体" w:hAnsi="宋体" w:cs="宋体"/>
                <w:color w:val="auto"/>
                <w:kern w:val="2"/>
                <w:sz w:val="22"/>
                <w:szCs w:val="22"/>
                <w:highlight w:val="none"/>
                <w:lang w:val="en-US" w:eastAsia="zh-CN"/>
              </w:rPr>
              <w:t>配合开展</w:t>
            </w:r>
            <w:r>
              <w:rPr>
                <w:rFonts w:hint="eastAsia" w:ascii="宋体" w:hAnsi="宋体" w:eastAsia="宋体" w:cs="宋体"/>
                <w:color w:val="auto"/>
                <w:kern w:val="2"/>
                <w:sz w:val="22"/>
                <w:szCs w:val="22"/>
                <w:highlight w:val="none"/>
                <w:lang w:val="en-US" w:eastAsia="zh-CN"/>
              </w:rPr>
              <w:t>“双随机、一公开”监督性监测、专项行动监测、跨部门联合执法、司法联动（大案要案监测）及突发环境事件应急监测等，具备24小时待命快速检测能力</w:t>
            </w:r>
            <w:r>
              <w:rPr>
                <w:rFonts w:hint="eastAsia" w:ascii="宋体" w:hAnsi="宋体" w:cs="宋体"/>
                <w:color w:val="auto"/>
                <w:kern w:val="2"/>
                <w:sz w:val="22"/>
                <w:szCs w:val="22"/>
                <w:highlight w:val="none"/>
                <w:lang w:val="en-US" w:eastAsia="zh-CN"/>
              </w:rPr>
              <w:t>；</w:t>
            </w:r>
            <w:r>
              <w:rPr>
                <w:rFonts w:hint="default" w:ascii="宋体" w:hAnsi="宋体" w:eastAsia="宋体" w:cs="宋体"/>
                <w:color w:val="auto"/>
                <w:kern w:val="0"/>
                <w:sz w:val="22"/>
                <w:szCs w:val="22"/>
                <w:highlight w:val="none"/>
                <w:lang w:val="en-US" w:eastAsia="zh-CN" w:bidi="ar"/>
              </w:rPr>
              <w:t>同时需具备土壤与地下水、地表水与沉积物、生态系统环境损害鉴定等司法鉴定和评估资质；监测范围在一标段基础上，增加土壤、沉积物、危险废物等污染因子，满足司法鉴定及生态损害评估相关技术要求。</w:t>
            </w:r>
          </w:p>
        </w:tc>
        <w:tc>
          <w:tcPr>
            <w:tcW w:w="1283" w:type="dxa"/>
            <w:noWrap w:val="0"/>
            <w:vAlign w:val="center"/>
          </w:tcPr>
          <w:p w14:paraId="1D1FE137">
            <w:pPr>
              <w:widowControl w:val="0"/>
              <w:numPr>
                <w:ilvl w:val="0"/>
                <w:numId w:val="0"/>
              </w:numPr>
              <w:adjustRightInd w:val="0"/>
              <w:snapToGrid w:val="0"/>
              <w:spacing w:after="0" w:line="240" w:lineRule="auto"/>
              <w:ind w:left="0" w:leftChars="0" w:right="0" w:rightChars="0" w:firstLine="0" w:firstLineChars="0"/>
              <w:jc w:val="center"/>
              <w:rPr>
                <w:rFonts w:hint="eastAsia" w:ascii="宋体" w:hAnsi="宋体" w:eastAsia="宋体" w:cs="宋体"/>
                <w:color w:val="auto"/>
                <w:kern w:val="2"/>
                <w:sz w:val="22"/>
                <w:szCs w:val="22"/>
                <w:highlight w:val="none"/>
                <w:lang w:val="en-US" w:eastAsia="zh-CN"/>
              </w:rPr>
            </w:pPr>
            <w:r>
              <w:rPr>
                <w:rFonts w:hint="eastAsia" w:ascii="宋体" w:hAnsi="宋体" w:eastAsia="宋体" w:cs="宋体"/>
                <w:color w:val="auto"/>
                <w:kern w:val="2"/>
                <w:sz w:val="22"/>
                <w:szCs w:val="22"/>
                <w:highlight w:val="none"/>
                <w:lang w:val="en-US" w:eastAsia="zh-CN"/>
              </w:rPr>
              <w:t>125</w:t>
            </w:r>
          </w:p>
        </w:tc>
      </w:tr>
    </w:tbl>
    <w:p w14:paraId="60FABF2E">
      <w:pPr>
        <w:rPr>
          <w:rFonts w:ascii="宋体" w:hAnsi="宋体" w:eastAsia="宋体" w:cs="宋体"/>
          <w:color w:val="auto"/>
          <w:sz w:val="24"/>
          <w:szCs w:val="24"/>
          <w:highlight w:val="none"/>
        </w:rPr>
      </w:pPr>
    </w:p>
    <w:p w14:paraId="5D45B90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三、项目预算及最高限价</w:t>
      </w:r>
    </w:p>
    <w:p w14:paraId="7BA20BA2">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其中一标段：</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万元；二标段：</w:t>
      </w: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（上述每个标段的限价金额根据《江苏省环境监测专业服务收费标准》规定的</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%来测算所得）各投标供应商报优惠率，设最高折扣率≤50%（注：折扣率=1-优惠率），投标报价高于最高折扣率的投标将视为无效投标。</w:t>
      </w:r>
    </w:p>
    <w:p w14:paraId="6F2881DC">
      <w:pPr>
        <w:pStyle w:val="362"/>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四、</w:t>
      </w:r>
      <w:bookmarkStart w:id="8" w:name="_Toc5531"/>
      <w:bookmarkStart w:id="9" w:name="_Toc32067"/>
      <w:r>
        <w:rPr>
          <w:rFonts w:hint="eastAsia" w:ascii="宋体" w:hAnsi="宋体" w:eastAsia="宋体" w:cs="宋体"/>
          <w:b/>
          <w:bCs/>
          <w:color w:val="auto"/>
          <w:sz w:val="24"/>
          <w:szCs w:val="24"/>
          <w:highlight w:val="none"/>
        </w:rPr>
        <w:t>采购内容</w:t>
      </w:r>
    </w:p>
    <w:p w14:paraId="36B0A920">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（一）</w:t>
      </w:r>
      <w:r>
        <w:rPr>
          <w:rFonts w:hint="eastAsia" w:ascii="宋体" w:hAnsi="宋体" w:eastAsia="宋体" w:cs="宋体"/>
          <w:bCs/>
          <w:color w:val="auto"/>
          <w:sz w:val="24"/>
          <w:szCs w:val="24"/>
          <w:highlight w:val="none"/>
          <w:lang w:val="en-US" w:eastAsia="zh-CN" w:bidi="ar-SA"/>
        </w:rPr>
        <w:t>项目名称</w:t>
      </w:r>
    </w:p>
    <w:p w14:paraId="356A003A">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无锡市新吴区</w:t>
      </w:r>
      <w:r>
        <w:rPr>
          <w:rFonts w:hint="eastAsia" w:ascii="宋体" w:hAnsi="宋体" w:eastAsia="宋体" w:cs="宋体"/>
          <w:color w:val="auto"/>
          <w:sz w:val="24"/>
          <w:szCs w:val="24"/>
          <w:highlight w:val="none"/>
          <w:lang w:val="en-US" w:eastAsia="zh-CN" w:bidi="ar-SA"/>
        </w:rPr>
        <w:t>2026年执法监测服务采购项目</w:t>
      </w:r>
      <w:r>
        <w:rPr>
          <w:rFonts w:hint="eastAsia" w:ascii="宋体" w:hAnsi="宋体" w:eastAsia="宋体" w:cs="宋体"/>
          <w:bCs/>
          <w:color w:val="auto"/>
          <w:sz w:val="24"/>
          <w:szCs w:val="24"/>
          <w:highlight w:val="none"/>
          <w:lang w:val="en-US" w:eastAsia="zh-CN" w:bidi="ar-SA"/>
        </w:rPr>
        <w:t>（监测范围以无锡市新吴生态环境局实际工作需要确定）</w:t>
      </w:r>
      <w:r>
        <w:rPr>
          <w:rFonts w:hint="eastAsia" w:ascii="宋体" w:hAnsi="宋体" w:cs="宋体"/>
          <w:bCs/>
          <w:color w:val="auto"/>
          <w:sz w:val="24"/>
          <w:szCs w:val="24"/>
          <w:highlight w:val="none"/>
          <w:lang w:val="en-US" w:eastAsia="zh-CN" w:bidi="ar-SA"/>
        </w:rPr>
        <w:t>。</w:t>
      </w:r>
    </w:p>
    <w:p w14:paraId="5BE8079A">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（二）</w:t>
      </w:r>
      <w:r>
        <w:rPr>
          <w:rFonts w:hint="eastAsia" w:ascii="宋体" w:hAnsi="宋体" w:eastAsia="宋体" w:cs="宋体"/>
          <w:bCs/>
          <w:color w:val="auto"/>
          <w:sz w:val="24"/>
          <w:szCs w:val="24"/>
          <w:highlight w:val="none"/>
          <w:lang w:val="en-US" w:eastAsia="zh-CN" w:bidi="ar-SA"/>
        </w:rPr>
        <w:t>业务范围</w:t>
      </w:r>
    </w:p>
    <w:p w14:paraId="355BE792">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委托监测、</w:t>
      </w:r>
      <w:r>
        <w:rPr>
          <w:rFonts w:hint="eastAsia" w:ascii="宋体" w:hAnsi="宋体" w:cs="宋体"/>
          <w:bCs/>
          <w:color w:val="auto"/>
          <w:sz w:val="24"/>
          <w:szCs w:val="24"/>
          <w:highlight w:val="none"/>
          <w:lang w:val="en-US" w:eastAsia="zh-CN" w:bidi="ar-SA"/>
        </w:rPr>
        <w:t>样品</w:t>
      </w:r>
      <w:r>
        <w:rPr>
          <w:rFonts w:hint="eastAsia" w:ascii="宋体" w:hAnsi="宋体" w:eastAsia="宋体" w:cs="宋体"/>
          <w:bCs/>
          <w:color w:val="auto"/>
          <w:sz w:val="24"/>
          <w:szCs w:val="24"/>
          <w:highlight w:val="none"/>
          <w:lang w:val="en-US" w:eastAsia="zh-CN" w:bidi="ar-SA"/>
        </w:rPr>
        <w:t>分析</w:t>
      </w:r>
      <w:r>
        <w:rPr>
          <w:rFonts w:hint="eastAsia" w:ascii="宋体" w:hAnsi="宋体" w:cs="宋体"/>
          <w:bCs/>
          <w:color w:val="auto"/>
          <w:sz w:val="24"/>
          <w:szCs w:val="24"/>
          <w:highlight w:val="none"/>
          <w:lang w:val="en-US" w:eastAsia="zh-CN" w:bidi="ar-SA"/>
        </w:rPr>
        <w:t>、应急监测、监测数据综合分析、送样检测、技术咨询及司法鉴定（仅二标段）等相关技术服务；常规监测出具监测报告，司法鉴定项目需向需方提供直接经济损失报告、司法鉴定报告、损害评估报告及后评估报告。</w:t>
      </w:r>
    </w:p>
    <w:p w14:paraId="5AF6AF8A">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（三）</w:t>
      </w:r>
      <w:r>
        <w:rPr>
          <w:rFonts w:hint="eastAsia" w:ascii="宋体" w:hAnsi="宋体" w:eastAsia="宋体" w:cs="宋体"/>
          <w:bCs/>
          <w:color w:val="auto"/>
          <w:sz w:val="24"/>
          <w:szCs w:val="24"/>
          <w:highlight w:val="none"/>
          <w:lang w:val="en-US" w:eastAsia="zh-CN" w:bidi="ar-SA"/>
        </w:rPr>
        <w:t>服务期限</w:t>
      </w:r>
    </w:p>
    <w:p w14:paraId="753A7CE0">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服务期1年，自</w:t>
      </w:r>
      <w:r>
        <w:rPr>
          <w:rFonts w:hint="eastAsia" w:ascii="宋体" w:hAnsi="宋体" w:cs="宋体"/>
          <w:color w:val="auto"/>
          <w:sz w:val="24"/>
          <w:szCs w:val="24"/>
          <w:highlight w:val="none"/>
          <w:lang w:eastAsia="zh-CN"/>
        </w:rPr>
        <w:t>2026年8月1日至2027年7月31日。</w:t>
      </w:r>
    </w:p>
    <w:p w14:paraId="372D8928">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（四）</w:t>
      </w:r>
      <w:r>
        <w:rPr>
          <w:rFonts w:hint="eastAsia" w:ascii="宋体" w:hAnsi="宋体" w:eastAsia="宋体" w:cs="宋体"/>
          <w:bCs/>
          <w:color w:val="auto"/>
          <w:sz w:val="24"/>
          <w:szCs w:val="24"/>
          <w:highlight w:val="none"/>
          <w:lang w:val="en-US" w:eastAsia="zh-CN" w:bidi="ar-SA"/>
        </w:rPr>
        <w:t>结算方式</w:t>
      </w:r>
    </w:p>
    <w:p w14:paraId="4B5CC0CC">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服务期间实际产生费用三年内支付完成。即2026年12月前支付合同金额的20%，2027年12月前支付合同金额的40%，</w:t>
      </w:r>
      <w:r>
        <w:rPr>
          <w:rFonts w:hint="eastAsia" w:ascii="宋体" w:hAnsi="宋体" w:cs="宋体"/>
          <w:bCs/>
          <w:color w:val="auto"/>
          <w:sz w:val="24"/>
          <w:szCs w:val="24"/>
          <w:highlight w:val="none"/>
          <w:lang w:val="en-US" w:eastAsia="zh-CN" w:bidi="ar-SA"/>
        </w:rPr>
        <w:t>项目期满完成整体验收，全部服务履约完毕且无质量争议后，于</w:t>
      </w:r>
      <w:r>
        <w:rPr>
          <w:rFonts w:hint="eastAsia" w:ascii="宋体" w:hAnsi="宋体" w:eastAsia="宋体" w:cs="宋体"/>
          <w:bCs/>
          <w:color w:val="auto"/>
          <w:sz w:val="24"/>
          <w:szCs w:val="24"/>
          <w:highlight w:val="none"/>
          <w:lang w:val="en-US" w:eastAsia="zh-CN" w:bidi="ar-SA"/>
        </w:rPr>
        <w:t>2028年</w:t>
      </w:r>
      <w:r>
        <w:rPr>
          <w:rFonts w:hint="eastAsia" w:ascii="宋体" w:hAnsi="宋体" w:cs="宋体"/>
          <w:bCs/>
          <w:color w:val="auto"/>
          <w:sz w:val="24"/>
          <w:szCs w:val="24"/>
          <w:highlight w:val="none"/>
          <w:lang w:val="en-US" w:eastAsia="zh-CN" w:bidi="ar-SA"/>
        </w:rPr>
        <w:t>12月前</w:t>
      </w:r>
      <w:r>
        <w:rPr>
          <w:rFonts w:hint="eastAsia" w:ascii="宋体" w:hAnsi="宋体" w:eastAsia="宋体" w:cs="宋体"/>
          <w:bCs/>
          <w:color w:val="auto"/>
          <w:sz w:val="24"/>
          <w:szCs w:val="24"/>
          <w:highlight w:val="none"/>
          <w:lang w:val="en-US" w:eastAsia="zh-CN" w:bidi="ar-SA"/>
        </w:rPr>
        <w:t>支付</w:t>
      </w:r>
      <w:r>
        <w:rPr>
          <w:rFonts w:hint="eastAsia" w:ascii="宋体" w:hAnsi="宋体" w:cs="宋体"/>
          <w:bCs/>
          <w:color w:val="auto"/>
          <w:sz w:val="24"/>
          <w:szCs w:val="24"/>
          <w:highlight w:val="none"/>
          <w:lang w:val="en-US" w:eastAsia="zh-CN" w:bidi="ar-SA"/>
        </w:rPr>
        <w:t>剩余</w:t>
      </w:r>
      <w:r>
        <w:rPr>
          <w:rFonts w:hint="eastAsia" w:ascii="宋体" w:hAnsi="宋体" w:eastAsia="宋体" w:cs="宋体"/>
          <w:bCs/>
          <w:color w:val="auto"/>
          <w:sz w:val="24"/>
          <w:szCs w:val="24"/>
          <w:highlight w:val="none"/>
          <w:lang w:val="en-US" w:eastAsia="zh-CN" w:bidi="ar-SA"/>
        </w:rPr>
        <w:t>40%</w:t>
      </w:r>
      <w:r>
        <w:rPr>
          <w:rFonts w:hint="eastAsia" w:ascii="宋体" w:hAnsi="宋体" w:cs="宋体"/>
          <w:bCs/>
          <w:color w:val="auto"/>
          <w:sz w:val="24"/>
          <w:szCs w:val="24"/>
          <w:highlight w:val="none"/>
          <w:lang w:val="en-US" w:eastAsia="zh-CN" w:bidi="ar-SA"/>
        </w:rPr>
        <w:t>尾款</w:t>
      </w:r>
      <w:r>
        <w:rPr>
          <w:rFonts w:hint="eastAsia" w:ascii="宋体" w:hAnsi="宋体" w:eastAsia="宋体" w:cs="宋体"/>
          <w:bCs/>
          <w:color w:val="auto"/>
          <w:sz w:val="24"/>
          <w:szCs w:val="24"/>
          <w:highlight w:val="none"/>
          <w:lang w:val="en-US" w:eastAsia="zh-CN" w:bidi="ar-SA"/>
        </w:rPr>
        <w:t>。</w:t>
      </w:r>
    </w:p>
    <w:p w14:paraId="5BE89F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（五）</w:t>
      </w:r>
      <w:r>
        <w:rPr>
          <w:rFonts w:hint="eastAsia" w:ascii="宋体" w:hAnsi="宋体" w:eastAsia="宋体" w:cs="宋体"/>
          <w:bCs/>
          <w:color w:val="auto"/>
          <w:sz w:val="24"/>
          <w:szCs w:val="24"/>
          <w:highlight w:val="none"/>
          <w:lang w:val="en-US" w:eastAsia="zh-CN" w:bidi="ar-SA"/>
        </w:rPr>
        <w:t>驻点服务</w:t>
      </w:r>
    </w:p>
    <w:p w14:paraId="05C29D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Cs/>
          <w:color w:val="auto"/>
          <w:sz w:val="24"/>
          <w:szCs w:val="24"/>
          <w:highlight w:val="none"/>
          <w:lang w:val="en-US" w:eastAsia="zh-CN" w:bidi="ar-SA"/>
        </w:rPr>
        <w:t>合同履约期间，两个标段中标人按照</w:t>
      </w:r>
      <w:r>
        <w:rPr>
          <w:rFonts w:hint="eastAsia" w:ascii="宋体" w:hAnsi="宋体" w:cs="宋体"/>
          <w:bCs/>
          <w:color w:val="auto"/>
          <w:sz w:val="24"/>
          <w:szCs w:val="24"/>
          <w:highlight w:val="none"/>
          <w:lang w:val="en-US" w:eastAsia="zh-CN" w:bidi="ar-SA"/>
        </w:rPr>
        <w:t>无锡市新吴生态环境局制定的</w:t>
      </w:r>
      <w:r>
        <w:rPr>
          <w:rFonts w:hint="eastAsia" w:ascii="宋体" w:hAnsi="宋体" w:eastAsia="宋体" w:cs="宋体"/>
          <w:bCs/>
          <w:color w:val="auto"/>
          <w:sz w:val="24"/>
          <w:szCs w:val="24"/>
          <w:highlight w:val="none"/>
          <w:lang w:val="en-US" w:eastAsia="zh-CN" w:bidi="ar-SA"/>
        </w:rPr>
        <w:t>排班计划</w:t>
      </w:r>
      <w:r>
        <w:rPr>
          <w:rFonts w:hint="eastAsia" w:ascii="宋体" w:hAnsi="宋体" w:cs="宋体"/>
          <w:bCs/>
          <w:color w:val="auto"/>
          <w:sz w:val="24"/>
          <w:szCs w:val="24"/>
          <w:highlight w:val="none"/>
          <w:lang w:val="en-US" w:eastAsia="zh-CN" w:bidi="ar-SA"/>
        </w:rPr>
        <w:t>，各派驻不少于2名现场</w:t>
      </w:r>
      <w:r>
        <w:rPr>
          <w:rFonts w:hint="eastAsia" w:ascii="宋体" w:hAnsi="宋体" w:eastAsia="宋体" w:cs="宋体"/>
          <w:bCs/>
          <w:color w:val="auto"/>
          <w:sz w:val="24"/>
          <w:szCs w:val="24"/>
          <w:highlight w:val="none"/>
          <w:lang w:val="en-US" w:eastAsia="zh-CN" w:bidi="ar-SA"/>
        </w:rPr>
        <w:t>采样人员及车辆驻点无锡市新吴生态环境局（综合服务中心8楼），</w:t>
      </w:r>
      <w:r>
        <w:rPr>
          <w:rFonts w:hint="default" w:ascii="宋体" w:hAnsi="宋体" w:eastAsia="宋体" w:cs="宋体"/>
          <w:color w:val="auto"/>
          <w:kern w:val="0"/>
          <w:sz w:val="24"/>
          <w:szCs w:val="24"/>
          <w:highlight w:val="none"/>
          <w:lang w:val="en-US" w:eastAsia="zh-CN" w:bidi="ar"/>
        </w:rPr>
        <w:t>驻点人员需具备相应监测资质，熟练掌握现场采样、快速检测技能；派驻人员的人身安全、劳动保障、社会保险及相关法律责任均由中标单位全权负责，驻点车辆需满足监测设备运输、现场采样等工作需求，定期维护保养，确保正常使用。</w:t>
      </w:r>
    </w:p>
    <w:p w14:paraId="6DA36D8D">
      <w:pPr>
        <w:keepNext w:val="0"/>
        <w:keepLines w:val="0"/>
        <w:pageBreakBefore w:val="0"/>
        <w:widowControl w:val="0"/>
        <w:tabs>
          <w:tab w:val="left" w:pos="2444"/>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五、服务要求</w:t>
      </w:r>
    </w:p>
    <w:p w14:paraId="7762CB3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社会实验室应符合如下要求：</w:t>
      </w:r>
    </w:p>
    <w:p w14:paraId="74958CF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遵守国家法律法规的相关规定，近五年内无《无锡市企业失信行为联动惩戒实施办法（试行）》中定义的失信行为，近五年内无市级以上环保部门通报（批评）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无重大违法违规经营记录，未被列入政府采购严重违法失信记录名单，无偷税漏税、违法用工等违法违规行为</w:t>
      </w:r>
      <w:r>
        <w:rPr>
          <w:rFonts w:hint="eastAsia" w:ascii="宋体" w:hAnsi="宋体" w:eastAsia="宋体" w:cs="宋体"/>
          <w:color w:val="auto"/>
          <w:sz w:val="24"/>
          <w:szCs w:val="24"/>
          <w:highlight w:val="none"/>
        </w:rPr>
        <w:t>。</w:t>
      </w:r>
    </w:p>
    <w:p w14:paraId="5B52060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通过资质认证，获得国家或省级《资质认定计量认证证书》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CMA认证）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认证范围涵盖本标段所需全部监测项目，</w:t>
      </w:r>
      <w:r>
        <w:rPr>
          <w:rFonts w:hint="eastAsia" w:ascii="宋体" w:hAnsi="宋体" w:eastAsia="宋体" w:cs="宋体"/>
          <w:color w:val="auto"/>
          <w:sz w:val="24"/>
          <w:szCs w:val="24"/>
          <w:highlight w:val="none"/>
        </w:rPr>
        <w:t>应标文件中请注明获证日期及认定的环境类监测项目数，具备独立开展环境监测业务的软硬件能力。</w:t>
      </w:r>
    </w:p>
    <w:p w14:paraId="1A75CAC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监测技术人员接受过与其承担的相应检测活动所必需的教育和培训，具备必要的监测</w:t>
      </w:r>
      <w:r>
        <w:rPr>
          <w:rFonts w:hint="eastAsia" w:ascii="宋体" w:hAnsi="宋体" w:eastAsia="宋体" w:cs="宋体"/>
          <w:color w:val="auto"/>
          <w:sz w:val="24"/>
          <w:szCs w:val="24"/>
          <w:highlight w:val="none"/>
          <w:lang w:eastAsia="zh-CN"/>
        </w:rPr>
        <w:t>能力，接受过</w:t>
      </w:r>
      <w:r>
        <w:rPr>
          <w:rFonts w:hint="eastAsia" w:ascii="宋体" w:hAnsi="宋体" w:eastAsia="宋体" w:cs="宋体"/>
          <w:color w:val="auto"/>
          <w:sz w:val="24"/>
          <w:szCs w:val="24"/>
          <w:highlight w:val="none"/>
        </w:rPr>
        <w:t>环境检测质量保证与质量控制知识培训，监测技术人员的数量应与开展的环境监测业务工作相适应，满足工作需求。</w:t>
      </w:r>
    </w:p>
    <w:p w14:paraId="19799B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具备承担相应环境监测活动所需的工作场所、设备、设施；</w:t>
      </w:r>
      <w:r>
        <w:rPr>
          <w:rFonts w:hint="default" w:ascii="宋体" w:hAnsi="宋体" w:eastAsia="宋体" w:cs="宋体"/>
          <w:color w:val="auto"/>
          <w:kern w:val="0"/>
          <w:sz w:val="24"/>
          <w:szCs w:val="24"/>
          <w:highlight w:val="none"/>
          <w:lang w:val="en-US" w:eastAsia="zh-CN" w:bidi="ar"/>
        </w:rPr>
        <w:t>（1）具备承担本标段环境监测活动所需的专业工作场所、监测设备和配套设施，实验室布局合理，符合安全环保要求；（2）监测设备需经法定机构检定/校准合格并在有效期内，设备种类、数量满足本标段监测项目需求（一标段需具备常规污染因子快速检测设备，二标段需额外具备土壤、沉积物、危险废物等专项检测设备及司法鉴定相关设备）；（3）配备必要的应急监测设备，确保突发环境事件应急监测时能够快速响应、高效处置；（4）建立设备台账，定期对设备进行维护、保养、检定/校准，留存相关记录备查。</w:t>
      </w:r>
    </w:p>
    <w:p w14:paraId="2282B9A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具备完善的环境监测技术服务质量管理体系和管理制度，按照要求有效运行质量保证与质量控制制度。</w:t>
      </w:r>
    </w:p>
    <w:p w14:paraId="1D11407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6.各标段报价参照标准</w:t>
      </w:r>
      <w:r>
        <w:rPr>
          <w:rFonts w:hint="eastAsia" w:ascii="宋体" w:hAnsi="宋体" w:eastAsia="宋体" w:cs="宋体"/>
          <w:color w:val="auto"/>
          <w:sz w:val="24"/>
          <w:szCs w:val="24"/>
          <w:highlight w:val="none"/>
        </w:rPr>
        <w:t>应按《江苏省环境监测专业服务收费标准》（苏价费〔2006〕397号、苏财综〔2006〕80号、苏环计〔2006〕30号）、《省发展改革委省司法厅关于我省司法鉴定收费标准的通知》（苏发改收费发〔2019〕708号）（以下简称19版标准）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单价为依据，在此基础上进行折扣率报价。最终按确认的业务量结算，不再增加其他费用，投标报价不得高于收费标准的50%。项目报价等于本项目采购预算金额除最高限价折扣率（50%）乘以报价费率。最终按实结算。否则其报价将作无效处理。</w:t>
      </w:r>
    </w:p>
    <w:p w14:paraId="0E15B74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监测及报送要求：</w:t>
      </w:r>
    </w:p>
    <w:p w14:paraId="466C2FD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工作流程</w:t>
      </w:r>
    </w:p>
    <w:p w14:paraId="2E3C6CDB">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监测：委托实验室根据无锡市新吴生态环境局提供的材料制定监测方案并预算监测费用，经无锡市新吴生态环境局批准后实施。委托实验室受无锡市新吴生态环境局委托，按照监测方案开展监测工作。监测开展期间须收集企业的基础信息、生产工况等信息，协调各监测方和执法人员，按实际情况编制企业监测方案并开展监测。委托实验室按照环境监测相关技术规范要求进行必要的质量控制。整个监测过程必须接受无锡市新吴生态环境局的现场监督和质控检查，服从无锡市新吴生态环境局的工作安排。临时监测的内容，根据实际情况由采购人安排中标人开展监测工作</w:t>
      </w:r>
      <w:r>
        <w:rPr>
          <w:rFonts w:hint="eastAsia" w:ascii="宋体" w:hAnsi="宋体" w:cs="宋体"/>
          <w:color w:val="auto"/>
          <w:sz w:val="24"/>
          <w:szCs w:val="24"/>
          <w:highlight w:val="none"/>
          <w:lang w:val="en-US" w:eastAsia="zh-CN"/>
        </w:rPr>
        <w:t>，中标人须无条件配合完成监测任务。</w:t>
      </w:r>
    </w:p>
    <w:p w14:paraId="7B33085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送样分析：</w:t>
      </w:r>
      <w:r>
        <w:rPr>
          <w:rFonts w:hint="eastAsia" w:ascii="宋体" w:hAnsi="宋体" w:cs="宋体"/>
          <w:color w:val="auto"/>
          <w:sz w:val="24"/>
          <w:szCs w:val="24"/>
          <w:highlight w:val="none"/>
          <w:lang w:val="en-US" w:eastAsia="zh-CN"/>
        </w:rPr>
        <w:t>中标单位</w:t>
      </w:r>
      <w:r>
        <w:rPr>
          <w:rFonts w:hint="eastAsia" w:ascii="宋体" w:hAnsi="宋体" w:eastAsia="宋体" w:cs="宋体"/>
          <w:color w:val="auto"/>
          <w:sz w:val="24"/>
          <w:szCs w:val="24"/>
          <w:highlight w:val="none"/>
        </w:rPr>
        <w:t>根据约定开展</w:t>
      </w:r>
      <w:r>
        <w:rPr>
          <w:rFonts w:hint="eastAsia" w:ascii="宋体" w:hAnsi="宋体" w:cs="宋体"/>
          <w:color w:val="auto"/>
          <w:sz w:val="24"/>
          <w:szCs w:val="24"/>
          <w:highlight w:val="none"/>
          <w:lang w:val="en-US" w:eastAsia="zh-CN"/>
        </w:rPr>
        <w:t>送检</w:t>
      </w:r>
      <w:r>
        <w:rPr>
          <w:rFonts w:hint="eastAsia" w:ascii="宋体" w:hAnsi="宋体" w:eastAsia="宋体" w:cs="宋体"/>
          <w:color w:val="auto"/>
          <w:sz w:val="24"/>
          <w:szCs w:val="24"/>
          <w:highlight w:val="none"/>
        </w:rPr>
        <w:t>样</w:t>
      </w:r>
      <w:r>
        <w:rPr>
          <w:rFonts w:hint="eastAsia" w:ascii="宋体" w:hAnsi="宋体" w:cs="宋体"/>
          <w:color w:val="auto"/>
          <w:sz w:val="24"/>
          <w:szCs w:val="24"/>
          <w:highlight w:val="none"/>
          <w:lang w:val="en-US" w:eastAsia="zh-CN"/>
        </w:rPr>
        <w:t>品的</w:t>
      </w:r>
      <w:r>
        <w:rPr>
          <w:rFonts w:hint="eastAsia" w:ascii="宋体" w:hAnsi="宋体" w:eastAsia="宋体" w:cs="宋体"/>
          <w:color w:val="auto"/>
          <w:sz w:val="24"/>
          <w:szCs w:val="24"/>
          <w:highlight w:val="none"/>
        </w:rPr>
        <w:t>分析工作，</w:t>
      </w:r>
      <w:r>
        <w:rPr>
          <w:rFonts w:hint="eastAsia" w:ascii="宋体" w:hAnsi="宋体" w:cs="宋体"/>
          <w:color w:val="auto"/>
          <w:sz w:val="24"/>
          <w:szCs w:val="24"/>
          <w:highlight w:val="none"/>
          <w:lang w:val="en-US" w:eastAsia="zh-CN"/>
        </w:rPr>
        <w:t>规范</w:t>
      </w:r>
      <w:r>
        <w:rPr>
          <w:rFonts w:hint="eastAsia" w:ascii="宋体" w:hAnsi="宋体" w:eastAsia="宋体" w:cs="宋体"/>
          <w:color w:val="auto"/>
          <w:sz w:val="24"/>
          <w:szCs w:val="24"/>
          <w:highlight w:val="none"/>
        </w:rPr>
        <w:t>填写样品交接单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注明样品名称、数量、采集时间、检测项目等信息），严格按照交接单要求管理、保存和分析样品，落实内部质量控制措施，确保分析结果准确可靠；样品保存、运输需符合相关标准要求，防止样品污染、变质。分析完成后，留存样品需要妥善保管，便于后续核查。</w:t>
      </w:r>
    </w:p>
    <w:p w14:paraId="67656459">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数据流程</w:t>
      </w:r>
    </w:p>
    <w:p w14:paraId="2B598F68">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中标单位完成现场监测后，需按照各项任务要求，及时向</w:t>
      </w:r>
      <w:r>
        <w:rPr>
          <w:rFonts w:hint="eastAsia" w:ascii="宋体" w:hAnsi="宋体" w:eastAsia="宋体" w:cs="宋体"/>
          <w:color w:val="auto"/>
          <w:sz w:val="24"/>
          <w:szCs w:val="24"/>
          <w:highlight w:val="none"/>
        </w:rPr>
        <w:t>无锡市新吴生态环境局提供监测报告及数据表，</w:t>
      </w:r>
      <w:r>
        <w:rPr>
          <w:rFonts w:hint="eastAsia" w:ascii="宋体" w:hAnsi="宋体" w:cs="宋体"/>
          <w:color w:val="auto"/>
          <w:sz w:val="24"/>
          <w:szCs w:val="24"/>
          <w:highlight w:val="none"/>
          <w:lang w:val="en-US" w:eastAsia="zh-CN"/>
        </w:rPr>
        <w:t>常规监测报告需在采样完成后5个工作日内提交，特殊监测项目如需放宽报告提交时间，需提前与招标人协商一致。</w:t>
      </w:r>
      <w:r>
        <w:rPr>
          <w:rFonts w:hint="eastAsia" w:ascii="宋体" w:hAnsi="宋体" w:eastAsia="宋体" w:cs="宋体"/>
          <w:color w:val="auto"/>
          <w:sz w:val="24"/>
          <w:szCs w:val="24"/>
          <w:highlight w:val="none"/>
        </w:rPr>
        <w:t>必要时提供相关原始记录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包括采样记录、分析记录、校准记录等），原始记录需规范填写、签字确认，不得涂改、伪造</w:t>
      </w:r>
      <w:r>
        <w:rPr>
          <w:rFonts w:hint="eastAsia" w:ascii="宋体" w:hAnsi="宋体" w:eastAsia="宋体" w:cs="宋体"/>
          <w:color w:val="auto"/>
          <w:sz w:val="24"/>
          <w:szCs w:val="24"/>
          <w:highlight w:val="none"/>
        </w:rPr>
        <w:t>。特殊项目需放宽时间的要求与无锡市新吴生态环境局协商。</w:t>
      </w:r>
    </w:p>
    <w:p w14:paraId="6182684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业务费支付</w:t>
      </w:r>
    </w:p>
    <w:p w14:paraId="0B5E1C1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无锡市新吴生态环境局在委托实验室监测任务结束后，以《江苏省环境监测专业服务收费标准》为基准，按开标时的基准价（固定折扣率），向委托实验室支付监测业务服务费。</w:t>
      </w:r>
    </w:p>
    <w:p w14:paraId="08A125D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委托监测的责任</w:t>
      </w:r>
    </w:p>
    <w:p w14:paraId="46E5B0C5">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单位需对监测质量负责，按时、保质完成各项监测工作，严格遵守国家法律法规、相关制度规定、执业规范及招标人的各项要求。中标单位对监测结果的真实性、完整性、可靠性承担全部责任，监测数据及相关报告仅向无锡市新吴生态环境局提供</w:t>
      </w:r>
      <w:r>
        <w:rPr>
          <w:rFonts w:hint="eastAsia" w:ascii="宋体" w:hAnsi="宋体" w:eastAsia="宋体" w:cs="宋体"/>
          <w:color w:val="auto"/>
          <w:sz w:val="24"/>
          <w:szCs w:val="24"/>
          <w:highlight w:val="none"/>
        </w:rPr>
        <w:t>，不得自行提供给其他单位。</w:t>
      </w:r>
      <w:r>
        <w:rPr>
          <w:rFonts w:hint="eastAsia" w:ascii="宋体" w:hAnsi="宋体" w:cs="宋体"/>
          <w:color w:val="auto"/>
          <w:sz w:val="24"/>
          <w:szCs w:val="24"/>
          <w:highlight w:val="none"/>
          <w:lang w:val="en-US" w:eastAsia="zh-CN"/>
        </w:rPr>
        <w:t>若中标单位</w:t>
      </w:r>
      <w:r>
        <w:rPr>
          <w:rFonts w:hint="eastAsia" w:ascii="宋体" w:hAnsi="宋体" w:eastAsia="宋体" w:cs="宋体"/>
          <w:color w:val="auto"/>
          <w:sz w:val="24"/>
          <w:szCs w:val="24"/>
          <w:highlight w:val="none"/>
        </w:rPr>
        <w:t>提供不实或内容虚假的监测结果以及自行对外提供监测报告的，除自行承担法律责任外，无锡市新吴生态环境局可采取必要措施终止委托监测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情节严重的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依法提请有关部门追究中标供应商和相关责任人的行政及法律责任。</w:t>
      </w:r>
    </w:p>
    <w:p w14:paraId="6DBB5A0B">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违约责任</w:t>
      </w:r>
    </w:p>
    <w:p w14:paraId="3AE85EC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为了确保项目监测质量，</w:t>
      </w:r>
      <w:r>
        <w:rPr>
          <w:rFonts w:hint="eastAsia" w:ascii="宋体" w:hAnsi="宋体" w:cs="宋体"/>
          <w:color w:val="auto"/>
          <w:sz w:val="24"/>
          <w:szCs w:val="24"/>
          <w:highlight w:val="none"/>
          <w:lang w:val="en-US" w:eastAsia="zh-CN"/>
        </w:rPr>
        <w:t>无锡市</w:t>
      </w:r>
      <w:r>
        <w:rPr>
          <w:rFonts w:hint="eastAsia" w:ascii="宋体" w:hAnsi="宋体" w:eastAsia="宋体" w:cs="宋体"/>
          <w:color w:val="auto"/>
          <w:sz w:val="24"/>
          <w:szCs w:val="24"/>
          <w:highlight w:val="none"/>
        </w:rPr>
        <w:t>新吴生态环境局将</w:t>
      </w:r>
      <w:r>
        <w:rPr>
          <w:rFonts w:hint="eastAsia" w:ascii="宋体" w:hAnsi="宋体" w:cs="宋体"/>
          <w:color w:val="auto"/>
          <w:sz w:val="24"/>
          <w:szCs w:val="24"/>
          <w:highlight w:val="none"/>
          <w:lang w:eastAsia="zh-CN"/>
        </w:rPr>
        <w:t>每年</w:t>
      </w:r>
      <w:r>
        <w:rPr>
          <w:rFonts w:hint="eastAsia" w:ascii="宋体" w:hAnsi="宋体" w:eastAsia="宋体" w:cs="宋体"/>
          <w:color w:val="auto"/>
          <w:sz w:val="24"/>
          <w:szCs w:val="24"/>
          <w:highlight w:val="none"/>
        </w:rPr>
        <w:t>组织对委托实验室的监测质量等进行综合考核，考核结果将作为下一次选择中标供应商的重要依据。考核结果不及格的中标供应商，在其后</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年内不接受其招标报名。</w:t>
      </w:r>
    </w:p>
    <w:p w14:paraId="214ED29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当中标人出现下列情况之一，招标人可以终止合同，并将其列入不合格供应商名单，在其后两年内不接受其报名，全部赔偿责任由中标人承担，同时招标人将依法追究其单位和个人的法律责任：</w:t>
      </w:r>
    </w:p>
    <w:p w14:paraId="428A8B8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中标人经招标人许可的外包实验室不能按时履行合同的；</w:t>
      </w:r>
    </w:p>
    <w:p w14:paraId="2B11CE2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未经招标人许可擅自将合同内容部分或全部转给其他实验室的；</w:t>
      </w:r>
    </w:p>
    <w:p w14:paraId="4C9468D2">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在服务期内受到招标人</w:t>
      </w:r>
      <w:r>
        <w:rPr>
          <w:rFonts w:hint="eastAsia" w:ascii="宋体" w:hAnsi="宋体" w:eastAsia="宋体" w:cs="宋体"/>
          <w:color w:val="auto"/>
          <w:sz w:val="24"/>
          <w:szCs w:val="24"/>
          <w:highlight w:val="none"/>
        </w:rPr>
        <w:t>2次</w:t>
      </w:r>
      <w:r>
        <w:rPr>
          <w:rFonts w:hint="eastAsia" w:ascii="宋体" w:hAnsi="宋体" w:cs="宋体"/>
          <w:color w:val="auto"/>
          <w:sz w:val="24"/>
          <w:szCs w:val="24"/>
          <w:highlight w:val="none"/>
          <w:lang w:val="en-US" w:eastAsia="zh-CN"/>
        </w:rPr>
        <w:t>及以上书面警告，且未按要求整改到位的；</w:t>
      </w:r>
    </w:p>
    <w:p w14:paraId="459F20A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未经</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rPr>
        <w:t>同意</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擅自向</w:t>
      </w:r>
      <w:r>
        <w:rPr>
          <w:rFonts w:hint="eastAsia" w:ascii="宋体" w:hAnsi="宋体" w:cs="宋体"/>
          <w:color w:val="auto"/>
          <w:sz w:val="24"/>
          <w:szCs w:val="24"/>
          <w:highlight w:val="none"/>
          <w:lang w:val="en-US" w:eastAsia="zh-CN"/>
        </w:rPr>
        <w:t>第三方泄露或提供合同相关数据、监测结果及其他涉密内容的；</w:t>
      </w:r>
    </w:p>
    <w:p w14:paraId="4062B2F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合同有效期内，被行业主管部门警告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通报批评，</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val="en-US" w:eastAsia="zh-CN"/>
        </w:rPr>
        <w:t>被取消资质认证（CMA认证）等相关资质的；</w:t>
      </w:r>
    </w:p>
    <w:p w14:paraId="724E36AB">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6.不如实反映</w:t>
      </w:r>
      <w:r>
        <w:rPr>
          <w:rFonts w:hint="eastAsia" w:ascii="宋体" w:hAnsi="宋体" w:cs="宋体"/>
          <w:color w:val="auto"/>
          <w:sz w:val="24"/>
          <w:szCs w:val="24"/>
          <w:highlight w:val="none"/>
          <w:lang w:val="en-US" w:eastAsia="zh-CN"/>
        </w:rPr>
        <w:t>监测</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编造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提供虚假监测数据、虚假材料，或存在其他影响监测活动客观性、公正性的行为，经查证属实的；</w:t>
      </w:r>
    </w:p>
    <w:p w14:paraId="51345F15">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在实际履行合同过程中，未能满足本采购文件及投标承诺中的各项要求，且未按要求整改的；</w:t>
      </w:r>
    </w:p>
    <w:p w14:paraId="6493A27E">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rPr>
      </w:pPr>
      <w:r>
        <w:rPr>
          <w:rFonts w:hint="eastAsia" w:ascii="宋体" w:hAnsi="宋体" w:eastAsia="宋体" w:cs="宋体"/>
          <w:i w:val="0"/>
          <w:iCs w:val="0"/>
          <w:caps w:val="0"/>
          <w:color w:val="auto"/>
          <w:spacing w:val="0"/>
          <w:sz w:val="24"/>
          <w:szCs w:val="24"/>
          <w:highlight w:val="none"/>
          <w:shd w:val="clear" w:color="auto" w:fill="auto"/>
          <w:lang w:val="en-US" w:eastAsia="zh-CN"/>
        </w:rPr>
        <w:t>8.中标人</w:t>
      </w:r>
      <w:r>
        <w:rPr>
          <w:rFonts w:hint="eastAsia" w:ascii="宋体" w:hAnsi="宋体" w:eastAsia="宋体" w:cs="宋体"/>
          <w:i w:val="0"/>
          <w:iCs w:val="0"/>
          <w:caps w:val="0"/>
          <w:color w:val="auto"/>
          <w:spacing w:val="0"/>
          <w:sz w:val="24"/>
          <w:szCs w:val="24"/>
          <w:highlight w:val="none"/>
          <w:shd w:val="clear" w:color="auto" w:fill="auto"/>
        </w:rPr>
        <w:t>未按期提供服务，应按每日0.5%的标准向</w:t>
      </w:r>
      <w:r>
        <w:rPr>
          <w:rFonts w:hint="eastAsia" w:ascii="宋体" w:hAnsi="宋体" w:eastAsia="宋体" w:cs="宋体"/>
          <w:color w:val="auto"/>
          <w:sz w:val="24"/>
          <w:szCs w:val="24"/>
          <w:highlight w:val="none"/>
        </w:rPr>
        <w:t>招标人</w:t>
      </w:r>
      <w:r>
        <w:rPr>
          <w:rFonts w:hint="eastAsia" w:ascii="宋体" w:hAnsi="宋体" w:eastAsia="宋体" w:cs="宋体"/>
          <w:i w:val="0"/>
          <w:iCs w:val="0"/>
          <w:caps w:val="0"/>
          <w:color w:val="auto"/>
          <w:spacing w:val="0"/>
          <w:sz w:val="24"/>
          <w:szCs w:val="24"/>
          <w:highlight w:val="none"/>
          <w:shd w:val="clear" w:color="auto" w:fill="auto"/>
        </w:rPr>
        <w:t>支付迟延违约金，累计不超过合同总价10%；达到限额后</w:t>
      </w:r>
      <w:r>
        <w:rPr>
          <w:rFonts w:hint="eastAsia" w:ascii="宋体" w:hAnsi="宋体" w:cs="宋体"/>
          <w:i w:val="0"/>
          <w:iCs w:val="0"/>
          <w:caps w:val="0"/>
          <w:color w:val="auto"/>
          <w:spacing w:val="0"/>
          <w:sz w:val="24"/>
          <w:szCs w:val="24"/>
          <w:highlight w:val="none"/>
          <w:shd w:val="clear" w:color="auto" w:fill="auto"/>
          <w:lang w:eastAsia="zh-CN"/>
        </w:rPr>
        <w:t>需</w:t>
      </w:r>
      <w:r>
        <w:rPr>
          <w:rFonts w:hint="eastAsia" w:ascii="宋体" w:hAnsi="宋体" w:eastAsia="宋体" w:cs="宋体"/>
          <w:i w:val="0"/>
          <w:iCs w:val="0"/>
          <w:caps w:val="0"/>
          <w:color w:val="auto"/>
          <w:spacing w:val="0"/>
          <w:sz w:val="24"/>
          <w:szCs w:val="24"/>
          <w:highlight w:val="none"/>
          <w:shd w:val="clear" w:color="auto" w:fill="auto"/>
        </w:rPr>
        <w:t>方有权解除合同</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检测报告中提供虚假数据材料，影响案件进行的）</w:t>
      </w:r>
      <w:r>
        <w:rPr>
          <w:rFonts w:hint="eastAsia" w:ascii="宋体" w:hAnsi="宋体" w:eastAsia="宋体" w:cs="宋体"/>
          <w:i w:val="0"/>
          <w:iCs w:val="0"/>
          <w:caps w:val="0"/>
          <w:color w:val="auto"/>
          <w:spacing w:val="0"/>
          <w:sz w:val="24"/>
          <w:szCs w:val="24"/>
          <w:highlight w:val="none"/>
          <w:shd w:val="clear" w:color="auto" w:fill="auto"/>
        </w:rPr>
        <w:t>；</w:t>
      </w:r>
    </w:p>
    <w:p w14:paraId="3E108800">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9.中标方</w:t>
      </w:r>
      <w:r>
        <w:rPr>
          <w:rFonts w:hint="eastAsia" w:ascii="宋体" w:hAnsi="宋体" w:eastAsia="宋体" w:cs="宋体"/>
          <w:i w:val="0"/>
          <w:iCs w:val="0"/>
          <w:caps w:val="0"/>
          <w:color w:val="auto"/>
          <w:spacing w:val="0"/>
          <w:sz w:val="24"/>
          <w:szCs w:val="24"/>
          <w:highlight w:val="none"/>
          <w:shd w:val="clear" w:color="auto" w:fill="auto"/>
        </w:rPr>
        <w:t>服务缺陷造成人身财产损害的，由</w:t>
      </w:r>
      <w:r>
        <w:rPr>
          <w:rFonts w:hint="eastAsia" w:ascii="宋体" w:hAnsi="宋体" w:eastAsia="宋体" w:cs="宋体"/>
          <w:i w:val="0"/>
          <w:iCs w:val="0"/>
          <w:caps w:val="0"/>
          <w:color w:val="auto"/>
          <w:spacing w:val="0"/>
          <w:sz w:val="24"/>
          <w:szCs w:val="24"/>
          <w:highlight w:val="none"/>
          <w:shd w:val="clear" w:color="auto"/>
          <w:lang w:val="en-US" w:eastAsia="zh-CN"/>
        </w:rPr>
        <w:t>中标</w:t>
      </w:r>
      <w:r>
        <w:rPr>
          <w:rFonts w:hint="eastAsia" w:ascii="宋体" w:hAnsi="宋体" w:eastAsia="宋体" w:cs="宋体"/>
          <w:i w:val="0"/>
          <w:iCs w:val="0"/>
          <w:caps w:val="0"/>
          <w:color w:val="auto"/>
          <w:spacing w:val="0"/>
          <w:sz w:val="24"/>
          <w:szCs w:val="24"/>
          <w:highlight w:val="none"/>
          <w:shd w:val="clear" w:color="auto" w:fill="auto"/>
        </w:rPr>
        <w:t>方独立承担责任</w:t>
      </w:r>
      <w:r>
        <w:rPr>
          <w:rFonts w:hint="eastAsia" w:ascii="宋体" w:hAnsi="宋体" w:eastAsia="宋体" w:cs="宋体"/>
          <w:i w:val="0"/>
          <w:iCs w:val="0"/>
          <w:caps w:val="0"/>
          <w:color w:val="auto"/>
          <w:spacing w:val="0"/>
          <w:sz w:val="24"/>
          <w:szCs w:val="24"/>
          <w:highlight w:val="none"/>
          <w:shd w:val="clear" w:color="auto"/>
          <w:lang w:eastAsia="zh-CN"/>
        </w:rPr>
        <w:t>，</w:t>
      </w:r>
      <w:r>
        <w:rPr>
          <w:rFonts w:hint="eastAsia" w:ascii="宋体" w:hAnsi="宋体" w:eastAsia="宋体" w:cs="宋体"/>
          <w:i w:val="0"/>
          <w:iCs w:val="0"/>
          <w:caps w:val="0"/>
          <w:color w:val="auto"/>
          <w:spacing w:val="0"/>
          <w:sz w:val="24"/>
          <w:szCs w:val="24"/>
          <w:highlight w:val="none"/>
          <w:shd w:val="clear" w:color="auto" w:fill="auto"/>
        </w:rPr>
        <w:t>若导致</w:t>
      </w:r>
      <w:r>
        <w:rPr>
          <w:rFonts w:hint="eastAsia" w:ascii="宋体" w:hAnsi="宋体" w:cs="宋体"/>
          <w:i w:val="0"/>
          <w:iCs w:val="0"/>
          <w:caps w:val="0"/>
          <w:color w:val="auto"/>
          <w:spacing w:val="0"/>
          <w:sz w:val="24"/>
          <w:szCs w:val="24"/>
          <w:highlight w:val="none"/>
          <w:shd w:val="clear" w:color="auto" w:fill="auto"/>
          <w:lang w:eastAsia="zh-CN"/>
        </w:rPr>
        <w:t>需</w:t>
      </w:r>
      <w:r>
        <w:rPr>
          <w:rFonts w:hint="eastAsia" w:ascii="宋体" w:hAnsi="宋体" w:eastAsia="宋体" w:cs="宋体"/>
          <w:i w:val="0"/>
          <w:iCs w:val="0"/>
          <w:caps w:val="0"/>
          <w:color w:val="auto"/>
          <w:spacing w:val="0"/>
          <w:sz w:val="24"/>
          <w:szCs w:val="24"/>
          <w:highlight w:val="none"/>
          <w:shd w:val="clear" w:color="auto" w:fill="auto"/>
        </w:rPr>
        <w:t>方损失（含诉讼费、律师费等合理支出），</w:t>
      </w:r>
      <w:r>
        <w:rPr>
          <w:rFonts w:hint="eastAsia" w:ascii="宋体" w:hAnsi="宋体" w:cs="宋体"/>
          <w:i w:val="0"/>
          <w:iCs w:val="0"/>
          <w:caps w:val="0"/>
          <w:color w:val="auto"/>
          <w:spacing w:val="0"/>
          <w:sz w:val="24"/>
          <w:szCs w:val="24"/>
          <w:highlight w:val="none"/>
          <w:shd w:val="clear" w:color="auto" w:fill="auto"/>
          <w:lang w:eastAsia="zh-CN"/>
        </w:rPr>
        <w:t>需</w:t>
      </w:r>
      <w:r>
        <w:rPr>
          <w:rFonts w:hint="eastAsia" w:ascii="宋体" w:hAnsi="宋体" w:eastAsia="宋体" w:cs="宋体"/>
          <w:i w:val="0"/>
          <w:iCs w:val="0"/>
          <w:caps w:val="0"/>
          <w:color w:val="auto"/>
          <w:spacing w:val="0"/>
          <w:sz w:val="24"/>
          <w:szCs w:val="24"/>
          <w:highlight w:val="none"/>
          <w:shd w:val="clear" w:color="auto" w:fill="auto"/>
        </w:rPr>
        <w:t>方保留追偿权</w:t>
      </w:r>
      <w:r>
        <w:rPr>
          <w:rFonts w:hint="eastAsia" w:ascii="宋体" w:hAnsi="宋体" w:eastAsia="宋体" w:cs="宋体"/>
          <w:i w:val="0"/>
          <w:iCs w:val="0"/>
          <w:caps w:val="0"/>
          <w:color w:val="auto"/>
          <w:spacing w:val="0"/>
          <w:sz w:val="24"/>
          <w:szCs w:val="24"/>
          <w:highlight w:val="none"/>
          <w:shd w:val="clear" w:color="auto"/>
          <w:lang w:val="en-US" w:eastAsia="zh-CN"/>
        </w:rPr>
        <w:t>；</w:t>
      </w:r>
    </w:p>
    <w:p w14:paraId="23DA174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i w:val="0"/>
          <w:iCs w:val="0"/>
          <w:caps w:val="0"/>
          <w:color w:val="auto"/>
          <w:spacing w:val="0"/>
          <w:sz w:val="24"/>
          <w:szCs w:val="24"/>
          <w:highlight w:val="none"/>
          <w:shd w:val="clear" w:color="auto" w:fill="auto"/>
          <w:lang w:val="en-US" w:eastAsia="zh-CN"/>
        </w:rPr>
        <w:t>10.</w:t>
      </w:r>
      <w:r>
        <w:rPr>
          <w:rFonts w:hint="default" w:ascii="宋体" w:hAnsi="宋体" w:eastAsia="宋体" w:cs="宋体"/>
          <w:color w:val="auto"/>
          <w:kern w:val="0"/>
          <w:sz w:val="24"/>
          <w:szCs w:val="24"/>
          <w:highlight w:val="none"/>
          <w:lang w:val="en-US" w:eastAsia="zh-CN" w:bidi="ar"/>
        </w:rPr>
        <w:t>存在腐败行为（包括但不限于提供、收受不正当利益，影响合同签订或履行的）或欺诈行为（包括但不限于通过虚假陈述、隐瞒真相，误导招标人签订或履行合同的）；</w:t>
      </w:r>
    </w:p>
    <w:p w14:paraId="37F6B85A">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11.</w:t>
      </w:r>
      <w:r>
        <w:rPr>
          <w:rFonts w:hint="eastAsia" w:ascii="宋体" w:hAnsi="宋体" w:cs="宋体"/>
          <w:i w:val="0"/>
          <w:iCs w:val="0"/>
          <w:caps w:val="0"/>
          <w:color w:val="auto"/>
          <w:spacing w:val="0"/>
          <w:sz w:val="24"/>
          <w:szCs w:val="24"/>
          <w:highlight w:val="none"/>
          <w:shd w:val="clear" w:color="auto" w:fill="auto"/>
          <w:lang w:val="en-US" w:eastAsia="zh-CN"/>
        </w:rPr>
        <w:t>未履行投标文件中所作的各项承诺，情节严重的；</w:t>
      </w:r>
    </w:p>
    <w:p w14:paraId="34F25B71">
      <w:pPr>
        <w:pStyle w:val="16"/>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12.驻点人员擅自脱岗、离岗，或未按要求完成驻点任务，经提醒后仍未整改的；</w:t>
      </w:r>
    </w:p>
    <w:p w14:paraId="78AD3351">
      <w:pPr>
        <w:pStyle w:val="16"/>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13.监测设备未按要求检定/校准，或设备故障未及时维修，影响监测工作正常开展的；</w:t>
      </w:r>
    </w:p>
    <w:p w14:paraId="287740A3">
      <w:pPr>
        <w:pStyle w:val="16"/>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14.其他严重违反本采购文件及合同约定的行为。</w:t>
      </w:r>
    </w:p>
    <w:p w14:paraId="4D2D9E53">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15.</w:t>
      </w:r>
      <w:r>
        <w:rPr>
          <w:rFonts w:hint="eastAsia" w:ascii="宋体" w:hAnsi="宋体" w:eastAsia="宋体" w:cs="宋体"/>
          <w:i w:val="0"/>
          <w:iCs w:val="0"/>
          <w:caps w:val="0"/>
          <w:color w:val="auto"/>
          <w:spacing w:val="0"/>
          <w:sz w:val="24"/>
          <w:szCs w:val="24"/>
          <w:highlight w:val="none"/>
          <w:shd w:val="clear" w:color="auto" w:fill="auto"/>
        </w:rPr>
        <w:t>履约豁免：因政府采购监管部门书面暂停令或质疑调查导致合同中止履行的，不视为</w:t>
      </w:r>
      <w:r>
        <w:rPr>
          <w:rFonts w:hint="eastAsia" w:ascii="宋体" w:hAnsi="宋体" w:cs="宋体"/>
          <w:i w:val="0"/>
          <w:iCs w:val="0"/>
          <w:caps w:val="0"/>
          <w:color w:val="auto"/>
          <w:spacing w:val="0"/>
          <w:sz w:val="24"/>
          <w:szCs w:val="24"/>
          <w:highlight w:val="none"/>
          <w:shd w:val="clear" w:color="auto" w:fill="auto"/>
          <w:lang w:val="en-US" w:eastAsia="zh-CN"/>
        </w:rPr>
        <w:t>招标人</w:t>
      </w:r>
      <w:r>
        <w:rPr>
          <w:rFonts w:hint="eastAsia" w:ascii="宋体" w:hAnsi="宋体" w:eastAsia="宋体" w:cs="宋体"/>
          <w:i w:val="0"/>
          <w:iCs w:val="0"/>
          <w:caps w:val="0"/>
          <w:color w:val="auto"/>
          <w:spacing w:val="0"/>
          <w:sz w:val="24"/>
          <w:szCs w:val="24"/>
          <w:highlight w:val="none"/>
          <w:shd w:val="clear" w:color="auto" w:fill="auto"/>
        </w:rPr>
        <w:t>违约</w:t>
      </w:r>
      <w:r>
        <w:rPr>
          <w:rFonts w:hint="eastAsia" w:ascii="宋体" w:hAnsi="宋体" w:eastAsia="宋体" w:cs="宋体"/>
          <w:i w:val="0"/>
          <w:iCs w:val="0"/>
          <w:caps w:val="0"/>
          <w:color w:val="auto"/>
          <w:spacing w:val="0"/>
          <w:sz w:val="24"/>
          <w:szCs w:val="24"/>
          <w:highlight w:val="none"/>
          <w:shd w:val="clear" w:color="auto"/>
          <w:lang w:val="en-US" w:eastAsia="zh-CN"/>
        </w:rPr>
        <w:t>；</w:t>
      </w:r>
    </w:p>
    <w:p w14:paraId="1FDCDA68">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i w:val="0"/>
          <w:iCs w:val="0"/>
          <w:caps w:val="0"/>
          <w:color w:val="auto"/>
          <w:spacing w:val="0"/>
          <w:sz w:val="24"/>
          <w:szCs w:val="24"/>
          <w:highlight w:val="none"/>
          <w:shd w:val="clear" w:color="auto" w:fill="auto"/>
          <w:lang w:val="en-US" w:eastAsia="zh-CN"/>
        </w:rPr>
        <w:t>16</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rPr>
        <w:t>复合救济</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守约方可在主张违约金的同时，要求继续履行、</w:t>
      </w:r>
      <w:r>
        <w:rPr>
          <w:rFonts w:hint="eastAsia" w:ascii="宋体" w:hAnsi="宋体" w:cs="宋体"/>
          <w:i w:val="0"/>
          <w:iCs w:val="0"/>
          <w:caps w:val="0"/>
          <w:color w:val="auto"/>
          <w:spacing w:val="0"/>
          <w:sz w:val="24"/>
          <w:szCs w:val="24"/>
          <w:highlight w:val="none"/>
          <w:shd w:val="clear" w:color="auto" w:fill="auto"/>
          <w:lang w:eastAsia="zh-CN"/>
        </w:rPr>
        <w:t>采取</w:t>
      </w:r>
      <w:r>
        <w:rPr>
          <w:rFonts w:hint="eastAsia" w:ascii="宋体" w:hAnsi="宋体" w:eastAsia="宋体" w:cs="宋体"/>
          <w:i w:val="0"/>
          <w:iCs w:val="0"/>
          <w:caps w:val="0"/>
          <w:color w:val="auto"/>
          <w:spacing w:val="0"/>
          <w:sz w:val="24"/>
          <w:szCs w:val="24"/>
          <w:highlight w:val="none"/>
          <w:shd w:val="clear" w:color="auto" w:fill="auto"/>
        </w:rPr>
        <w:t>补救措施及实际损失赔偿；合同解除不影响主张违约金及赔偿的权利；权利救济方式的行使不构成对其他法定或约定权利的放弃</w:t>
      </w:r>
      <w:r>
        <w:rPr>
          <w:rFonts w:hint="eastAsia" w:ascii="宋体" w:hAnsi="宋体" w:cs="宋体"/>
          <w:i w:val="0"/>
          <w:iCs w:val="0"/>
          <w:caps w:val="0"/>
          <w:color w:val="auto"/>
          <w:spacing w:val="0"/>
          <w:sz w:val="24"/>
          <w:szCs w:val="24"/>
          <w:highlight w:val="none"/>
          <w:shd w:val="clear" w:color="auto" w:fill="auto"/>
          <w:lang w:eastAsia="zh-CN"/>
        </w:rPr>
        <w:t>。</w:t>
      </w:r>
    </w:p>
    <w:p w14:paraId="0613C1B7">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保密要求</w:t>
      </w:r>
    </w:p>
    <w:p w14:paraId="1BF193A6">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保密内容（包括技术信息和经营信息）：包括但不限于监测数据、报告、报表等未经招标人许可不得复印，对履行合同中知晓的全部信息予以保密。</w:t>
      </w:r>
    </w:p>
    <w:p w14:paraId="1C36823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涉密人员范围：中标人所有工作人员及外包/分包工作人员。</w:t>
      </w:r>
    </w:p>
    <w:p w14:paraId="07A3CA24">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免责事项</w:t>
      </w:r>
    </w:p>
    <w:p w14:paraId="569D924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若由于相应国家法律法规、地方性法规、行业规章、政策文件等变动造成项目中止，项目参与各方均不承担违约责任。</w:t>
      </w:r>
    </w:p>
    <w:p w14:paraId="75D4810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六、</w:t>
      </w:r>
      <w:r>
        <w:rPr>
          <w:rFonts w:hint="eastAsia" w:ascii="宋体" w:hAnsi="宋体" w:eastAsia="宋体" w:cs="宋体"/>
          <w:b/>
          <w:bCs/>
          <w:color w:val="auto"/>
          <w:sz w:val="24"/>
          <w:szCs w:val="24"/>
          <w:highlight w:val="none"/>
          <w:lang w:val="en-US" w:eastAsia="zh-CN" w:bidi="ar-SA"/>
        </w:rPr>
        <w:t>服务内容及要求</w:t>
      </w:r>
    </w:p>
    <w:p w14:paraId="4747612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lang w:val="en-US" w:eastAsia="zh-CN" w:bidi="ar-SA"/>
        </w:rPr>
        <w:t>一标段服务要求：</w:t>
      </w:r>
    </w:p>
    <w:p w14:paraId="7666F77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一标段</w:t>
      </w:r>
      <w:r>
        <w:rPr>
          <w:rFonts w:hint="eastAsia" w:ascii="宋体" w:hAnsi="宋体" w:cs="宋体"/>
          <w:color w:val="auto"/>
          <w:sz w:val="24"/>
          <w:szCs w:val="24"/>
          <w:highlight w:val="none"/>
          <w:lang w:val="en-US" w:eastAsia="zh-CN" w:bidi="ar-SA"/>
        </w:rPr>
        <w:t>主要配合开展</w:t>
      </w:r>
      <w:r>
        <w:rPr>
          <w:rFonts w:hint="eastAsia" w:ascii="宋体" w:hAnsi="宋体" w:eastAsia="宋体" w:cs="宋体"/>
          <w:color w:val="auto"/>
          <w:sz w:val="24"/>
          <w:szCs w:val="24"/>
          <w:highlight w:val="none"/>
          <w:lang w:val="en-US" w:eastAsia="zh-CN" w:bidi="ar-SA"/>
        </w:rPr>
        <w:t>日常执法监测、强化监督帮扶监测、走航等异常线索交办监测、信访调处监测及突发环境事件应急监测等，具备24小时待命快速检测能力</w:t>
      </w:r>
      <w:r>
        <w:rPr>
          <w:rFonts w:hint="eastAsia" w:ascii="宋体" w:hAnsi="宋体" w:cs="宋体"/>
          <w:color w:val="auto"/>
          <w:sz w:val="24"/>
          <w:szCs w:val="24"/>
          <w:highlight w:val="none"/>
          <w:lang w:val="en-US" w:eastAsia="zh-CN" w:bidi="ar-SA"/>
        </w:rPr>
        <w:t>，确保响应及时、处置高效，监测数据精准可靠</w:t>
      </w:r>
      <w:r>
        <w:rPr>
          <w:rFonts w:hint="eastAsia" w:ascii="宋体" w:hAnsi="宋体" w:eastAsia="宋体" w:cs="宋体"/>
          <w:color w:val="auto"/>
          <w:sz w:val="24"/>
          <w:szCs w:val="24"/>
          <w:highlight w:val="none"/>
          <w:lang w:val="en-US" w:eastAsia="zh-CN" w:bidi="ar-SA"/>
        </w:rPr>
        <w:t>。</w:t>
      </w:r>
    </w:p>
    <w:p w14:paraId="7467D79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具体工作内容：</w:t>
      </w:r>
    </w:p>
    <w:p w14:paraId="00433A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1.日常执法监测</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对</w:t>
      </w:r>
      <w:r>
        <w:rPr>
          <w:rFonts w:hint="eastAsia" w:ascii="宋体" w:hAnsi="宋体" w:cs="宋体"/>
          <w:color w:val="auto"/>
          <w:sz w:val="24"/>
          <w:szCs w:val="24"/>
          <w:highlight w:val="none"/>
          <w:lang w:val="en-US" w:eastAsia="zh-CN" w:bidi="ar-SA"/>
        </w:rPr>
        <w:t>招标人安排的执法现场进行实地</w:t>
      </w:r>
      <w:r>
        <w:rPr>
          <w:rFonts w:ascii="宋体" w:hAnsi="宋体" w:eastAsia="宋体" w:cs="宋体"/>
          <w:color w:val="auto"/>
          <w:sz w:val="24"/>
          <w:szCs w:val="24"/>
          <w:highlight w:val="none"/>
        </w:rPr>
        <w:t>踏勘</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结合现场实际情况科学布点、规范采样，严格按照监测技术规范开展现场监测及实验室分析，对采集的样品进行专业分析检测，严格按照招标人要求的时间出具准确、完整的检测结果及相关报告，为执法工作提供技术依据；</w:t>
      </w:r>
    </w:p>
    <w:p w14:paraId="3A5FC3B5">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2.信访</w:t>
      </w:r>
      <w:r>
        <w:rPr>
          <w:rFonts w:hint="eastAsia" w:ascii="宋体" w:hAnsi="宋体" w:cs="宋体"/>
          <w:color w:val="auto"/>
          <w:sz w:val="24"/>
          <w:szCs w:val="24"/>
          <w:highlight w:val="none"/>
          <w:lang w:val="en-US" w:eastAsia="zh-CN"/>
        </w:rPr>
        <w:t>调处</w:t>
      </w:r>
      <w:r>
        <w:rPr>
          <w:rFonts w:hint="eastAsia" w:ascii="宋体" w:hAnsi="宋体" w:eastAsia="宋体" w:cs="宋体"/>
          <w:color w:val="auto"/>
          <w:sz w:val="24"/>
          <w:szCs w:val="24"/>
          <w:highlight w:val="none"/>
        </w:rPr>
        <w:t>监测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接到</w:t>
      </w:r>
      <w:r>
        <w:rPr>
          <w:rFonts w:hint="eastAsia" w:ascii="宋体" w:hAnsi="宋体" w:cs="宋体"/>
          <w:color w:val="auto"/>
          <w:sz w:val="24"/>
          <w:szCs w:val="24"/>
          <w:highlight w:val="none"/>
          <w:lang w:val="en-US" w:eastAsia="zh-CN"/>
        </w:rPr>
        <w:t>招标人交办的</w:t>
      </w:r>
      <w:r>
        <w:rPr>
          <w:rFonts w:hint="eastAsia" w:ascii="宋体" w:hAnsi="宋体" w:eastAsia="宋体" w:cs="宋体"/>
          <w:color w:val="auto"/>
          <w:sz w:val="24"/>
          <w:szCs w:val="24"/>
          <w:highlight w:val="none"/>
        </w:rPr>
        <w:t>信访投诉</w:t>
      </w:r>
      <w:r>
        <w:rPr>
          <w:rFonts w:hint="eastAsia" w:ascii="宋体" w:hAnsi="宋体" w:cs="宋体"/>
          <w:color w:val="auto"/>
          <w:sz w:val="24"/>
          <w:szCs w:val="24"/>
          <w:highlight w:val="none"/>
          <w:lang w:val="en-US" w:eastAsia="zh-CN"/>
        </w:rPr>
        <w:t>监测任务后，</w:t>
      </w:r>
      <w:r>
        <w:rPr>
          <w:rFonts w:hint="eastAsia" w:ascii="宋体" w:hAnsi="宋体" w:eastAsia="宋体" w:cs="宋体"/>
          <w:color w:val="auto"/>
          <w:sz w:val="24"/>
          <w:szCs w:val="24"/>
          <w:highlight w:val="none"/>
        </w:rPr>
        <w:t>24小时内赶赴现场进行</w:t>
      </w:r>
      <w:r>
        <w:rPr>
          <w:rFonts w:ascii="宋体" w:hAnsi="宋体" w:eastAsia="宋体" w:cs="宋体"/>
          <w:color w:val="auto"/>
          <w:sz w:val="24"/>
          <w:szCs w:val="24"/>
          <w:highlight w:val="none"/>
        </w:rPr>
        <w:t>踏勘</w:t>
      </w:r>
      <w:r>
        <w:rPr>
          <w:rFonts w:hint="eastAsia" w:ascii="宋体" w:hAnsi="宋体" w:eastAsia="宋体" w:cs="宋体"/>
          <w:color w:val="auto"/>
          <w:sz w:val="24"/>
          <w:szCs w:val="24"/>
          <w:highlight w:val="none"/>
        </w:rPr>
        <w:t>，根据投诉内容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现场情况</w:t>
      </w:r>
      <w:r>
        <w:rPr>
          <w:rFonts w:hint="eastAsia" w:ascii="宋体" w:hAnsi="宋体" w:eastAsia="宋体" w:cs="宋体"/>
          <w:color w:val="auto"/>
          <w:sz w:val="24"/>
          <w:szCs w:val="24"/>
          <w:highlight w:val="none"/>
        </w:rPr>
        <w:t>制定针对性监测方案并</w:t>
      </w:r>
      <w:r>
        <w:rPr>
          <w:rFonts w:hint="eastAsia" w:ascii="宋体" w:hAnsi="宋体" w:cs="宋体"/>
          <w:color w:val="auto"/>
          <w:sz w:val="24"/>
          <w:szCs w:val="24"/>
          <w:highlight w:val="none"/>
          <w:lang w:val="en-US" w:eastAsia="zh-CN"/>
        </w:rPr>
        <w:t>规范</w:t>
      </w:r>
      <w:r>
        <w:rPr>
          <w:rFonts w:hint="eastAsia" w:ascii="宋体" w:hAnsi="宋体" w:eastAsia="宋体" w:cs="宋体"/>
          <w:color w:val="auto"/>
          <w:sz w:val="24"/>
          <w:szCs w:val="24"/>
          <w:highlight w:val="none"/>
        </w:rPr>
        <w:t>开展现场监测，在招标人要求的时间内出具检测结果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为信访调处提供技术支撑，及时反馈监测情况</w:t>
      </w:r>
      <w:r>
        <w:rPr>
          <w:rFonts w:hint="eastAsia" w:ascii="宋体" w:hAnsi="宋体" w:eastAsia="宋体" w:cs="宋体"/>
          <w:color w:val="auto"/>
          <w:sz w:val="24"/>
          <w:szCs w:val="24"/>
          <w:highlight w:val="none"/>
        </w:rPr>
        <w:t>；</w:t>
      </w:r>
    </w:p>
    <w:p w14:paraId="3195544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突发环境事件应急监测：</w:t>
      </w:r>
      <w:r>
        <w:rPr>
          <w:rFonts w:hint="default" w:ascii="宋体" w:hAnsi="宋体" w:eastAsia="宋体" w:cs="宋体"/>
          <w:color w:val="auto"/>
          <w:kern w:val="0"/>
          <w:sz w:val="24"/>
          <w:szCs w:val="24"/>
          <w:highlight w:val="none"/>
          <w:lang w:val="en-US" w:eastAsia="zh-CN" w:bidi="ar"/>
        </w:rPr>
        <w:t>建立24小时应急响应机制，接到应急监测指令后，1小时内启动应急响应，安排应急监测人员、携带应急监测设备出发，按照招标人制定的监测方案，2小时内抵达事件现场并开展初步监测；根据事件类型（如化学品泄漏、突发污染等）动态调整监测方案，快速开展现场监测，实时跟踪污染物扩散趋势，每2小时更新一次监测数据并上报招标人应急指挥部，直至事件得到控制；应急监测结束后，及时出具应急监测报告，总结监测情况及污染处置建议；</w:t>
      </w:r>
    </w:p>
    <w:p w14:paraId="5D9C5A6F">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送样检测服务：承接招标人送检的各类样品（包括地表水、地下水、空气、噪声、废气、废水等），规范开展分析检测工作，严格落实质量控制措施，在招标人要求的时间内出具检测结果及相关报告，确保检测结果准确可靠；</w:t>
      </w:r>
    </w:p>
    <w:p w14:paraId="32DB23C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技术咨询服务：</w:t>
      </w:r>
      <w:r>
        <w:rPr>
          <w:rFonts w:hint="default" w:ascii="宋体" w:hAnsi="宋体" w:eastAsia="宋体" w:cs="宋体"/>
          <w:color w:val="auto"/>
          <w:kern w:val="0"/>
          <w:sz w:val="24"/>
          <w:szCs w:val="24"/>
          <w:highlight w:val="none"/>
          <w:lang w:val="en-US" w:eastAsia="zh-CN" w:bidi="ar"/>
        </w:rPr>
        <w:t>根据招标人实际工作需要，24小时内响应，提供有关环境检测、排放标准、污染物性质等相关环境咨询及检测技术服务，及时解答招标人提出的相关技术问题，协助招标人开展监测技术培训、数据整理分析等工作。</w:t>
      </w:r>
    </w:p>
    <w:p w14:paraId="016BEA2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（二）</w:t>
      </w:r>
      <w:r>
        <w:rPr>
          <w:rFonts w:hint="eastAsia" w:ascii="宋体" w:hAnsi="宋体" w:eastAsia="宋体" w:cs="宋体"/>
          <w:b/>
          <w:bCs/>
          <w:color w:val="auto"/>
          <w:sz w:val="24"/>
          <w:szCs w:val="24"/>
          <w:highlight w:val="none"/>
          <w:lang w:val="en-US" w:eastAsia="zh-CN" w:bidi="ar-SA"/>
        </w:rPr>
        <w:t>二标段服务要求：</w:t>
      </w:r>
    </w:p>
    <w:p w14:paraId="651893C6">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二标段</w:t>
      </w:r>
      <w:r>
        <w:rPr>
          <w:rFonts w:hint="eastAsia" w:ascii="宋体" w:hAnsi="宋体" w:cs="宋体"/>
          <w:color w:val="auto"/>
          <w:sz w:val="24"/>
          <w:szCs w:val="24"/>
          <w:highlight w:val="none"/>
          <w:lang w:val="en-US" w:eastAsia="zh-CN" w:bidi="ar-SA"/>
        </w:rPr>
        <w:t>主要配合开展</w:t>
      </w:r>
      <w:r>
        <w:rPr>
          <w:rFonts w:hint="eastAsia" w:ascii="宋体" w:hAnsi="宋体" w:eastAsia="宋体" w:cs="宋体"/>
          <w:color w:val="auto"/>
          <w:sz w:val="24"/>
          <w:szCs w:val="24"/>
          <w:highlight w:val="none"/>
          <w:lang w:val="en-US" w:eastAsia="zh-CN" w:bidi="ar-SA"/>
        </w:rPr>
        <w:t>“双随机、一公开”监督性监测、专项行动监测、跨部门联合执法、司法联动（大案要案监测）及突发环境事件应急监测等</w:t>
      </w:r>
      <w:r>
        <w:rPr>
          <w:rFonts w:hint="eastAsia" w:ascii="宋体" w:hAnsi="宋体" w:cs="宋体"/>
          <w:color w:val="auto"/>
          <w:sz w:val="24"/>
          <w:szCs w:val="24"/>
          <w:highlight w:val="none"/>
          <w:lang w:val="en-US" w:eastAsia="zh-CN" w:bidi="ar-SA"/>
        </w:rPr>
        <w:t>工作</w:t>
      </w:r>
      <w:r>
        <w:rPr>
          <w:rFonts w:hint="eastAsia" w:ascii="宋体" w:hAnsi="宋体" w:eastAsia="宋体" w:cs="宋体"/>
          <w:color w:val="auto"/>
          <w:sz w:val="24"/>
          <w:szCs w:val="24"/>
          <w:highlight w:val="none"/>
          <w:lang w:val="en-US" w:eastAsia="zh-CN" w:bidi="ar-SA"/>
        </w:rPr>
        <w:t>，具备24小时待命快速检测能力，具备土壤与地下水、地表水与沉积物、生态系统环境损害鉴定等司法鉴定和评估资质</w:t>
      </w:r>
      <w:r>
        <w:rPr>
          <w:rFonts w:hint="eastAsia" w:ascii="宋体" w:hAnsi="宋体" w:cs="宋体"/>
          <w:color w:val="auto"/>
          <w:sz w:val="24"/>
          <w:szCs w:val="24"/>
          <w:highlight w:val="none"/>
          <w:lang w:val="en-US" w:eastAsia="zh-CN" w:bidi="ar-SA"/>
        </w:rPr>
        <w:t>，能够满足司法联动及损害评估相关需求，监测数据需符合司法鉴定规范要求。</w:t>
      </w:r>
    </w:p>
    <w:p w14:paraId="154CC72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具体工作内容：</w:t>
      </w:r>
    </w:p>
    <w:p w14:paraId="09799B8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1.根据无锡市新吴生态环境局制定的</w:t>
      </w:r>
      <w:r>
        <w:rPr>
          <w:rFonts w:hint="eastAsia" w:ascii="宋体" w:hAnsi="宋体" w:cs="宋体"/>
          <w:color w:val="auto"/>
          <w:sz w:val="24"/>
          <w:szCs w:val="24"/>
          <w:highlight w:val="none"/>
          <w:lang w:val="en-US" w:eastAsia="zh-CN" w:bidi="ar-SA"/>
        </w:rPr>
        <w:t>“双随机、一公开”抽查计划，对辖区企业、工业园区等重点对象开展监督性监测，规范布点、采样、分析，及时出具监测报告，为监督检查提供技术依据，配合招标人完成抽查结果公示相关工作；</w:t>
      </w:r>
    </w:p>
    <w:p w14:paraId="46807ED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sz w:val="24"/>
          <w:szCs w:val="24"/>
          <w:highlight w:val="none"/>
          <w:lang w:val="en-US" w:eastAsia="zh-CN" w:bidi="ar-SA"/>
        </w:rPr>
        <w:t>2.日常执法监测</w:t>
      </w:r>
      <w:r>
        <w:rPr>
          <w:rFonts w:hint="eastAsia" w:ascii="宋体" w:hAnsi="宋体" w:cs="宋体"/>
          <w:color w:val="auto"/>
          <w:sz w:val="24"/>
          <w:szCs w:val="24"/>
          <w:highlight w:val="none"/>
          <w:lang w:val="en-US" w:eastAsia="zh-CN" w:bidi="ar-SA"/>
        </w:rPr>
        <w:t>：</w:t>
      </w:r>
      <w:r>
        <w:rPr>
          <w:rFonts w:hint="default" w:ascii="宋体" w:hAnsi="宋体" w:eastAsia="宋体" w:cs="宋体"/>
          <w:color w:val="auto"/>
          <w:kern w:val="0"/>
          <w:sz w:val="24"/>
          <w:szCs w:val="24"/>
          <w:highlight w:val="none"/>
          <w:lang w:val="en-US" w:eastAsia="zh-CN" w:bidi="ar"/>
        </w:rPr>
        <w:t>对招标人安排的执法现场进行实地</w:t>
      </w:r>
      <w:r>
        <w:rPr>
          <w:rFonts w:ascii="宋体" w:hAnsi="宋体" w:eastAsia="宋体" w:cs="宋体"/>
          <w:color w:val="auto"/>
          <w:sz w:val="24"/>
          <w:szCs w:val="24"/>
          <w:highlight w:val="none"/>
        </w:rPr>
        <w:t>踏勘</w:t>
      </w:r>
      <w:r>
        <w:rPr>
          <w:rFonts w:hint="default" w:ascii="宋体" w:hAnsi="宋体" w:eastAsia="宋体" w:cs="宋体"/>
          <w:color w:val="auto"/>
          <w:kern w:val="0"/>
          <w:sz w:val="24"/>
          <w:szCs w:val="24"/>
          <w:highlight w:val="none"/>
          <w:lang w:val="en-US" w:eastAsia="zh-CN" w:bidi="ar"/>
        </w:rPr>
        <w:t>，结合现场实际情况科学布点、规范采样，对采集的样品进行专业分析检测，严格按照招标人要求的时间出具准确、完整的检测结果及相关报告，重点配合跨部门联合执法、大案要案监测工作；</w:t>
      </w:r>
    </w:p>
    <w:p w14:paraId="4877052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专项行动监测：</w:t>
      </w:r>
      <w:r>
        <w:rPr>
          <w:rFonts w:hint="default" w:ascii="宋体" w:hAnsi="宋体" w:eastAsia="宋体" w:cs="宋体"/>
          <w:color w:val="auto"/>
          <w:kern w:val="0"/>
          <w:sz w:val="24"/>
          <w:szCs w:val="24"/>
          <w:highlight w:val="none"/>
          <w:lang w:val="en-US" w:eastAsia="zh-CN" w:bidi="ar"/>
        </w:rPr>
        <w:t>配合新吴区</w:t>
      </w:r>
      <w:r>
        <w:rPr>
          <w:rFonts w:hint="eastAsia" w:ascii="宋体" w:hAnsi="宋体" w:cs="宋体"/>
          <w:color w:val="auto"/>
          <w:kern w:val="0"/>
          <w:sz w:val="24"/>
          <w:szCs w:val="24"/>
          <w:highlight w:val="none"/>
          <w:lang w:val="en-US" w:eastAsia="zh-CN" w:bidi="ar"/>
        </w:rPr>
        <w:t>（含原无锡市经开区）</w:t>
      </w:r>
      <w:r>
        <w:rPr>
          <w:rFonts w:hint="default" w:ascii="宋体" w:hAnsi="宋体" w:eastAsia="宋体" w:cs="宋体"/>
          <w:color w:val="auto"/>
          <w:kern w:val="0"/>
          <w:sz w:val="24"/>
          <w:szCs w:val="24"/>
          <w:highlight w:val="none"/>
          <w:lang w:val="en-US" w:eastAsia="zh-CN" w:bidi="ar"/>
        </w:rPr>
        <w:t>年度环保专项行动（如大气污染防治、水污染防治、土壤污染防治等专项行动），制定针对性专项监测方案，开展高密度、高频次监测，全面覆盖专项行动重点领域、重点企业，及时发现污染隐患，反馈监测数据；</w:t>
      </w:r>
    </w:p>
    <w:p w14:paraId="3BE9F46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lang w:val="en-US" w:eastAsia="zh-CN" w:bidi="ar-SA"/>
        </w:rPr>
        <w:t>重点行业排查监测：</w:t>
      </w:r>
      <w:r>
        <w:rPr>
          <w:rFonts w:hint="eastAsia" w:ascii="宋体" w:hAnsi="宋体" w:eastAsia="宋体" w:cs="宋体"/>
          <w:color w:val="auto"/>
          <w:sz w:val="24"/>
          <w:szCs w:val="24"/>
          <w:highlight w:val="none"/>
          <w:lang w:val="en-US" w:eastAsia="zh-CN" w:bidi="ar-SA"/>
        </w:rPr>
        <w:t>对重点行业实施专项排查，专项行动期间，每日汇总监测数据并形成阶段性分析报告，为执法决策提供技术支撑；</w:t>
      </w:r>
    </w:p>
    <w:p w14:paraId="412D65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
        </w:rPr>
        <w:t>突</w:t>
      </w:r>
      <w:r>
        <w:rPr>
          <w:rFonts w:hint="default" w:ascii="宋体" w:hAnsi="宋体" w:eastAsia="宋体" w:cs="宋体"/>
          <w:color w:val="auto"/>
          <w:kern w:val="0"/>
          <w:sz w:val="24"/>
          <w:szCs w:val="24"/>
          <w:highlight w:val="none"/>
          <w:lang w:val="en-US" w:eastAsia="zh-CN" w:bidi="ar"/>
        </w:rPr>
        <w:t>发环境事件应急监测：建立24小时应急响应机制，接到应急监测指令后，1小时内启动应急预案，安排应急监测人员、携带应急监测设备出发，2小时内抵达事件现场开展监测；根据事件类型（如化学品泄漏、突发污染等）动态调整监测方案，快速开展现场监测，实时跟踪污染物扩散趋势，及时上报监测数据，配合招标人做好应急处置工作；应急监测结束后，出具完整的应急监测报告，为事件处置及后续调查提供技术支撑；</w:t>
      </w:r>
    </w:p>
    <w:p w14:paraId="32CB21C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6.</w:t>
      </w:r>
      <w:r>
        <w:rPr>
          <w:rFonts w:hint="default" w:ascii="宋体" w:hAnsi="宋体" w:eastAsia="宋体" w:cs="宋体"/>
          <w:color w:val="auto"/>
          <w:kern w:val="0"/>
          <w:sz w:val="24"/>
          <w:szCs w:val="24"/>
          <w:highlight w:val="none"/>
          <w:lang w:val="en-US" w:eastAsia="zh-CN" w:bidi="ar"/>
        </w:rPr>
        <w:t>送样检测服务：承接招标人送检的各类样品（包括地表水、地下水、空气、噪声、废气、废水、土壤、沉积物、危险废物等），规范开展分析检测工作，严格落实质量控制措施，在招标人要求的时间内出具检测结果及相关报告，确保检测结果准确可靠，满足司法鉴定相关要求；</w:t>
      </w:r>
    </w:p>
    <w:p w14:paraId="5192D29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7.</w:t>
      </w:r>
      <w:r>
        <w:rPr>
          <w:rFonts w:hint="default" w:ascii="宋体" w:hAnsi="宋体" w:eastAsia="宋体" w:cs="宋体"/>
          <w:color w:val="auto"/>
          <w:kern w:val="0"/>
          <w:sz w:val="24"/>
          <w:szCs w:val="24"/>
          <w:highlight w:val="none"/>
          <w:lang w:val="en-US" w:eastAsia="zh-CN" w:bidi="ar"/>
        </w:rPr>
        <w:t>技术咨询服务：根据招标人实际工作需要，24小时内响应，提供有关环境检测、排放标准、污染物性质、司法鉴定流程等相关环境咨询及检测技术服务，及时解答招标人提出的相关技术问题；</w:t>
      </w:r>
    </w:p>
    <w:p w14:paraId="7CBB89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8.</w:t>
      </w:r>
      <w:r>
        <w:rPr>
          <w:rFonts w:hint="default" w:ascii="宋体" w:hAnsi="宋体" w:eastAsia="宋体" w:cs="宋体"/>
          <w:color w:val="auto"/>
          <w:kern w:val="0"/>
          <w:sz w:val="24"/>
          <w:szCs w:val="24"/>
          <w:highlight w:val="none"/>
          <w:lang w:val="en-US" w:eastAsia="zh-CN" w:bidi="ar"/>
        </w:rPr>
        <w:t>司法鉴定及评估服务：配合招标人开展司法联动相关工作，针对大案要案开展司法鉴定监测，出具合法、有效的《固体废物危险特性司法鉴定意见》《生态环境损害评估报告》等司法鉴定成果文件，协助招标人完成司法鉴定相关流程，确保成果文件符合司法机关要求。</w:t>
      </w:r>
    </w:p>
    <w:p w14:paraId="7525C61E">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rPr>
        <w:t>商务要求</w:t>
      </w:r>
    </w:p>
    <w:p w14:paraId="5ABE2391">
      <w:pPr>
        <w:keepNext w:val="0"/>
        <w:keepLines w:val="0"/>
        <w:pageBreakBefore w:val="0"/>
        <w:widowControl/>
        <w:numPr>
          <w:ilvl w:val="-1"/>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服务响应承诺</w:t>
      </w:r>
    </w:p>
    <w:p w14:paraId="7849FA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cs="宋体"/>
          <w:color w:val="auto"/>
          <w:kern w:val="0"/>
          <w:sz w:val="24"/>
          <w:szCs w:val="24"/>
          <w:highlight w:val="none"/>
          <w:lang w:val="en-US" w:eastAsia="zh-CN" w:bidi="ar"/>
        </w:rPr>
        <w:t>1.</w:t>
      </w:r>
      <w:r>
        <w:rPr>
          <w:rFonts w:hint="default" w:ascii="宋体" w:hAnsi="宋体" w:eastAsia="宋体" w:cs="宋体"/>
          <w:color w:val="auto"/>
          <w:kern w:val="0"/>
          <w:sz w:val="24"/>
          <w:szCs w:val="24"/>
          <w:highlight w:val="none"/>
          <w:lang w:val="en-US" w:eastAsia="zh-CN" w:bidi="ar"/>
        </w:rPr>
        <w:t>常态监测任务：监测报告需在采样完成后5个工作日内提交；综合性报告（含数据分析与整改建议）需在采样完成后10个工作日内提交；</w:t>
      </w:r>
    </w:p>
    <w:p w14:paraId="3DE2BF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cs="宋体"/>
          <w:color w:val="auto"/>
          <w:kern w:val="0"/>
          <w:sz w:val="24"/>
          <w:szCs w:val="24"/>
          <w:highlight w:val="none"/>
          <w:lang w:val="en-US" w:eastAsia="zh-CN" w:bidi="ar"/>
        </w:rPr>
        <w:t>2.</w:t>
      </w:r>
      <w:r>
        <w:rPr>
          <w:rFonts w:hint="default" w:ascii="宋体" w:hAnsi="宋体" w:eastAsia="宋体" w:cs="宋体"/>
          <w:color w:val="auto"/>
          <w:kern w:val="0"/>
          <w:sz w:val="24"/>
          <w:szCs w:val="24"/>
          <w:highlight w:val="none"/>
          <w:lang w:val="en-US" w:eastAsia="zh-CN" w:bidi="ar"/>
        </w:rPr>
        <w:t>应急监测任务：初步监测数据需在采样完成后4小时内以电子形式报送招标人；完整应急监测报告需在采样完成后3个工作日内提交；</w:t>
      </w:r>
    </w:p>
    <w:p w14:paraId="789DCE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color w:val="auto"/>
          <w:highlight w:val="none"/>
        </w:rPr>
      </w:pPr>
      <w:r>
        <w:rPr>
          <w:rFonts w:hint="eastAsia" w:ascii="宋体" w:hAnsi="宋体" w:cs="宋体"/>
          <w:color w:val="auto"/>
          <w:kern w:val="0"/>
          <w:sz w:val="24"/>
          <w:szCs w:val="24"/>
          <w:highlight w:val="none"/>
          <w:lang w:val="en-US" w:eastAsia="zh-CN" w:bidi="ar"/>
        </w:rPr>
        <w:t>3.</w:t>
      </w:r>
      <w:r>
        <w:rPr>
          <w:rFonts w:hint="default" w:ascii="宋体" w:hAnsi="宋体" w:eastAsia="宋体" w:cs="宋体"/>
          <w:color w:val="auto"/>
          <w:kern w:val="0"/>
          <w:sz w:val="24"/>
          <w:szCs w:val="24"/>
          <w:highlight w:val="none"/>
          <w:lang w:val="en-US" w:eastAsia="zh-CN" w:bidi="ar"/>
        </w:rPr>
        <w:t>司法鉴定任务：司法鉴定意见及相关报告需在采样完成后15个工作日内提交，特殊复杂案件可适当延长，但需提前与招标人协商一致，并签订书面补充协议</w:t>
      </w:r>
      <w:r>
        <w:rPr>
          <w:rFonts w:hint="eastAsia" w:ascii="宋体" w:hAnsi="宋体" w:eastAsia="宋体" w:cs="宋体"/>
          <w:color w:val="auto"/>
          <w:kern w:val="0"/>
          <w:sz w:val="24"/>
          <w:szCs w:val="24"/>
          <w:highlight w:val="none"/>
          <w:lang w:val="en-US" w:eastAsia="zh-CN" w:bidi="ar"/>
        </w:rPr>
        <w:t>。</w:t>
      </w:r>
    </w:p>
    <w:p w14:paraId="12AF228D">
      <w:pPr>
        <w:keepNext w:val="0"/>
        <w:keepLines w:val="0"/>
        <w:pageBreakBefore w:val="0"/>
        <w:widowControl/>
        <w:numPr>
          <w:ilvl w:val="-1"/>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八、</w:t>
      </w:r>
      <w:r>
        <w:rPr>
          <w:rFonts w:hint="eastAsia" w:ascii="宋体" w:hAnsi="宋体" w:eastAsia="宋体" w:cs="宋体"/>
          <w:b w:val="0"/>
          <w:bCs w:val="0"/>
          <w:color w:val="auto"/>
          <w:sz w:val="24"/>
          <w:szCs w:val="24"/>
          <w:highlight w:val="none"/>
          <w:lang w:val="en-US" w:eastAsia="zh-CN"/>
        </w:rPr>
        <w:t>最终成果</w:t>
      </w:r>
    </w:p>
    <w:p w14:paraId="18986D7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中标单位服务期内需应招标人要求出具《监测报告》《生态环境损害评估报告》《固体废物危险特性司法鉴定意见》《直接经济损失报告》《修复效果评估报告》等。</w:t>
      </w:r>
    </w:p>
    <w:p w14:paraId="2E528702">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九、</w:t>
      </w:r>
      <w:r>
        <w:rPr>
          <w:rFonts w:hint="eastAsia" w:ascii="宋体" w:hAnsi="宋体" w:eastAsia="宋体" w:cs="宋体"/>
          <w:b w:val="0"/>
          <w:bCs w:val="0"/>
          <w:color w:val="auto"/>
          <w:sz w:val="24"/>
          <w:szCs w:val="24"/>
          <w:highlight w:val="none"/>
        </w:rPr>
        <w:t>其他要求</w:t>
      </w:r>
    </w:p>
    <w:p w14:paraId="26F5CAA8">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w:t>
      </w:r>
      <w:r>
        <w:rPr>
          <w:rFonts w:hint="eastAsia" w:ascii="宋体" w:hAnsi="宋体" w:eastAsia="宋体" w:cs="宋体"/>
          <w:color w:val="auto"/>
          <w:sz w:val="24"/>
          <w:szCs w:val="24"/>
          <w:highlight w:val="none"/>
          <w:lang w:val="en-US" w:eastAsia="zh-CN"/>
        </w:rPr>
        <w:t>投标报价</w:t>
      </w:r>
      <w:r>
        <w:rPr>
          <w:rFonts w:hint="eastAsia" w:ascii="宋体" w:hAnsi="宋体" w:eastAsia="宋体" w:cs="宋体"/>
          <w:color w:val="auto"/>
          <w:sz w:val="24"/>
          <w:szCs w:val="24"/>
          <w:highlight w:val="none"/>
        </w:rPr>
        <w:t>应包括服务成本、法定税费和企业的利润。由企业根据采购文件所提供的资料自行测算投标报价；一经中选，报价总价作为中选单位与采购人</w:t>
      </w:r>
      <w:r>
        <w:rPr>
          <w:rFonts w:hint="eastAsia" w:ascii="宋体" w:hAnsi="宋体" w:eastAsia="宋体" w:cs="宋体"/>
          <w:color w:val="auto"/>
          <w:sz w:val="24"/>
          <w:szCs w:val="24"/>
          <w:highlight w:val="none"/>
          <w:lang w:eastAsia="zh-CN"/>
        </w:rPr>
        <w:t>签订</w:t>
      </w:r>
      <w:r>
        <w:rPr>
          <w:rFonts w:hint="eastAsia" w:ascii="宋体" w:hAnsi="宋体" w:eastAsia="宋体" w:cs="宋体"/>
          <w:color w:val="auto"/>
          <w:sz w:val="24"/>
          <w:szCs w:val="24"/>
          <w:highlight w:val="none"/>
        </w:rPr>
        <w:t>的合同金额，合同期限内</w:t>
      </w:r>
      <w:r>
        <w:rPr>
          <w:rFonts w:hint="eastAsia" w:ascii="宋体" w:hAnsi="宋体" w:eastAsia="宋体" w:cs="宋体"/>
          <w:color w:val="auto"/>
          <w:sz w:val="24"/>
          <w:szCs w:val="24"/>
          <w:highlight w:val="none"/>
          <w:lang w:eastAsia="zh-CN"/>
        </w:rPr>
        <w:t>不作</w:t>
      </w:r>
      <w:r>
        <w:rPr>
          <w:rFonts w:hint="eastAsia" w:ascii="宋体" w:hAnsi="宋体" w:eastAsia="宋体" w:cs="宋体"/>
          <w:color w:val="auto"/>
          <w:sz w:val="24"/>
          <w:szCs w:val="24"/>
          <w:highlight w:val="none"/>
        </w:rPr>
        <w:t>调整；</w:t>
      </w:r>
    </w:p>
    <w:p w14:paraId="60B8B7CD">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2.投标供应商的报价，应是本项目采购范围和采购文件及合同条款上所列的各项内容中所述的全部，不得以任何理由予以重复，并以投标供应商最终提出的综合单价或总价为依据；</w:t>
      </w:r>
    </w:p>
    <w:p w14:paraId="381013E0">
      <w:pPr>
        <w:keepNext w:val="0"/>
        <w:keepLines w:val="0"/>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非采购人通过修改采购文件予以更正，否则，投标供应商应毫无例外地按响应文件所列的清单中项目和数量填报综合单价和合价。投标供应商未填综合单价或合价的项目，在实施后，将不得以支付，并视作该项费用已包括在</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有价款的综合单价或合价内；</w:t>
      </w:r>
    </w:p>
    <w:p w14:paraId="4FDB41F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黑体" w:eastAsia="黑体"/>
          <w:bCs/>
          <w:color w:val="auto"/>
          <w:sz w:val="28"/>
          <w:szCs w:val="28"/>
          <w:highlight w:val="none"/>
        </w:rPr>
      </w:pPr>
      <w:r>
        <w:rPr>
          <w:rFonts w:hint="eastAsia" w:ascii="宋体" w:hAnsi="宋体" w:eastAsia="宋体" w:cs="宋体"/>
          <w:color w:val="auto"/>
          <w:sz w:val="24"/>
          <w:szCs w:val="24"/>
          <w:highlight w:val="none"/>
        </w:rPr>
        <w:t>4.投标供应商应先到项目地点</w:t>
      </w:r>
      <w:r>
        <w:rPr>
          <w:rFonts w:ascii="宋体" w:hAnsi="宋体" w:eastAsia="宋体" w:cs="宋体"/>
          <w:color w:val="auto"/>
          <w:sz w:val="24"/>
          <w:szCs w:val="24"/>
          <w:highlight w:val="none"/>
        </w:rPr>
        <w:t>踏勘</w:t>
      </w:r>
      <w:r>
        <w:rPr>
          <w:rFonts w:hint="eastAsia" w:ascii="宋体" w:hAnsi="宋体" w:eastAsia="宋体" w:cs="宋体"/>
          <w:color w:val="auto"/>
          <w:sz w:val="24"/>
          <w:szCs w:val="24"/>
          <w:highlight w:val="none"/>
        </w:rPr>
        <w:t>以充分了解项目的位置、情况、道路及任何</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足以影响投标报价的情况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任何因忽视或误解项目情况而导致的索赔或服务期限延长申请将不获批准</w:t>
      </w:r>
      <w:r>
        <w:rPr>
          <w:rFonts w:hint="eastAsia" w:ascii="宋体" w:hAnsi="宋体" w:eastAsia="宋体" w:cs="宋体"/>
          <w:color w:val="auto"/>
          <w:sz w:val="24"/>
          <w:szCs w:val="24"/>
          <w:highlight w:val="none"/>
          <w:lang w:eastAsia="zh-CN"/>
        </w:rPr>
        <w:t>。</w:t>
      </w:r>
    </w:p>
    <w:p w14:paraId="121E7AA6">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r>
    </w:p>
    <w:p w14:paraId="04ED02D4">
      <w:pPr>
        <w:spacing w:line="360" w:lineRule="auto"/>
        <w:ind w:firstLine="560"/>
        <w:jc w:val="center"/>
        <w:outlineLvl w:val="0"/>
        <w:rPr>
          <w:rFonts w:ascii="黑体" w:hAnsi="宋体" w:eastAsia="黑体"/>
          <w:b/>
          <w:color w:val="auto"/>
          <w:sz w:val="28"/>
          <w:szCs w:val="28"/>
          <w:highlight w:val="none"/>
        </w:rPr>
      </w:pPr>
      <w:r>
        <w:rPr>
          <w:rFonts w:hint="eastAsia" w:ascii="黑体" w:eastAsia="黑体"/>
          <w:bCs/>
          <w:color w:val="auto"/>
          <w:sz w:val="28"/>
          <w:szCs w:val="28"/>
          <w:highlight w:val="none"/>
        </w:rPr>
        <w:t>四</w:t>
      </w:r>
      <w:r>
        <w:rPr>
          <w:rFonts w:hint="eastAsia" w:ascii="黑体" w:eastAsia="黑体"/>
          <w:bCs/>
          <w:color w:val="auto"/>
          <w:sz w:val="28"/>
          <w:szCs w:val="28"/>
          <w:highlight w:val="none"/>
          <w:lang w:eastAsia="zh-CN"/>
        </w:rPr>
        <w:t>、</w:t>
      </w:r>
      <w:r>
        <w:rPr>
          <w:rFonts w:hint="eastAsia" w:ascii="黑体" w:hAnsi="宋体" w:eastAsia="黑体"/>
          <w:b/>
          <w:color w:val="auto"/>
          <w:sz w:val="28"/>
          <w:szCs w:val="28"/>
          <w:highlight w:val="none"/>
        </w:rPr>
        <w:t>合同书（</w:t>
      </w:r>
      <w:r>
        <w:rPr>
          <w:rFonts w:hint="eastAsia" w:ascii="黑体" w:hAnsi="宋体" w:eastAsia="黑体"/>
          <w:color w:val="auto"/>
          <w:sz w:val="28"/>
          <w:szCs w:val="28"/>
          <w:highlight w:val="none"/>
        </w:rPr>
        <w:t>格式文本</w:t>
      </w:r>
      <w:r>
        <w:rPr>
          <w:rFonts w:hint="eastAsia" w:ascii="黑体" w:hAnsi="宋体" w:eastAsia="黑体"/>
          <w:b/>
          <w:color w:val="auto"/>
          <w:sz w:val="28"/>
          <w:szCs w:val="28"/>
          <w:highlight w:val="none"/>
        </w:rPr>
        <w:t>）</w:t>
      </w:r>
      <w:bookmarkEnd w:id="8"/>
      <w:bookmarkEnd w:id="9"/>
    </w:p>
    <w:p w14:paraId="6645A3E8">
      <w:pPr>
        <w:keepNext w:val="0"/>
        <w:keepLines w:val="0"/>
        <w:pageBreakBefore w:val="0"/>
        <w:kinsoku/>
        <w:wordWrap/>
        <w:overflowPunct/>
        <w:topLinePunct w:val="0"/>
        <w:autoSpaceDE/>
        <w:autoSpaceDN/>
        <w:bidi w:val="0"/>
        <w:adjustRightInd/>
        <w:snapToGrid/>
        <w:spacing w:line="360" w:lineRule="auto"/>
        <w:ind w:firstLine="482"/>
        <w:textAlignment w:val="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）实施及有关事项协商一致，共同达成如下协议：</w:t>
      </w:r>
    </w:p>
    <w:p w14:paraId="3E05C2FE">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需方（采购人）：</w:t>
      </w:r>
      <w:r>
        <w:rPr>
          <w:rFonts w:hint="eastAsia" w:ascii="宋体" w:hAnsi="宋体" w:cs="宋体"/>
          <w:bCs/>
          <w:color w:val="auto"/>
          <w:sz w:val="24"/>
          <w:szCs w:val="24"/>
          <w:highlight w:val="none"/>
          <w:u w:val="single"/>
          <w:lang w:bidi="ar"/>
        </w:rPr>
        <w:t xml:space="preserve">                    </w:t>
      </w:r>
    </w:p>
    <w:p w14:paraId="49AA756F">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供方（中标方）：</w:t>
      </w:r>
      <w:r>
        <w:rPr>
          <w:rFonts w:hint="eastAsia" w:ascii="宋体" w:hAnsi="宋体" w:cs="宋体"/>
          <w:bCs/>
          <w:color w:val="auto"/>
          <w:sz w:val="24"/>
          <w:szCs w:val="24"/>
          <w:highlight w:val="none"/>
          <w:u w:val="single"/>
          <w:lang w:bidi="ar"/>
        </w:rPr>
        <w:t xml:space="preserve">                    </w:t>
      </w:r>
    </w:p>
    <w:p w14:paraId="0051560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一、政府采购编号：</w:t>
      </w:r>
      <w:r>
        <w:rPr>
          <w:rFonts w:hint="eastAsia" w:ascii="宋体" w:hAnsi="宋体" w:cs="宋体"/>
          <w:bCs/>
          <w:color w:val="auto"/>
          <w:sz w:val="24"/>
          <w:szCs w:val="24"/>
          <w:highlight w:val="none"/>
          <w:u w:val="single"/>
          <w:lang w:bidi="ar"/>
        </w:rPr>
        <w:t xml:space="preserve">                             </w:t>
      </w:r>
    </w:p>
    <w:p w14:paraId="77042FB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二、采购内容：</w:t>
      </w:r>
      <w:r>
        <w:rPr>
          <w:rFonts w:hint="eastAsia" w:ascii="宋体" w:hAnsi="宋体" w:cs="宋体"/>
          <w:bCs/>
          <w:color w:val="auto"/>
          <w:sz w:val="24"/>
          <w:szCs w:val="24"/>
          <w:highlight w:val="none"/>
          <w:u w:val="single"/>
          <w:lang w:bidi="ar"/>
        </w:rPr>
        <w:t xml:space="preserve">                                                          </w:t>
      </w:r>
    </w:p>
    <w:p w14:paraId="6F4553E0">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三、</w:t>
      </w:r>
      <w:r>
        <w:rPr>
          <w:rFonts w:hint="eastAsia" w:ascii="宋体" w:hAnsi="宋体" w:eastAsia="宋体" w:cs="宋体"/>
          <w:bCs/>
          <w:color w:val="auto"/>
          <w:sz w:val="24"/>
          <w:highlight w:val="none"/>
          <w:u w:val="single"/>
          <w:lang w:val="en-US" w:eastAsia="zh-CN"/>
        </w:rPr>
        <w:t xml:space="preserve">   标段中标金额</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大写</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7658C5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注：最终结算价格按实结算。</w:t>
      </w:r>
      <w:r>
        <w:rPr>
          <w:rFonts w:hint="eastAsia" w:ascii="宋体" w:hAnsi="宋体" w:eastAsia="宋体" w:cs="宋体"/>
          <w:color w:val="auto"/>
          <w:sz w:val="24"/>
          <w:szCs w:val="21"/>
          <w:highlight w:val="none"/>
          <w:lang w:val="en-US" w:eastAsia="zh-CN" w:bidi="ar-SA"/>
        </w:rPr>
        <w:t>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%。以</w:t>
      </w:r>
      <w:r>
        <w:rPr>
          <w:rFonts w:hint="eastAsia" w:ascii="宋体" w:hAnsi="宋体" w:eastAsia="宋体" w:cs="宋体"/>
          <w:color w:val="auto"/>
          <w:sz w:val="24"/>
          <w:szCs w:val="24"/>
          <w:highlight w:val="none"/>
        </w:rPr>
        <w:t>《江苏省环境监测专业服务收费标准》（苏价费〔2006〕397号、苏财综〔2006〕80号、苏环计〔2006〕30号）、《省发展改革委省司法厅关于我省司法鉴定收费标准的通知》（苏发改收费发〔2019〕708号）（以下简称19版标准）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单价</w:t>
      </w:r>
      <w:r>
        <w:rPr>
          <w:rFonts w:hint="eastAsia" w:ascii="宋体" w:hAnsi="宋体" w:eastAsia="宋体" w:cs="宋体"/>
          <w:color w:val="auto"/>
          <w:sz w:val="24"/>
          <w:szCs w:val="21"/>
          <w:highlight w:val="none"/>
          <w:lang w:val="en-US" w:eastAsia="zh-CN" w:bidi="ar-SA"/>
        </w:rPr>
        <w:t>为依据。</w:t>
      </w:r>
    </w:p>
    <w:p w14:paraId="277D56BE">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四、质量要求及验收标准：</w:t>
      </w:r>
      <w:r>
        <w:rPr>
          <w:rFonts w:hint="eastAsia" w:ascii="宋体" w:hAnsi="宋体" w:cs="宋体"/>
          <w:bCs/>
          <w:color w:val="auto"/>
          <w:sz w:val="24"/>
          <w:szCs w:val="24"/>
          <w:highlight w:val="none"/>
          <w:u w:val="single"/>
          <w:lang w:bidi="ar"/>
        </w:rPr>
        <w:t xml:space="preserve">                                           </w:t>
      </w:r>
    </w:p>
    <w:p w14:paraId="2550245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五、服务期：</w:t>
      </w:r>
      <w:r>
        <w:rPr>
          <w:rFonts w:hint="eastAsia" w:ascii="宋体" w:hAnsi="宋体" w:cs="宋体"/>
          <w:bCs/>
          <w:color w:val="auto"/>
          <w:sz w:val="24"/>
          <w:szCs w:val="24"/>
          <w:highlight w:val="none"/>
          <w:u w:val="single"/>
          <w:lang w:bidi="ar"/>
        </w:rPr>
        <w:t xml:space="preserve">                                             </w:t>
      </w:r>
    </w:p>
    <w:p w14:paraId="144A62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六、服务地点和方式：</w:t>
      </w:r>
      <w:r>
        <w:rPr>
          <w:rFonts w:hint="eastAsia" w:ascii="宋体" w:hAnsi="宋体" w:cs="宋体"/>
          <w:bCs/>
          <w:color w:val="auto"/>
          <w:sz w:val="24"/>
          <w:szCs w:val="24"/>
          <w:highlight w:val="none"/>
          <w:u w:val="single"/>
          <w:lang w:bidi="ar"/>
        </w:rPr>
        <w:t xml:space="preserve">                                                     </w:t>
      </w:r>
    </w:p>
    <w:p w14:paraId="4E5DFAE4">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lang w:bidi="ar"/>
        </w:rPr>
        <w:t>七、服务费支付步骤和办法：</w:t>
      </w:r>
      <w:r>
        <w:rPr>
          <w:rFonts w:hint="eastAsia" w:ascii="宋体" w:hAnsi="宋体" w:eastAsia="宋体" w:cs="宋体"/>
          <w:bCs/>
          <w:color w:val="auto"/>
          <w:sz w:val="24"/>
          <w:szCs w:val="24"/>
          <w:highlight w:val="none"/>
          <w:u w:val="single"/>
          <w:lang w:val="en-US" w:eastAsia="zh-CN" w:bidi="ar-SA"/>
        </w:rPr>
        <w:t>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2028年</w:t>
      </w:r>
      <w:r>
        <w:rPr>
          <w:rFonts w:hint="eastAsia" w:ascii="宋体" w:hAnsi="宋体" w:cs="宋体"/>
          <w:bCs/>
          <w:color w:val="auto"/>
          <w:sz w:val="24"/>
          <w:szCs w:val="24"/>
          <w:highlight w:val="none"/>
          <w:u w:val="single"/>
          <w:lang w:val="en-US" w:eastAsia="zh-CN" w:bidi="ar-SA"/>
        </w:rPr>
        <w:t>12月前</w:t>
      </w:r>
      <w:r>
        <w:rPr>
          <w:rFonts w:hint="eastAsia" w:ascii="宋体" w:hAnsi="宋体" w:eastAsia="宋体" w:cs="宋体"/>
          <w:bCs/>
          <w:color w:val="auto"/>
          <w:sz w:val="24"/>
          <w:szCs w:val="24"/>
          <w:highlight w:val="none"/>
          <w:u w:val="single"/>
          <w:lang w:val="en-US" w:eastAsia="zh-CN" w:bidi="ar-SA"/>
        </w:rPr>
        <w:t>支付</w:t>
      </w:r>
      <w:r>
        <w:rPr>
          <w:rFonts w:hint="eastAsia" w:ascii="宋体" w:hAnsi="宋体" w:cs="宋体"/>
          <w:bCs/>
          <w:color w:val="auto"/>
          <w:sz w:val="24"/>
          <w:szCs w:val="24"/>
          <w:highlight w:val="none"/>
          <w:u w:val="single"/>
          <w:lang w:val="en-US" w:eastAsia="zh-CN" w:bidi="ar-SA"/>
        </w:rPr>
        <w:t>剩余</w:t>
      </w:r>
      <w:r>
        <w:rPr>
          <w:rFonts w:hint="eastAsia" w:ascii="宋体" w:hAnsi="宋体" w:eastAsia="宋体" w:cs="宋体"/>
          <w:bCs/>
          <w:color w:val="auto"/>
          <w:sz w:val="24"/>
          <w:szCs w:val="24"/>
          <w:highlight w:val="none"/>
          <w:u w:val="single"/>
          <w:lang w:val="en-US" w:eastAsia="zh-CN" w:bidi="ar-SA"/>
        </w:rPr>
        <w:t>40%</w:t>
      </w:r>
      <w:r>
        <w:rPr>
          <w:rFonts w:hint="eastAsia" w:ascii="宋体" w:hAnsi="宋体" w:cs="宋体"/>
          <w:bCs/>
          <w:color w:val="auto"/>
          <w:sz w:val="24"/>
          <w:szCs w:val="24"/>
          <w:highlight w:val="none"/>
          <w:u w:val="single"/>
          <w:lang w:val="en-US" w:eastAsia="zh-CN" w:bidi="ar-SA"/>
        </w:rPr>
        <w:t>尾款</w:t>
      </w:r>
      <w:r>
        <w:rPr>
          <w:rFonts w:hint="eastAsia" w:ascii="宋体" w:hAnsi="宋体" w:eastAsia="宋体" w:cs="宋体"/>
          <w:bCs/>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rPr>
        <w:t>需方付款前，供方需提供符合需方要求的合格有效发票，否则需方有权顺延付款而不承担任何责任。</w:t>
      </w:r>
    </w:p>
    <w:p w14:paraId="30AD1CE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八、违约责任：</w:t>
      </w:r>
      <w:r>
        <w:rPr>
          <w:rFonts w:hint="eastAsia" w:ascii="宋体" w:hAnsi="宋体" w:cs="宋体"/>
          <w:bCs/>
          <w:color w:val="auto"/>
          <w:sz w:val="24"/>
          <w:szCs w:val="24"/>
          <w:highlight w:val="none"/>
          <w:u w:val="single"/>
          <w:lang w:bidi="ar"/>
        </w:rPr>
        <w:t xml:space="preserve">                                                            </w:t>
      </w:r>
    </w:p>
    <w:p w14:paraId="4F67838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九、解决争议的方式：</w:t>
      </w:r>
      <w:r>
        <w:rPr>
          <w:rFonts w:hint="eastAsia" w:ascii="宋体" w:hAnsi="宋体" w:cs="宋体"/>
          <w:color w:val="auto"/>
          <w:sz w:val="24"/>
          <w:szCs w:val="24"/>
          <w:highlight w:val="none"/>
          <w:u w:val="single"/>
          <w:lang w:bidi="ar"/>
        </w:rPr>
        <w:t xml:space="preserve">                                                      </w:t>
      </w:r>
    </w:p>
    <w:p w14:paraId="75812B0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十、其他事项：</w:t>
      </w:r>
      <w:r>
        <w:rPr>
          <w:rFonts w:hint="eastAsia" w:ascii="宋体" w:hAnsi="宋体" w:eastAsia="宋体" w:cs="Times New Roman"/>
          <w:bCs/>
          <w:color w:val="auto"/>
          <w:sz w:val="24"/>
          <w:szCs w:val="24"/>
          <w:highlight w:val="none"/>
          <w:u w:val="single"/>
        </w:rPr>
        <w:t>（1）保密内容（包括技术信息和经营信息）：包括但不限于监测数据、报告、报表等未经招标人许可不得复印，对履行合同中知晓的全部信息予以保密。（2）涉密人员范围：中标人所有工作人员及外包/分包工作人员。</w:t>
      </w:r>
    </w:p>
    <w:p w14:paraId="16CCD028">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十一、合同不可分割部分：招标文件、投标文件、合同条款及中标通知书，供方在投标、评标过程中所作其他有关承诺、声明、书面澄清等均为合同不可分割的部分，与主合同具有同等法律效力。</w:t>
      </w:r>
    </w:p>
    <w:p w14:paraId="7F14F7A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十二、合同备案：合同一式五份，供需双方各执二份，见证方一份。</w:t>
      </w:r>
    </w:p>
    <w:p w14:paraId="3B47A5F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十三、合同生效：本合同由供需双方签字</w:t>
      </w:r>
      <w:r>
        <w:rPr>
          <w:rFonts w:hint="eastAsia" w:ascii="宋体" w:hAnsi="宋体" w:cs="宋体"/>
          <w:bCs/>
          <w:color w:val="auto"/>
          <w:sz w:val="24"/>
          <w:szCs w:val="24"/>
          <w:highlight w:val="none"/>
          <w:lang w:val="en-US" w:eastAsia="zh-CN" w:bidi="ar"/>
        </w:rPr>
        <w:t>或</w:t>
      </w:r>
      <w:r>
        <w:rPr>
          <w:rFonts w:hint="eastAsia" w:ascii="宋体" w:hAnsi="宋体" w:cs="宋体"/>
          <w:bCs/>
          <w:color w:val="auto"/>
          <w:sz w:val="24"/>
          <w:szCs w:val="24"/>
          <w:highlight w:val="none"/>
          <w:lang w:bidi="ar"/>
        </w:rPr>
        <w:t>盖章并经见证后生效。</w:t>
      </w:r>
    </w:p>
    <w:p w14:paraId="6F3BA29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auto"/>
          <w:sz w:val="24"/>
          <w:szCs w:val="24"/>
          <w:highlight w:val="none"/>
          <w:lang w:bidi="ar"/>
        </w:rPr>
      </w:pPr>
    </w:p>
    <w:p w14:paraId="5BC2EE98">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需方（采购人）：（盖章）                  供方（中标方）：（盖章）</w:t>
      </w:r>
    </w:p>
    <w:p w14:paraId="6743D407">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法定（授权）代表人：                      法定（授权）代表人：</w:t>
      </w:r>
    </w:p>
    <w:p w14:paraId="5C36E4B8">
      <w:pPr>
        <w:keepNext w:val="0"/>
        <w:keepLines w:val="0"/>
        <w:pageBreakBefore w:val="0"/>
        <w:kinsoku/>
        <w:wordWrap/>
        <w:overflowPunct/>
        <w:topLinePunct w:val="0"/>
        <w:autoSpaceDE/>
        <w:autoSpaceDN/>
        <w:bidi w:val="0"/>
        <w:adjustRightInd/>
        <w:snapToGrid/>
        <w:spacing w:line="360" w:lineRule="auto"/>
        <w:ind w:firstLine="8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年  月  日                              年  月  日</w:t>
      </w:r>
    </w:p>
    <w:p w14:paraId="2643ABCA">
      <w:pPr>
        <w:keepNext w:val="0"/>
        <w:keepLines w:val="0"/>
        <w:pageBreakBefore w:val="0"/>
        <w:kinsoku/>
        <w:wordWrap/>
        <w:overflowPunct/>
        <w:topLinePunct w:val="0"/>
        <w:autoSpaceDE/>
        <w:autoSpaceDN/>
        <w:bidi w:val="0"/>
        <w:adjustRightInd/>
        <w:snapToGrid/>
        <w:spacing w:line="360" w:lineRule="auto"/>
        <w:ind w:firstLine="32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p>
    <w:p w14:paraId="0EE9A6C9">
      <w:pPr>
        <w:keepNext w:val="0"/>
        <w:keepLines w:val="0"/>
        <w:pageBreakBefore w:val="0"/>
        <w:kinsoku/>
        <w:wordWrap/>
        <w:overflowPunct/>
        <w:topLinePunct w:val="0"/>
        <w:autoSpaceDE/>
        <w:autoSpaceDN/>
        <w:bidi w:val="0"/>
        <w:adjustRightInd/>
        <w:snapToGrid/>
        <w:spacing w:line="360" w:lineRule="auto"/>
        <w:ind w:firstLine="5040"/>
        <w:textAlignment w:val="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供方开户银行：</w:t>
      </w:r>
    </w:p>
    <w:p w14:paraId="7ADF1391">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p>
    <w:p w14:paraId="46A7C852">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p>
    <w:p w14:paraId="3C959F1C">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见证方（公章）：                          日期：</w:t>
      </w:r>
    </w:p>
    <w:p w14:paraId="163F2590">
      <w:pPr>
        <w:spacing w:line="440" w:lineRule="exact"/>
        <w:jc w:val="center"/>
        <w:outlineLvl w:val="0"/>
        <w:rPr>
          <w:rFonts w:ascii="黑体" w:hAnsi="宋体" w:eastAsia="黑体" w:cs="黑体"/>
          <w:bCs/>
          <w:color w:val="auto"/>
          <w:sz w:val="28"/>
          <w:szCs w:val="28"/>
          <w:highlight w:val="none"/>
        </w:rPr>
      </w:pPr>
      <w:r>
        <w:rPr>
          <w:rFonts w:hint="eastAsia" w:ascii="黑体" w:hAnsi="宋体" w:eastAsia="黑体" w:cs="黑体"/>
          <w:bCs/>
          <w:color w:val="auto"/>
          <w:sz w:val="28"/>
          <w:szCs w:val="28"/>
          <w:highlight w:val="none"/>
          <w:lang w:bidi="ar"/>
        </w:rPr>
        <w:br w:type="page" w:clear="all"/>
      </w:r>
      <w:bookmarkStart w:id="10" w:name="_Toc2604"/>
      <w:bookmarkStart w:id="11" w:name="_Toc25075"/>
      <w:r>
        <w:rPr>
          <w:rFonts w:hint="eastAsia" w:ascii="黑体" w:hAnsi="宋体" w:eastAsia="黑体" w:cs="黑体"/>
          <w:bCs/>
          <w:color w:val="auto"/>
          <w:sz w:val="28"/>
          <w:szCs w:val="28"/>
          <w:highlight w:val="none"/>
          <w:lang w:bidi="ar"/>
        </w:rPr>
        <w:t>五</w:t>
      </w:r>
      <w:r>
        <w:rPr>
          <w:rFonts w:hint="eastAsia" w:ascii="黑体" w:hAnsi="宋体" w:eastAsia="黑体" w:cs="黑体"/>
          <w:bCs/>
          <w:color w:val="auto"/>
          <w:sz w:val="28"/>
          <w:szCs w:val="28"/>
          <w:highlight w:val="none"/>
          <w:lang w:eastAsia="zh-CN" w:bidi="ar"/>
        </w:rPr>
        <w:t>、</w:t>
      </w:r>
      <w:r>
        <w:rPr>
          <w:rFonts w:hint="eastAsia" w:ascii="黑体" w:hAnsi="宋体" w:eastAsia="黑体" w:cs="黑体"/>
          <w:bCs/>
          <w:color w:val="auto"/>
          <w:sz w:val="28"/>
          <w:szCs w:val="28"/>
          <w:highlight w:val="none"/>
          <w:lang w:bidi="ar"/>
        </w:rPr>
        <w:t>合同条款</w:t>
      </w:r>
      <w:bookmarkEnd w:id="10"/>
      <w:bookmarkEnd w:id="11"/>
    </w:p>
    <w:p w14:paraId="69E01EBC">
      <w:pPr>
        <w:spacing w:line="360" w:lineRule="auto"/>
        <w:jc w:val="center"/>
        <w:rPr>
          <w:rFonts w:ascii="宋体" w:hAnsi="宋体" w:cs="宋体"/>
          <w:bCs/>
          <w:color w:val="auto"/>
          <w:sz w:val="24"/>
          <w:szCs w:val="24"/>
          <w:highlight w:val="none"/>
        </w:rPr>
      </w:pPr>
      <w:r>
        <w:rPr>
          <w:rFonts w:hint="eastAsia" w:ascii="宋体" w:hAnsi="宋体" w:cs="宋体"/>
          <w:bCs/>
          <w:color w:val="auto"/>
          <w:sz w:val="24"/>
          <w:szCs w:val="24"/>
          <w:highlight w:val="none"/>
          <w:lang w:bidi="ar"/>
        </w:rPr>
        <w:t>（根据相关法律规定以及采购文件确定事项订立）</w:t>
      </w:r>
    </w:p>
    <w:p w14:paraId="024A3A0B">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w:t>
      </w:r>
      <w:r>
        <w:rPr>
          <w:rFonts w:hint="eastAsia" w:ascii="宋体" w:hAnsi="宋体" w:eastAsia="宋体" w:cs="宋体"/>
          <w:color w:val="auto"/>
          <w:sz w:val="24"/>
          <w:szCs w:val="24"/>
          <w:highlight w:val="none"/>
          <w:u w:val="single"/>
          <w:lang w:val="en-US" w:eastAsia="zh-CN" w:bidi="ar-SA"/>
        </w:rPr>
        <w:t>无锡市新吴区2026年执法监测服务采购项目</w:t>
      </w:r>
      <w:r>
        <w:rPr>
          <w:rFonts w:hint="eastAsia" w:ascii="宋体" w:hAnsi="宋体" w:eastAsia="宋体" w:cs="宋体"/>
          <w:color w:val="auto"/>
          <w:sz w:val="24"/>
          <w:szCs w:val="24"/>
          <w:highlight w:val="none"/>
          <w:lang w:val="en-US" w:eastAsia="zh-CN" w:bidi="ar-SA"/>
        </w:rPr>
        <w:t>采购文件、投标结果和中标通知书，</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双方就</w:t>
      </w:r>
      <w:r>
        <w:rPr>
          <w:rFonts w:hint="eastAsia" w:ascii="宋体" w:hAnsi="宋体" w:eastAsia="宋体" w:cs="宋体"/>
          <w:color w:val="auto"/>
          <w:sz w:val="24"/>
          <w:szCs w:val="24"/>
          <w:highlight w:val="none"/>
          <w:u w:val="single"/>
          <w:lang w:val="en-US" w:eastAsia="zh-CN" w:bidi="ar-SA"/>
        </w:rPr>
        <w:t>无锡市新吴区2026年执法监测服务采购项目（  标段）</w:t>
      </w:r>
      <w:r>
        <w:rPr>
          <w:rFonts w:hint="eastAsia" w:ascii="宋体" w:hAnsi="宋体" w:eastAsia="宋体" w:cs="宋体"/>
          <w:color w:val="auto"/>
          <w:sz w:val="24"/>
          <w:szCs w:val="24"/>
          <w:highlight w:val="none"/>
          <w:lang w:val="en-US" w:eastAsia="zh-CN" w:bidi="ar-SA"/>
        </w:rPr>
        <w:t>的采购事宜，签订本协议。</w:t>
      </w:r>
    </w:p>
    <w:p w14:paraId="35683760">
      <w:pPr>
        <w:keepNext w:val="0"/>
        <w:keepLines w:val="0"/>
        <w:pageBreakBefore w:val="0"/>
        <w:widowControl w:val="0"/>
        <w:spacing w:line="360" w:lineRule="auto"/>
        <w:ind w:left="0" w:righ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w:t>
      </w:r>
      <w:r>
        <w:rPr>
          <w:rFonts w:hint="eastAsia" w:ascii="宋体" w:hAnsi="宋体" w:cs="宋体"/>
          <w:bCs/>
          <w:color w:val="auto"/>
          <w:sz w:val="24"/>
          <w:szCs w:val="24"/>
          <w:highlight w:val="none"/>
          <w:lang w:val="en-US" w:eastAsia="zh-CN" w:bidi="ar-SA"/>
        </w:rPr>
        <w:t>供</w:t>
      </w:r>
      <w:r>
        <w:rPr>
          <w:rFonts w:hint="eastAsia" w:ascii="宋体" w:hAnsi="宋体" w:eastAsia="宋体" w:cs="宋体"/>
          <w:bCs/>
          <w:color w:val="auto"/>
          <w:sz w:val="24"/>
          <w:szCs w:val="24"/>
          <w:highlight w:val="none"/>
          <w:lang w:val="en-US" w:eastAsia="zh-CN" w:bidi="ar-SA"/>
        </w:rPr>
        <w:t>方通过招投标获得</w:t>
      </w:r>
      <w:r>
        <w:rPr>
          <w:rFonts w:hint="eastAsia" w:ascii="宋体" w:hAnsi="宋体" w:eastAsia="宋体" w:cs="宋体"/>
          <w:color w:val="auto"/>
          <w:sz w:val="24"/>
          <w:szCs w:val="24"/>
          <w:highlight w:val="none"/>
          <w:u w:val="single"/>
          <w:lang w:val="en-US" w:eastAsia="zh-CN" w:bidi="ar-SA"/>
        </w:rPr>
        <w:t>无锡市新吴区2026年执法监测服务采购项目（  标段）</w:t>
      </w:r>
      <w:r>
        <w:rPr>
          <w:rFonts w:hint="eastAsia" w:ascii="宋体" w:hAnsi="宋体" w:eastAsia="宋体" w:cs="宋体"/>
          <w:bCs/>
          <w:color w:val="auto"/>
          <w:sz w:val="24"/>
          <w:szCs w:val="24"/>
          <w:highlight w:val="none"/>
          <w:lang w:val="en-US" w:eastAsia="zh-CN" w:bidi="ar-SA"/>
        </w:rPr>
        <w:t>服务资格。</w:t>
      </w:r>
    </w:p>
    <w:p w14:paraId="777621C2">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二、协议有效期为：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p>
    <w:p w14:paraId="0319B709">
      <w:pPr>
        <w:keepNext w:val="0"/>
        <w:keepLines w:val="0"/>
        <w:pageBreakBefore w:val="0"/>
        <w:widowControl/>
        <w:spacing w:line="360" w:lineRule="auto"/>
        <w:ind w:left="0" w:right="0"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三、业务费支付：</w:t>
      </w:r>
      <w:r>
        <w:rPr>
          <w:rFonts w:hint="eastAsia" w:ascii="宋体" w:hAnsi="宋体" w:eastAsia="宋体" w:cs="宋体"/>
          <w:bCs/>
          <w:color w:val="auto"/>
          <w:sz w:val="24"/>
          <w:szCs w:val="24"/>
          <w:highlight w:val="none"/>
          <w:u w:val="single"/>
          <w:lang w:val="en-US" w:eastAsia="zh-CN" w:bidi="ar-SA"/>
        </w:rPr>
        <w:t>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2028年</w:t>
      </w:r>
      <w:r>
        <w:rPr>
          <w:rFonts w:hint="eastAsia" w:ascii="宋体" w:hAnsi="宋体" w:cs="宋体"/>
          <w:bCs/>
          <w:color w:val="auto"/>
          <w:sz w:val="24"/>
          <w:szCs w:val="24"/>
          <w:highlight w:val="none"/>
          <w:u w:val="single"/>
          <w:lang w:val="en-US" w:eastAsia="zh-CN" w:bidi="ar-SA"/>
        </w:rPr>
        <w:t>12月前</w:t>
      </w:r>
      <w:r>
        <w:rPr>
          <w:rFonts w:hint="eastAsia" w:ascii="宋体" w:hAnsi="宋体" w:eastAsia="宋体" w:cs="宋体"/>
          <w:bCs/>
          <w:color w:val="auto"/>
          <w:sz w:val="24"/>
          <w:szCs w:val="24"/>
          <w:highlight w:val="none"/>
          <w:u w:val="single"/>
          <w:lang w:val="en-US" w:eastAsia="zh-CN" w:bidi="ar-SA"/>
        </w:rPr>
        <w:t>支付</w:t>
      </w:r>
      <w:r>
        <w:rPr>
          <w:rFonts w:hint="eastAsia" w:ascii="宋体" w:hAnsi="宋体" w:cs="宋体"/>
          <w:bCs/>
          <w:color w:val="auto"/>
          <w:sz w:val="24"/>
          <w:szCs w:val="24"/>
          <w:highlight w:val="none"/>
          <w:u w:val="single"/>
          <w:lang w:val="en-US" w:eastAsia="zh-CN" w:bidi="ar-SA"/>
        </w:rPr>
        <w:t>剩余</w:t>
      </w:r>
      <w:r>
        <w:rPr>
          <w:rFonts w:hint="eastAsia" w:ascii="宋体" w:hAnsi="宋体" w:eastAsia="宋体" w:cs="宋体"/>
          <w:bCs/>
          <w:color w:val="auto"/>
          <w:sz w:val="24"/>
          <w:szCs w:val="24"/>
          <w:highlight w:val="none"/>
          <w:u w:val="single"/>
          <w:lang w:val="en-US" w:eastAsia="zh-CN" w:bidi="ar-SA"/>
        </w:rPr>
        <w:t>40%</w:t>
      </w:r>
      <w:r>
        <w:rPr>
          <w:rFonts w:hint="eastAsia" w:ascii="宋体" w:hAnsi="宋体" w:cs="宋体"/>
          <w:bCs/>
          <w:color w:val="auto"/>
          <w:sz w:val="24"/>
          <w:szCs w:val="24"/>
          <w:highlight w:val="none"/>
          <w:u w:val="single"/>
          <w:lang w:val="en-US" w:eastAsia="zh-CN" w:bidi="ar-SA"/>
        </w:rPr>
        <w:t>尾款</w:t>
      </w:r>
      <w:r>
        <w:rPr>
          <w:rFonts w:hint="eastAsia" w:ascii="宋体" w:hAnsi="宋体" w:eastAsia="宋体" w:cs="宋体"/>
          <w:bCs/>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rPr>
        <w:t>需方付款前，供方需提供符合需方要求的合格有效发票，否则需方有权顺延付款而不承担任何责任。</w:t>
      </w:r>
    </w:p>
    <w:p w14:paraId="25688E0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四、下列文件应视为构成并作为阅读和理解本协议的组成部分，即：</w:t>
      </w:r>
    </w:p>
    <w:p w14:paraId="1E968968">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1、本协议书；</w:t>
      </w:r>
    </w:p>
    <w:p w14:paraId="6940CB44">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2、采购文件；</w:t>
      </w:r>
    </w:p>
    <w:p w14:paraId="5986953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3、投标文件及其附件（含投标人在评标期间递交和确认并经招标人同意的对有关问题的补充资料和澄清文件等）；</w:t>
      </w:r>
    </w:p>
    <w:p w14:paraId="31B9FDD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4、中标通知书。</w:t>
      </w:r>
    </w:p>
    <w:p w14:paraId="4540E42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63FB5537">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lang w:val="en-US" w:eastAsia="zh-CN" w:bidi="ar-SA"/>
        </w:rPr>
        <w:t>方未按本协议规定</w:t>
      </w:r>
      <w:r>
        <w:rPr>
          <w:rFonts w:hint="eastAsia" w:ascii="宋体" w:hAnsi="宋体" w:cs="宋体"/>
          <w:color w:val="auto"/>
          <w:sz w:val="24"/>
          <w:szCs w:val="24"/>
          <w:highlight w:val="none"/>
          <w:lang w:val="en-US" w:eastAsia="zh-CN" w:bidi="ar-SA"/>
        </w:rPr>
        <w:t>履行合同</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供</w:t>
      </w:r>
      <w:r>
        <w:rPr>
          <w:rFonts w:hint="eastAsia" w:ascii="宋体" w:hAnsi="宋体" w:eastAsia="宋体" w:cs="宋体"/>
          <w:color w:val="auto"/>
          <w:sz w:val="24"/>
          <w:szCs w:val="24"/>
          <w:highlight w:val="none"/>
          <w:lang w:val="en-US" w:eastAsia="zh-CN" w:bidi="ar-SA"/>
        </w:rPr>
        <w:t>方可依法向</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lang w:val="en-US" w:eastAsia="zh-CN" w:bidi="ar-SA"/>
        </w:rPr>
        <w:t>方要求经济赔偿；</w:t>
      </w:r>
    </w:p>
    <w:p w14:paraId="1F67A810">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供</w:t>
      </w:r>
      <w:r>
        <w:rPr>
          <w:rFonts w:hint="eastAsia" w:ascii="宋体" w:hAnsi="宋体" w:eastAsia="宋体" w:cs="宋体"/>
          <w:color w:val="auto"/>
          <w:sz w:val="24"/>
          <w:szCs w:val="24"/>
          <w:highlight w:val="none"/>
          <w:lang w:val="en-US" w:eastAsia="zh-CN" w:bidi="ar-SA"/>
        </w:rPr>
        <w:t>方对本协议规定的义务未履行或履行不力的，</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lang w:val="en-US" w:eastAsia="zh-CN" w:bidi="ar-SA"/>
        </w:rPr>
        <w:t>方可</w:t>
      </w:r>
      <w:r>
        <w:rPr>
          <w:rFonts w:hint="eastAsia" w:ascii="宋体" w:hAnsi="宋体" w:cs="宋体"/>
          <w:color w:val="auto"/>
          <w:sz w:val="24"/>
          <w:szCs w:val="24"/>
          <w:highlight w:val="none"/>
          <w:lang w:val="en-US" w:eastAsia="zh-CN" w:bidi="ar-SA"/>
        </w:rPr>
        <w:t>随时无条件解除合同、</w:t>
      </w:r>
      <w:r>
        <w:rPr>
          <w:rFonts w:hint="eastAsia" w:ascii="宋体" w:hAnsi="宋体" w:eastAsia="宋体" w:cs="宋体"/>
          <w:color w:val="auto"/>
          <w:sz w:val="24"/>
          <w:szCs w:val="24"/>
          <w:highlight w:val="none"/>
          <w:lang w:val="en-US" w:eastAsia="zh-CN" w:bidi="ar-SA"/>
        </w:rPr>
        <w:t>依法向</w:t>
      </w:r>
      <w:r>
        <w:rPr>
          <w:rFonts w:hint="eastAsia" w:ascii="宋体" w:hAnsi="宋体" w:cs="宋体"/>
          <w:color w:val="auto"/>
          <w:sz w:val="24"/>
          <w:szCs w:val="24"/>
          <w:highlight w:val="none"/>
          <w:lang w:val="en-US" w:eastAsia="zh-CN" w:bidi="ar-SA"/>
        </w:rPr>
        <w:t>供</w:t>
      </w:r>
      <w:r>
        <w:rPr>
          <w:rFonts w:hint="eastAsia" w:ascii="宋体" w:hAnsi="宋体" w:eastAsia="宋体" w:cs="宋体"/>
          <w:color w:val="auto"/>
          <w:sz w:val="24"/>
          <w:szCs w:val="24"/>
          <w:highlight w:val="none"/>
          <w:lang w:val="en-US" w:eastAsia="zh-CN" w:bidi="ar-SA"/>
        </w:rPr>
        <w:t>方要求经济赔偿，</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lang w:val="en-US" w:eastAsia="zh-CN" w:bidi="ar-SA"/>
        </w:rPr>
        <w:t>方可依本协议规定取消</w:t>
      </w:r>
      <w:r>
        <w:rPr>
          <w:rFonts w:hint="eastAsia" w:ascii="宋体" w:hAnsi="宋体" w:cs="宋体"/>
          <w:color w:val="auto"/>
          <w:sz w:val="24"/>
          <w:szCs w:val="24"/>
          <w:highlight w:val="none"/>
          <w:lang w:val="en-US" w:eastAsia="zh-CN" w:bidi="ar-SA"/>
        </w:rPr>
        <w:t>供</w:t>
      </w:r>
      <w:r>
        <w:rPr>
          <w:rFonts w:hint="eastAsia" w:ascii="宋体" w:hAnsi="宋体" w:eastAsia="宋体" w:cs="宋体"/>
          <w:color w:val="auto"/>
          <w:sz w:val="24"/>
          <w:szCs w:val="24"/>
          <w:highlight w:val="none"/>
          <w:lang w:val="en-US" w:eastAsia="zh-CN" w:bidi="ar-SA"/>
        </w:rPr>
        <w:t>方实验室服务资格；</w:t>
      </w:r>
    </w:p>
    <w:p w14:paraId="22E8B91D">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双方若有违反本协议规定或其他违纪事项可向相关部门投诉。经相关部门核查，如情况属实将作为有效投诉记录在案，自愿接受相应处罚。</w:t>
      </w:r>
    </w:p>
    <w:p w14:paraId="607D4FE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六、不可抗力</w:t>
      </w:r>
    </w:p>
    <w:p w14:paraId="72CEA400">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双方如果因不可抗力而导致协议义务的延误或不能履行，不承担误期赔偿或终止协议的责任。</w:t>
      </w:r>
    </w:p>
    <w:p w14:paraId="76212336">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2、本条所述的“不可抗力”系指下列</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双方无法控制、不可预见的事件，但不包括</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双方的违约或疏忽。这些事件包括：战争、严重火灾、洪水、台风、地震以及其他</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双方商定的事件。</w:t>
      </w:r>
    </w:p>
    <w:p w14:paraId="391B954A">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双方通过友好协商在合理的时间内达成进一步履行社会实验室服务义务的协议。</w:t>
      </w:r>
    </w:p>
    <w:p w14:paraId="553820CC">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七、协议的解除：</w:t>
      </w:r>
    </w:p>
    <w:p w14:paraId="4E114861">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双方协商一致，可以解除协议。</w:t>
      </w:r>
    </w:p>
    <w:p w14:paraId="618026A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2、解除协议的一方，应当在对方违约事实或不可抗力发生之后三十天内书面通知对方提出解除协议，协议在书面通知到达对方时解除。</w:t>
      </w:r>
    </w:p>
    <w:p w14:paraId="0032F777">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3、协议的部分和全部都不得擅自转让。</w:t>
      </w:r>
    </w:p>
    <w:p w14:paraId="1E749B73">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4、当</w:t>
      </w:r>
      <w:r>
        <w:rPr>
          <w:rFonts w:hint="eastAsia" w:ascii="宋体" w:hAnsi="宋体" w:cs="宋体"/>
          <w:color w:val="auto"/>
          <w:sz w:val="24"/>
          <w:szCs w:val="24"/>
          <w:highlight w:val="none"/>
          <w:lang w:val="en-US" w:eastAsia="zh-CN" w:bidi="ar-SA"/>
        </w:rPr>
        <w:t>供</w:t>
      </w:r>
      <w:r>
        <w:rPr>
          <w:rFonts w:hint="eastAsia" w:ascii="宋体" w:hAnsi="宋体" w:eastAsia="宋体" w:cs="宋体"/>
          <w:color w:val="auto"/>
          <w:sz w:val="24"/>
          <w:szCs w:val="24"/>
          <w:highlight w:val="none"/>
          <w:lang w:val="en-US" w:eastAsia="zh-CN" w:bidi="ar-SA"/>
        </w:rPr>
        <w:t>方出现下列情况之一，</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lang w:val="en-US" w:eastAsia="zh-CN" w:bidi="ar-SA"/>
        </w:rPr>
        <w:t>方可以</w:t>
      </w:r>
      <w:r>
        <w:rPr>
          <w:rFonts w:hint="eastAsia" w:ascii="宋体" w:hAnsi="宋体" w:cs="宋体"/>
          <w:color w:val="auto"/>
          <w:sz w:val="24"/>
          <w:szCs w:val="24"/>
          <w:highlight w:val="none"/>
          <w:lang w:val="en-US" w:eastAsia="zh-CN" w:bidi="ar-SA"/>
        </w:rPr>
        <w:t>单方</w:t>
      </w:r>
      <w:r>
        <w:rPr>
          <w:rFonts w:hint="eastAsia" w:ascii="宋体" w:hAnsi="宋体" w:eastAsia="宋体" w:cs="宋体"/>
          <w:color w:val="auto"/>
          <w:sz w:val="24"/>
          <w:szCs w:val="24"/>
          <w:highlight w:val="none"/>
          <w:lang w:val="en-US" w:eastAsia="zh-CN" w:bidi="ar-SA"/>
        </w:rPr>
        <w:t>解除协议：</w:t>
      </w:r>
    </w:p>
    <w:p w14:paraId="4EB7847E">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（1）客户对</w:t>
      </w:r>
      <w:r>
        <w:rPr>
          <w:rFonts w:hint="eastAsia" w:ascii="宋体" w:hAnsi="宋体" w:cs="宋体"/>
          <w:color w:val="auto"/>
          <w:sz w:val="24"/>
          <w:szCs w:val="24"/>
          <w:highlight w:val="none"/>
          <w:lang w:eastAsia="zh-CN"/>
        </w:rPr>
        <w:t>供</w:t>
      </w:r>
      <w:r>
        <w:rPr>
          <w:rFonts w:hint="eastAsia" w:ascii="宋体" w:hAnsi="宋体" w:eastAsia="宋体" w:cs="宋体"/>
          <w:color w:val="auto"/>
          <w:sz w:val="24"/>
          <w:szCs w:val="24"/>
          <w:highlight w:val="none"/>
        </w:rPr>
        <w:t>方有效投诉记录累计达3次及以上的；</w:t>
      </w:r>
    </w:p>
    <w:p w14:paraId="67E01586">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（2）在协议有效期内，被行业主管部门警告或取消经营资格的；</w:t>
      </w:r>
    </w:p>
    <w:p w14:paraId="063BFFE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（3）在协议有效期内，</w:t>
      </w:r>
      <w:r>
        <w:rPr>
          <w:rFonts w:hint="eastAsia" w:ascii="宋体" w:hAnsi="宋体" w:cs="宋体"/>
          <w:color w:val="auto"/>
          <w:sz w:val="24"/>
          <w:szCs w:val="24"/>
          <w:highlight w:val="none"/>
          <w:lang w:eastAsia="zh-CN"/>
        </w:rPr>
        <w:t>供</w:t>
      </w:r>
      <w:r>
        <w:rPr>
          <w:rFonts w:hint="eastAsia" w:ascii="宋体" w:hAnsi="宋体" w:eastAsia="宋体" w:cs="宋体"/>
          <w:color w:val="auto"/>
          <w:sz w:val="24"/>
          <w:szCs w:val="24"/>
          <w:highlight w:val="none"/>
        </w:rPr>
        <w:t>方擅自变更、转让、租借定点资格的；</w:t>
      </w:r>
    </w:p>
    <w:p w14:paraId="71192CFE">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（4）未如实反映情况，提供虚假材料的；</w:t>
      </w:r>
    </w:p>
    <w:p w14:paraId="4B1C9AB5">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（5）未按</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的价格提供服务的；</w:t>
      </w:r>
    </w:p>
    <w:p w14:paraId="11776FD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（6）社会实验室未能在监测协议书要求的时间内（含同意延长的时间）提交监测报告及数据汇总表和原始记录复印件或受</w:t>
      </w:r>
      <w:r>
        <w:rPr>
          <w:rFonts w:hint="eastAsia" w:ascii="宋体" w:hAnsi="宋体" w:cs="宋体"/>
          <w:color w:val="auto"/>
          <w:sz w:val="24"/>
          <w:szCs w:val="24"/>
          <w:highlight w:val="none"/>
          <w:lang w:eastAsia="zh-CN"/>
        </w:rPr>
        <w:t>需</w:t>
      </w:r>
      <w:r>
        <w:rPr>
          <w:rFonts w:hint="eastAsia" w:ascii="宋体" w:hAnsi="宋体" w:eastAsia="宋体" w:cs="宋体"/>
          <w:color w:val="auto"/>
          <w:sz w:val="24"/>
          <w:szCs w:val="24"/>
          <w:highlight w:val="none"/>
        </w:rPr>
        <w:t>方两次书面警告则视为违约，违约达二次的；</w:t>
      </w:r>
    </w:p>
    <w:p w14:paraId="0AE9B17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需</w:t>
      </w:r>
      <w:r>
        <w:rPr>
          <w:rFonts w:hint="eastAsia" w:ascii="宋体" w:hAnsi="宋体" w:eastAsia="宋体" w:cs="宋体"/>
          <w:color w:val="auto"/>
          <w:sz w:val="24"/>
          <w:szCs w:val="24"/>
          <w:highlight w:val="none"/>
        </w:rPr>
        <w:t>方组织的技术考核中</w:t>
      </w:r>
      <w:r>
        <w:rPr>
          <w:rFonts w:hint="eastAsia" w:ascii="宋体" w:hAnsi="宋体" w:cs="宋体"/>
          <w:color w:val="auto"/>
          <w:sz w:val="24"/>
          <w:szCs w:val="24"/>
          <w:highlight w:val="none"/>
          <w:lang w:eastAsia="zh-CN"/>
        </w:rPr>
        <w:t>供</w:t>
      </w:r>
      <w:r>
        <w:rPr>
          <w:rFonts w:hint="eastAsia" w:ascii="宋体" w:hAnsi="宋体" w:eastAsia="宋体" w:cs="宋体"/>
          <w:color w:val="auto"/>
          <w:sz w:val="24"/>
          <w:szCs w:val="24"/>
          <w:highlight w:val="none"/>
        </w:rPr>
        <w:t>方存在重大技术问题的；</w:t>
      </w:r>
    </w:p>
    <w:p w14:paraId="6718AAC6">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（8）报告作假一次的；</w:t>
      </w:r>
    </w:p>
    <w:p w14:paraId="3E001D60">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（9）有行为作风问题，行贿一次的；</w:t>
      </w:r>
    </w:p>
    <w:p w14:paraId="69446A1C">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（10）响应不足投标承诺达三次的取消委托资格；三次以内响应不足的，每次扣除</w:t>
      </w:r>
      <w:r>
        <w:rPr>
          <w:rFonts w:hint="eastAsia" w:ascii="宋体" w:hAnsi="宋体" w:eastAsia="宋体" w:cs="宋体"/>
          <w:color w:val="auto"/>
          <w:sz w:val="24"/>
          <w:szCs w:val="24"/>
          <w:highlight w:val="none"/>
          <w:lang w:val="en-US" w:eastAsia="zh-CN"/>
        </w:rPr>
        <w:t>2000元</w:t>
      </w:r>
      <w:r>
        <w:rPr>
          <w:rFonts w:hint="eastAsia" w:ascii="宋体" w:hAnsi="宋体" w:eastAsia="宋体" w:cs="宋体"/>
          <w:color w:val="auto"/>
          <w:sz w:val="24"/>
          <w:szCs w:val="24"/>
          <w:highlight w:val="none"/>
        </w:rPr>
        <w:t>。</w:t>
      </w:r>
    </w:p>
    <w:p w14:paraId="224301F7">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八、争议处置</w:t>
      </w:r>
    </w:p>
    <w:p w14:paraId="1A740D0B">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在执行本协议中所发生的一切争议，</w:t>
      </w:r>
      <w:r>
        <w:rPr>
          <w:rFonts w:hint="eastAsia" w:ascii="宋体" w:hAnsi="宋体" w:cs="宋体"/>
          <w:color w:val="auto"/>
          <w:sz w:val="24"/>
          <w:szCs w:val="24"/>
          <w:highlight w:val="none"/>
          <w:lang w:eastAsia="zh-CN"/>
        </w:rPr>
        <w:t>供</w:t>
      </w:r>
      <w:r>
        <w:rPr>
          <w:rFonts w:hint="eastAsia" w:ascii="宋体" w:hAnsi="宋体" w:cs="宋体"/>
          <w:color w:val="auto"/>
          <w:sz w:val="24"/>
          <w:szCs w:val="24"/>
          <w:highlight w:val="none"/>
          <w:lang w:val="en-US" w:eastAsia="zh-CN" w:bidi="ar-SA"/>
        </w:rPr>
        <w:t>需</w:t>
      </w:r>
      <w:r>
        <w:rPr>
          <w:rFonts w:hint="eastAsia" w:ascii="宋体" w:hAnsi="宋体" w:eastAsia="宋体" w:cs="宋体"/>
          <w:color w:val="auto"/>
          <w:sz w:val="24"/>
          <w:szCs w:val="24"/>
          <w:highlight w:val="none"/>
        </w:rPr>
        <w:t>双方应通过友好协商的方式进行解决，如协商不能解决的，有关当事方可提请所在地人民法院按司法程序解决。</w:t>
      </w:r>
    </w:p>
    <w:p w14:paraId="067D2122">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九、协议生效及</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w:t>
      </w:r>
    </w:p>
    <w:p w14:paraId="3717C58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1、本协议经</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双方签字</w:t>
      </w:r>
      <w:r>
        <w:rPr>
          <w:rFonts w:hint="eastAsia" w:ascii="宋体" w:hAnsi="宋体" w:cs="宋体"/>
          <w:color w:val="auto"/>
          <w:sz w:val="24"/>
          <w:szCs w:val="24"/>
          <w:highlight w:val="none"/>
          <w:lang w:val="en-US" w:eastAsia="zh-CN" w:bidi="ar-SA"/>
        </w:rPr>
        <w:t>或</w:t>
      </w:r>
      <w:r>
        <w:rPr>
          <w:rFonts w:hint="eastAsia" w:ascii="宋体" w:hAnsi="宋体" w:eastAsia="宋体" w:cs="宋体"/>
          <w:color w:val="auto"/>
          <w:sz w:val="24"/>
          <w:szCs w:val="24"/>
          <w:highlight w:val="none"/>
          <w:lang w:val="en-US" w:eastAsia="zh-CN" w:bidi="ar-SA"/>
        </w:rPr>
        <w:t>盖章后方正式生效。</w:t>
      </w:r>
    </w:p>
    <w:p w14:paraId="6637DC65">
      <w:pPr>
        <w:keepNext w:val="0"/>
        <w:keepLines w:val="0"/>
        <w:pageBreakBefore w:val="0"/>
        <w:widowControl w:val="0"/>
        <w:spacing w:line="360" w:lineRule="auto"/>
        <w:ind w:left="0" w:righ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2、协议在执行过程中出现的未尽事宜，</w:t>
      </w:r>
      <w:r>
        <w:rPr>
          <w:rFonts w:hint="eastAsia" w:ascii="宋体" w:hAnsi="宋体" w:cs="宋体"/>
          <w:color w:val="auto"/>
          <w:sz w:val="24"/>
          <w:szCs w:val="24"/>
          <w:highlight w:val="none"/>
          <w:lang w:val="en-US" w:eastAsia="zh-CN" w:bidi="ar-SA"/>
        </w:rPr>
        <w:t>供需</w:t>
      </w:r>
      <w:r>
        <w:rPr>
          <w:rFonts w:hint="eastAsia" w:ascii="宋体" w:hAnsi="宋体" w:eastAsia="宋体" w:cs="宋体"/>
          <w:color w:val="auto"/>
          <w:sz w:val="24"/>
          <w:szCs w:val="24"/>
          <w:highlight w:val="none"/>
          <w:lang w:val="en-US" w:eastAsia="zh-CN" w:bidi="ar-SA"/>
        </w:rPr>
        <w:t>双方在不违背本协议的原则下协商解决，协商结果以书面形式记录在案，作为本协议附件，与本协议具有同等效力。</w:t>
      </w:r>
    </w:p>
    <w:p w14:paraId="6159C110">
      <w:pPr>
        <w:widowControl/>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十、本协议</w:t>
      </w:r>
      <w:r>
        <w:rPr>
          <w:rFonts w:hint="eastAsia" w:ascii="宋体" w:hAnsi="宋体" w:cs="宋体"/>
          <w:bCs/>
          <w:color w:val="auto"/>
          <w:sz w:val="24"/>
          <w:szCs w:val="24"/>
          <w:highlight w:val="none"/>
          <w:lang w:bidi="ar"/>
        </w:rPr>
        <w:t>一式五份，供需双方各执二份，见证方一份。</w:t>
      </w:r>
    </w:p>
    <w:p w14:paraId="1EA515A3">
      <w:pPr>
        <w:rPr>
          <w:rFonts w:hint="eastAsia" w:ascii="宋体" w:hAnsi="宋体" w:cs="宋体"/>
          <w:color w:val="auto"/>
          <w:sz w:val="24"/>
          <w:highlight w:val="none"/>
          <w:lang w:val="zh-CN"/>
        </w:rPr>
      </w:pPr>
      <w:r>
        <w:rPr>
          <w:rFonts w:hint="eastAsia" w:ascii="宋体" w:hAnsi="宋体" w:cs="宋体"/>
          <w:color w:val="auto"/>
          <w:sz w:val="24"/>
          <w:highlight w:val="none"/>
          <w:lang w:val="zh-CN"/>
        </w:rPr>
        <w:br w:type="page" w:clear="all"/>
      </w:r>
    </w:p>
    <w:p w14:paraId="797BD12E">
      <w:pPr>
        <w:jc w:val="center"/>
        <w:outlineLvl w:val="0"/>
        <w:rPr>
          <w:rFonts w:ascii="黑体" w:eastAsia="黑体"/>
          <w:bCs/>
          <w:color w:val="auto"/>
          <w:sz w:val="28"/>
          <w:szCs w:val="28"/>
          <w:highlight w:val="none"/>
        </w:rPr>
      </w:pPr>
      <w:bookmarkStart w:id="12" w:name="_Toc4558"/>
      <w:bookmarkStart w:id="13" w:name="_Toc26767"/>
      <w:r>
        <w:rPr>
          <w:rFonts w:hint="eastAsia" w:ascii="黑体" w:eastAsia="黑体"/>
          <w:bCs/>
          <w:color w:val="auto"/>
          <w:sz w:val="28"/>
          <w:szCs w:val="28"/>
          <w:highlight w:val="none"/>
        </w:rPr>
        <w:t>六</w:t>
      </w: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rPr>
        <w:t>附件</w:t>
      </w:r>
      <w:bookmarkEnd w:id="12"/>
      <w:bookmarkEnd w:id="13"/>
    </w:p>
    <w:p w14:paraId="25CEE5CE">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0A33912E">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一标段评分标准：</w:t>
      </w:r>
    </w:p>
    <w:p w14:paraId="555024F8">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评分项目及分值（总分100分）</w:t>
      </w:r>
    </w:p>
    <w:p w14:paraId="7250745E">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1AB6EBAF">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22</w:t>
      </w:r>
      <w:r>
        <w:rPr>
          <w:rFonts w:hint="eastAsia" w:ascii="宋体" w:hAnsi="宋体" w:eastAsia="宋体" w:cs="宋体"/>
          <w:b/>
          <w:color w:val="auto"/>
          <w:sz w:val="24"/>
          <w:highlight w:val="none"/>
        </w:rPr>
        <w:t>分</w:t>
      </w:r>
    </w:p>
    <w:p w14:paraId="5997346A">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48</w:t>
      </w:r>
      <w:r>
        <w:rPr>
          <w:rFonts w:hint="eastAsia" w:ascii="宋体" w:hAnsi="宋体" w:eastAsia="宋体" w:cs="宋体"/>
          <w:b/>
          <w:color w:val="auto"/>
          <w:sz w:val="24"/>
          <w:highlight w:val="none"/>
        </w:rPr>
        <w:t>分</w:t>
      </w:r>
    </w:p>
    <w:p w14:paraId="448BCB93">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各项目评分标准</w:t>
      </w:r>
    </w:p>
    <w:p w14:paraId="0F8C1176">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1.投标报价（</w:t>
      </w:r>
      <w:r>
        <w:rPr>
          <w:rFonts w:hint="eastAsia" w:ascii="宋体" w:hAnsi="宋体" w:eastAsia="宋体" w:cs="宋体"/>
          <w:b/>
          <w:bCs/>
          <w:color w:val="auto"/>
          <w:sz w:val="24"/>
          <w:highlight w:val="none"/>
          <w:lang w:val="en-US" w:eastAsia="zh-CN"/>
        </w:rPr>
        <w:t>30</w:t>
      </w:r>
      <w:r>
        <w:rPr>
          <w:rFonts w:hint="eastAsia" w:ascii="宋体" w:hAnsi="宋体" w:eastAsia="宋体" w:cs="宋体"/>
          <w:b/>
          <w:bCs/>
          <w:color w:val="auto"/>
          <w:sz w:val="24"/>
          <w:highlight w:val="none"/>
        </w:rPr>
        <w:t>分</w:t>
      </w:r>
      <w:r>
        <w:rPr>
          <w:rFonts w:hint="eastAsia" w:ascii="宋体" w:hAnsi="宋体" w:eastAsia="宋体" w:cs="宋体"/>
          <w:b/>
          <w:bCs/>
          <w:color w:val="auto"/>
          <w:sz w:val="24"/>
          <w:highlight w:val="none"/>
          <w:lang w:eastAsia="zh-CN"/>
        </w:rPr>
        <w:t>）</w:t>
      </w:r>
    </w:p>
    <w:p w14:paraId="23FD538F">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采用低价优先法计算，即满足采购文件要求且投标报价最低的投标报价为评标基准价，其价格分为满分。其他报价人的价格分统一按照下列公式计算：</w:t>
      </w:r>
    </w:p>
    <w:p w14:paraId="741BFA2D">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投标报价得分=（评标基准价/投标报价）×价格权值×100。</w:t>
      </w:r>
    </w:p>
    <w:p w14:paraId="224646D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宋体"/>
          <w:b/>
          <w:color w:val="auto"/>
          <w:sz w:val="24"/>
          <w:highlight w:val="none"/>
          <w:lang w:val="en-US" w:eastAsia="zh-CN" w:bidi="ar-SA"/>
        </w:rPr>
        <w:t>注：</w:t>
      </w:r>
      <w:r>
        <w:rPr>
          <w:rFonts w:hint="eastAsia" w:ascii="宋体" w:hAnsi="宋体" w:eastAsia="宋体" w:cs="Times New Roman"/>
          <w:bCs/>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01C3408D">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（1）投标（响应）报价低于全部通过符合性审查供应商投标（响应）报价平均值50%的，即投标（响应）报价＜全部通过符合性审查供应商投标（响应）报价平均值×50%；</w:t>
      </w:r>
    </w:p>
    <w:p w14:paraId="50CCB958">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（2）投标（响应）报价低于通过符合性审查的次低报价供应商投标（响应）报价50%的，即投标（响应）报价＜通过符合性审查的次低报价供应商投标（响应）报价×50%；</w:t>
      </w:r>
    </w:p>
    <w:p w14:paraId="17CDEDD1">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（3）投标（响应）报价低于采购项目最高限价45%的，即投标（响应）报价＜采购项目最高限价×45%；</w:t>
      </w:r>
    </w:p>
    <w:p w14:paraId="1343D024">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（4）评审委员会基于专业判断，认为供应商报价过低，有可能影响产品质量或者不能诚信履约的其他情形。</w:t>
      </w:r>
    </w:p>
    <w:p w14:paraId="37055900">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采购人可以结合具体项目实际情况，提高上述第1项至第3项中启动异常低价投标（响应）审查的数值标准，但是最高不得超过65%。</w:t>
      </w:r>
    </w:p>
    <w:p w14:paraId="03320726">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相关法律法规对供应商报价有规定的，从其规定。</w:t>
      </w:r>
    </w:p>
    <w:p w14:paraId="1E69C8A2">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如果项目或采购包存在有分项价格最高限价要求或单价最高限价（最高限制单价）要求时，有上述情形的，应当启动异常低价投标（响应）审查程序。</w:t>
      </w:r>
    </w:p>
    <w:p w14:paraId="7749E077">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5FCC1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23B133">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FCD94A1">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eastAsia="宋体" w:cs="Times New Roman"/>
          <w:bCs/>
          <w:color w:val="auto"/>
          <w:sz w:val="24"/>
          <w:szCs w:val="24"/>
          <w:highlight w:val="none"/>
        </w:rPr>
        <w:t>财政部门在投诉处理、监督检查中发现评审委员会未按规定对异常低价开展审查的，依法予以纠正并追究评审专家的法律责任。</w:t>
      </w:r>
    </w:p>
    <w:p w14:paraId="565699F1">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价格扣除：专门面向中小/小微企业的项目除外。</w:t>
      </w:r>
    </w:p>
    <w:p w14:paraId="41DC9006">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p>
    <w:p w14:paraId="4BC09CFB">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auto"/>
          <w:sz w:val="24"/>
          <w:highlight w:val="none"/>
          <w:lang w:eastAsia="zh-CN"/>
        </w:rPr>
        <w:t>〔2014〕68号</w:t>
      </w:r>
      <w:r>
        <w:rPr>
          <w:rFonts w:hint="eastAsia" w:ascii="宋体" w:hAnsi="宋体" w:eastAsia="宋体" w:cs="宋体"/>
          <w:color w:val="auto"/>
          <w:sz w:val="24"/>
          <w:highlight w:val="none"/>
        </w:rPr>
        <w:t>）的规定提供由省级以上监狱管理局、戒毒管理局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含新疆生产建设兵团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出具的属于监狱企业的证明文件复印件。</w:t>
      </w:r>
    </w:p>
    <w:p w14:paraId="3D682BA7">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DD98F33">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同一投标人，上述三项价格扣除优惠不得重复享受。</w:t>
      </w:r>
    </w:p>
    <w:p w14:paraId="130CE7E6">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评标委员会认为投标人的报价明显低于其他通过符合性审</w:t>
      </w:r>
      <w:r>
        <w:rPr>
          <w:rFonts w:hint="eastAsia" w:ascii="宋体" w:hAnsi="宋体" w:eastAsia="宋体" w:cs="宋体"/>
          <w:color w:val="auto"/>
          <w:sz w:val="24"/>
          <w:highlight w:val="none"/>
          <w:lang w:eastAsia="zh-CN"/>
        </w:rPr>
        <w:t>查的</w:t>
      </w:r>
      <w:r>
        <w:rPr>
          <w:rFonts w:hint="eastAsia" w:ascii="宋体" w:hAnsi="宋体" w:eastAsia="宋体" w:cs="宋体"/>
          <w:color w:val="auto"/>
          <w:sz w:val="24"/>
          <w:highlight w:val="none"/>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7F233F5D">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2.投标供应商评价（</w:t>
      </w:r>
      <w:r>
        <w:rPr>
          <w:rFonts w:hint="eastAsia" w:ascii="宋体" w:hAnsi="宋体" w:eastAsia="宋体" w:cs="宋体"/>
          <w:b/>
          <w:color w:val="auto"/>
          <w:sz w:val="24"/>
          <w:highlight w:val="none"/>
          <w:lang w:val="en-US" w:eastAsia="zh-CN"/>
        </w:rPr>
        <w:t>22</w:t>
      </w:r>
      <w:r>
        <w:rPr>
          <w:rFonts w:hint="eastAsia" w:ascii="宋体" w:hAnsi="宋体" w:eastAsia="宋体" w:cs="宋体"/>
          <w:b/>
          <w:color w:val="auto"/>
          <w:sz w:val="24"/>
          <w:highlight w:val="none"/>
        </w:rPr>
        <w:t>分）</w:t>
      </w:r>
    </w:p>
    <w:p w14:paraId="73F9145A">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（1）资质认定能力（</w:t>
      </w:r>
      <w:r>
        <w:rPr>
          <w:rFonts w:hint="eastAsia" w:ascii="宋体" w:hAnsi="宋体" w:eastAsia="宋体" w:cs="宋体"/>
          <w:color w:val="auto"/>
          <w:sz w:val="24"/>
          <w:highlight w:val="none"/>
          <w:lang w:val="en-US" w:eastAsia="zh-CN"/>
        </w:rPr>
        <w:t>4.5</w:t>
      </w:r>
      <w:r>
        <w:rPr>
          <w:rFonts w:hint="eastAsia" w:ascii="宋体" w:hAnsi="宋体" w:eastAsia="宋体" w:cs="宋体"/>
          <w:color w:val="auto"/>
          <w:sz w:val="24"/>
          <w:highlight w:val="none"/>
        </w:rPr>
        <w:t>分）</w:t>
      </w:r>
    </w:p>
    <w:p w14:paraId="73240B73">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1）监测项目数（3分）：</w:t>
      </w:r>
      <w:r>
        <w:rPr>
          <w:rFonts w:ascii="宋体" w:hAnsi="宋体" w:cs="宋体"/>
          <w:color w:val="auto"/>
          <w:sz w:val="24"/>
          <w:highlight w:val="none"/>
        </w:rPr>
        <w:t>在检验检测机构资质认定有效期内，通过省级及以上质量技术监督局实验室资质认定的环境类监测项目数300项以下</w:t>
      </w:r>
      <w:r>
        <w:rPr>
          <w:rFonts w:hint="eastAsia" w:ascii="宋体" w:hAnsi="宋体" w:cs="宋体"/>
          <w:color w:val="auto"/>
          <w:sz w:val="24"/>
          <w:highlight w:val="none"/>
          <w:lang w:eastAsia="zh-CN"/>
        </w:rPr>
        <w:t>（</w:t>
      </w:r>
      <w:r>
        <w:rPr>
          <w:rFonts w:ascii="宋体" w:hAnsi="宋体" w:cs="宋体"/>
          <w:color w:val="auto"/>
          <w:sz w:val="24"/>
          <w:highlight w:val="none"/>
        </w:rPr>
        <w:t>含300项</w:t>
      </w:r>
      <w:r>
        <w:rPr>
          <w:rFonts w:hint="eastAsia" w:ascii="宋体" w:hAnsi="宋体" w:cs="宋体"/>
          <w:color w:val="auto"/>
          <w:sz w:val="24"/>
          <w:highlight w:val="none"/>
          <w:lang w:eastAsia="zh-CN"/>
        </w:rPr>
        <w:t>）</w:t>
      </w:r>
      <w:r>
        <w:rPr>
          <w:rFonts w:ascii="宋体" w:hAnsi="宋体" w:cs="宋体"/>
          <w:color w:val="auto"/>
          <w:sz w:val="24"/>
          <w:highlight w:val="none"/>
        </w:rPr>
        <w:t>的得0.5分；在301~400项</w:t>
      </w:r>
      <w:r>
        <w:rPr>
          <w:rFonts w:hint="eastAsia" w:ascii="宋体" w:hAnsi="宋体" w:cs="宋体"/>
          <w:color w:val="auto"/>
          <w:sz w:val="24"/>
          <w:highlight w:val="none"/>
          <w:lang w:eastAsia="zh-CN"/>
        </w:rPr>
        <w:t>（</w:t>
      </w:r>
      <w:r>
        <w:rPr>
          <w:rFonts w:ascii="宋体" w:hAnsi="宋体" w:cs="宋体"/>
          <w:color w:val="auto"/>
          <w:sz w:val="24"/>
          <w:highlight w:val="none"/>
        </w:rPr>
        <w:t>含400项</w:t>
      </w:r>
      <w:r>
        <w:rPr>
          <w:rFonts w:hint="eastAsia" w:ascii="宋体" w:hAnsi="宋体" w:cs="宋体"/>
          <w:color w:val="auto"/>
          <w:sz w:val="24"/>
          <w:highlight w:val="none"/>
          <w:lang w:eastAsia="zh-CN"/>
        </w:rPr>
        <w:t>）</w:t>
      </w:r>
      <w:r>
        <w:rPr>
          <w:rFonts w:ascii="宋体" w:hAnsi="宋体" w:cs="宋体"/>
          <w:color w:val="auto"/>
          <w:sz w:val="24"/>
          <w:highlight w:val="none"/>
        </w:rPr>
        <w:t>的得1分；在401~450项</w:t>
      </w:r>
      <w:r>
        <w:rPr>
          <w:rFonts w:hint="eastAsia" w:ascii="宋体" w:hAnsi="宋体" w:cs="宋体"/>
          <w:color w:val="auto"/>
          <w:sz w:val="24"/>
          <w:highlight w:val="none"/>
          <w:lang w:eastAsia="zh-CN"/>
        </w:rPr>
        <w:t>（</w:t>
      </w:r>
      <w:r>
        <w:rPr>
          <w:rFonts w:ascii="宋体" w:hAnsi="宋体" w:cs="宋体"/>
          <w:color w:val="auto"/>
          <w:sz w:val="24"/>
          <w:highlight w:val="none"/>
        </w:rPr>
        <w:t>含450项</w:t>
      </w:r>
      <w:r>
        <w:rPr>
          <w:rFonts w:hint="eastAsia" w:ascii="宋体" w:hAnsi="宋体" w:cs="宋体"/>
          <w:color w:val="auto"/>
          <w:sz w:val="24"/>
          <w:highlight w:val="none"/>
          <w:lang w:eastAsia="zh-CN"/>
        </w:rPr>
        <w:t>）</w:t>
      </w:r>
      <w:r>
        <w:rPr>
          <w:rFonts w:ascii="宋体" w:hAnsi="宋体" w:cs="宋体"/>
          <w:color w:val="auto"/>
          <w:sz w:val="24"/>
          <w:highlight w:val="none"/>
        </w:rPr>
        <w:t>的得1.5分；在451项以上的得2分；具备水和废水</w:t>
      </w:r>
      <w:r>
        <w:rPr>
          <w:rFonts w:hint="eastAsia" w:ascii="宋体" w:hAnsi="宋体" w:cs="宋体"/>
          <w:color w:val="auto"/>
          <w:sz w:val="24"/>
          <w:highlight w:val="none"/>
        </w:rPr>
        <w:t>、</w:t>
      </w:r>
      <w:r>
        <w:rPr>
          <w:rFonts w:ascii="宋体" w:hAnsi="宋体" w:cs="宋体"/>
          <w:color w:val="auto"/>
          <w:sz w:val="24"/>
          <w:highlight w:val="none"/>
        </w:rPr>
        <w:t>环境空气和废气</w:t>
      </w:r>
      <w:r>
        <w:rPr>
          <w:rFonts w:hint="eastAsia" w:ascii="宋体" w:hAnsi="宋体" w:cs="宋体"/>
          <w:color w:val="auto"/>
          <w:sz w:val="24"/>
          <w:highlight w:val="none"/>
        </w:rPr>
        <w:t>、</w:t>
      </w:r>
      <w:r>
        <w:rPr>
          <w:rFonts w:ascii="宋体" w:hAnsi="宋体" w:cs="宋体"/>
          <w:color w:val="auto"/>
          <w:sz w:val="24"/>
          <w:highlight w:val="none"/>
        </w:rPr>
        <w:t>土壤</w:t>
      </w:r>
      <w:r>
        <w:rPr>
          <w:rFonts w:hint="eastAsia" w:ascii="宋体" w:hAnsi="宋体" w:cs="宋体"/>
          <w:color w:val="auto"/>
          <w:sz w:val="24"/>
          <w:highlight w:val="none"/>
        </w:rPr>
        <w:t>、</w:t>
      </w:r>
      <w:r>
        <w:rPr>
          <w:rFonts w:ascii="宋体" w:hAnsi="宋体" w:cs="宋体"/>
          <w:color w:val="auto"/>
          <w:sz w:val="24"/>
          <w:highlight w:val="none"/>
        </w:rPr>
        <w:t>噪声和振动</w:t>
      </w:r>
      <w:r>
        <w:rPr>
          <w:rFonts w:hint="eastAsia" w:ascii="宋体" w:hAnsi="宋体" w:cs="宋体"/>
          <w:color w:val="auto"/>
          <w:sz w:val="24"/>
          <w:highlight w:val="none"/>
        </w:rPr>
        <w:t>、</w:t>
      </w:r>
      <w:r>
        <w:rPr>
          <w:rFonts w:ascii="宋体" w:hAnsi="宋体" w:cs="宋体"/>
          <w:color w:val="auto"/>
          <w:sz w:val="24"/>
          <w:highlight w:val="none"/>
        </w:rPr>
        <w:t>固体废物</w:t>
      </w:r>
      <w:r>
        <w:rPr>
          <w:rFonts w:hint="eastAsia" w:ascii="宋体" w:hAnsi="宋体" w:cs="宋体"/>
          <w:color w:val="auto"/>
          <w:sz w:val="24"/>
          <w:highlight w:val="none"/>
        </w:rPr>
        <w:t>、</w:t>
      </w:r>
      <w:r>
        <w:rPr>
          <w:rFonts w:ascii="宋体" w:hAnsi="宋体" w:cs="宋体"/>
          <w:color w:val="auto"/>
          <w:sz w:val="24"/>
          <w:highlight w:val="none"/>
        </w:rPr>
        <w:t>水生生物</w:t>
      </w:r>
      <w:r>
        <w:rPr>
          <w:rFonts w:hint="eastAsia" w:ascii="宋体" w:hAnsi="宋体" w:cs="宋体"/>
          <w:color w:val="auto"/>
          <w:sz w:val="24"/>
          <w:highlight w:val="none"/>
        </w:rPr>
        <w:t>、</w:t>
      </w:r>
      <w:r>
        <w:rPr>
          <w:rFonts w:ascii="宋体" w:hAnsi="宋体" w:cs="宋体"/>
          <w:color w:val="auto"/>
          <w:sz w:val="24"/>
          <w:highlight w:val="none"/>
        </w:rPr>
        <w:t>非道路移动柴油机械和机动车排放</w:t>
      </w:r>
      <w:r>
        <w:rPr>
          <w:rFonts w:hint="eastAsia" w:ascii="宋体" w:hAnsi="宋体" w:cs="宋体"/>
          <w:color w:val="auto"/>
          <w:sz w:val="24"/>
          <w:highlight w:val="none"/>
        </w:rPr>
        <w:t>、</w:t>
      </w:r>
      <w:r>
        <w:rPr>
          <w:rFonts w:ascii="宋体" w:hAnsi="宋体" w:cs="宋体"/>
          <w:color w:val="auto"/>
          <w:sz w:val="24"/>
          <w:highlight w:val="none"/>
        </w:rPr>
        <w:t>活性炭检测类别的得1分；本项最高得3分</w:t>
      </w:r>
      <w:r>
        <w:rPr>
          <w:rFonts w:hint="eastAsia" w:ascii="宋体" w:hAnsi="宋体" w:cs="宋体"/>
          <w:color w:val="auto"/>
          <w:sz w:val="24"/>
          <w:highlight w:val="none"/>
        </w:rPr>
        <w:t>【需提供CMA计量认证证书及附表，以资质认定证书中检测能力表序号为项数，各检测类别等原件扫描件上传至电子投标文件，未按要求提供不得分】</w:t>
      </w:r>
    </w:p>
    <w:p w14:paraId="3231FDEC">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rPr>
        <w:t>特征因子（1.5分）：</w:t>
      </w:r>
      <w:r>
        <w:rPr>
          <w:rFonts w:ascii="宋体" w:hAnsi="宋体" w:cs="宋体"/>
          <w:color w:val="auto"/>
          <w:sz w:val="24"/>
          <w:highlight w:val="none"/>
        </w:rPr>
        <w:t>具备废气监测中低浓度颗粒物便携式β射线法</w:t>
      </w:r>
      <w:r>
        <w:rPr>
          <w:rFonts w:hint="eastAsia" w:ascii="宋体" w:hAnsi="宋体" w:cs="宋体"/>
          <w:color w:val="auto"/>
          <w:sz w:val="24"/>
          <w:highlight w:val="none"/>
          <w:lang w:eastAsia="zh-CN"/>
        </w:rPr>
        <w:t>（</w:t>
      </w:r>
      <w:r>
        <w:rPr>
          <w:rFonts w:ascii="宋体" w:hAnsi="宋体" w:cs="宋体"/>
          <w:color w:val="auto"/>
          <w:sz w:val="24"/>
          <w:highlight w:val="none"/>
        </w:rPr>
        <w:t>HJ1457-2026</w:t>
      </w:r>
      <w:r>
        <w:rPr>
          <w:rFonts w:hint="eastAsia" w:ascii="宋体" w:hAnsi="宋体" w:cs="宋体"/>
          <w:color w:val="auto"/>
          <w:sz w:val="24"/>
          <w:highlight w:val="none"/>
          <w:lang w:eastAsia="zh-CN"/>
        </w:rPr>
        <w:t>）</w:t>
      </w:r>
      <w:r>
        <w:rPr>
          <w:rFonts w:ascii="宋体" w:hAnsi="宋体" w:cs="宋体"/>
          <w:color w:val="auto"/>
          <w:sz w:val="24"/>
          <w:highlight w:val="none"/>
        </w:rPr>
        <w:t>能力的得0.5分，具备电离辐射监测中γ辐射剂量率</w:t>
      </w:r>
      <w:r>
        <w:rPr>
          <w:rFonts w:hint="eastAsia" w:ascii="宋体" w:hAnsi="宋体" w:cs="宋体"/>
          <w:color w:val="auto"/>
          <w:sz w:val="24"/>
          <w:highlight w:val="none"/>
          <w:lang w:eastAsia="zh-CN"/>
        </w:rPr>
        <w:t>（</w:t>
      </w:r>
      <w:r>
        <w:rPr>
          <w:rFonts w:ascii="宋体" w:hAnsi="宋体" w:cs="宋体"/>
          <w:color w:val="auto"/>
          <w:sz w:val="24"/>
          <w:highlight w:val="none"/>
        </w:rPr>
        <w:t>HJ1157-2021</w:t>
      </w:r>
      <w:r>
        <w:rPr>
          <w:rFonts w:hint="eastAsia" w:ascii="宋体" w:hAnsi="宋体" w:cs="宋体"/>
          <w:color w:val="auto"/>
          <w:sz w:val="24"/>
          <w:highlight w:val="none"/>
          <w:lang w:eastAsia="zh-CN"/>
        </w:rPr>
        <w:t>）</w:t>
      </w:r>
      <w:r>
        <w:rPr>
          <w:rFonts w:ascii="宋体" w:hAnsi="宋体" w:cs="宋体"/>
          <w:color w:val="auto"/>
          <w:sz w:val="24"/>
          <w:highlight w:val="none"/>
        </w:rPr>
        <w:t>能力的得0.5分，具备非道路移动柴油机械和机动车排放监测中不透光度和碳氢化合物能力的得0.5分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本项最高得1.5分</w:t>
      </w:r>
      <w:r>
        <w:rPr>
          <w:rFonts w:hint="eastAsia" w:ascii="宋体" w:hAnsi="宋体" w:cs="宋体"/>
          <w:color w:val="auto"/>
          <w:sz w:val="24"/>
          <w:highlight w:val="none"/>
        </w:rPr>
        <w:t>【需提供CMA证书能力附表，以能力附表的对应序号为准，原件扫描件上传至电子投标文件，未按要求提供不得分】</w:t>
      </w:r>
    </w:p>
    <w:p w14:paraId="11F584C1">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（2）管理体系认证（</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p>
    <w:p w14:paraId="1DA6F0F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具有有效的质量管理体系认证证书、环境管理体系认证证书、职业健康安全管理体系认证证书</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lang w:val="en-US" w:eastAsia="zh-CN"/>
        </w:rPr>
        <w:t>每有1个</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分，本项最高得1.5分【提供相应认证证书，原件扫描件上传至电子投标文件，未按要求提供不得分】</w:t>
      </w:r>
    </w:p>
    <w:p w14:paraId="29707C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（3）人员、仪器配置情况（7分）</w:t>
      </w:r>
    </w:p>
    <w:p w14:paraId="60651C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1）人员配置（4分）：投标供应商拟配备本项目的项目负责人具备生态环境类（包括环境监测、环境科研、环境管理、环境工程等）专业高级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rPr>
        <w:t>职称证书的得1分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投标供应商拟配备于本项目的技术人员（项目负责人除外）：具备生态环境类（包括环境监测、环境科研、环境管理、环境工程等）专业高级</w:t>
      </w:r>
      <w:r>
        <w:rPr>
          <w:rFonts w:hint="eastAsia" w:ascii="宋体" w:hAnsi="宋体" w:cs="宋体"/>
          <w:color w:val="auto"/>
          <w:sz w:val="24"/>
          <w:highlight w:val="none"/>
          <w:lang w:val="en-US" w:eastAsia="zh-CN"/>
        </w:rPr>
        <w:t>及以上</w:t>
      </w:r>
      <w:r>
        <w:rPr>
          <w:rFonts w:hint="eastAsia" w:ascii="宋体" w:hAnsi="宋体" w:eastAsia="宋体" w:cs="宋体"/>
          <w:color w:val="auto"/>
          <w:sz w:val="24"/>
          <w:highlight w:val="none"/>
        </w:rPr>
        <w:t>职称证书的，得1分；具备省级及以上检验检测机构资质认定评审员资格的，得2分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本项最高得4分。【提供投标供应商为以上人员</w:t>
      </w:r>
      <w:r>
        <w:rPr>
          <w:rFonts w:hint="eastAsia" w:ascii="宋体" w:hAnsi="宋体" w:eastAsia="宋体" w:cs="宋体"/>
          <w:color w:val="auto"/>
          <w:sz w:val="24"/>
          <w:highlight w:val="none"/>
          <w:lang w:val="en-US" w:eastAsia="zh-CN"/>
        </w:rPr>
        <w:t>近</w:t>
      </w:r>
      <w:r>
        <w:rPr>
          <w:rFonts w:hint="eastAsia" w:ascii="宋体" w:hAnsi="宋体" w:eastAsia="宋体" w:cs="宋体"/>
          <w:color w:val="auto"/>
          <w:sz w:val="24"/>
          <w:highlight w:val="none"/>
        </w:rPr>
        <w:t>三个月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社保缴纳证明、返聘人员需提供返聘协议书、人员的职称证书、无评审员证书的须提供国家、省市场监督管理局检验检测机构资质认定评审系统中的评审员信息截图或2023年以来的检验检测机构资质认定评审通知表等资料原件扫描件上传至电子投标文件，未按要求提供不得分】</w:t>
      </w:r>
    </w:p>
    <w:p w14:paraId="46E6A9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仪器设备配置（3分）：满足本次检测项目所需的有效期内的主要检测分析设备：石墨炉、原子吸收仪、原子荧光仪、气相色谱仪、离子色谱仪、高效液相色谱仪、GC-MS和ICP、ICP-MS，全部满足的得1分；具备现场直接测定中挥发性有机气体分析仪和便携式非甲烷总烃测试仪的得1分；具备实验室信息管理系统（LIMS）的得1分；本项最高得3分【提供仪器购买发票或租赁证明材料，提供管理系统或管理平台的自主研发证明材料或购买合同原件扫描件上传至电子投标文件，未按要求提供不得分】</w:t>
      </w:r>
    </w:p>
    <w:p w14:paraId="186944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（4）能力验证（</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cs="宋体"/>
          <w:color w:val="auto"/>
          <w:sz w:val="24"/>
          <w:highlight w:val="none"/>
        </w:rPr>
        <w:t>根据2024年度以来投标供应商参加的市级及以上主管部门组织的或计量认证和中国实验室认可委员会组织的能力验证及实验室比对情况综合评定，提供</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份合格的能力验证报告的得</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分，最高得3分【提供能力验证报告及其他相应认证材料扫描件上传至电子投标文件，未按要求提供不得分】</w:t>
      </w:r>
    </w:p>
    <w:p w14:paraId="7E5EBE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（5）业绩（</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46173F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年1月1日以来，</w:t>
      </w:r>
      <w:r>
        <w:rPr>
          <w:rFonts w:hint="eastAsia" w:ascii="宋体" w:hAnsi="宋体" w:cs="宋体"/>
          <w:color w:val="auto"/>
          <w:sz w:val="24"/>
          <w:highlight w:val="none"/>
          <w:lang w:val="en-US" w:eastAsia="zh-CN"/>
        </w:rPr>
        <w:t>承担过同类项目业绩的，有1个得2分，本项目最高得4分</w:t>
      </w:r>
      <w:r>
        <w:rPr>
          <w:rFonts w:hint="eastAsia" w:ascii="宋体" w:hAnsi="宋体" w:eastAsia="宋体" w:cs="宋体"/>
          <w:color w:val="auto"/>
          <w:sz w:val="24"/>
          <w:highlight w:val="none"/>
        </w:rPr>
        <w:t>【以合同签订日期为准，提供合同扫描件上传至电子投标文件，未按要求提供不得分】</w:t>
      </w:r>
    </w:p>
    <w:p w14:paraId="5BFA28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（6）应急响应能力（2分）</w:t>
      </w:r>
    </w:p>
    <w:p w14:paraId="107F41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应急情况下响应时间（指投标方监测小组人员及监测物资到达招标方单位地址的反应时间）。</w:t>
      </w:r>
    </w:p>
    <w:p w14:paraId="3D4044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应急情况下响应并到达无锡市新吴生态环境局（无锡市新吴区净慧东道70号）的时间：30分钟（含30）之内的得2分，45分钟（含45）之内的得1.5分，60分钟（含60）之内的得1分，90分钟（含90）之内的得0.5分，超过90分钟不得分</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提供承诺书（格式自拟）</w:t>
      </w:r>
      <w:r>
        <w:rPr>
          <w:rFonts w:hint="eastAsia" w:ascii="宋体" w:hAnsi="宋体" w:eastAsia="宋体" w:cs="宋体"/>
          <w:color w:val="auto"/>
          <w:sz w:val="24"/>
          <w:highlight w:val="none"/>
        </w:rPr>
        <w:t>上传至电子投标文件，未按要求提供不得分】</w:t>
      </w:r>
    </w:p>
    <w:p w14:paraId="35DA18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3.技术文件（</w:t>
      </w:r>
      <w:r>
        <w:rPr>
          <w:rFonts w:hint="eastAsia" w:ascii="宋体" w:hAnsi="宋体" w:eastAsia="宋体" w:cs="宋体"/>
          <w:b/>
          <w:color w:val="auto"/>
          <w:sz w:val="24"/>
          <w:highlight w:val="none"/>
          <w:lang w:val="en-US" w:eastAsia="zh-CN"/>
        </w:rPr>
        <w:t>48</w:t>
      </w:r>
      <w:r>
        <w:rPr>
          <w:rFonts w:hint="eastAsia" w:ascii="宋体" w:hAnsi="宋体" w:eastAsia="宋体" w:cs="宋体"/>
          <w:b/>
          <w:color w:val="auto"/>
          <w:sz w:val="24"/>
          <w:highlight w:val="none"/>
        </w:rPr>
        <w:t>分）</w:t>
      </w:r>
    </w:p>
    <w:p w14:paraId="5DB9F026">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监测实施方案（</w:t>
      </w: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分）</w:t>
      </w:r>
    </w:p>
    <w:p w14:paraId="11BA36CF">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前期准备（8分）</w:t>
      </w:r>
    </w:p>
    <w:p w14:paraId="581A6CEC">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监测方案（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9B6D310">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现场监测（8分）</w:t>
      </w:r>
    </w:p>
    <w:p w14:paraId="0CBA53E7">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报告与结论（</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DEDF0BD">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注：根据投标供应商为执法监测项目提供的实施方案的完整性、可行性等情况酌情评分：方案内容清晰、合理、详细、全面、针对性强、操作性强得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分；方案内容清晰、合理、详细、全面得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分；方案内容不够完整基本满足要求的得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分；方案内容有重大缺陷或未作说明的不得分。</w:t>
      </w:r>
    </w:p>
    <w:p w14:paraId="30CE11D7">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质控措施及服务承诺（</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p w14:paraId="04D7C823">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质量控制图（4分）</w:t>
      </w:r>
    </w:p>
    <w:p w14:paraId="2202EC4F">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采样时质量控制（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435805DA">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分析时质量控制（4分）</w:t>
      </w:r>
    </w:p>
    <w:p w14:paraId="13B32CBD">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④评价标准（</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0A40CED7">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注：根据各投标供应商编制的执法单位监测全过程中质量管理和质量控制措施，酌情评分。内容清晰、合理、详细、全面、针对性强、操作性强得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分；方案内容清晰、合理、详细、全面得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分；方案内容不够完整基本满足要求的得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分；方案内容有重大缺陷或未作说明的不得分。</w:t>
      </w:r>
    </w:p>
    <w:p w14:paraId="01975E77">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二标段评分标准：</w:t>
      </w:r>
    </w:p>
    <w:p w14:paraId="22D88A42">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评分项目及分值（总分100分）</w:t>
      </w:r>
    </w:p>
    <w:p w14:paraId="38E66416">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2CD6B04B">
      <w:pPr>
        <w:keepNext w:val="0"/>
        <w:keepLines w:val="0"/>
        <w:pageBreakBefore w:val="0"/>
        <w:widowControl w:val="0"/>
        <w:tabs>
          <w:tab w:val="left" w:pos="7966"/>
        </w:tabs>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r>
        <w:rPr>
          <w:rFonts w:hint="eastAsia" w:ascii="宋体" w:hAnsi="宋体" w:eastAsia="宋体" w:cs="宋体"/>
          <w:b/>
          <w:color w:val="auto"/>
          <w:sz w:val="24"/>
          <w:highlight w:val="none"/>
          <w:lang w:eastAsia="zh-CN"/>
        </w:rPr>
        <w:tab/>
      </w:r>
    </w:p>
    <w:p w14:paraId="30BECAAE">
      <w:pPr>
        <w:keepNext w:val="0"/>
        <w:keepLines w:val="0"/>
        <w:pageBreakBefore w:val="0"/>
        <w:widowControl w:val="0"/>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40</w:t>
      </w:r>
      <w:r>
        <w:rPr>
          <w:rFonts w:hint="eastAsia" w:ascii="宋体" w:hAnsi="宋体" w:eastAsia="宋体" w:cs="宋体"/>
          <w:b/>
          <w:color w:val="auto"/>
          <w:sz w:val="24"/>
          <w:highlight w:val="none"/>
        </w:rPr>
        <w:t>分</w:t>
      </w:r>
    </w:p>
    <w:p w14:paraId="55C6D3BA">
      <w:pPr>
        <w:keepNext w:val="0"/>
        <w:keepLines w:val="0"/>
        <w:pageBreakBefore w:val="0"/>
        <w:widowControl w:val="0"/>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各项目评分标准</w:t>
      </w:r>
    </w:p>
    <w:p w14:paraId="3EF79CAA">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1.投标报价：（</w:t>
      </w:r>
      <w:r>
        <w:rPr>
          <w:rFonts w:hint="eastAsia" w:ascii="宋体" w:hAnsi="宋体" w:eastAsia="宋体" w:cs="宋体"/>
          <w:b/>
          <w:bCs/>
          <w:color w:val="auto"/>
          <w:sz w:val="24"/>
          <w:highlight w:val="none"/>
        </w:rPr>
        <w:t>满分30分</w:t>
      </w:r>
      <w:r>
        <w:rPr>
          <w:rFonts w:hint="eastAsia" w:ascii="宋体" w:hAnsi="宋体" w:eastAsia="宋体" w:cs="宋体"/>
          <w:b/>
          <w:bCs/>
          <w:color w:val="auto"/>
          <w:sz w:val="24"/>
          <w:highlight w:val="none"/>
          <w:lang w:eastAsia="zh-CN"/>
        </w:rPr>
        <w:t>）</w:t>
      </w:r>
    </w:p>
    <w:p w14:paraId="58DDB6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采用低价优先法计算，即满足采购文件要求且投标报价比率最低的投标报价比率为评标基准价，其价格分为满分。其他报价人的价格分统一按照下列公式计算：</w:t>
      </w:r>
    </w:p>
    <w:p w14:paraId="3D2FA05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投标报价得分=（评标基准价/投标报价比率）×价格权值×100。</w:t>
      </w:r>
    </w:p>
    <w:p w14:paraId="2B84CBF4">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宋体"/>
          <w:b/>
          <w:color w:val="auto"/>
          <w:sz w:val="24"/>
          <w:highlight w:val="none"/>
          <w:lang w:val="en-US" w:eastAsia="zh-CN" w:bidi="ar-SA"/>
        </w:rPr>
        <w:t>注：</w:t>
      </w:r>
      <w:r>
        <w:rPr>
          <w:rFonts w:hint="eastAsia" w:ascii="宋体" w:hAnsi="宋体" w:eastAsia="宋体" w:cs="Times New Roman"/>
          <w:bCs/>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5888BD81">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（1）投标（响应）报价低于全部通过符合性审查供应商投标（响应）报价平均值50%的，即投标（响应）报价＜全部通过符合性审查供应商投标（响应）报价平均值×50%；</w:t>
      </w:r>
    </w:p>
    <w:p w14:paraId="2773D8E6">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（2）投标（响应）报价低于通过符合性审查的次低报价供应商投标（响应）报价50%的，即投标（响应）报价＜通过符合性审查的次低报价供应商投标（响应）报价×50%；</w:t>
      </w:r>
    </w:p>
    <w:p w14:paraId="22801DBD">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（3）投标（响应）报价低于采购项目最高限价45%的，即投标（响应）报价＜采购项目最高限价×45%；</w:t>
      </w:r>
    </w:p>
    <w:p w14:paraId="10363BFE">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（4）评审委员会基于专业判断，认为供应商报价过低，有可能影响产品质量或者不能诚信履约的其他情形。</w:t>
      </w:r>
    </w:p>
    <w:p w14:paraId="3DAB0E56">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采购人可以结合具体项目实际情况，提高上述第1项至第3项中启动异常低价投标（响应）审查的数值标准，但是最高不得超过65%。</w:t>
      </w:r>
    </w:p>
    <w:p w14:paraId="1129F386">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相关法律法规对供应商报价有规定的，从其规定。</w:t>
      </w:r>
    </w:p>
    <w:p w14:paraId="28A501C3">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如果项目或采购包存在有分项价格最高限价要求或单价最高限价（最高限制单价）要求时，有上述情形的，应当启动异常低价投标（响应）审查程序。</w:t>
      </w:r>
    </w:p>
    <w:p w14:paraId="4CEC2D94">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1BED617">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4F4733">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9248576">
      <w:pPr>
        <w:keepNext w:val="0"/>
        <w:keepLines w:val="0"/>
        <w:pageBreakBefore w:val="0"/>
        <w:widowControl w:val="0"/>
        <w:kinsoku/>
        <w:wordWrap/>
        <w:overflowPunct/>
        <w:topLinePunct w:val="0"/>
        <w:autoSpaceDE/>
        <w:autoSpaceDN/>
        <w:bidi w:val="0"/>
        <w:adjustRightInd/>
        <w:snapToGrid/>
        <w:spacing w:after="0" w:line="360" w:lineRule="auto"/>
        <w:ind w:left="0" w:firstLine="482"/>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财政部门在投诉处理、监督检查中发现评审委员会未按规定对异常低价开展审查的，依法予以纠正并追究评审专家的法律责任。</w:t>
      </w:r>
    </w:p>
    <w:p w14:paraId="6B8DD76A">
      <w:pPr>
        <w:keepNext w:val="0"/>
        <w:keepLines w:val="0"/>
        <w:pageBreakBefore w:val="0"/>
        <w:widowControl w:val="0"/>
        <w:tabs>
          <w:tab w:val="left" w:pos="1365"/>
        </w:tabs>
        <w:kinsoku/>
        <w:wordWrap/>
        <w:overflowPunct/>
        <w:topLinePunct w:val="0"/>
        <w:autoSpaceDE/>
        <w:autoSpaceDN/>
        <w:bidi w:val="0"/>
        <w:adjustRightInd/>
        <w:snapToGrid/>
        <w:spacing w:line="360" w:lineRule="auto"/>
        <w:ind w:left="0" w:firstLine="482"/>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价格扣除：专门面向中小/小微企业的项目除外。</w:t>
      </w:r>
    </w:p>
    <w:p w14:paraId="77C527F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小型和微型企业产品的价格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p>
    <w:p w14:paraId="3469212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p>
    <w:p w14:paraId="4748C38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②参加投标的监狱企业，应当按照《关于政府采购支持监狱企业发展有关问题的通知》（财库</w:t>
      </w:r>
      <w:r>
        <w:rPr>
          <w:rFonts w:hint="eastAsia" w:ascii="宋体" w:hAnsi="宋体" w:cs="宋体"/>
          <w:color w:val="auto"/>
          <w:sz w:val="24"/>
          <w:highlight w:val="none"/>
          <w:lang w:eastAsia="zh-CN"/>
        </w:rPr>
        <w:t>〔2014〕68号</w:t>
      </w:r>
      <w:r>
        <w:rPr>
          <w:rFonts w:hint="eastAsia" w:ascii="宋体" w:hAnsi="宋体" w:eastAsia="宋体" w:cs="宋体"/>
          <w:color w:val="auto"/>
          <w:sz w:val="24"/>
          <w:highlight w:val="none"/>
        </w:rPr>
        <w:t>）的规定提供由省级以上监狱管理局、戒毒管理局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含新疆生产建设兵团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出具的属于监狱企业的证明文件复印件。</w:t>
      </w:r>
    </w:p>
    <w:p w14:paraId="20A0D54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③参加投标的残疾人福利性单位，应当按照《财政部、民政部、中国残疾人联合会关于促进残疾人就业政府采购政策的通知》（财库〔2017〕141号）的规定提供《残疾人福利性单位声明函》。</w:t>
      </w:r>
    </w:p>
    <w:p w14:paraId="107D93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同一投标人，上述三项价格扣除优惠不得重复享受。</w:t>
      </w:r>
    </w:p>
    <w:p w14:paraId="7888564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p>
    <w:p w14:paraId="02A31C6A">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eastAsia="宋体" w:cs="宋体"/>
          <w:b/>
          <w:color w:val="auto"/>
          <w:sz w:val="24"/>
          <w:highlight w:val="none"/>
        </w:rPr>
        <w:t>投标供应商评价（</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19A8FCC2">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（1）资质认定能力（</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w:t>
      </w:r>
    </w:p>
    <w:p w14:paraId="02F5515B">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1）投标供应商司法鉴定许可证业务范围涵盖：污染物性质鉴定</w:t>
      </w:r>
      <w:r>
        <w:rPr>
          <w:rFonts w:hint="eastAsia" w:ascii="宋体" w:hAnsi="宋体" w:cs="宋体"/>
          <w:color w:val="auto"/>
          <w:sz w:val="24"/>
          <w:highlight w:val="none"/>
          <w:lang w:eastAsia="zh-CN"/>
        </w:rPr>
        <w:t>、</w:t>
      </w:r>
      <w:r>
        <w:rPr>
          <w:rFonts w:hint="eastAsia" w:ascii="宋体" w:hAnsi="宋体" w:cs="宋体"/>
          <w:color w:val="auto"/>
          <w:sz w:val="24"/>
          <w:highlight w:val="none"/>
        </w:rPr>
        <w:t>地表水与沉积物环境损害鉴定</w:t>
      </w:r>
      <w:r>
        <w:rPr>
          <w:rFonts w:hint="eastAsia" w:ascii="宋体" w:hAnsi="宋体" w:cs="宋体"/>
          <w:color w:val="auto"/>
          <w:sz w:val="24"/>
          <w:highlight w:val="none"/>
          <w:lang w:eastAsia="zh-CN"/>
        </w:rPr>
        <w:t>、</w:t>
      </w:r>
      <w:r>
        <w:rPr>
          <w:rFonts w:hint="eastAsia" w:ascii="宋体" w:hAnsi="宋体" w:cs="宋体"/>
          <w:color w:val="auto"/>
          <w:sz w:val="24"/>
          <w:highlight w:val="none"/>
        </w:rPr>
        <w:t>土壤与地下水环境损害鉴定</w:t>
      </w:r>
      <w:r>
        <w:rPr>
          <w:rFonts w:hint="eastAsia" w:ascii="宋体" w:hAnsi="宋体" w:cs="宋体"/>
          <w:color w:val="auto"/>
          <w:sz w:val="24"/>
          <w:highlight w:val="none"/>
          <w:lang w:eastAsia="zh-CN"/>
        </w:rPr>
        <w:t>、</w:t>
      </w:r>
      <w:r>
        <w:rPr>
          <w:rFonts w:hint="eastAsia" w:ascii="宋体" w:hAnsi="宋体" w:cs="宋体"/>
          <w:color w:val="auto"/>
          <w:sz w:val="24"/>
          <w:highlight w:val="none"/>
        </w:rPr>
        <w:t>生态系统环境损害鉴定，有一项内容得1分，本项最高得4分【提供证书扫描件上传至电子投标文件，未按要求提供不得分】</w:t>
      </w:r>
    </w:p>
    <w:p w14:paraId="32F2B53B">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2）投标供应商通过省级及以上质量技术监督局实验室资质认定的环境类项目在</w:t>
      </w:r>
      <w:r>
        <w:rPr>
          <w:rFonts w:hint="eastAsia" w:ascii="宋体" w:hAnsi="宋体" w:cs="宋体"/>
          <w:color w:val="auto"/>
          <w:sz w:val="24"/>
          <w:highlight w:val="none"/>
          <w:lang w:val="en-US" w:eastAsia="zh-CN"/>
        </w:rPr>
        <w:t>300</w:t>
      </w:r>
      <w:r>
        <w:rPr>
          <w:rFonts w:hint="eastAsia" w:ascii="宋体" w:hAnsi="宋体" w:cs="宋体"/>
          <w:color w:val="auto"/>
          <w:sz w:val="24"/>
          <w:highlight w:val="none"/>
        </w:rPr>
        <w:t>项</w:t>
      </w:r>
      <w:r>
        <w:rPr>
          <w:rFonts w:hint="eastAsia" w:ascii="宋体" w:hAnsi="宋体" w:cs="宋体"/>
          <w:color w:val="auto"/>
          <w:sz w:val="24"/>
          <w:highlight w:val="none"/>
          <w:lang w:val="en-US" w:eastAsia="zh-CN"/>
        </w:rPr>
        <w:t>以下的得0.5分，在300-349项（含）以下的得1，在分</w:t>
      </w:r>
      <w:r>
        <w:rPr>
          <w:rFonts w:hint="eastAsia" w:ascii="宋体" w:hAnsi="宋体" w:cs="宋体"/>
          <w:color w:val="auto"/>
          <w:sz w:val="24"/>
          <w:highlight w:val="none"/>
        </w:rPr>
        <w:t>350项（含）以上得2分【需提供CMA计量认证证书及附表（以资质认定证书中检测能力表序号为项数）扫描件上传至投标文件，未按要求提供不得分】</w:t>
      </w:r>
    </w:p>
    <w:p w14:paraId="29CB5966">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3）投标供应商获得工程技术研究中心证书得1分【提供证书扫描件上传至电子投标文件，未按要求提供不得分】</w:t>
      </w:r>
    </w:p>
    <w:p w14:paraId="3CCBBA54">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投标供应商获得司法鉴定行业先进单位的，本项最高得2分【提供证明材料扫描件上传至电子投标文件，未按要求提供不得分】</w:t>
      </w:r>
    </w:p>
    <w:p w14:paraId="759683B8">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（2）人员及实验室</w:t>
      </w:r>
      <w:r>
        <w:rPr>
          <w:rFonts w:hint="eastAsia" w:ascii="宋体" w:hAnsi="宋体" w:cs="宋体"/>
          <w:color w:val="auto"/>
          <w:sz w:val="24"/>
          <w:highlight w:val="none"/>
          <w:lang w:val="en-US" w:eastAsia="zh-CN"/>
        </w:rPr>
        <w:t>条件情况</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分）</w:t>
      </w:r>
    </w:p>
    <w:p w14:paraId="58CA00B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1）人员配置（</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投标供应商拟配备本项目的项目负责人具备环境类、化工类、化学类等相关专业高级及以上职称证书的得2分；投标供应商拟配备本项目的技术人员（项目负责人除外）：具备生态环境类、化工类、化学类等相关专业中级及以上职称证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有</w:t>
      </w:r>
      <w:r>
        <w:rPr>
          <w:rFonts w:hint="eastAsia" w:ascii="宋体" w:hAnsi="宋体" w:cs="宋体"/>
          <w:color w:val="auto"/>
          <w:sz w:val="24"/>
          <w:highlight w:val="none"/>
        </w:rPr>
        <w:t>1人得</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auto"/>
          <w:sz w:val="24"/>
          <w:highlight w:val="none"/>
        </w:rPr>
        <w:t>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分；项目组成员中（除项目负责人外）具有省级以上环境或司法鉴定相关行业奖项（如省级及以上科技奖、行业技术奖项的）有1人得1分，最高得2分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本项最高得6分</w:t>
      </w:r>
      <w:r>
        <w:rPr>
          <w:rFonts w:hint="eastAsia" w:ascii="宋体" w:hAnsi="宋体" w:cs="宋体"/>
          <w:color w:val="auto"/>
          <w:sz w:val="24"/>
          <w:highlight w:val="none"/>
        </w:rPr>
        <w:t>【提供投标供应商为上述人员近三个月，不含投标当月社保缴纳证明及相关证明材料扫描件上传至电子投标文件，未按要求提供不得分】</w:t>
      </w:r>
    </w:p>
    <w:p w14:paraId="7B55F754">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仪器设备配置</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auto"/>
          <w:sz w:val="24"/>
          <w:highlight w:val="none"/>
        </w:rPr>
        <w:t>：满足本次检测项目所需的有效期内的主要检测分析设备：气相色谱质谱联用仪，液质联用仪，电感耦合等离子体质谱仪</w:t>
      </w:r>
      <w:r>
        <w:rPr>
          <w:rFonts w:hint="eastAsia" w:ascii="宋体" w:hAnsi="宋体" w:cs="宋体"/>
          <w:color w:val="auto"/>
          <w:sz w:val="24"/>
          <w:highlight w:val="none"/>
          <w:lang w:eastAsia="zh-CN"/>
        </w:rPr>
        <w:t>（</w:t>
      </w:r>
      <w:r>
        <w:rPr>
          <w:rFonts w:hint="eastAsia" w:ascii="宋体" w:hAnsi="宋体" w:cs="宋体"/>
          <w:color w:val="auto"/>
          <w:sz w:val="24"/>
          <w:highlight w:val="none"/>
        </w:rPr>
        <w:t>ICP-Ms</w:t>
      </w:r>
      <w:r>
        <w:rPr>
          <w:rFonts w:hint="eastAsia" w:ascii="宋体" w:hAnsi="宋体" w:cs="宋体"/>
          <w:color w:val="auto"/>
          <w:sz w:val="24"/>
          <w:highlight w:val="none"/>
          <w:lang w:eastAsia="zh-CN"/>
        </w:rPr>
        <w:t>）</w:t>
      </w:r>
      <w:r>
        <w:rPr>
          <w:rFonts w:hint="eastAsia" w:ascii="宋体" w:hAnsi="宋体" w:cs="宋体"/>
          <w:color w:val="auto"/>
          <w:sz w:val="24"/>
          <w:highlight w:val="none"/>
        </w:rPr>
        <w:t>，土壤钻探设备，固体燃烧速率试验仪，超临界萃取仪，六类设备，</w:t>
      </w:r>
      <w:r>
        <w:rPr>
          <w:rFonts w:hint="eastAsia" w:ascii="宋体" w:hAnsi="宋体" w:cs="宋体"/>
          <w:color w:val="auto"/>
          <w:sz w:val="24"/>
          <w:highlight w:val="none"/>
          <w:lang w:val="en-US" w:eastAsia="zh-CN"/>
        </w:rPr>
        <w:t>有一类得0.5</w:t>
      </w:r>
      <w:r>
        <w:rPr>
          <w:rFonts w:hint="eastAsia" w:ascii="宋体" w:hAnsi="宋体" w:cs="宋体"/>
          <w:color w:val="auto"/>
          <w:sz w:val="24"/>
          <w:highlight w:val="none"/>
        </w:rPr>
        <w:t>分，本项最设高得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分【自有的提供购买发票扫描件和仪器照片，租赁的还需提供租赁协议，以上证明文件上传至电子投标文件，未按要求提供不得分】</w:t>
      </w:r>
    </w:p>
    <w:p w14:paraId="73A2E390">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能力验证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：投标供应商2024年1月1日至今通过能力验证考核合格</w:t>
      </w:r>
      <w:r>
        <w:rPr>
          <w:rFonts w:hint="eastAsia" w:ascii="宋体" w:hAnsi="宋体" w:cs="宋体"/>
          <w:color w:val="auto"/>
          <w:sz w:val="24"/>
          <w:highlight w:val="none"/>
          <w:lang w:eastAsia="zh-CN"/>
        </w:rPr>
        <w:t>（</w:t>
      </w:r>
      <w:r>
        <w:rPr>
          <w:rFonts w:hint="eastAsia" w:ascii="宋体" w:hAnsi="宋体" w:cs="宋体"/>
          <w:color w:val="auto"/>
          <w:sz w:val="24"/>
          <w:highlight w:val="none"/>
        </w:rPr>
        <w:t>满意</w:t>
      </w:r>
      <w:r>
        <w:rPr>
          <w:rFonts w:hint="eastAsia" w:ascii="宋体" w:hAnsi="宋体" w:cs="宋体"/>
          <w:color w:val="auto"/>
          <w:sz w:val="24"/>
          <w:highlight w:val="none"/>
          <w:lang w:eastAsia="zh-CN"/>
        </w:rPr>
        <w:t>）</w:t>
      </w:r>
      <w:r>
        <w:rPr>
          <w:rFonts w:hint="eastAsia" w:ascii="宋体" w:hAnsi="宋体" w:cs="宋体"/>
          <w:color w:val="auto"/>
          <w:sz w:val="24"/>
          <w:highlight w:val="none"/>
        </w:rPr>
        <w:t>的证书，有一个得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分【提供考核合格证书扫描件上传至电子投标文件，未按要求提供不得分】</w:t>
      </w:r>
    </w:p>
    <w:p w14:paraId="0740E0B3">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5EF8FA6F">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投标供应商2024年1月1日以来承担过</w:t>
      </w:r>
      <w:r>
        <w:rPr>
          <w:rFonts w:hint="eastAsia" w:ascii="宋体" w:hAnsi="宋体" w:cs="宋体"/>
          <w:color w:val="auto"/>
          <w:sz w:val="24"/>
          <w:highlight w:val="none"/>
          <w:lang w:val="en-US" w:eastAsia="zh-CN"/>
        </w:rPr>
        <w:t>同类项目业绩的</w:t>
      </w:r>
      <w:r>
        <w:rPr>
          <w:rFonts w:hint="eastAsia" w:ascii="宋体" w:hAnsi="宋体" w:cs="宋体"/>
          <w:color w:val="auto"/>
          <w:sz w:val="24"/>
          <w:highlight w:val="none"/>
        </w:rPr>
        <w:t>，有一个得1分，本项最高得2分【提供合同及中标通知书扫描件上传至电子投标文件，未按要求提供不得分】</w:t>
      </w:r>
    </w:p>
    <w:p w14:paraId="3F910830">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环境司法鉴定检测报告</w:t>
      </w:r>
      <w:r>
        <w:rPr>
          <w:rFonts w:hint="eastAsia" w:ascii="宋体" w:hAnsi="宋体" w:cs="宋体"/>
          <w:color w:val="auto"/>
          <w:sz w:val="24"/>
          <w:highlight w:val="none"/>
          <w:lang w:eastAsia="zh-CN"/>
        </w:rPr>
        <w:t>（</w:t>
      </w:r>
      <w:r>
        <w:rPr>
          <w:rFonts w:hint="eastAsia" w:ascii="宋体" w:hAnsi="宋体" w:cs="宋体"/>
          <w:color w:val="auto"/>
          <w:sz w:val="24"/>
          <w:highlight w:val="none"/>
        </w:rPr>
        <w:t>2分</w:t>
      </w:r>
      <w:r>
        <w:rPr>
          <w:rFonts w:hint="eastAsia" w:ascii="宋体" w:hAnsi="宋体" w:cs="宋体"/>
          <w:color w:val="auto"/>
          <w:sz w:val="24"/>
          <w:highlight w:val="none"/>
          <w:lang w:eastAsia="zh-CN"/>
        </w:rPr>
        <w:t>）</w:t>
      </w:r>
      <w:r>
        <w:rPr>
          <w:rFonts w:hint="eastAsia" w:ascii="宋体" w:hAnsi="宋体" w:cs="宋体"/>
          <w:color w:val="auto"/>
          <w:sz w:val="24"/>
          <w:highlight w:val="none"/>
        </w:rPr>
        <w:t>：提供近1年内环境司法鉴定检测报告，在不涉密的前提下，提供全套司法鉴定报告。根据报告的规范性，完整性进行质量判定，每份报告得1分，本项最高得2分【提供司法鉴定报告扫描件上传至电子投标文件，未按要求提供不得分】</w:t>
      </w:r>
    </w:p>
    <w:p w14:paraId="5D250F58">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应急响应能力</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71CA9695">
      <w:pPr>
        <w:tabs>
          <w:tab w:val="left" w:pos="945"/>
          <w:tab w:val="left" w:pos="1155"/>
          <w:tab w:val="left" w:pos="2250"/>
        </w:tabs>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应急情况下响应时间</w:t>
      </w:r>
      <w:r>
        <w:rPr>
          <w:rFonts w:hint="eastAsia" w:ascii="宋体" w:hAnsi="宋体" w:cs="宋体"/>
          <w:color w:val="auto"/>
          <w:sz w:val="24"/>
          <w:highlight w:val="none"/>
          <w:lang w:eastAsia="zh-CN"/>
        </w:rPr>
        <w:t>（</w:t>
      </w:r>
      <w:r>
        <w:rPr>
          <w:rFonts w:hint="eastAsia" w:ascii="宋体" w:hAnsi="宋体" w:cs="宋体"/>
          <w:color w:val="auto"/>
          <w:sz w:val="24"/>
          <w:highlight w:val="none"/>
        </w:rPr>
        <w:t>指投标方监测小组人员及监测物资到达招标方单位地址的反应时间</w:t>
      </w:r>
      <w:r>
        <w:rPr>
          <w:rFonts w:hint="eastAsia" w:ascii="宋体" w:hAnsi="宋体" w:cs="宋体"/>
          <w:color w:val="auto"/>
          <w:sz w:val="24"/>
          <w:highlight w:val="none"/>
          <w:lang w:eastAsia="zh-CN"/>
        </w:rPr>
        <w:t>）</w:t>
      </w:r>
      <w:r>
        <w:rPr>
          <w:rFonts w:hint="eastAsia" w:ascii="宋体" w:hAnsi="宋体" w:cs="宋体"/>
          <w:color w:val="auto"/>
          <w:sz w:val="24"/>
          <w:highlight w:val="none"/>
        </w:rPr>
        <w:t>、单项报告、综合性报告完成期限。</w:t>
      </w:r>
    </w:p>
    <w:p w14:paraId="41D1E923">
      <w:pPr>
        <w:tabs>
          <w:tab w:val="left" w:pos="945"/>
          <w:tab w:val="left" w:pos="1155"/>
          <w:tab w:val="left" w:pos="2250"/>
        </w:tabs>
        <w:spacing w:line="360" w:lineRule="auto"/>
        <w:ind w:firstLine="480"/>
        <w:jc w:val="left"/>
        <w:rPr>
          <w:color w:val="auto"/>
          <w:highlight w:val="none"/>
        </w:rPr>
      </w:pPr>
      <w:r>
        <w:rPr>
          <w:rFonts w:hint="eastAsia" w:ascii="宋体" w:hAnsi="宋体" w:cs="宋体"/>
          <w:color w:val="auto"/>
          <w:sz w:val="24"/>
          <w:highlight w:val="none"/>
        </w:rPr>
        <w:t>1）应急情况下响应并到达无锡市新吴生态环境局</w:t>
      </w:r>
      <w:r>
        <w:rPr>
          <w:rFonts w:hint="eastAsia" w:ascii="宋体" w:hAnsi="宋体" w:cs="宋体"/>
          <w:color w:val="auto"/>
          <w:sz w:val="24"/>
          <w:highlight w:val="none"/>
          <w:lang w:eastAsia="zh-CN"/>
        </w:rPr>
        <w:t>（</w:t>
      </w:r>
      <w:r>
        <w:rPr>
          <w:rFonts w:hint="eastAsia" w:ascii="宋体" w:hAnsi="宋体" w:cs="宋体"/>
          <w:color w:val="auto"/>
          <w:sz w:val="24"/>
          <w:highlight w:val="none"/>
        </w:rPr>
        <w:t>无锡市新吴区净慧东道70号</w:t>
      </w:r>
      <w:r>
        <w:rPr>
          <w:rFonts w:hint="eastAsia" w:ascii="宋体" w:hAnsi="宋体" w:cs="宋体"/>
          <w:color w:val="auto"/>
          <w:sz w:val="24"/>
          <w:highlight w:val="none"/>
          <w:lang w:eastAsia="zh-CN"/>
        </w:rPr>
        <w:t>）</w:t>
      </w:r>
      <w:r>
        <w:rPr>
          <w:rFonts w:hint="eastAsia" w:ascii="宋体" w:hAnsi="宋体" w:cs="宋体"/>
          <w:color w:val="auto"/>
          <w:sz w:val="24"/>
          <w:highlight w:val="none"/>
        </w:rPr>
        <w:t>的时间：30分钟</w:t>
      </w:r>
      <w:r>
        <w:rPr>
          <w:rFonts w:hint="eastAsia" w:ascii="宋体" w:hAnsi="宋体" w:cs="宋体"/>
          <w:color w:val="auto"/>
          <w:sz w:val="24"/>
          <w:highlight w:val="none"/>
          <w:lang w:eastAsia="zh-CN"/>
        </w:rPr>
        <w:t>（</w:t>
      </w:r>
      <w:r>
        <w:rPr>
          <w:rFonts w:hint="eastAsia" w:ascii="宋体" w:hAnsi="宋体" w:cs="宋体"/>
          <w:color w:val="auto"/>
          <w:sz w:val="24"/>
          <w:highlight w:val="none"/>
        </w:rPr>
        <w:t>含30</w:t>
      </w:r>
      <w:r>
        <w:rPr>
          <w:rFonts w:hint="eastAsia" w:ascii="宋体" w:hAnsi="宋体" w:cs="宋体"/>
          <w:color w:val="auto"/>
          <w:sz w:val="24"/>
          <w:highlight w:val="none"/>
          <w:lang w:eastAsia="zh-CN"/>
        </w:rPr>
        <w:t>）</w:t>
      </w:r>
      <w:r>
        <w:rPr>
          <w:rFonts w:hint="eastAsia" w:ascii="宋体" w:hAnsi="宋体" w:cs="宋体"/>
          <w:color w:val="auto"/>
          <w:sz w:val="24"/>
          <w:highlight w:val="none"/>
        </w:rPr>
        <w:t>之内的得3分，60分钟</w:t>
      </w:r>
      <w:r>
        <w:rPr>
          <w:rFonts w:hint="eastAsia" w:ascii="宋体" w:hAnsi="宋体" w:cs="宋体"/>
          <w:color w:val="auto"/>
          <w:sz w:val="24"/>
          <w:highlight w:val="none"/>
          <w:lang w:eastAsia="zh-CN"/>
        </w:rPr>
        <w:t>（</w:t>
      </w:r>
      <w:r>
        <w:rPr>
          <w:rFonts w:hint="eastAsia" w:ascii="宋体" w:hAnsi="宋体" w:cs="宋体"/>
          <w:color w:val="auto"/>
          <w:sz w:val="24"/>
          <w:highlight w:val="none"/>
        </w:rPr>
        <w:t>含60</w:t>
      </w:r>
      <w:r>
        <w:rPr>
          <w:rFonts w:hint="eastAsia" w:ascii="宋体" w:hAnsi="宋体" w:cs="宋体"/>
          <w:color w:val="auto"/>
          <w:sz w:val="24"/>
          <w:highlight w:val="none"/>
          <w:lang w:eastAsia="zh-CN"/>
        </w:rPr>
        <w:t>）</w:t>
      </w:r>
      <w:r>
        <w:rPr>
          <w:rFonts w:hint="eastAsia" w:ascii="宋体" w:hAnsi="宋体" w:cs="宋体"/>
          <w:color w:val="auto"/>
          <w:sz w:val="24"/>
          <w:highlight w:val="none"/>
        </w:rPr>
        <w:t>之内的得2分，90分钟</w:t>
      </w:r>
      <w:r>
        <w:rPr>
          <w:rFonts w:hint="eastAsia" w:ascii="宋体" w:hAnsi="宋体" w:cs="宋体"/>
          <w:color w:val="auto"/>
          <w:sz w:val="24"/>
          <w:highlight w:val="none"/>
          <w:lang w:eastAsia="zh-CN"/>
        </w:rPr>
        <w:t>（</w:t>
      </w:r>
      <w:r>
        <w:rPr>
          <w:rFonts w:hint="eastAsia" w:ascii="宋体" w:hAnsi="宋体" w:cs="宋体"/>
          <w:color w:val="auto"/>
          <w:sz w:val="24"/>
          <w:highlight w:val="none"/>
        </w:rPr>
        <w:t>含</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0</w:t>
      </w:r>
      <w:r>
        <w:rPr>
          <w:rFonts w:hint="eastAsia" w:ascii="宋体" w:hAnsi="宋体" w:cs="宋体"/>
          <w:color w:val="auto"/>
          <w:sz w:val="24"/>
          <w:highlight w:val="none"/>
          <w:lang w:eastAsia="zh-CN"/>
        </w:rPr>
        <w:t>）</w:t>
      </w:r>
      <w:r>
        <w:rPr>
          <w:rFonts w:hint="eastAsia" w:ascii="宋体" w:hAnsi="宋体" w:cs="宋体"/>
          <w:color w:val="auto"/>
          <w:sz w:val="24"/>
          <w:highlight w:val="none"/>
        </w:rPr>
        <w:t>之内的得1分，超过90分钟不得分，本项最高得3分【</w:t>
      </w:r>
      <w:r>
        <w:rPr>
          <w:rFonts w:hint="eastAsia" w:ascii="宋体" w:hAnsi="宋体" w:cs="宋体"/>
          <w:color w:val="auto"/>
          <w:sz w:val="24"/>
          <w:highlight w:val="none"/>
          <w:lang w:val="en-US" w:eastAsia="zh-CN"/>
        </w:rPr>
        <w:t>提供承诺书（格式自拟）</w:t>
      </w:r>
      <w:r>
        <w:rPr>
          <w:rFonts w:hint="eastAsia" w:ascii="宋体" w:hAnsi="宋体" w:eastAsia="宋体" w:cs="宋体"/>
          <w:color w:val="auto"/>
          <w:sz w:val="24"/>
          <w:highlight w:val="none"/>
        </w:rPr>
        <w:t>上传至电子投标文件，未按要求提供不得分】</w:t>
      </w:r>
    </w:p>
    <w:p w14:paraId="00D793F8">
      <w:pPr>
        <w:tabs>
          <w:tab w:val="left" w:pos="945"/>
          <w:tab w:val="left" w:pos="1155"/>
          <w:tab w:val="left" w:pos="2250"/>
        </w:tabs>
        <w:spacing w:line="360" w:lineRule="auto"/>
        <w:ind w:firstLine="48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2）司法鉴定类意见出具时限</w:t>
      </w:r>
      <w:r>
        <w:rPr>
          <w:rFonts w:hint="eastAsia" w:ascii="宋体" w:hAnsi="宋体" w:cs="宋体"/>
          <w:color w:val="auto"/>
          <w:sz w:val="24"/>
          <w:highlight w:val="none"/>
          <w:lang w:eastAsia="zh-CN"/>
        </w:rPr>
        <w:t>（</w:t>
      </w:r>
      <w:r>
        <w:rPr>
          <w:rFonts w:hint="eastAsia" w:ascii="宋体" w:hAnsi="宋体" w:cs="宋体"/>
          <w:color w:val="auto"/>
          <w:sz w:val="24"/>
          <w:highlight w:val="none"/>
        </w:rPr>
        <w:t>1分</w:t>
      </w:r>
      <w:r>
        <w:rPr>
          <w:rFonts w:hint="eastAsia" w:ascii="宋体" w:hAnsi="宋体" w:cs="宋体"/>
          <w:color w:val="auto"/>
          <w:sz w:val="24"/>
          <w:highlight w:val="none"/>
          <w:lang w:eastAsia="zh-CN"/>
        </w:rPr>
        <w:t>）</w:t>
      </w:r>
      <w:r>
        <w:rPr>
          <w:rFonts w:hint="eastAsia" w:ascii="宋体" w:hAnsi="宋体" w:cs="宋体"/>
          <w:color w:val="auto"/>
          <w:sz w:val="24"/>
          <w:highlight w:val="none"/>
        </w:rPr>
        <w:t>，自采样之日起1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个工作日内完成司法鉴定类意见编制出具的得1分，超过1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个工作日不得分，本项最高得1分【</w:t>
      </w:r>
      <w:r>
        <w:rPr>
          <w:rFonts w:hint="eastAsia" w:ascii="宋体" w:hAnsi="宋体" w:cs="宋体"/>
          <w:color w:val="auto"/>
          <w:sz w:val="24"/>
          <w:highlight w:val="none"/>
          <w:lang w:val="en-US" w:eastAsia="zh-CN"/>
        </w:rPr>
        <w:t>提供承诺书（格式自拟）上传至</w:t>
      </w:r>
      <w:r>
        <w:rPr>
          <w:rFonts w:hint="eastAsia" w:ascii="宋体" w:hAnsi="宋体" w:cs="宋体"/>
          <w:color w:val="auto"/>
          <w:sz w:val="24"/>
          <w:highlight w:val="none"/>
        </w:rPr>
        <w:t>电子投标文件，未按要求提供不得分】</w:t>
      </w:r>
    </w:p>
    <w:p w14:paraId="7315EADF">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3.技术文件（</w:t>
      </w:r>
      <w:r>
        <w:rPr>
          <w:rFonts w:hint="eastAsia" w:ascii="宋体" w:hAnsi="宋体" w:eastAsia="宋体" w:cs="宋体"/>
          <w:b/>
          <w:bCs/>
          <w:color w:val="auto"/>
          <w:sz w:val="24"/>
          <w:highlight w:val="none"/>
          <w:lang w:val="en-US" w:eastAsia="zh-CN"/>
        </w:rPr>
        <w:t>40</w:t>
      </w:r>
      <w:r>
        <w:rPr>
          <w:rFonts w:hint="eastAsia" w:ascii="宋体" w:hAnsi="宋体" w:eastAsia="宋体" w:cs="宋体"/>
          <w:b/>
          <w:bCs/>
          <w:color w:val="auto"/>
          <w:sz w:val="24"/>
          <w:highlight w:val="none"/>
        </w:rPr>
        <w:t>分）</w:t>
      </w:r>
    </w:p>
    <w:p w14:paraId="579AFAC4">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监测实施方案（</w:t>
      </w: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分）</w:t>
      </w:r>
    </w:p>
    <w:p w14:paraId="7A3DE7DE">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①前期准备（</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p w14:paraId="464FA67B">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②监测方案（</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p w14:paraId="066E3599">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③现场监测（</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p w14:paraId="1F58EB0E">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④报告与结论（</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p w14:paraId="2319085A">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注：根据投标供应商为执法监测项目提供的实施方案的完整性、可行性等情况酌情评分：方案内容清晰、合理、详细、全面、针对性强、操作性强得</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分；方案内容清晰、合理、详细、全面得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分；方案内容不够完整基本满足要求的得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分；方案内容有重大缺陷或未作说明的不得分。</w:t>
      </w:r>
    </w:p>
    <w:p w14:paraId="6E16E475">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质控措施及服务承诺（</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5F760D85">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①质量控制图（</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58A88997">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②采样时质量控制（</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7A7740E7">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③分析时质量控制（</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4F103B70">
      <w:pPr>
        <w:keepNext w:val="0"/>
        <w:keepLines w:val="0"/>
        <w:pageBreakBefore w:val="0"/>
        <w:widowControl w:val="0"/>
        <w:tabs>
          <w:tab w:val="left" w:pos="945"/>
          <w:tab w:val="left" w:pos="1155"/>
          <w:tab w:val="left" w:pos="2250"/>
        </w:tabs>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④评价标准（</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446E30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注：根据各投标供应商编制的执法单位监测全过程中质量管理和质量控制措施，酌情评分。内容清晰、合理、详细、全面、针对性强、操作性强得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分；方案内容清晰、合理、详细、全面得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分；方案内容不够完整基本满足要求的得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分；方案内容有重大缺陷或未作说明的不得分。</w:t>
      </w:r>
    </w:p>
    <w:p w14:paraId="3B145D96">
      <w:pPr>
        <w:pStyle w:val="18"/>
        <w:ind w:firstLine="482" w:firstLineChars="200"/>
        <w:rPr>
          <w:rFonts w:hint="eastAsia"/>
          <w:color w:val="auto"/>
          <w:highlight w:val="none"/>
        </w:rPr>
        <w:sectPr>
          <w:headerReference r:id="rId3" w:type="default"/>
          <w:footerReference r:id="rId4" w:type="default"/>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pPr>
      <w:r>
        <w:rPr>
          <w:rFonts w:hint="eastAsia" w:ascii="宋体" w:hAnsi="宋体" w:eastAsia="宋体" w:cs="宋体"/>
          <w:b/>
          <w:bCs/>
          <w:color w:val="auto"/>
          <w:kern w:val="0"/>
          <w:sz w:val="24"/>
          <w:szCs w:val="24"/>
          <w:highlight w:val="none"/>
          <w:shd w:val="clear" w:fill="FFFFFF"/>
          <w:lang w:val="en-US" w:eastAsia="zh-CN" w:bidi="ar"/>
        </w:rPr>
        <w:t>未列入本评分细则的其他条件不作为评分内容。</w:t>
      </w:r>
    </w:p>
    <w:p w14:paraId="525782C5">
      <w:pPr>
        <w:tabs>
          <w:tab w:val="left" w:pos="1401"/>
        </w:tabs>
        <w:spacing w:line="360" w:lineRule="auto"/>
        <w:jc w:val="left"/>
        <w:rPr>
          <w:rFonts w:ascii="黑体" w:eastAsia="黑体"/>
          <w:bCs/>
          <w:color w:val="auto"/>
          <w:sz w:val="24"/>
          <w:szCs w:val="24"/>
          <w:highlight w:val="none"/>
        </w:rPr>
      </w:pPr>
      <w:r>
        <w:rPr>
          <w:rFonts w:hint="eastAsia" w:ascii="黑体" w:eastAsia="黑体"/>
          <w:bCs/>
          <w:color w:val="auto"/>
          <w:sz w:val="24"/>
          <w:szCs w:val="24"/>
          <w:highlight w:val="none"/>
        </w:rPr>
        <w:t>附件二：投标文件格式</w:t>
      </w:r>
    </w:p>
    <w:p w14:paraId="7BAB16AB">
      <w:pPr>
        <w:rPr>
          <w:rFonts w:ascii="黑体" w:eastAsia="黑体"/>
          <w:bCs/>
          <w:color w:val="auto"/>
          <w:sz w:val="32"/>
          <w:highlight w:val="none"/>
        </w:rPr>
      </w:pPr>
    </w:p>
    <w:p w14:paraId="65023D87">
      <w:pPr>
        <w:pStyle w:val="211"/>
        <w:rPr>
          <w:rFonts w:ascii="黑体" w:eastAsia="黑体"/>
          <w:color w:val="auto"/>
          <w:sz w:val="32"/>
          <w:highlight w:val="none"/>
        </w:rPr>
      </w:pPr>
    </w:p>
    <w:p w14:paraId="1D55D755">
      <w:pPr>
        <w:pStyle w:val="211"/>
        <w:rPr>
          <w:rFonts w:ascii="黑体" w:eastAsia="黑体"/>
          <w:color w:val="auto"/>
          <w:sz w:val="32"/>
          <w:highlight w:val="none"/>
        </w:rPr>
      </w:pPr>
    </w:p>
    <w:p w14:paraId="130D48F3">
      <w:pPr>
        <w:pStyle w:val="211"/>
        <w:rPr>
          <w:rFonts w:ascii="黑体" w:eastAsia="黑体"/>
          <w:color w:val="auto"/>
          <w:sz w:val="32"/>
          <w:highlight w:val="none"/>
        </w:rPr>
      </w:pPr>
    </w:p>
    <w:p w14:paraId="3E5A5FC4">
      <w:pPr>
        <w:pStyle w:val="211"/>
        <w:rPr>
          <w:rFonts w:ascii="黑体" w:eastAsia="黑体"/>
          <w:color w:val="auto"/>
          <w:sz w:val="32"/>
          <w:highlight w:val="none"/>
        </w:rPr>
      </w:pPr>
    </w:p>
    <w:p w14:paraId="0B7600D5">
      <w:pPr>
        <w:pStyle w:val="211"/>
        <w:rPr>
          <w:rFonts w:ascii="黑体" w:eastAsia="黑体"/>
          <w:color w:val="auto"/>
          <w:sz w:val="32"/>
          <w:highlight w:val="none"/>
        </w:rPr>
      </w:pPr>
    </w:p>
    <w:p w14:paraId="7FA023C8">
      <w:pPr>
        <w:pStyle w:val="211"/>
        <w:rPr>
          <w:rFonts w:ascii="黑体" w:eastAsia="黑体"/>
          <w:color w:val="auto"/>
          <w:sz w:val="32"/>
          <w:highlight w:val="none"/>
        </w:rPr>
      </w:pPr>
    </w:p>
    <w:p w14:paraId="022BD931">
      <w:pPr>
        <w:rPr>
          <w:rFonts w:ascii="黑体" w:eastAsia="黑体"/>
          <w:bCs/>
          <w:color w:val="auto"/>
          <w:sz w:val="32"/>
          <w:highlight w:val="none"/>
        </w:rPr>
      </w:pPr>
    </w:p>
    <w:p w14:paraId="28A3E7F6">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46B9F394">
      <w:pPr>
        <w:jc w:val="center"/>
        <w:rPr>
          <w:rFonts w:ascii="黑体" w:eastAsia="黑体"/>
          <w:bCs/>
          <w:color w:val="auto"/>
          <w:sz w:val="72"/>
          <w:highlight w:val="none"/>
        </w:rPr>
      </w:pPr>
    </w:p>
    <w:p w14:paraId="310FD7FF">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5469C5ED">
      <w:pPr>
        <w:jc w:val="center"/>
        <w:rPr>
          <w:rFonts w:ascii="黑体" w:eastAsia="黑体"/>
          <w:bCs/>
          <w:color w:val="auto"/>
          <w:sz w:val="72"/>
          <w:highlight w:val="none"/>
        </w:rPr>
      </w:pPr>
    </w:p>
    <w:p w14:paraId="6D69BFFE">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45988BF9">
      <w:pPr>
        <w:jc w:val="center"/>
        <w:rPr>
          <w:rFonts w:ascii="黑体" w:eastAsia="黑体"/>
          <w:bCs/>
          <w:color w:val="auto"/>
          <w:sz w:val="52"/>
          <w:szCs w:val="52"/>
          <w:highlight w:val="none"/>
        </w:rPr>
      </w:pPr>
    </w:p>
    <w:p w14:paraId="71EF7CDF">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3EAE5564">
      <w:pPr>
        <w:rPr>
          <w:rFonts w:ascii="楷体_GB2312" w:eastAsia="楷体_GB2312"/>
          <w:bCs/>
          <w:color w:val="auto"/>
          <w:sz w:val="72"/>
          <w:highlight w:val="none"/>
        </w:rPr>
      </w:pPr>
    </w:p>
    <w:p w14:paraId="028E22D3">
      <w:pPr>
        <w:rPr>
          <w:rFonts w:ascii="楷体_GB2312" w:eastAsia="楷体_GB2312"/>
          <w:bCs/>
          <w:color w:val="auto"/>
          <w:sz w:val="28"/>
          <w:highlight w:val="none"/>
        </w:rPr>
      </w:pPr>
    </w:p>
    <w:p w14:paraId="63B74560">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JSZC-320214-JSZH-G2026-0029</w:t>
      </w:r>
    </w:p>
    <w:p w14:paraId="40499E71">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无锡市新吴区2026年执法监测服务采购项目（</w:t>
      </w:r>
      <w:r>
        <w:rPr>
          <w:rFonts w:hint="eastAsia" w:ascii="黑体" w:eastAsia="黑体"/>
          <w:bCs/>
          <w:color w:val="auto"/>
          <w:sz w:val="28"/>
          <w:szCs w:val="28"/>
          <w:highlight w:val="none"/>
          <w:lang w:val="en-US" w:eastAsia="zh-CN"/>
        </w:rPr>
        <w:t xml:space="preserve">  标段</w:t>
      </w:r>
      <w:r>
        <w:rPr>
          <w:rFonts w:hint="eastAsia" w:ascii="黑体" w:eastAsia="黑体"/>
          <w:bCs/>
          <w:color w:val="auto"/>
          <w:sz w:val="28"/>
          <w:szCs w:val="28"/>
          <w:highlight w:val="none"/>
          <w:lang w:eastAsia="zh-CN"/>
        </w:rPr>
        <w:t>）</w:t>
      </w:r>
    </w:p>
    <w:p w14:paraId="0F75C1E0">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3E0372EC">
      <w:pPr>
        <w:rPr>
          <w:rFonts w:ascii="黑体" w:eastAsia="黑体"/>
          <w:bCs/>
          <w:color w:val="auto"/>
          <w:sz w:val="32"/>
          <w:highlight w:val="none"/>
        </w:rPr>
      </w:pPr>
    </w:p>
    <w:p w14:paraId="59B63270">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二〇二</w:t>
      </w:r>
      <w:r>
        <w:rPr>
          <w:rFonts w:hint="eastAsia" w:ascii="黑体" w:eastAsia="黑体"/>
          <w:bCs/>
          <w:color w:val="auto"/>
          <w:sz w:val="36"/>
          <w:szCs w:val="36"/>
          <w:highlight w:val="none"/>
          <w:lang w:val="en-US" w:eastAsia="zh-CN"/>
        </w:rPr>
        <w:t>六</w:t>
      </w:r>
      <w:r>
        <w:rPr>
          <w:rFonts w:hint="eastAsia" w:ascii="黑体" w:eastAsia="黑体"/>
          <w:bCs/>
          <w:color w:val="auto"/>
          <w:sz w:val="36"/>
          <w:szCs w:val="36"/>
          <w:highlight w:val="none"/>
        </w:rPr>
        <w:t>年  月  日</w:t>
      </w:r>
    </w:p>
    <w:p w14:paraId="1AE9018F">
      <w:pPr>
        <w:rPr>
          <w:rFonts w:ascii="黑体" w:hAnsi="宋体" w:eastAsia="黑体"/>
          <w:bCs/>
          <w:color w:val="auto"/>
          <w:sz w:val="24"/>
          <w:szCs w:val="24"/>
          <w:highlight w:val="none"/>
        </w:rPr>
      </w:pPr>
      <w:bookmarkStart w:id="14" w:name="一．报价函（格式）"/>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400C08AE">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48D34CD9">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745B6F85">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招标文件，经仔细阅读和研究，我方决定参加此项目的投标。</w:t>
      </w:r>
    </w:p>
    <w:p w14:paraId="20EFDEAB">
      <w:pPr>
        <w:numPr>
          <w:ilvl w:val="0"/>
          <w:numId w:val="14"/>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0F0F0BBE">
      <w:pPr>
        <w:numPr>
          <w:ilvl w:val="0"/>
          <w:numId w:val="14"/>
        </w:numPr>
        <w:tabs>
          <w:tab w:val="left" w:pos="0"/>
          <w:tab w:val="left" w:pos="315"/>
          <w:tab w:val="left" w:pos="525"/>
          <w:tab w:val="left" w:pos="840"/>
          <w:tab w:val="left" w:pos="945"/>
          <w:tab w:val="left" w:pos="1050"/>
        </w:tabs>
        <w:spacing w:line="360" w:lineRule="auto"/>
        <w:ind w:left="0" w:firstLine="523"/>
        <w:rPr>
          <w:rStyle w:val="201"/>
          <w:bCs/>
          <w:color w:val="auto"/>
          <w:highlight w:val="none"/>
        </w:rPr>
      </w:pPr>
      <w:r>
        <w:rPr>
          <w:rFonts w:hint="eastAsia" w:ascii="宋体" w:hAnsi="宋体"/>
          <w:bCs/>
          <w:color w:val="auto"/>
          <w:sz w:val="24"/>
          <w:szCs w:val="24"/>
          <w:highlight w:val="none"/>
        </w:rPr>
        <w:t>我方愿意提供江苏智汇锡建工程项目管理有限公司在招标文件中要求的文件、资料。</w:t>
      </w:r>
    </w:p>
    <w:p w14:paraId="33B80482">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6A83F6EE">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03392432">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274C690C">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C2502E2">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23A33515">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09A2E9FE">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0DC641BB">
      <w:pPr>
        <w:numPr>
          <w:ilvl w:val="0"/>
          <w:numId w:val="14"/>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C97DFB7">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42056B38">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68ECB659">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00485A69">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4CDFAA94">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6C20C162">
      <w:pPr>
        <w:spacing w:line="360" w:lineRule="auto"/>
        <w:rPr>
          <w:rFonts w:ascii="黑体" w:eastAsia="黑体"/>
          <w:bCs/>
          <w:color w:val="auto"/>
          <w:sz w:val="36"/>
          <w:highlight w:val="none"/>
        </w:rPr>
      </w:pPr>
    </w:p>
    <w:p w14:paraId="47A7C692">
      <w:pPr>
        <w:jc w:val="center"/>
        <w:rPr>
          <w:rFonts w:ascii="黑体" w:eastAsia="黑体"/>
          <w:bCs/>
          <w:color w:val="auto"/>
          <w:sz w:val="28"/>
          <w:szCs w:val="28"/>
          <w:highlight w:val="none"/>
        </w:rPr>
      </w:pPr>
      <w:bookmarkStart w:id="15" w:name="报价方关于资格的声明函（格式）"/>
      <w:bookmarkEnd w:id="15"/>
      <w:r>
        <w:rPr>
          <w:rFonts w:hint="eastAsia" w:ascii="黑体" w:eastAsia="黑体"/>
          <w:bCs/>
          <w:color w:val="auto"/>
          <w:sz w:val="28"/>
          <w:szCs w:val="28"/>
          <w:highlight w:val="none"/>
        </w:rPr>
        <w:t>关于资格的声明函</w:t>
      </w:r>
    </w:p>
    <w:p w14:paraId="0F6C605E">
      <w:pPr>
        <w:jc w:val="center"/>
        <w:rPr>
          <w:rFonts w:ascii="黑体" w:eastAsia="黑体"/>
          <w:bCs/>
          <w:color w:val="auto"/>
          <w:sz w:val="32"/>
          <w:highlight w:val="none"/>
        </w:rPr>
      </w:pPr>
    </w:p>
    <w:p w14:paraId="200CB733">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49F00C6B">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65F5064A">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63E81472">
      <w:pPr>
        <w:spacing w:line="480" w:lineRule="auto"/>
        <w:rPr>
          <w:rFonts w:ascii="宋体"/>
          <w:bCs/>
          <w:color w:val="auto"/>
          <w:sz w:val="24"/>
          <w:szCs w:val="24"/>
          <w:highlight w:val="none"/>
        </w:rPr>
      </w:pPr>
    </w:p>
    <w:p w14:paraId="412DE9C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72B7C18F">
      <w:pPr>
        <w:spacing w:line="480" w:lineRule="auto"/>
        <w:rPr>
          <w:rFonts w:ascii="宋体"/>
          <w:bCs/>
          <w:color w:val="auto"/>
          <w:sz w:val="24"/>
          <w:szCs w:val="24"/>
          <w:highlight w:val="none"/>
        </w:rPr>
      </w:pPr>
    </w:p>
    <w:p w14:paraId="28718A5D">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6C441E4C">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277A8EA2">
      <w:pPr>
        <w:spacing w:line="480" w:lineRule="auto"/>
        <w:rPr>
          <w:rFonts w:ascii="宋体"/>
          <w:bCs/>
          <w:color w:val="auto"/>
          <w:sz w:val="24"/>
          <w:szCs w:val="24"/>
          <w:highlight w:val="none"/>
        </w:rPr>
      </w:pPr>
    </w:p>
    <w:p w14:paraId="6640C5BF">
      <w:pPr>
        <w:ind w:firstLine="480"/>
        <w:rPr>
          <w:rFonts w:ascii="黑体" w:hAnsi="宋体" w:eastAsia="黑体"/>
          <w:bCs/>
          <w:color w:val="auto"/>
          <w:sz w:val="24"/>
          <w:szCs w:val="24"/>
          <w:highlight w:val="none"/>
        </w:rPr>
      </w:pPr>
    </w:p>
    <w:p w14:paraId="79744D08">
      <w:pPr>
        <w:ind w:firstLine="480"/>
        <w:rPr>
          <w:rFonts w:ascii="黑体" w:hAnsi="宋体" w:eastAsia="黑体"/>
          <w:bCs/>
          <w:color w:val="auto"/>
          <w:sz w:val="24"/>
          <w:szCs w:val="24"/>
          <w:highlight w:val="none"/>
        </w:rPr>
      </w:pPr>
    </w:p>
    <w:p w14:paraId="7E633B2B">
      <w:pPr>
        <w:ind w:firstLine="480"/>
        <w:rPr>
          <w:rFonts w:ascii="黑体" w:hAnsi="宋体" w:eastAsia="黑体"/>
          <w:bCs/>
          <w:color w:val="auto"/>
          <w:sz w:val="24"/>
          <w:szCs w:val="24"/>
          <w:highlight w:val="none"/>
        </w:rPr>
      </w:pPr>
    </w:p>
    <w:p w14:paraId="6D0C4EBB">
      <w:pPr>
        <w:ind w:firstLine="480"/>
        <w:rPr>
          <w:rFonts w:ascii="黑体" w:hAnsi="宋体" w:eastAsia="黑体"/>
          <w:bCs/>
          <w:color w:val="auto"/>
          <w:sz w:val="24"/>
          <w:szCs w:val="24"/>
          <w:highlight w:val="none"/>
        </w:rPr>
      </w:pPr>
    </w:p>
    <w:p w14:paraId="3755A0B1">
      <w:pPr>
        <w:ind w:firstLine="480"/>
        <w:rPr>
          <w:rFonts w:ascii="黑体" w:hAnsi="宋体" w:eastAsia="黑体"/>
          <w:bCs/>
          <w:color w:val="auto"/>
          <w:sz w:val="24"/>
          <w:szCs w:val="24"/>
          <w:highlight w:val="none"/>
        </w:rPr>
      </w:pPr>
    </w:p>
    <w:p w14:paraId="282166B1">
      <w:pPr>
        <w:ind w:firstLine="480"/>
        <w:rPr>
          <w:rFonts w:ascii="黑体" w:hAnsi="宋体" w:eastAsia="黑体"/>
          <w:bCs/>
          <w:color w:val="auto"/>
          <w:sz w:val="24"/>
          <w:szCs w:val="24"/>
          <w:highlight w:val="none"/>
        </w:rPr>
      </w:pPr>
    </w:p>
    <w:p w14:paraId="2D687C66">
      <w:pPr>
        <w:ind w:firstLine="480"/>
        <w:rPr>
          <w:rFonts w:ascii="黑体" w:hAnsi="宋体" w:eastAsia="黑体"/>
          <w:bCs/>
          <w:color w:val="auto"/>
          <w:sz w:val="24"/>
          <w:szCs w:val="24"/>
          <w:highlight w:val="none"/>
        </w:rPr>
      </w:pPr>
    </w:p>
    <w:p w14:paraId="651993B3">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58361515">
      <w:pPr>
        <w:ind w:firstLine="480"/>
        <w:rPr>
          <w:rFonts w:ascii="黑体" w:hAnsi="宋体" w:eastAsia="黑体"/>
          <w:bCs/>
          <w:color w:val="auto"/>
          <w:sz w:val="24"/>
          <w:szCs w:val="24"/>
          <w:highlight w:val="none"/>
        </w:rPr>
      </w:pPr>
    </w:p>
    <w:p w14:paraId="398EA8E0">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383D9E33">
      <w:pPr>
        <w:rPr>
          <w:rFonts w:ascii="黑体" w:eastAsia="黑体"/>
          <w:bCs/>
          <w:color w:val="auto"/>
          <w:sz w:val="28"/>
          <w:szCs w:val="28"/>
          <w:highlight w:val="none"/>
        </w:rPr>
      </w:pPr>
    </w:p>
    <w:p w14:paraId="13746836">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5443A2EE">
      <w:pPr>
        <w:spacing w:line="360" w:lineRule="auto"/>
        <w:jc w:val="center"/>
        <w:rPr>
          <w:rFonts w:ascii="楷体_GB2312" w:eastAsia="楷体_GB2312"/>
          <w:bCs/>
          <w:color w:val="auto"/>
          <w:sz w:val="36"/>
          <w:highlight w:val="none"/>
        </w:rPr>
      </w:pPr>
    </w:p>
    <w:p w14:paraId="676F8D6F">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2D9158EC">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EDD3F8D">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无锡市新吴生态环境局</w:t>
      </w:r>
      <w:r>
        <w:rPr>
          <w:rFonts w:hint="eastAsia" w:ascii="宋体" w:hAnsi="宋体"/>
          <w:bCs/>
          <w:color w:val="auto"/>
          <w:sz w:val="24"/>
          <w:szCs w:val="24"/>
          <w:highlight w:val="none"/>
        </w:rPr>
        <w:t>：</w:t>
      </w:r>
    </w:p>
    <w:p w14:paraId="7A759CC0">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）的投标、参与开标、评标、签约等具体工作，并签署全部有关的文件、协议及合同。</w:t>
      </w:r>
    </w:p>
    <w:p w14:paraId="6D02A48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3EF2A017">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6F239040">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A2B71FA">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2B75EB77">
      <w:pPr>
        <w:spacing w:line="580" w:lineRule="exact"/>
        <w:ind w:firstLine="3240"/>
        <w:rPr>
          <w:rFonts w:ascii="宋体"/>
          <w:bCs/>
          <w:color w:val="auto"/>
          <w:sz w:val="24"/>
          <w:szCs w:val="24"/>
          <w:highlight w:val="none"/>
        </w:rPr>
      </w:pPr>
    </w:p>
    <w:p w14:paraId="73A0D0BE">
      <w:pPr>
        <w:spacing w:line="580" w:lineRule="exact"/>
        <w:ind w:firstLine="3240"/>
        <w:rPr>
          <w:rFonts w:ascii="宋体"/>
          <w:bCs/>
          <w:color w:val="auto"/>
          <w:sz w:val="24"/>
          <w:szCs w:val="24"/>
          <w:highlight w:val="none"/>
        </w:rPr>
      </w:pPr>
    </w:p>
    <w:p w14:paraId="371328F9">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61CB9ACA">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3603619C">
      <w:pPr>
        <w:spacing w:line="580" w:lineRule="exact"/>
        <w:ind w:firstLine="420"/>
        <w:rPr>
          <w:rFonts w:ascii="宋体"/>
          <w:bCs/>
          <w:color w:val="auto"/>
          <w:sz w:val="24"/>
          <w:szCs w:val="24"/>
          <w:highlight w:val="none"/>
        </w:rPr>
      </w:pPr>
    </w:p>
    <w:p w14:paraId="13481CDF">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521A2D3F">
      <w:pPr>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0F9757C">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E9D69F0">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2B7A580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44A3158">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0AA7CE8E">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6F5AFA9">
      <w:pPr>
        <w:rPr>
          <w:rFonts w:ascii="黑体" w:hAnsi="宋体" w:eastAsia="黑体"/>
          <w:bCs/>
          <w:color w:val="auto"/>
          <w:sz w:val="24"/>
          <w:szCs w:val="24"/>
          <w:highlight w:val="none"/>
        </w:rPr>
      </w:pPr>
    </w:p>
    <w:p w14:paraId="22F6A206">
      <w:pPr>
        <w:rPr>
          <w:rFonts w:ascii="黑体" w:hAnsi="宋体" w:eastAsia="黑体"/>
          <w:bCs/>
          <w:color w:val="auto"/>
          <w:sz w:val="24"/>
          <w:szCs w:val="24"/>
          <w:highlight w:val="none"/>
        </w:rPr>
      </w:pPr>
    </w:p>
    <w:p w14:paraId="65E2C3A0">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08FE42C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619113C7">
      <w:pPr>
        <w:spacing w:line="360" w:lineRule="auto"/>
        <w:rPr>
          <w:rFonts w:ascii="宋体" w:hAnsi="宋体"/>
          <w:bCs/>
          <w:color w:val="auto"/>
          <w:sz w:val="24"/>
          <w:szCs w:val="24"/>
          <w:highlight w:val="none"/>
        </w:rPr>
      </w:pPr>
    </w:p>
    <w:p w14:paraId="614DC009">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4FCA8511">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0E07919E">
      <w:pPr>
        <w:ind w:firstLine="420"/>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7D87490E">
      <w:pPr>
        <w:spacing w:line="480" w:lineRule="auto"/>
        <w:rPr>
          <w:rFonts w:ascii="宋体"/>
          <w:bCs/>
          <w:color w:val="auto"/>
          <w:sz w:val="24"/>
          <w:szCs w:val="24"/>
          <w:highlight w:val="none"/>
        </w:rPr>
      </w:pPr>
    </w:p>
    <w:p w14:paraId="775DD168">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2B0BAA10">
      <w:pPr>
        <w:jc w:val="center"/>
        <w:rPr>
          <w:rFonts w:ascii="黑体" w:eastAsia="黑体"/>
          <w:bCs/>
          <w:color w:val="auto"/>
          <w:sz w:val="28"/>
          <w:szCs w:val="28"/>
          <w:highlight w:val="none"/>
        </w:rPr>
      </w:pPr>
    </w:p>
    <w:p w14:paraId="710B4B6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9712AA">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C17D2E7">
      <w:pPr>
        <w:spacing w:line="580" w:lineRule="exact"/>
        <w:ind w:firstLine="480"/>
        <w:rPr>
          <w:rFonts w:ascii="宋体" w:hAnsi="宋体"/>
          <w:bCs/>
          <w:color w:val="auto"/>
          <w:sz w:val="24"/>
          <w:szCs w:val="24"/>
          <w:highlight w:val="none"/>
        </w:rPr>
      </w:pPr>
    </w:p>
    <w:p w14:paraId="6F632EA3">
      <w:pPr>
        <w:spacing w:line="580" w:lineRule="exact"/>
        <w:ind w:firstLine="480"/>
        <w:rPr>
          <w:rFonts w:ascii="宋体" w:hAnsi="宋体"/>
          <w:bCs/>
          <w:color w:val="auto"/>
          <w:sz w:val="24"/>
          <w:szCs w:val="24"/>
          <w:highlight w:val="none"/>
        </w:rPr>
      </w:pPr>
    </w:p>
    <w:p w14:paraId="1291664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37CC68DE">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53E18E74">
      <w:pPr>
        <w:ind w:firstLine="480"/>
        <w:rPr>
          <w:rFonts w:ascii="黑体" w:hAnsi="宋体" w:eastAsia="黑体"/>
          <w:bCs/>
          <w:color w:val="auto"/>
          <w:sz w:val="24"/>
          <w:szCs w:val="24"/>
          <w:highlight w:val="none"/>
        </w:rPr>
      </w:pPr>
    </w:p>
    <w:p w14:paraId="2A2D5DAF">
      <w:pPr>
        <w:ind w:firstLine="480"/>
        <w:rPr>
          <w:rFonts w:ascii="黑体" w:hAnsi="宋体" w:eastAsia="黑体"/>
          <w:bCs/>
          <w:color w:val="auto"/>
          <w:sz w:val="24"/>
          <w:szCs w:val="24"/>
          <w:highlight w:val="none"/>
        </w:rPr>
      </w:pPr>
    </w:p>
    <w:p w14:paraId="62E17F2F">
      <w:pPr>
        <w:ind w:firstLine="480"/>
        <w:rPr>
          <w:rFonts w:ascii="黑体" w:hAnsi="宋体" w:eastAsia="黑体"/>
          <w:bCs/>
          <w:color w:val="auto"/>
          <w:sz w:val="24"/>
          <w:szCs w:val="24"/>
          <w:highlight w:val="none"/>
        </w:rPr>
      </w:pPr>
    </w:p>
    <w:p w14:paraId="7468D71F">
      <w:pPr>
        <w:ind w:firstLine="480"/>
        <w:rPr>
          <w:rFonts w:ascii="黑体" w:hAnsi="宋体" w:eastAsia="黑体"/>
          <w:bCs/>
          <w:color w:val="auto"/>
          <w:sz w:val="24"/>
          <w:szCs w:val="24"/>
          <w:highlight w:val="none"/>
        </w:rPr>
      </w:pPr>
    </w:p>
    <w:p w14:paraId="698EE1D2">
      <w:pPr>
        <w:ind w:firstLine="480"/>
        <w:rPr>
          <w:rFonts w:ascii="黑体" w:hAnsi="宋体" w:eastAsia="黑体"/>
          <w:bCs/>
          <w:color w:val="auto"/>
          <w:sz w:val="24"/>
          <w:szCs w:val="24"/>
          <w:highlight w:val="none"/>
        </w:rPr>
      </w:pPr>
    </w:p>
    <w:p w14:paraId="119DBF47">
      <w:pPr>
        <w:ind w:firstLine="480"/>
        <w:rPr>
          <w:rFonts w:ascii="黑体" w:hAnsi="宋体" w:eastAsia="黑体"/>
          <w:bCs/>
          <w:color w:val="auto"/>
          <w:sz w:val="24"/>
          <w:szCs w:val="24"/>
          <w:highlight w:val="none"/>
        </w:rPr>
      </w:pPr>
    </w:p>
    <w:p w14:paraId="764FED56">
      <w:pPr>
        <w:ind w:firstLine="480"/>
        <w:rPr>
          <w:rFonts w:ascii="黑体" w:hAnsi="宋体" w:eastAsia="黑体"/>
          <w:bCs/>
          <w:color w:val="auto"/>
          <w:sz w:val="24"/>
          <w:szCs w:val="24"/>
          <w:highlight w:val="none"/>
        </w:rPr>
      </w:pPr>
    </w:p>
    <w:p w14:paraId="5C02B78C">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w:t>
      </w:r>
      <w:r>
        <w:rPr>
          <w:rFonts w:hint="eastAsia" w:ascii="黑体" w:hAnsi="宋体" w:eastAsia="黑体"/>
          <w:bCs/>
          <w:color w:val="auto"/>
          <w:sz w:val="24"/>
          <w:szCs w:val="24"/>
          <w:highlight w:val="none"/>
          <w:lang w:eastAsia="zh-CN"/>
        </w:rPr>
        <w:t>服务保障承诺书</w:t>
      </w:r>
      <w:r>
        <w:rPr>
          <w:rFonts w:hint="eastAsia" w:ascii="黑体" w:hAnsi="宋体" w:eastAsia="黑体"/>
          <w:bCs/>
          <w:color w:val="auto"/>
          <w:sz w:val="24"/>
          <w:szCs w:val="24"/>
          <w:highlight w:val="none"/>
        </w:rPr>
        <w:t>（格式）：</w:t>
      </w:r>
    </w:p>
    <w:p w14:paraId="03852066">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服务保障承诺书</w:t>
      </w:r>
    </w:p>
    <w:p w14:paraId="7CB7EA50">
      <w:pPr>
        <w:jc w:val="center"/>
        <w:rPr>
          <w:rFonts w:ascii="黑体" w:eastAsia="黑体"/>
          <w:bCs/>
          <w:color w:val="auto"/>
          <w:sz w:val="28"/>
          <w:szCs w:val="28"/>
          <w:highlight w:val="none"/>
        </w:rPr>
      </w:pPr>
    </w:p>
    <w:p w14:paraId="3C469246">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158DF988">
      <w:pPr>
        <w:spacing w:line="480" w:lineRule="auto"/>
        <w:rPr>
          <w:rFonts w:ascii="宋体" w:hAnsi="宋体"/>
          <w:color w:val="auto"/>
          <w:sz w:val="24"/>
          <w:szCs w:val="24"/>
          <w:highlight w:val="none"/>
        </w:rPr>
      </w:pPr>
    </w:p>
    <w:p w14:paraId="214FDFB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JSZC-320214-JSZH-G2026-0029</w:t>
      </w:r>
      <w:r>
        <w:rPr>
          <w:rFonts w:hint="eastAsia" w:ascii="宋体" w:hAnsi="宋体"/>
          <w:bCs/>
          <w:color w:val="auto"/>
          <w:sz w:val="24"/>
          <w:szCs w:val="24"/>
          <w:highlight w:val="none"/>
        </w:rPr>
        <w:t>）所提供的服务符合招标文件要求；</w:t>
      </w:r>
    </w:p>
    <w:p w14:paraId="212FB130">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68B5F55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02"/>
          <w:rFonts w:hint="eastAsia" w:ascii="宋体" w:hAnsi="宋体"/>
          <w:bCs/>
          <w:color w:val="auto"/>
          <w:sz w:val="24"/>
          <w:szCs w:val="24"/>
          <w:highlight w:val="none"/>
        </w:rPr>
        <w:t>www.creditchina.gov.cn</w:t>
      </w:r>
      <w:r>
        <w:rPr>
          <w:rStyle w:val="202"/>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0C8CADC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color w:val="auto"/>
          <w:sz w:val="24"/>
          <w:szCs w:val="24"/>
          <w:highlight w:val="none"/>
        </w:rPr>
        <w:t>本公司（单位</w:t>
      </w:r>
      <w:r>
        <w:rPr>
          <w:rFonts w:hint="eastAsia" w:ascii="宋体" w:hAnsi="宋体" w:eastAsia="宋体" w:cs="Times New Roman"/>
          <w:color w:val="auto"/>
          <w:sz w:val="24"/>
          <w:szCs w:val="24"/>
          <w:highlight w:val="none"/>
        </w:rPr>
        <w:t>）未被市级及以上行政主管部门处罚暂停业务</w:t>
      </w:r>
      <w:r>
        <w:rPr>
          <w:rFonts w:hint="eastAsia" w:ascii="宋体" w:hAnsi="宋体" w:eastAsia="宋体" w:cs="Times New Roman"/>
          <w:color w:val="auto"/>
          <w:sz w:val="24"/>
          <w:szCs w:val="24"/>
          <w:highlight w:val="none"/>
          <w:lang w:eastAsia="zh-CN"/>
        </w:rPr>
        <w:t>；</w:t>
      </w:r>
    </w:p>
    <w:p w14:paraId="5C11E41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w:t>
      </w:r>
    </w:p>
    <w:p w14:paraId="7CAC306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w:t>
      </w:r>
    </w:p>
    <w:p w14:paraId="070FF2D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en-US" w:eastAsia="zh-CN"/>
        </w:rPr>
        <w:t>.</w:t>
      </w:r>
    </w:p>
    <w:p w14:paraId="403A3D6E">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en-US" w:eastAsia="zh-CN"/>
        </w:rPr>
        <w:t>.</w:t>
      </w:r>
    </w:p>
    <w:p w14:paraId="5729B326">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0E7F09DA">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B36CFF2">
      <w:pPr>
        <w:spacing w:line="480" w:lineRule="auto"/>
        <w:rPr>
          <w:rFonts w:ascii="宋体" w:hAnsi="宋体"/>
          <w:bCs/>
          <w:color w:val="auto"/>
          <w:sz w:val="24"/>
          <w:szCs w:val="24"/>
          <w:highlight w:val="none"/>
        </w:rPr>
      </w:pPr>
    </w:p>
    <w:p w14:paraId="39827066">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5B7AAC6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5E032CC6">
      <w:pPr>
        <w:spacing w:line="480" w:lineRule="auto"/>
        <w:ind w:firstLine="480"/>
        <w:rPr>
          <w:rFonts w:ascii="宋体" w:hAnsi="宋体"/>
          <w:bCs/>
          <w:color w:val="auto"/>
          <w:sz w:val="24"/>
          <w:szCs w:val="24"/>
          <w:highlight w:val="none"/>
        </w:rPr>
      </w:pPr>
    </w:p>
    <w:p w14:paraId="24A1F688">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1518C6F8">
      <w:pPr>
        <w:ind w:firstLine="480"/>
        <w:rPr>
          <w:rFonts w:ascii="黑体" w:hAnsi="宋体" w:eastAsia="黑体"/>
          <w:bCs/>
          <w:color w:val="auto"/>
          <w:sz w:val="24"/>
          <w:szCs w:val="24"/>
          <w:highlight w:val="none"/>
        </w:rPr>
      </w:pPr>
    </w:p>
    <w:p w14:paraId="651149DC">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0FDA84B0">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7856ABBA">
      <w:pPr>
        <w:spacing w:line="300" w:lineRule="auto"/>
        <w:rPr>
          <w:rFonts w:ascii="宋体" w:hAnsi="宋体" w:cs="宋体"/>
          <w:color w:val="auto"/>
          <w:highlight w:val="none"/>
        </w:rPr>
      </w:pPr>
    </w:p>
    <w:p w14:paraId="669689B7">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JSZC-320214-JSZH-G2026-0029</w:t>
      </w:r>
    </w:p>
    <w:tbl>
      <w:tblPr>
        <w:tblStyle w:val="37"/>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58039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1DA0F68A">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58DA06A1">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7661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shd w:val="clear" w:color="auto" w:fill="auto"/>
            <w:noWrap/>
            <w:vAlign w:val="center"/>
          </w:tcPr>
          <w:p w14:paraId="71F1C56E">
            <w:pPr>
              <w:pStyle w:val="358"/>
              <w:spacing w:line="400" w:lineRule="exact"/>
              <w:jc w:val="center"/>
              <w:rPr>
                <w:rFonts w:hint="eastAsia" w:hAnsi="宋体"/>
                <w:bCs/>
                <w:color w:val="auto"/>
                <w:szCs w:val="24"/>
                <w:highlight w:val="none"/>
                <w:lang w:eastAsia="zh-CN"/>
              </w:rPr>
            </w:pPr>
            <w:r>
              <w:rPr>
                <w:rFonts w:hint="eastAsia" w:hAnsi="宋体"/>
                <w:bCs/>
                <w:color w:val="auto"/>
                <w:szCs w:val="24"/>
                <w:highlight w:val="none"/>
                <w:lang w:eastAsia="zh-CN"/>
              </w:rPr>
              <w:t>无锡市新吴区2026年执法监测服务采购项目</w:t>
            </w:r>
          </w:p>
          <w:p w14:paraId="22EE420D">
            <w:pPr>
              <w:pStyle w:val="18"/>
              <w:spacing w:line="300" w:lineRule="auto"/>
              <w:jc w:val="center"/>
              <w:rPr>
                <w:rFonts w:hint="eastAsia" w:ascii="Times New Roman" w:hAnsi="宋体" w:eastAsia="宋体" w:cs="Times New Roman"/>
                <w:bCs/>
                <w:color w:val="auto"/>
                <w:sz w:val="20"/>
                <w:szCs w:val="24"/>
                <w:highlight w:val="none"/>
                <w:lang w:val="en-US" w:eastAsia="zh-CN" w:bidi="ar-SA"/>
              </w:rPr>
            </w:pPr>
            <w:r>
              <w:rPr>
                <w:rFonts w:hint="eastAsia" w:ascii="宋体" w:hAnsi="宋体" w:eastAsia="宋体" w:cs="宋体"/>
                <w:color w:val="auto"/>
                <w:sz w:val="24"/>
                <w:szCs w:val="24"/>
                <w:highlight w:val="none"/>
                <w:u w:val="single"/>
              </w:rPr>
              <w:t xml:space="preserve">     标段</w:t>
            </w:r>
            <w:r>
              <w:rPr>
                <w:rFonts w:hint="eastAsia" w:ascii="宋体" w:hAnsi="宋体" w:eastAsia="宋体" w:cs="宋体"/>
                <w:color w:val="auto"/>
                <w:sz w:val="24"/>
                <w:szCs w:val="24"/>
                <w:highlight w:val="none"/>
              </w:rPr>
              <w:t>项目报价</w:t>
            </w:r>
          </w:p>
        </w:tc>
        <w:tc>
          <w:tcPr>
            <w:tcW w:w="4798" w:type="dxa"/>
            <w:shd w:val="clear" w:color="auto" w:fill="auto"/>
            <w:noWrap/>
            <w:vAlign w:val="center"/>
          </w:tcPr>
          <w:p w14:paraId="041D6DC9">
            <w:pPr>
              <w:pStyle w:val="18"/>
              <w:keepNext w:val="0"/>
              <w:keepLines w:val="0"/>
              <w:pageBreakBefore w:val="0"/>
              <w:widowControl w:val="0"/>
              <w:spacing w:line="300" w:lineRule="auto"/>
              <w:ind w:firstLine="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5C3320D">
            <w:pPr>
              <w:pStyle w:val="18"/>
              <w:keepNext w:val="0"/>
              <w:keepLines w:val="0"/>
              <w:pageBreakBefore w:val="0"/>
              <w:widowControl w:val="0"/>
              <w:spacing w:line="300" w:lineRule="auto"/>
              <w:ind w:firstLine="0" w:firstLineChars="0"/>
              <w:jc w:val="both"/>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p>
        </w:tc>
      </w:tr>
      <w:tr w14:paraId="251FF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573A9467">
            <w:pPr>
              <w:pStyle w:val="358"/>
              <w:spacing w:line="400" w:lineRule="exact"/>
              <w:jc w:val="center"/>
              <w:rPr>
                <w:rFonts w:hint="eastAsia" w:hAnsi="宋体"/>
                <w:bCs/>
                <w:color w:val="auto"/>
                <w:szCs w:val="24"/>
                <w:highlight w:val="none"/>
                <w:lang w:eastAsia="zh-CN"/>
              </w:rPr>
            </w:pPr>
            <w:r>
              <w:rPr>
                <w:rFonts w:hint="eastAsia" w:hAnsi="宋体"/>
                <w:bCs/>
                <w:color w:val="auto"/>
                <w:szCs w:val="24"/>
                <w:highlight w:val="none"/>
                <w:lang w:eastAsia="zh-CN"/>
              </w:rPr>
              <w:t>无锡市新吴区2026年执法监测服务采购项目</w:t>
            </w:r>
          </w:p>
          <w:p w14:paraId="609986A0">
            <w:pPr>
              <w:pStyle w:val="358"/>
              <w:spacing w:line="400" w:lineRule="exact"/>
              <w:jc w:val="center"/>
              <w:rPr>
                <w:rFonts w:hint="eastAsia" w:ascii="宋体" w:hAnsi="宋体" w:eastAsia="宋体" w:cs="宋体"/>
                <w:color w:val="auto"/>
                <w:sz w:val="24"/>
                <w:szCs w:val="24"/>
                <w:highlight w:val="none"/>
                <w:lang w:val="en-US" w:eastAsia="zh-CN"/>
              </w:rPr>
            </w:pPr>
            <w:r>
              <w:rPr>
                <w:rFonts w:hint="eastAsia" w:hAnsi="宋体"/>
                <w:bCs/>
                <w:color w:val="auto"/>
                <w:szCs w:val="24"/>
                <w:highlight w:val="none"/>
                <w:lang w:eastAsia="zh-CN"/>
              </w:rPr>
              <w:t>（</w:t>
            </w:r>
            <w:r>
              <w:rPr>
                <w:rFonts w:hint="eastAsia" w:hAnsi="宋体"/>
                <w:bCs/>
                <w:color w:val="auto"/>
                <w:szCs w:val="24"/>
                <w:highlight w:val="none"/>
                <w:lang w:val="en-US" w:eastAsia="zh-CN"/>
              </w:rPr>
              <w:t xml:space="preserve">   标段）</w:t>
            </w:r>
            <w:r>
              <w:rPr>
                <w:rFonts w:hint="eastAsia" w:ascii="宋体" w:hAnsi="宋体" w:eastAsia="宋体" w:cs="宋体"/>
                <w:b/>
                <w:bCs/>
                <w:color w:val="auto"/>
                <w:sz w:val="24"/>
                <w:szCs w:val="24"/>
                <w:highlight w:val="none"/>
                <w:lang w:val="en-US" w:eastAsia="zh-CN"/>
              </w:rPr>
              <w:t>优惠率</w:t>
            </w:r>
          </w:p>
          <w:p w14:paraId="380E8EE7">
            <w:pPr>
              <w:pStyle w:val="358"/>
              <w:spacing w:line="400" w:lineRule="exact"/>
              <w:jc w:val="center"/>
              <w:rPr>
                <w:rFonts w:hint="default" w:hAnsi="宋体" w:eastAsia="宋体"/>
                <w:bCs/>
                <w:color w:val="auto"/>
                <w:szCs w:val="24"/>
                <w:highlight w:val="none"/>
                <w:lang w:val="en-US" w:eastAsia="zh-CN"/>
              </w:rPr>
            </w:pPr>
            <w:r>
              <w:rPr>
                <w:rFonts w:hint="eastAsia" w:ascii="宋体" w:hAnsi="宋体" w:eastAsia="宋体" w:cs="Times New Roman"/>
                <w:bCs/>
                <w:color w:val="auto"/>
                <w:sz w:val="24"/>
                <w:szCs w:val="24"/>
                <w:highlight w:val="none"/>
                <w:lang w:val="en-US" w:eastAsia="zh-CN" w:bidi="ar-SA"/>
              </w:rPr>
              <w:t>（优惠率=1-折扣率）</w:t>
            </w:r>
          </w:p>
        </w:tc>
        <w:tc>
          <w:tcPr>
            <w:tcW w:w="4798" w:type="dxa"/>
            <w:noWrap/>
            <w:vAlign w:val="center"/>
          </w:tcPr>
          <w:p w14:paraId="41652E5F">
            <w:pPr>
              <w:pStyle w:val="358"/>
              <w:spacing w:line="360" w:lineRule="auto"/>
              <w:rPr>
                <w:bCs/>
                <w:color w:val="auto"/>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05BF4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447B3944">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00BDE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4D9B098F">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38A01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00E6D226">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6A794A0D">
      <w:pPr>
        <w:spacing w:before="5"/>
        <w:rPr>
          <w:b/>
          <w:bCs/>
          <w:color w:val="auto"/>
          <w:sz w:val="24"/>
          <w:szCs w:val="24"/>
          <w:highlight w:val="none"/>
        </w:rPr>
      </w:pPr>
    </w:p>
    <w:p w14:paraId="426E325D">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3C0B560D">
      <w:pPr>
        <w:spacing w:line="400" w:lineRule="exact"/>
        <w:rPr>
          <w:rFonts w:ascii="黑体" w:eastAsia="黑体"/>
          <w:bCs/>
          <w:color w:val="auto"/>
          <w:sz w:val="32"/>
          <w:highlight w:val="none"/>
        </w:rPr>
      </w:pPr>
    </w:p>
    <w:p w14:paraId="4FE96F95">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24217460">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评标时一律按开标一览表中内容为准，开标一览表中必须盖章或签字。</w:t>
      </w:r>
    </w:p>
    <w:p w14:paraId="708251FA">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各标段报价参照标准应按《江苏省环境监测专业服务收费标准》（苏价费〔2006〕397号、苏财综〔2006〕80号、苏环计〔2006〕30号）、《省发展改革委省司法厅关于我省司法鉴定收费标准的通知》（苏发改收费发〔2019〕708号）（以下简称19版标准）中的单价为依据，在此基础上进行折扣率报价。最终按确认的业务量结算，不再增加其他费用，投标报价不得高于收费标准的50%。项目报价等于本项目采购预算金额除最高限价折扣率（50%）乘以报价费率。最终按实结算。否则其报价将作无效处理。</w:t>
      </w:r>
    </w:p>
    <w:p w14:paraId="334B066F">
      <w:pPr>
        <w:spacing w:line="500" w:lineRule="exact"/>
        <w:rPr>
          <w:rFonts w:hint="default" w:ascii="宋体" w:hAnsi="宋体" w:eastAsia="宋体" w:cs="宋体"/>
          <w:b/>
          <w:color w:val="auto"/>
          <w:sz w:val="24"/>
          <w:highlight w:val="none"/>
          <w:lang w:val="en-US"/>
        </w:rPr>
      </w:pPr>
      <w:r>
        <w:rPr>
          <w:rFonts w:hint="eastAsia" w:ascii="宋体" w:hAnsi="宋体" w:eastAsia="宋体" w:cs="宋体"/>
          <w:b/>
          <w:bCs/>
          <w:color w:val="auto"/>
          <w:sz w:val="24"/>
          <w:highlight w:val="none"/>
          <w:lang w:val="en-US" w:eastAsia="zh-CN"/>
        </w:rPr>
        <w:t>3、有效优惠率≥50%</w:t>
      </w:r>
    </w:p>
    <w:p w14:paraId="6A1143AE">
      <w:pPr>
        <w:rPr>
          <w:rFonts w:hint="eastAsia" w:ascii="黑体" w:hAnsi="宋体" w:eastAsia="黑体"/>
          <w:bCs/>
          <w:color w:val="auto"/>
          <w:sz w:val="24"/>
          <w:szCs w:val="24"/>
          <w:highlight w:val="none"/>
        </w:rPr>
        <w:sectPr>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pPr>
    </w:p>
    <w:p w14:paraId="3AD6D755">
      <w:pPr>
        <w:spacing w:line="480" w:lineRule="auto"/>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）项目管理机构配备情况表</w:t>
      </w:r>
      <w:r>
        <w:rPr>
          <w:rFonts w:hint="eastAsia" w:ascii="黑体" w:hAnsi="宋体" w:eastAsia="黑体"/>
          <w:bCs/>
          <w:color w:val="auto"/>
          <w:sz w:val="24"/>
          <w:szCs w:val="24"/>
          <w:highlight w:val="none"/>
          <w:lang w:eastAsia="zh-CN"/>
        </w:rPr>
        <w:t>（</w:t>
      </w:r>
      <w:r>
        <w:rPr>
          <w:rFonts w:hint="eastAsia" w:ascii="黑体" w:hAnsi="宋体" w:eastAsia="黑体"/>
          <w:bCs/>
          <w:color w:val="auto"/>
          <w:sz w:val="24"/>
          <w:szCs w:val="24"/>
          <w:highlight w:val="none"/>
        </w:rPr>
        <w:t>格式</w:t>
      </w:r>
      <w:r>
        <w:rPr>
          <w:rFonts w:hint="eastAsia" w:ascii="黑体" w:hAnsi="宋体" w:eastAsia="黑体"/>
          <w:bCs/>
          <w:color w:val="auto"/>
          <w:sz w:val="24"/>
          <w:szCs w:val="24"/>
          <w:highlight w:val="none"/>
          <w:lang w:eastAsia="zh-CN"/>
        </w:rPr>
        <w:t>）</w:t>
      </w:r>
    </w:p>
    <w:p w14:paraId="77F23FCB">
      <w:pPr>
        <w:jc w:val="center"/>
        <w:rPr>
          <w:rFonts w:hint="eastAsia" w:ascii="宋体" w:hAnsi="宋体" w:eastAsia="宋体" w:cs="宋体"/>
          <w:bCs/>
          <w:color w:val="auto"/>
          <w:sz w:val="24"/>
          <w:szCs w:val="24"/>
          <w:highlight w:val="none"/>
        </w:rPr>
      </w:pPr>
    </w:p>
    <w:p w14:paraId="6899039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项目管理机构配备情况表</w:t>
      </w:r>
    </w:p>
    <w:p w14:paraId="68E34E46">
      <w:pPr>
        <w:widowControl w:val="0"/>
        <w:spacing w:after="120"/>
        <w:ind w:firstLine="210"/>
        <w:jc w:val="both"/>
        <w:rPr>
          <w:rFonts w:hint="eastAsia" w:ascii="宋体" w:hAnsi="宋体" w:eastAsia="宋体" w:cs="宋体"/>
          <w:bCs/>
          <w:color w:val="auto"/>
          <w:sz w:val="21"/>
          <w:highlight w:val="none"/>
          <w:lang w:val="en-US" w:eastAsia="zh-CN" w:bidi="ar-SA"/>
        </w:rPr>
      </w:pPr>
    </w:p>
    <w:p w14:paraId="3C93E9A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项目编号：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3AF9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1" w:type="dxa"/>
            <w:noWrap w:val="0"/>
            <w:vAlign w:val="center"/>
          </w:tcPr>
          <w:p w14:paraId="3F3DEBB6">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序号</w:t>
            </w:r>
          </w:p>
        </w:tc>
        <w:tc>
          <w:tcPr>
            <w:tcW w:w="1047" w:type="dxa"/>
            <w:noWrap w:val="0"/>
            <w:vAlign w:val="center"/>
          </w:tcPr>
          <w:p w14:paraId="48DC8138">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姓名</w:t>
            </w:r>
          </w:p>
        </w:tc>
        <w:tc>
          <w:tcPr>
            <w:tcW w:w="730" w:type="dxa"/>
            <w:noWrap w:val="0"/>
            <w:vAlign w:val="center"/>
          </w:tcPr>
          <w:p w14:paraId="19B5950D">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性别</w:t>
            </w:r>
          </w:p>
        </w:tc>
        <w:tc>
          <w:tcPr>
            <w:tcW w:w="709" w:type="dxa"/>
            <w:noWrap w:val="0"/>
            <w:vAlign w:val="center"/>
          </w:tcPr>
          <w:p w14:paraId="68DEF62F">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年龄</w:t>
            </w:r>
          </w:p>
        </w:tc>
        <w:tc>
          <w:tcPr>
            <w:tcW w:w="1477" w:type="dxa"/>
            <w:noWrap w:val="0"/>
            <w:vAlign w:val="center"/>
          </w:tcPr>
          <w:p w14:paraId="62A88470">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岗位名称</w:t>
            </w:r>
          </w:p>
        </w:tc>
        <w:tc>
          <w:tcPr>
            <w:tcW w:w="1236" w:type="dxa"/>
            <w:noWrap w:val="0"/>
            <w:vAlign w:val="center"/>
          </w:tcPr>
          <w:p w14:paraId="4A8591EB">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学历</w:t>
            </w:r>
          </w:p>
        </w:tc>
        <w:tc>
          <w:tcPr>
            <w:tcW w:w="1236" w:type="dxa"/>
            <w:noWrap w:val="0"/>
            <w:vAlign w:val="center"/>
          </w:tcPr>
          <w:p w14:paraId="726BDF64">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职称</w:t>
            </w:r>
          </w:p>
        </w:tc>
        <w:tc>
          <w:tcPr>
            <w:tcW w:w="1857" w:type="dxa"/>
            <w:noWrap w:val="0"/>
            <w:vAlign w:val="center"/>
          </w:tcPr>
          <w:p w14:paraId="5223DACF">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主要资历、经验及承担过的项目</w:t>
            </w:r>
          </w:p>
        </w:tc>
        <w:tc>
          <w:tcPr>
            <w:tcW w:w="932" w:type="dxa"/>
            <w:noWrap w:val="0"/>
            <w:vAlign w:val="center"/>
          </w:tcPr>
          <w:p w14:paraId="45C10617">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备注</w:t>
            </w:r>
          </w:p>
        </w:tc>
      </w:tr>
      <w:tr w14:paraId="1D0B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noWrap w:val="0"/>
            <w:vAlign w:val="center"/>
          </w:tcPr>
          <w:p w14:paraId="7E885AF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47" w:type="dxa"/>
            <w:noWrap w:val="0"/>
            <w:vAlign w:val="center"/>
          </w:tcPr>
          <w:p w14:paraId="25A140E0">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4F5E7112">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2D7C44D1">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7DC82476">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1D24723E">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7281B22E">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483A6A28">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5C392853">
            <w:pPr>
              <w:spacing w:line="360" w:lineRule="auto"/>
              <w:jc w:val="center"/>
              <w:rPr>
                <w:rFonts w:hint="eastAsia" w:ascii="宋体" w:hAnsi="宋体" w:eastAsia="宋体" w:cs="宋体"/>
                <w:color w:val="auto"/>
                <w:sz w:val="24"/>
                <w:szCs w:val="24"/>
                <w:highlight w:val="none"/>
              </w:rPr>
            </w:pPr>
          </w:p>
        </w:tc>
      </w:tr>
      <w:tr w14:paraId="653E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noWrap w:val="0"/>
            <w:vAlign w:val="center"/>
          </w:tcPr>
          <w:p w14:paraId="583822F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47" w:type="dxa"/>
            <w:noWrap w:val="0"/>
            <w:vAlign w:val="center"/>
          </w:tcPr>
          <w:p w14:paraId="0B847C5B">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15FF7560">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6B36A707">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69623488">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1A27F3BF">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26CB2652">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5CD77659">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6A2D52A8">
            <w:pPr>
              <w:spacing w:line="360" w:lineRule="auto"/>
              <w:jc w:val="center"/>
              <w:rPr>
                <w:rFonts w:hint="eastAsia" w:ascii="宋体" w:hAnsi="宋体" w:eastAsia="宋体" w:cs="宋体"/>
                <w:color w:val="auto"/>
                <w:sz w:val="24"/>
                <w:szCs w:val="24"/>
                <w:highlight w:val="none"/>
              </w:rPr>
            </w:pPr>
          </w:p>
        </w:tc>
      </w:tr>
      <w:tr w14:paraId="45635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noWrap w:val="0"/>
            <w:vAlign w:val="center"/>
          </w:tcPr>
          <w:p w14:paraId="6E24CA4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47" w:type="dxa"/>
            <w:noWrap w:val="0"/>
            <w:vAlign w:val="center"/>
          </w:tcPr>
          <w:p w14:paraId="153DB41A">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4F4D7C0D">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423234C9">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4A8AA468">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797708B7">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40FDAE77">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4F649323">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27F8EFA9">
            <w:pPr>
              <w:spacing w:line="360" w:lineRule="auto"/>
              <w:jc w:val="center"/>
              <w:rPr>
                <w:rFonts w:hint="eastAsia" w:ascii="宋体" w:hAnsi="宋体" w:eastAsia="宋体" w:cs="宋体"/>
                <w:color w:val="auto"/>
                <w:sz w:val="24"/>
                <w:szCs w:val="24"/>
                <w:highlight w:val="none"/>
              </w:rPr>
            </w:pPr>
          </w:p>
        </w:tc>
      </w:tr>
      <w:tr w14:paraId="2084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41" w:type="dxa"/>
            <w:noWrap w:val="0"/>
            <w:vAlign w:val="center"/>
          </w:tcPr>
          <w:p w14:paraId="4983F5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47" w:type="dxa"/>
            <w:noWrap w:val="0"/>
            <w:vAlign w:val="center"/>
          </w:tcPr>
          <w:p w14:paraId="23EDEF29">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131C7261">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26CE15F9">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4BE15DE5">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7D0C981C">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3C88D1FE">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01B30E42">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080F797B">
            <w:pPr>
              <w:spacing w:line="360" w:lineRule="auto"/>
              <w:jc w:val="center"/>
              <w:rPr>
                <w:rFonts w:hint="eastAsia" w:ascii="宋体" w:hAnsi="宋体" w:eastAsia="宋体" w:cs="宋体"/>
                <w:color w:val="auto"/>
                <w:sz w:val="24"/>
                <w:szCs w:val="24"/>
                <w:highlight w:val="none"/>
              </w:rPr>
            </w:pPr>
          </w:p>
        </w:tc>
      </w:tr>
      <w:tr w14:paraId="43C7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noWrap w:val="0"/>
            <w:vAlign w:val="center"/>
          </w:tcPr>
          <w:p w14:paraId="68A307B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47" w:type="dxa"/>
            <w:noWrap w:val="0"/>
            <w:vAlign w:val="center"/>
          </w:tcPr>
          <w:p w14:paraId="7AA47F82">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29ABA5AF">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33AD7AA3">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79AE5DE6">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3B2F77E6">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3CE5DE8F">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2581B923">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37BC7A4A">
            <w:pPr>
              <w:spacing w:line="360" w:lineRule="auto"/>
              <w:jc w:val="center"/>
              <w:rPr>
                <w:rFonts w:hint="eastAsia" w:ascii="宋体" w:hAnsi="宋体" w:eastAsia="宋体" w:cs="宋体"/>
                <w:color w:val="auto"/>
                <w:sz w:val="24"/>
                <w:szCs w:val="24"/>
                <w:highlight w:val="none"/>
              </w:rPr>
            </w:pPr>
          </w:p>
        </w:tc>
      </w:tr>
      <w:tr w14:paraId="667E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74B3B6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047" w:type="dxa"/>
            <w:noWrap w:val="0"/>
            <w:vAlign w:val="center"/>
          </w:tcPr>
          <w:p w14:paraId="5E4B6919">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57C189EB">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236420B7">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54D20D18">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752E750A">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64BAB8AF">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761ACD82">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7EC8349C">
            <w:pPr>
              <w:spacing w:line="360" w:lineRule="auto"/>
              <w:jc w:val="center"/>
              <w:rPr>
                <w:rFonts w:hint="eastAsia" w:ascii="宋体" w:hAnsi="宋体" w:eastAsia="宋体" w:cs="宋体"/>
                <w:color w:val="auto"/>
                <w:sz w:val="24"/>
                <w:szCs w:val="24"/>
                <w:highlight w:val="none"/>
              </w:rPr>
            </w:pPr>
          </w:p>
        </w:tc>
      </w:tr>
      <w:tr w14:paraId="40E1B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41" w:type="dxa"/>
            <w:noWrap w:val="0"/>
            <w:vAlign w:val="center"/>
          </w:tcPr>
          <w:p w14:paraId="425AF3B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47" w:type="dxa"/>
            <w:noWrap w:val="0"/>
            <w:vAlign w:val="center"/>
          </w:tcPr>
          <w:p w14:paraId="4EC02796">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3CE15D9E">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461E234D">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0D5EC73B">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490CD69D">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3454C97C">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46878297">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0AFB5006">
            <w:pPr>
              <w:spacing w:line="360" w:lineRule="auto"/>
              <w:jc w:val="center"/>
              <w:rPr>
                <w:rFonts w:hint="eastAsia" w:ascii="宋体" w:hAnsi="宋体" w:eastAsia="宋体" w:cs="宋体"/>
                <w:color w:val="auto"/>
                <w:sz w:val="24"/>
                <w:szCs w:val="24"/>
                <w:highlight w:val="none"/>
              </w:rPr>
            </w:pPr>
          </w:p>
        </w:tc>
      </w:tr>
      <w:tr w14:paraId="462D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noWrap w:val="0"/>
            <w:vAlign w:val="center"/>
          </w:tcPr>
          <w:p w14:paraId="0A9BDAE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047" w:type="dxa"/>
            <w:noWrap w:val="0"/>
            <w:vAlign w:val="center"/>
          </w:tcPr>
          <w:p w14:paraId="1D33B87D">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544AC964">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68344997">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23D28BF0">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1A05D444">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0DB58586">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53228983">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565AC3BA">
            <w:pPr>
              <w:spacing w:line="360" w:lineRule="auto"/>
              <w:jc w:val="center"/>
              <w:rPr>
                <w:rFonts w:hint="eastAsia" w:ascii="宋体" w:hAnsi="宋体" w:eastAsia="宋体" w:cs="宋体"/>
                <w:color w:val="auto"/>
                <w:sz w:val="24"/>
                <w:szCs w:val="24"/>
                <w:highlight w:val="none"/>
              </w:rPr>
            </w:pPr>
          </w:p>
        </w:tc>
      </w:tr>
      <w:tr w14:paraId="75AF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1" w:type="dxa"/>
            <w:noWrap w:val="0"/>
            <w:vAlign w:val="center"/>
          </w:tcPr>
          <w:p w14:paraId="50526D3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047" w:type="dxa"/>
            <w:noWrap w:val="0"/>
            <w:vAlign w:val="center"/>
          </w:tcPr>
          <w:p w14:paraId="2AB1F1E6">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2C95C4ED">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122D2CB7">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02248953">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63BFA4A2">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13C29A3D">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1F044AD5">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075B9582">
            <w:pPr>
              <w:spacing w:line="360" w:lineRule="auto"/>
              <w:jc w:val="center"/>
              <w:rPr>
                <w:rFonts w:hint="eastAsia" w:ascii="宋体" w:hAnsi="宋体" w:eastAsia="宋体" w:cs="宋体"/>
                <w:color w:val="auto"/>
                <w:sz w:val="24"/>
                <w:szCs w:val="24"/>
                <w:highlight w:val="none"/>
              </w:rPr>
            </w:pPr>
          </w:p>
        </w:tc>
      </w:tr>
      <w:tr w14:paraId="32A9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noWrap w:val="0"/>
            <w:vAlign w:val="center"/>
          </w:tcPr>
          <w:p w14:paraId="7C2F93F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047" w:type="dxa"/>
            <w:noWrap w:val="0"/>
            <w:vAlign w:val="center"/>
          </w:tcPr>
          <w:p w14:paraId="3AE2A9C7">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7858BF9E">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4E0DF83D">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46858050">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1C9982DF">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214E1AF7">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42D9F2F5">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2F291855">
            <w:pPr>
              <w:spacing w:line="360" w:lineRule="auto"/>
              <w:jc w:val="center"/>
              <w:rPr>
                <w:rFonts w:hint="eastAsia" w:ascii="宋体" w:hAnsi="宋体" w:eastAsia="宋体" w:cs="宋体"/>
                <w:color w:val="auto"/>
                <w:sz w:val="24"/>
                <w:szCs w:val="24"/>
                <w:highlight w:val="none"/>
              </w:rPr>
            </w:pPr>
          </w:p>
        </w:tc>
      </w:tr>
      <w:tr w14:paraId="34EF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41" w:type="dxa"/>
            <w:noWrap w:val="0"/>
            <w:vAlign w:val="center"/>
          </w:tcPr>
          <w:p w14:paraId="4C2BF9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047" w:type="dxa"/>
            <w:noWrap w:val="0"/>
            <w:vAlign w:val="center"/>
          </w:tcPr>
          <w:p w14:paraId="3CDD056E">
            <w:pPr>
              <w:spacing w:line="360" w:lineRule="auto"/>
              <w:jc w:val="center"/>
              <w:rPr>
                <w:rFonts w:hint="eastAsia" w:ascii="宋体" w:hAnsi="宋体" w:eastAsia="宋体" w:cs="宋体"/>
                <w:color w:val="auto"/>
                <w:sz w:val="24"/>
                <w:szCs w:val="24"/>
                <w:highlight w:val="none"/>
              </w:rPr>
            </w:pPr>
          </w:p>
        </w:tc>
        <w:tc>
          <w:tcPr>
            <w:tcW w:w="730" w:type="dxa"/>
            <w:noWrap w:val="0"/>
            <w:vAlign w:val="center"/>
          </w:tcPr>
          <w:p w14:paraId="0D0112F0">
            <w:pPr>
              <w:spacing w:line="360" w:lineRule="auto"/>
              <w:jc w:val="center"/>
              <w:rPr>
                <w:rFonts w:hint="eastAsia" w:ascii="宋体" w:hAnsi="宋体" w:eastAsia="宋体" w:cs="宋体"/>
                <w:color w:val="auto"/>
                <w:sz w:val="24"/>
                <w:szCs w:val="24"/>
                <w:highlight w:val="none"/>
              </w:rPr>
            </w:pPr>
          </w:p>
        </w:tc>
        <w:tc>
          <w:tcPr>
            <w:tcW w:w="709" w:type="dxa"/>
            <w:noWrap w:val="0"/>
            <w:vAlign w:val="center"/>
          </w:tcPr>
          <w:p w14:paraId="5C0628BC">
            <w:pPr>
              <w:spacing w:line="360" w:lineRule="auto"/>
              <w:jc w:val="center"/>
              <w:rPr>
                <w:rFonts w:hint="eastAsia" w:ascii="宋体" w:hAnsi="宋体" w:eastAsia="宋体" w:cs="宋体"/>
                <w:color w:val="auto"/>
                <w:sz w:val="24"/>
                <w:szCs w:val="24"/>
                <w:highlight w:val="none"/>
              </w:rPr>
            </w:pPr>
          </w:p>
        </w:tc>
        <w:tc>
          <w:tcPr>
            <w:tcW w:w="1477" w:type="dxa"/>
            <w:noWrap w:val="0"/>
            <w:vAlign w:val="center"/>
          </w:tcPr>
          <w:p w14:paraId="388EBDA6">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4C428BC5">
            <w:pPr>
              <w:spacing w:line="360" w:lineRule="auto"/>
              <w:jc w:val="center"/>
              <w:rPr>
                <w:rFonts w:hint="eastAsia" w:ascii="宋体" w:hAnsi="宋体" w:eastAsia="宋体" w:cs="宋体"/>
                <w:color w:val="auto"/>
                <w:sz w:val="24"/>
                <w:szCs w:val="24"/>
                <w:highlight w:val="none"/>
              </w:rPr>
            </w:pPr>
          </w:p>
        </w:tc>
        <w:tc>
          <w:tcPr>
            <w:tcW w:w="1236" w:type="dxa"/>
            <w:noWrap w:val="0"/>
            <w:vAlign w:val="center"/>
          </w:tcPr>
          <w:p w14:paraId="566EFA8D">
            <w:pPr>
              <w:spacing w:line="360" w:lineRule="auto"/>
              <w:jc w:val="center"/>
              <w:rPr>
                <w:rFonts w:hint="eastAsia" w:ascii="宋体" w:hAnsi="宋体" w:eastAsia="宋体" w:cs="宋体"/>
                <w:color w:val="auto"/>
                <w:sz w:val="24"/>
                <w:szCs w:val="24"/>
                <w:highlight w:val="none"/>
              </w:rPr>
            </w:pPr>
          </w:p>
        </w:tc>
        <w:tc>
          <w:tcPr>
            <w:tcW w:w="1857" w:type="dxa"/>
            <w:noWrap w:val="0"/>
            <w:vAlign w:val="center"/>
          </w:tcPr>
          <w:p w14:paraId="560A69AF">
            <w:pPr>
              <w:spacing w:line="360" w:lineRule="auto"/>
              <w:jc w:val="center"/>
              <w:rPr>
                <w:rFonts w:hint="eastAsia" w:ascii="宋体" w:hAnsi="宋体" w:eastAsia="宋体" w:cs="宋体"/>
                <w:color w:val="auto"/>
                <w:sz w:val="24"/>
                <w:szCs w:val="24"/>
                <w:highlight w:val="none"/>
              </w:rPr>
            </w:pPr>
          </w:p>
        </w:tc>
        <w:tc>
          <w:tcPr>
            <w:tcW w:w="932" w:type="dxa"/>
            <w:noWrap w:val="0"/>
            <w:vAlign w:val="center"/>
          </w:tcPr>
          <w:p w14:paraId="34539C5F">
            <w:pPr>
              <w:spacing w:line="360" w:lineRule="auto"/>
              <w:jc w:val="center"/>
              <w:rPr>
                <w:rFonts w:hint="eastAsia" w:ascii="宋体" w:hAnsi="宋体" w:eastAsia="宋体" w:cs="宋体"/>
                <w:color w:val="auto"/>
                <w:sz w:val="24"/>
                <w:szCs w:val="24"/>
                <w:highlight w:val="none"/>
              </w:rPr>
            </w:pPr>
          </w:p>
        </w:tc>
      </w:tr>
    </w:tbl>
    <w:p w14:paraId="6103C2FA">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4E233B78">
      <w:pPr>
        <w:spacing w:line="480" w:lineRule="auto"/>
        <w:rPr>
          <w:rFonts w:hint="eastAsia" w:ascii="宋体" w:hAnsi="宋体" w:eastAsia="宋体" w:cs="宋体"/>
          <w:bCs/>
          <w:color w:val="auto"/>
          <w:sz w:val="24"/>
          <w:highlight w:val="none"/>
        </w:rPr>
      </w:pPr>
    </w:p>
    <w:p w14:paraId="2B6817D7">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注：1、上表可自行延长。</w:t>
      </w:r>
    </w:p>
    <w:p w14:paraId="4A2FCD22">
      <w:pPr>
        <w:rPr>
          <w:rFonts w:ascii="宋体" w:hAnsi="宋体" w:eastAsia="宋体"/>
          <w:bCs/>
          <w:color w:val="auto"/>
          <w:sz w:val="24"/>
          <w:highlight w:val="none"/>
        </w:rPr>
      </w:pPr>
    </w:p>
    <w:p w14:paraId="36D5445A">
      <w:pPr>
        <w:rPr>
          <w:rFonts w:ascii="宋体" w:hAnsi="宋体" w:eastAsia="宋体"/>
          <w:bCs/>
          <w:color w:val="auto"/>
          <w:sz w:val="24"/>
          <w:highlight w:val="none"/>
        </w:rPr>
      </w:pPr>
    </w:p>
    <w:p w14:paraId="058B4662">
      <w:pPr>
        <w:rPr>
          <w:rFonts w:hint="eastAsia" w:ascii="黑体" w:hAnsi="宋体" w:eastAsia="黑体"/>
          <w:bCs/>
          <w:color w:val="auto"/>
          <w:sz w:val="24"/>
          <w:szCs w:val="24"/>
          <w:highlight w:val="none"/>
        </w:rPr>
        <w:sectPr>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pPr>
    </w:p>
    <w:p w14:paraId="45E48F05">
      <w:pPr>
        <w:spacing w:line="480" w:lineRule="auto"/>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九</w:t>
      </w:r>
      <w:r>
        <w:rPr>
          <w:rFonts w:hint="eastAsia" w:ascii="黑体" w:hAnsi="宋体" w:eastAsia="黑体"/>
          <w:bCs/>
          <w:color w:val="auto"/>
          <w:sz w:val="24"/>
          <w:szCs w:val="24"/>
          <w:highlight w:val="none"/>
        </w:rPr>
        <w:t>）项目负责人简历表（格式）</w:t>
      </w:r>
    </w:p>
    <w:p w14:paraId="15A83CD1">
      <w:pPr>
        <w:jc w:val="center"/>
        <w:rPr>
          <w:rFonts w:hint="eastAsia" w:ascii="宋体" w:hAnsi="宋体" w:eastAsia="宋体" w:cs="宋体"/>
          <w:b/>
          <w:bCs/>
          <w:color w:val="auto"/>
          <w:highlight w:val="none"/>
        </w:rPr>
      </w:pPr>
      <w:r>
        <w:rPr>
          <w:rFonts w:hint="eastAsia" w:ascii="宋体" w:hAnsi="宋体" w:eastAsia="宋体" w:cs="宋体"/>
          <w:bCs/>
          <w:color w:val="auto"/>
          <w:sz w:val="28"/>
          <w:szCs w:val="28"/>
          <w:highlight w:val="none"/>
        </w:rPr>
        <w:t>项目负责人简历表</w:t>
      </w:r>
    </w:p>
    <w:p w14:paraId="6DEB074E">
      <w:pPr>
        <w:jc w:val="center"/>
        <w:rPr>
          <w:rFonts w:hint="eastAsia" w:ascii="宋体" w:hAnsi="宋体" w:eastAsia="宋体" w:cs="宋体"/>
          <w:bCs/>
          <w:color w:val="auto"/>
          <w:sz w:val="24"/>
          <w:szCs w:val="24"/>
          <w:highlight w:val="none"/>
        </w:rPr>
      </w:pPr>
    </w:p>
    <w:p w14:paraId="4C4794A0">
      <w:pPr>
        <w:widowControl w:val="0"/>
        <w:spacing w:line="360" w:lineRule="auto"/>
        <w:jc w:val="both"/>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投标供应商名称（盖章）              项目编号：</w:t>
      </w:r>
    </w:p>
    <w:tbl>
      <w:tblPr>
        <w:tblStyle w:val="37"/>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6B70B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0FBBD78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51" w:type="dxa"/>
            <w:noWrap w:val="0"/>
            <w:vAlign w:val="center"/>
          </w:tcPr>
          <w:p w14:paraId="11069014">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394" w:type="dxa"/>
            <w:noWrap w:val="0"/>
            <w:vAlign w:val="center"/>
          </w:tcPr>
          <w:p w14:paraId="63F59590">
            <w:pPr>
              <w:widowControl w:val="0"/>
              <w:ind w:firstLine="480"/>
              <w:jc w:val="center"/>
              <w:rPr>
                <w:rFonts w:hint="eastAsia" w:ascii="宋体" w:hAnsi="宋体" w:eastAsia="宋体" w:cs="宋体"/>
                <w:color w:val="auto"/>
                <w:sz w:val="24"/>
                <w:szCs w:val="24"/>
                <w:highlight w:val="none"/>
                <w:lang w:val="en-US" w:eastAsia="zh-CN" w:bidi="ar-SA"/>
              </w:rPr>
            </w:pPr>
          </w:p>
        </w:tc>
        <w:tc>
          <w:tcPr>
            <w:tcW w:w="1083" w:type="dxa"/>
            <w:noWrap w:val="0"/>
            <w:vAlign w:val="center"/>
          </w:tcPr>
          <w:p w14:paraId="039C2A3A">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612" w:type="dxa"/>
            <w:gridSpan w:val="2"/>
            <w:noWrap w:val="0"/>
            <w:vAlign w:val="center"/>
          </w:tcPr>
          <w:p w14:paraId="22C7B229">
            <w:pPr>
              <w:widowControl w:val="0"/>
              <w:ind w:firstLine="480"/>
              <w:jc w:val="center"/>
              <w:rPr>
                <w:rFonts w:hint="eastAsia" w:ascii="宋体" w:hAnsi="宋体" w:eastAsia="宋体" w:cs="宋体"/>
                <w:color w:val="auto"/>
                <w:sz w:val="24"/>
                <w:szCs w:val="24"/>
                <w:highlight w:val="none"/>
                <w:lang w:val="en-US" w:eastAsia="zh-CN" w:bidi="ar-SA"/>
              </w:rPr>
            </w:pPr>
          </w:p>
        </w:tc>
      </w:tr>
      <w:tr w14:paraId="1DC4D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78CA60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51" w:type="dxa"/>
            <w:noWrap w:val="0"/>
            <w:vAlign w:val="center"/>
          </w:tcPr>
          <w:p w14:paraId="33ED6ADB">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477" w:type="dxa"/>
            <w:gridSpan w:val="2"/>
            <w:noWrap w:val="0"/>
            <w:vAlign w:val="center"/>
          </w:tcPr>
          <w:p w14:paraId="4DC2FCDA">
            <w:pPr>
              <w:widowControl w:val="0"/>
              <w:ind w:firstLine="480"/>
              <w:jc w:val="center"/>
              <w:rPr>
                <w:rFonts w:hint="eastAsia" w:ascii="宋体" w:hAnsi="宋体" w:eastAsia="宋体" w:cs="宋体"/>
                <w:color w:val="auto"/>
                <w:sz w:val="24"/>
                <w:szCs w:val="24"/>
                <w:highlight w:val="none"/>
                <w:lang w:val="en-US" w:eastAsia="zh-CN" w:bidi="ar-SA"/>
              </w:rPr>
            </w:pPr>
          </w:p>
        </w:tc>
        <w:tc>
          <w:tcPr>
            <w:tcW w:w="1254" w:type="dxa"/>
            <w:noWrap w:val="0"/>
            <w:vAlign w:val="center"/>
          </w:tcPr>
          <w:p w14:paraId="46C2A5DF">
            <w:pPr>
              <w:widowControl w:val="0"/>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358" w:type="dxa"/>
            <w:noWrap w:val="0"/>
            <w:vAlign w:val="center"/>
          </w:tcPr>
          <w:p w14:paraId="55BA61C1">
            <w:pPr>
              <w:widowControl w:val="0"/>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237AD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50727C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940" w:type="dxa"/>
            <w:gridSpan w:val="5"/>
            <w:noWrap w:val="0"/>
            <w:vAlign w:val="center"/>
          </w:tcPr>
          <w:p w14:paraId="1D508081">
            <w:pPr>
              <w:widowControl w:val="0"/>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联系电话/传真：</w:t>
            </w:r>
          </w:p>
        </w:tc>
      </w:tr>
      <w:tr w14:paraId="646F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6C7DE2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940" w:type="dxa"/>
            <w:gridSpan w:val="5"/>
            <w:noWrap w:val="0"/>
          </w:tcPr>
          <w:p w14:paraId="37BF0A3C">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3AC5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4DF71AF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940" w:type="dxa"/>
            <w:gridSpan w:val="5"/>
            <w:noWrap w:val="0"/>
            <w:vAlign w:val="center"/>
          </w:tcPr>
          <w:p w14:paraId="5A25EAC1">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73F3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DBB72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940" w:type="dxa"/>
            <w:gridSpan w:val="5"/>
            <w:noWrap w:val="0"/>
            <w:vAlign w:val="center"/>
          </w:tcPr>
          <w:p w14:paraId="015863BD">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曾获得的关于本项服务方面的奖励情况：</w:t>
            </w:r>
          </w:p>
        </w:tc>
      </w:tr>
      <w:tr w14:paraId="5CEB6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15B8EC0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940" w:type="dxa"/>
            <w:gridSpan w:val="5"/>
            <w:noWrap w:val="0"/>
          </w:tcPr>
          <w:p w14:paraId="1A85BD88">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近5年内负责的服务项目：</w:t>
            </w:r>
          </w:p>
        </w:tc>
      </w:tr>
      <w:tr w14:paraId="6C34E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07" w:hRule="atLeast"/>
          <w:jc w:val="center"/>
        </w:trPr>
        <w:tc>
          <w:tcPr>
            <w:tcW w:w="775" w:type="dxa"/>
            <w:noWrap w:val="0"/>
            <w:vAlign w:val="center"/>
          </w:tcPr>
          <w:p w14:paraId="6ABACA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940" w:type="dxa"/>
            <w:gridSpan w:val="5"/>
            <w:noWrap w:val="0"/>
            <w:vAlign w:val="center"/>
          </w:tcPr>
          <w:p w14:paraId="200B2342">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622BD8DC">
      <w:pPr>
        <w:spacing w:line="360" w:lineRule="auto"/>
        <w:ind w:firstLine="3120"/>
        <w:rPr>
          <w:rFonts w:hint="eastAsia" w:ascii="宋体" w:hAnsi="宋体" w:eastAsia="宋体" w:cs="宋体"/>
          <w:b/>
          <w:bCs/>
          <w:color w:val="auto"/>
          <w:sz w:val="24"/>
          <w:highlight w:val="none"/>
        </w:rPr>
      </w:pPr>
    </w:p>
    <w:p w14:paraId="65EA83BB">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法定代表人或法定代表人授权代表签字或盖章：</w:t>
      </w:r>
    </w:p>
    <w:p w14:paraId="7977ABFD">
      <w:pPr>
        <w:spacing w:line="360" w:lineRule="auto"/>
        <w:ind w:firstLine="24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注：请附身份证、相关资格证明</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如有</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p>
    <w:p w14:paraId="13C45C26">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03F6A570">
      <w:pPr>
        <w:spacing w:line="480" w:lineRule="auto"/>
        <w:jc w:val="left"/>
        <w:rPr>
          <w:rFonts w:ascii="宋体" w:hAnsi="宋体"/>
          <w:color w:val="auto"/>
          <w:sz w:val="24"/>
          <w:szCs w:val="24"/>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十</w:t>
      </w:r>
      <w:r>
        <w:rPr>
          <w:rFonts w:hint="eastAsia" w:ascii="黑体" w:hAnsi="宋体" w:eastAsia="黑体"/>
          <w:bCs/>
          <w:color w:val="auto"/>
          <w:sz w:val="24"/>
          <w:szCs w:val="24"/>
          <w:highlight w:val="none"/>
        </w:rPr>
        <w:t>）投标偏离表（格式）：</w:t>
      </w:r>
    </w:p>
    <w:p w14:paraId="08EA6A0B">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68E0C2FB">
      <w:pPr>
        <w:spacing w:line="400" w:lineRule="exact"/>
        <w:jc w:val="center"/>
        <w:rPr>
          <w:rFonts w:ascii="黑体" w:eastAsia="黑体"/>
          <w:bCs/>
          <w:color w:val="auto"/>
          <w:sz w:val="28"/>
          <w:szCs w:val="28"/>
          <w:highlight w:val="none"/>
        </w:rPr>
      </w:pPr>
    </w:p>
    <w:p w14:paraId="16CCC13C">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JSZC-320214-JSZH-G2026-0029</w:t>
      </w:r>
    </w:p>
    <w:tbl>
      <w:tblPr>
        <w:tblStyle w:val="37"/>
        <w:tblW w:w="0" w:type="auto"/>
        <w:tblInd w:w="-60" w:type="dxa"/>
        <w:tblLayout w:type="fixed"/>
        <w:tblCellMar>
          <w:top w:w="15" w:type="dxa"/>
          <w:left w:w="15" w:type="dxa"/>
          <w:bottom w:w="0" w:type="dxa"/>
          <w:right w:w="15" w:type="dxa"/>
        </w:tblCellMar>
      </w:tblPr>
      <w:tblGrid>
        <w:gridCol w:w="1905"/>
        <w:gridCol w:w="2835"/>
        <w:gridCol w:w="2835"/>
        <w:gridCol w:w="2310"/>
      </w:tblGrid>
      <w:tr w14:paraId="60E5C7EB">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7A3D369">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251905">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77DE4CB">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870937">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975FB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8D06B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C3E83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58D9757">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A3AF70">
            <w:pPr>
              <w:jc w:val="center"/>
              <w:rPr>
                <w:rFonts w:ascii="宋体"/>
                <w:bCs/>
                <w:color w:val="auto"/>
                <w:highlight w:val="none"/>
              </w:rPr>
            </w:pPr>
          </w:p>
        </w:tc>
      </w:tr>
      <w:tr w14:paraId="3E2AB43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A2FE8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3875FC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6516FE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BDAEDE0">
            <w:pPr>
              <w:jc w:val="center"/>
              <w:rPr>
                <w:rFonts w:ascii="宋体"/>
                <w:bCs/>
                <w:color w:val="auto"/>
                <w:highlight w:val="none"/>
              </w:rPr>
            </w:pPr>
          </w:p>
        </w:tc>
      </w:tr>
      <w:tr w14:paraId="2AED8DB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30738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90E2C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32F234">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A04F40E">
            <w:pPr>
              <w:jc w:val="center"/>
              <w:rPr>
                <w:rFonts w:ascii="宋体"/>
                <w:bCs/>
                <w:color w:val="auto"/>
                <w:highlight w:val="none"/>
              </w:rPr>
            </w:pPr>
          </w:p>
        </w:tc>
      </w:tr>
      <w:tr w14:paraId="3CA8DA9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2C5516">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789B1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8F25531">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31CF751">
            <w:pPr>
              <w:jc w:val="center"/>
              <w:rPr>
                <w:rFonts w:ascii="宋体"/>
                <w:bCs/>
                <w:color w:val="auto"/>
                <w:highlight w:val="none"/>
              </w:rPr>
            </w:pPr>
          </w:p>
        </w:tc>
      </w:tr>
      <w:tr w14:paraId="490927B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70DEFC">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DEA8AF7">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380022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BA1BFAA">
            <w:pPr>
              <w:jc w:val="center"/>
              <w:rPr>
                <w:rFonts w:ascii="宋体"/>
                <w:bCs/>
                <w:color w:val="auto"/>
                <w:highlight w:val="none"/>
              </w:rPr>
            </w:pPr>
          </w:p>
        </w:tc>
      </w:tr>
      <w:tr w14:paraId="60BA665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43628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AC053A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4B6F66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31342D5">
            <w:pPr>
              <w:jc w:val="center"/>
              <w:rPr>
                <w:rFonts w:ascii="宋体"/>
                <w:bCs/>
                <w:color w:val="auto"/>
                <w:highlight w:val="none"/>
              </w:rPr>
            </w:pPr>
          </w:p>
        </w:tc>
      </w:tr>
      <w:tr w14:paraId="739F064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CB8994">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58389D3">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1F180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21E9BCC">
            <w:pPr>
              <w:jc w:val="center"/>
              <w:rPr>
                <w:rFonts w:ascii="宋体"/>
                <w:bCs/>
                <w:color w:val="auto"/>
                <w:highlight w:val="none"/>
              </w:rPr>
            </w:pPr>
          </w:p>
        </w:tc>
      </w:tr>
    </w:tbl>
    <w:p w14:paraId="13443FC6">
      <w:pPr>
        <w:rPr>
          <w:rFonts w:ascii="宋体"/>
          <w:b/>
          <w:color w:val="auto"/>
          <w:sz w:val="24"/>
          <w:szCs w:val="24"/>
          <w:highlight w:val="none"/>
        </w:rPr>
      </w:pPr>
    </w:p>
    <w:p w14:paraId="0FD8CF84">
      <w:pPr>
        <w:rPr>
          <w:b/>
          <w:bCs/>
          <w:color w:val="auto"/>
          <w:sz w:val="24"/>
          <w:szCs w:val="24"/>
          <w:highlight w:val="none"/>
        </w:rPr>
      </w:pPr>
      <w:r>
        <w:rPr>
          <w:rFonts w:hint="eastAsia"/>
          <w:b/>
          <w:bCs/>
          <w:color w:val="auto"/>
          <w:sz w:val="24"/>
          <w:szCs w:val="24"/>
          <w:highlight w:val="none"/>
        </w:rPr>
        <w:t>法定代表人或法定代表人授权代表签字或盖章：</w:t>
      </w:r>
    </w:p>
    <w:p w14:paraId="1D273090">
      <w:pPr>
        <w:rPr>
          <w:rFonts w:ascii="宋体"/>
          <w:bCs/>
          <w:color w:val="auto"/>
          <w:sz w:val="30"/>
          <w:highlight w:val="none"/>
        </w:rPr>
      </w:pPr>
    </w:p>
    <w:p w14:paraId="456FE485">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26C88B8F">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2C9E49E0">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p>
    <w:p w14:paraId="1051DEA8">
      <w:pPr>
        <w:ind w:firstLine="420"/>
        <w:rPr>
          <w:rFonts w:ascii="黑体" w:hAnsi="宋体" w:eastAsia="黑体"/>
          <w:bCs/>
          <w:color w:val="auto"/>
          <w:sz w:val="24"/>
          <w:szCs w:val="24"/>
          <w:highlight w:val="none"/>
        </w:rPr>
      </w:pPr>
    </w:p>
    <w:p w14:paraId="2D5F3D3A">
      <w:pPr>
        <w:ind w:firstLine="420"/>
        <w:rPr>
          <w:rFonts w:ascii="黑体" w:hAnsi="宋体" w:eastAsia="黑体"/>
          <w:bCs/>
          <w:color w:val="auto"/>
          <w:sz w:val="24"/>
          <w:szCs w:val="24"/>
          <w:highlight w:val="none"/>
        </w:rPr>
      </w:pPr>
    </w:p>
    <w:p w14:paraId="7153FE30">
      <w:pPr>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（十</w:t>
      </w:r>
      <w:r>
        <w:rPr>
          <w:rFonts w:hint="eastAsia" w:ascii="黑体" w:hAnsi="宋体" w:eastAsia="黑体"/>
          <w:color w:val="auto"/>
          <w:sz w:val="24"/>
          <w:szCs w:val="24"/>
          <w:highlight w:val="none"/>
          <w:lang w:val="en-US" w:eastAsia="zh-CN"/>
        </w:rPr>
        <w:t>一</w:t>
      </w:r>
      <w:r>
        <w:rPr>
          <w:rFonts w:hint="eastAsia" w:ascii="黑体" w:hAnsi="宋体" w:eastAsia="黑体"/>
          <w:color w:val="auto"/>
          <w:sz w:val="24"/>
          <w:szCs w:val="24"/>
          <w:highlight w:val="none"/>
        </w:rPr>
        <w:t>）中标标段优先顺序承诺函（格式）</w:t>
      </w:r>
    </w:p>
    <w:p w14:paraId="006AD825">
      <w:pPr>
        <w:jc w:val="center"/>
        <w:rPr>
          <w:rFonts w:ascii="黑体" w:hAnsi="宋体" w:eastAsia="黑体"/>
          <w:bCs/>
          <w:color w:val="auto"/>
          <w:sz w:val="24"/>
          <w:szCs w:val="24"/>
          <w:highlight w:val="none"/>
        </w:rPr>
      </w:pPr>
    </w:p>
    <w:p w14:paraId="1CDB9284">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中标标段优先顺序承诺函</w:t>
      </w:r>
    </w:p>
    <w:p w14:paraId="2971AF95">
      <w:pPr>
        <w:rPr>
          <w:rFonts w:ascii="宋体" w:hAnsi="宋体" w:eastAsia="宋体"/>
          <w:color w:val="auto"/>
          <w:sz w:val="24"/>
          <w:highlight w:val="none"/>
        </w:rPr>
      </w:pPr>
    </w:p>
    <w:p w14:paraId="7FF388E8">
      <w:pPr>
        <w:rPr>
          <w:rFonts w:ascii="宋体" w:hAnsi="宋体" w:eastAsia="宋体"/>
          <w:b/>
          <w:bCs/>
          <w:color w:val="auto"/>
          <w:sz w:val="24"/>
          <w:highlight w:val="none"/>
          <w:u w:val="single"/>
        </w:rPr>
      </w:pPr>
      <w:r>
        <w:rPr>
          <w:rFonts w:hint="eastAsia" w:ascii="宋体" w:hAnsi="宋体" w:eastAsia="宋体"/>
          <w:bCs/>
          <w:color w:val="auto"/>
          <w:sz w:val="24"/>
          <w:highlight w:val="none"/>
        </w:rPr>
        <w:t>致：</w:t>
      </w:r>
      <w:r>
        <w:rPr>
          <w:rFonts w:hint="eastAsia" w:ascii="宋体" w:hAnsi="宋体" w:eastAsia="宋体"/>
          <w:b/>
          <w:bCs/>
          <w:color w:val="auto"/>
          <w:sz w:val="24"/>
          <w:highlight w:val="none"/>
          <w:u w:val="single"/>
        </w:rPr>
        <w:t xml:space="preserve">    （采购人）             ：</w:t>
      </w:r>
    </w:p>
    <w:p w14:paraId="5CFC22F8">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1、我公司完全理解</w:t>
      </w:r>
      <w:r>
        <w:rPr>
          <w:rFonts w:hint="eastAsia" w:ascii="宋体" w:hAnsi="宋体" w:eastAsia="宋体"/>
          <w:color w:val="auto"/>
          <w:sz w:val="24"/>
          <w:highlight w:val="none"/>
        </w:rPr>
        <w:t>本次招标最多可中一个标段的要求。</w:t>
      </w:r>
      <w:r>
        <w:rPr>
          <w:rFonts w:hint="eastAsia" w:ascii="宋体" w:hAnsi="宋体" w:eastAsia="宋体"/>
          <w:bCs/>
          <w:color w:val="auto"/>
          <w:sz w:val="24"/>
          <w:highlight w:val="none"/>
        </w:rPr>
        <w:t>将按照投标供应商承诺的中标标段优先顺序确定中标标段，并放弃对这方面有不明或误解的权利。</w:t>
      </w:r>
    </w:p>
    <w:p w14:paraId="55E5D4D1">
      <w:pPr>
        <w:widowControl/>
        <w:spacing w:line="400" w:lineRule="exact"/>
        <w:ind w:firstLine="480"/>
        <w:rPr>
          <w:rFonts w:ascii="宋体" w:hAnsi="宋体" w:eastAsia="宋体"/>
          <w:bCs/>
          <w:color w:val="auto"/>
          <w:sz w:val="24"/>
          <w:highlight w:val="none"/>
        </w:rPr>
      </w:pPr>
      <w:r>
        <w:rPr>
          <w:rFonts w:hint="eastAsia" w:ascii="宋体" w:hAnsi="宋体" w:eastAsia="宋体"/>
          <w:bCs/>
          <w:color w:val="auto"/>
          <w:sz w:val="24"/>
          <w:highlight w:val="none"/>
        </w:rPr>
        <w:t>2、如果我公司经评委评审后在多个标段评分排名均为第一名时，我公司愿意按照下表的优先顺序选择排列于前的标段中标，放弃其余标段的中标权。</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05EB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0DA90E3D">
            <w:pPr>
              <w:jc w:val="center"/>
              <w:rPr>
                <w:rFonts w:ascii="宋体" w:hAnsi="宋体" w:eastAsia="宋体"/>
                <w:bCs/>
                <w:color w:val="auto"/>
                <w:sz w:val="24"/>
                <w:highlight w:val="none"/>
              </w:rPr>
            </w:pPr>
            <w:r>
              <w:rPr>
                <w:rFonts w:hint="eastAsia" w:ascii="宋体" w:hAnsi="宋体" w:eastAsia="宋体"/>
                <w:bCs/>
                <w:color w:val="auto"/>
                <w:sz w:val="24"/>
                <w:highlight w:val="none"/>
              </w:rPr>
              <w:t>中标优先顺序</w:t>
            </w:r>
          </w:p>
        </w:tc>
        <w:tc>
          <w:tcPr>
            <w:tcW w:w="3133" w:type="dxa"/>
            <w:noWrap w:val="0"/>
            <w:vAlign w:val="center"/>
          </w:tcPr>
          <w:p w14:paraId="0EBA36FD">
            <w:pPr>
              <w:jc w:val="center"/>
              <w:rPr>
                <w:rFonts w:ascii="宋体" w:hAnsi="宋体" w:eastAsia="宋体"/>
                <w:bCs/>
                <w:color w:val="auto"/>
                <w:sz w:val="24"/>
                <w:highlight w:val="none"/>
              </w:rPr>
            </w:pPr>
            <w:r>
              <w:rPr>
                <w:rFonts w:hint="eastAsia" w:ascii="宋体" w:hAnsi="宋体" w:eastAsia="宋体"/>
                <w:bCs/>
                <w:color w:val="auto"/>
                <w:sz w:val="24"/>
                <w:highlight w:val="none"/>
              </w:rPr>
              <w:t>标段</w:t>
            </w:r>
          </w:p>
        </w:tc>
        <w:tc>
          <w:tcPr>
            <w:tcW w:w="3133" w:type="dxa"/>
            <w:noWrap w:val="0"/>
            <w:vAlign w:val="center"/>
          </w:tcPr>
          <w:p w14:paraId="502542D0">
            <w:pPr>
              <w:jc w:val="center"/>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服务内容</w:t>
            </w:r>
          </w:p>
        </w:tc>
      </w:tr>
      <w:tr w14:paraId="4EBA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5EFDA477">
            <w:pPr>
              <w:jc w:val="center"/>
              <w:rPr>
                <w:rFonts w:ascii="宋体" w:hAnsi="宋体" w:eastAsia="宋体"/>
                <w:bCs/>
                <w:color w:val="auto"/>
                <w:sz w:val="24"/>
                <w:highlight w:val="none"/>
              </w:rPr>
            </w:pPr>
            <w:r>
              <w:rPr>
                <w:rFonts w:hint="eastAsia" w:ascii="宋体" w:hAnsi="宋体" w:eastAsia="宋体"/>
                <w:bCs/>
                <w:color w:val="auto"/>
                <w:sz w:val="24"/>
                <w:highlight w:val="none"/>
              </w:rPr>
              <w:t>1</w:t>
            </w:r>
          </w:p>
        </w:tc>
        <w:tc>
          <w:tcPr>
            <w:tcW w:w="3133" w:type="dxa"/>
            <w:noWrap w:val="0"/>
            <w:vAlign w:val="center"/>
          </w:tcPr>
          <w:p w14:paraId="337B21F8">
            <w:pPr>
              <w:ind w:firstLine="560"/>
              <w:jc w:val="center"/>
              <w:rPr>
                <w:rFonts w:ascii="宋体" w:hAnsi="宋体" w:eastAsia="宋体"/>
                <w:bCs/>
                <w:color w:val="auto"/>
                <w:sz w:val="24"/>
                <w:highlight w:val="none"/>
              </w:rPr>
            </w:pPr>
          </w:p>
        </w:tc>
        <w:tc>
          <w:tcPr>
            <w:tcW w:w="3133" w:type="dxa"/>
            <w:noWrap w:val="0"/>
            <w:vAlign w:val="center"/>
          </w:tcPr>
          <w:p w14:paraId="4A04F8F3">
            <w:pPr>
              <w:ind w:firstLine="560"/>
              <w:jc w:val="center"/>
              <w:rPr>
                <w:rFonts w:ascii="宋体" w:hAnsi="宋体" w:eastAsia="宋体"/>
                <w:bCs/>
                <w:color w:val="auto"/>
                <w:sz w:val="24"/>
                <w:highlight w:val="none"/>
              </w:rPr>
            </w:pPr>
          </w:p>
        </w:tc>
      </w:tr>
      <w:tr w14:paraId="1DD3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149CE6C4">
            <w:pPr>
              <w:jc w:val="center"/>
              <w:rPr>
                <w:rFonts w:ascii="宋体" w:hAnsi="宋体" w:eastAsia="宋体"/>
                <w:bCs/>
                <w:color w:val="auto"/>
                <w:sz w:val="24"/>
                <w:highlight w:val="none"/>
              </w:rPr>
            </w:pPr>
            <w:r>
              <w:rPr>
                <w:rFonts w:hint="eastAsia" w:ascii="宋体" w:hAnsi="宋体" w:eastAsia="宋体"/>
                <w:bCs/>
                <w:color w:val="auto"/>
                <w:sz w:val="24"/>
                <w:highlight w:val="none"/>
              </w:rPr>
              <w:t>2</w:t>
            </w:r>
          </w:p>
        </w:tc>
        <w:tc>
          <w:tcPr>
            <w:tcW w:w="3133" w:type="dxa"/>
            <w:noWrap w:val="0"/>
            <w:vAlign w:val="center"/>
          </w:tcPr>
          <w:p w14:paraId="412A2BB9">
            <w:pPr>
              <w:ind w:firstLine="560"/>
              <w:jc w:val="center"/>
              <w:rPr>
                <w:rFonts w:ascii="宋体" w:hAnsi="宋体" w:eastAsia="宋体"/>
                <w:bCs/>
                <w:color w:val="auto"/>
                <w:sz w:val="24"/>
                <w:highlight w:val="none"/>
              </w:rPr>
            </w:pPr>
          </w:p>
        </w:tc>
        <w:tc>
          <w:tcPr>
            <w:tcW w:w="3133" w:type="dxa"/>
            <w:noWrap w:val="0"/>
            <w:vAlign w:val="center"/>
          </w:tcPr>
          <w:p w14:paraId="09F6FC5E">
            <w:pPr>
              <w:ind w:firstLine="560"/>
              <w:jc w:val="center"/>
              <w:rPr>
                <w:rFonts w:ascii="宋体" w:hAnsi="宋体" w:eastAsia="宋体"/>
                <w:bCs/>
                <w:color w:val="auto"/>
                <w:sz w:val="24"/>
                <w:highlight w:val="none"/>
              </w:rPr>
            </w:pPr>
          </w:p>
        </w:tc>
      </w:tr>
      <w:tr w14:paraId="3E32A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130" w:type="dxa"/>
            <w:noWrap w:val="0"/>
            <w:vAlign w:val="center"/>
          </w:tcPr>
          <w:p w14:paraId="222DD95B">
            <w:pPr>
              <w:jc w:val="center"/>
              <w:rPr>
                <w:rFonts w:ascii="宋体" w:hAnsi="宋体" w:eastAsia="宋体"/>
                <w:bCs/>
                <w:color w:val="auto"/>
                <w:sz w:val="24"/>
                <w:highlight w:val="none"/>
              </w:rPr>
            </w:pPr>
            <w:r>
              <w:rPr>
                <w:rFonts w:hint="eastAsia" w:ascii="宋体" w:hAnsi="宋体" w:eastAsia="宋体"/>
                <w:bCs/>
                <w:color w:val="auto"/>
                <w:sz w:val="24"/>
                <w:highlight w:val="none"/>
              </w:rPr>
              <w:t>3</w:t>
            </w:r>
          </w:p>
        </w:tc>
        <w:tc>
          <w:tcPr>
            <w:tcW w:w="3133" w:type="dxa"/>
            <w:noWrap w:val="0"/>
            <w:vAlign w:val="center"/>
          </w:tcPr>
          <w:p w14:paraId="12A69DFD">
            <w:pPr>
              <w:ind w:firstLine="560"/>
              <w:jc w:val="center"/>
              <w:rPr>
                <w:rFonts w:ascii="宋体" w:hAnsi="宋体" w:eastAsia="宋体"/>
                <w:bCs/>
                <w:color w:val="auto"/>
                <w:sz w:val="24"/>
                <w:highlight w:val="none"/>
              </w:rPr>
            </w:pPr>
          </w:p>
        </w:tc>
        <w:tc>
          <w:tcPr>
            <w:tcW w:w="3133" w:type="dxa"/>
            <w:noWrap w:val="0"/>
            <w:vAlign w:val="center"/>
          </w:tcPr>
          <w:p w14:paraId="5F955FB9">
            <w:pPr>
              <w:ind w:firstLine="560"/>
              <w:jc w:val="center"/>
              <w:rPr>
                <w:rFonts w:ascii="宋体" w:hAnsi="宋体" w:eastAsia="宋体"/>
                <w:bCs/>
                <w:color w:val="auto"/>
                <w:sz w:val="24"/>
                <w:highlight w:val="none"/>
              </w:rPr>
            </w:pPr>
          </w:p>
        </w:tc>
      </w:tr>
      <w:tr w14:paraId="6ABC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130" w:type="dxa"/>
            <w:noWrap w:val="0"/>
            <w:vAlign w:val="center"/>
          </w:tcPr>
          <w:p w14:paraId="0A2E5E39">
            <w:pPr>
              <w:jc w:val="center"/>
              <w:rPr>
                <w:rFonts w:ascii="宋体" w:hAnsi="宋体" w:eastAsia="宋体"/>
                <w:bCs/>
                <w:color w:val="auto"/>
                <w:sz w:val="24"/>
                <w:highlight w:val="none"/>
              </w:rPr>
            </w:pPr>
          </w:p>
        </w:tc>
        <w:tc>
          <w:tcPr>
            <w:tcW w:w="3133" w:type="dxa"/>
            <w:noWrap w:val="0"/>
            <w:vAlign w:val="center"/>
          </w:tcPr>
          <w:p w14:paraId="3ADFCC03">
            <w:pPr>
              <w:ind w:firstLine="560"/>
              <w:jc w:val="center"/>
              <w:rPr>
                <w:rFonts w:ascii="宋体" w:hAnsi="宋体" w:eastAsia="宋体"/>
                <w:bCs/>
                <w:color w:val="auto"/>
                <w:sz w:val="24"/>
                <w:highlight w:val="none"/>
              </w:rPr>
            </w:pPr>
          </w:p>
        </w:tc>
        <w:tc>
          <w:tcPr>
            <w:tcW w:w="3133" w:type="dxa"/>
            <w:noWrap w:val="0"/>
            <w:vAlign w:val="center"/>
          </w:tcPr>
          <w:p w14:paraId="6D671EA3">
            <w:pPr>
              <w:ind w:firstLine="560"/>
              <w:jc w:val="center"/>
              <w:rPr>
                <w:rFonts w:ascii="宋体" w:hAnsi="宋体" w:eastAsia="宋体"/>
                <w:bCs/>
                <w:color w:val="auto"/>
                <w:sz w:val="24"/>
                <w:highlight w:val="none"/>
              </w:rPr>
            </w:pPr>
          </w:p>
        </w:tc>
      </w:tr>
    </w:tbl>
    <w:p w14:paraId="301058EA">
      <w:pPr>
        <w:rPr>
          <w:rFonts w:ascii="宋体" w:hAnsi="宋体" w:eastAsia="宋体"/>
          <w:bCs/>
          <w:color w:val="auto"/>
          <w:sz w:val="24"/>
          <w:highlight w:val="none"/>
        </w:rPr>
      </w:pPr>
    </w:p>
    <w:p w14:paraId="7B5E7474">
      <w:pPr>
        <w:rPr>
          <w:rFonts w:ascii="宋体" w:hAnsi="宋体" w:eastAsia="宋体"/>
          <w:bCs/>
          <w:color w:val="auto"/>
          <w:sz w:val="24"/>
          <w:highlight w:val="none"/>
        </w:rPr>
      </w:pPr>
    </w:p>
    <w:p w14:paraId="0B245DAC">
      <w:pPr>
        <w:rPr>
          <w:rFonts w:ascii="宋体" w:hAnsi="宋体" w:eastAsia="宋体"/>
          <w:bCs/>
          <w:color w:val="auto"/>
          <w:sz w:val="24"/>
          <w:highlight w:val="none"/>
        </w:rPr>
      </w:pPr>
    </w:p>
    <w:p w14:paraId="0FDF246F">
      <w:pPr>
        <w:ind w:firstLine="560"/>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                                  投标供应商（全称并加盖公章）：</w:t>
      </w:r>
    </w:p>
    <w:p w14:paraId="217CA96E">
      <w:pPr>
        <w:rPr>
          <w:rFonts w:ascii="宋体" w:hAnsi="宋体" w:eastAsia="宋体"/>
          <w:color w:val="auto"/>
          <w:sz w:val="24"/>
          <w:highlight w:val="none"/>
        </w:rPr>
      </w:pPr>
    </w:p>
    <w:p w14:paraId="0FA28D09">
      <w:pPr>
        <w:rPr>
          <w:rFonts w:ascii="宋体" w:hAnsi="宋体" w:eastAsia="宋体"/>
          <w:color w:val="auto"/>
          <w:sz w:val="24"/>
          <w:highlight w:val="none"/>
        </w:rPr>
      </w:pPr>
    </w:p>
    <w:p w14:paraId="632CA3C1">
      <w:pPr>
        <w:ind w:firstLine="5760"/>
        <w:jc w:val="left"/>
        <w:rPr>
          <w:rFonts w:ascii="宋体" w:hAnsi="宋体" w:eastAsia="宋体"/>
          <w:color w:val="auto"/>
          <w:sz w:val="24"/>
          <w:highlight w:val="none"/>
        </w:rPr>
      </w:pPr>
      <w:r>
        <w:rPr>
          <w:rFonts w:hint="eastAsia" w:ascii="宋体" w:hAnsi="宋体" w:eastAsia="宋体"/>
          <w:color w:val="auto"/>
          <w:sz w:val="24"/>
          <w:highlight w:val="none"/>
        </w:rPr>
        <w:t>日期：</w:t>
      </w:r>
    </w:p>
    <w:p w14:paraId="2F46EEC2">
      <w:pPr>
        <w:spacing w:line="480" w:lineRule="auto"/>
        <w:rPr>
          <w:rFonts w:ascii="宋体" w:hAnsi="宋体"/>
          <w:bCs/>
          <w:color w:val="auto"/>
          <w:szCs w:val="21"/>
          <w:highlight w:val="none"/>
        </w:rPr>
      </w:pPr>
    </w:p>
    <w:p w14:paraId="6EA3CC2B">
      <w:pPr>
        <w:rPr>
          <w:rFonts w:hint="eastAsia" w:ascii="黑体" w:hAnsi="宋体" w:eastAsia="黑体"/>
          <w:bCs/>
          <w:color w:val="auto"/>
          <w:sz w:val="24"/>
          <w:szCs w:val="24"/>
          <w:highlight w:val="none"/>
        </w:rPr>
      </w:pPr>
      <w:r>
        <w:rPr>
          <w:rFonts w:ascii="宋体" w:hAnsi="宋体"/>
          <w:bCs/>
          <w:color w:val="auto"/>
          <w:szCs w:val="21"/>
          <w:highlight w:val="none"/>
        </w:rPr>
        <w:br w:type="page" w:clear="all"/>
      </w:r>
    </w:p>
    <w:p w14:paraId="066236DB">
      <w:pPr>
        <w:spacing w:line="360" w:lineRule="auto"/>
        <w:ind w:firstLine="480"/>
        <w:rPr>
          <w:rFonts w:ascii="黑体" w:hAnsi="宋体" w:eastAsia="黑体"/>
          <w:color w:val="auto"/>
          <w:sz w:val="24"/>
          <w:szCs w:val="24"/>
          <w:highlight w:val="none"/>
        </w:rPr>
      </w:pPr>
      <w:r>
        <w:rPr>
          <w:rFonts w:hint="eastAsia" w:ascii="黑体" w:hAnsi="宋体" w:eastAsia="黑体"/>
          <w:bCs/>
          <w:color w:val="auto"/>
          <w:sz w:val="24"/>
          <w:szCs w:val="24"/>
          <w:highlight w:val="none"/>
          <w:lang w:eastAsia="zh-CN"/>
        </w:rPr>
        <w:t>（</w:t>
      </w:r>
      <w:r>
        <w:rPr>
          <w:rFonts w:hint="eastAsia" w:ascii="黑体" w:hAnsi="宋体" w:eastAsia="黑体"/>
          <w:bCs/>
          <w:color w:val="auto"/>
          <w:sz w:val="24"/>
          <w:szCs w:val="24"/>
          <w:highlight w:val="none"/>
          <w:lang w:val="en-US" w:eastAsia="zh-CN"/>
        </w:rPr>
        <w:t>十二</w:t>
      </w:r>
      <w:r>
        <w:rPr>
          <w:rFonts w:hint="eastAsia" w:ascii="黑体" w:hAnsi="宋体" w:eastAsia="黑体"/>
          <w:bCs/>
          <w:color w:val="auto"/>
          <w:sz w:val="24"/>
          <w:szCs w:val="24"/>
          <w:highlight w:val="none"/>
          <w:lang w:eastAsia="zh-CN"/>
        </w:rPr>
        <w:t>）</w:t>
      </w:r>
      <w:r>
        <w:rPr>
          <w:rFonts w:hint="eastAsia" w:ascii="黑体" w:hAnsi="宋体" w:eastAsia="黑体"/>
          <w:bCs/>
          <w:color w:val="auto"/>
          <w:sz w:val="24"/>
          <w:szCs w:val="24"/>
          <w:highlight w:val="none"/>
        </w:rPr>
        <w:t>技术方案（格式自拟）</w:t>
      </w:r>
    </w:p>
    <w:p w14:paraId="6ABB9957">
      <w:pPr>
        <w:spacing w:line="360" w:lineRule="auto"/>
        <w:ind w:firstLine="480"/>
        <w:jc w:val="center"/>
        <w:rPr>
          <w:rFonts w:ascii="宋体" w:hAnsi="宋体"/>
          <w:bCs/>
          <w:color w:val="auto"/>
          <w:sz w:val="24"/>
          <w:szCs w:val="24"/>
          <w:highlight w:val="none"/>
        </w:rPr>
      </w:pPr>
    </w:p>
    <w:p w14:paraId="5C71B60C">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77B1C183">
      <w:pPr>
        <w:pStyle w:val="357"/>
        <w:spacing w:line="360" w:lineRule="auto"/>
        <w:ind w:firstLine="0"/>
        <w:rPr>
          <w:rFonts w:hint="eastAsia" w:ascii="宋体" w:hAnsi="宋体"/>
          <w:b/>
          <w:color w:val="auto"/>
          <w:sz w:val="24"/>
          <w:szCs w:val="24"/>
          <w:highlight w:val="none"/>
        </w:rPr>
      </w:pPr>
      <w:r>
        <w:rPr>
          <w:rFonts w:hint="eastAsia"/>
          <w:color w:val="auto"/>
          <w:sz w:val="24"/>
          <w:highlight w:val="none"/>
        </w:rPr>
        <w:t>投标供应商应按评分点编制完整的服务方案，</w:t>
      </w:r>
      <w:r>
        <w:rPr>
          <w:color w:val="auto"/>
          <w:sz w:val="24"/>
          <w:highlight w:val="none"/>
        </w:rPr>
        <w:t>以便评审。</w:t>
      </w:r>
    </w:p>
    <w:sectPr>
      <w:pgSz w:w="11906" w:h="16838"/>
      <w:pgMar w:top="1440" w:right="1080" w:bottom="1440" w:left="1080" w:header="624" w:footer="90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CE5A827-5855-46C3-8F5F-D3A9EA63149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auto"/>
    <w:pitch w:val="default"/>
    <w:sig w:usb0="00000001" w:usb1="080E0000" w:usb2="00000000" w:usb3="00000000" w:csb0="00040000" w:csb1="00000000"/>
    <w:embedRegular r:id="rId2" w:fontKey="{49841F5B-0877-4CA3-AF64-BCC48C431BA9}"/>
  </w:font>
  <w:font w:name="华文中宋">
    <w:panose1 w:val="02010600040101010101"/>
    <w:charset w:val="86"/>
    <w:family w:val="auto"/>
    <w:pitch w:val="default"/>
    <w:sig w:usb0="00000287" w:usb1="080F0000" w:usb2="00000000" w:usb3="00000000" w:csb0="0004009F" w:csb1="DFD70000"/>
    <w:embedRegular r:id="rId3" w:fontKey="{BF17CD98-5A5B-4305-9DCC-3B46F547A06F}"/>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宋体-简">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6FC06">
    <w:pPr>
      <w:pStyle w:val="1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5</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C0EC6">
    <w:pPr>
      <w:pStyle w:val="170"/>
    </w:pPr>
    <w:r>
      <w:rPr>
        <w:rFonts w:hint="eastAsia" w:ascii="宋体" w:hAnsi="宋体"/>
        <w:lang w:eastAsia="zh-CN"/>
      </w:rPr>
      <w:t>JSZC-320214-JSZH-G2026-0029</w:t>
    </w:r>
    <w:r>
      <w:rPr>
        <w:rFonts w:hint="eastAsia" w:ascii="宋体" w:hAnsi="宋体"/>
      </w:rPr>
      <w:t xml:space="preserve">                             </w:t>
    </w:r>
    <w:r>
      <w:rPr>
        <w:rFonts w:hint="eastAsia" w:ascii="宋体" w:hAnsi="宋体"/>
        <w:lang w:eastAsia="zh-CN"/>
      </w:rPr>
      <w:t>无锡市新吴区2026年执法监测服务采购项目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4">
    <w:nsid w:val="CF092B84"/>
    <w:multiLevelType w:val="multilevel"/>
    <w:tmpl w:val="CF092B84"/>
    <w:lvl w:ilvl="0" w:tentative="0">
      <w:start w:val="1"/>
      <w:numFmt w:val="bullet"/>
      <w:pStyle w:val="15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053208E"/>
    <w:multiLevelType w:val="multilevel"/>
    <w:tmpl w:val="0053208E"/>
    <w:lvl w:ilvl="0" w:tentative="0">
      <w:start w:val="1"/>
      <w:numFmt w:val="upperLetter"/>
      <w:pStyle w:val="14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13"/>
  </w:num>
  <w:num w:numId="8">
    <w:abstractNumId w:val="7"/>
  </w:num>
  <w:num w:numId="9">
    <w:abstractNumId w:val="0"/>
  </w:num>
  <w:num w:numId="10">
    <w:abstractNumId w:val="9"/>
  </w:num>
  <w:num w:numId="11">
    <w:abstractNumId w:val="12"/>
  </w:num>
  <w:num w:numId="12">
    <w:abstractNumId w:val="3"/>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03C9A"/>
    <w:rsid w:val="0A8D680B"/>
    <w:rsid w:val="0F273882"/>
    <w:rsid w:val="0F640BF7"/>
    <w:rsid w:val="102D799D"/>
    <w:rsid w:val="14043310"/>
    <w:rsid w:val="141B014F"/>
    <w:rsid w:val="149A777C"/>
    <w:rsid w:val="15DE4D70"/>
    <w:rsid w:val="17255A22"/>
    <w:rsid w:val="183B7C4F"/>
    <w:rsid w:val="194D435E"/>
    <w:rsid w:val="19D92AF4"/>
    <w:rsid w:val="19DB0315"/>
    <w:rsid w:val="1DFB342C"/>
    <w:rsid w:val="1FE792F9"/>
    <w:rsid w:val="20EE7AB0"/>
    <w:rsid w:val="24906B8B"/>
    <w:rsid w:val="25FC3DF2"/>
    <w:rsid w:val="268E133C"/>
    <w:rsid w:val="26970C00"/>
    <w:rsid w:val="27CF7A36"/>
    <w:rsid w:val="29B50E88"/>
    <w:rsid w:val="2A425534"/>
    <w:rsid w:val="2B676BEA"/>
    <w:rsid w:val="2BBB2606"/>
    <w:rsid w:val="2C0F4990"/>
    <w:rsid w:val="2D6608CC"/>
    <w:rsid w:val="2E7A6874"/>
    <w:rsid w:val="2EAD5A76"/>
    <w:rsid w:val="2EE67D35"/>
    <w:rsid w:val="2F036D0E"/>
    <w:rsid w:val="2FE74B02"/>
    <w:rsid w:val="31C86797"/>
    <w:rsid w:val="320D55D9"/>
    <w:rsid w:val="325E42E1"/>
    <w:rsid w:val="34601310"/>
    <w:rsid w:val="354C1B97"/>
    <w:rsid w:val="35E30B2B"/>
    <w:rsid w:val="37C236B3"/>
    <w:rsid w:val="37EE4E6A"/>
    <w:rsid w:val="385954CF"/>
    <w:rsid w:val="389C1A90"/>
    <w:rsid w:val="38C572D8"/>
    <w:rsid w:val="3B684B69"/>
    <w:rsid w:val="3BB76311"/>
    <w:rsid w:val="3D0D077A"/>
    <w:rsid w:val="3E88226F"/>
    <w:rsid w:val="3EA80B63"/>
    <w:rsid w:val="408238D6"/>
    <w:rsid w:val="41110471"/>
    <w:rsid w:val="418216D1"/>
    <w:rsid w:val="41DA20F2"/>
    <w:rsid w:val="42927646"/>
    <w:rsid w:val="453771FE"/>
    <w:rsid w:val="4598098E"/>
    <w:rsid w:val="477261B2"/>
    <w:rsid w:val="47FD05D7"/>
    <w:rsid w:val="4B0C5FD6"/>
    <w:rsid w:val="4C2757BD"/>
    <w:rsid w:val="4D2F00A4"/>
    <w:rsid w:val="4ED41763"/>
    <w:rsid w:val="4F80585B"/>
    <w:rsid w:val="50E82473"/>
    <w:rsid w:val="53D94166"/>
    <w:rsid w:val="54E34D53"/>
    <w:rsid w:val="57150727"/>
    <w:rsid w:val="57972EE6"/>
    <w:rsid w:val="59BA6C66"/>
    <w:rsid w:val="59C5511F"/>
    <w:rsid w:val="5A527EF2"/>
    <w:rsid w:val="5A89660B"/>
    <w:rsid w:val="5BC326AB"/>
    <w:rsid w:val="5C331DB8"/>
    <w:rsid w:val="5D3A0EBA"/>
    <w:rsid w:val="5D8A4E13"/>
    <w:rsid w:val="616109D2"/>
    <w:rsid w:val="61E56D9F"/>
    <w:rsid w:val="64112C89"/>
    <w:rsid w:val="64F733FB"/>
    <w:rsid w:val="694035C3"/>
    <w:rsid w:val="6BC76F8A"/>
    <w:rsid w:val="6C082F53"/>
    <w:rsid w:val="6C1358F7"/>
    <w:rsid w:val="6C1A6837"/>
    <w:rsid w:val="6D70219D"/>
    <w:rsid w:val="6DDD5DDB"/>
    <w:rsid w:val="6DE361C6"/>
    <w:rsid w:val="6FB260D7"/>
    <w:rsid w:val="72B07AAD"/>
    <w:rsid w:val="731D1428"/>
    <w:rsid w:val="7556678F"/>
    <w:rsid w:val="76E25336"/>
    <w:rsid w:val="777D3BD5"/>
    <w:rsid w:val="77855A78"/>
    <w:rsid w:val="77AA41E1"/>
    <w:rsid w:val="78D658BA"/>
    <w:rsid w:val="7A7642EF"/>
    <w:rsid w:val="7B0A01E6"/>
    <w:rsid w:val="7B6A7F12"/>
    <w:rsid w:val="7BC83BA6"/>
    <w:rsid w:val="7C873F25"/>
    <w:rsid w:val="7D2C2AE8"/>
    <w:rsid w:val="7E0E0FC0"/>
    <w:rsid w:val="7E1A037B"/>
    <w:rsid w:val="7EE95249"/>
    <w:rsid w:val="7FCE1523"/>
    <w:rsid w:val="A7F34F65"/>
    <w:rsid w:val="AFB9ACFB"/>
    <w:rsid w:val="BDFC7060"/>
    <w:rsid w:val="BE7F173D"/>
    <w:rsid w:val="EB5DEC6F"/>
    <w:rsid w:val="EBAF54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7"/>
    <w:qFormat/>
    <w:uiPriority w:val="0"/>
    <w:pPr>
      <w:widowControl w:val="0"/>
      <w:jc w:val="both"/>
    </w:pPr>
    <w:rPr>
      <w:rFonts w:hint="default" w:ascii="Times New Roman" w:hAnsi="Times New Roman" w:eastAsia="宋体" w:cs="Times New Roman"/>
      <w:sz w:val="21"/>
      <w:lang w:val="en-US" w:eastAsia="zh-CN" w:bidi="ar-SA"/>
    </w:rPr>
  </w:style>
  <w:style w:type="paragraph" w:styleId="6">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BodyText1I2"/>
    <w:basedOn w:val="3"/>
    <w:next w:val="5"/>
    <w:autoRedefine/>
    <w:qFormat/>
    <w:uiPriority w:val="0"/>
    <w:pPr>
      <w:spacing w:after="120"/>
      <w:ind w:left="420" w:leftChars="200" w:firstLine="420"/>
    </w:pPr>
  </w:style>
  <w:style w:type="paragraph" w:customStyle="1" w:styleId="3">
    <w:name w:val="BodyTextIndent"/>
    <w:basedOn w:val="1"/>
    <w:next w:val="4"/>
    <w:autoRedefine/>
    <w:qFormat/>
    <w:uiPriority w:val="0"/>
    <w:pPr>
      <w:ind w:firstLine="900"/>
    </w:pPr>
    <w:rPr>
      <w:sz w:val="28"/>
    </w:rPr>
  </w:style>
  <w:style w:type="paragraph" w:customStyle="1" w:styleId="4">
    <w:name w:val="NormalIndent"/>
    <w:basedOn w:val="1"/>
    <w:next w:val="3"/>
    <w:autoRedefine/>
    <w:qFormat/>
    <w:uiPriority w:val="0"/>
    <w:pPr>
      <w:ind w:firstLine="420"/>
    </w:pPr>
  </w:style>
  <w:style w:type="paragraph" w:customStyle="1" w:styleId="5">
    <w:name w:val="UserStyle_14"/>
    <w:basedOn w:val="1"/>
    <w:next w:val="1"/>
    <w:autoRedefine/>
    <w:qFormat/>
    <w:uiPriority w:val="0"/>
    <w:pPr>
      <w:spacing w:before="280" w:after="280" w:line="100" w:lineRule="exact"/>
      <w:jc w:val="center"/>
      <w:textAlignment w:val="baseline"/>
    </w:pPr>
    <w:rPr>
      <w:b/>
      <w:sz w:val="20"/>
    </w:rPr>
  </w:style>
  <w:style w:type="paragraph" w:styleId="15">
    <w:name w:val="toc 7"/>
    <w:basedOn w:val="1"/>
    <w:next w:val="1"/>
    <w:unhideWhenUsed/>
    <w:qFormat/>
    <w:uiPriority w:val="39"/>
    <w:pPr>
      <w:spacing w:after="57"/>
      <w:ind w:left="1701" w:right="0" w:firstLine="0"/>
    </w:pPr>
  </w:style>
  <w:style w:type="paragraph" w:styleId="16">
    <w:name w:val="Normal Indent"/>
    <w:basedOn w:val="1"/>
    <w:semiHidden/>
    <w:unhideWhenUsed/>
    <w:qFormat/>
    <w:uiPriority w:val="99"/>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0"/>
      <w:sz w:val="21"/>
      <w:szCs w:val="21"/>
      <w:lang w:val="en-US" w:eastAsia="zh-CN" w:bidi="ar"/>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Body Text"/>
    <w:basedOn w:val="1"/>
    <w:unhideWhenUsed/>
    <w:qFormat/>
    <w:uiPriority w:val="99"/>
    <w:pPr>
      <w:spacing w:after="120"/>
    </w:pPr>
    <w:rPr>
      <w:rFonts w:ascii="Times New Roman" w:hAnsi="Times New Roman"/>
      <w:sz w:val="20"/>
      <w:lang w:val="zh-CN"/>
    </w:rPr>
  </w:style>
  <w:style w:type="paragraph" w:styleId="19">
    <w:name w:val="Body Text Indent"/>
    <w:basedOn w:val="1"/>
    <w:qFormat/>
    <w:uiPriority w:val="0"/>
    <w:pPr>
      <w:spacing w:after="120"/>
      <w:ind w:left="420" w:leftChars="20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semiHidden/>
    <w:unhideWhenUsed/>
    <w:qFormat/>
    <w:uiPriority w:val="99"/>
    <w:pPr>
      <w:spacing w:after="0" w:line="240" w:lineRule="auto"/>
    </w:pPr>
    <w:rPr>
      <w:sz w:val="20"/>
    </w:rPr>
  </w:style>
  <w:style w:type="paragraph" w:styleId="24">
    <w:name w:val="footer"/>
    <w:basedOn w:val="1"/>
    <w:unhideWhenUsed/>
    <w:qFormat/>
    <w:uiPriority w:val="99"/>
    <w:pPr>
      <w:tabs>
        <w:tab w:val="center" w:pos="7143"/>
        <w:tab w:val="right" w:pos="14287"/>
      </w:tabs>
      <w:spacing w:after="0" w:line="240" w:lineRule="auto"/>
    </w:p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semiHidden/>
    <w:unhideWhenUsed/>
    <w:qFormat/>
    <w:uiPriority w:val="99"/>
    <w:rPr>
      <w:sz w:val="24"/>
    </w:r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2"/>
    <w:basedOn w:val="19"/>
    <w:qFormat/>
    <w:uiPriority w:val="0"/>
    <w:pPr>
      <w:spacing w:after="0"/>
      <w:ind w:firstLine="420" w:firstLineChars="200"/>
    </w:pPr>
    <w:rPr>
      <w:sz w:val="30"/>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标题 112"/>
    <w:basedOn w:val="1"/>
    <w:next w:val="1"/>
    <w:link w:val="54"/>
    <w:qFormat/>
    <w:uiPriority w:val="9"/>
    <w:pPr>
      <w:keepNext/>
      <w:keepLines/>
      <w:spacing w:before="480" w:after="200"/>
      <w:outlineLvl w:val="0"/>
    </w:pPr>
    <w:rPr>
      <w:rFonts w:ascii="Arial" w:hAnsi="Arial" w:eastAsia="Arial" w:cs="Arial"/>
      <w:sz w:val="40"/>
      <w:szCs w:val="40"/>
    </w:rPr>
  </w:style>
  <w:style w:type="paragraph" w:customStyle="1" w:styleId="44">
    <w:name w:val="标题 212"/>
    <w:basedOn w:val="1"/>
    <w:next w:val="1"/>
    <w:link w:val="55"/>
    <w:unhideWhenUsed/>
    <w:qFormat/>
    <w:uiPriority w:val="9"/>
    <w:pPr>
      <w:keepNext/>
      <w:keepLines/>
      <w:spacing w:before="360" w:after="200"/>
      <w:outlineLvl w:val="1"/>
    </w:pPr>
    <w:rPr>
      <w:rFonts w:ascii="Arial" w:hAnsi="Arial" w:eastAsia="Arial" w:cs="Arial"/>
      <w:sz w:val="34"/>
    </w:rPr>
  </w:style>
  <w:style w:type="paragraph" w:customStyle="1" w:styleId="45">
    <w:name w:val="标题 312"/>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customStyle="1" w:styleId="46">
    <w:name w:val="标题 412"/>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customStyle="1" w:styleId="47">
    <w:name w:val="标题 512"/>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customStyle="1" w:styleId="48">
    <w:name w:val="标题 611"/>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customStyle="1" w:styleId="49">
    <w:name w:val="标题 711"/>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0">
    <w:name w:val="标题 811"/>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customStyle="1" w:styleId="51">
    <w:name w:val="标题 911"/>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customStyle="1" w:styleId="52">
    <w:name w:val="默认段落字体12"/>
    <w:link w:val="1"/>
    <w:unhideWhenUsed/>
    <w:qFormat/>
    <w:uiPriority w:val="1"/>
  </w:style>
  <w:style w:type="table" w:customStyle="1" w:styleId="53">
    <w:name w:val="普通表格12"/>
    <w:unhideWhenUsed/>
    <w:qFormat/>
    <w:uiPriority w:val="99"/>
  </w:style>
  <w:style w:type="character" w:customStyle="1" w:styleId="54">
    <w:name w:val="Heading 1 Char"/>
    <w:link w:val="43"/>
    <w:qFormat/>
    <w:uiPriority w:val="9"/>
    <w:rPr>
      <w:rFonts w:ascii="Arial" w:hAnsi="Arial" w:eastAsia="Arial" w:cs="Arial"/>
      <w:sz w:val="40"/>
      <w:szCs w:val="40"/>
    </w:rPr>
  </w:style>
  <w:style w:type="character" w:customStyle="1" w:styleId="55">
    <w:name w:val="Heading 2 Char"/>
    <w:link w:val="44"/>
    <w:qFormat/>
    <w:uiPriority w:val="9"/>
    <w:rPr>
      <w:rFonts w:ascii="Arial" w:hAnsi="Arial" w:eastAsia="Arial" w:cs="Arial"/>
      <w:sz w:val="34"/>
    </w:rPr>
  </w:style>
  <w:style w:type="character" w:customStyle="1" w:styleId="56">
    <w:name w:val="Heading 3 Char"/>
    <w:link w:val="45"/>
    <w:qFormat/>
    <w:uiPriority w:val="9"/>
    <w:rPr>
      <w:rFonts w:ascii="Arial" w:hAnsi="Arial" w:eastAsia="Arial" w:cs="Arial"/>
      <w:sz w:val="30"/>
      <w:szCs w:val="30"/>
    </w:rPr>
  </w:style>
  <w:style w:type="character" w:customStyle="1" w:styleId="57">
    <w:name w:val="Heading 4 Char"/>
    <w:link w:val="46"/>
    <w:qFormat/>
    <w:uiPriority w:val="9"/>
    <w:rPr>
      <w:rFonts w:ascii="Arial" w:hAnsi="Arial" w:eastAsia="Arial" w:cs="Arial"/>
      <w:b/>
      <w:bCs/>
      <w:sz w:val="26"/>
      <w:szCs w:val="26"/>
    </w:rPr>
  </w:style>
  <w:style w:type="character" w:customStyle="1" w:styleId="58">
    <w:name w:val="Heading 5 Char"/>
    <w:link w:val="47"/>
    <w:qFormat/>
    <w:uiPriority w:val="9"/>
    <w:rPr>
      <w:rFonts w:ascii="Arial" w:hAnsi="Arial" w:eastAsia="Arial" w:cs="Arial"/>
      <w:b/>
      <w:bCs/>
      <w:sz w:val="24"/>
      <w:szCs w:val="24"/>
    </w:rPr>
  </w:style>
  <w:style w:type="character" w:customStyle="1" w:styleId="59">
    <w:name w:val="Heading 6 Char"/>
    <w:link w:val="48"/>
    <w:qFormat/>
    <w:uiPriority w:val="9"/>
    <w:rPr>
      <w:rFonts w:ascii="Arial" w:hAnsi="Arial" w:eastAsia="Arial" w:cs="Arial"/>
      <w:b/>
      <w:bCs/>
      <w:sz w:val="22"/>
      <w:szCs w:val="22"/>
    </w:rPr>
  </w:style>
  <w:style w:type="character" w:customStyle="1" w:styleId="60">
    <w:name w:val="Heading 7 Char"/>
    <w:link w:val="49"/>
    <w:qFormat/>
    <w:uiPriority w:val="9"/>
    <w:rPr>
      <w:rFonts w:ascii="Arial" w:hAnsi="Arial" w:eastAsia="Arial" w:cs="Arial"/>
      <w:b/>
      <w:bCs/>
      <w:i/>
      <w:iCs/>
      <w:sz w:val="22"/>
      <w:szCs w:val="22"/>
    </w:rPr>
  </w:style>
  <w:style w:type="character" w:customStyle="1" w:styleId="61">
    <w:name w:val="Heading 8 Char"/>
    <w:link w:val="50"/>
    <w:qFormat/>
    <w:uiPriority w:val="9"/>
    <w:rPr>
      <w:rFonts w:ascii="Arial" w:hAnsi="Arial" w:eastAsia="Arial" w:cs="Arial"/>
      <w:i/>
      <w:iCs/>
      <w:sz w:val="22"/>
      <w:szCs w:val="22"/>
    </w:rPr>
  </w:style>
  <w:style w:type="character" w:customStyle="1" w:styleId="62">
    <w:name w:val="Heading 9 Char"/>
    <w:link w:val="51"/>
    <w:qFormat/>
    <w:uiPriority w:val="9"/>
    <w:rPr>
      <w:rFonts w:ascii="Arial" w:hAnsi="Arial" w:eastAsia="Arial" w:cs="Arial"/>
      <w:i/>
      <w:iCs/>
      <w:sz w:val="21"/>
      <w:szCs w:val="21"/>
    </w:rPr>
  </w:style>
  <w:style w:type="paragraph" w:customStyle="1" w:styleId="63">
    <w:name w:val="目录 712"/>
    <w:basedOn w:val="1"/>
    <w:next w:val="1"/>
    <w:unhideWhenUsed/>
    <w:qFormat/>
    <w:uiPriority w:val="39"/>
    <w:pPr>
      <w:spacing w:after="57"/>
      <w:ind w:left="1701" w:right="0" w:firstLine="0"/>
    </w:pPr>
  </w:style>
  <w:style w:type="paragraph" w:customStyle="1" w:styleId="64">
    <w:name w:val="题注11"/>
    <w:basedOn w:val="1"/>
    <w:next w:val="1"/>
    <w:unhideWhenUsed/>
    <w:qFormat/>
    <w:uiPriority w:val="35"/>
    <w:pPr>
      <w:spacing w:line="276" w:lineRule="auto"/>
    </w:pPr>
    <w:rPr>
      <w:b/>
      <w:bCs/>
      <w:color w:val="4F81BD"/>
      <w:sz w:val="18"/>
      <w:szCs w:val="18"/>
    </w:rPr>
  </w:style>
  <w:style w:type="paragraph" w:customStyle="1" w:styleId="65">
    <w:name w:val="目录 512"/>
    <w:basedOn w:val="1"/>
    <w:next w:val="1"/>
    <w:unhideWhenUsed/>
    <w:qFormat/>
    <w:uiPriority w:val="39"/>
    <w:pPr>
      <w:spacing w:after="57"/>
      <w:ind w:left="1134" w:right="0" w:firstLine="0"/>
    </w:pPr>
  </w:style>
  <w:style w:type="paragraph" w:customStyle="1" w:styleId="66">
    <w:name w:val="目录 312"/>
    <w:basedOn w:val="1"/>
    <w:next w:val="1"/>
    <w:unhideWhenUsed/>
    <w:qFormat/>
    <w:uiPriority w:val="39"/>
    <w:pPr>
      <w:spacing w:after="57"/>
      <w:ind w:left="567" w:right="0" w:firstLine="0"/>
    </w:pPr>
  </w:style>
  <w:style w:type="paragraph" w:customStyle="1" w:styleId="67">
    <w:name w:val="目录 812"/>
    <w:basedOn w:val="1"/>
    <w:next w:val="1"/>
    <w:unhideWhenUsed/>
    <w:qFormat/>
    <w:uiPriority w:val="39"/>
    <w:pPr>
      <w:spacing w:after="57"/>
      <w:ind w:left="1984" w:right="0" w:firstLine="0"/>
    </w:pPr>
  </w:style>
  <w:style w:type="paragraph" w:customStyle="1" w:styleId="68">
    <w:name w:val="尾注文本12"/>
    <w:basedOn w:val="1"/>
    <w:unhideWhenUsed/>
    <w:qFormat/>
    <w:uiPriority w:val="99"/>
    <w:pPr>
      <w:spacing w:after="0" w:line="240" w:lineRule="auto"/>
    </w:pPr>
    <w:rPr>
      <w:sz w:val="20"/>
    </w:rPr>
  </w:style>
  <w:style w:type="paragraph" w:customStyle="1" w:styleId="69">
    <w:name w:val="页脚13"/>
    <w:basedOn w:val="1"/>
    <w:unhideWhenUsed/>
    <w:qFormat/>
    <w:uiPriority w:val="99"/>
    <w:pPr>
      <w:tabs>
        <w:tab w:val="center" w:pos="7143"/>
        <w:tab w:val="right" w:pos="14287"/>
      </w:tabs>
      <w:spacing w:after="0" w:line="240" w:lineRule="auto"/>
    </w:pPr>
  </w:style>
  <w:style w:type="paragraph" w:customStyle="1" w:styleId="70">
    <w:name w:val="页眉12"/>
    <w:basedOn w:val="1"/>
    <w:unhideWhenUsed/>
    <w:qFormat/>
    <w:uiPriority w:val="99"/>
    <w:pPr>
      <w:tabs>
        <w:tab w:val="center" w:pos="7143"/>
        <w:tab w:val="right" w:pos="14287"/>
      </w:tabs>
      <w:spacing w:after="0" w:line="240" w:lineRule="auto"/>
    </w:pPr>
  </w:style>
  <w:style w:type="paragraph" w:customStyle="1" w:styleId="71">
    <w:name w:val="目录 112"/>
    <w:basedOn w:val="1"/>
    <w:next w:val="1"/>
    <w:unhideWhenUsed/>
    <w:qFormat/>
    <w:uiPriority w:val="39"/>
    <w:pPr>
      <w:spacing w:after="57"/>
      <w:ind w:left="0" w:right="0" w:firstLine="0"/>
    </w:pPr>
  </w:style>
  <w:style w:type="paragraph" w:customStyle="1" w:styleId="72">
    <w:name w:val="目录 412"/>
    <w:basedOn w:val="1"/>
    <w:next w:val="1"/>
    <w:unhideWhenUsed/>
    <w:qFormat/>
    <w:uiPriority w:val="39"/>
    <w:pPr>
      <w:spacing w:after="57"/>
      <w:ind w:left="850" w:right="0" w:firstLine="0"/>
    </w:pPr>
  </w:style>
  <w:style w:type="paragraph" w:customStyle="1" w:styleId="73">
    <w:name w:val="副标题12"/>
    <w:basedOn w:val="1"/>
    <w:next w:val="1"/>
    <w:qFormat/>
    <w:uiPriority w:val="11"/>
    <w:pPr>
      <w:spacing w:before="200" w:after="200"/>
    </w:pPr>
    <w:rPr>
      <w:sz w:val="24"/>
      <w:szCs w:val="24"/>
    </w:rPr>
  </w:style>
  <w:style w:type="paragraph" w:customStyle="1" w:styleId="74">
    <w:name w:val="脚注文本12"/>
    <w:basedOn w:val="1"/>
    <w:unhideWhenUsed/>
    <w:qFormat/>
    <w:uiPriority w:val="99"/>
    <w:pPr>
      <w:spacing w:after="40" w:line="240" w:lineRule="auto"/>
    </w:pPr>
    <w:rPr>
      <w:sz w:val="18"/>
    </w:rPr>
  </w:style>
  <w:style w:type="paragraph" w:customStyle="1" w:styleId="75">
    <w:name w:val="目录 612"/>
    <w:basedOn w:val="1"/>
    <w:next w:val="1"/>
    <w:unhideWhenUsed/>
    <w:qFormat/>
    <w:uiPriority w:val="39"/>
    <w:pPr>
      <w:spacing w:after="57"/>
      <w:ind w:left="1417" w:right="0" w:firstLine="0"/>
    </w:pPr>
  </w:style>
  <w:style w:type="paragraph" w:customStyle="1" w:styleId="76">
    <w:name w:val="图表目录12"/>
    <w:basedOn w:val="1"/>
    <w:next w:val="1"/>
    <w:unhideWhenUsed/>
    <w:qFormat/>
    <w:uiPriority w:val="99"/>
    <w:pPr>
      <w:spacing w:after="0" w:afterAutospacing="0"/>
    </w:pPr>
  </w:style>
  <w:style w:type="paragraph" w:customStyle="1" w:styleId="77">
    <w:name w:val="目录 212"/>
    <w:basedOn w:val="1"/>
    <w:next w:val="1"/>
    <w:unhideWhenUsed/>
    <w:qFormat/>
    <w:uiPriority w:val="39"/>
    <w:pPr>
      <w:spacing w:after="57"/>
      <w:ind w:left="283" w:right="0" w:firstLine="0"/>
    </w:pPr>
  </w:style>
  <w:style w:type="paragraph" w:customStyle="1" w:styleId="78">
    <w:name w:val="目录 912"/>
    <w:basedOn w:val="1"/>
    <w:next w:val="1"/>
    <w:unhideWhenUsed/>
    <w:qFormat/>
    <w:uiPriority w:val="39"/>
    <w:pPr>
      <w:spacing w:after="57"/>
      <w:ind w:left="2268" w:right="0" w:firstLine="0"/>
    </w:pPr>
  </w:style>
  <w:style w:type="paragraph" w:customStyle="1" w:styleId="79">
    <w:name w:val="标题12"/>
    <w:basedOn w:val="1"/>
    <w:next w:val="1"/>
    <w:qFormat/>
    <w:uiPriority w:val="10"/>
    <w:pPr>
      <w:spacing w:before="300" w:after="200"/>
      <w:contextualSpacing/>
    </w:pPr>
    <w:rPr>
      <w:sz w:val="48"/>
      <w:szCs w:val="48"/>
    </w:rPr>
  </w:style>
  <w:style w:type="table" w:customStyle="1" w:styleId="80">
    <w:name w:val="网格型12"/>
    <w:qFormat/>
    <w:uiPriority w:val="59"/>
    <w:pPr>
      <w:spacing w:after="0" w:line="240" w:lineRule="auto"/>
    </w:pPr>
  </w:style>
  <w:style w:type="character" w:customStyle="1" w:styleId="81">
    <w:name w:val="尾注引用12"/>
    <w:link w:val="1"/>
    <w:unhideWhenUsed/>
    <w:qFormat/>
    <w:uiPriority w:val="99"/>
    <w:rPr>
      <w:vertAlign w:val="superscript"/>
    </w:rPr>
  </w:style>
  <w:style w:type="character" w:customStyle="1" w:styleId="82">
    <w:name w:val="超链接12"/>
    <w:link w:val="1"/>
    <w:unhideWhenUsed/>
    <w:qFormat/>
    <w:uiPriority w:val="99"/>
    <w:rPr>
      <w:color w:val="0000FF"/>
      <w:u w:val="single"/>
    </w:rPr>
  </w:style>
  <w:style w:type="character" w:customStyle="1" w:styleId="83">
    <w:name w:val="脚注引用12"/>
    <w:link w:val="1"/>
    <w:unhideWhenUsed/>
    <w:qFormat/>
    <w:uiPriority w:val="99"/>
    <w:rPr>
      <w:vertAlign w:val="superscript"/>
    </w:rPr>
  </w:style>
  <w:style w:type="character" w:customStyle="1" w:styleId="84">
    <w:name w:val="font01"/>
    <w:link w:val="1"/>
    <w:qFormat/>
    <w:uiPriority w:val="0"/>
    <w:rPr>
      <w:rFonts w:ascii="Tahoma" w:hAnsi="Tahoma" w:eastAsia="Tahoma" w:cs="Tahoma"/>
      <w:color w:val="333333"/>
      <w:sz w:val="20"/>
      <w:szCs w:val="20"/>
      <w:u w:val="none"/>
    </w:rPr>
  </w:style>
  <w:style w:type="paragraph" w:customStyle="1" w:styleId="85">
    <w:name w:val="TOC Heading"/>
    <w:unhideWhenUsed/>
    <w:qFormat/>
    <w:uiPriority w:val="39"/>
    <w:rPr>
      <w:rFonts w:hint="default" w:ascii="Times New Roman" w:hAnsi="Times New Roman" w:eastAsia="宋体" w:cs="Times New Roman"/>
    </w:rPr>
  </w:style>
  <w:style w:type="paragraph" w:customStyle="1" w:styleId="86">
    <w:name w:val="标题 111"/>
    <w:basedOn w:val="1"/>
    <w:next w:val="1"/>
    <w:link w:val="87"/>
    <w:qFormat/>
    <w:uiPriority w:val="9"/>
    <w:pPr>
      <w:keepNext/>
      <w:keepLines/>
      <w:spacing w:before="480" w:after="200"/>
      <w:outlineLvl w:val="0"/>
    </w:pPr>
    <w:rPr>
      <w:rFonts w:ascii="Arial" w:hAnsi="Arial" w:eastAsia="Arial" w:cs="Arial"/>
      <w:sz w:val="40"/>
      <w:szCs w:val="40"/>
    </w:rPr>
  </w:style>
  <w:style w:type="character" w:customStyle="1" w:styleId="87">
    <w:name w:val="标题 1 Char1"/>
    <w:link w:val="86"/>
    <w:qFormat/>
    <w:uiPriority w:val="9"/>
    <w:rPr>
      <w:rFonts w:ascii="Arial" w:hAnsi="Arial" w:eastAsia="Arial" w:cs="Arial"/>
      <w:sz w:val="40"/>
      <w:szCs w:val="40"/>
    </w:rPr>
  </w:style>
  <w:style w:type="paragraph" w:customStyle="1" w:styleId="88">
    <w:name w:val="标题 211"/>
    <w:basedOn w:val="1"/>
    <w:next w:val="1"/>
    <w:link w:val="89"/>
    <w:unhideWhenUsed/>
    <w:qFormat/>
    <w:uiPriority w:val="9"/>
    <w:pPr>
      <w:keepNext/>
      <w:keepLines/>
      <w:spacing w:before="360" w:after="200"/>
      <w:outlineLvl w:val="1"/>
    </w:pPr>
    <w:rPr>
      <w:rFonts w:ascii="Arial" w:hAnsi="Arial" w:eastAsia="Arial" w:cs="Arial"/>
      <w:sz w:val="34"/>
    </w:rPr>
  </w:style>
  <w:style w:type="character" w:customStyle="1" w:styleId="89">
    <w:name w:val="标题 2 Char1"/>
    <w:link w:val="88"/>
    <w:qFormat/>
    <w:uiPriority w:val="9"/>
    <w:rPr>
      <w:rFonts w:ascii="Arial" w:hAnsi="Arial" w:eastAsia="Arial" w:cs="Arial"/>
      <w:sz w:val="34"/>
    </w:rPr>
  </w:style>
  <w:style w:type="paragraph" w:customStyle="1" w:styleId="90">
    <w:name w:val="标题 311"/>
    <w:basedOn w:val="1"/>
    <w:next w:val="1"/>
    <w:link w:val="91"/>
    <w:unhideWhenUsed/>
    <w:qFormat/>
    <w:uiPriority w:val="9"/>
    <w:pPr>
      <w:keepNext/>
      <w:keepLines/>
      <w:spacing w:before="320" w:after="200"/>
      <w:outlineLvl w:val="2"/>
    </w:pPr>
    <w:rPr>
      <w:rFonts w:ascii="Arial" w:hAnsi="Arial" w:eastAsia="Arial" w:cs="Arial"/>
      <w:sz w:val="30"/>
      <w:szCs w:val="30"/>
    </w:rPr>
  </w:style>
  <w:style w:type="character" w:customStyle="1" w:styleId="91">
    <w:name w:val="标题 3 Char1"/>
    <w:link w:val="90"/>
    <w:qFormat/>
    <w:uiPriority w:val="9"/>
    <w:rPr>
      <w:rFonts w:ascii="Arial" w:hAnsi="Arial" w:eastAsia="Arial" w:cs="Arial"/>
      <w:sz w:val="30"/>
      <w:szCs w:val="30"/>
    </w:rPr>
  </w:style>
  <w:style w:type="paragraph" w:customStyle="1" w:styleId="92">
    <w:name w:val="标题 411"/>
    <w:basedOn w:val="1"/>
    <w:next w:val="1"/>
    <w:link w:val="93"/>
    <w:unhideWhenUsed/>
    <w:qFormat/>
    <w:uiPriority w:val="9"/>
    <w:pPr>
      <w:keepNext/>
      <w:keepLines/>
      <w:spacing w:before="320" w:after="200"/>
      <w:outlineLvl w:val="3"/>
    </w:pPr>
    <w:rPr>
      <w:rFonts w:ascii="Arial" w:hAnsi="Arial" w:eastAsia="Arial" w:cs="Arial"/>
      <w:b/>
      <w:bCs/>
      <w:sz w:val="26"/>
      <w:szCs w:val="26"/>
    </w:rPr>
  </w:style>
  <w:style w:type="character" w:customStyle="1" w:styleId="93">
    <w:name w:val="标题 4 Char1"/>
    <w:link w:val="92"/>
    <w:qFormat/>
    <w:uiPriority w:val="9"/>
    <w:rPr>
      <w:rFonts w:ascii="Arial" w:hAnsi="Arial" w:eastAsia="Arial" w:cs="Arial"/>
      <w:b/>
      <w:bCs/>
      <w:sz w:val="26"/>
      <w:szCs w:val="26"/>
    </w:rPr>
  </w:style>
  <w:style w:type="paragraph" w:customStyle="1" w:styleId="94">
    <w:name w:val="标题 511"/>
    <w:basedOn w:val="1"/>
    <w:next w:val="1"/>
    <w:link w:val="95"/>
    <w:unhideWhenUsed/>
    <w:qFormat/>
    <w:uiPriority w:val="9"/>
    <w:pPr>
      <w:keepNext/>
      <w:keepLines/>
      <w:spacing w:before="320" w:after="200"/>
      <w:outlineLvl w:val="4"/>
    </w:pPr>
    <w:rPr>
      <w:rFonts w:ascii="Arial" w:hAnsi="Arial" w:eastAsia="Arial" w:cs="Arial"/>
      <w:b/>
      <w:bCs/>
      <w:sz w:val="24"/>
      <w:szCs w:val="24"/>
    </w:rPr>
  </w:style>
  <w:style w:type="character" w:customStyle="1" w:styleId="95">
    <w:name w:val="标题 5 Char1"/>
    <w:link w:val="94"/>
    <w:qFormat/>
    <w:uiPriority w:val="9"/>
    <w:rPr>
      <w:rFonts w:ascii="Arial" w:hAnsi="Arial" w:eastAsia="Arial" w:cs="Arial"/>
      <w:b/>
      <w:bCs/>
      <w:sz w:val="24"/>
      <w:szCs w:val="24"/>
    </w:rPr>
  </w:style>
  <w:style w:type="paragraph" w:customStyle="1" w:styleId="96">
    <w:name w:val="标题 61"/>
    <w:basedOn w:val="1"/>
    <w:next w:val="1"/>
    <w:link w:val="97"/>
    <w:unhideWhenUsed/>
    <w:qFormat/>
    <w:uiPriority w:val="9"/>
    <w:pPr>
      <w:keepNext/>
      <w:keepLines/>
      <w:spacing w:before="320" w:after="200"/>
      <w:outlineLvl w:val="5"/>
    </w:pPr>
    <w:rPr>
      <w:rFonts w:ascii="Arial" w:hAnsi="Arial" w:eastAsia="Arial" w:cs="Arial"/>
      <w:b/>
      <w:bCs/>
      <w:sz w:val="22"/>
      <w:szCs w:val="22"/>
    </w:rPr>
  </w:style>
  <w:style w:type="character" w:customStyle="1" w:styleId="97">
    <w:name w:val="标题 6 Char"/>
    <w:link w:val="96"/>
    <w:qFormat/>
    <w:uiPriority w:val="9"/>
    <w:rPr>
      <w:rFonts w:ascii="Arial" w:hAnsi="Arial" w:eastAsia="Arial" w:cs="Arial"/>
      <w:b/>
      <w:bCs/>
      <w:sz w:val="22"/>
      <w:szCs w:val="22"/>
    </w:rPr>
  </w:style>
  <w:style w:type="paragraph" w:customStyle="1" w:styleId="98">
    <w:name w:val="标题 71"/>
    <w:basedOn w:val="1"/>
    <w:next w:val="1"/>
    <w:link w:val="99"/>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9">
    <w:name w:val="标题 7 Char"/>
    <w:link w:val="98"/>
    <w:qFormat/>
    <w:uiPriority w:val="9"/>
    <w:rPr>
      <w:rFonts w:ascii="Arial" w:hAnsi="Arial" w:eastAsia="Arial" w:cs="Arial"/>
      <w:b/>
      <w:bCs/>
      <w:i/>
      <w:iCs/>
      <w:sz w:val="22"/>
      <w:szCs w:val="22"/>
    </w:rPr>
  </w:style>
  <w:style w:type="paragraph" w:customStyle="1" w:styleId="100">
    <w:name w:val="标题 81"/>
    <w:basedOn w:val="1"/>
    <w:next w:val="1"/>
    <w:link w:val="101"/>
    <w:unhideWhenUsed/>
    <w:qFormat/>
    <w:uiPriority w:val="9"/>
    <w:pPr>
      <w:keepNext/>
      <w:keepLines/>
      <w:spacing w:before="320" w:after="200"/>
      <w:outlineLvl w:val="7"/>
    </w:pPr>
    <w:rPr>
      <w:rFonts w:ascii="Arial" w:hAnsi="Arial" w:eastAsia="Arial" w:cs="Arial"/>
      <w:i/>
      <w:iCs/>
      <w:sz w:val="22"/>
      <w:szCs w:val="22"/>
    </w:rPr>
  </w:style>
  <w:style w:type="character" w:customStyle="1" w:styleId="101">
    <w:name w:val="标题 8 Char"/>
    <w:link w:val="100"/>
    <w:qFormat/>
    <w:uiPriority w:val="9"/>
    <w:rPr>
      <w:rFonts w:ascii="Arial" w:hAnsi="Arial" w:eastAsia="Arial" w:cs="Arial"/>
      <w:i/>
      <w:iCs/>
      <w:sz w:val="22"/>
      <w:szCs w:val="22"/>
    </w:rPr>
  </w:style>
  <w:style w:type="paragraph" w:customStyle="1" w:styleId="102">
    <w:name w:val="标题 91"/>
    <w:basedOn w:val="1"/>
    <w:next w:val="1"/>
    <w:link w:val="103"/>
    <w:unhideWhenUsed/>
    <w:qFormat/>
    <w:uiPriority w:val="9"/>
    <w:pPr>
      <w:keepNext/>
      <w:keepLines/>
      <w:spacing w:before="320" w:after="200"/>
      <w:outlineLvl w:val="8"/>
    </w:pPr>
    <w:rPr>
      <w:rFonts w:ascii="Arial" w:hAnsi="Arial" w:eastAsia="Arial" w:cs="Arial"/>
      <w:i/>
      <w:iCs/>
      <w:szCs w:val="21"/>
    </w:rPr>
  </w:style>
  <w:style w:type="character" w:customStyle="1" w:styleId="103">
    <w:name w:val="标题 9 Char"/>
    <w:link w:val="102"/>
    <w:qFormat/>
    <w:uiPriority w:val="9"/>
    <w:rPr>
      <w:rFonts w:ascii="Arial" w:hAnsi="Arial" w:eastAsia="Arial" w:cs="Arial"/>
      <w:i/>
      <w:iCs/>
      <w:sz w:val="21"/>
      <w:szCs w:val="21"/>
    </w:rPr>
  </w:style>
  <w:style w:type="character" w:customStyle="1" w:styleId="104">
    <w:name w:val="默认段落字体11"/>
    <w:link w:val="1"/>
    <w:unhideWhenUsed/>
    <w:qFormat/>
    <w:uiPriority w:val="1"/>
  </w:style>
  <w:style w:type="table" w:customStyle="1" w:styleId="105">
    <w:name w:val="普通表格11"/>
    <w:unhideWhenUsed/>
    <w:qFormat/>
    <w:uiPriority w:val="99"/>
  </w:style>
  <w:style w:type="paragraph" w:customStyle="1" w:styleId="106">
    <w:name w:val="目录 711"/>
    <w:basedOn w:val="1"/>
    <w:next w:val="1"/>
    <w:unhideWhenUsed/>
    <w:qFormat/>
    <w:uiPriority w:val="39"/>
    <w:pPr>
      <w:spacing w:after="57"/>
      <w:ind w:left="1701"/>
    </w:pPr>
  </w:style>
  <w:style w:type="paragraph" w:customStyle="1" w:styleId="107">
    <w:name w:val="正文缩进111"/>
    <w:basedOn w:val="1"/>
    <w:qFormat/>
    <w:uiPriority w:val="0"/>
    <w:pPr>
      <w:widowControl/>
      <w:ind w:firstLine="420"/>
      <w:jc w:val="left"/>
    </w:pPr>
    <w:rPr>
      <w:sz w:val="20"/>
    </w:rPr>
  </w:style>
  <w:style w:type="paragraph" w:customStyle="1" w:styleId="108">
    <w:name w:val="题注1"/>
    <w:basedOn w:val="1"/>
    <w:next w:val="1"/>
    <w:unhideWhenUsed/>
    <w:qFormat/>
    <w:uiPriority w:val="35"/>
    <w:pPr>
      <w:spacing w:line="276" w:lineRule="auto"/>
    </w:pPr>
    <w:rPr>
      <w:b/>
      <w:bCs/>
      <w:color w:val="4F81BD"/>
      <w:sz w:val="18"/>
      <w:szCs w:val="18"/>
    </w:rPr>
  </w:style>
  <w:style w:type="paragraph" w:customStyle="1" w:styleId="109">
    <w:name w:val="目录 511"/>
    <w:basedOn w:val="1"/>
    <w:next w:val="1"/>
    <w:unhideWhenUsed/>
    <w:qFormat/>
    <w:uiPriority w:val="39"/>
    <w:pPr>
      <w:spacing w:after="57"/>
      <w:ind w:left="1134"/>
    </w:pPr>
  </w:style>
  <w:style w:type="paragraph" w:customStyle="1" w:styleId="110">
    <w:name w:val="目录 311"/>
    <w:basedOn w:val="1"/>
    <w:next w:val="1"/>
    <w:unhideWhenUsed/>
    <w:qFormat/>
    <w:uiPriority w:val="39"/>
    <w:pPr>
      <w:spacing w:after="57"/>
      <w:ind w:left="567"/>
    </w:pPr>
  </w:style>
  <w:style w:type="paragraph" w:customStyle="1" w:styleId="111">
    <w:name w:val="纯文本12"/>
    <w:basedOn w:val="1"/>
    <w:qFormat/>
    <w:uiPriority w:val="0"/>
    <w:rPr>
      <w:rFonts w:hint="eastAsia" w:ascii="宋体" w:hAnsi="Courier New"/>
      <w:szCs w:val="21"/>
    </w:rPr>
  </w:style>
  <w:style w:type="paragraph" w:customStyle="1" w:styleId="112">
    <w:name w:val="目录 811"/>
    <w:basedOn w:val="1"/>
    <w:next w:val="1"/>
    <w:unhideWhenUsed/>
    <w:qFormat/>
    <w:uiPriority w:val="39"/>
    <w:pPr>
      <w:spacing w:after="57"/>
      <w:ind w:left="1984"/>
    </w:pPr>
  </w:style>
  <w:style w:type="paragraph" w:customStyle="1" w:styleId="113">
    <w:name w:val="尾注文本11"/>
    <w:basedOn w:val="1"/>
    <w:unhideWhenUsed/>
    <w:qFormat/>
    <w:uiPriority w:val="99"/>
    <w:rPr>
      <w:sz w:val="20"/>
    </w:rPr>
  </w:style>
  <w:style w:type="paragraph" w:customStyle="1" w:styleId="114">
    <w:name w:val="页脚12"/>
    <w:basedOn w:val="1"/>
    <w:unhideWhenUsed/>
    <w:qFormat/>
    <w:uiPriority w:val="99"/>
    <w:pPr>
      <w:tabs>
        <w:tab w:val="center" w:pos="7143"/>
        <w:tab w:val="right" w:pos="14287"/>
      </w:tabs>
    </w:pPr>
  </w:style>
  <w:style w:type="paragraph" w:customStyle="1" w:styleId="115">
    <w:name w:val="页眉11"/>
    <w:basedOn w:val="1"/>
    <w:unhideWhenUsed/>
    <w:qFormat/>
    <w:uiPriority w:val="99"/>
    <w:pPr>
      <w:tabs>
        <w:tab w:val="center" w:pos="7143"/>
        <w:tab w:val="right" w:pos="14287"/>
      </w:tabs>
    </w:pPr>
  </w:style>
  <w:style w:type="paragraph" w:customStyle="1" w:styleId="116">
    <w:name w:val="目录 111"/>
    <w:basedOn w:val="1"/>
    <w:next w:val="1"/>
    <w:unhideWhenUsed/>
    <w:qFormat/>
    <w:uiPriority w:val="39"/>
    <w:pPr>
      <w:spacing w:after="57"/>
    </w:pPr>
  </w:style>
  <w:style w:type="paragraph" w:customStyle="1" w:styleId="117">
    <w:name w:val="目录 411"/>
    <w:basedOn w:val="1"/>
    <w:next w:val="1"/>
    <w:unhideWhenUsed/>
    <w:qFormat/>
    <w:uiPriority w:val="39"/>
    <w:pPr>
      <w:spacing w:after="57"/>
      <w:ind w:left="850"/>
    </w:pPr>
  </w:style>
  <w:style w:type="paragraph" w:customStyle="1" w:styleId="118">
    <w:name w:val="副标题11"/>
    <w:basedOn w:val="1"/>
    <w:next w:val="1"/>
    <w:qFormat/>
    <w:uiPriority w:val="11"/>
    <w:pPr>
      <w:spacing w:before="200" w:after="200"/>
    </w:pPr>
    <w:rPr>
      <w:sz w:val="24"/>
      <w:szCs w:val="24"/>
    </w:rPr>
  </w:style>
  <w:style w:type="paragraph" w:customStyle="1" w:styleId="119">
    <w:name w:val="脚注文本11"/>
    <w:basedOn w:val="1"/>
    <w:unhideWhenUsed/>
    <w:qFormat/>
    <w:uiPriority w:val="99"/>
    <w:pPr>
      <w:spacing w:after="40"/>
    </w:pPr>
    <w:rPr>
      <w:sz w:val="18"/>
    </w:rPr>
  </w:style>
  <w:style w:type="paragraph" w:customStyle="1" w:styleId="120">
    <w:name w:val="目录 611"/>
    <w:basedOn w:val="1"/>
    <w:next w:val="1"/>
    <w:unhideWhenUsed/>
    <w:qFormat/>
    <w:uiPriority w:val="39"/>
    <w:pPr>
      <w:spacing w:after="57"/>
      <w:ind w:left="1417"/>
    </w:pPr>
  </w:style>
  <w:style w:type="paragraph" w:customStyle="1" w:styleId="121">
    <w:name w:val="图表目录11"/>
    <w:basedOn w:val="1"/>
    <w:next w:val="1"/>
    <w:unhideWhenUsed/>
    <w:qFormat/>
    <w:uiPriority w:val="99"/>
  </w:style>
  <w:style w:type="paragraph" w:customStyle="1" w:styleId="122">
    <w:name w:val="目录 211"/>
    <w:basedOn w:val="1"/>
    <w:next w:val="1"/>
    <w:unhideWhenUsed/>
    <w:qFormat/>
    <w:uiPriority w:val="39"/>
    <w:pPr>
      <w:spacing w:after="57"/>
      <w:ind w:left="283"/>
    </w:pPr>
  </w:style>
  <w:style w:type="paragraph" w:customStyle="1" w:styleId="123">
    <w:name w:val="目录 911"/>
    <w:basedOn w:val="1"/>
    <w:next w:val="1"/>
    <w:unhideWhenUsed/>
    <w:qFormat/>
    <w:uiPriority w:val="39"/>
    <w:pPr>
      <w:spacing w:after="57"/>
      <w:ind w:left="2268"/>
    </w:pPr>
  </w:style>
  <w:style w:type="paragraph" w:customStyle="1" w:styleId="124">
    <w:name w:val="普通(网站)11"/>
    <w:basedOn w:val="1"/>
    <w:unhideWhenUsed/>
    <w:qFormat/>
    <w:uiPriority w:val="99"/>
    <w:rPr>
      <w:sz w:val="24"/>
    </w:rPr>
  </w:style>
  <w:style w:type="paragraph" w:customStyle="1" w:styleId="125">
    <w:name w:val="标题11"/>
    <w:basedOn w:val="1"/>
    <w:next w:val="1"/>
    <w:qFormat/>
    <w:uiPriority w:val="10"/>
    <w:pPr>
      <w:spacing w:before="300" w:after="200"/>
      <w:contextualSpacing/>
    </w:pPr>
    <w:rPr>
      <w:sz w:val="48"/>
      <w:szCs w:val="48"/>
    </w:rPr>
  </w:style>
  <w:style w:type="table" w:customStyle="1" w:styleId="126">
    <w:name w:val="网格型11"/>
    <w:qFormat/>
    <w:uiPriority w:val="59"/>
  </w:style>
  <w:style w:type="character" w:customStyle="1" w:styleId="127">
    <w:name w:val="尾注引用11"/>
    <w:link w:val="1"/>
    <w:unhideWhenUsed/>
    <w:qFormat/>
    <w:uiPriority w:val="99"/>
    <w:rPr>
      <w:vertAlign w:val="superscript"/>
    </w:rPr>
  </w:style>
  <w:style w:type="character" w:customStyle="1" w:styleId="128">
    <w:name w:val="超链接11"/>
    <w:link w:val="1"/>
    <w:unhideWhenUsed/>
    <w:qFormat/>
    <w:uiPriority w:val="99"/>
    <w:rPr>
      <w:color w:val="0000FF"/>
      <w:u w:val="single"/>
    </w:rPr>
  </w:style>
  <w:style w:type="character" w:customStyle="1" w:styleId="129">
    <w:name w:val="脚注引用11"/>
    <w:link w:val="1"/>
    <w:unhideWhenUsed/>
    <w:qFormat/>
    <w:uiPriority w:val="99"/>
    <w:rPr>
      <w:vertAlign w:val="superscript"/>
    </w:rPr>
  </w:style>
  <w:style w:type="paragraph" w:customStyle="1" w:styleId="130">
    <w:name w:val="正文缩进1"/>
    <w:basedOn w:val="1"/>
    <w:link w:val="131"/>
    <w:unhideWhenUsed/>
    <w:qFormat/>
    <w:uiPriority w:val="0"/>
    <w:pPr>
      <w:ind w:firstLine="420"/>
    </w:pPr>
    <w:rPr>
      <w:szCs w:val="24"/>
    </w:rPr>
  </w:style>
  <w:style w:type="character" w:customStyle="1" w:styleId="131">
    <w:name w:val="正文缩进 Char"/>
    <w:link w:val="130"/>
    <w:qFormat/>
    <w:uiPriority w:val="0"/>
    <w:rPr>
      <w:rFonts w:ascii="Times New Roman" w:hAnsi="Times New Roman"/>
      <w:sz w:val="21"/>
      <w:szCs w:val="24"/>
    </w:rPr>
  </w:style>
  <w:style w:type="paragraph" w:customStyle="1" w:styleId="132">
    <w:name w:val="标题 11"/>
    <w:basedOn w:val="1"/>
    <w:next w:val="1"/>
    <w:link w:val="133"/>
    <w:qFormat/>
    <w:uiPriority w:val="99"/>
    <w:pPr>
      <w:keepNext/>
      <w:jc w:val="center"/>
      <w:outlineLvl w:val="0"/>
    </w:pPr>
    <w:rPr>
      <w:rFonts w:ascii="楷体_GB2312" w:eastAsia="楷体_GB2312"/>
      <w:b/>
      <w:sz w:val="28"/>
    </w:rPr>
  </w:style>
  <w:style w:type="character" w:customStyle="1" w:styleId="133">
    <w:name w:val="标题 1 Char"/>
    <w:link w:val="132"/>
    <w:qFormat/>
    <w:uiPriority w:val="99"/>
    <w:rPr>
      <w:rFonts w:ascii="楷体_GB2312" w:hAnsi="Times New Roman" w:eastAsia="楷体_GB2312" w:cs="Times New Roman"/>
      <w:b/>
      <w:sz w:val="28"/>
      <w:szCs w:val="20"/>
    </w:rPr>
  </w:style>
  <w:style w:type="paragraph" w:customStyle="1" w:styleId="134">
    <w:name w:val="标题 21"/>
    <w:basedOn w:val="1"/>
    <w:next w:val="1"/>
    <w:link w:val="135"/>
    <w:qFormat/>
    <w:uiPriority w:val="99"/>
    <w:pPr>
      <w:keepNext/>
      <w:jc w:val="center"/>
      <w:outlineLvl w:val="1"/>
    </w:pPr>
    <w:rPr>
      <w:rFonts w:ascii="楷体_GB2312" w:eastAsia="楷体_GB2312"/>
      <w:b/>
      <w:bCs/>
      <w:sz w:val="18"/>
    </w:rPr>
  </w:style>
  <w:style w:type="character" w:customStyle="1" w:styleId="135">
    <w:name w:val="标题 2 Char"/>
    <w:link w:val="134"/>
    <w:qFormat/>
    <w:uiPriority w:val="99"/>
    <w:rPr>
      <w:rFonts w:ascii="楷体_GB2312" w:hAnsi="Times New Roman" w:eastAsia="楷体_GB2312" w:cs="Times New Roman"/>
      <w:b/>
      <w:bCs/>
      <w:sz w:val="18"/>
      <w:szCs w:val="20"/>
    </w:rPr>
  </w:style>
  <w:style w:type="paragraph" w:customStyle="1" w:styleId="136">
    <w:name w:val="标题 31"/>
    <w:basedOn w:val="1"/>
    <w:next w:val="1"/>
    <w:link w:val="137"/>
    <w:qFormat/>
    <w:uiPriority w:val="99"/>
    <w:pPr>
      <w:keepNext/>
      <w:jc w:val="center"/>
      <w:outlineLvl w:val="2"/>
    </w:pPr>
    <w:rPr>
      <w:rFonts w:eastAsia="楷体_GB2312"/>
      <w:b/>
      <w:bCs/>
      <w:sz w:val="15"/>
    </w:rPr>
  </w:style>
  <w:style w:type="character" w:customStyle="1" w:styleId="137">
    <w:name w:val="标题 3 Char"/>
    <w:link w:val="136"/>
    <w:qFormat/>
    <w:uiPriority w:val="99"/>
    <w:rPr>
      <w:rFonts w:ascii="Times New Roman" w:hAnsi="Times New Roman" w:eastAsia="楷体_GB2312" w:cs="Times New Roman"/>
      <w:b/>
      <w:bCs/>
      <w:sz w:val="15"/>
      <w:szCs w:val="20"/>
    </w:rPr>
  </w:style>
  <w:style w:type="paragraph" w:customStyle="1" w:styleId="138">
    <w:name w:val="标题 41"/>
    <w:basedOn w:val="1"/>
    <w:next w:val="1"/>
    <w:link w:val="139"/>
    <w:qFormat/>
    <w:uiPriority w:val="99"/>
    <w:pPr>
      <w:keepNext/>
      <w:jc w:val="center"/>
      <w:outlineLvl w:val="3"/>
    </w:pPr>
    <w:rPr>
      <w:rFonts w:eastAsia="楷体_GB2312"/>
      <w:b/>
      <w:bCs/>
      <w:sz w:val="13"/>
    </w:rPr>
  </w:style>
  <w:style w:type="character" w:customStyle="1" w:styleId="139">
    <w:name w:val="标题 4 Char"/>
    <w:link w:val="138"/>
    <w:qFormat/>
    <w:uiPriority w:val="99"/>
    <w:rPr>
      <w:rFonts w:ascii="Times New Roman" w:hAnsi="Times New Roman" w:eastAsia="楷体_GB2312" w:cs="Times New Roman"/>
      <w:b/>
      <w:bCs/>
      <w:sz w:val="13"/>
      <w:szCs w:val="20"/>
    </w:rPr>
  </w:style>
  <w:style w:type="paragraph" w:customStyle="1" w:styleId="140">
    <w:name w:val="标题 51"/>
    <w:basedOn w:val="1"/>
    <w:next w:val="1"/>
    <w:link w:val="141"/>
    <w:qFormat/>
    <w:uiPriority w:val="99"/>
    <w:pPr>
      <w:keepNext/>
      <w:numPr>
        <w:ilvl w:val="0"/>
        <w:numId w:val="1"/>
      </w:numPr>
      <w:outlineLvl w:val="4"/>
    </w:pPr>
    <w:rPr>
      <w:rFonts w:ascii="楷体_GB2312" w:eastAsia="楷体_GB2312"/>
      <w:bCs/>
      <w:sz w:val="28"/>
    </w:rPr>
  </w:style>
  <w:style w:type="character" w:customStyle="1" w:styleId="141">
    <w:name w:val="标题 5 Char"/>
    <w:link w:val="140"/>
    <w:qFormat/>
    <w:uiPriority w:val="99"/>
    <w:rPr>
      <w:rFonts w:ascii="楷体_GB2312" w:hAnsi="Times New Roman" w:eastAsia="楷体_GB2312" w:cs="Times New Roman"/>
      <w:bCs/>
      <w:sz w:val="28"/>
      <w:szCs w:val="20"/>
    </w:rPr>
  </w:style>
  <w:style w:type="character" w:customStyle="1" w:styleId="142">
    <w:name w:val="默认段落字体1"/>
    <w:link w:val="1"/>
    <w:unhideWhenUsed/>
    <w:qFormat/>
    <w:uiPriority w:val="1"/>
  </w:style>
  <w:style w:type="table" w:customStyle="1" w:styleId="143">
    <w:name w:val="普通表格1"/>
    <w:unhideWhenUsed/>
    <w:qFormat/>
    <w:uiPriority w:val="99"/>
  </w:style>
  <w:style w:type="paragraph" w:customStyle="1" w:styleId="144">
    <w:name w:val="目录 71"/>
    <w:basedOn w:val="1"/>
    <w:next w:val="1"/>
    <w:unhideWhenUsed/>
    <w:qFormat/>
    <w:uiPriority w:val="39"/>
    <w:pPr>
      <w:spacing w:after="57"/>
      <w:ind w:left="1701"/>
    </w:pPr>
  </w:style>
  <w:style w:type="paragraph" w:customStyle="1" w:styleId="145">
    <w:name w:val="索引 51"/>
    <w:basedOn w:val="1"/>
    <w:next w:val="1"/>
    <w:unhideWhenUsed/>
    <w:qFormat/>
    <w:uiPriority w:val="99"/>
    <w:pPr>
      <w:ind w:left="800"/>
    </w:pPr>
  </w:style>
  <w:style w:type="paragraph" w:customStyle="1" w:styleId="146">
    <w:name w:val="文档结构图1"/>
    <w:basedOn w:val="1"/>
    <w:next w:val="1"/>
    <w:link w:val="147"/>
    <w:semiHidden/>
    <w:qFormat/>
    <w:uiPriority w:val="99"/>
    <w:pPr>
      <w:shd w:val="clear" w:color="auto" w:fill="000080"/>
    </w:pPr>
    <w:rPr>
      <w:sz w:val="20"/>
    </w:rPr>
  </w:style>
  <w:style w:type="character" w:customStyle="1" w:styleId="147">
    <w:name w:val="文档结构图 Char"/>
    <w:link w:val="146"/>
    <w:semiHidden/>
    <w:qFormat/>
    <w:uiPriority w:val="99"/>
    <w:rPr>
      <w:rFonts w:ascii="Times New Roman" w:hAnsi="Times New Roman" w:eastAsia="宋体" w:cs="Times New Roman"/>
      <w:szCs w:val="20"/>
      <w:shd w:val="clear" w:color="auto" w:fill="000080"/>
    </w:rPr>
  </w:style>
  <w:style w:type="paragraph" w:customStyle="1" w:styleId="148">
    <w:name w:val="批注文字1"/>
    <w:basedOn w:val="1"/>
    <w:link w:val="149"/>
    <w:semiHidden/>
    <w:qFormat/>
    <w:uiPriority w:val="0"/>
    <w:pPr>
      <w:jc w:val="left"/>
    </w:pPr>
    <w:rPr>
      <w:sz w:val="20"/>
      <w:szCs w:val="24"/>
    </w:rPr>
  </w:style>
  <w:style w:type="character" w:customStyle="1" w:styleId="149">
    <w:name w:val="批注文字 Char"/>
    <w:link w:val="148"/>
    <w:semiHidden/>
    <w:qFormat/>
    <w:uiPriority w:val="0"/>
    <w:rPr>
      <w:rFonts w:ascii="Times New Roman" w:hAnsi="Times New Roman" w:eastAsia="宋体" w:cs="Times New Roman"/>
      <w:szCs w:val="24"/>
    </w:rPr>
  </w:style>
  <w:style w:type="paragraph" w:customStyle="1" w:styleId="150">
    <w:name w:val="正文文本11"/>
    <w:basedOn w:val="1"/>
    <w:next w:val="151"/>
    <w:link w:val="152"/>
    <w:qFormat/>
    <w:uiPriority w:val="99"/>
    <w:rPr>
      <w:rFonts w:ascii="华文中宋" w:eastAsia="华文中宋"/>
      <w:bCs/>
      <w:sz w:val="28"/>
    </w:rPr>
  </w:style>
  <w:style w:type="paragraph" w:customStyle="1" w:styleId="151">
    <w:name w:val="列表1"/>
    <w:basedOn w:val="1"/>
    <w:qFormat/>
    <w:uiPriority w:val="0"/>
    <w:pPr>
      <w:numPr>
        <w:ilvl w:val="0"/>
        <w:numId w:val="2"/>
      </w:numPr>
      <w:spacing w:after="20" w:line="288" w:lineRule="auto"/>
    </w:pPr>
    <w:rPr>
      <w:lang w:val="en-GB"/>
    </w:rPr>
  </w:style>
  <w:style w:type="character" w:customStyle="1" w:styleId="152">
    <w:name w:val="正文文本 Char"/>
    <w:link w:val="150"/>
    <w:qFormat/>
    <w:uiPriority w:val="99"/>
    <w:rPr>
      <w:rFonts w:ascii="华文中宋" w:hAnsi="Times New Roman" w:eastAsia="华文中宋" w:cs="Times New Roman"/>
      <w:bCs/>
      <w:sz w:val="28"/>
      <w:szCs w:val="20"/>
    </w:rPr>
  </w:style>
  <w:style w:type="paragraph" w:customStyle="1" w:styleId="153">
    <w:name w:val="正文文本缩进1"/>
    <w:basedOn w:val="1"/>
    <w:next w:val="1"/>
    <w:link w:val="154"/>
    <w:qFormat/>
    <w:uiPriority w:val="0"/>
    <w:pPr>
      <w:ind w:firstLine="576"/>
    </w:pPr>
    <w:rPr>
      <w:b/>
      <w:sz w:val="30"/>
    </w:rPr>
  </w:style>
  <w:style w:type="character" w:customStyle="1" w:styleId="154">
    <w:name w:val="正文文本缩进 Char"/>
    <w:link w:val="153"/>
    <w:qFormat/>
    <w:uiPriority w:val="0"/>
    <w:rPr>
      <w:rFonts w:ascii="Times New Roman" w:hAnsi="Times New Roman" w:eastAsia="宋体" w:cs="Times New Roman"/>
      <w:b/>
      <w:sz w:val="30"/>
      <w:szCs w:val="20"/>
    </w:rPr>
  </w:style>
  <w:style w:type="paragraph" w:customStyle="1" w:styleId="155">
    <w:name w:val="目录 51"/>
    <w:basedOn w:val="1"/>
    <w:next w:val="1"/>
    <w:unhideWhenUsed/>
    <w:qFormat/>
    <w:uiPriority w:val="39"/>
    <w:pPr>
      <w:spacing w:after="57"/>
      <w:ind w:left="1134"/>
    </w:pPr>
  </w:style>
  <w:style w:type="paragraph" w:customStyle="1" w:styleId="156">
    <w:name w:val="目录 31"/>
    <w:basedOn w:val="1"/>
    <w:next w:val="1"/>
    <w:unhideWhenUsed/>
    <w:qFormat/>
    <w:uiPriority w:val="39"/>
    <w:pPr>
      <w:spacing w:after="57"/>
      <w:ind w:left="567"/>
    </w:pPr>
  </w:style>
  <w:style w:type="paragraph" w:customStyle="1" w:styleId="157">
    <w:name w:val="纯文本11"/>
    <w:basedOn w:val="1"/>
    <w:link w:val="158"/>
    <w:qFormat/>
    <w:uiPriority w:val="0"/>
    <w:rPr>
      <w:rFonts w:ascii="宋体" w:hAnsi="Courier New"/>
      <w:szCs w:val="21"/>
    </w:rPr>
  </w:style>
  <w:style w:type="character" w:customStyle="1" w:styleId="158">
    <w:name w:val="纯文本 Char"/>
    <w:link w:val="157"/>
    <w:qFormat/>
    <w:uiPriority w:val="0"/>
    <w:rPr>
      <w:rFonts w:ascii="宋体" w:hAnsi="Courier New"/>
      <w:sz w:val="21"/>
      <w:szCs w:val="21"/>
    </w:rPr>
  </w:style>
  <w:style w:type="paragraph" w:customStyle="1" w:styleId="159">
    <w:name w:val="目录 81"/>
    <w:basedOn w:val="1"/>
    <w:next w:val="1"/>
    <w:unhideWhenUsed/>
    <w:qFormat/>
    <w:uiPriority w:val="39"/>
    <w:pPr>
      <w:spacing w:after="57"/>
      <w:ind w:left="1984"/>
    </w:pPr>
  </w:style>
  <w:style w:type="paragraph" w:customStyle="1" w:styleId="160">
    <w:name w:val="日期1"/>
    <w:basedOn w:val="1"/>
    <w:next w:val="1"/>
    <w:link w:val="161"/>
    <w:qFormat/>
    <w:uiPriority w:val="99"/>
    <w:rPr>
      <w:rFonts w:eastAsia="黑体"/>
      <w:b/>
      <w:sz w:val="36"/>
    </w:rPr>
  </w:style>
  <w:style w:type="character" w:customStyle="1" w:styleId="161">
    <w:name w:val="日期 Char"/>
    <w:link w:val="160"/>
    <w:qFormat/>
    <w:uiPriority w:val="99"/>
    <w:rPr>
      <w:rFonts w:ascii="Times New Roman" w:hAnsi="Times New Roman" w:eastAsia="黑体" w:cs="Times New Roman"/>
      <w:b/>
      <w:sz w:val="36"/>
      <w:szCs w:val="20"/>
    </w:rPr>
  </w:style>
  <w:style w:type="paragraph" w:customStyle="1" w:styleId="162">
    <w:name w:val="正文文本缩进 21"/>
    <w:basedOn w:val="1"/>
    <w:link w:val="163"/>
    <w:qFormat/>
    <w:uiPriority w:val="99"/>
    <w:pPr>
      <w:ind w:left="900"/>
    </w:pPr>
    <w:rPr>
      <w:rFonts w:ascii="楷体_GB2312" w:eastAsia="楷体_GB2312"/>
      <w:b/>
      <w:sz w:val="28"/>
    </w:rPr>
  </w:style>
  <w:style w:type="character" w:customStyle="1" w:styleId="163">
    <w:name w:val="正文文本缩进 2 Char"/>
    <w:link w:val="162"/>
    <w:qFormat/>
    <w:uiPriority w:val="99"/>
    <w:rPr>
      <w:rFonts w:ascii="楷体_GB2312" w:hAnsi="Times New Roman" w:eastAsia="楷体_GB2312" w:cs="Times New Roman"/>
      <w:b/>
      <w:sz w:val="28"/>
      <w:szCs w:val="20"/>
    </w:rPr>
  </w:style>
  <w:style w:type="paragraph" w:customStyle="1" w:styleId="164">
    <w:name w:val="尾注文本1"/>
    <w:basedOn w:val="1"/>
    <w:link w:val="165"/>
    <w:unhideWhenUsed/>
    <w:qFormat/>
    <w:uiPriority w:val="99"/>
    <w:rPr>
      <w:sz w:val="20"/>
    </w:rPr>
  </w:style>
  <w:style w:type="character" w:customStyle="1" w:styleId="165">
    <w:name w:val="尾注文本 Char"/>
    <w:link w:val="164"/>
    <w:qFormat/>
    <w:uiPriority w:val="99"/>
    <w:rPr>
      <w:sz w:val="20"/>
    </w:rPr>
  </w:style>
  <w:style w:type="paragraph" w:customStyle="1" w:styleId="166">
    <w:name w:val="批注框文本1"/>
    <w:basedOn w:val="1"/>
    <w:link w:val="167"/>
    <w:unhideWhenUsed/>
    <w:qFormat/>
    <w:uiPriority w:val="99"/>
    <w:rPr>
      <w:sz w:val="18"/>
      <w:szCs w:val="18"/>
    </w:rPr>
  </w:style>
  <w:style w:type="character" w:customStyle="1" w:styleId="167">
    <w:name w:val="批注框文本 Char"/>
    <w:link w:val="166"/>
    <w:semiHidden/>
    <w:qFormat/>
    <w:uiPriority w:val="99"/>
    <w:rPr>
      <w:rFonts w:ascii="Times New Roman" w:hAnsi="Times New Roman" w:eastAsia="宋体" w:cs="Times New Roman"/>
      <w:sz w:val="18"/>
      <w:szCs w:val="18"/>
    </w:rPr>
  </w:style>
  <w:style w:type="paragraph" w:customStyle="1" w:styleId="168">
    <w:name w:val="页脚11"/>
    <w:basedOn w:val="1"/>
    <w:link w:val="169"/>
    <w:unhideWhenUsed/>
    <w:qFormat/>
    <w:uiPriority w:val="99"/>
    <w:pPr>
      <w:tabs>
        <w:tab w:val="center" w:pos="4153"/>
        <w:tab w:val="right" w:pos="8306"/>
      </w:tabs>
      <w:jc w:val="left"/>
    </w:pPr>
    <w:rPr>
      <w:sz w:val="18"/>
      <w:szCs w:val="18"/>
    </w:rPr>
  </w:style>
  <w:style w:type="character" w:customStyle="1" w:styleId="169">
    <w:name w:val="页脚 Char"/>
    <w:link w:val="168"/>
    <w:qFormat/>
    <w:uiPriority w:val="99"/>
    <w:rPr>
      <w:sz w:val="18"/>
      <w:szCs w:val="18"/>
    </w:rPr>
  </w:style>
  <w:style w:type="paragraph" w:customStyle="1" w:styleId="170">
    <w:name w:val="页眉1"/>
    <w:basedOn w:val="1"/>
    <w:link w:val="171"/>
    <w:unhideWhenUsed/>
    <w:qFormat/>
    <w:uiPriority w:val="0"/>
    <w:pPr>
      <w:pBdr>
        <w:bottom w:val="single" w:color="000000" w:sz="6" w:space="1"/>
      </w:pBdr>
      <w:tabs>
        <w:tab w:val="center" w:pos="4153"/>
        <w:tab w:val="right" w:pos="8306"/>
      </w:tabs>
      <w:jc w:val="center"/>
    </w:pPr>
    <w:rPr>
      <w:sz w:val="18"/>
      <w:szCs w:val="18"/>
    </w:rPr>
  </w:style>
  <w:style w:type="character" w:customStyle="1" w:styleId="171">
    <w:name w:val="页眉 Char"/>
    <w:link w:val="170"/>
    <w:qFormat/>
    <w:uiPriority w:val="0"/>
    <w:rPr>
      <w:sz w:val="18"/>
      <w:szCs w:val="18"/>
    </w:rPr>
  </w:style>
  <w:style w:type="paragraph" w:customStyle="1" w:styleId="172">
    <w:name w:val="目录 11"/>
    <w:basedOn w:val="1"/>
    <w:next w:val="1"/>
    <w:unhideWhenUsed/>
    <w:qFormat/>
    <w:uiPriority w:val="39"/>
    <w:pPr>
      <w:spacing w:after="57"/>
    </w:pPr>
  </w:style>
  <w:style w:type="paragraph" w:customStyle="1" w:styleId="173">
    <w:name w:val="目录 41"/>
    <w:basedOn w:val="1"/>
    <w:next w:val="1"/>
    <w:unhideWhenUsed/>
    <w:qFormat/>
    <w:uiPriority w:val="39"/>
    <w:pPr>
      <w:spacing w:after="57"/>
      <w:ind w:left="850"/>
    </w:pPr>
  </w:style>
  <w:style w:type="paragraph" w:customStyle="1" w:styleId="174">
    <w:name w:val="副标题1"/>
    <w:basedOn w:val="1"/>
    <w:next w:val="1"/>
    <w:link w:val="175"/>
    <w:qFormat/>
    <w:uiPriority w:val="11"/>
    <w:pPr>
      <w:spacing w:before="200" w:after="200"/>
    </w:pPr>
    <w:rPr>
      <w:sz w:val="24"/>
      <w:szCs w:val="24"/>
    </w:rPr>
  </w:style>
  <w:style w:type="character" w:customStyle="1" w:styleId="175">
    <w:name w:val="副标题 Char"/>
    <w:link w:val="174"/>
    <w:qFormat/>
    <w:uiPriority w:val="11"/>
    <w:rPr>
      <w:sz w:val="24"/>
      <w:szCs w:val="24"/>
    </w:rPr>
  </w:style>
  <w:style w:type="paragraph" w:customStyle="1" w:styleId="176">
    <w:name w:val="脚注文本1"/>
    <w:basedOn w:val="1"/>
    <w:next w:val="145"/>
    <w:link w:val="177"/>
    <w:qFormat/>
    <w:uiPriority w:val="0"/>
    <w:pPr>
      <w:spacing w:before="120" w:line="360" w:lineRule="auto"/>
      <w:ind w:firstLine="425"/>
      <w:jc w:val="left"/>
    </w:pPr>
    <w:rPr>
      <w:sz w:val="18"/>
    </w:rPr>
  </w:style>
  <w:style w:type="character" w:customStyle="1" w:styleId="177">
    <w:name w:val="脚注文本 Char"/>
    <w:link w:val="176"/>
    <w:qFormat/>
    <w:uiPriority w:val="0"/>
    <w:rPr>
      <w:rFonts w:ascii="Times New Roman" w:hAnsi="Times New Roman"/>
      <w:sz w:val="18"/>
    </w:rPr>
  </w:style>
  <w:style w:type="character" w:customStyle="1" w:styleId="178">
    <w:name w:val="Footnote Text Char"/>
    <w:link w:val="1"/>
    <w:qFormat/>
    <w:uiPriority w:val="99"/>
    <w:rPr>
      <w:sz w:val="18"/>
    </w:rPr>
  </w:style>
  <w:style w:type="paragraph" w:customStyle="1" w:styleId="179">
    <w:name w:val="目录 61"/>
    <w:basedOn w:val="1"/>
    <w:next w:val="1"/>
    <w:unhideWhenUsed/>
    <w:qFormat/>
    <w:uiPriority w:val="39"/>
    <w:pPr>
      <w:spacing w:after="57"/>
      <w:ind w:left="1417"/>
    </w:pPr>
  </w:style>
  <w:style w:type="paragraph" w:customStyle="1" w:styleId="180">
    <w:name w:val="正文文本缩进 31"/>
    <w:basedOn w:val="1"/>
    <w:link w:val="181"/>
    <w:qFormat/>
    <w:uiPriority w:val="99"/>
    <w:pPr>
      <w:ind w:left="359" w:firstLine="359"/>
    </w:pPr>
    <w:rPr>
      <w:sz w:val="20"/>
    </w:rPr>
  </w:style>
  <w:style w:type="character" w:customStyle="1" w:styleId="181">
    <w:name w:val="正文文本缩进 3 Char"/>
    <w:link w:val="180"/>
    <w:qFormat/>
    <w:uiPriority w:val="99"/>
    <w:rPr>
      <w:rFonts w:ascii="Times New Roman" w:hAnsi="Times New Roman" w:eastAsia="宋体" w:cs="Times New Roman"/>
      <w:szCs w:val="20"/>
    </w:rPr>
  </w:style>
  <w:style w:type="paragraph" w:customStyle="1" w:styleId="182">
    <w:name w:val="图表目录1"/>
    <w:basedOn w:val="1"/>
    <w:next w:val="1"/>
    <w:unhideWhenUsed/>
    <w:qFormat/>
    <w:uiPriority w:val="99"/>
  </w:style>
  <w:style w:type="paragraph" w:customStyle="1" w:styleId="183">
    <w:name w:val="目录 21"/>
    <w:basedOn w:val="1"/>
    <w:next w:val="1"/>
    <w:unhideWhenUsed/>
    <w:qFormat/>
    <w:uiPriority w:val="39"/>
    <w:pPr>
      <w:spacing w:after="57"/>
      <w:ind w:left="283"/>
    </w:pPr>
  </w:style>
  <w:style w:type="paragraph" w:customStyle="1" w:styleId="184">
    <w:name w:val="目录 91"/>
    <w:basedOn w:val="1"/>
    <w:next w:val="1"/>
    <w:unhideWhenUsed/>
    <w:qFormat/>
    <w:uiPriority w:val="39"/>
    <w:pPr>
      <w:spacing w:after="57"/>
      <w:ind w:left="2268"/>
    </w:pPr>
  </w:style>
  <w:style w:type="paragraph" w:customStyle="1" w:styleId="185">
    <w:name w:val="正文文本 21"/>
    <w:basedOn w:val="1"/>
    <w:link w:val="186"/>
    <w:qFormat/>
    <w:uiPriority w:val="99"/>
    <w:pPr>
      <w:spacing w:after="120" w:line="480" w:lineRule="auto"/>
    </w:pPr>
    <w:rPr>
      <w:sz w:val="20"/>
    </w:rPr>
  </w:style>
  <w:style w:type="character" w:customStyle="1" w:styleId="186">
    <w:name w:val="正文文本 2 Char"/>
    <w:link w:val="185"/>
    <w:qFormat/>
    <w:uiPriority w:val="99"/>
    <w:rPr>
      <w:rFonts w:ascii="Times New Roman" w:hAnsi="Times New Roman" w:eastAsia="宋体" w:cs="Times New Roman"/>
      <w:szCs w:val="20"/>
    </w:rPr>
  </w:style>
  <w:style w:type="paragraph" w:customStyle="1" w:styleId="187">
    <w:name w:val="普通(网站)1"/>
    <w:basedOn w:val="1"/>
    <w:link w:val="188"/>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88">
    <w:name w:val="普通(网站) Char"/>
    <w:link w:val="187"/>
    <w:qFormat/>
    <w:uiPriority w:val="0"/>
    <w:rPr>
      <w:rFonts w:ascii="宋体" w:hAnsi="宋体"/>
      <w:sz w:val="24"/>
      <w:szCs w:val="24"/>
    </w:rPr>
  </w:style>
  <w:style w:type="paragraph" w:customStyle="1" w:styleId="189">
    <w:name w:val="标题1"/>
    <w:basedOn w:val="1"/>
    <w:next w:val="1"/>
    <w:link w:val="190"/>
    <w:qFormat/>
    <w:uiPriority w:val="10"/>
    <w:pPr>
      <w:spacing w:before="300" w:after="200"/>
      <w:contextualSpacing/>
    </w:pPr>
    <w:rPr>
      <w:sz w:val="48"/>
      <w:szCs w:val="48"/>
    </w:rPr>
  </w:style>
  <w:style w:type="character" w:customStyle="1" w:styleId="190">
    <w:name w:val="标题 Char"/>
    <w:link w:val="189"/>
    <w:qFormat/>
    <w:uiPriority w:val="10"/>
    <w:rPr>
      <w:sz w:val="48"/>
      <w:szCs w:val="48"/>
    </w:rPr>
  </w:style>
  <w:style w:type="paragraph" w:customStyle="1" w:styleId="191">
    <w:name w:val="批注主题1"/>
    <w:basedOn w:val="148"/>
    <w:next w:val="148"/>
    <w:link w:val="192"/>
    <w:semiHidden/>
    <w:qFormat/>
    <w:uiPriority w:val="0"/>
    <w:rPr>
      <w:b/>
      <w:bCs/>
    </w:rPr>
  </w:style>
  <w:style w:type="character" w:customStyle="1" w:styleId="192">
    <w:name w:val="批注主题 Char"/>
    <w:link w:val="191"/>
    <w:semiHidden/>
    <w:qFormat/>
    <w:uiPriority w:val="0"/>
    <w:rPr>
      <w:rFonts w:ascii="Times New Roman" w:hAnsi="Times New Roman" w:eastAsia="宋体" w:cs="Times New Roman"/>
      <w:b/>
      <w:bCs/>
      <w:szCs w:val="24"/>
    </w:rPr>
  </w:style>
  <w:style w:type="paragraph" w:customStyle="1" w:styleId="193">
    <w:name w:val="正文首行缩进1"/>
    <w:basedOn w:val="1"/>
    <w:link w:val="194"/>
    <w:unhideWhenUsed/>
    <w:qFormat/>
    <w:uiPriority w:val="99"/>
    <w:pPr>
      <w:spacing w:after="120"/>
      <w:ind w:firstLine="420"/>
    </w:pPr>
    <w:rPr>
      <w:rFonts w:eastAsia="华文中宋"/>
    </w:rPr>
  </w:style>
  <w:style w:type="character" w:customStyle="1" w:styleId="194">
    <w:name w:val="正文首行缩进 Char"/>
    <w:link w:val="193"/>
    <w:semiHidden/>
    <w:qFormat/>
    <w:uiPriority w:val="99"/>
    <w:rPr>
      <w:rFonts w:ascii="Times New Roman" w:hAnsi="Times New Roman" w:eastAsia="华文中宋" w:cs="Times New Roman"/>
      <w:sz w:val="21"/>
      <w:szCs w:val="20"/>
    </w:rPr>
  </w:style>
  <w:style w:type="paragraph" w:customStyle="1" w:styleId="195">
    <w:name w:val="正文首行缩进 21"/>
    <w:basedOn w:val="153"/>
    <w:qFormat/>
    <w:uiPriority w:val="0"/>
    <w:pPr>
      <w:spacing w:after="120"/>
      <w:ind w:left="420" w:firstLine="420"/>
    </w:pPr>
    <w:rPr>
      <w:rFonts w:ascii="Cambria" w:hAnsi="Cambria" w:eastAsia="华文细黑"/>
      <w:sz w:val="21"/>
    </w:rPr>
  </w:style>
  <w:style w:type="table" w:customStyle="1" w:styleId="196">
    <w:name w:val="网格型1"/>
    <w:qFormat/>
    <w:uiPriority w:val="59"/>
  </w:style>
  <w:style w:type="character" w:customStyle="1" w:styleId="197">
    <w:name w:val="要点1"/>
    <w:link w:val="1"/>
    <w:qFormat/>
    <w:uiPriority w:val="99"/>
    <w:rPr>
      <w:rFonts w:cs="Times New Roman"/>
      <w:b/>
      <w:bCs/>
    </w:rPr>
  </w:style>
  <w:style w:type="character" w:customStyle="1" w:styleId="198">
    <w:name w:val="尾注引用1"/>
    <w:link w:val="1"/>
    <w:unhideWhenUsed/>
    <w:qFormat/>
    <w:uiPriority w:val="99"/>
    <w:rPr>
      <w:vertAlign w:val="superscript"/>
    </w:rPr>
  </w:style>
  <w:style w:type="character" w:customStyle="1" w:styleId="199">
    <w:name w:val="页码1"/>
    <w:link w:val="1"/>
    <w:qFormat/>
    <w:uiPriority w:val="0"/>
    <w:rPr>
      <w:rFonts w:cs="Times New Roman"/>
    </w:rPr>
  </w:style>
  <w:style w:type="character" w:customStyle="1" w:styleId="200">
    <w:name w:val="已访问的超链接1"/>
    <w:link w:val="1"/>
    <w:qFormat/>
    <w:uiPriority w:val="99"/>
    <w:rPr>
      <w:rFonts w:cs="Times New Roman"/>
      <w:color w:val="000000"/>
      <w:u w:val="none"/>
    </w:rPr>
  </w:style>
  <w:style w:type="character" w:customStyle="1" w:styleId="201">
    <w:name w:val="HTML 打字机1"/>
    <w:link w:val="1"/>
    <w:qFormat/>
    <w:uiPriority w:val="99"/>
    <w:rPr>
      <w:rFonts w:ascii="宋体" w:hAnsi="宋体" w:eastAsia="宋体" w:cs="宋体"/>
      <w:sz w:val="24"/>
      <w:szCs w:val="24"/>
    </w:rPr>
  </w:style>
  <w:style w:type="character" w:customStyle="1" w:styleId="202">
    <w:name w:val="超链接1"/>
    <w:link w:val="1"/>
    <w:qFormat/>
    <w:uiPriority w:val="0"/>
    <w:rPr>
      <w:color w:val="000000"/>
      <w:u w:val="none"/>
    </w:rPr>
  </w:style>
  <w:style w:type="character" w:customStyle="1" w:styleId="203">
    <w:name w:val="批注引用1"/>
    <w:link w:val="1"/>
    <w:unhideWhenUsed/>
    <w:qFormat/>
    <w:uiPriority w:val="0"/>
    <w:rPr>
      <w:sz w:val="21"/>
      <w:szCs w:val="21"/>
    </w:rPr>
  </w:style>
  <w:style w:type="character" w:customStyle="1" w:styleId="204">
    <w:name w:val="脚注引用1"/>
    <w:link w:val="1"/>
    <w:unhideWhenUsed/>
    <w:qFormat/>
    <w:uiPriority w:val="99"/>
    <w:rPr>
      <w:vertAlign w:val="superscript"/>
    </w:rPr>
  </w:style>
  <w:style w:type="character" w:customStyle="1" w:styleId="205">
    <w:name w:val="Title Char"/>
    <w:basedOn w:val="142"/>
    <w:link w:val="1"/>
    <w:qFormat/>
    <w:uiPriority w:val="10"/>
    <w:rPr>
      <w:sz w:val="48"/>
      <w:szCs w:val="48"/>
    </w:rPr>
  </w:style>
  <w:style w:type="character" w:customStyle="1" w:styleId="206">
    <w:name w:val="Subtitle Char"/>
    <w:basedOn w:val="142"/>
    <w:link w:val="1"/>
    <w:qFormat/>
    <w:uiPriority w:val="11"/>
    <w:rPr>
      <w:sz w:val="24"/>
      <w:szCs w:val="24"/>
    </w:rPr>
  </w:style>
  <w:style w:type="character" w:customStyle="1" w:styleId="207">
    <w:name w:val="Quote Char"/>
    <w:link w:val="1"/>
    <w:qFormat/>
    <w:uiPriority w:val="29"/>
    <w:rPr>
      <w:i/>
    </w:rPr>
  </w:style>
  <w:style w:type="character" w:customStyle="1" w:styleId="208">
    <w:name w:val="Intense Quote Char"/>
    <w:link w:val="1"/>
    <w:qFormat/>
    <w:uiPriority w:val="30"/>
    <w:rPr>
      <w:i/>
    </w:rPr>
  </w:style>
  <w:style w:type="character" w:customStyle="1" w:styleId="209">
    <w:name w:val="Endnote Text Char"/>
    <w:link w:val="1"/>
    <w:qFormat/>
    <w:uiPriority w:val="99"/>
    <w:rPr>
      <w:sz w:val="20"/>
    </w:rPr>
  </w:style>
  <w:style w:type="paragraph" w:customStyle="1" w:styleId="210">
    <w:name w:val="TOC 标题1"/>
    <w:unhideWhenUsed/>
    <w:qFormat/>
    <w:uiPriority w:val="39"/>
    <w:rPr>
      <w:rFonts w:hint="default" w:ascii="Times New Roman" w:hAnsi="Times New Roman" w:eastAsia="宋体" w:cs="Times New Roman"/>
      <w:lang w:val="en-US" w:eastAsia="zh-CN" w:bidi="ar-SA"/>
    </w:rPr>
  </w:style>
  <w:style w:type="paragraph" w:customStyle="1" w:styleId="211">
    <w:name w:val="正文文本1"/>
    <w:basedOn w:val="1"/>
    <w:qFormat/>
    <w:uiPriority w:val="0"/>
    <w:rPr>
      <w:rFonts w:ascii="华文中宋" w:eastAsia="华文中宋"/>
      <w:bCs/>
      <w:sz w:val="28"/>
    </w:rPr>
  </w:style>
  <w:style w:type="paragraph" w:styleId="212">
    <w:name w:val="No Spacing"/>
    <w:qFormat/>
    <w:uiPriority w:val="1"/>
    <w:rPr>
      <w:rFonts w:hint="default" w:ascii="Times New Roman" w:hAnsi="Times New Roman" w:eastAsia="宋体" w:cs="Times New Roman"/>
      <w:lang w:val="en-US" w:eastAsia="zh-CN" w:bidi="ar-SA"/>
    </w:rPr>
  </w:style>
  <w:style w:type="paragraph" w:styleId="213">
    <w:name w:val="Quote"/>
    <w:basedOn w:val="1"/>
    <w:next w:val="1"/>
    <w:link w:val="214"/>
    <w:qFormat/>
    <w:uiPriority w:val="29"/>
    <w:pPr>
      <w:ind w:left="720" w:right="720"/>
    </w:pPr>
    <w:rPr>
      <w:i/>
    </w:rPr>
  </w:style>
  <w:style w:type="character" w:customStyle="1" w:styleId="214">
    <w:name w:val="引用 Char"/>
    <w:link w:val="213"/>
    <w:qFormat/>
    <w:uiPriority w:val="29"/>
    <w:rPr>
      <w:i/>
    </w:rPr>
  </w:style>
  <w:style w:type="paragraph" w:styleId="215">
    <w:name w:val="Intense Quote"/>
    <w:basedOn w:val="1"/>
    <w:next w:val="1"/>
    <w:link w:val="2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6">
    <w:name w:val="明显引用 Char"/>
    <w:link w:val="215"/>
    <w:qFormat/>
    <w:uiPriority w:val="30"/>
    <w:rPr>
      <w:i/>
    </w:rPr>
  </w:style>
  <w:style w:type="paragraph" w:customStyle="1" w:styleId="217">
    <w:name w:val="Header1"/>
    <w:basedOn w:val="1"/>
    <w:link w:val="218"/>
    <w:unhideWhenUsed/>
    <w:qFormat/>
    <w:uiPriority w:val="99"/>
    <w:pPr>
      <w:tabs>
        <w:tab w:val="center" w:pos="7143"/>
        <w:tab w:val="right" w:pos="14287"/>
      </w:tabs>
    </w:pPr>
  </w:style>
  <w:style w:type="character" w:customStyle="1" w:styleId="218">
    <w:name w:val="Header Char"/>
    <w:link w:val="217"/>
    <w:qFormat/>
    <w:uiPriority w:val="99"/>
  </w:style>
  <w:style w:type="paragraph" w:customStyle="1" w:styleId="219">
    <w:name w:val="Footer1"/>
    <w:basedOn w:val="1"/>
    <w:link w:val="220"/>
    <w:unhideWhenUsed/>
    <w:qFormat/>
    <w:uiPriority w:val="99"/>
    <w:pPr>
      <w:tabs>
        <w:tab w:val="center" w:pos="7143"/>
        <w:tab w:val="right" w:pos="14287"/>
      </w:tabs>
    </w:pPr>
  </w:style>
  <w:style w:type="character" w:customStyle="1" w:styleId="220">
    <w:name w:val="Caption Char"/>
    <w:link w:val="219"/>
    <w:qFormat/>
    <w:uiPriority w:val="99"/>
  </w:style>
  <w:style w:type="character" w:customStyle="1" w:styleId="221">
    <w:name w:val="Footer Char"/>
    <w:link w:val="1"/>
    <w:qFormat/>
    <w:uiPriority w:val="99"/>
  </w:style>
  <w:style w:type="paragraph" w:customStyle="1" w:styleId="222">
    <w:name w:val="Caption1"/>
    <w:basedOn w:val="1"/>
    <w:next w:val="1"/>
    <w:unhideWhenUsed/>
    <w:qFormat/>
    <w:uiPriority w:val="35"/>
    <w:pPr>
      <w:spacing w:line="276" w:lineRule="auto"/>
    </w:pPr>
    <w:rPr>
      <w:b/>
      <w:bCs/>
      <w:color w:val="4F81BD"/>
      <w:sz w:val="18"/>
      <w:szCs w:val="18"/>
    </w:rPr>
  </w:style>
  <w:style w:type="table" w:customStyle="1" w:styleId="223">
    <w:name w:val="Table Grid Light"/>
    <w:qFormat/>
    <w:uiPriority w:val="59"/>
  </w:style>
  <w:style w:type="table" w:customStyle="1" w:styleId="224">
    <w:name w:val="Plain Table 1"/>
    <w:qFormat/>
    <w:uiPriority w:val="59"/>
  </w:style>
  <w:style w:type="table" w:customStyle="1" w:styleId="225">
    <w:name w:val="Plain Table 2"/>
    <w:qFormat/>
    <w:uiPriority w:val="59"/>
  </w:style>
  <w:style w:type="table" w:customStyle="1" w:styleId="226">
    <w:name w:val="Plain Table 3"/>
    <w:qFormat/>
    <w:uiPriority w:val="99"/>
  </w:style>
  <w:style w:type="table" w:customStyle="1" w:styleId="227">
    <w:name w:val="Plain Table 4"/>
    <w:qFormat/>
    <w:uiPriority w:val="99"/>
  </w:style>
  <w:style w:type="table" w:customStyle="1" w:styleId="228">
    <w:name w:val="Plain Table 5"/>
    <w:qFormat/>
    <w:uiPriority w:val="99"/>
  </w:style>
  <w:style w:type="table" w:customStyle="1" w:styleId="229">
    <w:name w:val="Grid Table 1 Light"/>
    <w:qFormat/>
    <w:uiPriority w:val="99"/>
  </w:style>
  <w:style w:type="table" w:customStyle="1" w:styleId="230">
    <w:name w:val="Grid Table 1 Light - Accent 1"/>
    <w:qFormat/>
    <w:uiPriority w:val="99"/>
  </w:style>
  <w:style w:type="table" w:customStyle="1" w:styleId="231">
    <w:name w:val="Grid Table 1 Light - Accent 2"/>
    <w:qFormat/>
    <w:uiPriority w:val="99"/>
  </w:style>
  <w:style w:type="table" w:customStyle="1" w:styleId="232">
    <w:name w:val="Grid Table 1 Light - Accent 3"/>
    <w:qFormat/>
    <w:uiPriority w:val="99"/>
  </w:style>
  <w:style w:type="table" w:customStyle="1" w:styleId="233">
    <w:name w:val="Grid Table 1 Light - Accent 4"/>
    <w:qFormat/>
    <w:uiPriority w:val="99"/>
  </w:style>
  <w:style w:type="table" w:customStyle="1" w:styleId="234">
    <w:name w:val="Grid Table 1 Light - Accent 5"/>
    <w:qFormat/>
    <w:uiPriority w:val="99"/>
  </w:style>
  <w:style w:type="table" w:customStyle="1" w:styleId="235">
    <w:name w:val="Grid Table 1 Light - Accent 6"/>
    <w:qFormat/>
    <w:uiPriority w:val="99"/>
  </w:style>
  <w:style w:type="table" w:customStyle="1" w:styleId="236">
    <w:name w:val="Grid Table 2"/>
    <w:qFormat/>
    <w:uiPriority w:val="99"/>
  </w:style>
  <w:style w:type="table" w:customStyle="1" w:styleId="237">
    <w:name w:val="Grid Table 2 - Accent 1"/>
    <w:qFormat/>
    <w:uiPriority w:val="99"/>
  </w:style>
  <w:style w:type="table" w:customStyle="1" w:styleId="238">
    <w:name w:val="Grid Table 2 - Accent 2"/>
    <w:qFormat/>
    <w:uiPriority w:val="99"/>
  </w:style>
  <w:style w:type="table" w:customStyle="1" w:styleId="239">
    <w:name w:val="Grid Table 2 - Accent 3"/>
    <w:qFormat/>
    <w:uiPriority w:val="99"/>
  </w:style>
  <w:style w:type="table" w:customStyle="1" w:styleId="240">
    <w:name w:val="Grid Table 2 - Accent 4"/>
    <w:qFormat/>
    <w:uiPriority w:val="99"/>
  </w:style>
  <w:style w:type="table" w:customStyle="1" w:styleId="241">
    <w:name w:val="Grid Table 2 - Accent 5"/>
    <w:qFormat/>
    <w:uiPriority w:val="99"/>
  </w:style>
  <w:style w:type="table" w:customStyle="1" w:styleId="242">
    <w:name w:val="Grid Table 2 - Accent 6"/>
    <w:qFormat/>
    <w:uiPriority w:val="99"/>
  </w:style>
  <w:style w:type="table" w:customStyle="1" w:styleId="243">
    <w:name w:val="Grid Table 3"/>
    <w:qFormat/>
    <w:uiPriority w:val="99"/>
  </w:style>
  <w:style w:type="table" w:customStyle="1" w:styleId="244">
    <w:name w:val="Grid Table 3 - Accent 1"/>
    <w:qFormat/>
    <w:uiPriority w:val="99"/>
  </w:style>
  <w:style w:type="table" w:customStyle="1" w:styleId="245">
    <w:name w:val="Grid Table 3 - Accent 2"/>
    <w:qFormat/>
    <w:uiPriority w:val="99"/>
  </w:style>
  <w:style w:type="table" w:customStyle="1" w:styleId="246">
    <w:name w:val="Grid Table 3 - Accent 3"/>
    <w:qFormat/>
    <w:uiPriority w:val="99"/>
  </w:style>
  <w:style w:type="table" w:customStyle="1" w:styleId="247">
    <w:name w:val="Grid Table 3 - Accent 4"/>
    <w:qFormat/>
    <w:uiPriority w:val="99"/>
  </w:style>
  <w:style w:type="table" w:customStyle="1" w:styleId="248">
    <w:name w:val="Grid Table 3 - Accent 5"/>
    <w:qFormat/>
    <w:uiPriority w:val="99"/>
  </w:style>
  <w:style w:type="table" w:customStyle="1" w:styleId="249">
    <w:name w:val="Grid Table 3 - Accent 6"/>
    <w:qFormat/>
    <w:uiPriority w:val="99"/>
  </w:style>
  <w:style w:type="table" w:customStyle="1" w:styleId="250">
    <w:name w:val="Grid Table 4"/>
    <w:qFormat/>
    <w:uiPriority w:val="59"/>
  </w:style>
  <w:style w:type="table" w:customStyle="1" w:styleId="251">
    <w:name w:val="Grid Table 4 - Accent 1"/>
    <w:qFormat/>
    <w:uiPriority w:val="59"/>
  </w:style>
  <w:style w:type="table" w:customStyle="1" w:styleId="252">
    <w:name w:val="Grid Table 4 - Accent 2"/>
    <w:qFormat/>
    <w:uiPriority w:val="59"/>
  </w:style>
  <w:style w:type="table" w:customStyle="1" w:styleId="253">
    <w:name w:val="Grid Table 4 - Accent 3"/>
    <w:qFormat/>
    <w:uiPriority w:val="59"/>
  </w:style>
  <w:style w:type="table" w:customStyle="1" w:styleId="254">
    <w:name w:val="Grid Table 4 - Accent 4"/>
    <w:qFormat/>
    <w:uiPriority w:val="59"/>
  </w:style>
  <w:style w:type="table" w:customStyle="1" w:styleId="255">
    <w:name w:val="Grid Table 4 - Accent 5"/>
    <w:qFormat/>
    <w:uiPriority w:val="59"/>
  </w:style>
  <w:style w:type="table" w:customStyle="1" w:styleId="256">
    <w:name w:val="Grid Table 4 - Accent 6"/>
    <w:qFormat/>
    <w:uiPriority w:val="59"/>
  </w:style>
  <w:style w:type="table" w:customStyle="1" w:styleId="257">
    <w:name w:val="Grid Table 5 Dark"/>
    <w:qFormat/>
    <w:uiPriority w:val="99"/>
  </w:style>
  <w:style w:type="table" w:customStyle="1" w:styleId="258">
    <w:name w:val="Grid Table 5 Dark- Accent 1"/>
    <w:qFormat/>
    <w:uiPriority w:val="99"/>
  </w:style>
  <w:style w:type="table" w:customStyle="1" w:styleId="259">
    <w:name w:val="Grid Table 5 Dark - Accent 2"/>
    <w:qFormat/>
    <w:uiPriority w:val="99"/>
  </w:style>
  <w:style w:type="table" w:customStyle="1" w:styleId="260">
    <w:name w:val="Grid Table 5 Dark - Accent 3"/>
    <w:qFormat/>
    <w:uiPriority w:val="99"/>
  </w:style>
  <w:style w:type="table" w:customStyle="1" w:styleId="261">
    <w:name w:val="Grid Table 5 Dark- Accent 4"/>
    <w:qFormat/>
    <w:uiPriority w:val="99"/>
  </w:style>
  <w:style w:type="table" w:customStyle="1" w:styleId="262">
    <w:name w:val="Grid Table 5 Dark - Accent 5"/>
    <w:qFormat/>
    <w:uiPriority w:val="99"/>
  </w:style>
  <w:style w:type="table" w:customStyle="1" w:styleId="263">
    <w:name w:val="Grid Table 5 Dark - Accent 6"/>
    <w:qFormat/>
    <w:uiPriority w:val="99"/>
  </w:style>
  <w:style w:type="table" w:customStyle="1" w:styleId="264">
    <w:name w:val="Grid Table 6 Colorful"/>
    <w:qFormat/>
    <w:uiPriority w:val="99"/>
  </w:style>
  <w:style w:type="table" w:customStyle="1" w:styleId="265">
    <w:name w:val="Grid Table 6 Colorful - Accent 1"/>
    <w:qFormat/>
    <w:uiPriority w:val="99"/>
  </w:style>
  <w:style w:type="table" w:customStyle="1" w:styleId="266">
    <w:name w:val="Grid Table 6 Colorful - Accent 2"/>
    <w:qFormat/>
    <w:uiPriority w:val="99"/>
  </w:style>
  <w:style w:type="table" w:customStyle="1" w:styleId="267">
    <w:name w:val="Grid Table 6 Colorful - Accent 3"/>
    <w:qFormat/>
    <w:uiPriority w:val="99"/>
  </w:style>
  <w:style w:type="table" w:customStyle="1" w:styleId="268">
    <w:name w:val="Grid Table 6 Colorful - Accent 4"/>
    <w:qFormat/>
    <w:uiPriority w:val="99"/>
  </w:style>
  <w:style w:type="table" w:customStyle="1" w:styleId="269">
    <w:name w:val="Grid Table 6 Colorful - Accent 5"/>
    <w:qFormat/>
    <w:uiPriority w:val="99"/>
  </w:style>
  <w:style w:type="table" w:customStyle="1" w:styleId="270">
    <w:name w:val="Grid Table 6 Colorful - Accent 6"/>
    <w:qFormat/>
    <w:uiPriority w:val="99"/>
  </w:style>
  <w:style w:type="table" w:customStyle="1" w:styleId="271">
    <w:name w:val="Grid Table 7 Colorful"/>
    <w:qFormat/>
    <w:uiPriority w:val="99"/>
  </w:style>
  <w:style w:type="table" w:customStyle="1" w:styleId="272">
    <w:name w:val="Grid Table 7 Colorful - Accent 1"/>
    <w:qFormat/>
    <w:uiPriority w:val="99"/>
  </w:style>
  <w:style w:type="table" w:customStyle="1" w:styleId="273">
    <w:name w:val="Grid Table 7 Colorful - Accent 2"/>
    <w:qFormat/>
    <w:uiPriority w:val="99"/>
  </w:style>
  <w:style w:type="table" w:customStyle="1" w:styleId="274">
    <w:name w:val="Grid Table 7 Colorful - Accent 3"/>
    <w:qFormat/>
    <w:uiPriority w:val="99"/>
  </w:style>
  <w:style w:type="table" w:customStyle="1" w:styleId="275">
    <w:name w:val="Grid Table 7 Colorful - Accent 4"/>
    <w:qFormat/>
    <w:uiPriority w:val="99"/>
  </w:style>
  <w:style w:type="table" w:customStyle="1" w:styleId="276">
    <w:name w:val="Grid Table 7 Colorful - Accent 5"/>
    <w:qFormat/>
    <w:uiPriority w:val="99"/>
  </w:style>
  <w:style w:type="table" w:customStyle="1" w:styleId="277">
    <w:name w:val="Grid Table 7 Colorful - Accent 6"/>
    <w:qFormat/>
    <w:uiPriority w:val="99"/>
  </w:style>
  <w:style w:type="table" w:customStyle="1" w:styleId="278">
    <w:name w:val="List Table 1 Light"/>
    <w:qFormat/>
    <w:uiPriority w:val="99"/>
  </w:style>
  <w:style w:type="table" w:customStyle="1" w:styleId="279">
    <w:name w:val="List Table 1 Light - Accent 1"/>
    <w:qFormat/>
    <w:uiPriority w:val="99"/>
  </w:style>
  <w:style w:type="table" w:customStyle="1" w:styleId="280">
    <w:name w:val="List Table 1 Light - Accent 2"/>
    <w:qFormat/>
    <w:uiPriority w:val="99"/>
  </w:style>
  <w:style w:type="table" w:customStyle="1" w:styleId="281">
    <w:name w:val="List Table 1 Light - Accent 3"/>
    <w:qFormat/>
    <w:uiPriority w:val="99"/>
  </w:style>
  <w:style w:type="table" w:customStyle="1" w:styleId="282">
    <w:name w:val="List Table 1 Light - Accent 4"/>
    <w:qFormat/>
    <w:uiPriority w:val="99"/>
  </w:style>
  <w:style w:type="table" w:customStyle="1" w:styleId="283">
    <w:name w:val="List Table 1 Light - Accent 5"/>
    <w:qFormat/>
    <w:uiPriority w:val="99"/>
  </w:style>
  <w:style w:type="table" w:customStyle="1" w:styleId="284">
    <w:name w:val="List Table 1 Light - Accent 6"/>
    <w:qFormat/>
    <w:uiPriority w:val="99"/>
  </w:style>
  <w:style w:type="table" w:customStyle="1" w:styleId="285">
    <w:name w:val="List Table 2"/>
    <w:qFormat/>
    <w:uiPriority w:val="99"/>
  </w:style>
  <w:style w:type="table" w:customStyle="1" w:styleId="286">
    <w:name w:val="List Table 2 - Accent 1"/>
    <w:qFormat/>
    <w:uiPriority w:val="99"/>
  </w:style>
  <w:style w:type="table" w:customStyle="1" w:styleId="287">
    <w:name w:val="List Table 2 - Accent 2"/>
    <w:qFormat/>
    <w:uiPriority w:val="99"/>
  </w:style>
  <w:style w:type="table" w:customStyle="1" w:styleId="288">
    <w:name w:val="List Table 2 - Accent 3"/>
    <w:qFormat/>
    <w:uiPriority w:val="99"/>
  </w:style>
  <w:style w:type="table" w:customStyle="1" w:styleId="289">
    <w:name w:val="List Table 2 - Accent 4"/>
    <w:qFormat/>
    <w:uiPriority w:val="99"/>
  </w:style>
  <w:style w:type="table" w:customStyle="1" w:styleId="290">
    <w:name w:val="List Table 2 - Accent 5"/>
    <w:qFormat/>
    <w:uiPriority w:val="99"/>
  </w:style>
  <w:style w:type="table" w:customStyle="1" w:styleId="291">
    <w:name w:val="List Table 2 - Accent 6"/>
    <w:qFormat/>
    <w:uiPriority w:val="99"/>
  </w:style>
  <w:style w:type="table" w:customStyle="1" w:styleId="292">
    <w:name w:val="List Table 3"/>
    <w:qFormat/>
    <w:uiPriority w:val="99"/>
  </w:style>
  <w:style w:type="table" w:customStyle="1" w:styleId="293">
    <w:name w:val="List Table 3 - Accent 1"/>
    <w:qFormat/>
    <w:uiPriority w:val="99"/>
  </w:style>
  <w:style w:type="table" w:customStyle="1" w:styleId="294">
    <w:name w:val="List Table 3 - Accent 2"/>
    <w:qFormat/>
    <w:uiPriority w:val="99"/>
  </w:style>
  <w:style w:type="table" w:customStyle="1" w:styleId="295">
    <w:name w:val="List Table 3 - Accent 3"/>
    <w:qFormat/>
    <w:uiPriority w:val="99"/>
  </w:style>
  <w:style w:type="table" w:customStyle="1" w:styleId="296">
    <w:name w:val="List Table 3 - Accent 4"/>
    <w:qFormat/>
    <w:uiPriority w:val="99"/>
  </w:style>
  <w:style w:type="table" w:customStyle="1" w:styleId="297">
    <w:name w:val="List Table 3 - Accent 5"/>
    <w:qFormat/>
    <w:uiPriority w:val="99"/>
  </w:style>
  <w:style w:type="table" w:customStyle="1" w:styleId="298">
    <w:name w:val="List Table 3 - Accent 6"/>
    <w:qFormat/>
    <w:uiPriority w:val="99"/>
  </w:style>
  <w:style w:type="table" w:customStyle="1" w:styleId="299">
    <w:name w:val="List Table 4"/>
    <w:qFormat/>
    <w:uiPriority w:val="99"/>
  </w:style>
  <w:style w:type="table" w:customStyle="1" w:styleId="300">
    <w:name w:val="List Table 4 - Accent 1"/>
    <w:qFormat/>
    <w:uiPriority w:val="99"/>
  </w:style>
  <w:style w:type="table" w:customStyle="1" w:styleId="301">
    <w:name w:val="List Table 4 - Accent 2"/>
    <w:qFormat/>
    <w:uiPriority w:val="99"/>
  </w:style>
  <w:style w:type="table" w:customStyle="1" w:styleId="302">
    <w:name w:val="List Table 4 - Accent 3"/>
    <w:qFormat/>
    <w:uiPriority w:val="99"/>
  </w:style>
  <w:style w:type="table" w:customStyle="1" w:styleId="303">
    <w:name w:val="List Table 4 - Accent 4"/>
    <w:qFormat/>
    <w:uiPriority w:val="99"/>
  </w:style>
  <w:style w:type="table" w:customStyle="1" w:styleId="304">
    <w:name w:val="List Table 4 - Accent 5"/>
    <w:qFormat/>
    <w:uiPriority w:val="99"/>
  </w:style>
  <w:style w:type="table" w:customStyle="1" w:styleId="305">
    <w:name w:val="List Table 4 - Accent 6"/>
    <w:qFormat/>
    <w:uiPriority w:val="99"/>
  </w:style>
  <w:style w:type="table" w:customStyle="1" w:styleId="306">
    <w:name w:val="List Table 5 Dark"/>
    <w:qFormat/>
    <w:uiPriority w:val="99"/>
  </w:style>
  <w:style w:type="table" w:customStyle="1" w:styleId="307">
    <w:name w:val="List Table 5 Dark - Accent 1"/>
    <w:qFormat/>
    <w:uiPriority w:val="99"/>
  </w:style>
  <w:style w:type="table" w:customStyle="1" w:styleId="308">
    <w:name w:val="List Table 5 Dark - Accent 2"/>
    <w:qFormat/>
    <w:uiPriority w:val="99"/>
  </w:style>
  <w:style w:type="table" w:customStyle="1" w:styleId="309">
    <w:name w:val="List Table 5 Dark - Accent 3"/>
    <w:qFormat/>
    <w:uiPriority w:val="99"/>
  </w:style>
  <w:style w:type="table" w:customStyle="1" w:styleId="310">
    <w:name w:val="List Table 5 Dark - Accent 4"/>
    <w:qFormat/>
    <w:uiPriority w:val="99"/>
  </w:style>
  <w:style w:type="table" w:customStyle="1" w:styleId="311">
    <w:name w:val="List Table 5 Dark - Accent 5"/>
    <w:qFormat/>
    <w:uiPriority w:val="99"/>
  </w:style>
  <w:style w:type="table" w:customStyle="1" w:styleId="312">
    <w:name w:val="List Table 5 Dark - Accent 6"/>
    <w:qFormat/>
    <w:uiPriority w:val="99"/>
  </w:style>
  <w:style w:type="table" w:customStyle="1" w:styleId="313">
    <w:name w:val="List Table 6 Colorful"/>
    <w:qFormat/>
    <w:uiPriority w:val="99"/>
  </w:style>
  <w:style w:type="table" w:customStyle="1" w:styleId="314">
    <w:name w:val="List Table 6 Colorful - Accent 1"/>
    <w:qFormat/>
    <w:uiPriority w:val="99"/>
  </w:style>
  <w:style w:type="table" w:customStyle="1" w:styleId="315">
    <w:name w:val="List Table 6 Colorful - Accent 2"/>
    <w:qFormat/>
    <w:uiPriority w:val="99"/>
  </w:style>
  <w:style w:type="table" w:customStyle="1" w:styleId="316">
    <w:name w:val="List Table 6 Colorful - Accent 3"/>
    <w:qFormat/>
    <w:uiPriority w:val="99"/>
  </w:style>
  <w:style w:type="table" w:customStyle="1" w:styleId="317">
    <w:name w:val="List Table 6 Colorful - Accent 4"/>
    <w:qFormat/>
    <w:uiPriority w:val="99"/>
  </w:style>
  <w:style w:type="table" w:customStyle="1" w:styleId="318">
    <w:name w:val="List Table 6 Colorful - Accent 5"/>
    <w:qFormat/>
    <w:uiPriority w:val="99"/>
  </w:style>
  <w:style w:type="table" w:customStyle="1" w:styleId="319">
    <w:name w:val="List Table 6 Colorful - Accent 6"/>
    <w:qFormat/>
    <w:uiPriority w:val="99"/>
  </w:style>
  <w:style w:type="table" w:customStyle="1" w:styleId="320">
    <w:name w:val="List Table 7 Colorful"/>
    <w:qFormat/>
    <w:uiPriority w:val="99"/>
  </w:style>
  <w:style w:type="table" w:customStyle="1" w:styleId="321">
    <w:name w:val="List Table 7 Colorful - Accent 1"/>
    <w:qFormat/>
    <w:uiPriority w:val="99"/>
  </w:style>
  <w:style w:type="table" w:customStyle="1" w:styleId="322">
    <w:name w:val="List Table 7 Colorful - Accent 2"/>
    <w:qFormat/>
    <w:uiPriority w:val="99"/>
  </w:style>
  <w:style w:type="table" w:customStyle="1" w:styleId="323">
    <w:name w:val="List Table 7 Colorful - Accent 3"/>
    <w:qFormat/>
    <w:uiPriority w:val="99"/>
  </w:style>
  <w:style w:type="table" w:customStyle="1" w:styleId="324">
    <w:name w:val="List Table 7 Colorful - Accent 4"/>
    <w:qFormat/>
    <w:uiPriority w:val="99"/>
  </w:style>
  <w:style w:type="table" w:customStyle="1" w:styleId="325">
    <w:name w:val="List Table 7 Colorful - Accent 5"/>
    <w:qFormat/>
    <w:uiPriority w:val="99"/>
  </w:style>
  <w:style w:type="table" w:customStyle="1" w:styleId="326">
    <w:name w:val="List Table 7 Colorful - Accent 6"/>
    <w:qFormat/>
    <w:uiPriority w:val="99"/>
  </w:style>
  <w:style w:type="table" w:customStyle="1" w:styleId="327">
    <w:name w:val="Lined - Accent"/>
    <w:qFormat/>
    <w:uiPriority w:val="99"/>
    <w:rPr>
      <w:color w:val="404040"/>
    </w:rPr>
  </w:style>
  <w:style w:type="table" w:customStyle="1" w:styleId="328">
    <w:name w:val="Lined - Accent 1"/>
    <w:qFormat/>
    <w:uiPriority w:val="99"/>
    <w:rPr>
      <w:color w:val="404040"/>
    </w:rPr>
  </w:style>
  <w:style w:type="table" w:customStyle="1" w:styleId="329">
    <w:name w:val="Lined - Accent 2"/>
    <w:qFormat/>
    <w:uiPriority w:val="99"/>
    <w:rPr>
      <w:color w:val="404040"/>
    </w:rPr>
  </w:style>
  <w:style w:type="table" w:customStyle="1" w:styleId="330">
    <w:name w:val="Lined - Accent 3"/>
    <w:qFormat/>
    <w:uiPriority w:val="99"/>
    <w:rPr>
      <w:color w:val="404040"/>
    </w:rPr>
  </w:style>
  <w:style w:type="table" w:customStyle="1" w:styleId="331">
    <w:name w:val="Lined - Accent 4"/>
    <w:qFormat/>
    <w:uiPriority w:val="99"/>
    <w:rPr>
      <w:color w:val="404040"/>
    </w:rPr>
  </w:style>
  <w:style w:type="table" w:customStyle="1" w:styleId="332">
    <w:name w:val="Lined - Accent 5"/>
    <w:qFormat/>
    <w:uiPriority w:val="99"/>
    <w:rPr>
      <w:color w:val="404040"/>
    </w:rPr>
  </w:style>
  <w:style w:type="table" w:customStyle="1" w:styleId="333">
    <w:name w:val="Lined - Accent 6"/>
    <w:qFormat/>
    <w:uiPriority w:val="99"/>
    <w:rPr>
      <w:color w:val="404040"/>
    </w:rPr>
  </w:style>
  <w:style w:type="table" w:customStyle="1" w:styleId="334">
    <w:name w:val="Bordered &amp; Lined - Accent"/>
    <w:qFormat/>
    <w:uiPriority w:val="99"/>
    <w:rPr>
      <w:color w:val="404040"/>
    </w:rPr>
  </w:style>
  <w:style w:type="table" w:customStyle="1" w:styleId="335">
    <w:name w:val="Bordered &amp; Lined - Accent 1"/>
    <w:qFormat/>
    <w:uiPriority w:val="99"/>
    <w:rPr>
      <w:color w:val="404040"/>
    </w:rPr>
  </w:style>
  <w:style w:type="table" w:customStyle="1" w:styleId="336">
    <w:name w:val="Bordered &amp; Lined - Accent 2"/>
    <w:qFormat/>
    <w:uiPriority w:val="99"/>
    <w:rPr>
      <w:color w:val="404040"/>
    </w:rPr>
  </w:style>
  <w:style w:type="table" w:customStyle="1" w:styleId="337">
    <w:name w:val="Bordered &amp; Lined - Accent 3"/>
    <w:qFormat/>
    <w:uiPriority w:val="99"/>
    <w:rPr>
      <w:color w:val="404040"/>
    </w:rPr>
  </w:style>
  <w:style w:type="table" w:customStyle="1" w:styleId="338">
    <w:name w:val="Bordered &amp; Lined - Accent 4"/>
    <w:qFormat/>
    <w:uiPriority w:val="99"/>
    <w:rPr>
      <w:color w:val="404040"/>
    </w:rPr>
  </w:style>
  <w:style w:type="table" w:customStyle="1" w:styleId="339">
    <w:name w:val="Bordered &amp; Lined - Accent 5"/>
    <w:qFormat/>
    <w:uiPriority w:val="99"/>
    <w:rPr>
      <w:color w:val="404040"/>
    </w:rPr>
  </w:style>
  <w:style w:type="table" w:customStyle="1" w:styleId="340">
    <w:name w:val="Bordered &amp; Lined - Accent 6"/>
    <w:qFormat/>
    <w:uiPriority w:val="99"/>
    <w:rPr>
      <w:color w:val="404040"/>
    </w:rPr>
  </w:style>
  <w:style w:type="table" w:customStyle="1" w:styleId="341">
    <w:name w:val="Bordered"/>
    <w:qFormat/>
    <w:uiPriority w:val="99"/>
  </w:style>
  <w:style w:type="table" w:customStyle="1" w:styleId="342">
    <w:name w:val="Bordered - Accent 1"/>
    <w:qFormat/>
    <w:uiPriority w:val="99"/>
  </w:style>
  <w:style w:type="table" w:customStyle="1" w:styleId="343">
    <w:name w:val="Bordered - Accent 2"/>
    <w:qFormat/>
    <w:uiPriority w:val="99"/>
  </w:style>
  <w:style w:type="table" w:customStyle="1" w:styleId="344">
    <w:name w:val="Bordered - Accent 3"/>
    <w:qFormat/>
    <w:uiPriority w:val="99"/>
  </w:style>
  <w:style w:type="table" w:customStyle="1" w:styleId="345">
    <w:name w:val="Bordered - Accent 4"/>
    <w:qFormat/>
    <w:uiPriority w:val="99"/>
  </w:style>
  <w:style w:type="table" w:customStyle="1" w:styleId="346">
    <w:name w:val="Bordered - Accent 5"/>
    <w:qFormat/>
    <w:uiPriority w:val="99"/>
  </w:style>
  <w:style w:type="table" w:customStyle="1" w:styleId="347">
    <w:name w:val="Bordered - Accent 6"/>
    <w:qFormat/>
    <w:uiPriority w:val="99"/>
  </w:style>
  <w:style w:type="paragraph" w:customStyle="1" w:styleId="348">
    <w:name w:val="TOC 标题11"/>
    <w:unhideWhenUsed/>
    <w:qFormat/>
    <w:uiPriority w:val="39"/>
    <w:rPr>
      <w:rFonts w:hint="default" w:ascii="Times New Roman" w:hAnsi="Times New Roman" w:eastAsia="宋体" w:cs="Times New Roman"/>
      <w:lang w:val="en-US" w:eastAsia="zh-CN" w:bidi="ar-SA"/>
    </w:rPr>
  </w:style>
  <w:style w:type="character" w:customStyle="1" w:styleId="349">
    <w:name w:val="批注框文本 Char1"/>
    <w:link w:val="1"/>
    <w:semiHidden/>
    <w:qFormat/>
    <w:uiPriority w:val="99"/>
    <w:rPr>
      <w:rFonts w:ascii="Times New Roman" w:hAnsi="Times New Roman" w:eastAsia="宋体" w:cs="Times New Roman"/>
      <w:sz w:val="18"/>
      <w:szCs w:val="18"/>
    </w:rPr>
  </w:style>
  <w:style w:type="character" w:customStyle="1" w:styleId="350">
    <w:name w:val="正文文本 2 Char1"/>
    <w:link w:val="1"/>
    <w:semiHidden/>
    <w:qFormat/>
    <w:uiPriority w:val="99"/>
    <w:rPr>
      <w:rFonts w:ascii="Times New Roman" w:hAnsi="Times New Roman" w:eastAsia="宋体" w:cs="Times New Roman"/>
      <w:szCs w:val="20"/>
    </w:rPr>
  </w:style>
  <w:style w:type="character" w:customStyle="1" w:styleId="351">
    <w:name w:val="文档结构图 Char1"/>
    <w:link w:val="1"/>
    <w:semiHidden/>
    <w:qFormat/>
    <w:uiPriority w:val="99"/>
    <w:rPr>
      <w:rFonts w:ascii="宋体" w:hAnsi="Times New Roman" w:eastAsia="宋体" w:cs="Times New Roman"/>
      <w:sz w:val="18"/>
      <w:szCs w:val="18"/>
    </w:rPr>
  </w:style>
  <w:style w:type="character" w:customStyle="1" w:styleId="352">
    <w:name w:val="正文文本缩进 Char1"/>
    <w:link w:val="1"/>
    <w:semiHidden/>
    <w:qFormat/>
    <w:uiPriority w:val="99"/>
    <w:rPr>
      <w:rFonts w:ascii="Times New Roman" w:hAnsi="Times New Roman" w:eastAsia="宋体" w:cs="Times New Roman"/>
      <w:szCs w:val="20"/>
    </w:rPr>
  </w:style>
  <w:style w:type="character" w:customStyle="1" w:styleId="353">
    <w:name w:val="15"/>
    <w:link w:val="1"/>
    <w:qFormat/>
    <w:uiPriority w:val="0"/>
    <w:rPr>
      <w:rFonts w:ascii="Times New Roman" w:hAnsi="Times New Roman" w:cs="Times New Roman"/>
    </w:rPr>
  </w:style>
  <w:style w:type="character" w:customStyle="1" w:styleId="354">
    <w:name w:val="正文文本缩进 2 Char1"/>
    <w:link w:val="1"/>
    <w:semiHidden/>
    <w:qFormat/>
    <w:uiPriority w:val="99"/>
    <w:rPr>
      <w:rFonts w:ascii="Times New Roman" w:hAnsi="Times New Roman" w:eastAsia="宋体" w:cs="Times New Roman"/>
      <w:szCs w:val="20"/>
    </w:rPr>
  </w:style>
  <w:style w:type="character" w:customStyle="1" w:styleId="355">
    <w:name w:val="日期 Char1"/>
    <w:link w:val="1"/>
    <w:semiHidden/>
    <w:qFormat/>
    <w:uiPriority w:val="99"/>
    <w:rPr>
      <w:rFonts w:ascii="Times New Roman" w:hAnsi="Times New Roman" w:eastAsia="宋体" w:cs="Times New Roman"/>
      <w:szCs w:val="20"/>
    </w:rPr>
  </w:style>
  <w:style w:type="character" w:customStyle="1" w:styleId="356">
    <w:name w:val="正文文本缩进 3 Char1"/>
    <w:link w:val="1"/>
    <w:semiHidden/>
    <w:qFormat/>
    <w:uiPriority w:val="99"/>
    <w:rPr>
      <w:rFonts w:ascii="Times New Roman" w:hAnsi="Times New Roman" w:eastAsia="宋体" w:cs="Times New Roman"/>
      <w:sz w:val="16"/>
      <w:szCs w:val="16"/>
    </w:rPr>
  </w:style>
  <w:style w:type="paragraph" w:styleId="357">
    <w:name w:val="List Paragraph"/>
    <w:basedOn w:val="1"/>
    <w:qFormat/>
    <w:uiPriority w:val="0"/>
    <w:pPr>
      <w:ind w:firstLine="420"/>
    </w:pPr>
    <w:rPr>
      <w:szCs w:val="21"/>
    </w:rPr>
  </w:style>
  <w:style w:type="paragraph" w:customStyle="1" w:styleId="358">
    <w:name w:val="普通文字"/>
    <w:basedOn w:val="1"/>
    <w:next w:val="1"/>
    <w:qFormat/>
    <w:uiPriority w:val="0"/>
    <w:rPr>
      <w:rFonts w:ascii="宋体"/>
      <w:sz w:val="24"/>
    </w:rPr>
  </w:style>
  <w:style w:type="paragraph" w:customStyle="1" w:styleId="35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60">
    <w:name w:val="列出段落1"/>
    <w:basedOn w:val="1"/>
    <w:qFormat/>
    <w:uiPriority w:val="0"/>
    <w:pPr>
      <w:ind w:firstLine="420"/>
    </w:pPr>
    <w:rPr>
      <w:szCs w:val="24"/>
    </w:rPr>
  </w:style>
  <w:style w:type="paragraph" w:customStyle="1" w:styleId="36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6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6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64">
    <w:name w:val="Other|1"/>
    <w:basedOn w:val="1"/>
    <w:qFormat/>
    <w:uiPriority w:val="0"/>
    <w:pPr>
      <w:ind w:firstLine="220"/>
    </w:pPr>
    <w:rPr>
      <w:rFonts w:ascii="宋体" w:hAnsi="宋体" w:cs="宋体"/>
      <w:sz w:val="20"/>
      <w:lang w:val="zh-TW" w:eastAsia="zh-TW" w:bidi="zh-TW"/>
    </w:rPr>
  </w:style>
  <w:style w:type="character" w:customStyle="1" w:styleId="365">
    <w:name w:val="font11"/>
    <w:link w:val="1"/>
    <w:qFormat/>
    <w:uiPriority w:val="0"/>
    <w:rPr>
      <w:rFonts w:hint="eastAsia" w:ascii="宋体" w:hAnsi="宋体" w:eastAsia="宋体" w:cs="宋体"/>
      <w:color w:val="333333"/>
      <w:sz w:val="20"/>
      <w:szCs w:val="20"/>
      <w:u w:val="none"/>
    </w:rPr>
  </w:style>
  <w:style w:type="paragraph" w:customStyle="1" w:styleId="366">
    <w:name w:val="纯文本1"/>
    <w:basedOn w:val="1"/>
    <w:qFormat/>
    <w:uiPriority w:val="0"/>
    <w:rPr>
      <w:rFonts w:ascii="宋体" w:hAnsi="Courier New" w:eastAsia="楷体_GB2312"/>
      <w:sz w:val="26"/>
    </w:rPr>
  </w:style>
  <w:style w:type="character" w:customStyle="1" w:styleId="367">
    <w:name w:val="font21"/>
    <w:link w:val="1"/>
    <w:qFormat/>
    <w:uiPriority w:val="0"/>
    <w:rPr>
      <w:rFonts w:hint="eastAsia" w:ascii="宋体" w:hAnsi="宋体" w:eastAsia="宋体" w:cs="宋体"/>
      <w:color w:val="000000"/>
      <w:sz w:val="20"/>
      <w:szCs w:val="20"/>
      <w:u w:val="none"/>
    </w:rPr>
  </w:style>
  <w:style w:type="paragraph" w:customStyle="1" w:styleId="368">
    <w:name w:val="列出段落2"/>
    <w:basedOn w:val="1"/>
    <w:qFormat/>
    <w:uiPriority w:val="34"/>
    <w:pPr>
      <w:ind w:firstLine="420"/>
    </w:pPr>
  </w:style>
  <w:style w:type="paragraph" w:customStyle="1" w:styleId="369">
    <w:name w:val="正文文本2"/>
    <w:basedOn w:val="1"/>
    <w:next w:val="370"/>
    <w:qFormat/>
    <w:uiPriority w:val="0"/>
    <w:rPr>
      <w:rFonts w:ascii="华文中宋" w:eastAsia="华文中宋"/>
      <w:bCs/>
      <w:sz w:val="28"/>
    </w:rPr>
  </w:style>
  <w:style w:type="paragraph" w:customStyle="1" w:styleId="370">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71">
    <w:name w:val="页脚1"/>
    <w:basedOn w:val="1"/>
    <w:next w:val="1"/>
    <w:unhideWhenUsed/>
    <w:qFormat/>
    <w:uiPriority w:val="99"/>
    <w:pPr>
      <w:tabs>
        <w:tab w:val="center" w:pos="4153"/>
        <w:tab w:val="right" w:pos="8306"/>
      </w:tabs>
      <w:jc w:val="left"/>
    </w:pPr>
    <w:rPr>
      <w:sz w:val="18"/>
      <w:szCs w:val="18"/>
    </w:rPr>
  </w:style>
  <w:style w:type="paragraph" w:customStyle="1" w:styleId="372">
    <w:name w:val="正文缩进11"/>
    <w:basedOn w:val="1"/>
    <w:qFormat/>
    <w:uiPriority w:val="0"/>
    <w:pPr>
      <w:ind w:firstLine="420"/>
    </w:pPr>
    <w:rPr>
      <w:szCs w:val="21"/>
    </w:rPr>
  </w:style>
  <w:style w:type="paragraph" w:customStyle="1" w:styleId="373">
    <w:name w:val="列出段落3"/>
    <w:basedOn w:val="1"/>
    <w:qFormat/>
    <w:uiPriority w:val="34"/>
    <w:pPr>
      <w:ind w:firstLine="420"/>
    </w:pPr>
  </w:style>
  <w:style w:type="character" w:customStyle="1" w:styleId="374">
    <w:name w:val="font151"/>
    <w:basedOn w:val="39"/>
    <w:qFormat/>
    <w:uiPriority w:val="0"/>
    <w:rPr>
      <w:rFonts w:ascii="方正仿宋_GBK" w:hAnsi="方正仿宋_GBK" w:eastAsia="方正仿宋_GBK" w:cs="方正仿宋_GBK"/>
      <w:b/>
      <w:bCs/>
      <w:color w:val="000000"/>
      <w:sz w:val="56"/>
      <w:szCs w:val="56"/>
      <w:u w:val="none"/>
    </w:rPr>
  </w:style>
  <w:style w:type="character" w:customStyle="1" w:styleId="375">
    <w:name w:val="font51"/>
    <w:basedOn w:val="39"/>
    <w:qFormat/>
    <w:uiPriority w:val="0"/>
    <w:rPr>
      <w:rFonts w:hint="eastAsia" w:ascii="等线" w:hAnsi="等线" w:eastAsia="等线" w:cs="等线"/>
      <w:color w:val="000000"/>
      <w:sz w:val="44"/>
      <w:szCs w:val="44"/>
      <w:u w:val="none"/>
    </w:rPr>
  </w:style>
  <w:style w:type="character" w:customStyle="1" w:styleId="376">
    <w:name w:val="font161"/>
    <w:basedOn w:val="39"/>
    <w:qFormat/>
    <w:uiPriority w:val="0"/>
    <w:rPr>
      <w:rFonts w:hint="eastAsia" w:ascii="等线" w:hAnsi="等线" w:eastAsia="等线" w:cs="等线"/>
      <w:b/>
      <w:bCs/>
      <w:color w:val="000000"/>
      <w:sz w:val="44"/>
      <w:szCs w:val="44"/>
      <w:u w:val="none"/>
    </w:rPr>
  </w:style>
  <w:style w:type="character" w:customStyle="1" w:styleId="377">
    <w:name w:val="font61"/>
    <w:basedOn w:val="39"/>
    <w:qFormat/>
    <w:uiPriority w:val="0"/>
    <w:rPr>
      <w:rFonts w:hint="default" w:ascii="Times New Roman" w:hAnsi="Times New Roman" w:cs="Times New Roman"/>
      <w:color w:val="000000"/>
      <w:sz w:val="56"/>
      <w:szCs w:val="56"/>
      <w:u w:val="none"/>
    </w:rPr>
  </w:style>
  <w:style w:type="character" w:customStyle="1" w:styleId="378">
    <w:name w:val="font171"/>
    <w:basedOn w:val="39"/>
    <w:qFormat/>
    <w:uiPriority w:val="0"/>
    <w:rPr>
      <w:rFonts w:hint="eastAsia" w:ascii="方正仿宋_GBK" w:hAnsi="方正仿宋_GBK" w:eastAsia="方正仿宋_GBK" w:cs="方正仿宋_GBK"/>
      <w:color w:val="000000"/>
      <w:sz w:val="56"/>
      <w:szCs w:val="56"/>
      <w:u w:val="none"/>
    </w:rPr>
  </w:style>
  <w:style w:type="character" w:customStyle="1" w:styleId="379">
    <w:name w:val="font81"/>
    <w:basedOn w:val="39"/>
    <w:qFormat/>
    <w:uiPriority w:val="0"/>
    <w:rPr>
      <w:rFonts w:hint="eastAsia" w:ascii="等线" w:hAnsi="等线" w:eastAsia="等线" w:cs="等线"/>
      <w:b/>
      <w:bCs/>
      <w:color w:val="000000"/>
      <w:sz w:val="44"/>
      <w:szCs w:val="44"/>
      <w:u w:val="none"/>
    </w:rPr>
  </w:style>
  <w:style w:type="character" w:customStyle="1" w:styleId="380">
    <w:name w:val="font91"/>
    <w:basedOn w:val="39"/>
    <w:qFormat/>
    <w:uiPriority w:val="0"/>
    <w:rPr>
      <w:rFonts w:hint="eastAsia" w:ascii="等线" w:hAnsi="等线" w:eastAsia="等线" w:cs="等线"/>
      <w:color w:val="000000"/>
      <w:sz w:val="44"/>
      <w:szCs w:val="44"/>
      <w:u w:val="none"/>
    </w:rPr>
  </w:style>
  <w:style w:type="character" w:customStyle="1" w:styleId="381">
    <w:name w:val="font101"/>
    <w:basedOn w:val="39"/>
    <w:qFormat/>
    <w:uiPriority w:val="0"/>
    <w:rPr>
      <w:rFonts w:hint="eastAsia" w:ascii="等线" w:hAnsi="等线" w:eastAsia="等线" w:cs="等线"/>
      <w:color w:val="000000"/>
      <w:sz w:val="44"/>
      <w:szCs w:val="44"/>
      <w:u w:val="none"/>
    </w:rPr>
  </w:style>
  <w:style w:type="character" w:customStyle="1" w:styleId="382">
    <w:name w:val="font181"/>
    <w:basedOn w:val="39"/>
    <w:qFormat/>
    <w:uiPriority w:val="0"/>
    <w:rPr>
      <w:rFonts w:hint="eastAsia" w:ascii="等线" w:hAnsi="等线" w:eastAsia="等线" w:cs="等线"/>
      <w:color w:val="000000"/>
      <w:sz w:val="44"/>
      <w:szCs w:val="44"/>
      <w:u w:val="none"/>
      <w:vertAlign w:val="subscript"/>
    </w:rPr>
  </w:style>
  <w:style w:type="character" w:customStyle="1" w:styleId="383">
    <w:name w:val="font121"/>
    <w:basedOn w:val="39"/>
    <w:qFormat/>
    <w:uiPriority w:val="0"/>
    <w:rPr>
      <w:rFonts w:hint="default" w:ascii="Times New Roman" w:hAnsi="Times New Roman" w:cs="Times New Roman"/>
      <w:color w:val="000000"/>
      <w:sz w:val="56"/>
      <w:szCs w:val="56"/>
      <w:u w:val="none"/>
    </w:rPr>
  </w:style>
  <w:style w:type="character" w:customStyle="1" w:styleId="384">
    <w:name w:val="font191"/>
    <w:basedOn w:val="39"/>
    <w:qFormat/>
    <w:uiPriority w:val="0"/>
    <w:rPr>
      <w:rFonts w:hint="eastAsia" w:ascii="方正仿宋_GBK" w:hAnsi="方正仿宋_GBK" w:eastAsia="方正仿宋_GBK" w:cs="方正仿宋_GBK"/>
      <w:color w:val="000000"/>
      <w:sz w:val="56"/>
      <w:szCs w:val="56"/>
      <w:u w:val="none"/>
    </w:rPr>
  </w:style>
  <w:style w:type="character" w:customStyle="1" w:styleId="385">
    <w:name w:val="font112"/>
    <w:basedOn w:val="39"/>
    <w:qFormat/>
    <w:uiPriority w:val="0"/>
    <w:rPr>
      <w:rFonts w:hint="eastAsia" w:ascii="宋体" w:hAnsi="宋体" w:eastAsia="宋体" w:cs="宋体"/>
      <w:color w:val="000000"/>
      <w:sz w:val="56"/>
      <w:szCs w:val="56"/>
      <w:u w:val="none"/>
    </w:rPr>
  </w:style>
  <w:style w:type="character" w:customStyle="1" w:styleId="386">
    <w:name w:val="font41"/>
    <w:basedOn w:val="39"/>
    <w:qFormat/>
    <w:uiPriority w:val="0"/>
    <w:rPr>
      <w:rFonts w:hint="default" w:ascii="方正黑体_GBK" w:hAnsi="方正黑体_GBK" w:eastAsia="方正黑体_GBK" w:cs="方正黑体_GBK"/>
      <w:color w:val="000000"/>
      <w:sz w:val="48"/>
      <w:szCs w:val="48"/>
      <w:u w:val="none"/>
    </w:rPr>
  </w:style>
  <w:style w:type="character" w:customStyle="1" w:styleId="387">
    <w:name w:val="font201"/>
    <w:basedOn w:val="39"/>
    <w:qFormat/>
    <w:uiPriority w:val="0"/>
    <w:rPr>
      <w:rFonts w:hint="default" w:ascii="方正黑体_GBK" w:hAnsi="方正黑体_GBK" w:eastAsia="方正黑体_GBK" w:cs="方正黑体_GBK"/>
      <w:color w:val="000000"/>
      <w:sz w:val="48"/>
      <w:szCs w:val="48"/>
      <w:u w:val="none"/>
      <w:vertAlign w:val="subscript"/>
    </w:rPr>
  </w:style>
  <w:style w:type="character" w:customStyle="1" w:styleId="388">
    <w:name w:val="font211"/>
    <w:basedOn w:val="39"/>
    <w:qFormat/>
    <w:uiPriority w:val="0"/>
    <w:rPr>
      <w:rFonts w:hint="default" w:ascii="方正黑体_GBK" w:hAnsi="方正黑体_GBK" w:eastAsia="方正黑体_GBK" w:cs="方正黑体_GBK"/>
      <w:color w:val="000000"/>
      <w:sz w:val="48"/>
      <w:szCs w:val="48"/>
      <w:u w:val="none"/>
    </w:rPr>
  </w:style>
  <w:style w:type="character" w:customStyle="1" w:styleId="389">
    <w:name w:val="font131"/>
    <w:basedOn w:val="39"/>
    <w:qFormat/>
    <w:uiPriority w:val="0"/>
    <w:rPr>
      <w:rFonts w:hint="eastAsia" w:ascii="等线" w:hAnsi="等线" w:eastAsia="等线" w:cs="等线"/>
      <w:b/>
      <w:bCs/>
      <w:color w:val="000000"/>
      <w:sz w:val="44"/>
      <w:szCs w:val="44"/>
      <w:u w:val="none"/>
    </w:rPr>
  </w:style>
  <w:style w:type="character" w:customStyle="1" w:styleId="390">
    <w:name w:val="font141"/>
    <w:basedOn w:val="39"/>
    <w:qFormat/>
    <w:uiPriority w:val="0"/>
    <w:rPr>
      <w:rFonts w:hint="default" w:ascii="Times New Roman" w:hAnsi="Times New Roman" w:cs="Times New Roman"/>
      <w:color w:val="0D0D0D"/>
      <w:sz w:val="56"/>
      <w:szCs w:val="56"/>
      <w:u w:val="none"/>
    </w:rPr>
  </w:style>
  <w:style w:type="character" w:customStyle="1" w:styleId="391">
    <w:name w:val="font222"/>
    <w:basedOn w:val="39"/>
    <w:qFormat/>
    <w:uiPriority w:val="0"/>
    <w:rPr>
      <w:rFonts w:hint="eastAsia" w:ascii="方正仿宋_GBK" w:hAnsi="方正仿宋_GBK" w:eastAsia="方正仿宋_GBK" w:cs="方正仿宋_GBK"/>
      <w:color w:val="0D0D0D"/>
      <w:sz w:val="56"/>
      <w:szCs w:val="56"/>
      <w:u w:val="none"/>
    </w:rPr>
  </w:style>
  <w:style w:type="character" w:customStyle="1" w:styleId="392">
    <w:name w:val="font231"/>
    <w:basedOn w:val="39"/>
    <w:qFormat/>
    <w:uiPriority w:val="0"/>
    <w:rPr>
      <w:rFonts w:hint="eastAsia" w:ascii="宋体" w:hAnsi="宋体" w:eastAsia="宋体" w:cs="宋体"/>
      <w:color w:val="000000"/>
      <w:sz w:val="56"/>
      <w:szCs w:val="56"/>
      <w:u w:val="none"/>
    </w:rPr>
  </w:style>
  <w:style w:type="character" w:customStyle="1" w:styleId="393">
    <w:name w:val="font31"/>
    <w:basedOn w:val="39"/>
    <w:qFormat/>
    <w:uiPriority w:val="0"/>
    <w:rPr>
      <w:rFonts w:ascii="宋体-简" w:hAnsi="宋体-简" w:eastAsia="宋体-简" w:cs="宋体-简"/>
      <w:color w:val="000000"/>
      <w:sz w:val="56"/>
      <w:szCs w:val="56"/>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3efccba0-bc83-4afa-a438-07c7e9197e22</errorID>
      <errorWord>需具备</errorWord>
      <group>L1_Word</group>
      <groupName>字词问题</groupName>
      <ability>L2_Typo</ability>
      <abilityName>字词错误</abilityName>
      <candidateList>
        <item>须具备</item>
      </candidateList>
      <explain/>
      <paraID> F7A4400</paraID>
      <start>218</start>
      <end>221</end>
      <status>ignored</status>
      <modifiedWord/>
      <trackRevisions>false</trackRevisions>
    </reviewItem>
    <reviewItem>
      <errorID>52ad86af-8fa1-4944-a1ed-c409c6dc2405</errorID>
      <errorWord>（</errorWord>
      <group>L1_Punc</group>
      <groupName>标点问题</groupName>
      <ability>L2_Punc_CN</ability>
      <abilityName>标点符号问题</abilityName>
      <candidateList/>
      <explain>同一形式括号套用。</explain>
      <paraID>2B19339B</paraID>
      <start>115</start>
      <end>116</end>
      <status>unmodified</status>
      <modifiedWord/>
      <trackRevisions>false</trackRevisions>
    </reviewItem>
    <reviewItem>
      <errorID>4862b5a4-6940-4fa1-a978-21aee3e28b11</errorID>
      <errorWord>）</errorWord>
      <group>L1_Punc</group>
      <groupName>标点问题</groupName>
      <ability>L2_Punc_CN</ability>
      <abilityName>标点符号问题</abilityName>
      <candidateList/>
      <explain>同一形式括号套用。</explain>
      <paraID>2B19339B</paraID>
      <start>119</start>
      <end>120</end>
      <status>unmodified</status>
      <modifiedWord/>
      <trackRevisions>false</trackRevisions>
    </reviewItem>
    <reviewItem>
      <errorID>b5ad07b8-f059-44b3-b470-109659d4f3c8</errorID>
      <errorWord>（</errorWord>
      <group>L1_Punc</group>
      <groupName>标点问题</groupName>
      <ability>L2_Punc_CN</ability>
      <abilityName>标点符号问题</abilityName>
      <candidateList/>
      <explain>同一形式括号套用。</explain>
      <paraID>2B19339B</paraID>
      <start>128</start>
      <end>129</end>
      <status>unmodified</status>
      <modifiedWord/>
      <trackRevisions>false</trackRevisions>
    </reviewItem>
    <reviewItem>
      <errorID>1b7c1d3a-73d8-4331-b716-8dcf3eaa144f</errorID>
      <errorWord>）</errorWord>
      <group>L1_Punc</group>
      <groupName>标点问题</groupName>
      <ability>L2_Punc_CN</ability>
      <abilityName>标点符号问题</abilityName>
      <candidateList/>
      <explain>同一形式括号套用。</explain>
      <paraID>2B19339B</paraID>
      <start>175</start>
      <end>176</end>
      <status>unmodified</status>
      <modifiedWord/>
      <trackRevisions>false</trackRevisions>
    </reviewItem>
    <reviewItem>
      <errorID>7230cf08-f5dc-4517-b3bd-c673a275c9da</errorID>
      <errorWord>“.</errorWord>
      <group>L1_Punc</group>
      <groupName>标点问题</groupName>
      <ability>L2_Punc_CN</ability>
      <abilityName>标点符号问题</abilityName>
      <candidateList>
        <item>“</item>
      </candidateList>
      <explain/>
      <paraID>2B19339B</paraID>
      <start>204</start>
      <end>206</end>
      <status>unmodified</status>
      <modifiedWord/>
      <trackRevisions>false</trackRevisions>
    </reviewItem>
    <reviewItem>
      <errorID>04169943-ed4f-4b14-b2f6-550919ff51fa</errorID>
      <errorWord>“.</errorWord>
      <group>L1_Punc</group>
      <groupName>标点问题</groupName>
      <ability>L2_Punc_CN</ability>
      <abilityName>标点符号问题</abilityName>
      <candidateList>
        <item>“</item>
      </candidateList>
      <explain/>
      <paraID>6C3C0ABE</paraID>
      <start>11</start>
      <end>13</end>
      <status>unmodified</status>
      <modifiedWord/>
      <trackRevisions>false</trackRevisions>
    </reviewItem>
    <reviewItem>
      <errorID>9f989b5b-bb91-4b6f-9187-74db82e5a83a</errorID>
      <errorWord>登陆</errorWord>
      <group>L1_Word</group>
      <groupName>字词问题</groupName>
      <ability>L2_Typo</ability>
      <abilityName>字词错误</abilityName>
      <candidateList>
        <item>登录</item>
      </candidateList>
      <explain>存在发音相同字词的误用。</explain>
      <paraID>1877EE60</paraID>
      <start>42</start>
      <end>44</end>
      <status>unmodified</status>
      <modifiedWord/>
      <trackRevisions>false</trackRevisions>
    </reviewItem>
    <reviewItem>
      <errorID>fe7343f1-0b16-4d61-91a5-660dd9791cac</errorID>
      <errorWord>做出</errorWord>
      <group>L1_Word</group>
      <groupName>字词问题</groupName>
      <ability>L2_Typo</ability>
      <abilityName>字词错误</abilityName>
      <candidateList>
        <item>作出</item>
      </candidateList>
      <explain/>
      <paraID>1EC0545C</paraID>
      <start>80</start>
      <end>82</end>
      <status>unmodified</status>
      <modifiedWord/>
      <trackRevisions>false</trackRevisions>
    </reviewItem>
    <reviewItem>
      <errorID>03de208f-efd7-4e0c-af13-4991656888fd</errorID>
      <errorWord>100万以下</errorWord>
      <group>L1_Word</group>
      <groupName>字词问题</groupName>
      <ability>L2_Typo</ability>
      <abilityName>字词错误</abilityName>
      <candidateList>
        <item>100万元以下</item>
      </candidateList>
      <explain/>
      <paraID>6A944C34</paraID>
      <start>39</start>
      <end>45</end>
      <status>unmodified</status>
      <modifiedWord/>
      <trackRevisions>false</trackRevisions>
    </reviewItem>
    <reviewItem>
      <errorID>ea624773-06ba-466e-b91e-b437a39bd2d6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6A944C34</paraID>
      <start>53</start>
      <end>62</end>
      <status>unmodified</status>
      <modifiedWord/>
      <trackRevisions>false</trackRevisions>
    </reviewItem>
    <reviewItem>
      <errorID>31d8bc23-95cd-4d5a-a86f-7e4eac14e600</errorID>
      <errorWord>需具备</errorWord>
      <group>L1_Word</group>
      <groupName>字词问题</groupName>
      <ability>L2_Typo</ability>
      <abilityName>字词错误</abilityName>
      <candidateList>
        <item>须具备</item>
      </candidateList>
      <explain/>
      <paraID> 2A11B57</paraID>
      <start>76</start>
      <end>79</end>
      <status>ignored</status>
      <modifiedWord/>
      <trackRevisions>false</trackRevisions>
    </reviewItem>
    <reviewItem>
      <errorID>a27eb883-2676-429a-9d70-f5fea9e6d653</errorID>
      <errorWord>需具备</errorWord>
      <group>L1_Word</group>
      <groupName>字词问题</groupName>
      <ability>L2_Typo</ability>
      <abilityName>字词错误</abilityName>
      <candidateList>
        <item>须具备</item>
      </candidateList>
      <explain/>
      <paraID> 5C29DD3</paraID>
      <start>78</start>
      <end>81</end>
      <status>ignored</status>
      <modifiedWord/>
      <trackRevisions>false</trackRevisions>
    </reviewItem>
    <reviewItem>
      <errorID>cf9b1128-71a9-4b28-95d9-814ef077c5b0</errorID>
      <errorWord>联动惩戒</errorWord>
      <group>L1_Political</group>
      <groupName>政治性问题</groupName>
      <ability>L2_Unpolitical</ability>
      <abilityName>政治敏感错误</abilityName>
      <candidateList>
        <item>联合惩戒</item>
      </candidateList>
      <explain/>
      <paraID>74958CFC</paraID>
      <start>31</start>
      <end>35</end>
      <status>unmodified</status>
      <modifiedWord/>
      <trackRevisions>false</trackRevisions>
    </reviewItem>
    <reviewItem>
      <errorID>f3c1f396-5927-4155-868c-5ca4e69c5790</errorID>
      <errorWord>数</errorWord>
      <group>L1_Word</group>
      <groupName>字词问题</groupName>
      <ability>L2_Typo</ability>
      <abilityName>字词错误</abilityName>
      <candidateList>
        <item>数量</item>
      </candidateList>
      <explain/>
      <paraID>5B52060D</paraID>
      <start>77</start>
      <end>78</end>
      <status>unmodified</status>
      <modifiedWord/>
      <trackRevisions>false</trackRevisions>
    </reviewItem>
    <reviewItem>
      <errorID>40b0ff10-3625-4afc-bd37-910eb3e11408</errorID>
      <errorWord>需具备</errorWord>
      <group>L1_Word</group>
      <groupName>字词问题</groupName>
      <ability>L2_Typo</ability>
      <abilityName>字词错误</abilityName>
      <candidateList>
        <item>须具备</item>
      </candidateList>
      <explain/>
      <paraID>19799BE9</paraID>
      <start>130</start>
      <end>133</end>
      <status>ignored</status>
      <modifiedWord/>
      <trackRevisions>false</trackRevisions>
    </reviewItem>
    <reviewItem>
      <errorID>6192e528-14a5-4750-9339-bb3a1ff545c4</errorID>
      <errorWord>须</errorWord>
      <group>L1_Word</group>
      <groupName>字词问题</groupName>
      <ability>L2_Typo</ability>
      <abilityName>字词错误</abilityName>
      <candidateList>
        <item>需</item>
      </candidateList>
      <explain>存在发音相同字词的误用。</explain>
      <paraID>2E3C6CDB</paraID>
      <start>99</start>
      <end>100</end>
      <status>unmodified</status>
      <modifiedWord/>
      <trackRevisions>false</trackRevisions>
    </reviewItem>
    <reviewItem>
      <errorID>56d35ef9-91ab-4207-95ef-857dd532ce00</errorID>
      <errorWord>，</errorWord>
      <group>L1_Word</group>
      <groupName>字词问题</groupName>
      <ability>L2_Typo</ability>
      <abilityName>字词错误</abilityName>
      <candidateList>
        <item>，在</item>
      </candidateList>
      <explain/>
      <paraID>3BE9F465</paraID>
      <start>22</start>
      <end>23</end>
      <status>unmodified</status>
      <modifiedWord/>
      <trackRevisions>false</trackRevisions>
    </reviewItem>
    <reviewItem>
      <errorID>d48c2720-277c-438a-bbce-f9957a9f0630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1E968968</paraID>
      <start>0</start>
      <end>2</end>
      <status>unmodified</status>
      <modifiedWord/>
      <trackRevisions>false</trackRevisions>
    </reviewItem>
    <reviewItem>
      <errorID>5c933847-d26e-4f05-8205-d741450c36bb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6940CB44</paraID>
      <start>0</start>
      <end>2</end>
      <status>unmodified</status>
      <modifiedWord/>
      <trackRevisions>false</trackRevisions>
    </reviewItem>
    <reviewItem>
      <errorID>df3fb912-2171-4170-82b7-115e7f0470e6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5986953D</paraID>
      <start>0</start>
      <end>2</end>
      <status>unmodified</status>
      <modifiedWord/>
      <trackRevisions>false</trackRevisions>
    </reviewItem>
    <reviewItem>
      <errorID>a697719e-3bd9-4b6c-9b80-5052f60fb7f4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31B9FDDD</paraID>
      <start>0</start>
      <end>2</end>
      <status>unmodified</status>
      <modifiedWord/>
      <trackRevisions>false</trackRevisions>
    </reviewItem>
    <reviewItem>
      <errorID>54ac6a05-73d2-4eaf-af8d-65a413f40161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63FB5537</paraID>
      <start>0</start>
      <end>2</end>
      <status>unmodified</status>
      <modifiedWord/>
      <trackRevisions>false</trackRevisions>
    </reviewItem>
    <reviewItem>
      <errorID>2116d6f5-1d30-40e8-9b78-08104083052d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1F67A810</paraID>
      <start>0</start>
      <end>2</end>
      <status>unmodified</status>
      <modifiedWord/>
      <trackRevisions>false</trackRevisions>
    </reviewItem>
    <reviewItem>
      <errorID>9c25ba76-1ec9-4951-bffe-bdcf56a7b4d3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22E8B91D</paraID>
      <start>0</start>
      <end>2</end>
      <status>unmodified</status>
      <modifiedWord/>
      <trackRevisions>false</trackRevisions>
    </reviewItem>
    <reviewItem>
      <errorID>451c8c48-a651-44c5-b6a8-e2f119de68e6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72CEA400</paraID>
      <start>0</start>
      <end>2</end>
      <status>unmodified</status>
      <modifiedWord/>
      <trackRevisions>false</trackRevisions>
    </reviewItem>
    <reviewItem>
      <errorID>98f23be5-e28c-4deb-82cd-5c143c6e1aa6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76212336</paraID>
      <start>0</start>
      <end>2</end>
      <status>unmodified</status>
      <modifiedWord/>
      <trackRevisions>false</trackRevisions>
    </reviewItem>
    <reviewItem>
      <errorID>8f70c448-3dc2-447c-90da-7e864673f496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391B954A</paraID>
      <start>0</start>
      <end>2</end>
      <status>unmodified</status>
      <modifiedWord/>
      <trackRevisions>false</trackRevisions>
    </reviewItem>
    <reviewItem>
      <errorID>acd8f483-c506-4702-8513-a19d19fec3ec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4E114861</paraID>
      <start>0</start>
      <end>2</end>
      <status>unmodified</status>
      <modifiedWord/>
      <trackRevisions>false</trackRevisions>
    </reviewItem>
    <reviewItem>
      <errorID>290aa5fd-0a76-496d-a29e-8fdd72ade1e1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618026A5</paraID>
      <start>0</start>
      <end>2</end>
      <status>unmodified</status>
      <modifiedWord/>
      <trackRevisions>false</trackRevisions>
    </reviewItem>
    <reviewItem>
      <errorID>05ee6d1f-effb-46db-9809-5a2fa3cc0b77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32F777</paraID>
      <start>0</start>
      <end>2</end>
      <status>unmodified</status>
      <modifiedWord/>
      <trackRevisions>false</trackRevisions>
    </reviewItem>
    <reviewItem>
      <errorID>688240fe-e469-4ed4-bb25-001ac2025a4e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1E749B73</paraID>
      <start>0</start>
      <end>2</end>
      <status>unmodified</status>
      <modifiedWord/>
      <trackRevisions>false</trackRevisions>
    </reviewItem>
    <reviewItem>
      <errorID>74ca9c7d-dbf8-4ad6-8bed-e5730a58aaae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3717C585</paraID>
      <start>0</start>
      <end>2</end>
      <status>unmodified</status>
      <modifiedWord/>
      <trackRevisions>false</trackRevisions>
    </reviewItem>
    <reviewItem>
      <errorID>dc74e499-2fc0-485f-9dbc-a59bc540bc32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6637DC65</paraID>
      <start>0</start>
      <end>2</end>
      <status>unmodified</status>
      <modifiedWord/>
      <trackRevisions>false</trackRevisions>
    </reviewItem>
    <reviewItem>
      <errorID>377f7569-893e-4d03-ba96-8ed7c2c31ea4</errorID>
      <errorWord>[2014]68号</errorWord>
      <group>L1_Knowledge</group>
      <groupName>知识性问题</groupName>
      <ability>L2_Knowledge</ability>
      <abilityName>其他知识</abilityName>
      <candidateList>
        <item>〔2014〕68号</item>
      </candidateList>
      <explain>发文字号格式错误。</explain>
      <paraID>4BC09CFB</paraID>
      <start>82</start>
      <end>91</end>
      <status>modified</status>
      <modifiedWord>〔2014〕68号</modifiedWord>
      <trackRevisions>false</trackRevisions>
    </reviewItem>
    <reviewItem>
      <errorID>b1c086ab-61af-473e-acd2-79b8c085c088</errorID>
      <errorWord>(</errorWord>
      <group>L1_Format</group>
      <groupName>格式问题</groupName>
      <ability>L2_HalfPunc_CN</ability>
      <abilityName>全半角问题</abilityName>
      <candidateList>
        <item>（</item>
      </candidateList>
      <explain>文本全半角错误。</explain>
      <paraID>73240B73</paraID>
      <start>64</start>
      <end>65</end>
      <status>modified</status>
      <modifiedWord>（</modifiedWord>
      <trackRevisions>false</trackRevisions>
    </reviewItem>
    <reviewItem>
      <errorID>357f16b1-2fc9-4c77-8417-62a76fedcffe</errorID>
      <errorWord>)</errorWord>
      <group>L1_Format</group>
      <groupName>格式问题</groupName>
      <ability>L2_HalfPunc_CN</ability>
      <abilityName>全半角问题</abilityName>
      <candidateList>
        <item>）</item>
      </candidateList>
      <explain>文本全半角错误。</explain>
      <paraID>73240B73</paraID>
      <start>70</start>
      <end>71</end>
      <status>modified</status>
      <modifiedWord>）</modifiedWord>
      <trackRevisions>false</trackRevisions>
    </reviewItem>
    <reviewItem>
      <errorID>707797c0-b041-4b85-a77b-0e65a2955fff</errorID>
      <errorWord>(</errorWord>
      <group>L1_Format</group>
      <groupName>格式问题</groupName>
      <ability>L2_HalfPunc_CN</ability>
      <abilityName>全半角问题</abilityName>
      <candidateList>
        <item>（</item>
      </candidateList>
      <explain>文本全半角错误。</explain>
      <paraID>73240B73</paraID>
      <start>87</start>
      <end>88</end>
      <status>modified</status>
      <modifiedWord>（</modifiedWord>
      <trackRevisions>false</trackRevisions>
    </reviewItem>
    <reviewItem>
      <errorID>a4175bcd-ad91-48e7-aa69-e9dac4183105</errorID>
      <errorWord>)</errorWord>
      <group>L1_Format</group>
      <groupName>格式问题</groupName>
      <ability>L2_HalfPunc_CN</ability>
      <abilityName>全半角问题</abilityName>
      <candidateList>
        <item>）</item>
      </candidateList>
      <explain>文本全半角错误。</explain>
      <paraID>73240B73</paraID>
      <start>93</start>
      <end>94</end>
      <status>modified</status>
      <modifiedWord>）</modifiedWord>
      <trackRevisions>false</trackRevisions>
    </reviewItem>
    <reviewItem>
      <errorID>c64ada30-b694-4d67-86ba-97bda548a0b4</errorID>
      <errorWord>(</errorWord>
      <group>L1_Format</group>
      <groupName>格式问题</groupName>
      <ability>L2_HalfPunc_CN</ability>
      <abilityName>全半角问题</abilityName>
      <candidateList>
        <item>（</item>
      </candidateList>
      <explain>文本全半角错误。</explain>
      <paraID>73240B73</paraID>
      <start>108</start>
      <end>109</end>
      <status>modified</status>
      <modifiedWord>（</modifiedWord>
      <trackRevisions>false</trackRevisions>
    </reviewItem>
    <reviewItem>
      <errorID>fcda92d5-abd7-4510-908b-4388355c5d57</errorID>
      <errorWord>)</errorWord>
      <group>L1_Format</group>
      <groupName>格式问题</groupName>
      <ability>L2_HalfPunc_CN</ability>
      <abilityName>全半角问题</abilityName>
      <candidateList>
        <item>）</item>
      </candidateList>
      <explain>文本全半角错误。</explain>
      <paraID>73240B73</paraID>
      <start>114</start>
      <end>115</end>
      <status>modified</status>
      <modifiedWord>）</modifiedWord>
      <trackRevisions>false</trackRevisions>
    </reviewItem>
    <reviewItem>
      <errorID>a8d2e8d4-bf5f-4119-b652-3d0bce143ce4</errorID>
      <errorWord>(</errorWord>
      <group>L1_Format</group>
      <groupName>格式问题</groupName>
      <ability>L2_HalfPunc_CN</ability>
      <abilityName>全半角问题</abilityName>
      <candidateList>
        <item>（</item>
      </candidateList>
      <explain>文本全半角错误。</explain>
      <paraID>3231FDEC</paraID>
      <start>33</start>
      <end>34</end>
      <status>modified</status>
      <modifiedWord>（</modifiedWord>
      <trackRevisions>false</trackRevisions>
    </reviewItem>
    <reviewItem>
      <errorID>220ead04-eef5-4668-905d-69e12164307b</errorID>
      <errorWord>)</errorWord>
      <group>L1_Format</group>
      <groupName>格式问题</groupName>
      <ability>L2_HalfPunc_CN</ability>
      <abilityName>全半角问题</abilityName>
      <candidateList>
        <item>）</item>
      </candidateList>
      <explain>文本全半角错误。</explain>
      <paraID>3231FDEC</paraID>
      <start>45</start>
      <end>46</end>
      <status>modified</status>
      <modifiedWord>）</modifiedWord>
      <trackRevisions>false</trackRevisions>
    </reviewItem>
    <reviewItem>
      <errorID>7e135b21-f6ee-42a5-bb5d-b1d881886b7c</errorID>
      <errorWord>(</errorWord>
      <group>L1_Format</group>
      <groupName>格式问题</groupName>
      <ability>L2_HalfPunc_CN</ability>
      <abilityName>全半角问题</abilityName>
      <candidateList>
        <item>（</item>
      </candidateList>
      <explain>文本全半角错误。</explain>
      <paraID>3231FDEC</paraID>
      <start>70</start>
      <end>71</end>
      <status>modified</status>
      <modifiedWord>（</modifiedWord>
      <trackRevisions>false</trackRevisions>
    </reviewItem>
    <reviewItem>
      <errorID>9882094d-af3f-4eca-a23f-f2996d06b231</errorID>
      <errorWord>)</errorWord>
      <group>L1_Format</group>
      <groupName>格式问题</groupName>
      <ability>L2_HalfPunc_CN</ability>
      <abilityName>全半角问题</abilityName>
      <candidateList>
        <item>）</item>
      </candidateList>
      <explain>文本全半角错误。</explain>
      <paraID>3231FDEC</paraID>
      <start>82</start>
      <end>83</end>
      <status>modified</status>
      <modifiedWord>）</modifiedWord>
      <trackRevisions>false</trackRevisions>
    </reviewItem>
    <reviewItem>
      <errorID>a37b6eb2-b4c8-47cf-a2ce-eddd82644dfc</errorID>
      <errorWord>配备</errorWord>
      <group>L1_Grammar</group>
      <groupName>语法问题</groupName>
      <ability>L2_Grammar</ability>
      <abilityName>语法错误</abilityName>
      <candidateList>
        <item>搭载</item>
      </candidateList>
      <explain>“配备～项目”搭配不当，建议修改为“搭载～项目”。</explain>
      <paraID>60651CDA</paraID>
      <start>17</start>
      <end>19</end>
      <status>unmodified</status>
      <modifiedWord/>
      <trackRevisions>false</trackRevisions>
    </reviewItem>
    <reviewItem>
      <errorID>79177be4-311f-4a2c-8dcc-91c0f4b0db42</errorID>
      <errorWord>[2014]68号</errorWord>
      <group>L1_Knowledge</group>
      <groupName>知识性问题</groupName>
      <ability>L2_Knowledge</ability>
      <abilityName>其他知识</abilityName>
      <candidateList>
        <item>〔2014〕68号</item>
      </candidateList>
      <explain>发文字号格式错误。</explain>
      <paraID>4748C388</paraID>
      <start>41</start>
      <end>50</end>
      <status>modified</status>
      <modifiedWord>〔2014〕68号</modifiedWord>
      <trackRevisions>false</trackRevisions>
    </reviewItem>
    <reviewItem>
      <errorID>458f6831-1017-41c7-a23b-8b6741f0955d</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17</start>
      <end>19</end>
      <status>unmodified</status>
      <modifiedWord/>
      <trackRevisions>false</trackRevisions>
    </reviewItem>
    <reviewItem>
      <errorID>733fd11e-60c5-4759-8be4-7737144f58a9</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66</start>
      <end>68</end>
      <status>unmodified</status>
      <modifiedWord/>
      <trackRevisions>false</trackRevisions>
    </reviewItem>
    <reviewItem>
      <errorID>cbd12325-ff0b-493d-82c3-1e9ad8ccc731</errorID>
      <errorWord>(</errorWord>
      <group>L1_Format</group>
      <groupName>格式问题</groupName>
      <ability>L2_HalfPunc_CN</ability>
      <abilityName>全半角问题</abilityName>
      <candidateList>
        <item>（</item>
      </candidateList>
      <explain>文本全半角错误。</explain>
      <paraID>7B55F754</paraID>
      <start>8</start>
      <end>9</end>
      <status>modified</status>
      <modifiedWord>（</modifiedWord>
      <trackRevisions>false</trackRevisions>
    </reviewItem>
    <reviewItem>
      <errorID>78dbf4e9-0fda-4fc2-8388-e2dd74cdf2bc</errorID>
      <errorWord>)</errorWord>
      <group>L1_Format</group>
      <groupName>格式问题</groupName>
      <ability>L2_HalfPunc_CN</ability>
      <abilityName>全半角问题</abilityName>
      <candidateList>
        <item>）</item>
      </candidateList>
      <explain>文本全半角错误。</explain>
      <paraID>7B55F754</paraID>
      <start>11</start>
      <end>12</end>
      <status>modified</status>
      <modifiedWord>）</modifiedWord>
      <trackRevisions>false</trackRevisions>
    </reviewItem>
    <reviewItem>
      <errorID>674d20cc-6f83-4465-8f9f-850e388e80c7</errorID>
      <errorWord>(</errorWord>
      <group>L1_Format</group>
      <groupName>格式问题</groupName>
      <ability>L2_HalfPunc_CN</ability>
      <abilityName>全半角问题</abilityName>
      <candidateList>
        <item>（</item>
      </candidateList>
      <explain>文本全半角错误。</explain>
      <paraID>7B55F754</paraID>
      <start>65</start>
      <end>66</end>
      <status>modified</status>
      <modifiedWord>（</modifiedWord>
      <trackRevisions>false</trackRevisions>
    </reviewItem>
    <reviewItem>
      <errorID>1bc00b4f-797a-4ea2-87bc-84a0853b6c8a</errorID>
      <errorWord>)</errorWord>
      <group>L1_Format</group>
      <groupName>格式问题</groupName>
      <ability>L2_HalfPunc_CN</ability>
      <abilityName>全半角问题</abilityName>
      <candidateList>
        <item>）</item>
      </candidateList>
      <explain>文本全半角错误。</explain>
      <paraID>7B55F754</paraID>
      <start>72</start>
      <end>73</end>
      <status>modified</status>
      <modifiedWord>）</modifiedWord>
      <trackRevisions>false</trackRevisions>
    </reviewItem>
    <reviewItem>
      <errorID>63508357-8c41-49aa-a0bd-9146771b87ad</errorID>
      <errorWord>最设</errorWord>
      <group>L1_Word</group>
      <groupName>字词问题</groupName>
      <ability>L2_Typo</ability>
      <abilityName>字词错误</abilityName>
      <candidateList>
        <item>最</item>
      </candidateList>
      <explain/>
      <paraID>7B55F754</paraID>
      <start>114</start>
      <end>116</end>
      <status>unmodified</status>
      <modifiedWord/>
      <trackRevisions>false</trackRevisions>
    </reviewItem>
    <reviewItem>
      <errorID>fdd5c787-f09c-4dd6-87e6-a2692b1624bd</errorID>
      <errorWord>(</errorWord>
      <group>L1_Format</group>
      <groupName>格式问题</groupName>
      <ability>L2_HalfPunc_CN</ability>
      <abilityName>全半角问题</abilityName>
      <candidateList>
        <item>（</item>
      </candidateList>
      <explain>文本全半角错误。</explain>
      <paraID>73A2E390</paraID>
      <start>7</start>
      <end>8</end>
      <status>modified</status>
      <modifiedWord>（</modifiedWord>
      <trackRevisions>false</trackRevisions>
    </reviewItem>
    <reviewItem>
      <errorID>27492284-24d8-41a8-8325-da2c06384ac5</errorID>
      <errorWord>)</errorWord>
      <group>L1_Format</group>
      <groupName>格式问题</groupName>
      <ability>L2_HalfPunc_CN</ability>
      <abilityName>全半角问题</abilityName>
      <candidateList>
        <item>）</item>
      </candidateList>
      <explain>文本全半角错误。</explain>
      <paraID>73A2E390</paraID>
      <start>10</start>
      <end>11</end>
      <status>modified</status>
      <modifiedWord>）</modifiedWord>
      <trackRevisions>false</trackRevisions>
    </reviewItem>
    <reviewItem>
      <errorID>5abe96bc-8d56-49f5-8579-cc639b2663b6</errorID>
      <errorWord>(</errorWord>
      <group>L1_Format</group>
      <groupName>格式问题</groupName>
      <ability>L2_HalfPunc_CN</ability>
      <abilityName>全半角问题</abilityName>
      <candidateList>
        <item>（</item>
      </candidateList>
      <explain>文本全半角错误。</explain>
      <paraID>73A2E390</paraID>
      <start>38</start>
      <end>39</end>
      <status>modified</status>
      <modifiedWord>（</modifiedWord>
      <trackRevisions>false</trackRevisions>
    </reviewItem>
    <reviewItem>
      <errorID>01aae24b-4d80-4581-837c-8358f36aacb2</errorID>
      <errorWord>)</errorWord>
      <group>L1_Format</group>
      <groupName>格式问题</groupName>
      <ability>L2_HalfPunc_CN</ability>
      <abilityName>全半角问题</abilityName>
      <candidateList>
        <item>）</item>
      </candidateList>
      <explain>文本全半角错误。</explain>
      <paraID>73A2E390</paraID>
      <start>41</start>
      <end>42</end>
      <status>modified</status>
      <modifiedWord>）</modifiedWord>
      <trackRevisions>false</trackRevisions>
    </reviewItem>
    <reviewItem>
      <errorID>0bf8759f-4bcf-4651-90ef-f72f03c14fc2</errorID>
      <errorWord>(</errorWord>
      <group>L1_Format</group>
      <groupName>格式问题</groupName>
      <ability>L2_HalfPunc_CN</ability>
      <abilityName>全半角问题</abilityName>
      <candidateList>
        <item>（</item>
      </candidateList>
      <explain>文本全半角错误。</explain>
      <paraID> 740E0B3</paraID>
      <start>5</start>
      <end>6</end>
      <status>modified</status>
      <modifiedWord>（</modifiedWord>
      <trackRevisions>false</trackRevisions>
    </reviewItem>
    <reviewItem>
      <errorID>87a18896-eb4d-4a65-910d-31cb7cfad83d</errorID>
      <errorWord>)</errorWord>
      <group>L1_Format</group>
      <groupName>格式问题</groupName>
      <ability>L2_HalfPunc_CN</ability>
      <abilityName>全半角问题</abilityName>
      <candidateList>
        <item>）</item>
      </candidateList>
      <explain>文本全半角错误。</explain>
      <paraID> 740E0B3</paraID>
      <start>8</start>
      <end>9</end>
      <status>modified</status>
      <modifiedWord>）</modifiedWord>
      <trackRevisions>false</trackRevisions>
    </reviewItem>
    <reviewItem>
      <errorID>ea3dd30d-9176-4771-ba90-08dca48a59f3</errorID>
      <errorWord>(</errorWord>
      <group>L1_Format</group>
      <groupName>格式问题</groupName>
      <ability>L2_HalfPunc_CN</ability>
      <abilityName>全半角问题</abilityName>
      <candidateList>
        <item>（</item>
      </candidateList>
      <explain>文本全半角错误。</explain>
      <paraID>3F910830</paraID>
      <start>12</start>
      <end>13</end>
      <status>modified</status>
      <modifiedWord>（</modifiedWord>
      <trackRevisions>false</trackRevisions>
    </reviewItem>
    <reviewItem>
      <errorID>dcbcfe48-1145-4b04-b338-b79861a6dc6a</errorID>
      <errorWord>)</errorWord>
      <group>L1_Format</group>
      <groupName>格式问题</groupName>
      <ability>L2_HalfPunc_CN</ability>
      <abilityName>全半角问题</abilityName>
      <candidateList>
        <item>）</item>
      </candidateList>
      <explain>文本全半角错误。</explain>
      <paraID>3F910830</paraID>
      <start>15</start>
      <end>16</end>
      <status>modified</status>
      <modifiedWord>）</modifiedWord>
      <trackRevisions>false</trackRevisions>
    </reviewItem>
    <reviewItem>
      <errorID>c1552869-38ee-4384-ac93-c1f3d0f6806a</errorID>
      <errorWord>(</errorWord>
      <group>L1_Format</group>
      <groupName>格式问题</groupName>
      <ability>L2_HalfPunc_CN</ability>
      <abilityName>全半角问题</abilityName>
      <candidateList>
        <item>（</item>
      </candidateList>
      <explain>文本全半角错误。</explain>
      <paraID>5D250F58</paraID>
      <start>9</start>
      <end>10</end>
      <status>modified</status>
      <modifiedWord>（</modifiedWord>
      <trackRevisions>false</trackRevisions>
    </reviewItem>
    <reviewItem>
      <errorID>d9b51aca-6c77-4063-994f-b80aaa386374</errorID>
      <errorWord>)</errorWord>
      <group>L1_Format</group>
      <groupName>格式问题</groupName>
      <ability>L2_HalfPunc_CN</ability>
      <abilityName>全半角问题</abilityName>
      <candidateList>
        <item>）</item>
      </candidateList>
      <explain>文本全半角错误。</explain>
      <paraID>5D250F58</paraID>
      <start>12</start>
      <end>13</end>
      <status>modified</status>
      <modifiedWord>）</modifiedWord>
      <trackRevisions>false</trackRevisions>
    </reviewItem>
    <reviewItem>
      <errorID>17d4ee3f-c44e-4d3a-ab55-c4972a475591</errorID>
      <errorWord>(</errorWord>
      <group>L1_Format</group>
      <groupName>格式问题</groupName>
      <ability>L2_HalfPunc_CN</ability>
      <abilityName>全半角问题</abilityName>
      <candidateList>
        <item>（</item>
      </candidateList>
      <explain>文本全半角错误。</explain>
      <paraID>71CA9695</paraID>
      <start>9</start>
      <end>10</end>
      <status>modified</status>
      <modifiedWord>（</modifiedWord>
      <trackRevisions>false</trackRevisions>
    </reviewItem>
    <reviewItem>
      <errorID>3dfc58c0-d482-4c32-946a-2a50e2febf51</errorID>
      <errorWord>)</errorWord>
      <group>L1_Format</group>
      <groupName>格式问题</groupName>
      <ability>L2_HalfPunc_CN</ability>
      <abilityName>全半角问题</abilityName>
      <candidateList>
        <item>）</item>
      </candidateList>
      <explain>文本全半角错误。</explain>
      <paraID>71CA9695</paraID>
      <start>39</start>
      <end>40</end>
      <status>modified</status>
      <modifiedWord>）</modifiedWord>
      <trackRevisions>false</trackRevisions>
    </reviewItem>
    <reviewItem>
      <errorID>c0bb1798-4ceb-4014-a1c0-0f01fd21b42e</errorID>
      <errorWord>(</errorWord>
      <group>L1_Format</group>
      <groupName>格式问题</groupName>
      <ability>L2_HalfPunc_CN</ability>
      <abilityName>全半角问题</abilityName>
      <candidateList>
        <item>（</item>
      </candidateList>
      <explain>文本全半角错误。</explain>
      <paraID>41D1E923</paraID>
      <start>22</start>
      <end>23</end>
      <status>modified</status>
      <modifiedWord>（</modifiedWord>
      <trackRevisions>false</trackRevisions>
    </reviewItem>
    <reviewItem>
      <errorID>a932955f-1760-4feb-a3f0-c017e1156315</errorID>
      <errorWord>)</errorWord>
      <group>L1_Format</group>
      <groupName>格式问题</groupName>
      <ability>L2_HalfPunc_CN</ability>
      <abilityName>全半角问题</abilityName>
      <candidateList>
        <item>）</item>
      </candidateList>
      <explain>文本全半角错误。</explain>
      <paraID>41D1E923</paraID>
      <start>36</start>
      <end>37</end>
      <status>modified</status>
      <modifiedWord>）</modifiedWord>
      <trackRevisions>false</trackRevisions>
    </reviewItem>
    <reviewItem>
      <errorID>84ecb52d-3fac-44a3-92ac-d3b0fdfa5fb2</errorID>
      <errorWord>(</errorWord>
      <group>L1_Format</group>
      <groupName>格式问题</groupName>
      <ability>L2_HalfPunc_CN</ability>
      <abilityName>全半角问题</abilityName>
      <candidateList>
        <item>（</item>
      </candidateList>
      <explain>文本全半角错误。</explain>
      <paraID>41D1E923</paraID>
      <start>45</start>
      <end>46</end>
      <status>modified</status>
      <modifiedWord>（</modifiedWord>
      <trackRevisions>false</trackRevisions>
    </reviewItem>
    <reviewItem>
      <errorID>eda192c2-417f-42a5-91f4-663f1b4e3375</errorID>
      <errorWord>)</errorWord>
      <group>L1_Format</group>
      <groupName>格式问题</groupName>
      <ability>L2_HalfPunc_CN</ability>
      <abilityName>全半角问题</abilityName>
      <candidateList>
        <item>）</item>
      </candidateList>
      <explain>文本全半角错误。</explain>
      <paraID>41D1E923</paraID>
      <start>49</start>
      <end>50</end>
      <status>modified</status>
      <modifiedWord>）</modifiedWord>
      <trackRevisions>false</trackRevisions>
    </reviewItem>
    <reviewItem>
      <errorID>1d7cc1be-35a7-4013-bcf0-8097a6120c3c</errorID>
      <errorWord>(</errorWord>
      <group>L1_Format</group>
      <groupName>格式问题</groupName>
      <ability>L2_HalfPunc_CN</ability>
      <abilityName>全半角问题</abilityName>
      <candidateList>
        <item>（</item>
      </candidateList>
      <explain>文本全半角错误。</explain>
      <paraID>41D1E923</paraID>
      <start>61</start>
      <end>62</end>
      <status>modified</status>
      <modifiedWord>（</modifiedWord>
      <trackRevisions>false</trackRevisions>
    </reviewItem>
    <reviewItem>
      <errorID>fea1c05c-8988-4110-b8bb-3cc036753910</errorID>
      <errorWord>)</errorWord>
      <group>L1_Format</group>
      <groupName>格式问题</groupName>
      <ability>L2_HalfPunc_CN</ability>
      <abilityName>全半角问题</abilityName>
      <candidateList>
        <item>）</item>
      </candidateList>
      <explain>文本全半角错误。</explain>
      <paraID>41D1E923</paraID>
      <start>65</start>
      <end>66</end>
      <status>modified</status>
      <modifiedWord>）</modifiedWord>
      <trackRevisions>false</trackRevisions>
    </reviewItem>
    <reviewItem>
      <errorID>5ba37205-56de-4a09-98b5-3717de47a58f</errorID>
      <errorWord>(</errorWord>
      <group>L1_Format</group>
      <groupName>格式问题</groupName>
      <ability>L2_HalfPunc_CN</ability>
      <abilityName>全半角问题</abilityName>
      <candidateList>
        <item>（</item>
      </candidateList>
      <explain>文本全半角错误。</explain>
      <paraID>41D1E923</paraID>
      <start>77</start>
      <end>78</end>
      <status>modified</status>
      <modifiedWord>（</modifiedWord>
      <trackRevisions>false</trackRevisions>
    </reviewItem>
    <reviewItem>
      <errorID>03f2cb3c-cc91-4772-bc7f-6ed463a44294</errorID>
      <errorWord>)</errorWord>
      <group>L1_Format</group>
      <groupName>格式问题</groupName>
      <ability>L2_HalfPunc_CN</ability>
      <abilityName>全半角问题</abilityName>
      <candidateList>
        <item>）</item>
      </candidateList>
      <explain>文本全半角错误。</explain>
      <paraID>41D1E923</paraID>
      <start>81</start>
      <end>82</end>
      <status>modified</status>
      <modifiedWord>）</modifiedWord>
      <trackRevisions>false</trackRevisions>
    </reviewItem>
    <reviewItem>
      <errorID>9f31d2ba-dfc6-47ce-b221-1a046567996e</errorID>
      <errorWord>(</errorWord>
      <group>L1_Format</group>
      <groupName>格式问题</groupName>
      <ability>L2_HalfPunc_CN</ability>
      <abilityName>全半角问题</abilityName>
      <candidateList>
        <item>（</item>
      </candidateList>
      <explain>文本全半角错误。</explain>
      <paraID>  D793F8</paraID>
      <start>13</start>
      <end>14</end>
      <status>modified</status>
      <modifiedWord>（</modifiedWord>
      <trackRevisions>false</trackRevisions>
    </reviewItem>
    <reviewItem>
      <errorID>c3808672-6a01-4269-9c8c-e1cbad77d190</errorID>
      <errorWord>)</errorWord>
      <group>L1_Format</group>
      <groupName>格式问题</groupName>
      <ability>L2_HalfPunc_CN</ability>
      <abilityName>全半角问题</abilityName>
      <candidateList>
        <item>）</item>
      </candidateList>
      <explain>文本全半角错误。</explain>
      <paraID>  D793F8</paraID>
      <start>16</start>
      <end>17</end>
      <status>modified</status>
      <modifiedWord>）</modifiedWord>
      <trackRevisions>false</trackRevisions>
    </reviewItem>
    <reviewItem>
      <errorID>ae9a50b8-2b3e-452c-a932-bd190f9eda25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24217460</paraID>
      <start>0</start>
      <end>2</end>
      <status>unmodified</status>
      <modifiedWord/>
      <trackRevisions>false</trackRevisions>
    </reviewItem>
    <reviewItem>
      <errorID>36178fe2-0ba9-4fcb-b0c0-988b01e1b62d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708251FA</paraID>
      <start>0</start>
      <end>2</end>
      <status>unmodified</status>
      <modifiedWord/>
      <trackRevisions>false</trackRevisions>
    </reviewItem>
    <reviewItem>
      <errorID>22f1921a-6305-48e5-90a9-7f614e625adc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334B066F</paraID>
      <start>0</start>
      <end>2</end>
      <status>unmodified</status>
      <modifiedWord/>
      <trackRevisions>false</trackRevisions>
    </reviewItem>
    <reviewItem>
      <errorID>9b8f6af4-e65b-47a8-8239-3f53678c93d1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5CFC22F8</paraID>
      <start>4</start>
      <end>6</end>
      <status>unmodified</status>
      <modifiedWord/>
      <trackRevisions>false</trackRevisions>
    </reviewItem>
    <reviewItem>
      <errorID>425407ef-525e-406b-9520-6903a2eb726b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55E5D4D1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45d5a1-199c-4007-a055-459548937f42}">
  <ds:schemaRefs/>
</ds:datastoreItem>
</file>

<file path=docProps/app.xml><?xml version="1.0" encoding="utf-8"?>
<Properties xmlns="http://schemas.openxmlformats.org/officeDocument/2006/extended-properties" xmlns:vt="http://schemas.openxmlformats.org/officeDocument/2006/docPropsVTypes">
  <Template>No</Template>
  <Pages>52</Pages>
  <Words>5329</Words>
  <Characters>5812</Characters>
  <Lines>1</Lines>
  <Paragraphs>1</Paragraphs>
  <TotalTime>0</TotalTime>
  <ScaleCrop>false</ScaleCrop>
  <LinksUpToDate>false</LinksUpToDate>
  <CharactersWithSpaces>5821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2024-06-05T00:57:00Z</dcterms:created>
  <dc:creator>Administrator</dc:creator>
  <cp:lastModifiedBy>工作</cp:lastModifiedBy>
  <cp:lastPrinted>2026-06-11T07:12:00Z</cp:lastPrinted>
  <dcterms:modified xsi:type="dcterms:W3CDTF">2026-06-11T12:17:21Z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2052-12.1.0.26895</vt:lpwstr>
  </property>
  <property fmtid="{D5CDD505-2E9C-101B-9397-08002B2CF9AE}" pid="4" name="ICV">
    <vt:lpwstr>D15564E7B7F74BD7883E87774D4EC75E_13</vt:lpwstr>
  </property>
</Properties>
</file>