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color w:val="auto"/>
          <w:sz w:val="36"/>
          <w:highlight w:val="none"/>
        </w:rPr>
      </w:pPr>
      <w:r/>
      <w:bookmarkStart w:id="0" w:name="_Toc120614210"/>
      <w:r/>
      <w:bookmarkStart w:id="1" w:name="_Toc523127445"/>
      <w:r/>
      <w:bookmarkStart w:id="2" w:name="_Toc20823272"/>
      <w:r/>
      <w:bookmarkStart w:id="3" w:name="_Toc16938516"/>
      <w:r/>
      <w:bookmarkStart w:id="4" w:name="_Toc479757206"/>
      <w:r/>
      <w:bookmarkStart w:id="5" w:name="_Toc513029200"/>
      <w:r/>
      <w:r/>
    </w:p>
    <w:p>
      <w:pPr>
        <w:jc w:val="right"/>
        <w:rPr>
          <w:rFonts w:hint="eastAsia" w:ascii="宋体" w:hAnsi="宋体" w:cs="宋体"/>
          <w:b/>
          <w:color w:val="auto"/>
          <w:sz w:val="36"/>
          <w:highlight w:val="none"/>
        </w:rPr>
      </w:pPr>
      <w:r>
        <w:rPr>
          <w:rFonts w:hint="eastAsia" w:ascii="宋体" w:hAnsi="宋体" w:cs="宋体"/>
          <w:b/>
          <w:color w:val="auto"/>
          <w:sz w:val="36"/>
          <w:highlight w:val="none"/>
          <w:lang w:eastAsia="zh-CN"/>
        </w:rPr>
        <w:t xml:space="preserve">JSZC-321092-HCZX-C2026-0023</w:t>
      </w:r>
      <w:r>
        <w:rPr>
          <w:rFonts w:hint="eastAsia" w:ascii="宋体" w:hAnsi="宋体" w:cs="宋体"/>
          <w:b/>
          <w:color w:val="auto"/>
          <w:sz w:val="36"/>
          <w:highlight w:val="none"/>
        </w:rPr>
        <w:t xml:space="preserve">号</w:t>
      </w:r>
      <w:r/>
    </w:p>
    <w:p>
      <w:pPr>
        <w:pStyle w:val="1070"/>
        <w:rPr>
          <w:rFonts w:hint="eastAsia" w:hAnsi="宋体" w:cs="宋体"/>
          <w:color w:val="auto"/>
          <w:highlight w:val="none"/>
        </w:rPr>
      </w:pPr>
      <w:r>
        <w:rPr>
          <w:rFonts w:hint="eastAsia" w:hAnsi="宋体" w:cs="宋体"/>
          <w:color w:val="auto"/>
          <w:highlight w:val="none"/>
        </w:rPr>
      </w:r>
      <w:r/>
    </w:p>
    <w:p>
      <w:pPr>
        <w:pStyle w:val="1070"/>
        <w:rPr>
          <w:rFonts w:hint="eastAsia" w:hAnsi="宋体" w:cs="宋体"/>
          <w:color w:val="auto"/>
          <w:highlight w:val="none"/>
        </w:rPr>
      </w:pPr>
      <w:r>
        <w:rPr>
          <w:rFonts w:hint="eastAsia" w:hAnsi="宋体" w:cs="宋体"/>
          <w:color w:val="auto"/>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eastAsia="zh-CN"/>
        </w:rPr>
        <w:t xml:space="preserve">个园花局里夏季电竞嘉年华活动服务</w:t>
      </w:r>
      <w:r>
        <w:rPr>
          <w:rFonts w:hint="eastAsia" w:ascii="宋体" w:hAnsi="宋体" w:cs="宋体"/>
          <w:b/>
          <w:color w:val="auto"/>
          <w:sz w:val="36"/>
          <w:highlight w:val="none"/>
        </w:rPr>
        <w:t xml:space="preserve">采购项目</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129739</wp:posOffset>
                </wp:positionV>
                <wp:extent cx="5269230" cy="3537585"/>
                <wp:effectExtent l="0" t="0" r="7620" b="5715"/>
                <wp:wrapNone/>
                <wp:docPr id="1" name="图片 2" descr="351eff5b5b91bf5dcee152c6905c3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97142" name="图片 2" descr="351eff5b5b91bf5dcee152c6905c32c"/>
                        <pic:cNvPicPr>
                          <a:picLocks noChangeAspect="1"/>
                        </pic:cNvPicPr>
                        <pic:nvPr/>
                      </pic:nvPicPr>
                      <pic:blipFill>
                        <a:blip r:embed="rId17"/>
                        <a:stretch/>
                      </pic:blipFill>
                      <pic:spPr bwMode="auto">
                        <a:xfrm>
                          <a:off x="0" y="0"/>
                          <a:ext cx="5269230" cy="3537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2pt;mso-position-horizontal:absolute;mso-position-vertical-relative:text;margin-top:10.2pt;mso-position-vertical:absolute;width:414.9pt;height:278.6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ascii="宋体" w:hAnsi="宋体" w:cs="宋体"/>
          <w:color w:val="auto"/>
          <w:sz w:val="24"/>
          <w:szCs w:val="24"/>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ind w:right="120" w:firstLine="1299"/>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江苏汇诚投资咨询管理有限公司</w:t>
      </w:r>
      <w:r/>
    </w:p>
    <w:p>
      <w:pPr>
        <w:jc w:val="center"/>
        <w:spacing w:line="480" w:lineRule="auto"/>
        <w:rPr>
          <w:rFonts w:hint="eastAsia" w:ascii="宋体" w:hAnsi="宋体" w:eastAsia="宋体" w:cs="宋体"/>
          <w:b/>
          <w:color w:val="auto"/>
          <w:sz w:val="44"/>
          <w:szCs w:val="21"/>
          <w:highlight w:val="none"/>
          <w:lang w:eastAsia="zh-CN"/>
        </w:rPr>
        <w:outlineLvl w:val="0"/>
      </w:pPr>
      <w:r>
        <w:rPr>
          <w:rFonts w:hint="eastAsia" w:ascii="宋体" w:hAnsi="宋体" w:cs="宋体"/>
          <w:color w:val="auto"/>
          <w:sz w:val="36"/>
          <w:highlight w:val="none"/>
        </w:rPr>
        <w:t xml:space="preserve">2026年</w:t>
      </w:r>
      <w:r>
        <w:rPr>
          <w:rFonts w:hint="eastAsia" w:ascii="宋体" w:hAnsi="宋体" w:cs="宋体"/>
          <w:color w:val="auto"/>
          <w:sz w:val="36"/>
          <w:highlight w:val="none"/>
          <w:lang w:eastAsia="zh-CN"/>
        </w:rPr>
        <w:t xml:space="preserve">6月23日</w:t>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t xml:space="preserve">总  目  录</w:t>
      </w:r>
      <w:r/>
    </w:p>
    <w:p>
      <w:pPr>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p>
    <w:p>
      <w:pPr>
        <w:numPr>
          <w:ilvl w:val="0"/>
          <w:numId w:val="6"/>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磋商公告……………………………………3</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36"/>
          <w:highlight w:val="none"/>
        </w:rPr>
        <w:t xml:space="preserve">…</w:t>
      </w:r>
      <w:r>
        <w:rPr>
          <w:rFonts w:hint="eastAsia" w:ascii="宋体" w:hAnsi="宋体" w:cs="宋体"/>
          <w:color w:val="auto"/>
          <w:sz w:val="36"/>
          <w:szCs w:val="21"/>
          <w:highlight w:val="none"/>
        </w:rPr>
        <w:t xml:space="preserve">………………………………7</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合同文本……………………………………1</w:t>
      </w:r>
      <w:r>
        <w:rPr>
          <w:rFonts w:hint="eastAsia" w:ascii="宋体" w:hAnsi="宋体" w:cs="宋体"/>
          <w:color w:val="auto"/>
          <w:sz w:val="36"/>
          <w:szCs w:val="21"/>
          <w:highlight w:val="none"/>
          <w:lang w:val="en-US" w:eastAsia="zh-CN"/>
        </w:rPr>
        <w:t xml:space="preserve">8</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采购需求……………………………………2</w:t>
      </w:r>
      <w:r>
        <w:rPr>
          <w:rFonts w:hint="eastAsia" w:ascii="宋体" w:hAnsi="宋体" w:cs="宋体"/>
          <w:color w:val="auto"/>
          <w:sz w:val="36"/>
          <w:szCs w:val="21"/>
          <w:highlight w:val="none"/>
          <w:lang w:val="en-US" w:eastAsia="zh-CN"/>
        </w:rPr>
        <w:t xml:space="preserve">1</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rPr>
          <w:rFonts w:hint="eastAsia" w:ascii="宋体" w:hAnsi="宋体" w:cs="宋体"/>
          <w:color w:val="auto"/>
          <w:sz w:val="36"/>
          <w:szCs w:val="21"/>
          <w:highlight w:val="none"/>
        </w:rPr>
        <w:t xml:space="preserve">………………………2</w:t>
      </w:r>
      <w:r>
        <w:rPr>
          <w:rFonts w:hint="eastAsia" w:ascii="宋体" w:hAnsi="宋体" w:cs="宋体"/>
          <w:color w:val="auto"/>
          <w:sz w:val="36"/>
          <w:szCs w:val="21"/>
          <w:highlight w:val="none"/>
          <w:lang w:val="en-US" w:eastAsia="zh-CN"/>
        </w:rPr>
        <w:t xml:space="preserve">4</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rPr>
          <w:rFonts w:hint="eastAsia" w:ascii="宋体" w:hAnsi="宋体" w:cs="宋体"/>
          <w:color w:val="auto"/>
          <w:sz w:val="36"/>
          <w:szCs w:val="21"/>
          <w:highlight w:val="none"/>
          <w:lang w:val="en-US" w:eastAsia="zh-CN"/>
        </w:rPr>
        <w:t xml:space="preserve">28</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7"/>
        </w:numPr>
        <w:jc w:val="center"/>
        <w:keepNext/>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 </w:t>
      </w:r>
      <w:bookmarkEnd w:id="0"/>
      <w:r>
        <w:rPr>
          <w:rFonts w:hint="eastAsia" w:ascii="宋体" w:hAnsi="宋体" w:cs="宋体"/>
          <w:b/>
          <w:bCs/>
          <w:color w:val="auto"/>
          <w:sz w:val="44"/>
          <w:szCs w:val="44"/>
          <w:highlight w:val="none"/>
        </w:rPr>
        <w:t xml:space="preserve">磋商公告</w:t>
      </w:r>
      <w:r/>
    </w:p>
    <w:p>
      <w:pPr>
        <w:pStyle w:val="969"/>
        <w:numPr>
          <w:ilvl w:val="0"/>
          <w:numId w:val="0"/>
        </w:numPr>
        <w:rPr>
          <w:rFonts w:hint="eastAsia"/>
          <w:color w:val="auto"/>
          <w:highlight w:val="none"/>
        </w:rPr>
      </w:pPr>
      <w:r>
        <w:rPr>
          <w:rFonts w:hint="eastAsia"/>
          <w:color w:val="auto"/>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扬州市个园管理处</w:t>
      </w:r>
      <w:r>
        <w:rPr>
          <w:rFonts w:hint="eastAsia" w:ascii="宋体" w:hAnsi="宋体" w:cs="宋体"/>
          <w:color w:val="auto"/>
          <w:szCs w:val="21"/>
          <w:highlight w:val="none"/>
        </w:rPr>
        <w:t xml:space="preserve">的委托，江苏汇诚投资咨询管理有限公司就</w:t>
      </w:r>
      <w:r>
        <w:rPr>
          <w:rFonts w:hint="eastAsia" w:ascii="宋体" w:hAnsi="宋体" w:cs="宋体"/>
          <w:color w:val="auto"/>
          <w:szCs w:val="21"/>
          <w:highlight w:val="none"/>
          <w:lang w:eastAsia="zh-CN"/>
        </w:rPr>
        <w:t xml:space="preserve">个园花局里夏季电竞嘉年华活动服务</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JSZC-321092-HCZX-C2026-0023</w:t>
      </w:r>
      <w:r>
        <w:rPr>
          <w:rFonts w:hint="eastAsia" w:ascii="宋体" w:hAnsi="宋体" w:cs="宋体"/>
          <w:color w:val="auto"/>
          <w:szCs w:val="21"/>
          <w:highlight w:val="none"/>
        </w:rPr>
        <w:t xml:space="preserve">)项目进行竞争性磋商采购，欢迎符合条件的供应商参加磋商。</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个园花局里夏季电竞嘉年华活动服务</w:t>
      </w:r>
      <w:r>
        <w:rPr>
          <w:rFonts w:hint="eastAsia" w:ascii="宋体" w:hAnsi="宋体" w:cs="宋体"/>
          <w:color w:val="auto"/>
          <w:szCs w:val="21"/>
          <w:highlight w:val="none"/>
          <w:u w:val="single"/>
        </w:rPr>
        <w:t xml:space="preserve">采购</w:t>
      </w:r>
      <w:r>
        <w:rPr>
          <w:rFonts w:hint="eastAsia" w:ascii="宋体" w:hAnsi="宋体" w:cs="宋体"/>
          <w:color w:val="auto"/>
          <w:szCs w:val="21"/>
          <w:highlight w:val="none"/>
        </w:rPr>
        <w:t xml:space="preserve">竞争性磋商项目的潜在供应商可在</w:t>
      </w:r>
      <w:r>
        <w:rPr>
          <w:rFonts w:hint="eastAsia" w:ascii="宋体" w:hAnsi="宋体" w:cs="宋体"/>
          <w:color w:val="auto"/>
          <w:szCs w:val="21"/>
          <w:highlight w:val="none"/>
          <w:u w:val="single"/>
        </w:rPr>
        <w:t xml:space="preserve">“扬州市政府采购网”、“江苏省政府采购网”自行免费下载</w:t>
      </w:r>
      <w:r>
        <w:rPr>
          <w:rFonts w:hint="eastAsia" w:ascii="宋体" w:hAnsi="宋体" w:cs="宋体"/>
          <w:color w:val="auto"/>
          <w:szCs w:val="21"/>
          <w:highlight w:val="none"/>
        </w:rPr>
        <w:t xml:space="preserve">磋商文件，并于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eastAsia="zh-CN"/>
        </w:rPr>
        <w:t xml:space="preserve">7月6日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（北京时间）前递交响应文件</w:t>
      </w:r>
      <w:r>
        <w:rPr>
          <w:rFonts w:hint="eastAsia" w:ascii="宋体" w:hAnsi="宋体" w:cs="宋体"/>
          <w:color w:val="auto"/>
          <w:szCs w:val="21"/>
          <w:highlight w:val="none"/>
        </w:rPr>
        <w:t xml:space="preserve">。</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eastAsia="宋体" w:cs="宋体"/>
          <w:b/>
          <w:bCs/>
          <w:color w:val="auto"/>
          <w:sz w:val="21"/>
          <w:szCs w:val="21"/>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JSZC-321092-HCZX-C2026-0023</w:t>
      </w:r>
      <w:r/>
    </w:p>
    <w:p>
      <w:pPr>
        <w:ind w:firstLine="420"/>
        <w:keepLines w:val="0"/>
        <w:keepNext w:val="0"/>
        <w:pageBreakBefore w:val="0"/>
        <w:spacing w:line="360"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个园花局里夏季电竞嘉年华活动服务</w:t>
      </w:r>
      <w:r>
        <w:rPr>
          <w:rFonts w:hint="eastAsia" w:ascii="宋体" w:hAnsi="宋体" w:eastAsia="宋体" w:cs="宋体"/>
          <w:color w:val="auto"/>
          <w:sz w:val="21"/>
          <w:szCs w:val="21"/>
          <w:highlight w:val="none"/>
        </w:rPr>
        <w:t xml:space="preserve">采购</w:t>
      </w:r>
      <w:bookmarkEnd w:id="11"/>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万元（本项目设置最高限价，最高限价为</w:t>
      </w:r>
      <w:r>
        <w:rPr>
          <w:rFonts w:hint="eastAsia" w:ascii="宋体" w:hAnsi="宋体" w:eastAsia="宋体" w:cs="宋体"/>
          <w:color w:val="auto"/>
          <w:sz w:val="21"/>
          <w:szCs w:val="21"/>
          <w:highlight w:val="none"/>
          <w:lang w:val="en-US" w:eastAsia="zh-CN"/>
        </w:rPr>
        <w:t xml:space="preserve">180万元</w:t>
      </w:r>
      <w:r>
        <w:rPr>
          <w:rFonts w:hint="eastAsia" w:ascii="宋体" w:hAnsi="宋体" w:eastAsia="宋体" w:cs="宋体"/>
          <w:color w:val="auto"/>
          <w:sz w:val="21"/>
          <w:szCs w:val="21"/>
          <w:highlight w:val="none"/>
        </w:rPr>
        <w:t xml:space="preserve">，最后报价超过最高限价的做无效响应处理。）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4.采购需求：详见采购文件第四章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5.合同履行期限：2026年7月—2026年9月，</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须在采购合同签订后按照计划安排，具体时间和采购人商定。</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12" w:name="_Toc28359003"/>
      <w:r/>
      <w:bookmarkStart w:id="13" w:name="_Toc35393791"/>
      <w:r/>
      <w:bookmarkStart w:id="14" w:name="_Toc28359080"/>
      <w:r/>
      <w:bookmarkStart w:id="15" w:name="_Toc35393622"/>
      <w:r/>
      <w:bookmarkStart w:id="16" w:name="_Toc38985264"/>
      <w:r>
        <w:rPr>
          <w:rFonts w:hint="eastAsia" w:ascii="宋体" w:hAnsi="宋体" w:eastAsia="宋体" w:cs="宋体"/>
          <w:b/>
          <w:bCs/>
          <w:color w:val="auto"/>
          <w:sz w:val="21"/>
          <w:szCs w:val="21"/>
          <w:highlight w:val="none"/>
        </w:rPr>
        <w:t xml:space="preserve">二、申请人的资格要求：</w:t>
      </w:r>
      <w:bookmarkEnd w:id="12"/>
      <w:r/>
      <w:bookmarkEnd w:id="13"/>
      <w:r/>
      <w:bookmarkEnd w:id="14"/>
      <w:r/>
      <w:bookmarkEnd w:id="15"/>
      <w:r/>
      <w:bookmarkEnd w:id="16"/>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7" w:name="_Toc28359004"/>
      <w:r/>
      <w:bookmarkStart w:id="18" w:name="_Toc35393792"/>
      <w:r/>
      <w:bookmarkStart w:id="19" w:name="_Toc28359081"/>
      <w:r/>
      <w:bookmarkStart w:id="20" w:name="_Toc38985265"/>
      <w:r/>
      <w:bookmarkStart w:id="21" w:name="_Toc35393623"/>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1.满足《中华人民共和国政府采购法》第二十二条规定，并提供下列材料：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shd w:val="clear" w:color="auto" w:fill="ffffff"/>
        </w:rPr>
      </w:pPr>
      <w:r>
        <w:rPr>
          <w:rFonts w:hint="eastAsia" w:ascii="宋体" w:hAnsi="宋体" w:eastAsia="宋体" w:cs="宋体"/>
          <w:color w:val="auto"/>
          <w:sz w:val="21"/>
          <w:szCs w:val="21"/>
          <w:highlight w:val="none"/>
        </w:rPr>
        <w:t xml:space="preserve">3.落实政府采购政策需满足的资格要求：</w:t>
      </w:r>
      <w:r>
        <w:rPr>
          <w:rFonts w:hint="eastAsia" w:ascii="宋体" w:hAnsi="宋体" w:eastAsia="宋体" w:cs="宋体"/>
          <w:i/>
          <w:iCs/>
          <w:color w:val="auto"/>
          <w:sz w:val="21"/>
          <w:szCs w:val="21"/>
          <w:highlight w:val="none"/>
          <w:u w:val="single"/>
          <w:shd w:val="clear" w:color="auto" w:fill="ffffff"/>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联合体参与磋商。</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（二）本项目的特定资格要求：</w:t>
      </w:r>
      <w:r>
        <w:rPr>
          <w:rFonts w:hint="eastAsia" w:ascii="宋体" w:hAnsi="宋体" w:eastAsia="宋体" w:cs="宋体"/>
          <w:i/>
          <w:iCs/>
          <w:color w:val="auto"/>
          <w:sz w:val="21"/>
          <w:szCs w:val="21"/>
          <w:highlight w:val="none"/>
          <w:u w:val="single"/>
          <w:lang w:val="en-US" w:eastAsia="zh-CN"/>
        </w:rPr>
        <w:t xml:space="preserve">/</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21"/>
          <w:szCs w:val="21"/>
          <w:highlight w:val="none"/>
        </w:rPr>
        <w:t xml:space="preserve">磋商文件</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color w:val="auto"/>
          <w:sz w:val="21"/>
          <w:szCs w:val="21"/>
          <w:highlight w:val="none"/>
        </w:rPr>
        <w:t xml:space="preserve">1.时间：自磋商公告发布之日起5个工作日。5个工作日后仍可下载采购文件，但不作为供应商权益受到损害的证明材料和依据。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2.方式：在“扬州市政府采购网”、“江苏省政府采购网”自行免费下载磋商文件。</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w:t>
      </w:r>
      <w:bookmarkEnd w:id="22"/>
      <w:r/>
      <w:bookmarkEnd w:id="23"/>
      <w:r>
        <w:rPr>
          <w:rFonts w:hint="eastAsia" w:ascii="宋体" w:hAnsi="宋体" w:eastAsia="宋体" w:cs="宋体"/>
          <w:b/>
          <w:bCs/>
          <w:color w:val="auto"/>
          <w:sz w:val="21"/>
          <w:szCs w:val="21"/>
          <w:highlight w:val="none"/>
        </w:rPr>
        <w:t xml:space="preserve">响应文件截止时间</w:t>
      </w:r>
      <w:bookmarkEnd w:id="24"/>
      <w:r/>
      <w:bookmarkEnd w:id="25"/>
      <w:r/>
      <w:bookmarkEnd w:id="26"/>
      <w:r/>
      <w:r/>
    </w:p>
    <w:p>
      <w:pPr>
        <w:ind w:firstLine="420"/>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eastAsia="zh-CN"/>
        </w:rPr>
        <w:t xml:space="preserve">7月6日</w:t>
      </w:r>
      <w:r>
        <w:rPr>
          <w:rFonts w:hint="eastAsia" w:ascii="宋体" w:hAnsi="宋体" w:eastAsia="宋体" w:cs="宋体"/>
          <w:bCs/>
          <w:color w:val="auto"/>
          <w:sz w:val="21"/>
          <w:szCs w:val="21"/>
          <w:highlight w:val="none"/>
          <w:u w:val="single"/>
        </w:rPr>
        <w:t xml:space="preserve">9点30分</w:t>
      </w:r>
      <w:r>
        <w:rPr>
          <w:rFonts w:hint="eastAsia" w:ascii="宋体" w:hAnsi="宋体" w:eastAsia="宋体" w:cs="宋体"/>
          <w:bCs/>
          <w:color w:val="auto"/>
          <w:sz w:val="21"/>
          <w:szCs w:val="21"/>
          <w:highlight w:val="none"/>
        </w:rPr>
        <w:t xml:space="preserve">（北京时间）。</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27" w:name="_Toc38985267"/>
      <w:r/>
      <w:bookmarkStart w:id="28" w:name="_Toc35393794"/>
      <w:r/>
      <w:bookmarkStart w:id="29" w:name="_Toc28359007"/>
      <w:r/>
      <w:bookmarkStart w:id="30" w:name="_Toc28359084"/>
      <w:r/>
      <w:bookmarkStart w:id="31" w:name="_Toc35393625"/>
      <w:r>
        <w:rPr>
          <w:rFonts w:hint="eastAsia" w:ascii="宋体" w:hAnsi="宋体" w:eastAsia="宋体" w:cs="宋体"/>
          <w:b/>
          <w:bCs/>
          <w:color w:val="auto"/>
          <w:sz w:val="21"/>
          <w:szCs w:val="21"/>
          <w:highlight w:val="none"/>
        </w:rPr>
        <w:t xml:space="preserve">五、公告期限</w:t>
      </w:r>
      <w:bookmarkEnd w:id="27"/>
      <w:r/>
      <w:bookmarkEnd w:id="28"/>
      <w:r/>
      <w:bookmarkEnd w:id="29"/>
      <w:r/>
      <w:bookmarkEnd w:id="30"/>
      <w:r/>
      <w:bookmarkEnd w:id="31"/>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32" w:name="_Toc35393626"/>
      <w:r/>
      <w:bookmarkStart w:id="33" w:name="_Toc38985268"/>
      <w:r/>
      <w:bookmarkStart w:id="34" w:name="_Toc35393795"/>
      <w:r>
        <w:rPr>
          <w:rFonts w:hint="eastAsia" w:ascii="宋体" w:hAnsi="宋体" w:eastAsia="宋体" w:cs="宋体"/>
          <w:color w:val="auto"/>
          <w:sz w:val="21"/>
          <w:szCs w:val="21"/>
          <w:highlight w:val="none"/>
        </w:rPr>
        <w:t xml:space="preserve">磋商公告及磋商文件公告期限为自本公告发布之日起5个工作日。</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32"/>
      <w:r/>
      <w:bookmarkEnd w:id="33"/>
      <w:r/>
      <w:bookmarkEnd w:id="34"/>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35" w:name="_Toc28359085"/>
      <w:r/>
      <w:bookmarkStart w:id="36" w:name="_Toc35393627"/>
      <w:r/>
      <w:bookmarkStart w:id="37" w:name="_Toc38985269"/>
      <w:r/>
      <w:bookmarkStart w:id="38" w:name="_Toc35393796"/>
      <w:r/>
      <w:bookmarkStart w:id="39" w:name="_Toc28359008"/>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4.潜在供应商对采购文件项目需求部分的询问、质疑请向采购人提出，由采购人负责答复。</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color w:val="auto"/>
          <w:sz w:val="21"/>
          <w:szCs w:val="21"/>
          <w:highlight w:val="none"/>
        </w:rPr>
        <w:t xml:space="preserve">本次采购不收取保证金。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Cs/>
          <w:color w:val="auto"/>
          <w:sz w:val="21"/>
          <w:szCs w:val="21"/>
          <w:highlight w:val="none"/>
        </w:rPr>
        <w:t xml:space="preserve">有关本次采购的事项若存在变动或修改，敬请及时关注</w:t>
      </w:r>
      <w:r>
        <w:rPr>
          <w:rFonts w:hint="eastAsia" w:ascii="宋体" w:hAnsi="宋体" w:eastAsia="宋体" w:cs="宋体"/>
          <w:color w:val="auto"/>
          <w:sz w:val="21"/>
          <w:szCs w:val="21"/>
          <w:highlight w:val="none"/>
          <w:shd w:val="clear" w:color="auto" w:fill="ffffff"/>
        </w:rPr>
        <w:t xml:space="preserve">“扬州市政府采购网”、“江苏省政府采购网”</w:t>
      </w:r>
      <w:r>
        <w:rPr>
          <w:rFonts w:hint="eastAsia" w:ascii="宋体" w:hAnsi="宋体" w:eastAsia="宋体" w:cs="宋体"/>
          <w:bCs/>
          <w:color w:val="auto"/>
          <w:sz w:val="21"/>
          <w:szCs w:val="21"/>
          <w:highlight w:val="none"/>
        </w:rPr>
        <w:t xml:space="preserve">发布的信息。</w:t>
      </w:r>
      <w:r/>
    </w:p>
    <w:p>
      <w:pPr>
        <w:ind w:firstLine="422"/>
        <w:keepLines w:val="0"/>
        <w:keepNext w:val="0"/>
        <w:pageBreakBefore w:val="0"/>
        <w:spacing w:line="360" w:lineRule="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7.本项目采购文件中所有斜体下划线部分为实质性条款，如不满足，则为无效响应。</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七、本次磋商联系方式</w:t>
      </w:r>
      <w:bookmarkEnd w:id="35"/>
      <w:r/>
      <w:bookmarkEnd w:id="36"/>
      <w:r/>
      <w:bookmarkEnd w:id="37"/>
      <w:r/>
      <w:bookmarkEnd w:id="38"/>
      <w:r/>
      <w:bookmarkEnd w:id="3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eastAsia="zh-CN"/>
        </w:rPr>
        <w:t xml:space="preserve">扬州市个园管理处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扬州市盐阜东路10号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尹子凡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联系方式：</w:t>
      </w:r>
      <w:bookmarkStart w:id="40" w:name="_Toc28359009"/>
      <w:r/>
      <w:bookmarkStart w:id="41" w:name="_Toc28359086"/>
      <w:r>
        <w:rPr>
          <w:rFonts w:hint="eastAsia" w:ascii="宋体" w:hAnsi="宋体" w:eastAsia="宋体" w:cs="宋体"/>
          <w:color w:val="auto"/>
          <w:sz w:val="21"/>
          <w:szCs w:val="21"/>
          <w:highlight w:val="none"/>
          <w:u w:val="single"/>
        </w:rPr>
        <w:t xml:space="preserve">0514-87310200 </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End w:id="40"/>
      <w:r/>
      <w:bookmarkEnd w:id="41"/>
      <w:r>
        <w:rPr>
          <w:rFonts w:hint="eastAsia" w:ascii="宋体" w:hAnsi="宋体" w:eastAsia="宋体" w:cs="宋体"/>
          <w:color w:val="auto"/>
          <w:sz w:val="21"/>
          <w:szCs w:val="21"/>
          <w:highlight w:val="none"/>
        </w:rPr>
        <w:t xml:space="preserve">代理机构信息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江苏汇诚投资咨询管理有限公司</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扬州市邗江北路68号西入口3楼</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eastAsia="zh-CN"/>
        </w:rPr>
        <w:t xml:space="preserve">唐磊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bookmarkStart w:id="42" w:name="_Toc28359087"/>
      <w:r/>
      <w:bookmarkStart w:id="43" w:name="_Toc28359010"/>
      <w:r>
        <w:rPr>
          <w:rFonts w:hint="eastAsia" w:ascii="宋体" w:hAnsi="宋体" w:eastAsia="宋体" w:cs="宋体"/>
          <w:color w:val="auto"/>
          <w:sz w:val="21"/>
          <w:szCs w:val="21"/>
          <w:highlight w:val="none"/>
          <w:u w:val="single"/>
        </w:rPr>
        <w:t xml:space="preserve">0514-89787281</w:t>
      </w:r>
      <w:bookmarkEnd w:id="42"/>
      <w:r/>
      <w:bookmarkEnd w:id="43"/>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八、政府采购相关政策</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1.落实好政府采购履约资金扶持政策。中标/成交供应商可凭政府采购合同办理融资贷款，详见江苏政府采购网“政采贷”专栏。”</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3.严格执行政府采购关于支持</w:t>
      </w:r>
      <w:r>
        <w:rPr>
          <w:rFonts w:hint="eastAsia" w:ascii="宋体" w:hAnsi="宋体" w:eastAsia="宋体" w:cs="宋体"/>
          <w:b/>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4.供应商对于投标产品的包装应按照“财办库〔2020〕123号《关于印发《商品包装政府采购需求标准（试行）》、《快递包装政府采购需求标准（试行）》的通知》”执行。</w:t>
      </w:r>
      <w:r/>
    </w:p>
    <w:p>
      <w:pPr>
        <w:ind w:firstLine="420"/>
        <w:spacing w:line="360" w:lineRule="auto"/>
        <w:tabs>
          <w:tab w:val="left" w:pos="900" w:leader="none"/>
        </w:tabs>
        <w:rPr>
          <w:rFonts w:ascii="宋体" w:hAnsi="宋体" w:cs="宋体"/>
          <w:bCs/>
          <w:color w:val="auto"/>
          <w:szCs w:val="21"/>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Cs w:val="21"/>
          <w:highlight w:val="none"/>
        </w:rPr>
      </w:r>
      <w:r/>
    </w:p>
    <w:p>
      <w:pPr>
        <w:jc w:val="center"/>
        <w:rPr>
          <w:rFonts w:hint="eastAsia" w:ascii="宋体" w:hAnsi="宋体" w:cs="宋体"/>
          <w:color w:val="auto"/>
          <w:szCs w:val="44"/>
          <w:highlight w:val="none"/>
        </w:rPr>
      </w:pPr>
      <w:r/>
      <w:bookmarkStart w:id="44" w:name="_Toc120614211"/>
      <w:r>
        <w:rPr>
          <w:rFonts w:hint="eastAsia"/>
          <w:b/>
          <w:bCs/>
          <w:color w:val="auto"/>
          <w:sz w:val="44"/>
          <w:szCs w:val="44"/>
          <w:highlight w:val="none"/>
        </w:rPr>
        <w:t xml:space="preserve">第二章  </w:t>
      </w:r>
      <w:bookmarkEnd w:id="1"/>
      <w:r/>
      <w:bookmarkEnd w:id="2"/>
      <w:r/>
      <w:bookmarkEnd w:id="3"/>
      <w:r/>
      <w:bookmarkEnd w:id="4"/>
      <w:r/>
      <w:bookmarkEnd w:id="5"/>
      <w:r/>
      <w:bookmarkEnd w:id="44"/>
      <w:r>
        <w:rPr>
          <w:rFonts w:hint="eastAsia"/>
          <w:b/>
          <w:bCs/>
          <w:color w:val="auto"/>
          <w:sz w:val="44"/>
          <w:szCs w:val="44"/>
          <w:highlight w:val="none"/>
        </w:rPr>
        <w:t xml:space="preserve">供应商须知</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45" w:name="_Toc20823275"/>
      <w:r/>
      <w:bookmarkStart w:id="46" w:name="_Toc513029203"/>
      <w:r/>
      <w:bookmarkStart w:id="47" w:name="_Toc120614214"/>
      <w:r/>
      <w:bookmarkStart w:id="48" w:name="_Toc16938519"/>
      <w:r>
        <w:rPr>
          <w:rFonts w:hint="eastAsia" w:ascii="宋体" w:hAnsi="宋体" w:eastAsia="宋体" w:cs="宋体"/>
          <w:b/>
          <w:bCs/>
          <w:color w:val="auto"/>
          <w:sz w:val="21"/>
          <w:szCs w:val="21"/>
          <w:highlight w:val="none"/>
        </w:rPr>
        <w:t xml:space="preserve">一、总则</w:t>
      </w:r>
      <w:bookmarkEnd w:id="45"/>
      <w:r/>
      <w:bookmarkEnd w:id="46"/>
      <w:r/>
      <w:bookmarkEnd w:id="47"/>
      <w:r/>
      <w:bookmarkEnd w:id="48"/>
      <w:r/>
      <w:r/>
    </w:p>
    <w:p>
      <w:pPr>
        <w:ind w:firstLine="420"/>
        <w:keepLines/>
        <w:keepNext/>
        <w:spacing w:line="360" w:lineRule="auto"/>
        <w:rPr>
          <w:rFonts w:hint="eastAsia" w:ascii="宋体" w:hAnsi="宋体" w:eastAsia="宋体" w:cs="宋体"/>
          <w:color w:val="auto"/>
          <w:sz w:val="21"/>
          <w:szCs w:val="21"/>
          <w:highlight w:val="none"/>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eastAsia="宋体" w:cs="宋体"/>
          <w:color w:val="auto"/>
          <w:sz w:val="21"/>
          <w:szCs w:val="21"/>
          <w:highlight w:val="none"/>
        </w:rPr>
        <w:t xml:space="preserve">1</w:t>
      </w:r>
      <w:bookmarkEnd w:id="50"/>
      <w:r>
        <w:rPr>
          <w:rFonts w:hint="eastAsia" w:ascii="宋体" w:hAnsi="宋体" w:eastAsia="宋体" w:cs="宋体"/>
          <w:color w:val="auto"/>
          <w:sz w:val="21"/>
          <w:szCs w:val="21"/>
          <w:highlight w:val="none"/>
        </w:rPr>
        <w:t xml:space="preserve">、采购方式</w:t>
      </w:r>
      <w:bookmarkEnd w:id="51"/>
      <w:r/>
      <w:bookmarkEnd w:id="52"/>
      <w:r/>
      <w:bookmarkEnd w:id="5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54" w:name="_Toc16938521"/>
      <w:r/>
      <w:bookmarkStart w:id="55" w:name="_Toc513029205"/>
      <w:r/>
      <w:bookmarkStart w:id="56" w:name="_Toc20823277"/>
      <w:r>
        <w:rPr>
          <w:rFonts w:hint="eastAsia" w:ascii="宋体" w:hAnsi="宋体" w:eastAsia="宋体" w:cs="宋体"/>
          <w:color w:val="auto"/>
          <w:sz w:val="21"/>
          <w:szCs w:val="21"/>
          <w:highlight w:val="none"/>
        </w:rPr>
        <w:t xml:space="preserve">2、合格的</w:t>
      </w:r>
      <w:bookmarkEnd w:id="54"/>
      <w:r/>
      <w:bookmarkEnd w:id="55"/>
      <w:r/>
      <w:bookmarkEnd w:id="56"/>
      <w:r>
        <w:rPr>
          <w:rFonts w:hint="eastAsia" w:ascii="宋体" w:hAnsi="宋体" w:eastAsia="宋体" w:cs="宋体"/>
          <w:color w:val="auto"/>
          <w:sz w:val="21"/>
          <w:szCs w:val="21"/>
          <w:highlight w:val="none"/>
        </w:rPr>
        <w:t xml:space="preserve">供应商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2.1满足磋商公告中供应商资格要求的规定。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满足本磋商文件实质性要求和条件的规定。</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57" w:name="_Toc16938522"/>
      <w:r/>
      <w:bookmarkStart w:id="58" w:name="_Toc513029206"/>
      <w:r/>
      <w:bookmarkStart w:id="59" w:name="_Toc20823278"/>
      <w:r>
        <w:rPr>
          <w:rFonts w:hint="eastAsia" w:ascii="宋体" w:hAnsi="宋体" w:eastAsia="宋体" w:cs="宋体"/>
          <w:color w:val="auto"/>
          <w:sz w:val="21"/>
          <w:szCs w:val="21"/>
          <w:highlight w:val="none"/>
        </w:rPr>
        <w:t xml:space="preserve">3、适用法律</w:t>
      </w:r>
      <w:bookmarkEnd w:id="57"/>
      <w:r/>
      <w:bookmarkEnd w:id="58"/>
      <w:r/>
      <w:bookmarkEnd w:id="5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本次磋商及由此产生的合同受中华人民共和国有关的法律法规制约和保护。</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60" w:name="_Toc20823279"/>
      <w:r/>
      <w:bookmarkStart w:id="61" w:name="_Toc462564067"/>
      <w:r/>
      <w:bookmarkStart w:id="62" w:name="_Toc513029207"/>
      <w:r/>
      <w:bookmarkStart w:id="63" w:name="_Toc16938523"/>
      <w:r>
        <w:rPr>
          <w:rFonts w:hint="eastAsia" w:ascii="宋体" w:hAnsi="宋体" w:eastAsia="宋体" w:cs="宋体"/>
          <w:color w:val="auto"/>
          <w:sz w:val="21"/>
          <w:szCs w:val="21"/>
          <w:highlight w:val="none"/>
        </w:rPr>
        <w:t xml:space="preserve">4、磋商费用</w:t>
      </w:r>
      <w:bookmarkEnd w:id="60"/>
      <w:r/>
      <w:bookmarkEnd w:id="61"/>
      <w:r/>
      <w:bookmarkEnd w:id="62"/>
      <w:r/>
      <w:bookmarkEnd w:id="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eastAsia="宋体" w:cs="宋体"/>
          <w:color w:val="auto"/>
          <w:sz w:val="21"/>
          <w:szCs w:val="21"/>
          <w:highlight w:val="none"/>
        </w:rPr>
        <w:t xml:space="preserve">供应商应自行承担所有与参加本次磋商有关的费用，无论磋商过程中的做法和结果如何，江苏汇诚投资咨询管理有限公司（以下简称代理机构）在任何情况下均无义务和责任承担这些费用。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4.2本次采购由成交单位在领取成交通知书前参照国家计委印发的《招标代理服务收费管理暂行办法》（计价格〔2002〕1980号文）服务类标准的70%一次性支付给招标代理机构代理服务费。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招标代理服务费开户银行：中信银行扬州邗江支行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开户名称：江苏汇诚投资咨询管理有限公司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开户帐号：7328410182600010543</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4.3专家评审费按扬财购【2020】40 号文《关于进一步规范扬州市政府采购专家评审费标准的通知》执行。</w:t>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bCs/>
          <w:color w:val="auto"/>
          <w:sz w:val="21"/>
          <w:szCs w:val="21"/>
          <w:highlight w:val="none"/>
        </w:rPr>
        <w:t xml:space="preserve">5、</w:t>
      </w:r>
      <w:r>
        <w:rPr>
          <w:rFonts w:hint="eastAsia" w:ascii="宋体" w:hAnsi="宋体" w:eastAsia="宋体" w:cs="宋体"/>
          <w:color w:val="auto"/>
          <w:sz w:val="21"/>
          <w:szCs w:val="21"/>
          <w:highlight w:val="none"/>
        </w:rPr>
        <w:t xml:space="preserve">磋商文件的约束力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供应商一旦参加本项目采购活动，即被认为接受了本磋商文件的规定和约束。</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64" w:name="_Toc513029209"/>
      <w:r/>
      <w:bookmarkStart w:id="65" w:name="_Toc20823281"/>
      <w:r/>
      <w:bookmarkStart w:id="66" w:name="_Toc120614215"/>
      <w:r/>
      <w:bookmarkStart w:id="67" w:name="_Toc16938525"/>
      <w:r>
        <w:rPr>
          <w:rFonts w:hint="eastAsia" w:ascii="宋体" w:hAnsi="宋体" w:eastAsia="宋体" w:cs="宋体"/>
          <w:b/>
          <w:bCs/>
          <w:color w:val="auto"/>
          <w:sz w:val="21"/>
          <w:szCs w:val="21"/>
          <w:highlight w:val="none"/>
        </w:rPr>
        <w:t xml:space="preserve">二、</w:t>
      </w:r>
      <w:bookmarkEnd w:id="64"/>
      <w:r/>
      <w:bookmarkEnd w:id="65"/>
      <w:r/>
      <w:bookmarkEnd w:id="66"/>
      <w:r/>
      <w:bookmarkEnd w:id="67"/>
      <w:r>
        <w:rPr>
          <w:rFonts w:hint="eastAsia" w:ascii="宋体" w:hAnsi="宋体" w:eastAsia="宋体" w:cs="宋体"/>
          <w:b/>
          <w:bCs/>
          <w:color w:val="auto"/>
          <w:sz w:val="21"/>
          <w:szCs w:val="21"/>
          <w:highlight w:val="none"/>
        </w:rPr>
        <w:t xml:space="preserve">磋商文件</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68" w:name="_Toc513029210"/>
      <w:r/>
      <w:bookmarkStart w:id="69" w:name="_Toc16938526"/>
      <w:r/>
      <w:bookmarkStart w:id="70" w:name="_Toc20823282"/>
      <w:r>
        <w:rPr>
          <w:rFonts w:hint="eastAsia" w:ascii="宋体" w:hAnsi="宋体" w:eastAsia="宋体" w:cs="宋体"/>
          <w:color w:val="auto"/>
          <w:sz w:val="21"/>
          <w:szCs w:val="21"/>
          <w:highlight w:val="none"/>
        </w:rPr>
        <w:t xml:space="preserve">6、磋商文件构成</w:t>
      </w:r>
      <w:bookmarkEnd w:id="68"/>
      <w:r/>
      <w:bookmarkEnd w:id="69"/>
      <w:r/>
      <w:bookmarkEnd w:id="7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磋商文件由以下部分组成：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（1）磋商公告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请仔细检查磋商文件是否齐全，如有缺漏请立即与代理机构联系解决。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采购的最小单位是包。项目需求中未分包的，供应商不得部分响应；已经分包的，应当以包为单位响应。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采购文件如果要求供应商提交备选方案的，供应商可以提交备选方案；否则，备选方案将被拒绝。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71" w:name="_Toc16938527"/>
      <w:r/>
      <w:bookmarkStart w:id="72" w:name="_Toc20823283"/>
      <w:r/>
      <w:bookmarkStart w:id="73" w:name="_Toc513029211"/>
      <w:r/>
      <w:bookmarkStart w:id="74" w:name="_Toc462564070"/>
      <w:r>
        <w:rPr>
          <w:rFonts w:hint="eastAsia" w:ascii="宋体" w:hAnsi="宋体" w:eastAsia="宋体" w:cs="宋体"/>
          <w:color w:val="auto"/>
          <w:sz w:val="21"/>
          <w:szCs w:val="21"/>
          <w:highlight w:val="none"/>
        </w:rPr>
        <w:t xml:space="preserve">7、磋商文件的澄清</w:t>
      </w:r>
      <w:bookmarkEnd w:id="71"/>
      <w:r/>
      <w:bookmarkEnd w:id="72"/>
      <w:r/>
      <w:bookmarkEnd w:id="73"/>
      <w:r/>
      <w:bookmarkEnd w:id="7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7.1</w:t>
      </w:r>
      <w:r>
        <w:rPr>
          <w:rFonts w:hint="eastAsia" w:ascii="宋体" w:hAnsi="宋体" w:eastAsia="宋体" w:cs="宋体"/>
          <w:color w:val="auto"/>
          <w:sz w:val="21"/>
          <w:szCs w:val="21"/>
          <w:highlight w:val="none"/>
        </w:rPr>
        <w:t xml:space="preserve"> 任何要求对磋商文件进行澄清的供应商，应在磋商截止期5日前按磋商公告中的通讯地址，以书面形式通知代理机构。</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75" w:name="_Toc20823284"/>
      <w:r/>
      <w:bookmarkStart w:id="76" w:name="_Toc462564071"/>
      <w:r/>
      <w:bookmarkStart w:id="77" w:name="_Toc16938528"/>
      <w:r/>
      <w:bookmarkStart w:id="78" w:name="_Toc513029212"/>
      <w:r>
        <w:rPr>
          <w:rFonts w:hint="eastAsia" w:ascii="宋体" w:hAnsi="宋体" w:eastAsia="宋体" w:cs="宋体"/>
          <w:color w:val="auto"/>
          <w:sz w:val="21"/>
          <w:szCs w:val="21"/>
          <w:highlight w:val="none"/>
        </w:rPr>
        <w:t xml:space="preserve">8、磋商文件的澄清和修改</w:t>
      </w:r>
      <w:bookmarkEnd w:id="75"/>
      <w:r/>
      <w:bookmarkEnd w:id="76"/>
      <w:r/>
      <w:bookmarkEnd w:id="77"/>
      <w:r/>
      <w:bookmarkEnd w:id="7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8.1</w:t>
      </w:r>
      <w:r>
        <w:rPr>
          <w:rFonts w:hint="eastAsia" w:ascii="宋体" w:hAnsi="宋体" w:eastAsia="宋体" w:cs="宋体"/>
          <w:color w:val="auto"/>
          <w:sz w:val="21"/>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8.3供应商应在提交首次响应文件截止之日前关注原采购信息发布媒体上有关本采购项目有无变更公告。</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79" w:name="_Toc513029213"/>
      <w:r/>
      <w:bookmarkStart w:id="80" w:name="_Toc462564072"/>
      <w:r/>
      <w:bookmarkStart w:id="81" w:name="_Toc120614216"/>
      <w:r/>
      <w:bookmarkStart w:id="82" w:name="_Toc20823285"/>
      <w:r/>
      <w:bookmarkStart w:id="83" w:name="_Toc16938529"/>
      <w:r>
        <w:rPr>
          <w:rFonts w:hint="eastAsia" w:ascii="宋体" w:hAnsi="宋体" w:eastAsia="宋体" w:cs="宋体"/>
          <w:b/>
          <w:bCs/>
          <w:color w:val="auto"/>
          <w:sz w:val="21"/>
          <w:szCs w:val="21"/>
          <w:highlight w:val="none"/>
        </w:rPr>
        <w:t xml:space="preserve">三、响应文件的编制</w:t>
      </w:r>
      <w:bookmarkEnd w:id="79"/>
      <w:r/>
      <w:bookmarkEnd w:id="80"/>
      <w:r/>
      <w:bookmarkEnd w:id="81"/>
      <w:r/>
      <w:bookmarkEnd w:id="82"/>
      <w:r/>
      <w:bookmarkEnd w:id="83"/>
      <w:r/>
      <w:r/>
    </w:p>
    <w:p>
      <w:pPr>
        <w:ind w:firstLine="420"/>
        <w:keepLines/>
        <w:keepNext/>
        <w:spacing w:line="360" w:lineRule="auto"/>
        <w:rPr>
          <w:rFonts w:hint="eastAsia" w:ascii="宋体" w:hAnsi="宋体" w:eastAsia="宋体" w:cs="宋体"/>
          <w:b/>
          <w:color w:val="auto"/>
          <w:sz w:val="21"/>
          <w:szCs w:val="21"/>
          <w:highlight w:val="none"/>
        </w:rPr>
        <w:outlineLvl w:val="3"/>
      </w:pPr>
      <w:r/>
      <w:bookmarkStart w:id="84" w:name="_Toc462564073"/>
      <w:r/>
      <w:bookmarkStart w:id="85" w:name="_Toc513029214"/>
      <w:r/>
      <w:bookmarkStart w:id="86" w:name="_Toc20823286"/>
      <w:r/>
      <w:bookmarkStart w:id="87" w:name="_Toc16938530"/>
      <w:r>
        <w:rPr>
          <w:rFonts w:hint="eastAsia" w:ascii="宋体" w:hAnsi="宋体" w:eastAsia="宋体" w:cs="宋体"/>
          <w:color w:val="auto"/>
          <w:sz w:val="21"/>
          <w:szCs w:val="21"/>
          <w:highlight w:val="none"/>
        </w:rPr>
        <w:t xml:space="preserve">9、响应文件的语言及度量衡单位</w:t>
      </w:r>
      <w:bookmarkEnd w:id="84"/>
      <w:r/>
      <w:bookmarkEnd w:id="85"/>
      <w:r/>
      <w:bookmarkEnd w:id="86"/>
      <w:r/>
      <w:bookmarkEnd w:id="8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w:t>
      </w:r>
      <w:r>
        <w:rPr>
          <w:rFonts w:hint="eastAsia" w:ascii="宋体" w:hAnsi="宋体" w:eastAsia="宋体" w:cs="宋体"/>
          <w:color w:val="auto"/>
          <w:sz w:val="21"/>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除技术性能另有规定外，响应文件所使用的度量衡单位，均须采用国家法定计量单位。</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9.3供应商应使用人民币报价。</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88" w:name="_Toc20823287"/>
      <w:r/>
      <w:bookmarkStart w:id="89" w:name="_Toc462564074"/>
      <w:r/>
      <w:bookmarkStart w:id="90" w:name="_Toc16938531"/>
      <w:r/>
      <w:bookmarkStart w:id="91" w:name="_Toc513029215"/>
      <w:r>
        <w:rPr>
          <w:rFonts w:hint="eastAsia" w:ascii="宋体" w:hAnsi="宋体" w:eastAsia="宋体" w:cs="宋体"/>
          <w:color w:val="auto"/>
          <w:sz w:val="21"/>
          <w:szCs w:val="21"/>
          <w:highlight w:val="none"/>
        </w:rPr>
        <w:t xml:space="preserve">10、响应文件构成</w:t>
      </w:r>
      <w:bookmarkEnd w:id="88"/>
      <w:r/>
      <w:bookmarkEnd w:id="89"/>
      <w:r/>
      <w:bookmarkEnd w:id="90"/>
      <w:r/>
      <w:bookmarkEnd w:id="9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w:t>
      </w:r>
      <w:r>
        <w:rPr>
          <w:rFonts w:hint="eastAsia" w:ascii="宋体" w:hAnsi="宋体" w:eastAsia="宋体" w:cs="宋体"/>
          <w:color w:val="auto"/>
          <w:sz w:val="21"/>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如标书制作工具中格式和内容与“扬州市政府采购网”、“江苏省政府采购网”发布的磋商文件不一致，请以“扬州市政府采购网”、“江苏省政府采购网”发布的磋商文件为准。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宋体" w:hAnsi="宋体" w:eastAsia="宋体" w:cs="宋体"/>
          <w:color w:val="auto"/>
          <w:sz w:val="21"/>
          <w:szCs w:val="21"/>
          <w:highlight w:val="none"/>
        </w:rPr>
        <w:t xml:space="preserve">11、证明磋商响应标的符合磋商文件规定的文件</w:t>
      </w:r>
      <w:bookmarkEnd w:id="95"/>
      <w:r/>
      <w:bookmarkEnd w:id="96"/>
      <w:r/>
      <w:bookmarkEnd w:id="97"/>
      <w:r/>
      <w:bookmarkEnd w:id="98"/>
      <w:r/>
      <w:bookmarkEnd w:id="99"/>
      <w:r/>
      <w:bookmarkEnd w:id="10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11.1供应商应按照磋商文件要求提交证明文件，证明其及磋商响应标的符合磋商文件规定。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11.2磋商文件对证明文件无明确形式要求的，证明文件可以以文字资料、图纸和数据等形式提交。</w:t>
      </w:r>
      <w:bookmarkEnd w:id="101"/>
      <w:r/>
      <w:bookmarkEnd w:id="102"/>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12、分项报价表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供应商应按照磋商文件规定格式填报分项报价表。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磋商货币。响应文件中的单价和总价无特殊规定的采用人民币报价，以元为单位标注。</w:t>
      </w:r>
      <w:r>
        <w:rPr>
          <w:rFonts w:hint="eastAsia" w:ascii="宋体" w:hAnsi="宋体" w:eastAsia="宋体" w:cs="宋体"/>
          <w:color w:val="auto"/>
          <w:sz w:val="21"/>
          <w:szCs w:val="21"/>
          <w:highlight w:val="none"/>
        </w:rPr>
        <w:t xml:space="preserve">磋商文件中另有规定的按规定执行。</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12.3有关费用处理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12.4其它费用处理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采购文件未列明，而供应商认为必需的费用也需列入报价。</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03" w:name="_Hlt26670486"/>
      <w:r/>
      <w:bookmarkEnd w:id="103"/>
      <w:r/>
      <w:bookmarkStart w:id="104" w:name="_Hlt26954731"/>
      <w:r/>
      <w:bookmarkEnd w:id="104"/>
      <w:r/>
      <w:bookmarkStart w:id="105" w:name="_Hlt26954846"/>
      <w:r/>
      <w:bookmarkEnd w:id="105"/>
      <w:r/>
      <w:bookmarkStart w:id="106" w:name="_Hlt26954848"/>
      <w:r/>
      <w:bookmarkEnd w:id="106"/>
      <w:r/>
      <w:bookmarkStart w:id="107" w:name="_Hlt26670482"/>
      <w:r/>
      <w:bookmarkEnd w:id="107"/>
      <w:r>
        <w:rPr>
          <w:rFonts w:hint="eastAsia" w:ascii="宋体" w:hAnsi="宋体" w:eastAsia="宋体" w:cs="宋体"/>
          <w:color w:val="auto"/>
          <w:sz w:val="21"/>
          <w:szCs w:val="21"/>
          <w:highlight w:val="none"/>
        </w:rPr>
        <w:t xml:space="preserve">13、技术要求响应及偏离表、商务要求响应及偏离表</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供应商需对磋商文件中的技术要求与商务要求逐项作出响应或偏离，并说明原因。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14、服务承诺、培训计划、人员安排及其他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14.2供应商需根据磋商文件要求提供培训计划。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14.3供应商需根据磋商文件要求提供</w:t>
      </w:r>
      <w:r>
        <w:rPr>
          <w:rFonts w:hint="eastAsia" w:ascii="宋体" w:hAnsi="宋体" w:eastAsia="宋体" w:cs="宋体"/>
          <w:color w:val="auto"/>
          <w:sz w:val="21"/>
          <w:szCs w:val="21"/>
          <w:highlight w:val="none"/>
          <w:lang w:val="zh-CN"/>
        </w:rPr>
        <w:t xml:space="preserve">磋商响应标的的主要组成部分、功能设计、实现思路及关键技术等。</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08" w:name="_Toc49090510"/>
      <w:r/>
      <w:bookmarkStart w:id="109" w:name="_Toc14577359"/>
      <w:r>
        <w:rPr>
          <w:rFonts w:hint="eastAsia" w:ascii="宋体" w:hAnsi="宋体" w:eastAsia="宋体" w:cs="宋体"/>
          <w:color w:val="auto"/>
          <w:sz w:val="21"/>
          <w:szCs w:val="21"/>
          <w:highlight w:val="none"/>
        </w:rPr>
        <w:t xml:space="preserve">15、磋商响应函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15.1</w:t>
      </w:r>
      <w:r>
        <w:rPr>
          <w:rFonts w:hint="eastAsia" w:ascii="宋体" w:hAnsi="宋体" w:eastAsia="宋体" w:cs="宋体"/>
          <w:color w:val="auto"/>
          <w:sz w:val="21"/>
          <w:szCs w:val="21"/>
          <w:highlight w:val="none"/>
        </w:rPr>
        <w:t xml:space="preserve">供应商应按照磋商文件中提供的格式完整、正确填写磋商响应函。</w:t>
      </w:r>
      <w:bookmarkEnd w:id="108"/>
      <w:r/>
      <w:bookmarkEnd w:id="109"/>
      <w:r/>
      <w:r/>
    </w:p>
    <w:p>
      <w:pPr>
        <w:ind w:firstLine="420"/>
        <w:keepLines/>
        <w:keepNext/>
        <w:spacing w:line="360" w:lineRule="auto"/>
        <w:rPr>
          <w:rFonts w:hint="eastAsia" w:ascii="宋体" w:hAnsi="宋体" w:eastAsia="宋体" w:cs="宋体"/>
          <w:color w:val="auto"/>
          <w:sz w:val="21"/>
          <w:szCs w:val="21"/>
          <w:highlight w:val="none"/>
        </w:rPr>
        <w:outlineLvl w:val="3"/>
      </w:pPr>
      <w:r/>
      <w:bookmarkStart w:id="110" w:name="_Toc49090511"/>
      <w:r/>
      <w:bookmarkStart w:id="111" w:name="_Toc14577360"/>
      <w:r>
        <w:rPr>
          <w:rFonts w:hint="eastAsia" w:ascii="宋体" w:hAnsi="宋体" w:eastAsia="宋体" w:cs="宋体"/>
          <w:color w:val="auto"/>
          <w:sz w:val="21"/>
          <w:szCs w:val="21"/>
          <w:highlight w:val="none"/>
        </w:rPr>
        <w:t xml:space="preserve">16、磋商有效期</w:t>
      </w:r>
      <w:bookmarkEnd w:id="110"/>
      <w:r/>
      <w:bookmarkEnd w:id="111"/>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16.1磋商有效期为代理机构规定的提交响应文件截止之日后</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17、磋商有效期的延长</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1"/>
          <w:szCs w:val="21"/>
          <w:highlight w:val="none"/>
        </w:rPr>
        <w:t xml:space="preserve">受磋商有效期约束的所有权利与义务均延长至新的有效期</w:t>
      </w:r>
      <w:r>
        <w:rPr>
          <w:rFonts w:hint="eastAsia" w:ascii="宋体" w:hAnsi="宋体" w:eastAsia="宋体" w:cs="宋体"/>
          <w:bCs/>
          <w:color w:val="auto"/>
          <w:sz w:val="21"/>
          <w:szCs w:val="21"/>
          <w:highlight w:val="none"/>
        </w:rPr>
        <w:t xml:space="preserve">。</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12" w:name="_Hlt26954852"/>
      <w:r/>
      <w:bookmarkEnd w:id="112"/>
      <w:r/>
      <w:bookmarkStart w:id="113" w:name="_Hlt26954739"/>
      <w:r/>
      <w:bookmarkEnd w:id="113"/>
      <w:r/>
      <w:bookmarkStart w:id="114" w:name="_Toc20823296"/>
      <w:r/>
      <w:bookmarkStart w:id="115" w:name="_Toc120614217"/>
      <w:r/>
      <w:bookmarkStart w:id="116" w:name="_Toc16938540"/>
      <w:r/>
      <w:bookmarkStart w:id="117" w:name="_Toc513029224"/>
      <w:r>
        <w:rPr>
          <w:rFonts w:hint="eastAsia" w:ascii="宋体" w:hAnsi="宋体" w:eastAsia="宋体" w:cs="宋体"/>
          <w:b/>
          <w:bCs/>
          <w:color w:val="auto"/>
          <w:sz w:val="21"/>
          <w:szCs w:val="21"/>
          <w:highlight w:val="none"/>
        </w:rPr>
        <w:t xml:space="preserve">四、响应文件的递交</w:t>
      </w:r>
      <w:bookmarkEnd w:id="114"/>
      <w:r/>
      <w:bookmarkEnd w:id="115"/>
      <w:r/>
      <w:bookmarkEnd w:id="116"/>
      <w:r/>
      <w:bookmarkEnd w:id="117"/>
      <w:r/>
      <w:r/>
    </w:p>
    <w:p>
      <w:pPr>
        <w:ind w:firstLine="420"/>
        <w:keepLines/>
        <w:keepNext/>
        <w:spacing w:line="360" w:lineRule="auto"/>
        <w:rPr>
          <w:rFonts w:hint="eastAsia" w:ascii="宋体" w:hAnsi="宋体" w:eastAsia="宋体" w:cs="宋体"/>
          <w:color w:val="auto"/>
          <w:sz w:val="21"/>
          <w:szCs w:val="21"/>
          <w:highlight w:val="none"/>
        </w:rPr>
        <w:outlineLvl w:val="3"/>
      </w:pPr>
      <w:r/>
      <w:bookmarkStart w:id="118" w:name="_Toc462564084"/>
      <w:r/>
      <w:bookmarkStart w:id="119" w:name="_Toc513029225"/>
      <w:r/>
      <w:bookmarkStart w:id="120" w:name="_Toc20823297"/>
      <w:r/>
      <w:bookmarkStart w:id="121" w:name="_Toc16938541"/>
      <w:r>
        <w:rPr>
          <w:rFonts w:hint="eastAsia" w:ascii="宋体" w:hAnsi="宋体" w:eastAsia="宋体" w:cs="宋体"/>
          <w:color w:val="auto"/>
          <w:sz w:val="21"/>
          <w:szCs w:val="21"/>
          <w:highlight w:val="none"/>
        </w:rPr>
        <w:t xml:space="preserve">18、电子磋商</w:t>
      </w:r>
      <w:bookmarkEnd w:id="118"/>
      <w:r/>
      <w:bookmarkEnd w:id="119"/>
      <w:r/>
      <w:bookmarkEnd w:id="120"/>
      <w:r/>
      <w:bookmarkEnd w:id="121"/>
      <w:r>
        <w:rPr>
          <w:rFonts w:hint="eastAsia" w:ascii="宋体" w:hAnsi="宋体" w:eastAsia="宋体" w:cs="宋体"/>
          <w:color w:val="auto"/>
          <w:sz w:val="21"/>
          <w:szCs w:val="21"/>
          <w:highlight w:val="none"/>
        </w:rPr>
        <w:t xml:space="preserve">响应文件的递交</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18.1供应商应当按照《操作手册》规定，在提交响应文件截止时间前制作并上传电子响应文件。</w:t>
      </w:r>
      <w:bookmarkStart w:id="122" w:name="_Toc20823298"/>
      <w:r/>
      <w:bookmarkStart w:id="123" w:name="_Toc513029226"/>
      <w:r/>
      <w:bookmarkStart w:id="124" w:name="_Toc16938542"/>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18.2政府采购管理交易系统（苏采云）相关要求是本招标文件的组成部分。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18.3供应商应对 CA 证书妥善保管，如被他人盗用，因此带来的结果均由供应商自行承担。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18.4供应商应当对采购文件提出的要求和条件作出实质性响应，并在电子投标系统逐条应答。</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18.5供应商应对要求提供的资格证明文件（如资质证书、资格证书）、技术资料（如白皮书、彩页、手册、检测报告等）扫描上传至投标系统。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18.6各供应商应在规定时间内凭CA证书进行网上解密。</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19、提交响应文件截止时间</w:t>
      </w:r>
      <w:bookmarkEnd w:id="122"/>
      <w:r/>
      <w:bookmarkEnd w:id="123"/>
      <w:r/>
      <w:bookmarkEnd w:id="124"/>
      <w:r/>
      <w:r/>
    </w:p>
    <w:p>
      <w:pPr>
        <w:ind w:firstLine="42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19.1</w:t>
      </w:r>
      <w:r>
        <w:rPr>
          <w:rFonts w:hint="eastAsia" w:ascii="宋体" w:hAnsi="宋体" w:eastAsia="宋体" w:cs="宋体"/>
          <w:bCs/>
          <w:i/>
          <w:color w:val="auto"/>
          <w:sz w:val="21"/>
          <w:szCs w:val="21"/>
          <w:highlight w:val="none"/>
          <w:u w:val="single"/>
        </w:rPr>
        <w:t xml:space="preserve">供应商上传电子响应文件的时间不得迟于磋商公告中规定的提交响应文件截止时间。</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19.2</w:t>
      </w:r>
      <w:r>
        <w:rPr>
          <w:rFonts w:hint="eastAsia" w:ascii="宋体" w:hAnsi="宋体" w:eastAsia="宋体" w:cs="宋体"/>
          <w:bCs/>
          <w:color w:val="auto"/>
          <w:sz w:val="21"/>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5" w:name="_Toc16938543"/>
      <w:r/>
      <w:bookmarkStart w:id="126" w:name="_Toc513029227"/>
      <w:r/>
      <w:bookmarkStart w:id="127" w:name="_Toc20823299"/>
      <w:r>
        <w:rPr>
          <w:rFonts w:hint="eastAsia" w:ascii="宋体" w:hAnsi="宋体" w:eastAsia="宋体" w:cs="宋体"/>
          <w:color w:val="auto"/>
          <w:sz w:val="21"/>
          <w:szCs w:val="21"/>
          <w:highlight w:val="none"/>
        </w:rPr>
        <w:t xml:space="preserve">20、响应文件</w:t>
      </w:r>
      <w:bookmarkEnd w:id="125"/>
      <w:r/>
      <w:bookmarkEnd w:id="126"/>
      <w:r/>
      <w:bookmarkEnd w:id="127"/>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代理机构拒绝接收在其规定的提交响应文件截止时间后上传的任何电子响应文件。</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8" w:name="_Toc513029228"/>
      <w:r/>
      <w:bookmarkStart w:id="129" w:name="_Toc20823300"/>
      <w:r/>
      <w:bookmarkStart w:id="130" w:name="_Toc16938544"/>
      <w:r>
        <w:rPr>
          <w:rFonts w:hint="eastAsia" w:ascii="宋体" w:hAnsi="宋体" w:eastAsia="宋体" w:cs="宋体"/>
          <w:color w:val="auto"/>
          <w:sz w:val="21"/>
          <w:szCs w:val="21"/>
          <w:highlight w:val="none"/>
        </w:rPr>
        <w:t xml:space="preserve">21、响应文件的撤回和修改</w:t>
      </w:r>
      <w:bookmarkEnd w:id="128"/>
      <w:r/>
      <w:bookmarkEnd w:id="129"/>
      <w:r/>
      <w:bookmarkEnd w:id="13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21.1响应文件的撤回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 电子响应文件的撤回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截止时间前，撤回其电子响应文件，具体操作方法见《操作手册》。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21.1.2供应商撤回电子响应文件，则认为其不再参与本项目磋商活动。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21.2响应文件的修改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截止时间前，对其电子响应文件进行修改，具体操作方法见《操作手册》。</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bCs/>
          <w:color w:val="auto"/>
          <w:sz w:val="21"/>
          <w:szCs w:val="21"/>
          <w:highlight w:val="none"/>
        </w:rPr>
        <w:t xml:space="preserve"> 在提交响应文件截止时间之后，供应商不得对其电子响应文件作任何修改。</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bCs/>
          <w:color w:val="auto"/>
          <w:sz w:val="21"/>
          <w:szCs w:val="21"/>
          <w:highlight w:val="none"/>
        </w:rPr>
        <w:t xml:space="preserve"> 在提交响应文件截止时间至磋商文件中规定的磋商有效期满之间的这段时间内，供应商不得撤回其响应文件。</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31" w:name="_Toc20823301"/>
      <w:r/>
      <w:bookmarkStart w:id="132" w:name="_Toc16938545"/>
      <w:r/>
      <w:bookmarkStart w:id="133" w:name="_Toc513029229"/>
      <w:r/>
      <w:bookmarkStart w:id="134" w:name="_Toc120614218"/>
      <w:r>
        <w:rPr>
          <w:rFonts w:hint="eastAsia" w:ascii="宋体" w:hAnsi="宋体" w:eastAsia="宋体" w:cs="宋体"/>
          <w:b/>
          <w:bCs/>
          <w:color w:val="auto"/>
          <w:sz w:val="21"/>
          <w:szCs w:val="21"/>
          <w:highlight w:val="none"/>
        </w:rPr>
        <w:t xml:space="preserve">五、响应文件的解密与评审</w:t>
      </w:r>
      <w:bookmarkEnd w:id="131"/>
      <w:r/>
      <w:bookmarkEnd w:id="132"/>
      <w:r/>
      <w:bookmarkEnd w:id="133"/>
      <w:r/>
      <w:bookmarkEnd w:id="134"/>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5" w:name="_Toc16938546"/>
      <w:r/>
      <w:bookmarkStart w:id="136" w:name="_Toc20823302"/>
      <w:r/>
      <w:bookmarkStart w:id="137" w:name="_Toc513029230"/>
      <w:r>
        <w:rPr>
          <w:rFonts w:hint="eastAsia" w:ascii="宋体" w:hAnsi="宋体" w:eastAsia="宋体" w:cs="宋体"/>
          <w:color w:val="auto"/>
          <w:sz w:val="21"/>
          <w:szCs w:val="21"/>
          <w:highlight w:val="none"/>
        </w:rPr>
        <w:t xml:space="preserve">22、</w:t>
      </w:r>
      <w:bookmarkEnd w:id="135"/>
      <w:r/>
      <w:bookmarkEnd w:id="136"/>
      <w:r/>
      <w:bookmarkEnd w:id="137"/>
      <w:r>
        <w:rPr>
          <w:rFonts w:hint="eastAsia" w:ascii="宋体" w:hAnsi="宋体" w:eastAsia="宋体" w:cs="宋体"/>
          <w:color w:val="auto"/>
          <w:sz w:val="21"/>
          <w:szCs w:val="21"/>
          <w:highlight w:val="none"/>
        </w:rPr>
        <w:t xml:space="preserve">响应文件解密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8" w:name="_Toc16938547"/>
      <w:r/>
      <w:bookmarkStart w:id="139" w:name="_Toc20823303"/>
      <w:r/>
      <w:bookmarkStart w:id="140" w:name="_Toc513029231"/>
      <w:r>
        <w:rPr>
          <w:rFonts w:hint="eastAsia" w:ascii="宋体" w:hAnsi="宋体" w:eastAsia="宋体" w:cs="宋体"/>
          <w:color w:val="auto"/>
          <w:sz w:val="21"/>
          <w:szCs w:val="21"/>
          <w:highlight w:val="none"/>
        </w:rPr>
        <w:t xml:space="preserve">23、磋商小组</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23.2磋商小组独立工作，负责评审所有响应文件并确定成交侯选人。</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24、评审过程的保密与公正</w:t>
      </w:r>
      <w:bookmarkEnd w:id="138"/>
      <w:r/>
      <w:bookmarkEnd w:id="139"/>
      <w:r/>
      <w:bookmarkEnd w:id="140"/>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24.1</w:t>
      </w:r>
      <w:r>
        <w:rPr>
          <w:rFonts w:hint="eastAsia" w:ascii="宋体" w:hAnsi="宋体" w:eastAsia="宋体" w:cs="宋体"/>
          <w:bCs/>
          <w:color w:val="auto"/>
          <w:sz w:val="21"/>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24.3在项目评审期间，代理机构将设专门人员与供应商联系。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 代理机构和磋商小组不向未成交的供应商解释未成交原因，也不公布评审过程中的相关细节。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41" w:name="_Toc20823304"/>
      <w:r/>
      <w:bookmarkStart w:id="142" w:name="_Toc513029232"/>
      <w:r/>
      <w:bookmarkStart w:id="143" w:name="_Toc16938548"/>
      <w:r>
        <w:rPr>
          <w:rFonts w:hint="eastAsia" w:ascii="宋体" w:hAnsi="宋体" w:eastAsia="宋体" w:cs="宋体"/>
          <w:color w:val="auto"/>
          <w:sz w:val="21"/>
          <w:szCs w:val="21"/>
          <w:highlight w:val="none"/>
        </w:rPr>
        <w:t xml:space="preserve">25、评审过程中的的澄清</w:t>
      </w:r>
      <w:bookmarkEnd w:id="141"/>
      <w:r/>
      <w:bookmarkEnd w:id="142"/>
      <w:r/>
      <w:bookmarkEnd w:id="14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磋商小组并非对每个供应商都作澄清要求。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接到磋商小组澄清、说明和更正要求的供应商如未按规定做出澄清、说明和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44" w:name="_Toc513029233"/>
      <w:r/>
      <w:bookmarkStart w:id="145" w:name="_Toc20823305"/>
      <w:r/>
      <w:bookmarkStart w:id="146" w:name="_Toc16938549"/>
      <w:r>
        <w:rPr>
          <w:rFonts w:hint="eastAsia" w:ascii="宋体" w:hAnsi="宋体" w:eastAsia="宋体" w:cs="宋体"/>
          <w:color w:val="auto"/>
          <w:sz w:val="21"/>
          <w:szCs w:val="21"/>
          <w:highlight w:val="none"/>
        </w:rPr>
        <w:t xml:space="preserve">26、对响应文件的审</w:t>
      </w:r>
      <w:bookmarkEnd w:id="144"/>
      <w:r/>
      <w:bookmarkEnd w:id="145"/>
      <w:r/>
      <w:bookmarkEnd w:id="146"/>
      <w:r>
        <w:rPr>
          <w:rFonts w:hint="eastAsia" w:ascii="宋体" w:hAnsi="宋体" w:eastAsia="宋体" w:cs="宋体"/>
          <w:color w:val="auto"/>
          <w:sz w:val="21"/>
          <w:szCs w:val="21"/>
          <w:highlight w:val="none"/>
        </w:rPr>
        <w:t xml:space="preserve">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bCs/>
          <w:color w:val="auto"/>
          <w:sz w:val="21"/>
          <w:szCs w:val="21"/>
          <w:highlight w:val="none"/>
        </w:rPr>
        <w:t xml:space="preserve">响应文件审查分为资格审查和符合性审查。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 未通过资格审查或符合性审查的供应商，磋商小组将在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中告知未通过资格审查或符合性审查的原因，评审结束后，磋商小组将不再告知未通过资格审查或符合性审查的原因。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26.3未实质性响应磋商文件的情形</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26.3.1供应商在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规定的时间内未成功解密电子响应文件的。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26.3.2供应商未按照磋商文件要求上传电子响应文件的。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26.3.3同一供应商提交两个（含两个）以上不同的响应文件或者最后报价的。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26.3.4供应商不具备磋商文件中规定资格要求的。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26.3.5供应商的最后报价超过了采购预算。</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26.3.6不符合磋商文件中规定的实质性要求和条件的</w:t>
      </w:r>
      <w:r>
        <w:rPr>
          <w:rFonts w:hint="eastAsia" w:ascii="宋体" w:hAnsi="宋体" w:eastAsia="宋体" w:cs="宋体"/>
          <w:bCs/>
          <w:i/>
          <w:color w:val="auto"/>
          <w:sz w:val="21"/>
          <w:szCs w:val="21"/>
          <w:highlight w:val="none"/>
          <w:u w:val="single"/>
        </w:rPr>
        <w:t xml:space="preserve">（本磋商文件中斜体且有下划线部分为实质性要求和条件）。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26.3.8  响应文件含有采购人不能接受的附加条件的。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26.3.10响应文件未按照磋商文件要求加盖CA电子公章的。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26.3.11异常低价处理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26.3.11.1政府采购评审中出现下列情形之一的，评审委员会应当启动异常低价投标审查程序:</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投标（响应）报价低于全部通过符合性审查供应商投标（响应）报价平均值50%的，即投标（响应）报价&lt;全部通过符合性审查供应商投标（响应）报价平均值×50%；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投标（响应）报价低于通过符合性审查的次低报价供应商投标（响应）报价50%的，即投标（响应）报价&lt;通过符合性审查的次低报价供应商投标（响应）报价×50%；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投标（响应）报价低于采购项目最高限价45%的，即投标（响应）报价&lt;采购项目最高限价×45%；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26.3.11.2评审委员会启动异常低价投标审查后，属于前述第1项至第4项情形的，应当要求相关供应商在评审现场合理的时间内对投标价格作出解释，提供项目具体成本测算等与报价合理性相关的书面说</w:t>
      </w:r>
      <w:r>
        <w:rPr>
          <w:rFonts w:hint="eastAsia" w:ascii="宋体" w:hAnsi="宋体" w:eastAsia="宋体" w:cs="宋体"/>
          <w:bCs/>
          <w:color w:val="auto"/>
          <w:sz w:val="21"/>
          <w:szCs w:val="21"/>
          <w:highlight w:val="none"/>
        </w:rPr>
        <w:t xml:space="preserve">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26.4未实质性响应磋商文件的响应文件按无效响应处理。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26.5</w:t>
      </w:r>
      <w:r>
        <w:rPr>
          <w:rFonts w:hint="eastAsia" w:ascii="宋体" w:hAnsi="宋体" w:eastAsia="宋体" w:cs="宋体"/>
          <w:bCs/>
          <w:color w:val="auto"/>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eastAsia="宋体" w:cs="宋体"/>
          <w:color w:val="auto"/>
          <w:sz w:val="21"/>
          <w:szCs w:val="21"/>
          <w:highlight w:val="none"/>
        </w:rPr>
      </w:pPr>
      <w:r/>
      <w:bookmarkStart w:id="147" w:name="_Toc20823306"/>
      <w:r/>
      <w:bookmarkStart w:id="148" w:name="_Toc513029234"/>
      <w:r/>
      <w:bookmarkStart w:id="149" w:name="_Toc16938550"/>
      <w:r>
        <w:rPr>
          <w:rFonts w:hint="eastAsia" w:ascii="宋体" w:hAnsi="宋体" w:eastAsia="宋体" w:cs="宋体"/>
          <w:color w:val="auto"/>
          <w:sz w:val="21"/>
          <w:szCs w:val="21"/>
          <w:highlight w:val="none"/>
        </w:rPr>
        <w:t xml:space="preserve">26.6供应商在项目评审全过程中应保持通讯畅通，并安排专人与代理机构及磋商小组联系。</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w:t>
      </w:r>
      <w:bookmarkEnd w:id="147"/>
      <w:r/>
      <w:bookmarkEnd w:id="148"/>
      <w:r/>
      <w:bookmarkEnd w:id="149"/>
      <w:r>
        <w:rPr>
          <w:rFonts w:hint="eastAsia" w:ascii="宋体" w:hAnsi="宋体" w:eastAsia="宋体" w:cs="宋体"/>
          <w:color w:val="auto"/>
          <w:sz w:val="21"/>
          <w:szCs w:val="21"/>
          <w:highlight w:val="none"/>
        </w:rPr>
        <w:t xml:space="preserve">磋商程序及评审方法和评审标准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27.1磋商程序</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见本磋商文件第五章规定。</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27.3采购活动终止的情况</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27.3.2出现影响采购公正的违法、违规行为的。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27.3.4在苏采云系统规定时间内成功解密电子响应文件的供应商不足3家的。</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50" w:name="_Toc120614219"/>
      <w:r/>
      <w:bookmarkStart w:id="151" w:name="_Toc513029235"/>
      <w:r/>
      <w:bookmarkStart w:id="152" w:name="_Toc16938551"/>
      <w:r/>
      <w:bookmarkStart w:id="153" w:name="_Toc20823307"/>
      <w:r>
        <w:rPr>
          <w:rFonts w:hint="eastAsia" w:ascii="宋体" w:hAnsi="宋体" w:eastAsia="宋体" w:cs="宋体"/>
          <w:b/>
          <w:bCs/>
          <w:color w:val="auto"/>
          <w:sz w:val="21"/>
          <w:szCs w:val="21"/>
          <w:highlight w:val="none"/>
        </w:rPr>
        <w:t xml:space="preserve">六、</w:t>
      </w:r>
      <w:bookmarkEnd w:id="150"/>
      <w:r/>
      <w:bookmarkEnd w:id="151"/>
      <w:r/>
      <w:bookmarkEnd w:id="152"/>
      <w:r/>
      <w:bookmarkEnd w:id="153"/>
      <w:r>
        <w:rPr>
          <w:rFonts w:hint="eastAsia" w:ascii="宋体" w:hAnsi="宋体" w:eastAsia="宋体" w:cs="宋体"/>
          <w:b/>
          <w:bCs/>
          <w:color w:val="auto"/>
          <w:sz w:val="21"/>
          <w:szCs w:val="21"/>
          <w:highlight w:val="none"/>
        </w:rPr>
        <w:t xml:space="preserve">成交</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54" w:name="_Toc513029238"/>
      <w:r/>
      <w:bookmarkStart w:id="155" w:name="_Toc16938554"/>
      <w:r/>
      <w:bookmarkStart w:id="156" w:name="_Toc20823310"/>
      <w:r>
        <w:rPr>
          <w:rFonts w:hint="eastAsia" w:ascii="宋体" w:hAnsi="宋体" w:eastAsia="宋体" w:cs="宋体"/>
          <w:bCs/>
          <w:color w:val="auto"/>
          <w:sz w:val="21"/>
          <w:szCs w:val="21"/>
          <w:highlight w:val="none"/>
        </w:rPr>
        <w:t xml:space="preserve">28、</w:t>
      </w:r>
      <w:bookmarkEnd w:id="154"/>
      <w:r>
        <w:rPr>
          <w:rFonts w:hint="eastAsia" w:ascii="宋体" w:hAnsi="宋体" w:eastAsia="宋体" w:cs="宋体"/>
          <w:bCs/>
          <w:color w:val="auto"/>
          <w:sz w:val="21"/>
          <w:szCs w:val="21"/>
          <w:highlight w:val="none"/>
        </w:rPr>
        <w:t xml:space="preserve">确定</w:t>
      </w:r>
      <w:bookmarkEnd w:id="155"/>
      <w:r/>
      <w:bookmarkEnd w:id="156"/>
      <w:r>
        <w:rPr>
          <w:rFonts w:hint="eastAsia" w:ascii="宋体" w:hAnsi="宋体" w:eastAsia="宋体" w:cs="宋体"/>
          <w:bCs/>
          <w:color w:val="auto"/>
          <w:sz w:val="21"/>
          <w:szCs w:val="21"/>
          <w:highlight w:val="none"/>
        </w:rPr>
        <w:t xml:space="preserve">成交单位</w:t>
      </w:r>
      <w:r/>
    </w:p>
    <w:p>
      <w:pPr>
        <w:ind w:firstLine="418"/>
        <w:spacing w:after="156"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28.1</w:t>
      </w:r>
      <w:r>
        <w:rPr>
          <w:rFonts w:hint="eastAsia" w:ascii="宋体" w:hAnsi="宋体" w:eastAsia="宋体" w:cs="宋体"/>
          <w:color w:val="auto"/>
          <w:sz w:val="21"/>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采购人从评审报告提出的成交候选供应商中，按照排序由高到低的原则确定成交供应商。采购人确定成交供应商后，代理机构将在“扬州市政府采购网”、“江苏省政府采购网”发布成交结果公告，公告期限为1个工作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28.3若有充分证据证明，成交供应商出现下列情况之一的，一经查实，将被取消成交资格：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28.3.1提供虚假材料谋取成交的。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28.3.2与评审专家、采购人、其他供应商或者代理机构工作人员恶意串通的。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28.3.3向评审专家、采购人或代理机构工作人员行贿或者提供其他不正当利益的。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28.3.4恶意竞争，最后报价明显低于其自身合理成本且又无法提供证明的。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28.3.5不满足本磋商文件规定的实质性要求，但在评审过程中又未被磋商小组发现的。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28.3.7将政府采购合同转包的。</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57" w:name="_Toc200451960"/>
      <w:r>
        <w:rPr>
          <w:rFonts w:hint="eastAsia" w:ascii="宋体" w:hAnsi="宋体" w:eastAsia="宋体" w:cs="宋体"/>
          <w:bCs/>
          <w:color w:val="auto"/>
          <w:sz w:val="21"/>
          <w:szCs w:val="21"/>
          <w:highlight w:val="none"/>
        </w:rPr>
        <w:t xml:space="preserve">29、质疑处理</w:t>
      </w:r>
      <w:bookmarkEnd w:id="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29.2.3对成交结果提出质疑的，为成交结果公告期限届满之日。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29.4.1 采购人只接收以纸质原件形式送达的质疑。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采购人质疑接收人及联系方式见采购文件第一章。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29.4.2收到质疑申请后，将对质疑的形式和内容进行审查，如质疑内容、格式不符合规定，将告知质疑人进行补正。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29.4.3质疑人应当在法定质疑期限内进行补正并重新提交质疑函。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以下情形的质疑不予受理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 内容不符合《政府采购质疑和投诉办法》第十二条规定的质疑。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 超出政府采购法定期限的质疑。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 以传真、电子邮件等方式递交的非原件形式的质疑。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30、成交通知书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eastAsia="宋体" w:cs="宋体"/>
          <w:b/>
          <w:bCs/>
          <w:color w:val="auto"/>
          <w:sz w:val="21"/>
          <w:szCs w:val="21"/>
          <w:highlight w:val="none"/>
        </w:rPr>
        <w:outlineLvl w:val="2"/>
      </w:pPr>
      <w:r/>
      <w:bookmarkStart w:id="158" w:name="_Toc120614220"/>
      <w:r/>
      <w:bookmarkStart w:id="159" w:name="_Toc513029236"/>
      <w:r/>
      <w:bookmarkStart w:id="160" w:name="_Toc20823308"/>
      <w:r/>
      <w:bookmarkStart w:id="161" w:name="_Toc16938552"/>
      <w:r>
        <w:rPr>
          <w:rFonts w:hint="eastAsia" w:ascii="宋体" w:hAnsi="宋体" w:eastAsia="宋体" w:cs="宋体"/>
          <w:b/>
          <w:bCs/>
          <w:color w:val="auto"/>
          <w:sz w:val="21"/>
          <w:szCs w:val="21"/>
          <w:highlight w:val="none"/>
        </w:rPr>
        <w:t xml:space="preserve">七、授予合同</w:t>
      </w:r>
      <w:bookmarkEnd w:id="158"/>
      <w:r/>
      <w:bookmarkEnd w:id="159"/>
      <w:r/>
      <w:bookmarkEnd w:id="160"/>
      <w:r/>
      <w:bookmarkEnd w:id="161"/>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62" w:name="_Toc513029237"/>
      <w:r/>
      <w:bookmarkStart w:id="163" w:name="_Toc20823309"/>
      <w:r/>
      <w:bookmarkStart w:id="164" w:name="_Toc16938553"/>
      <w:r>
        <w:rPr>
          <w:rFonts w:hint="eastAsia" w:ascii="宋体" w:hAnsi="宋体" w:eastAsia="宋体" w:cs="宋体"/>
          <w:bCs/>
          <w:color w:val="auto"/>
          <w:sz w:val="21"/>
          <w:szCs w:val="21"/>
          <w:highlight w:val="none"/>
        </w:rPr>
        <w:t xml:space="preserve">31. 签订合同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31</w:t>
      </w:r>
      <w:r>
        <w:rPr>
          <w:rFonts w:hint="eastAsia" w:ascii="宋体" w:hAnsi="宋体" w:eastAsia="宋体" w:cs="宋体"/>
          <w:color w:val="auto"/>
          <w:sz w:val="21"/>
          <w:szCs w:val="21"/>
          <w:highlight w:val="none"/>
        </w:rPr>
        <w:t xml:space="preserve">.l成交供应商应当在成交通知书发出之日起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日内，按照磋商文件确定的事项与采购人签订政府采购合同。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31.2磋商文件、成交供应商的响应文件及磋商过程中有关澄清、承诺文件均应作为合同附件。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 签订合同后，</w:t>
      </w:r>
      <w:r>
        <w:rPr>
          <w:rFonts w:hint="eastAsia" w:ascii="宋体" w:hAnsi="宋体" w:eastAsia="宋体" w:cs="宋体"/>
          <w:i/>
          <w:color w:val="auto"/>
          <w:sz w:val="21"/>
          <w:szCs w:val="21"/>
          <w:highlight w:val="none"/>
          <w:u w:val="single"/>
        </w:rPr>
        <w:t xml:space="preserve">成交供应商不得将合同标的进行转包</w:t>
      </w:r>
      <w:r>
        <w:rPr>
          <w:rFonts w:hint="eastAsia" w:ascii="宋体" w:hAnsi="宋体" w:eastAsia="宋体" w:cs="宋体"/>
          <w:color w:val="auto"/>
          <w:sz w:val="21"/>
          <w:szCs w:val="21"/>
          <w:highlight w:val="none"/>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32、标的物的追加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65" w:name="_Toc479757207"/>
      <w:r/>
      <w:bookmarkStart w:id="166" w:name="_Toc120614221"/>
      <w:r/>
      <w:bookmarkStart w:id="167" w:name="_Toc16938558"/>
      <w:r/>
      <w:bookmarkStart w:id="168" w:name="_Toc513029242"/>
      <w:r/>
      <w:bookmarkStart w:id="169" w:name="_Toc20823314"/>
      <w:r>
        <w:rPr>
          <w:rFonts w:hint="eastAsia" w:ascii="宋体" w:hAnsi="宋体" w:eastAsia="宋体" w:cs="宋体"/>
          <w:bCs/>
          <w:color w:val="auto"/>
          <w:sz w:val="21"/>
          <w:szCs w:val="21"/>
          <w:highlight w:val="none"/>
        </w:rPr>
        <w:t xml:space="preserve">33、政府采购履约资金扶持政策</w:t>
      </w:r>
      <w:r/>
    </w:p>
    <w:p>
      <w:pPr>
        <w:ind w:firstLine="39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成交供应商可凭政府采购合同办理融资贷款，详情请见江苏政府采购网“政采贷”专栏。</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34、其他</w:t>
      </w:r>
      <w:r/>
    </w:p>
    <w:p>
      <w:pPr>
        <w:ind w:firstLine="42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31.1依据《政府采购促进中小企业发展管理办法》享受享受扶持政策获得政府采购合同的，小微企业不得将合同分包给大中型企业，中型企业不得将合同分包给大型企业。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640"/>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t xml:space="preserve">第三章  合同</w:t>
      </w:r>
      <w:bookmarkEnd w:id="165"/>
      <w:r/>
      <w:bookmarkEnd w:id="166"/>
      <w:r/>
      <w:bookmarkEnd w:id="167"/>
      <w:r/>
      <w:bookmarkEnd w:id="168"/>
      <w:r/>
      <w:bookmarkEnd w:id="169"/>
      <w:r>
        <w:rPr>
          <w:rFonts w:hint="eastAsia" w:ascii="宋体" w:hAnsi="宋体" w:cs="宋体"/>
          <w:bCs/>
          <w:color w:val="auto"/>
          <w:sz w:val="44"/>
          <w:szCs w:val="28"/>
          <w:highlight w:val="none"/>
        </w:rPr>
        <w:t xml:space="preserve">文本</w:t>
      </w:r>
      <w:r/>
    </w:p>
    <w:p>
      <w:pPr>
        <w:ind w:firstLine="480"/>
        <w:spacing w:line="500" w:lineRule="exact"/>
        <w:rPr>
          <w:rFonts w:hint="eastAsia" w:ascii="宋体" w:hAnsi="宋体" w:cs="宋体"/>
          <w:bCs/>
          <w:color w:val="auto"/>
          <w:sz w:val="24"/>
          <w:szCs w:val="21"/>
          <w:highlight w:val="none"/>
        </w:rPr>
      </w:pPr>
      <w:r/>
      <w:bookmarkStart w:id="170" w:name="_Toc513029243"/>
      <w:r/>
      <w:bookmarkStart w:id="171" w:name="_Toc20823315"/>
      <w:r/>
      <w:bookmarkStart w:id="172" w:name="_Toc16938559"/>
      <w:r>
        <w:rPr>
          <w:rFonts w:hint="eastAsia" w:ascii="宋体" w:hAnsi="宋体" w:cs="宋体"/>
          <w:bCs/>
          <w:color w:val="auto"/>
          <w:sz w:val="24"/>
          <w:szCs w:val="21"/>
          <w:highlight w:val="none"/>
        </w:rPr>
        <w:t xml:space="preserve">以下为成交后签定本项目合同的通用条款，成交供应商不得提出实质性的修改。</w:t>
      </w:r>
      <w:r/>
    </w:p>
    <w:p>
      <w:pPr>
        <w:jc w:val="center"/>
        <w:spacing w:before="156" w:after="156"/>
        <w:rPr>
          <w:rFonts w:hint="eastAsia" w:ascii="宋体" w:hAnsi="宋体" w:cs="宋体"/>
          <w:b/>
          <w:color w:val="auto"/>
          <w:sz w:val="30"/>
          <w:szCs w:val="21"/>
          <w:highlight w:val="none"/>
        </w:rPr>
        <w:outlineLvl w:val="0"/>
      </w:pPr>
      <w:r>
        <w:rPr>
          <w:rFonts w:hint="eastAsia" w:ascii="宋体" w:hAnsi="宋体" w:cs="宋体"/>
          <w:b/>
          <w:color w:val="auto"/>
          <w:sz w:val="30"/>
          <w:szCs w:val="21"/>
          <w:highlight w:val="none"/>
        </w:rPr>
      </w:r>
      <w:r/>
    </w:p>
    <w:p>
      <w:pPr>
        <w:jc w:val="center"/>
        <w:spacing w:before="156" w:after="156"/>
        <w:rPr>
          <w:rFonts w:hint="eastAsia" w:ascii="宋体" w:hAnsi="宋体" w:cs="宋体"/>
          <w:b/>
          <w:bCs/>
          <w:color w:val="auto"/>
          <w:sz w:val="30"/>
          <w:szCs w:val="20"/>
          <w:highlight w:val="none"/>
        </w:rPr>
        <w:outlineLvl w:val="0"/>
      </w:pPr>
      <w:r>
        <w:rPr>
          <w:rFonts w:hint="eastAsia" w:ascii="宋体" w:hAnsi="宋体" w:cs="宋体"/>
          <w:b/>
          <w:color w:val="auto"/>
          <w:sz w:val="30"/>
          <w:szCs w:val="21"/>
          <w:highlight w:val="none"/>
        </w:rPr>
        <w:t xml:space="preserve">江苏省政府采购合同（合同编号）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个园花局里夏季电竞嘉年华活动服务</w:t>
      </w:r>
      <w:r>
        <w:rPr>
          <w:rFonts w:hint="eastAsia" w:ascii="宋体" w:hAnsi="宋体" w:eastAsia="宋体" w:cs="宋体"/>
          <w:color w:val="auto"/>
          <w:sz w:val="21"/>
          <w:szCs w:val="21"/>
          <w:highlight w:val="none"/>
        </w:rPr>
        <w:t xml:space="preserve">采购项目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JSZC-321092-HCZX-C2026-0023</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u w:val="single"/>
          <w:lang w:eastAsia="zh-CN"/>
        </w:rPr>
        <w:t xml:space="preserve">扬州市个园管理处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left="0"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甲、乙双方根据江苏汇诚投资咨询管理有限公司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个园花局里夏季电竞嘉年华活动服务</w:t>
      </w:r>
      <w:r>
        <w:rPr>
          <w:rFonts w:hint="eastAsia" w:ascii="宋体" w:hAnsi="宋体" w:eastAsia="宋体" w:cs="宋体"/>
          <w:color w:val="auto"/>
          <w:sz w:val="21"/>
          <w:szCs w:val="21"/>
          <w:highlight w:val="none"/>
          <w:u w:val="single"/>
        </w:rPr>
        <w:t xml:space="preserve">采购 </w:t>
      </w:r>
      <w:r>
        <w:rPr>
          <w:rFonts w:hint="eastAsia" w:ascii="宋体" w:hAnsi="宋体" w:eastAsia="宋体" w:cs="宋体"/>
          <w:color w:val="auto"/>
          <w:sz w:val="21"/>
          <w:szCs w:val="21"/>
          <w:highlight w:val="none"/>
        </w:rPr>
        <w:t xml:space="preserve">项目竞争性磋商的结果，签署本合同。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 标的名称：</w:t>
      </w:r>
      <w:r>
        <w:rPr>
          <w:rFonts w:hint="eastAsia" w:ascii="宋体" w:hAnsi="宋体" w:eastAsia="宋体" w:cs="宋体"/>
          <w:color w:val="auto"/>
          <w:sz w:val="21"/>
          <w:szCs w:val="21"/>
          <w:highlight w:val="none"/>
          <w:lang w:eastAsia="zh-CN"/>
        </w:rPr>
        <w:t xml:space="preserve">个园花局里夏季电竞嘉年华活动服务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质保期：/年。（自交货验收合格之日起计）</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本合同金额为（大写）：___________________圆（_______________元）人民币</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三、技术资料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3.1乙方应按磋商文件规定的时间向甲方提供与合同标的有关的技术资料。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乙方保证所交付的合同标的的所有权完全属于乙方且无任何抵押、查封等产权瑕疵。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本合同项下所有款项均以人民币支付。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本合同项下的采购资金由甲方支付，付款前乙方向甲方开具发票。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甲方付款方式：合同签订后，乙方向甲方开具发票，甲方自收到发票之日起10个工作日内支付合同总价30%的预付款；8月底，乙方向甲方开具发票，甲方自收到发票之日起10个工作日内支付合同总价30%的中期款；项目内容实施完毕后，经采购人验收合格，乙方向甲方开具发票，甲方自收到发票之日起10个工作日内支付余款，不计利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如遇极端天气等不可抗力导致当天活动取消，工作人员未实际开展工作的，当日工资不予发放；若已在接到取消通知前到场并已开展部分工作，主办方按实际工作时长比例发放工资。具体金额按乙方“分项报价表”中所报金额明细，双方协商确定。</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九、税费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十、违约责任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10.1甲方无正当理由拒绝接受乙方提供的合同标的的，甲方向乙方偿付拒绝接受合同价款总值</w:t>
      </w:r>
      <w:r>
        <w:rPr>
          <w:rFonts w:hint="eastAsia" w:ascii="宋体" w:hAnsi="宋体" w:eastAsia="宋体" w:cs="宋体"/>
          <w:color w:val="auto"/>
          <w:sz w:val="21"/>
          <w:szCs w:val="21"/>
          <w:highlight w:val="none"/>
          <w:u w:val="single"/>
        </w:rPr>
        <w:t xml:space="preserve">百分之五</w:t>
      </w:r>
      <w:r>
        <w:rPr>
          <w:rFonts w:hint="eastAsia" w:ascii="宋体" w:hAnsi="宋体" w:eastAsia="宋体" w:cs="宋体"/>
          <w:color w:val="auto"/>
          <w:sz w:val="21"/>
          <w:szCs w:val="21"/>
          <w:highlight w:val="none"/>
        </w:rPr>
        <w:t xml:space="preserve">的违约金。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甲方无故逾期验收和办理合同款项支付手续的,甲方应按逾期付款总额</w:t>
      </w:r>
      <w:r>
        <w:rPr>
          <w:rFonts w:hint="eastAsia" w:ascii="宋体" w:hAnsi="宋体" w:eastAsia="宋体" w:cs="宋体"/>
          <w:color w:val="auto"/>
          <w:sz w:val="21"/>
          <w:szCs w:val="21"/>
          <w:highlight w:val="none"/>
          <w:u w:val="single"/>
        </w:rPr>
        <w:t xml:space="preserve">万分之五</w:t>
      </w:r>
      <w:r>
        <w:rPr>
          <w:rFonts w:hint="eastAsia" w:ascii="宋体" w:hAnsi="宋体" w:eastAsia="宋体" w:cs="宋体"/>
          <w:color w:val="auto"/>
          <w:sz w:val="21"/>
          <w:szCs w:val="21"/>
          <w:highlight w:val="none"/>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1"/>
          <w:szCs w:val="21"/>
          <w:highlight w:val="none"/>
          <w:u w:val="single"/>
        </w:rPr>
        <w:t xml:space="preserve">百分之五</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乙方交付合同标的的标准不符合合同规定及磋商文件规定标准的，甲方有权拒绝接受合同标的，并可单方面解除合同。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十一、不可抗力事件处理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在合同有效期内，任何一方因不可抗力事件导致不能履行合同，则合同履行期可延长，其延长期与不可抗力影响 期相同。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不可抗力事件延续120天以上，双方应通过友好协商，确定是否继续履行合同。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.4 如遇极端天气等不可抗力导致当天活动取消，工作人员未实际开展工作的，当日工资不予发放；若已在接到取消通知前到场并已开展部分工作，主办方按实际工作时长比例发放工资。因不可抗力导致活动取消及相应工资取消的，主办方不构成违约。</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十二、解决争议的方法</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十三、合同生效及其它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合同经双方法定代表人或授权委托代表人签字并加盖单位公章后生效。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13.2本合同未尽事宜，遵照《民法典》、《政府采购法》有关条文执行。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本合同正本一式五份，具有同等法律效力，甲方、乙方各执两份，见证方执一份。</w:t>
      </w:r>
      <w:r/>
    </w:p>
    <w:p>
      <w:pPr>
        <w:ind w:firstLine="480"/>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bl>
      <w:tblPr>
        <w:tblStyle w:val="785"/>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甲方：扬州市个园管理处</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日期：      年    月    日</w:t>
            </w:r>
            <w:r/>
          </w:p>
        </w:tc>
      </w:tr>
    </w:tbl>
    <w:p>
      <w:pPr>
        <w:pStyle w:val="99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99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见证方：江苏汇诚投资咨询管理有限公司</w:t>
      </w:r>
      <w:r/>
    </w:p>
    <w:p>
      <w:pPr>
        <w:pStyle w:val="996"/>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996"/>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p>
      <w:pPr>
        <w:ind w:firstLine="480"/>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bookmarkEnd w:id="170"/>
      <w:r/>
      <w:bookmarkEnd w:id="171"/>
      <w:r/>
      <w:bookmarkEnd w:id="172"/>
      <w:r/>
      <w:r/>
    </w:p>
    <w:p>
      <w:pPr>
        <w:jc w:val="center"/>
        <w:spacing w:before="120" w:after="120" w:line="0" w:lineRule="atLeast"/>
        <w:rPr>
          <w:rFonts w:hint="eastAsia" w:ascii="宋体" w:hAnsi="宋体" w:cs="宋体"/>
          <w:bCs/>
          <w:color w:val="auto"/>
          <w:sz w:val="44"/>
          <w:szCs w:val="21"/>
          <w:highlight w:val="none"/>
        </w:rPr>
      </w:pPr>
      <w:r/>
      <w:bookmarkStart w:id="173" w:name="_Hlt16619369"/>
      <w:r/>
      <w:bookmarkEnd w:id="173"/>
      <w:r/>
      <w:bookmarkStart w:id="174" w:name="_Hlt16619350"/>
      <w:r/>
      <w:bookmarkStart w:id="175" w:name="_Toc20823346"/>
      <w:r/>
      <w:bookmarkStart w:id="176" w:name="_Toc120614244"/>
      <w:r/>
      <w:bookmarkStart w:id="177" w:name="_Toc16938590"/>
      <w:r/>
      <w:bookmarkStart w:id="178" w:name="_Toc479757211"/>
      <w:r/>
      <w:bookmarkStart w:id="179" w:name="_Toc462564139"/>
      <w:r>
        <w:rPr>
          <w:rFonts w:hint="eastAsia" w:ascii="宋体" w:hAnsi="宋体" w:cs="宋体"/>
          <w:bCs/>
          <w:color w:val="auto"/>
          <w:sz w:val="44"/>
          <w:szCs w:val="21"/>
          <w:highlight w:val="none"/>
        </w:rPr>
        <w:br w:type="page" w:clear="all"/>
      </w:r>
      <w:r>
        <w:rPr>
          <w:rFonts w:hint="eastAsia" w:ascii="宋体" w:hAnsi="宋体" w:cs="宋体"/>
          <w:b/>
          <w:color w:val="auto"/>
          <w:sz w:val="44"/>
          <w:szCs w:val="21"/>
          <w:highlight w:val="none"/>
        </w:rPr>
        <w:t xml:space="preserve">第</w:t>
      </w:r>
      <w:bookmarkEnd w:id="174"/>
      <w:r>
        <w:rPr>
          <w:rFonts w:hint="eastAsia" w:ascii="宋体" w:hAnsi="宋体" w:cs="宋体"/>
          <w:b/>
          <w:color w:val="auto"/>
          <w:sz w:val="44"/>
          <w:szCs w:val="21"/>
          <w:highlight w:val="none"/>
        </w:rPr>
        <w:t xml:space="preserve">四章 采购需求</w:t>
      </w:r>
      <w:bookmarkEnd w:id="175"/>
      <w:r/>
      <w:bookmarkEnd w:id="176"/>
      <w:r/>
      <w:bookmarkEnd w:id="177"/>
      <w:r/>
      <w:bookmarkStart w:id="180" w:name="_Toc49090575"/>
      <w:r/>
      <w:bookmarkStart w:id="181" w:name="_Toc26554093"/>
      <w:r/>
      <w:r/>
    </w:p>
    <w:p>
      <w:pPr>
        <w:spacing w:line="360" w:lineRule="auto"/>
        <w:rPr>
          <w:rFonts w:ascii="Times New Roman" w:hAnsi="Times New Roman"/>
          <w:b/>
          <w:bCs/>
          <w:color w:val="auto"/>
          <w:szCs w:val="21"/>
          <w:highlight w:val="none"/>
        </w:rPr>
      </w:pPr>
      <w:r/>
      <w:bookmarkStart w:id="182" w:name="_Toc319408306"/>
      <w:r>
        <w:rPr>
          <w:rFonts w:hint="eastAsia" w:ascii="Times New Roman" w:hAnsi="Times New Roman"/>
          <w:b/>
          <w:bCs/>
          <w:color w:val="auto"/>
          <w:szCs w:val="21"/>
          <w:highlight w:val="none"/>
        </w:rPr>
        <w:t xml:space="preserve">注：本章内容里斜体且有下划线部分为实质性要求和条件，</w:t>
      </w:r>
      <w:r>
        <w:rPr>
          <w:rFonts w:hint="eastAsia"/>
          <w:b/>
          <w:bCs/>
          <w:color w:val="auto"/>
          <w:szCs w:val="21"/>
          <w:highlight w:val="none"/>
          <w:lang w:val="en-US" w:eastAsia="zh-CN"/>
        </w:rPr>
        <w:t xml:space="preserve">响应</w:t>
      </w:r>
      <w:r>
        <w:rPr>
          <w:rFonts w:hint="eastAsia" w:ascii="Times New Roman" w:hAnsi="Times New Roman"/>
          <w:b/>
          <w:bCs/>
          <w:color w:val="auto"/>
          <w:szCs w:val="21"/>
          <w:highlight w:val="none"/>
        </w:rPr>
        <w:t xml:space="preserve">文件不满足的，视为无效</w:t>
      </w:r>
      <w:r>
        <w:rPr>
          <w:rFonts w:hint="eastAsia"/>
          <w:b/>
          <w:bCs/>
          <w:color w:val="auto"/>
          <w:szCs w:val="21"/>
          <w:highlight w:val="none"/>
          <w:lang w:val="en-US" w:eastAsia="zh-CN"/>
        </w:rPr>
        <w:t xml:space="preserve">响应</w:t>
      </w:r>
      <w:r>
        <w:rPr>
          <w:rFonts w:hint="eastAsia" w:ascii="Times New Roman" w:hAnsi="Times New Roman"/>
          <w:b/>
          <w:bCs/>
          <w:color w:val="auto"/>
          <w:szCs w:val="21"/>
          <w:highlight w:val="none"/>
        </w:rPr>
        <w:t xml:space="preserve">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182"/>
      <w:r/>
      <w:r/>
    </w:p>
    <w:p>
      <w:pPr>
        <w:ind w:firstLine="422"/>
        <w:spacing w:line="360" w:lineRule="auto"/>
        <w:rPr>
          <w:rFonts w:ascii="Times New Roman" w:hAnsi="Times New Roman" w:cs="宋体"/>
          <w:b/>
          <w:color w:val="auto"/>
          <w:szCs w:val="21"/>
          <w:highlight w:val="none"/>
        </w:rPr>
        <w:pBdr>
          <w:top w:val="none" w:color="000000" w:sz="0" w:space="0"/>
          <w:left w:val="none" w:color="000000" w:sz="0" w:space="0"/>
          <w:bottom w:val="none" w:color="000000" w:sz="0" w:space="0"/>
          <w:right w:val="none" w:color="000000" w:sz="0" w:space="0"/>
        </w:pBdr>
      </w:pPr>
      <w:r/>
      <w:bookmarkStart w:id="183" w:name="_Toc27621"/>
      <w:r>
        <w:rPr>
          <w:rFonts w:hint="eastAsia" w:ascii="Times New Roman" w:hAnsi="Times New Roman" w:cs="宋体"/>
          <w:b/>
          <w:color w:val="auto"/>
          <w:szCs w:val="21"/>
          <w:highlight w:val="none"/>
        </w:rPr>
        <w:t xml:space="preserve">一、采购标的清单</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序号</w:t>
            </w:r>
            <w:r/>
          </w:p>
        </w:tc>
        <w:tc>
          <w:tcPr>
            <w:tcW w:w="3291"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采购</w:t>
            </w:r>
            <w:r>
              <w:rPr>
                <w:rFonts w:ascii="Times New Roman" w:hAnsi="Times New Roman" w:cs="宋体"/>
                <w:color w:val="auto"/>
                <w:szCs w:val="21"/>
                <w:highlight w:val="none"/>
              </w:rPr>
              <w:t xml:space="preserve">标的</w:t>
            </w:r>
            <w:r/>
          </w:p>
        </w:tc>
        <w:tc>
          <w:tcPr>
            <w:tcW w:w="2852"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对应中</w:t>
            </w:r>
            <w:r>
              <w:rPr>
                <w:rFonts w:ascii="Times New Roman" w:hAnsi="Times New Roman" w:cs="宋体"/>
                <w:color w:val="auto"/>
                <w:szCs w:val="21"/>
                <w:highlight w:val="none"/>
              </w:rPr>
              <w:t xml:space="preserve">小企业划分标准所属行业</w:t>
            </w:r>
            <w:r/>
          </w:p>
        </w:tc>
      </w:tr>
      <w:tr>
        <w:trPr>
          <w:cantSplit/>
          <w:jc w:val="center"/>
          <w:trHeight w:val="291"/>
        </w:trPr>
        <w:tc>
          <w:tcPr>
            <w:tcW w:w="928"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w:t>
            </w:r>
            <w:r/>
          </w:p>
        </w:tc>
        <w:tc>
          <w:tcPr>
            <w:tcW w:w="3291" w:type="dxa"/>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个园花局里夏季电竞嘉年华活动服务项目</w:t>
            </w:r>
            <w:r/>
          </w:p>
        </w:tc>
        <w:tc>
          <w:tcPr>
            <w:tcW w:w="2852"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租赁和商务服务业</w:t>
            </w:r>
            <w:r/>
          </w:p>
        </w:tc>
      </w:tr>
    </w:tbl>
    <w:p>
      <w:pPr>
        <w:ind w:firstLine="422"/>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二、项目概况</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个园花局里拟于2026年7月至9月夏季举办电竞嘉年华活动，届时将在花局里街区内举行“电竞苏超”扬州站及“个园杯”两项电竞赛事，并配套开展电竞游戏体验、表演秀、游戏角色互动以及奖励兑换（与花局里商铺联动，激活街区商户转化）等多元主题活动，并搭建契合电竞主题的美陈布置，同时制定覆盖全媒体的宣传推广策略。</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项目预算（最高限价）：人民币180万元。                  </w:t>
      </w:r>
      <w:r/>
    </w:p>
    <w:p>
      <w:pPr>
        <w:ind w:firstLine="420"/>
        <w:jc w:val="left"/>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服务期限：</w:t>
      </w:r>
      <w:bookmarkEnd w:id="183"/>
      <w:r>
        <w:rPr>
          <w:rFonts w:hint="eastAsia" w:ascii="宋体" w:hAnsi="宋体" w:eastAsia="宋体" w:cs="宋体"/>
          <w:color w:val="auto"/>
          <w:sz w:val="21"/>
          <w:szCs w:val="21"/>
          <w:highlight w:val="none"/>
        </w:rPr>
        <w:t xml:space="preserve">2026年7月—2026年9月，中标单位须在采购合同签订后按照计划安排，具体时间和采购人商定。</w:t>
      </w:r>
      <w:r/>
    </w:p>
    <w:p>
      <w:pPr>
        <w:ind w:firstLine="420"/>
        <w:jc w:val="left"/>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项目属性：服务类</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三、项目内容</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创意策划要求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供应商须提供完整的活动整体策划方案，包含主题创意、活动形式，竞赛项目、美陈布置等内容，确保方案符合电竞主题与能够在个园花局里街区落地。</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活动内容要求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所提供的活动方案中，须涵盖电竞比赛、电竞游戏体验、表演形式、游戏角色互动以及奖励兑换体系（奖励物品可与花局里商铺联动）等内容。其中，电竞比赛项目应包括与“电竞苏超”扬州站相关的电竞赛事，以及一场“个园杯”电竞比赛，且所涉及的电竞赛事相关手续必须完备齐全。</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活动执行要求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活动计划于2026年7月至9月期间举行。如遇极端天气、恶劣天气等不可抗力因素，具体活动安排将另行通知。成交供应商须在个园花局里街区合理布设活动点位，提供丰富多样的游戏互动环节，确保游客在不同区域均能获得良好的游览体验。</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极端天气等不可抗力导致当天活动取消，工作人员未实际开展工作的，当日工资不予发放；若已在接到取消通知前到场并已开展部分工作，主办方按实际工作时长比例发放工资。因不可抗力导致活动取消及相应工资取消的，主办方不构成违约。</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4.设备与美陈要求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期间所需使用的各类设备，包括街机等游戏互动设备、比赛专用设备，以及表演所需的音响、灯光等，均采用租赁方式提供。针对游戏互动点位的美陈布置，须结合现场实际需求进行搭建，在确保结构安全、摆放稳固、视觉效果美观的同时，整体设计需契合活动主题，并严格遵守场地的相关规范与安全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5.宣传与媒体推广</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需负责制定一套覆盖全媒体的宣传推广策略，并充分运用自身所拥有的各类媒体资源与传播渠道，对包括电竞比赛在内的所有相关活动，进行全面、多角度的宣传报道（需要有一次及以上，省级及以上官方媒体宣传报道）以及实时的现场直播，保证周周有热点。</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6.后勤与现场管理要求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负责项目整体策划、人员组织及演员管理，可为角色扮演者、演员提供收纳箱、化妆梳理用品等辅助物品；活动结束后须清理现场产生的垃圾，保持环境整洁。场地、桌椅、休息区域等设施由采购人或相关方提供，成交供应商配合使用。</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四、项目要求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负责活动的筹备组织、活动执行、宣传推广等相关工作：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在活动开始前将宣传设计方案、筹备方案等相关稿件交由甲方确认；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在活动开始前，完成与场地搭建、参赛队伍、表演嘉宾等相关方的联络协调，明确参赛队伍要求等筹备工作，并及时向甲方汇报工作进程；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在活动开始前，完成活动所需全部现场物料（如背景板、指引牌、互动道具等）的制作与活动场地的布置；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活动期间，负责活动现场物料制作和布置工作，以及筹备、彩排、相关人员邀请、现场执行等执行工作；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活动期间，负责完成颁奖相关奖金、物料制作及现场仪式进行等执行工作；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活动期间，完成此次活动媒体报道、媒体推广等宣传工作；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活动期间，做好活动现场的秩序维护、应急处理等保障工作。</w:t>
      </w:r>
      <w:r/>
    </w:p>
    <w:p>
      <w:pPr>
        <w:ind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五、其他</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报价应包括所有的费用：人员工资、法定的社会保险（养老、工伤、失业）、医疗保险、法定节假日加班费、高温补贴、工具耗材费、管理费、税费等，为完成招标文件规定的服务工作所涉及的一切相关费用。（提供承诺函原件加盖供应商公章扫描上传，格式自拟）</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2、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五、节能产品要求</w:t>
      </w:r>
      <w:r/>
    </w:p>
    <w:p>
      <w:pPr>
        <w:ind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iCs/>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（本项目涉及强制采购范围内产品有：无）</w:t>
      </w:r>
      <w:r/>
    </w:p>
    <w:p>
      <w:pPr>
        <w:ind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六、政府采购中实施本国产品标准及相关政策</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Cs w:val="21"/>
          <w:highlight w:val="none"/>
        </w:rPr>
      </w:r>
      <w:r/>
    </w:p>
    <w:p>
      <w:pPr>
        <w:jc w:val="center"/>
        <w:keepNext/>
        <w:rPr>
          <w:rFonts w:hint="eastAsia" w:ascii="宋体" w:hAnsi="宋体" w:cs="宋体"/>
          <w:bCs/>
          <w:color w:val="auto"/>
          <w:sz w:val="44"/>
          <w:szCs w:val="28"/>
          <w:highlight w:val="none"/>
        </w:rPr>
        <w:outlineLvl w:val="0"/>
      </w:pPr>
      <w:r/>
      <w:bookmarkStart w:id="184" w:name="_Toc120614281"/>
      <w:r>
        <w:rPr>
          <w:rFonts w:hint="eastAsia" w:ascii="宋体" w:hAnsi="宋体" w:cs="宋体"/>
          <w:b/>
          <w:color w:val="auto"/>
          <w:sz w:val="44"/>
          <w:szCs w:val="28"/>
          <w:highlight w:val="none"/>
        </w:rPr>
        <w:t xml:space="preserve">第五章  评审方法与评审标</w:t>
      </w:r>
      <w:r>
        <w:rPr>
          <w:rFonts w:hint="eastAsia" w:ascii="宋体" w:hAnsi="宋体" w:cs="宋体"/>
          <w:b/>
          <w:bCs/>
          <w:color w:val="auto"/>
          <w:sz w:val="44"/>
          <w:szCs w:val="28"/>
          <w:highlight w:val="none"/>
        </w:rPr>
        <w:t xml:space="preserve">准</w:t>
      </w:r>
      <w:r/>
    </w:p>
    <w:p>
      <w:pPr>
        <w:pStyle w:val="1044"/>
        <w:ind w:firstLine="422"/>
        <w:keepLines w:val="0"/>
        <w:keepNext w:val="0"/>
        <w:pageBreakBefore w:val="0"/>
        <w:spacing w:before="0" w:after="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44"/>
        <w:ind w:firstLine="422"/>
        <w:keepLines w:val="0"/>
        <w:keepNext w:val="0"/>
        <w:pageBreakBefore w:val="0"/>
        <w:spacing w:before="0" w:after="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本项目推荐成交候选人3家。</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二、政府采购政策功能落实</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本项目专门面向中小企业：</w:t>
      </w:r>
      <w:r>
        <w:rPr>
          <w:rFonts w:hint="eastAsia" w:ascii="宋体" w:hAnsi="宋体" w:eastAsia="宋体" w:cs="宋体"/>
          <w:b/>
          <w:sz w:val="21"/>
          <w:szCs w:val="21"/>
          <w:highlight w:val="none"/>
          <w:lang w:val="en-US" w:eastAsia="zh-CN"/>
        </w:rPr>
        <w:t xml:space="preserve">是</w:t>
      </w:r>
      <w:r/>
    </w:p>
    <w:tbl>
      <w:tblPr>
        <w:tblStyle w:val="78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89"/>
        <w:gridCol w:w="4708"/>
      </w:tblGrid>
      <w:tr>
        <w:trPr/>
        <w:tc>
          <w:tcPr>
            <w:tcW w:w="2989"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采购包号</w:t>
            </w:r>
            <w:r/>
          </w:p>
        </w:tc>
        <w:tc>
          <w:tcPr>
            <w:tcW w:w="4708"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专门面向中小企业</w:t>
            </w:r>
            <w:r/>
          </w:p>
        </w:tc>
      </w:tr>
      <w:tr>
        <w:trPr/>
        <w:tc>
          <w:tcPr>
            <w:tcW w:w="2989"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tc>
        <w:tc>
          <w:tcPr>
            <w:tcW w:w="4708"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是</w:t>
            </w:r>
            <w:r/>
          </w:p>
        </w:tc>
      </w:tr>
    </w:tbl>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中小企业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（1）供应商需按照磋商文件的要求提供相应的《中小企业声明函》。</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规定自行填写。</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残疾人福利单位</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（1）本项目对残疾人福利性单位视同小型、微型企业。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〔2017〕141号）。</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监狱和戒毒企业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（1）本项目对监狱和戒毒企业（简称监狱企业）视同小型、微型企业。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含新疆生产建设兵团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出具的属于监狱企业的证明文件。</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〔2014〕68号）。</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before="120"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三、评审方法与评审标准</w:t>
      </w:r>
      <w:r/>
    </w:p>
    <w:tbl>
      <w:tblPr>
        <w:tblStyle w:val="804"/>
        <w:tblW w:w="938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8201"/>
      </w:tblGrid>
      <w:tr>
        <w:trPr>
          <w:jc w:val="cente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评分标准</w:t>
            </w:r>
            <w:r/>
          </w:p>
        </w:tc>
      </w:tr>
      <w:tr>
        <w:trPr>
          <w:jc w:val="cente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报价</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以满足</w:t>
            </w:r>
            <w:r>
              <w:rPr>
                <w:rFonts w:hint="eastAsia" w:ascii="Times New Roman" w:hAnsi="Times New Roman" w:cs="宋体"/>
                <w:color w:val="auto"/>
                <w:szCs w:val="21"/>
                <w:highlight w:val="none"/>
              </w:rPr>
              <w:t xml:space="preserve">采购文件</w:t>
            </w:r>
            <w:r>
              <w:rPr>
                <w:rFonts w:ascii="Times New Roman" w:hAnsi="Times New Roman" w:cs="宋体"/>
                <w:color w:val="auto"/>
                <w:szCs w:val="21"/>
                <w:highlight w:val="none"/>
              </w:rPr>
              <w:t xml:space="preserve">要求</w:t>
            </w:r>
            <w:r>
              <w:rPr>
                <w:rFonts w:hint="eastAsia" w:cs="宋体"/>
                <w:color w:val="auto"/>
                <w:szCs w:val="21"/>
                <w:highlight w:val="none"/>
                <w:lang w:val="en-US" w:eastAsia="zh-CN"/>
              </w:rPr>
              <w:t xml:space="preserve">且最终</w:t>
            </w:r>
            <w:r>
              <w:rPr>
                <w:rFonts w:ascii="Times New Roman" w:hAnsi="Times New Roman" w:cs="宋体"/>
                <w:color w:val="auto"/>
                <w:szCs w:val="21"/>
                <w:highlight w:val="none"/>
              </w:rPr>
              <w:t xml:space="preserve">报价最低</w:t>
            </w:r>
            <w:r>
              <w:rPr>
                <w:rFonts w:hint="eastAsia" w:cs="宋体"/>
                <w:color w:val="auto"/>
                <w:szCs w:val="21"/>
                <w:highlight w:val="none"/>
                <w:lang w:val="en-US" w:eastAsia="zh-CN"/>
              </w:rPr>
              <w:t xml:space="preserve">的</w:t>
            </w:r>
            <w:r>
              <w:rPr>
                <w:rFonts w:ascii="Times New Roman" w:hAnsi="Times New Roman" w:cs="宋体"/>
                <w:color w:val="auto"/>
                <w:szCs w:val="21"/>
                <w:highlight w:val="none"/>
              </w:rPr>
              <w:t xml:space="preserve">为评标基准价，得满分1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分，其他报价得分=（评标基准价/其他报价）×1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×100%，保留两位有效小数。</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注：评标委员会认为</w:t>
            </w:r>
            <w:r>
              <w:rPr>
                <w:rFonts w:hint="eastAsia" w:ascii="Times New Roman" w:hAnsi="Times New Roman" w:cs="宋体"/>
                <w:color w:val="auto"/>
                <w:szCs w:val="21"/>
                <w:highlight w:val="none"/>
              </w:rPr>
              <w:t xml:space="preserve">供应商</w:t>
            </w:r>
            <w:r>
              <w:rPr>
                <w:rFonts w:ascii="Times New Roman" w:hAnsi="Times New Roman" w:cs="宋体"/>
                <w:color w:val="auto"/>
                <w:szCs w:val="21"/>
                <w:highlight w:val="none"/>
              </w:rPr>
              <w:t xml:space="preserve">的报价明显过低，有可能影响履约的，且</w:t>
            </w:r>
            <w:r>
              <w:rPr>
                <w:rFonts w:hint="eastAsia" w:ascii="Times New Roman" w:hAnsi="Times New Roman" w:cs="宋体"/>
                <w:color w:val="auto"/>
                <w:szCs w:val="21"/>
                <w:highlight w:val="none"/>
              </w:rPr>
              <w:t xml:space="preserve">供应商</w:t>
            </w:r>
            <w:r>
              <w:rPr>
                <w:rFonts w:ascii="Times New Roman" w:hAnsi="Times New Roman" w:cs="宋体"/>
                <w:color w:val="auto"/>
                <w:szCs w:val="21"/>
                <w:highlight w:val="none"/>
              </w:rPr>
              <w:t xml:space="preserve">不能在评标现场合理的时间内证明其报价合理性的或提供相关证明资料的，评标委员会有权将其作为无效</w:t>
            </w:r>
            <w:r>
              <w:rPr>
                <w:rFonts w:ascii="Times New Roman" w:hAnsi="Times New Roman" w:cs="宋体"/>
                <w:color w:val="auto"/>
                <w:szCs w:val="21"/>
                <w:highlight w:val="none"/>
              </w:rPr>
              <w:t xml:space="preserve">响应</w:t>
            </w:r>
            <w:r>
              <w:rPr>
                <w:rFonts w:ascii="Times New Roman" w:hAnsi="Times New Roman" w:cs="宋体"/>
                <w:color w:val="auto"/>
                <w:szCs w:val="21"/>
                <w:highlight w:val="none"/>
              </w:rPr>
              <w:t xml:space="preserve">处理。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服务方案</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55</w:t>
            </w:r>
            <w:r>
              <w:rPr>
                <w:rFonts w:ascii="Times New Roman" w:hAnsi="Times New Roman" w:cs="宋体"/>
                <w:color w:val="auto"/>
                <w:szCs w:val="21"/>
                <w:highlight w:val="none"/>
              </w:rPr>
              <w:t xml:space="preserve">分）</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szCs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1、项目方案整体的完整性与可行性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的得7分；详细程度、全面性、可操作性及内容完整性略有瑕疵但不影响项目实施的，得5分；详细程度、全面性、可操作性及内容完整性有欠缺、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2、</w:t>
            </w:r>
            <w:r>
              <w:rPr>
                <w:rFonts w:hint="eastAsia" w:ascii="Times New Roman" w:hAnsi="Times New Roman" w:cs="宋体"/>
                <w:color w:val="auto"/>
                <w:szCs w:val="21"/>
                <w:highlight w:val="none"/>
              </w:rPr>
              <w:t xml:space="preserve">活动点位配置与时间配置的可行性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3、奖励兑换机制的完整性与可行性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4、</w:t>
            </w:r>
            <w:r>
              <w:rPr>
                <w:rFonts w:hint="eastAsia" w:ascii="Times New Roman" w:hAnsi="Times New Roman" w:cs="宋体"/>
                <w:color w:val="auto"/>
                <w:szCs w:val="21"/>
                <w:highlight w:val="none"/>
              </w:rPr>
              <w:t xml:space="preserve">活动宣传配置的完整性与可行性</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结构清晰规范全面，</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；详细程度、全面性、可操作性及内容完整性基本满足要求，结构基本清晰、基本规范基本全面，</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的得4分；详细程度、全面性、准确性、可操作性内容完整性及结构规范性、清晰性略有瑕疵但不影响项目实施的，得3分；详细程度、全面性、准确性、可操作性、内容完整性及结构规范性、清晰性有欠缺、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的得2分；详细程度、全面性、准确性、可操作性、内容完整性及结构规范性、清晰性欠缺、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5、</w:t>
            </w:r>
            <w:r>
              <w:rPr>
                <w:rFonts w:hint="eastAsia" w:ascii="Times New Roman" w:hAnsi="Times New Roman" w:cs="宋体"/>
                <w:color w:val="auto"/>
                <w:szCs w:val="21"/>
                <w:highlight w:val="none"/>
              </w:rPr>
              <w:t xml:space="preserve">项目实施进度方案的合理性</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结构清晰规范全面，</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；详细程度、全面性、可操作性及内容完整性基本满足要求，结构基本清晰、基本规范基本全面，</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的得4分；详细程度、全面性、准确性、可操作性内容完整性及结构规范性、清晰性略有瑕疵但不影响项目实施的，得3分；详细程度、全面性、准确性、可操作性、内容完整性及结构规范性、清晰性有欠缺、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的得2分；详细程度、全面性、准确性、可操作性、内容完整性及结构规范性、清晰性欠缺、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6</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主题美陈搭建（10分）：科学、全面、严密、合理，认知切合实际，描述详细完整且具有针对性，完全满足要求的得10分；详细程度、全面性、可操作性及内容完整性基本满足要求，认知基本切合实际，不存在实施难度的得7分；详细程度、全面性、准确性、可操作性及内容完整性略有瑕疵但不影响项目实施的，得5分；详细程度、全面性、准确性、可操作性及内容完整性有欠缺、存在一定的实施难度的得3分；详细程度、全面性、准确性、可操作性及内容完整性欠缺、具有明显不合理项、存在实施难度的得1分；不提供不得分。</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7</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项目重点、难点、解决措施与应急预案（5分）：</w:t>
            </w:r>
            <w:r>
              <w:rPr>
                <w:rFonts w:ascii="Times New Roman" w:hAnsi="Times New Roman" w:cs="宋体"/>
                <w:color w:val="auto"/>
                <w:szCs w:val="21"/>
                <w:highlight w:val="none"/>
              </w:rPr>
              <w:t xml:space="preserve">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的得4分；详细程度、全面性、准确性、可操作性及内容完整性略有瑕疵但不影响项目实施的，得3分；详细程度、全面性、准确性、可操作性及内容完整性有欠缺、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tc>
      </w:tr>
      <w:tr>
        <w:trPr>
          <w:jc w:val="cente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综合实力</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30</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供应商具备省级及以上文旅宣传推广平台渠道资源，每提供1个有效合作案例得2分；市级文旅平台渠道资源，每提供1个有效合作案例得1分，本项得分累计最高10分。</w:t>
            </w:r>
            <w:r/>
          </w:p>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拥有具备稳定流量与成熟电竞直播运营能力的主流电竞直播平台IP资源（包括但不限于虎牙、斗鱼等电竞直播平台），能为本项目提供专业直播或IP联动支持，每提供1个有效官方授权证明得5分，累计最高得10分；</w:t>
            </w:r>
            <w:r/>
          </w:p>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供应商具备文旅文创产品相关使用权限（市级及省级及以上文创产品使用权不重复计分，按就高原则计取），按以下标准计分，本项累计最高得10分。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拥有省级及以上文创产品使用权得7分；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拥有市级文创产品使用权得4分；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具备文创售卖相关权限得3分；</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注：以上3项均需提供有效的证明材料扫描件加盖</w:t>
            </w:r>
            <w:r>
              <w:rPr>
                <w:rFonts w:hint="eastAsia" w:cs="宋体"/>
                <w:color w:val="auto"/>
                <w:szCs w:val="21"/>
                <w:highlight w:val="none"/>
                <w:lang w:val="en-US" w:eastAsia="zh-CN"/>
              </w:rPr>
              <w:t xml:space="preserve">供应商</w:t>
            </w:r>
            <w:r>
              <w:rPr>
                <w:rFonts w:hint="eastAsia" w:ascii="Times New Roman" w:hAnsi="Times New Roman" w:cs="宋体"/>
                <w:color w:val="auto"/>
                <w:szCs w:val="21"/>
                <w:highlight w:val="none"/>
              </w:rPr>
              <w:t xml:space="preserve">公章上传，用以佐证合作关系。</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电竞赛事整体保障</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评委根据投标单位的保障措施综合评价：</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科学、全面、严密、合理，认知切合实际，描述详细完整且具有针对性，完全满足要求的得5分；详细程度、全面性、可操作性及内容完整性基本满足要求，认知基本切合实际，不存在实施难度的得4分；详细程度、全面性、准确性、可操作性及内容完整性略有瑕疵但不影响项目实施的，得3分；详细程度、全面性、准确性、可操作性及内容完整性有欠缺、存在一定的实施难度的得2分；详细程度、全面性、准确性、可操作性及内容完整性欠缺、具有明显不合理项、存在实施难度的得1分；不提供不得分。</w:t>
            </w:r>
            <w:r/>
          </w:p>
        </w:tc>
      </w:tr>
    </w:tbl>
    <w:p>
      <w:pPr>
        <w:pStyle w:val="969"/>
        <w:rPr>
          <w:rFonts w:hint="eastAsia"/>
          <w:color w:val="auto"/>
          <w:highlight w:val="none"/>
        </w:rPr>
      </w:pPr>
      <w:r>
        <w:rPr>
          <w:rFonts w:hint="eastAsia"/>
          <w:color w:val="auto"/>
          <w:highlight w:val="none"/>
        </w:rPr>
      </w:r>
      <w:r/>
    </w:p>
    <w:p>
      <w:pPr>
        <w:rPr>
          <w:rFonts w:ascii="宋体" w:hAnsi="宋体" w:cs="宋体"/>
          <w:color w:val="auto"/>
          <w:szCs w:val="21"/>
          <w:highlight w:val="none"/>
        </w:rPr>
        <w:sectPr>
          <w:headerReference w:type="default" r:id="rId11"/>
          <w:headerReference w:type="first" r:id="rId12"/>
          <w:footerReference w:type="even" r:id="rId15"/>
          <w:footerReference w:type="first" r:id="rId16"/>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color w:val="auto"/>
          <w:szCs w:val="21"/>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t xml:space="preserve">第六章  </w:t>
      </w:r>
      <w:bookmarkEnd w:id="180"/>
      <w:r/>
      <w:bookmarkEnd w:id="181"/>
      <w:r/>
      <w:bookmarkEnd w:id="184"/>
      <w:r>
        <w:rPr>
          <w:rFonts w:hint="eastAsia" w:ascii="宋体" w:hAnsi="宋体" w:cs="宋体"/>
          <w:bCs/>
          <w:color w:val="auto"/>
          <w:sz w:val="44"/>
          <w:szCs w:val="28"/>
          <w:highlight w:val="none"/>
        </w:rPr>
        <w:t xml:space="preserve">响应文件格式 </w:t>
      </w:r>
      <w:r/>
    </w:p>
    <w:p>
      <w:pPr>
        <w:jc w:val="center"/>
        <w:rPr>
          <w:rFonts w:hint="eastAsia" w:ascii="宋体" w:hAnsi="宋体" w:cs="宋体"/>
          <w:b/>
          <w:color w:val="auto"/>
          <w:sz w:val="72"/>
          <w:szCs w:val="21"/>
          <w:highlight w:val="none"/>
        </w:rPr>
      </w:pPr>
      <w:r/>
      <w:bookmarkStart w:id="185" w:name="_Hlt26671244"/>
      <w:r/>
      <w:bookmarkEnd w:id="185"/>
      <w:r/>
      <w:bookmarkStart w:id="186" w:name="_Hlt26955039"/>
      <w:r/>
      <w:bookmarkEnd w:id="186"/>
      <w:r/>
      <w:bookmarkStart w:id="187" w:name="_Toc120614282"/>
      <w:r/>
      <w:bookmarkStart w:id="188" w:name="_Toc26554094"/>
      <w:r/>
      <w:bookmarkStart w:id="189" w:name="_Toc49090576"/>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响  应  文  件</w:t>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p>
    <w:p>
      <w:pPr>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p>
    <w:p>
      <w:pPr>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      供应商名称 ：</w:t>
      </w:r>
      <w:r>
        <w:rPr>
          <w:rFonts w:hint="eastAsia" w:ascii="宋体" w:hAnsi="宋体" w:cs="宋体"/>
          <w:b/>
          <w:color w:val="auto"/>
          <w:sz w:val="36"/>
          <w:szCs w:val="21"/>
          <w:highlight w:val="none"/>
          <w:u w:val="single"/>
        </w:rPr>
        <w:t xml:space="preserve">（加盖CA电子公章）</w:t>
      </w:r>
      <w:r/>
    </w:p>
    <w:p>
      <w:pPr>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      日      期 ：</w:t>
      </w:r>
      <w:r>
        <w:rPr>
          <w:rFonts w:hint="eastAsia" w:ascii="宋体" w:hAnsi="宋体" w:cs="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响应文件目录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一、法人或者其他组织的营业执照等证明文件，自然人的身份证明</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二、上一年度的财务状况报告（磋商供应商成立不满一年无需提供）</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四、具备履行合同所必需的设备和专业技术能力的书面声明</w:t>
      </w:r>
      <w:r/>
    </w:p>
    <w:p>
      <w:pPr>
        <w:ind w:firstLine="480"/>
        <w:spacing w:line="360" w:lineRule="auto"/>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五、参加政府采购活动前 3 年内在经营活动中没有重大违法记录的书面声明</w:t>
      </w:r>
      <w:r/>
    </w:p>
    <w:p>
      <w:pPr>
        <w:ind w:firstLine="480"/>
        <w:spacing w:line="360" w:lineRule="auto"/>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六、供应商信用承诺函</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七、特定资格要求的证明文件（如果本项目设置特定资格要求，则需要提供）</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八、法人授权书</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九、磋商响应函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十、小微企业声明函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十一、残疾人福利性单位声明函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十二、联合体协议</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十三、分项报价表</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十四、技术要求响应及偏离表</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十五、商务要求响应及偏离表</w:t>
      </w:r>
      <w:r/>
    </w:p>
    <w:p>
      <w:pPr>
        <w:ind w:firstLine="480"/>
        <w:spacing w:line="440" w:lineRule="exact"/>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二、上一年度的财务状况报告</w:t>
      </w:r>
      <w:r/>
    </w:p>
    <w:p>
      <w:pPr>
        <w:ind w:firstLine="480"/>
        <w:spacing w:line="44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供应商成立不满一年无需提供</w:t>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三、依法缴纳税收和社会保障资金的相关材料</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主要设备有：</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主要专业技术能力有：</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w:t>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969"/>
        <w:rPr>
          <w:rFonts w:hint="eastAsia"/>
          <w:color w:val="auto"/>
          <w:highlight w:val="none"/>
        </w:rPr>
      </w:pPr>
      <w:r>
        <w:rPr>
          <w:rFonts w:hint="eastAsia"/>
          <w:color w:val="auto"/>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声  明</w:t>
      </w:r>
      <w:r/>
    </w:p>
    <w:p>
      <w:pPr>
        <w:spacing w:line="460" w:lineRule="exact"/>
        <w:rPr>
          <w:rFonts w:hint="eastAsia" w:ascii="宋体" w:hAnsi="宋体" w:cs="宋体"/>
          <w:bCs/>
          <w:color w:val="auto"/>
          <w:sz w:val="24"/>
          <w:szCs w:val="21"/>
          <w:highlight w:val="none"/>
        </w:rPr>
      </w:pPr>
      <w:r>
        <w:rPr>
          <w:rFonts w:hint="eastAsia" w:ascii="宋体" w:hAnsi="宋体" w:cs="宋体"/>
          <w:b/>
          <w:bCs/>
          <w:color w:val="auto"/>
          <w:sz w:val="24"/>
          <w:szCs w:val="21"/>
          <w:highlight w:val="none"/>
        </w:rPr>
        <w:t xml:space="preserve">    </w:t>
      </w:r>
      <w:r>
        <w:rPr>
          <w:rFonts w:hint="eastAsia" w:ascii="宋体" w:hAnsi="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right"/>
        <w:spacing w:line="360" w:lineRule="auto"/>
        <w:rPr>
          <w:rFonts w:hint="eastAsia" w:ascii="宋体" w:hAnsi="宋体" w:cs="宋体"/>
          <w:bCs/>
          <w:color w:val="auto"/>
          <w:highlight w:val="none"/>
        </w:rPr>
      </w:pPr>
      <w:r>
        <w:rPr>
          <w:rFonts w:hint="eastAsia" w:ascii="宋体" w:hAnsi="宋体" w:cs="宋体"/>
          <w:bCs/>
          <w:color w:val="auto"/>
          <w:sz w:val="24"/>
          <w:szCs w:val="21"/>
          <w:highlight w:val="none"/>
        </w:rPr>
        <w:t xml:space="preserve">供应商名称（加盖CA电子公章）</w:t>
      </w:r>
      <w:r>
        <w:rPr>
          <w:rFonts w:hint="eastAsia" w:ascii="宋体" w:hAnsi="宋体" w:cs="宋体"/>
          <w:bCs/>
          <w:color w:val="auto"/>
          <w:highlight w:val="none"/>
        </w:rPr>
        <w:t xml:space="preserve">：</w:t>
      </w:r>
      <w:r/>
    </w:p>
    <w:p>
      <w:pPr>
        <w:jc w:val="right"/>
        <w:spacing w:line="360" w:lineRule="auto"/>
        <w:rPr>
          <w:rFonts w:hint="eastAsia"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bCs/>
          <w:color w:val="auto"/>
          <w:sz w:val="24"/>
          <w:szCs w:val="21"/>
          <w:highlight w:val="none"/>
        </w:rPr>
        <w:t xml:space="preserve">法定代表人签章</w:t>
      </w:r>
      <w:r>
        <w:rPr>
          <w:rFonts w:hint="eastAsia" w:ascii="宋体" w:hAnsi="宋体" w:cs="宋体"/>
          <w:bCs/>
          <w:color w:val="auto"/>
          <w:highlight w:val="none"/>
        </w:rPr>
        <w:t xml:space="preserve">：</w:t>
      </w:r>
      <w:r>
        <w:rPr>
          <w:rFonts w:hint="eastAsia" w:ascii="宋体" w:hAnsi="宋体" w:cs="宋体"/>
          <w:bCs/>
          <w:color w:val="auto"/>
          <w:highlight w:val="none"/>
          <w:u w:val="single"/>
        </w:rPr>
        <w:t xml:space="preserve">_______________________</w:t>
      </w:r>
      <w:r/>
    </w:p>
    <w:p>
      <w:pPr>
        <w:jc w:val="right"/>
        <w:spacing w:line="360" w:lineRule="auto"/>
        <w:rPr>
          <w:rFonts w:hint="eastAsia"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bCs/>
          <w:color w:val="auto"/>
          <w:sz w:val="24"/>
          <w:szCs w:val="21"/>
          <w:highlight w:val="none"/>
        </w:rPr>
        <w:t xml:space="preserve">日期</w:t>
      </w:r>
      <w:r>
        <w:rPr>
          <w:rFonts w:hint="eastAsia" w:ascii="宋体" w:hAnsi="宋体" w:cs="宋体"/>
          <w:bCs/>
          <w:color w:val="auto"/>
          <w:highlight w:val="none"/>
        </w:rPr>
        <w:t xml:space="preserve">：</w:t>
      </w:r>
      <w:r>
        <w:rPr>
          <w:rFonts w:hint="eastAsia" w:ascii="宋体" w:hAnsi="宋体" w:cs="宋体"/>
          <w:bCs/>
          <w:color w:val="auto"/>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sz w:val="24"/>
          <w:szCs w:val="21"/>
          <w:highlight w:val="none"/>
        </w:rPr>
        <w:t xml:space="preserve"> 月</w:t>
      </w:r>
      <w:r>
        <w:rPr>
          <w:rFonts w:hint="eastAsia" w:ascii="宋体" w:hAnsi="宋体" w:cs="宋体"/>
          <w:bCs/>
          <w:color w:val="auto"/>
          <w:highlight w:val="none"/>
          <w:u w:val="single"/>
        </w:rPr>
        <w:t xml:space="preserve">    </w:t>
      </w:r>
      <w:r>
        <w:rPr>
          <w:rFonts w:hint="eastAsia" w:ascii="宋体" w:hAnsi="宋体" w:cs="宋体"/>
          <w:bCs/>
          <w:color w:val="auto"/>
          <w:sz w:val="24"/>
          <w:szCs w:val="21"/>
          <w:highlight w:val="none"/>
        </w:rPr>
        <w:t xml:space="preserve">日</w:t>
      </w:r>
      <w:r/>
    </w:p>
    <w:p>
      <w:pPr>
        <w:jc w:val="both"/>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32"/>
          <w:szCs w:val="32"/>
          <w:highlight w:val="none"/>
          <w:u w:val="single"/>
        </w:rPr>
        <w:t xml:space="preserve">六、供应商信用承诺函</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承诺主体名称：</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统一社会信用代码：</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一、对提供给注册登记部门、行业管理部门、司法部门、行业组织以及在政府采购活动中提交的所有资料的合法性、真实性、准确性和有效性负责；</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三、严格依法开展生产经营活动，主动接受行业监管，自愿接受依法开展的日常检查；违法失信经营后将自愿接受约束和惩戒，并依法承担相应责任；</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四、自觉接受行政管理部门、行业组织、社会公众、新闻舆论的监督；</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五、自觉做到自我约束、自我管理，不制假售假、商标侵权、虚假宣传、违约毁约、恶意逃债、偷税漏税、垄断和不正当竞争，维护经营者、消费者的合法权益；</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六、提出政府采购质疑和投诉坚持依法依规、诚实信用原则，在全国范围12个月内没有三次以上查无实据的政府采购投诉；</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七、严格遵守信用信息公示相关规定，向社会公示信用信息；</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八、在“信用中国”和“中国政府采购网”网站中无违法违规、较重或严重失信记录；</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十、本承诺书自签订之日起生效。</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（注：法定代表人或负责人、主体名称发生变更的应当重新做出承诺。）</w:t>
      </w:r>
      <w:r/>
    </w:p>
    <w:p>
      <w:pPr>
        <w:ind w:firstLine="420"/>
        <w:jc w:val="right"/>
        <w:spacing w:line="460" w:lineRule="exact"/>
        <w:rPr>
          <w:rFonts w:hint="eastAsia" w:ascii="宋体" w:hAnsi="宋体" w:cs="宋体"/>
          <w:color w:val="auto"/>
          <w:sz w:val="24"/>
          <w:szCs w:val="21"/>
          <w:highlight w:val="none"/>
        </w:rPr>
      </w:pPr>
      <w:r>
        <w:rPr>
          <w:rFonts w:hint="eastAsia" w:ascii="宋体" w:hAnsi="宋体" w:cs="宋体"/>
          <w:color w:val="auto"/>
          <w:szCs w:val="21"/>
          <w:highlight w:val="none"/>
        </w:rPr>
        <w:t xml:space="preserve">　　　　　　　　　　        </w:t>
      </w:r>
      <w:r>
        <w:rPr>
          <w:rFonts w:hint="eastAsia" w:ascii="宋体" w:hAnsi="宋体" w:cs="宋体"/>
          <w:color w:val="auto"/>
          <w:sz w:val="24"/>
          <w:szCs w:val="21"/>
          <w:highlight w:val="none"/>
        </w:rPr>
        <w:t xml:space="preserve">承诺单位（签章）：           </w:t>
      </w:r>
      <w:r/>
    </w:p>
    <w:p>
      <w:pPr>
        <w:ind w:firstLine="480"/>
        <w:jc w:val="right"/>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法定代表人（负责人）：</w:t>
      </w:r>
      <w:r/>
    </w:p>
    <w:p>
      <w:pPr>
        <w:ind w:firstLine="480"/>
        <w:jc w:val="right"/>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年    月    日</w:t>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七、特定资格要求的证明文件</w:t>
      </w:r>
      <w:r/>
    </w:p>
    <w:p>
      <w:pPr>
        <w:spacing w:line="4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   如果本项目申请人的特定资格要求中要求提供的，必须提供。</w:t>
      </w:r>
      <w:bookmarkEnd w:id="187"/>
      <w:r/>
      <w:bookmarkEnd w:id="188"/>
      <w:r/>
      <w:bookmarkEnd w:id="189"/>
      <w:r/>
      <w:r/>
    </w:p>
    <w:p>
      <w:pPr>
        <w:spacing w:line="460" w:lineRule="exact"/>
        <w:rPr>
          <w:rFonts w:hint="eastAsia" w:ascii="宋体" w:hAnsi="宋体" w:cs="宋体"/>
          <w:bCs/>
          <w:color w:val="auto"/>
          <w:sz w:val="24"/>
          <w:szCs w:val="21"/>
          <w:highlight w:val="none"/>
        </w:rPr>
      </w:pPr>
      <w:r/>
      <w:bookmarkStart w:id="190" w:name="_Toc120614284"/>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八、法人授权书</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lang w:eastAsia="zh-CN"/>
        </w:rPr>
        <w:t xml:space="preserve">JSZC-321092-HCZX-C2026-0023</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日期：</w:t>
      </w:r>
      <w:bookmarkStart w:id="191" w:name="_格式3__银行出具的资信证明"/>
      <w:r/>
      <w:bookmarkEnd w:id="191"/>
      <w:r/>
      <w:bookmarkStart w:id="192" w:name="_Hlt26671380"/>
      <w:r/>
      <w:bookmarkEnd w:id="192"/>
      <w:r/>
      <w:bookmarkStart w:id="193" w:name="_Hlt26955070"/>
      <w:r/>
      <w:bookmarkEnd w:id="193"/>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3390"/>
        <w:keepLines/>
        <w:keepNext/>
        <w:spacing w:before="260" w:after="260" w:line="416" w:lineRule="auto"/>
        <w:rPr>
          <w:rFonts w:hint="eastAsia" w:ascii="宋体" w:hAnsi="宋体" w:cs="宋体"/>
          <w:b/>
          <w:i/>
          <w:color w:val="auto"/>
          <w:sz w:val="32"/>
          <w:szCs w:val="32"/>
          <w:highlight w:val="none"/>
          <w:u w:val="single"/>
        </w:rPr>
        <w:outlineLvl w:val="1"/>
      </w:pPr>
      <w:r>
        <w:rPr>
          <w:rFonts w:hint="eastAsia" w:ascii="宋体" w:hAnsi="宋体" w:cs="宋体"/>
          <w:b/>
          <w:color w:val="auto"/>
          <w:sz w:val="24"/>
          <w:szCs w:val="44"/>
          <w:highlight w:val="none"/>
        </w:rPr>
        <w:br w:type="page" w:clear="all"/>
      </w:r>
      <w:r>
        <w:rPr>
          <w:rFonts w:hint="eastAsia" w:ascii="宋体" w:hAnsi="宋体" w:cs="宋体"/>
          <w:b/>
          <w:i/>
          <w:color w:val="auto"/>
          <w:sz w:val="32"/>
          <w:szCs w:val="32"/>
          <w:highlight w:val="none"/>
          <w:u w:val="single"/>
        </w:rPr>
        <w:t xml:space="preserve">九、磋商响应函</w:t>
      </w:r>
      <w:r/>
    </w:p>
    <w:p>
      <w:pPr>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致：江苏汇诚投资咨询管理有限公司</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w:t>
      </w:r>
      <w:r>
        <w:rPr>
          <w:rFonts w:hint="eastAsia" w:ascii="宋体" w:hAnsi="宋体" w:cs="宋体"/>
          <w:color w:val="auto"/>
          <w:sz w:val="24"/>
          <w:szCs w:val="21"/>
          <w:highlight w:val="none"/>
          <w:lang w:eastAsia="zh-CN"/>
        </w:rPr>
        <w:t xml:space="preserve">JSZC-321092-HCZX-C2026-0023</w:t>
      </w:r>
      <w:r>
        <w:rPr>
          <w:rFonts w:hint="eastAsia" w:ascii="宋体" w:hAnsi="宋体" w:cs="宋体"/>
          <w:color w:val="auto"/>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供应商开户行：</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 </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期：________年____月____日</w:t>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both"/>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十、小微企业声明函（服务）（分包号：**）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本公司（联合体）郑重声明，根据《政府采购促进中小企业发展管理办法》(财库[2020]46号)的规定，本公司（联合体）参加江苏汇诚投资咨询管理有限公司组织的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lang w:eastAsia="zh-CN"/>
        </w:rPr>
        <w:t xml:space="preserve">JSZC-321092-HCZX-C2026-0023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个园花局里夏季电竞嘉年华活动服务</w:t>
      </w:r>
      <w:r>
        <w:rPr>
          <w:rFonts w:hint="eastAsia" w:ascii="宋体" w:hAnsi="宋体" w:cs="宋体"/>
          <w:color w:val="auto"/>
          <w:sz w:val="24"/>
          <w:szCs w:val="24"/>
          <w:highlight w:val="none"/>
          <w:u w:val="single"/>
        </w:rPr>
        <w:t xml:space="preserve">采购项目）（分包号：**）</w:t>
      </w:r>
      <w:r>
        <w:rPr>
          <w:rFonts w:hint="eastAsia" w:ascii="宋体" w:hAnsi="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（小型企业、微型企业）；</w:t>
      </w:r>
      <w:r/>
    </w:p>
    <w:p>
      <w:pPr>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（小型企业、微型企业）；</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Style w:val="805"/>
          <w:rFonts w:ascii="Times New Roman" w:hAnsi="Times New Roman" w:cs="仿宋"/>
          <w:color w:val="auto"/>
          <w:szCs w:val="21"/>
          <w:highlight w:val="none"/>
        </w:rPr>
      </w:pPr>
      <w:r>
        <w:rPr>
          <w:rStyle w:val="805"/>
          <w:rFonts w:hint="eastAsia" w:ascii="Times New Roman" w:hAnsi="Times New Roman" w:cs="仿宋"/>
          <w:color w:val="auto"/>
          <w:szCs w:val="21"/>
          <w:highlight w:val="none"/>
        </w:rPr>
        <w:t xml:space="preserve">中小微企业划型标准</w:t>
      </w:r>
      <w:r/>
    </w:p>
    <w:p>
      <w:pPr>
        <w:pStyle w:val="802"/>
        <w:ind w:firstLine="420"/>
        <w:spacing w:line="360" w:lineRule="auto"/>
        <w:widowControl/>
        <w:rPr>
          <w:color w:val="auto"/>
          <w:sz w:val="21"/>
          <w:szCs w:val="21"/>
          <w:highlight w:val="none"/>
        </w:rPr>
      </w:pPr>
      <w:r>
        <w:rPr>
          <w:rStyle w:val="805"/>
          <w:rFonts w:hint="eastAsia" w:cs="仿宋"/>
          <w:color w:val="auto"/>
          <w:sz w:val="21"/>
          <w:szCs w:val="21"/>
          <w:highlight w:val="none"/>
        </w:rPr>
        <w:t xml:space="preserve">中小微企业划型标准如下：</w:t>
      </w:r>
      <w:r/>
    </w:p>
    <w:tbl>
      <w:tblPr>
        <w:tblStyle w:val="785"/>
        <w:tblW w:w="9133"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717"/>
        <w:gridCol w:w="1840"/>
        <w:gridCol w:w="121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2"/>
              <w:spacing w:line="360" w:lineRule="auto"/>
              <w:widowControl/>
              <w:rPr>
                <w:color w:val="auto"/>
                <w:sz w:val="21"/>
                <w:szCs w:val="21"/>
                <w:highlight w:val="none"/>
              </w:rPr>
            </w:pPr>
            <w:r>
              <w:rPr>
                <w:rStyle w:val="805"/>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ind w:firstLine="420"/>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bl>
    <w:p>
      <w:pPr>
        <w:pStyle w:val="802"/>
        <w:ind w:firstLine="810"/>
        <w:spacing w:line="360" w:lineRule="auto"/>
        <w:widowControl/>
        <w:rPr>
          <w:rStyle w:val="805"/>
          <w:rFonts w:cs="仿宋"/>
          <w:color w:val="auto"/>
          <w:sz w:val="21"/>
          <w:szCs w:val="21"/>
          <w:highlight w:val="none"/>
        </w:rPr>
      </w:pPr>
      <w:r>
        <w:rPr>
          <w:rStyle w:val="805"/>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十一、残疾人福利性单位声明函（分包号：**）</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十二、联合体协议（参考格式）（分包号：**）</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（联合体中各供应商全称）在此达成以下协议：</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1、我们</w:t>
      </w:r>
      <w:r>
        <w:rPr>
          <w:rFonts w:hint="eastAsia" w:ascii="宋体" w:hAnsi="宋体" w:cs="宋体"/>
          <w:color w:val="auto"/>
          <w:sz w:val="24"/>
          <w:szCs w:val="21"/>
          <w:highlight w:val="none"/>
          <w:u w:val="single"/>
        </w:rPr>
        <w:t xml:space="preserve"> （供应商1），（供应商2） ，……</w:t>
      </w:r>
      <w:r>
        <w:rPr>
          <w:rFonts w:hint="eastAsia" w:ascii="宋体" w:hAnsi="宋体" w:cs="宋体"/>
          <w:color w:val="auto"/>
          <w:sz w:val="24"/>
          <w:szCs w:val="21"/>
          <w:highlight w:val="none"/>
        </w:rPr>
        <w:t xml:space="preserve">自愿组成联合体，参加江苏汇诚投资咨询管理有限公司组织的采购编号为</w:t>
      </w:r>
      <w:r>
        <w:rPr>
          <w:rFonts w:hint="eastAsia" w:ascii="宋体" w:hAnsi="宋体" w:cs="宋体"/>
          <w:color w:val="auto"/>
          <w:sz w:val="24"/>
          <w:szCs w:val="21"/>
          <w:highlight w:val="none"/>
          <w:u w:val="single"/>
        </w:rPr>
        <w:t xml:space="preserve">（编号全称），（项目全称）</w:t>
      </w:r>
      <w:r>
        <w:rPr>
          <w:rFonts w:hint="eastAsia" w:ascii="宋体" w:hAnsi="宋体" w:cs="宋体"/>
          <w:color w:val="auto"/>
          <w:sz w:val="24"/>
          <w:szCs w:val="21"/>
          <w:highlight w:val="none"/>
        </w:rPr>
        <w:t xml:space="preserve">项目（分包号：**）的政府采购活动，我联合体指定</w:t>
      </w:r>
      <w:r>
        <w:rPr>
          <w:rFonts w:hint="eastAsia" w:ascii="宋体" w:hAnsi="宋体" w:cs="宋体"/>
          <w:color w:val="auto"/>
          <w:sz w:val="24"/>
          <w:szCs w:val="21"/>
          <w:highlight w:val="none"/>
          <w:u w:val="single"/>
        </w:rPr>
        <w:t xml:space="preserve">（供应商*）</w:t>
      </w:r>
      <w:r>
        <w:rPr>
          <w:rFonts w:hint="eastAsia" w:ascii="宋体" w:hAnsi="宋体" w:cs="宋体"/>
          <w:color w:val="auto"/>
          <w:sz w:val="24"/>
          <w:szCs w:val="21"/>
          <w:highlight w:val="none"/>
        </w:rPr>
        <w:t xml:space="preserve">为牵头单位（牵头单位必须为联合体成员）。</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3、其中</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（小型、微型企业/残疾人福利性单位/监狱企业全称）为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备注：本磋商文件中要求加盖CA</w:t>
      </w:r>
      <w:r>
        <w:rPr>
          <w:rFonts w:hint="eastAsia" w:ascii="宋体" w:hAnsi="宋体" w:cs="宋体"/>
          <w:color w:val="auto"/>
          <w:sz w:val="24"/>
          <w:szCs w:val="24"/>
          <w:highlight w:val="none"/>
        </w:rPr>
        <w:t xml:space="preserve">电子公章</w:t>
      </w:r>
      <w:r>
        <w:rPr>
          <w:rFonts w:hint="eastAsia" w:ascii="宋体" w:hAnsi="宋体" w:cs="宋体"/>
          <w:color w:val="auto"/>
          <w:sz w:val="24"/>
          <w:szCs w:val="21"/>
          <w:highlight w:val="none"/>
        </w:rPr>
        <w:t xml:space="preserve">的地方，仅需加盖牵头单位的</w:t>
      </w:r>
      <w:r>
        <w:rPr>
          <w:rFonts w:hint="eastAsia" w:ascii="宋体" w:hAnsi="宋体" w:cs="宋体"/>
          <w:color w:val="auto"/>
          <w:sz w:val="24"/>
          <w:szCs w:val="24"/>
          <w:highlight w:val="none"/>
        </w:rPr>
        <w:t xml:space="preserve">CA电子公章</w:t>
      </w:r>
      <w:r>
        <w:rPr>
          <w:rFonts w:hint="eastAsia" w:ascii="宋体" w:hAnsi="宋体" w:cs="宋体"/>
          <w:color w:val="auto"/>
          <w:sz w:val="24"/>
          <w:szCs w:val="21"/>
          <w:highlight w:val="none"/>
        </w:rPr>
        <w:t xml:space="preserve">。</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p>
      <w:pPr>
        <w:ind w:firstLine="645"/>
        <w:jc w:val="right"/>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联合体中各供应商全称（公章）：     </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日期：</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十三、分项报价表（分包号：**）（服务类）</w:t>
      </w:r>
      <w:r/>
    </w:p>
    <w:tbl>
      <w:tblPr>
        <w:tblStyle w:val="785"/>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w:t>
            </w:r>
            <w:r/>
          </w:p>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w:t>
            </w:r>
            <w:r/>
          </w:p>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798" w:type="dxa"/>
            <w:vAlign w:val="top"/>
            <w:textDirection w:val="lrTb"/>
            <w:noWrap w:val="false"/>
          </w:tcPr>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cs="宋体"/>
          <w:i/>
          <w:iCs/>
          <w:color w:val="auto"/>
          <w:sz w:val="24"/>
          <w:szCs w:val="24"/>
          <w:highlight w:val="none"/>
          <w:u w:val="single"/>
        </w:rPr>
        <w:t xml:space="preserve">分项报价表中需明确人员工资。</w:t>
      </w:r>
      <w:bookmarkStart w:id="208" w:name="_GoBack"/>
      <w:r/>
      <w:bookmarkEnd w:id="208"/>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十四、技术要求响应及偏离表（分包号：**）</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32"/>
          <w:szCs w:val="21"/>
          <w:highlight w:val="none"/>
        </w:rPr>
      </w:pPr>
      <w:r>
        <w:rPr>
          <w:rFonts w:hint="eastAsia" w:ascii="宋体" w:hAnsi="宋体" w:cs="宋体"/>
          <w:color w:val="auto"/>
          <w:sz w:val="24"/>
          <w:szCs w:val="24"/>
          <w:highlight w:val="none"/>
        </w:rPr>
        <w:t xml:space="preserve">注： 行数不够，可自行添加。</w:t>
      </w:r>
      <w:r/>
    </w:p>
    <w:p>
      <w:pPr>
        <w:rPr>
          <w:rFonts w:hint="eastAsia" w:ascii="宋体" w:hAnsi="宋体" w:cs="宋体"/>
          <w:color w:val="auto"/>
          <w:sz w:val="32"/>
          <w:szCs w:val="21"/>
          <w:highlight w:val="none"/>
        </w:rPr>
      </w:pPr>
      <w:r>
        <w:rPr>
          <w:rFonts w:hint="eastAsia" w:ascii="宋体" w:hAnsi="宋体" w:cs="宋体"/>
          <w:color w:val="auto"/>
          <w:sz w:val="32"/>
          <w:szCs w:val="21"/>
          <w:highlight w:val="none"/>
        </w:rPr>
      </w:r>
      <w:bookmarkEnd w:id="190"/>
      <w:r/>
      <w:r/>
    </w:p>
    <w:p>
      <w:pPr>
        <w:jc w:val="center"/>
        <w:rPr>
          <w:rFonts w:hint="eastAsia" w:ascii="宋体" w:hAnsi="宋体" w:cs="宋体"/>
          <w:b/>
          <w:color w:val="auto"/>
          <w:sz w:val="32"/>
          <w:szCs w:val="32"/>
          <w:highlight w:val="none"/>
        </w:rPr>
      </w:pPr>
      <w:r/>
      <w:bookmarkStart w:id="194" w:name="_Hlt26955054"/>
      <w:r/>
      <w:bookmarkEnd w:id="194"/>
      <w:r>
        <w:rPr>
          <w:rFonts w:hint="eastAsia" w:ascii="宋体" w:hAnsi="宋体" w:cs="宋体"/>
          <w:b/>
          <w:color w:val="auto"/>
          <w:sz w:val="32"/>
          <w:szCs w:val="32"/>
          <w:highlight w:val="none"/>
        </w:rPr>
        <w:t xml:space="preserve">十五、商务要求响应及偏离表（分包号：**）</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color w:val="auto"/>
                <w:sz w:val="24"/>
                <w:szCs w:val="24"/>
                <w:highlight w:val="none"/>
              </w:rPr>
            </w:pPr>
            <w:r/>
            <w:bookmarkStart w:id="195" w:name="_Hlt26955064"/>
            <w:r/>
            <w:bookmarkEnd w:id="195"/>
            <w:r/>
            <w:bookmarkStart w:id="196" w:name="_Hlt26955056"/>
            <w:r/>
            <w:bookmarkEnd w:id="196"/>
            <w:r/>
            <w:bookmarkStart w:id="197" w:name="_Hlt26609391"/>
            <w:r/>
            <w:bookmarkEnd w:id="197"/>
            <w:r/>
            <w:bookmarkStart w:id="198" w:name="_Hlt26580838"/>
            <w:r/>
            <w:bookmarkEnd w:id="198"/>
            <w:r/>
            <w:bookmarkStart w:id="199" w:name="_Hlt26671372"/>
            <w:r/>
            <w:bookmarkEnd w:id="199"/>
            <w:r/>
            <w:bookmarkStart w:id="200" w:name="_Hlt26782999"/>
            <w:r/>
            <w:bookmarkEnd w:id="200"/>
            <w:r/>
            <w:bookmarkStart w:id="201" w:name="_Hlt24879081"/>
            <w:r/>
            <w:bookmarkEnd w:id="201"/>
            <w:r/>
            <w:bookmarkStart w:id="202" w:name="_Hlt26671343"/>
            <w:r/>
            <w:bookmarkEnd w:id="202"/>
            <w:r>
              <w:rPr>
                <w:rFonts w:hint="eastAsia" w:ascii="宋体" w:hAnsi="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80" w:lineRule="auto"/>
        <w:rPr>
          <w:rFonts w:hint="eastAsia" w:ascii="宋体" w:hAnsi="宋体" w:cs="宋体"/>
          <w:color w:val="auto"/>
          <w:sz w:val="30"/>
          <w:szCs w:val="21"/>
          <w:highlight w:val="none"/>
        </w:rPr>
      </w:pPr>
      <w:r>
        <w:rPr>
          <w:rFonts w:hint="eastAsia" w:ascii="宋体" w:hAnsi="宋体" w:cs="宋体"/>
          <w:color w:val="auto"/>
          <w:sz w:val="30"/>
          <w:szCs w:val="21"/>
          <w:highlight w:val="none"/>
        </w:rPr>
      </w:r>
      <w:r/>
    </w:p>
    <w:p>
      <w:pPr>
        <w:rPr>
          <w:rFonts w:hint="eastAsia" w:ascii="宋体" w:hAnsi="宋体" w:cs="宋体"/>
          <w:color w:val="auto"/>
          <w:sz w:val="24"/>
          <w:szCs w:val="21"/>
          <w:highlight w:val="none"/>
        </w:rPr>
      </w:pPr>
      <w:r/>
      <w:bookmarkStart w:id="203" w:name="_Hlt26671374"/>
      <w:r/>
      <w:bookmarkEnd w:id="203"/>
      <w:r/>
      <w:bookmarkStart w:id="204" w:name="_Hlt26955066"/>
      <w:r/>
      <w:bookmarkEnd w:id="204"/>
      <w:r/>
      <w:bookmarkStart w:id="205" w:name="_Hlt26609389"/>
      <w:r/>
      <w:bookmarkEnd w:id="205"/>
      <w:r/>
      <w:bookmarkStart w:id="206" w:name="_Toc462564146"/>
      <w:r/>
      <w:bookmarkEnd w:id="178"/>
      <w:r/>
      <w:bookmarkEnd w:id="179"/>
      <w:r/>
      <w:bookmarkEnd w:id="206"/>
      <w:r/>
      <w:r/>
    </w:p>
    <w:p>
      <w:pPr>
        <w:jc w:val="center"/>
        <w:rPr>
          <w:rFonts w:hint="eastAsia" w:ascii="宋体" w:hAnsi="宋体" w:cs="宋体"/>
          <w:b/>
          <w:color w:val="auto"/>
          <w:sz w:val="32"/>
          <w:szCs w:val="32"/>
          <w:highlight w:val="none"/>
        </w:rPr>
      </w:pPr>
      <w:r/>
      <w:bookmarkStart w:id="207" w:name="_格式2__法定代表人授权书"/>
      <w:r/>
      <w:bookmarkEnd w:id="207"/>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sectPr>
      <w:footnotePr/>
      <w:endnotePr/>
      <w:type w:val="nextPage"/>
      <w:pgSz w:w="11906" w:h="16838" w:orient="portrait"/>
      <w:pgMar w:top="1418" w:right="1588" w:bottom="1691"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fldChar w:fldCharType="begin"/>
    </w:r>
    <w:r>
      <w:instrText xml:space="preserve"> PAGE   \* MERGEFORMAT </w:instrText>
    </w:r>
    <w:r>
      <w:fldChar w:fldCharType="separate"/>
    </w:r>
    <w:r>
      <w:rPr>
        <w:lang w:val="zh-CN"/>
      </w:rPr>
      <w:t xml:space="preserve">1</w:t>
    </w:r>
    <w:r>
      <w:fldChar w:fldCharType="end"/>
    </w:r>
    <w:r/>
  </w:p>
  <w:p>
    <w:pPr>
      <w:pStyle w:val="10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lang w:eastAsia="zh-CN"/>
      </w:rPr>
    </w:pPr>
    <w:r>
      <w:rPr>
        <w:rFonts w:hint="eastAsia"/>
        <w:lang w:eastAsia="zh-CN"/>
      </w:rPr>
      <w:t xml:space="preserve">30</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fldChar w:fldCharType="begin"/>
    </w:r>
    <w:r>
      <w:instrText xml:space="preserve"> PAGE   \* MERGEFORMAT </w:instrText>
    </w:r>
    <w:r>
      <w:fldChar w:fldCharType="separate"/>
    </w:r>
    <w:r>
      <w:rPr>
        <w:rFonts w:hint="eastAsia"/>
      </w:rPr>
      <w:t xml:space="preserve">３１</w:t>
    </w:r>
    <w:r>
      <w:fldChar w:fldCharType="end"/>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szCs w:val="22"/>
      </w:rPr>
    </w:pPr>
    <w:r>
      <w:rPr>
        <w:rFonts w:hint="eastAsia" w:ascii="宋体" w:hAnsi="宋体"/>
        <w:lang w:eastAsia="zh-CN"/>
      </w:rPr>
      <w:t xml:space="preserve">JSZC-321092-HCZX-C2026-0023</w:t>
    </w:r>
    <w:r>
      <w:rPr>
        <w:rFonts w:ascii="宋体" w:hAnsi="宋体"/>
      </w:rPr>
      <w:t xml:space="preserve">                                  </w:t>
    </w:r>
    <w:r>
      <w:rPr>
        <w:rFonts w:hint="eastAsia" w:ascii="宋体" w:hAnsi="宋体"/>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fldChar w:fldCharType="begin"/>
    </w:r>
    <w:r>
      <w:instrText xml:space="preserve"> PAGE   \* MERGEFORMAT </w:instrText>
    </w:r>
    <w:r>
      <w:fldChar w:fldCharType="separate"/>
    </w:r>
    <w:r>
      <w:rPr>
        <w:lang w:val="zh-CN"/>
      </w:rPr>
      <w:t xml:space="preserve">1</w:t>
    </w:r>
    <w:r>
      <w:fldChar w:fldCharType="end"/>
    </w:r>
    <w:r/>
  </w:p>
  <w:p>
    <w:pPr>
      <w:pStyle w:val="10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single" w:color="000000" w:sz="4" w:space="0"/>
      </w:pBdr>
    </w:pPr>
    <w:r>
      <w:rPr>
        <w:rFonts w:hint="eastAsia"/>
        <w:lang w:eastAsia="zh-CN"/>
      </w:rPr>
      <w:t xml:space="preserve">JSZC-321092-HCZX-C2026-0023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pPr>
    <w:r>
      <w:rPr>
        <w:rFonts w:hint="eastAsia"/>
        <w:lang w:eastAsia="zh-CN"/>
      </w:rPr>
      <w:t xml:space="preserve">JSZC-321092-HCZX-C2026-0023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99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4"/>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10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09"/>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0"/>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1"/>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2"/>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3"/>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16"/>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17"/>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toc 5"/>
    <w:basedOn w:val="774"/>
    <w:next w:val="774"/>
    <w:uiPriority w:val="39"/>
    <w:unhideWhenUsed/>
    <w:qFormat/>
    <w:pPr>
      <w:ind w:left="1134" w:right="0" w:firstLine="0"/>
      <w:spacing w:after="57"/>
    </w:pPr>
  </w:style>
  <w:style w:type="paragraph" w:styleId="789">
    <w:name w:val="toc 3"/>
    <w:basedOn w:val="774"/>
    <w:next w:val="774"/>
    <w:uiPriority w:val="39"/>
    <w:unhideWhenUsed/>
    <w:qFormat/>
    <w:pPr>
      <w:ind w:left="567" w:right="0" w:firstLine="0"/>
      <w:spacing w:after="57"/>
    </w:pPr>
  </w:style>
  <w:style w:type="paragraph" w:styleId="790">
    <w:name w:val="toc 8"/>
    <w:basedOn w:val="774"/>
    <w:next w:val="774"/>
    <w:uiPriority w:val="39"/>
    <w:unhideWhenUsed/>
    <w:qFormat/>
    <w:pPr>
      <w:ind w:left="1984" w:right="0" w:firstLine="0"/>
      <w:spacing w:after="57"/>
    </w:pPr>
  </w:style>
  <w:style w:type="paragraph" w:styleId="791">
    <w:name w:val="endnote text"/>
    <w:basedOn w:val="774"/>
    <w:link w:val="955"/>
    <w:uiPriority w:val="99"/>
    <w:semiHidden/>
    <w:unhideWhenUsed/>
    <w:qFormat/>
    <w:pPr>
      <w:spacing w:after="0" w:line="240" w:lineRule="auto"/>
    </w:pPr>
    <w:rPr>
      <w:sz w:val="20"/>
    </w:rPr>
  </w:style>
  <w:style w:type="paragraph" w:styleId="792">
    <w:name w:val="Footer"/>
    <w:basedOn w:val="774"/>
    <w:link w:val="828"/>
    <w:uiPriority w:val="99"/>
    <w:unhideWhenUsed/>
    <w:qFormat/>
    <w:pPr>
      <w:spacing w:after="0" w:line="240" w:lineRule="auto"/>
      <w:tabs>
        <w:tab w:val="center" w:pos="7143" w:leader="none"/>
        <w:tab w:val="right" w:pos="14287" w:leader="none"/>
      </w:tabs>
    </w:pPr>
  </w:style>
  <w:style w:type="paragraph" w:styleId="793">
    <w:name w:val="Header"/>
    <w:basedOn w:val="774"/>
    <w:link w:val="826"/>
    <w:uiPriority w:val="99"/>
    <w:unhideWhenUsed/>
    <w:qFormat/>
    <w:pPr>
      <w:spacing w:after="0" w:line="240" w:lineRule="auto"/>
      <w:tabs>
        <w:tab w:val="center" w:pos="7143" w:leader="none"/>
        <w:tab w:val="right" w:pos="14287" w:leader="none"/>
      </w:tabs>
    </w:pPr>
  </w:style>
  <w:style w:type="paragraph" w:styleId="794">
    <w:name w:val="toc 1"/>
    <w:basedOn w:val="774"/>
    <w:next w:val="774"/>
    <w:uiPriority w:val="39"/>
    <w:unhideWhenUsed/>
    <w:qFormat/>
    <w:pPr>
      <w:ind w:left="0" w:right="0" w:firstLine="0"/>
      <w:spacing w:after="57"/>
    </w:pPr>
  </w:style>
  <w:style w:type="paragraph" w:styleId="795">
    <w:name w:val="toc 4"/>
    <w:basedOn w:val="774"/>
    <w:next w:val="774"/>
    <w:uiPriority w:val="39"/>
    <w:unhideWhenUsed/>
    <w:qFormat/>
    <w:pPr>
      <w:ind w:left="850" w:right="0" w:firstLine="0"/>
      <w:spacing w:after="57"/>
    </w:pPr>
  </w:style>
  <w:style w:type="paragraph" w:styleId="796">
    <w:name w:val="Subtitle"/>
    <w:basedOn w:val="774"/>
    <w:next w:val="774"/>
    <w:link w:val="821"/>
    <w:uiPriority w:val="11"/>
    <w:qFormat/>
    <w:pPr>
      <w:spacing w:before="200" w:after="200"/>
    </w:pPr>
    <w:rPr>
      <w:sz w:val="24"/>
      <w:szCs w:val="24"/>
    </w:rPr>
  </w:style>
  <w:style w:type="paragraph" w:styleId="797">
    <w:name w:val="footnote text"/>
    <w:basedOn w:val="774"/>
    <w:link w:val="954"/>
    <w:uiPriority w:val="99"/>
    <w:semiHidden/>
    <w:unhideWhenUsed/>
    <w:qFormat/>
    <w:pPr>
      <w:spacing w:after="40" w:line="240" w:lineRule="auto"/>
    </w:pPr>
    <w:rPr>
      <w:sz w:val="18"/>
    </w:rPr>
  </w:style>
  <w:style w:type="paragraph" w:styleId="798">
    <w:name w:val="toc 6"/>
    <w:basedOn w:val="774"/>
    <w:next w:val="774"/>
    <w:uiPriority w:val="39"/>
    <w:unhideWhenUsed/>
    <w:qFormat/>
    <w:pPr>
      <w:ind w:left="1417" w:right="0" w:firstLine="0"/>
      <w:spacing w:after="57"/>
    </w:pPr>
  </w:style>
  <w:style w:type="paragraph" w:styleId="799">
    <w:name w:val="table of figures"/>
    <w:basedOn w:val="774"/>
    <w:next w:val="774"/>
    <w:uiPriority w:val="99"/>
    <w:unhideWhenUsed/>
    <w:qFormat/>
    <w:pPr>
      <w:spacing w:after="0" w:afterAutospacing="0"/>
    </w:pPr>
  </w:style>
  <w:style w:type="paragraph" w:styleId="800">
    <w:name w:val="toc 2"/>
    <w:basedOn w:val="774"/>
    <w:next w:val="774"/>
    <w:uiPriority w:val="39"/>
    <w:unhideWhenUsed/>
    <w:qFormat/>
    <w:pPr>
      <w:ind w:left="283" w:right="0" w:firstLine="0"/>
      <w:spacing w:after="57"/>
    </w:pPr>
  </w:style>
  <w:style w:type="paragraph" w:styleId="801">
    <w:name w:val="toc 9"/>
    <w:basedOn w:val="774"/>
    <w:next w:val="774"/>
    <w:uiPriority w:val="39"/>
    <w:unhideWhenUsed/>
    <w:qFormat/>
    <w:pPr>
      <w:ind w:left="2268" w:right="0" w:firstLine="0"/>
      <w:spacing w:after="57"/>
    </w:pPr>
  </w:style>
  <w:style w:type="paragraph" w:styleId="802">
    <w:name w:val="Normal (Web)"/>
    <w:basedOn w:val="774"/>
    <w:uiPriority w:val="0"/>
    <w:qFormat/>
    <w:rPr>
      <w:rFonts w:ascii="Times New Roman" w:hAnsi="Times New Roman"/>
      <w:sz w:val="24"/>
    </w:rPr>
  </w:style>
  <w:style w:type="paragraph" w:styleId="803">
    <w:name w:val="Title"/>
    <w:basedOn w:val="774"/>
    <w:next w:val="774"/>
    <w:link w:val="820"/>
    <w:uiPriority w:val="10"/>
    <w:qFormat/>
    <w:pPr>
      <w:contextualSpacing/>
      <w:spacing w:before="300" w:after="200"/>
    </w:pPr>
    <w:rPr>
      <w:sz w:val="48"/>
      <w:szCs w:val="48"/>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0"/>
    <w:qFormat/>
    <w:rPr>
      <w:b/>
    </w:r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character" w:styleId="809" w:customStyle="1">
    <w:name w:val="Heading 1 Char"/>
    <w:link w:val="775"/>
    <w:uiPriority w:val="9"/>
    <w:qFormat/>
    <w:rPr>
      <w:rFonts w:ascii="Arial" w:hAnsi="Arial" w:eastAsia="Arial" w:cs="Arial"/>
      <w:sz w:val="40"/>
      <w:szCs w:val="40"/>
    </w:rPr>
  </w:style>
  <w:style w:type="character" w:styleId="810" w:customStyle="1">
    <w:name w:val="Heading 2 Char"/>
    <w:link w:val="776"/>
    <w:uiPriority w:val="9"/>
    <w:qFormat/>
    <w:rPr>
      <w:rFonts w:ascii="Arial" w:hAnsi="Arial" w:eastAsia="Arial" w:cs="Arial"/>
      <w:sz w:val="34"/>
    </w:rPr>
  </w:style>
  <w:style w:type="character" w:styleId="811" w:customStyle="1">
    <w:name w:val="Heading 3 Char"/>
    <w:link w:val="777"/>
    <w:uiPriority w:val="9"/>
    <w:qFormat/>
    <w:rPr>
      <w:rFonts w:ascii="Arial" w:hAnsi="Arial" w:eastAsia="Arial" w:cs="Arial"/>
      <w:sz w:val="30"/>
      <w:szCs w:val="30"/>
    </w:rPr>
  </w:style>
  <w:style w:type="character" w:styleId="812" w:customStyle="1">
    <w:name w:val="Heading 4 Char"/>
    <w:link w:val="778"/>
    <w:uiPriority w:val="9"/>
    <w:qFormat/>
    <w:rPr>
      <w:rFonts w:ascii="Arial" w:hAnsi="Arial" w:eastAsia="Arial" w:cs="Arial"/>
      <w:b/>
      <w:bCs/>
      <w:sz w:val="26"/>
      <w:szCs w:val="26"/>
    </w:rPr>
  </w:style>
  <w:style w:type="character" w:styleId="813" w:customStyle="1">
    <w:name w:val="Heading 5 Char"/>
    <w:link w:val="779"/>
    <w:uiPriority w:val="9"/>
    <w:qFormat/>
    <w:rPr>
      <w:rFonts w:ascii="Arial" w:hAnsi="Arial" w:eastAsia="Arial" w:cs="Arial"/>
      <w:b/>
      <w:bCs/>
      <w:sz w:val="24"/>
      <w:szCs w:val="24"/>
    </w:rPr>
  </w:style>
  <w:style w:type="character" w:styleId="814" w:customStyle="1">
    <w:name w:val="Heading 6 Char"/>
    <w:link w:val="780"/>
    <w:uiPriority w:val="9"/>
    <w:qFormat/>
    <w:rPr>
      <w:rFonts w:ascii="Arial" w:hAnsi="Arial" w:eastAsia="Arial" w:cs="Arial"/>
      <w:b/>
      <w:bCs/>
      <w:sz w:val="22"/>
      <w:szCs w:val="22"/>
    </w:rPr>
  </w:style>
  <w:style w:type="character" w:styleId="815" w:customStyle="1">
    <w:name w:val="Heading 7 Char"/>
    <w:link w:val="781"/>
    <w:uiPriority w:val="9"/>
    <w:qFormat/>
    <w:rPr>
      <w:rFonts w:ascii="Arial" w:hAnsi="Arial" w:eastAsia="Arial" w:cs="Arial"/>
      <w:b/>
      <w:bCs/>
      <w:i/>
      <w:iCs/>
      <w:sz w:val="22"/>
      <w:szCs w:val="22"/>
    </w:rPr>
  </w:style>
  <w:style w:type="character" w:styleId="816" w:customStyle="1">
    <w:name w:val="Heading 8 Char"/>
    <w:link w:val="782"/>
    <w:uiPriority w:val="9"/>
    <w:qFormat/>
    <w:rPr>
      <w:rFonts w:ascii="Arial" w:hAnsi="Arial" w:eastAsia="Arial" w:cs="Arial"/>
      <w:i/>
      <w:iCs/>
      <w:sz w:val="22"/>
      <w:szCs w:val="22"/>
    </w:rPr>
  </w:style>
  <w:style w:type="character" w:styleId="817" w:customStyle="1">
    <w:name w:val="Heading 9 Char"/>
    <w:link w:val="783"/>
    <w:uiPriority w:val="9"/>
    <w:qFormat/>
    <w:rPr>
      <w:rFonts w:ascii="Arial" w:hAnsi="Arial" w:eastAsia="Arial" w:cs="Arial"/>
      <w:i/>
      <w:iCs/>
      <w:sz w:val="21"/>
      <w:szCs w:val="21"/>
    </w:rPr>
  </w:style>
  <w:style w:type="paragraph" w:styleId="818">
    <w:name w:val="List Paragraph"/>
    <w:basedOn w:val="774"/>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character" w:styleId="820" w:customStyle="1">
    <w:name w:val="Title Char"/>
    <w:link w:val="803"/>
    <w:uiPriority w:val="10"/>
    <w:qFormat/>
    <w:rPr>
      <w:sz w:val="48"/>
      <w:szCs w:val="48"/>
    </w:rPr>
  </w:style>
  <w:style w:type="character" w:styleId="821" w:customStyle="1">
    <w:name w:val="Subtitle Char"/>
    <w:link w:val="796"/>
    <w:uiPriority w:val="11"/>
    <w:qFormat/>
    <w:rPr>
      <w:sz w:val="24"/>
      <w:szCs w:val="24"/>
    </w:rPr>
  </w:style>
  <w:style w:type="paragraph" w:styleId="822">
    <w:name w:val="Quote"/>
    <w:basedOn w:val="774"/>
    <w:next w:val="774"/>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74"/>
    <w:next w:val="774"/>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link w:val="793"/>
    <w:uiPriority w:val="99"/>
    <w:qFormat/>
  </w:style>
  <w:style w:type="character" w:styleId="827" w:customStyle="1">
    <w:name w:val="Footer Char"/>
    <w:link w:val="792"/>
    <w:uiPriority w:val="99"/>
    <w:qFormat/>
  </w:style>
  <w:style w:type="character" w:styleId="828" w:customStyle="1">
    <w:name w:val="Caption Char"/>
    <w:link w:val="792"/>
    <w:uiPriority w:val="99"/>
    <w:qFormat/>
  </w:style>
  <w:style w:type="table" w:styleId="8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link w:val="797"/>
    <w:uiPriority w:val="99"/>
    <w:qFormat/>
    <w:rPr>
      <w:sz w:val="18"/>
    </w:rPr>
  </w:style>
  <w:style w:type="character" w:styleId="955" w:customStyle="1">
    <w:name w:val="Endnote Text Char"/>
    <w:link w:val="791"/>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标题 11"/>
    <w:basedOn w:val="774"/>
    <w:next w:val="774"/>
    <w:link w:val="970"/>
    <w:uiPriority w:val="0"/>
    <w:qFormat/>
    <w:pPr>
      <w:jc w:val="center"/>
      <w:keepNext/>
      <w:outlineLvl w:val="0"/>
    </w:pPr>
    <w:rPr>
      <w:rFonts w:ascii="楷体_GB2312" w:eastAsia="楷体_GB2312"/>
      <w:sz w:val="28"/>
      <w:szCs w:val="28"/>
      <w:lang w:val="en-US" w:eastAsia="en-US"/>
    </w:rPr>
  </w:style>
  <w:style w:type="paragraph" w:styleId="958" w:customStyle="1">
    <w:name w:val="标题 21"/>
    <w:basedOn w:val="774"/>
    <w:next w:val="959"/>
    <w:link w:val="971"/>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59" w:customStyle="1">
    <w:name w:val="正文缩进1"/>
    <w:basedOn w:val="774"/>
    <w:link w:val="972"/>
    <w:uiPriority w:val="0"/>
    <w:qFormat/>
    <w:pPr>
      <w:ind w:firstLine="420"/>
    </w:pPr>
    <w:rPr>
      <w:sz w:val="20"/>
      <w:szCs w:val="21"/>
      <w:lang w:val="en-US" w:eastAsia="en-US"/>
    </w:rPr>
  </w:style>
  <w:style w:type="paragraph" w:styleId="960" w:customStyle="1">
    <w:name w:val="标题 31"/>
    <w:basedOn w:val="774"/>
    <w:next w:val="774"/>
    <w:link w:val="973"/>
    <w:uiPriority w:val="0"/>
    <w:qFormat/>
    <w:pPr>
      <w:keepLines/>
      <w:keepNext/>
      <w:spacing w:before="260" w:after="260" w:line="416" w:lineRule="auto"/>
      <w:outlineLvl w:val="2"/>
    </w:pPr>
    <w:rPr>
      <w:b/>
      <w:bCs/>
      <w:sz w:val="32"/>
      <w:szCs w:val="32"/>
      <w:lang w:val="en-US" w:eastAsia="en-US"/>
    </w:rPr>
  </w:style>
  <w:style w:type="paragraph" w:styleId="961" w:customStyle="1">
    <w:name w:val="标题 41"/>
    <w:basedOn w:val="774"/>
    <w:next w:val="774"/>
    <w:link w:val="974"/>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62" w:customStyle="1">
    <w:name w:val="标题 51"/>
    <w:basedOn w:val="774"/>
    <w:next w:val="959"/>
    <w:link w:val="975"/>
    <w:uiPriority w:val="0"/>
    <w:qFormat/>
    <w:pPr>
      <w:keepNext/>
      <w:outlineLvl w:val="4"/>
    </w:pPr>
    <w:rPr>
      <w:rFonts w:ascii="宋体"/>
      <w:color w:val="000000"/>
      <w:sz w:val="28"/>
      <w:szCs w:val="28"/>
      <w:lang w:val="en-US" w:eastAsia="en-US"/>
    </w:rPr>
  </w:style>
  <w:style w:type="paragraph" w:styleId="963" w:customStyle="1">
    <w:name w:val="标题 61"/>
    <w:basedOn w:val="774"/>
    <w:next w:val="774"/>
    <w:link w:val="97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64" w:customStyle="1">
    <w:name w:val="标题 71"/>
    <w:basedOn w:val="774"/>
    <w:next w:val="774"/>
    <w:link w:val="977"/>
    <w:uiPriority w:val="0"/>
    <w:qFormat/>
    <w:pPr>
      <w:numPr>
        <w:ilvl w:val="6"/>
        <w:numId w:val="1"/>
      </w:numPr>
      <w:keepLines/>
      <w:keepNext/>
      <w:spacing w:before="240" w:after="64" w:line="320" w:lineRule="auto"/>
      <w:outlineLvl w:val="6"/>
    </w:pPr>
    <w:rPr>
      <w:b/>
      <w:bCs/>
      <w:sz w:val="24"/>
      <w:szCs w:val="24"/>
      <w:lang w:val="en-US" w:eastAsia="en-US"/>
    </w:rPr>
  </w:style>
  <w:style w:type="paragraph" w:styleId="965" w:customStyle="1">
    <w:name w:val="标题 81"/>
    <w:basedOn w:val="774"/>
    <w:next w:val="774"/>
    <w:link w:val="978"/>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66" w:customStyle="1">
    <w:name w:val="标题 91"/>
    <w:basedOn w:val="774"/>
    <w:next w:val="774"/>
    <w:link w:val="979"/>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67" w:customStyle="1">
    <w:name w:val="默认段落字体1"/>
    <w:link w:val="774"/>
    <w:uiPriority w:val="1"/>
    <w:unhideWhenUsed/>
    <w:qFormat/>
  </w:style>
  <w:style w:type="table" w:styleId="968"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69" w:customStyle="1">
    <w:name w:val="脚注文本1"/>
    <w:basedOn w:val="774"/>
    <w:uiPriority w:val="99"/>
    <w:unhideWhenUsed/>
    <w:qFormat/>
    <w:pPr>
      <w:jc w:val="left"/>
    </w:pPr>
    <w:rPr>
      <w:sz w:val="18"/>
      <w:szCs w:val="18"/>
    </w:rPr>
  </w:style>
  <w:style w:type="character" w:styleId="970" w:customStyle="1">
    <w:name w:val="标题 1 Char"/>
    <w:link w:val="957"/>
    <w:uiPriority w:val="0"/>
    <w:qFormat/>
    <w:rPr>
      <w:rFonts w:ascii="楷体_GB2312" w:hAnsi="Times New Roman" w:eastAsia="楷体_GB2312" w:cs="Times New Roman"/>
      <w:sz w:val="28"/>
      <w:szCs w:val="28"/>
    </w:rPr>
  </w:style>
  <w:style w:type="character" w:styleId="971" w:customStyle="1">
    <w:name w:val="标题 2 Char"/>
    <w:link w:val="958"/>
    <w:uiPriority w:val="0"/>
    <w:qFormat/>
    <w:rPr>
      <w:rFonts w:ascii="Arial" w:hAnsi="Arial" w:eastAsia="幼圆" w:cs="Arial"/>
      <w:b/>
      <w:bCs/>
      <w:sz w:val="44"/>
      <w:szCs w:val="44"/>
    </w:rPr>
  </w:style>
  <w:style w:type="character" w:styleId="972" w:customStyle="1">
    <w:name w:val="正文缩进 Char"/>
    <w:link w:val="959"/>
    <w:uiPriority w:val="0"/>
    <w:qFormat/>
    <w:rPr>
      <w:szCs w:val="21"/>
    </w:rPr>
  </w:style>
  <w:style w:type="character" w:styleId="973" w:customStyle="1">
    <w:name w:val="标题 3 Char"/>
    <w:link w:val="960"/>
    <w:uiPriority w:val="0"/>
    <w:qFormat/>
    <w:rPr>
      <w:rFonts w:ascii="Times New Roman" w:hAnsi="Times New Roman" w:eastAsia="宋体" w:cs="Times New Roman"/>
      <w:b/>
      <w:bCs/>
      <w:sz w:val="32"/>
      <w:szCs w:val="32"/>
    </w:rPr>
  </w:style>
  <w:style w:type="character" w:styleId="974" w:customStyle="1">
    <w:name w:val="标题 4 Char"/>
    <w:link w:val="961"/>
    <w:uiPriority w:val="0"/>
    <w:qFormat/>
    <w:rPr>
      <w:rFonts w:ascii="Arial" w:hAnsi="Arial" w:eastAsia="黑体" w:cs="Arial"/>
      <w:b/>
      <w:bCs/>
      <w:sz w:val="28"/>
      <w:szCs w:val="28"/>
    </w:rPr>
  </w:style>
  <w:style w:type="character" w:styleId="975" w:customStyle="1">
    <w:name w:val="标题 5 Char"/>
    <w:link w:val="962"/>
    <w:uiPriority w:val="0"/>
    <w:qFormat/>
    <w:rPr>
      <w:rFonts w:ascii="宋体" w:hAnsi="Times New Roman" w:eastAsia="宋体" w:cs="Times New Roman"/>
      <w:color w:val="000000"/>
      <w:sz w:val="28"/>
      <w:szCs w:val="28"/>
    </w:rPr>
  </w:style>
  <w:style w:type="character" w:styleId="976" w:customStyle="1">
    <w:name w:val="标题 6 Char"/>
    <w:link w:val="963"/>
    <w:uiPriority w:val="0"/>
    <w:qFormat/>
    <w:rPr>
      <w:rFonts w:ascii="Arial" w:hAnsi="Arial" w:eastAsia="黑体" w:cs="Times New Roman"/>
      <w:b/>
      <w:bCs/>
      <w:sz w:val="24"/>
      <w:szCs w:val="24"/>
    </w:rPr>
  </w:style>
  <w:style w:type="character" w:styleId="977" w:customStyle="1">
    <w:name w:val="标题 7 Char"/>
    <w:link w:val="964"/>
    <w:uiPriority w:val="0"/>
    <w:qFormat/>
    <w:rPr>
      <w:rFonts w:ascii="Times New Roman" w:hAnsi="Times New Roman" w:eastAsia="宋体" w:cs="Times New Roman"/>
      <w:b/>
      <w:bCs/>
      <w:sz w:val="24"/>
      <w:szCs w:val="24"/>
    </w:rPr>
  </w:style>
  <w:style w:type="character" w:styleId="978" w:customStyle="1">
    <w:name w:val="标题 8 Char"/>
    <w:link w:val="965"/>
    <w:uiPriority w:val="0"/>
    <w:qFormat/>
    <w:rPr>
      <w:rFonts w:ascii="Arial" w:hAnsi="Arial" w:eastAsia="黑体" w:cs="Times New Roman"/>
      <w:sz w:val="24"/>
      <w:szCs w:val="24"/>
    </w:rPr>
  </w:style>
  <w:style w:type="character" w:styleId="979" w:customStyle="1">
    <w:name w:val="标题 9 Char"/>
    <w:link w:val="966"/>
    <w:uiPriority w:val="0"/>
    <w:qFormat/>
    <w:rPr>
      <w:rFonts w:ascii="Arial" w:hAnsi="Arial" w:eastAsia="黑体" w:cs="Times New Roman"/>
      <w:szCs w:val="21"/>
    </w:rPr>
  </w:style>
  <w:style w:type="paragraph" w:styleId="980" w:customStyle="1">
    <w:name w:val="列表 31"/>
    <w:basedOn w:val="774"/>
    <w:uiPriority w:val="0"/>
    <w:qFormat/>
    <w:pPr>
      <w:ind w:left="100" w:hanging="200"/>
    </w:pPr>
    <w:rPr>
      <w:rFonts w:ascii="Times New Roman" w:hAnsi="Times New Roman" w:eastAsia="宋体" w:cs="Times New Roman"/>
      <w:szCs w:val="21"/>
    </w:rPr>
  </w:style>
  <w:style w:type="paragraph" w:styleId="981" w:customStyle="1">
    <w:name w:val="目录 71"/>
    <w:basedOn w:val="774"/>
    <w:next w:val="774"/>
    <w:uiPriority w:val="0"/>
    <w:semiHidden/>
    <w:qFormat/>
    <w:pPr>
      <w:ind w:left="1260"/>
      <w:jc w:val="left"/>
    </w:pPr>
    <w:rPr>
      <w:rFonts w:ascii="Times New Roman" w:hAnsi="Times New Roman" w:eastAsia="宋体" w:cs="Times New Roman"/>
      <w:szCs w:val="21"/>
    </w:rPr>
  </w:style>
  <w:style w:type="paragraph" w:styleId="982" w:customStyle="1">
    <w:name w:val="文档结构图1"/>
    <w:basedOn w:val="774"/>
    <w:link w:val="983"/>
    <w:uiPriority w:val="0"/>
    <w:semiHidden/>
    <w:qFormat/>
    <w:pPr>
      <w:shd w:val="clear" w:color="auto" w:fill="000080"/>
    </w:pPr>
    <w:rPr>
      <w:sz w:val="20"/>
      <w:szCs w:val="21"/>
      <w:lang w:val="en-US" w:eastAsia="en-US"/>
    </w:r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74"/>
    <w:link w:val="985"/>
    <w:uiPriority w:val="0"/>
    <w:unhideWhenUsed/>
    <w:qFormat/>
    <w:pPr>
      <w:jc w:val="left"/>
    </w:pPr>
  </w:style>
  <w:style w:type="character" w:styleId="985" w:customStyle="1">
    <w:name w:val="批注文字 Char"/>
    <w:link w:val="984"/>
    <w:uiPriority w:val="99"/>
    <w:semiHidden/>
    <w:qFormat/>
  </w:style>
  <w:style w:type="paragraph" w:styleId="986" w:customStyle="1">
    <w:name w:val="正文文本 31"/>
    <w:basedOn w:val="774"/>
    <w:link w:val="987"/>
    <w:uiPriority w:val="0"/>
    <w:qFormat/>
    <w:rPr>
      <w:rFonts w:ascii="仿宋_GB2312" w:hAnsi="Arial" w:eastAsia="仿宋_GB2312"/>
      <w:sz w:val="32"/>
      <w:szCs w:val="32"/>
      <w:lang w:val="en-US" w:eastAsia="en-US"/>
    </w:rPr>
  </w:style>
  <w:style w:type="character" w:styleId="987" w:customStyle="1">
    <w:name w:val="正文文本 3 Char"/>
    <w:link w:val="986"/>
    <w:uiPriority w:val="0"/>
    <w:qFormat/>
    <w:rPr>
      <w:rFonts w:ascii="仿宋_GB2312" w:hAnsi="Arial" w:eastAsia="仿宋_GB2312" w:cs="Times New Roman"/>
      <w:sz w:val="32"/>
      <w:szCs w:val="32"/>
    </w:rPr>
  </w:style>
  <w:style w:type="paragraph" w:styleId="988" w:customStyle="1">
    <w:name w:val="正文文本11"/>
    <w:basedOn w:val="774"/>
    <w:link w:val="989"/>
    <w:uiPriority w:val="0"/>
    <w:qFormat/>
    <w:rPr>
      <w:rFonts w:ascii="楷体_GB2312" w:hAnsi="Arial" w:eastAsia="楷体_GB2312"/>
      <w:sz w:val="28"/>
      <w:szCs w:val="28"/>
      <w:lang w:val="en-US" w:eastAsia="en-US"/>
    </w:rPr>
  </w:style>
  <w:style w:type="character" w:styleId="989" w:customStyle="1">
    <w:name w:val="正文文本 Char"/>
    <w:link w:val="988"/>
    <w:uiPriority w:val="0"/>
    <w:qFormat/>
    <w:rPr>
      <w:rFonts w:ascii="楷体_GB2312" w:hAnsi="Arial" w:eastAsia="楷体_GB2312" w:cs="Times New Roman"/>
      <w:sz w:val="28"/>
      <w:szCs w:val="28"/>
    </w:rPr>
  </w:style>
  <w:style w:type="paragraph" w:styleId="990" w:customStyle="1">
    <w:name w:val="正文文本缩进1"/>
    <w:basedOn w:val="774"/>
    <w:link w:val="991"/>
    <w:uiPriority w:val="0"/>
    <w:unhideWhenUsed/>
    <w:qFormat/>
    <w:pPr>
      <w:ind w:left="420"/>
      <w:spacing w:after="120"/>
    </w:pPr>
  </w:style>
  <w:style w:type="character" w:styleId="991" w:customStyle="1">
    <w:name w:val="正文文本缩进 Char"/>
    <w:link w:val="990"/>
    <w:uiPriority w:val="99"/>
    <w:semiHidden/>
    <w:qFormat/>
  </w:style>
  <w:style w:type="paragraph" w:styleId="992" w:customStyle="1">
    <w:name w:val="列表 21"/>
    <w:basedOn w:val="774"/>
    <w:uiPriority w:val="0"/>
    <w:qFormat/>
    <w:pPr>
      <w:ind w:left="100" w:hanging="200"/>
    </w:pPr>
    <w:rPr>
      <w:rFonts w:ascii="Times New Roman" w:hAnsi="Times New Roman" w:eastAsia="宋体" w:cs="Times New Roman"/>
      <w:szCs w:val="21"/>
    </w:rPr>
  </w:style>
  <w:style w:type="paragraph" w:styleId="993" w:customStyle="1">
    <w:name w:val="列表项目符号 21"/>
    <w:basedOn w:val="774"/>
    <w:uiPriority w:val="99"/>
    <w:unhideWhenUsed/>
    <w:qFormat/>
    <w:pPr>
      <w:numPr>
        <w:ilvl w:val="0"/>
        <w:numId w:val="2"/>
      </w:numPr>
    </w:pPr>
  </w:style>
  <w:style w:type="paragraph" w:styleId="994" w:customStyle="1">
    <w:name w:val="目录 51"/>
    <w:basedOn w:val="774"/>
    <w:next w:val="774"/>
    <w:uiPriority w:val="0"/>
    <w:semiHidden/>
    <w:qFormat/>
    <w:pPr>
      <w:ind w:left="840"/>
      <w:jc w:val="left"/>
    </w:pPr>
    <w:rPr>
      <w:rFonts w:ascii="Times New Roman" w:hAnsi="Times New Roman" w:eastAsia="宋体" w:cs="Times New Roman"/>
      <w:szCs w:val="21"/>
    </w:rPr>
  </w:style>
  <w:style w:type="paragraph" w:styleId="995" w:customStyle="1">
    <w:name w:val="目录 31"/>
    <w:basedOn w:val="774"/>
    <w:next w:val="774"/>
    <w:uiPriority w:val="0"/>
    <w:semiHidden/>
    <w:qFormat/>
    <w:pPr>
      <w:ind w:left="420"/>
      <w:jc w:val="left"/>
    </w:pPr>
    <w:rPr>
      <w:rFonts w:ascii="Times New Roman" w:hAnsi="Times New Roman" w:eastAsia="宋体" w:cs="Times New Roman"/>
      <w:i/>
      <w:iCs/>
      <w:szCs w:val="24"/>
    </w:rPr>
  </w:style>
  <w:style w:type="paragraph" w:styleId="996" w:customStyle="1">
    <w:name w:val="纯文本11"/>
    <w:basedOn w:val="774"/>
    <w:link w:val="997"/>
    <w:uiPriority w:val="0"/>
    <w:qFormat/>
    <w:rPr>
      <w:rFonts w:ascii="宋体" w:hAnsi="Courier New"/>
      <w:sz w:val="20"/>
      <w:szCs w:val="21"/>
      <w:lang w:val="en-US" w:eastAsia="en-US"/>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74"/>
    <w:next w:val="774"/>
    <w:uiPriority w:val="0"/>
    <w:semiHidden/>
    <w:qFormat/>
    <w:pPr>
      <w:ind w:left="1470"/>
      <w:jc w:val="left"/>
    </w:pPr>
    <w:rPr>
      <w:rFonts w:ascii="Times New Roman" w:hAnsi="Times New Roman" w:eastAsia="宋体" w:cs="Times New Roman"/>
      <w:szCs w:val="21"/>
    </w:rPr>
  </w:style>
  <w:style w:type="paragraph" w:styleId="999" w:customStyle="1">
    <w:name w:val="日期1"/>
    <w:basedOn w:val="774"/>
    <w:next w:val="774"/>
    <w:link w:val="1000"/>
    <w:uiPriority w:val="0"/>
    <w:qFormat/>
    <w:rPr>
      <w:sz w:val="24"/>
      <w:szCs w:val="24"/>
      <w:lang w:val="en-US" w:eastAsia="en-US"/>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74"/>
    <w:link w:val="1002"/>
    <w:uiPriority w:val="0"/>
    <w:qFormat/>
    <w:pPr>
      <w:ind w:left="630" w:firstLine="645"/>
    </w:pPr>
    <w:rPr>
      <w:rFonts w:ascii="Arial" w:hAnsi="Arial" w:eastAsia="仿宋_GB2312"/>
      <w:sz w:val="32"/>
      <w:szCs w:val="32"/>
      <w:lang w:val="en-US" w:eastAsia="en-US"/>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74"/>
    <w:link w:val="1004"/>
    <w:uiPriority w:val="0"/>
    <w:semiHidden/>
    <w:qFormat/>
    <w:rPr>
      <w:sz w:val="18"/>
      <w:szCs w:val="18"/>
      <w:lang w:val="en-US" w:eastAsia="en-US"/>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74"/>
    <w:link w:val="1006"/>
    <w:uiPriority w:val="99"/>
    <w:qFormat/>
    <w:pPr>
      <w:jc w:val="left"/>
      <w:tabs>
        <w:tab w:val="center" w:pos="4153" w:leader="none"/>
        <w:tab w:val="right" w:pos="8306" w:leader="none"/>
      </w:tabs>
    </w:pPr>
    <w:rPr>
      <w:sz w:val="18"/>
      <w:szCs w:val="18"/>
      <w:lang w:val="en-US" w:eastAsia="en-US"/>
    </w:rPr>
  </w:style>
  <w:style w:type="character" w:styleId="1006" w:customStyle="1">
    <w:name w:val="页脚 Char"/>
    <w:link w:val="1005"/>
    <w:uiPriority w:val="99"/>
    <w:qFormat/>
    <w:rPr>
      <w:rFonts w:ascii="Times New Roman" w:hAnsi="Times New Roman" w:eastAsia="宋体" w:cs="Times New Roman"/>
      <w:sz w:val="18"/>
      <w:szCs w:val="18"/>
    </w:rPr>
  </w:style>
  <w:style w:type="paragraph" w:styleId="1007" w:customStyle="1">
    <w:name w:val="页眉1"/>
    <w:basedOn w:val="774"/>
    <w:link w:val="100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8" w:customStyle="1">
    <w:name w:val="页眉 Char"/>
    <w:link w:val="1007"/>
    <w:uiPriority w:val="99"/>
    <w:qFormat/>
    <w:rPr>
      <w:rFonts w:ascii="Times New Roman" w:hAnsi="Times New Roman" w:eastAsia="宋体" w:cs="Times New Roman"/>
      <w:sz w:val="18"/>
      <w:szCs w:val="18"/>
    </w:rPr>
  </w:style>
  <w:style w:type="paragraph" w:styleId="1009" w:customStyle="1">
    <w:name w:val="目录 11"/>
    <w:basedOn w:val="774"/>
    <w:next w:val="77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0" w:customStyle="1">
    <w:name w:val="目录 41"/>
    <w:basedOn w:val="774"/>
    <w:next w:val="774"/>
    <w:uiPriority w:val="0"/>
    <w:semiHidden/>
    <w:qFormat/>
    <w:pPr>
      <w:ind w:left="630"/>
      <w:jc w:val="left"/>
    </w:pPr>
    <w:rPr>
      <w:rFonts w:ascii="Times New Roman" w:hAnsi="Times New Roman" w:eastAsia="宋体" w:cs="Times New Roman"/>
      <w:szCs w:val="21"/>
    </w:rPr>
  </w:style>
  <w:style w:type="paragraph" w:styleId="1011" w:customStyle="1">
    <w:name w:val="列表1"/>
    <w:basedOn w:val="774"/>
    <w:uiPriority w:val="0"/>
    <w:qFormat/>
    <w:pPr>
      <w:ind w:left="200" w:hanging="200"/>
    </w:pPr>
    <w:rPr>
      <w:rFonts w:ascii="Times New Roman" w:hAnsi="Times New Roman" w:eastAsia="宋体" w:cs="Times New Roman"/>
      <w:szCs w:val="21"/>
    </w:rPr>
  </w:style>
  <w:style w:type="paragraph" w:styleId="1012" w:customStyle="1">
    <w:name w:val="目录 61"/>
    <w:basedOn w:val="774"/>
    <w:next w:val="774"/>
    <w:uiPriority w:val="0"/>
    <w:semiHidden/>
    <w:qFormat/>
    <w:pPr>
      <w:ind w:left="1050"/>
      <w:jc w:val="left"/>
    </w:pPr>
    <w:rPr>
      <w:rFonts w:ascii="Times New Roman" w:hAnsi="Times New Roman" w:eastAsia="宋体" w:cs="Times New Roman"/>
      <w:szCs w:val="21"/>
    </w:rPr>
  </w:style>
  <w:style w:type="paragraph" w:styleId="1013" w:customStyle="1">
    <w:name w:val="正文文本缩进 31"/>
    <w:basedOn w:val="774"/>
    <w:link w:val="1014"/>
    <w:uiPriority w:val="0"/>
    <w:qFormat/>
    <w:pPr>
      <w:ind w:left="645" w:firstLine="645"/>
    </w:pPr>
    <w:rPr>
      <w:rFonts w:ascii="Arial" w:hAnsi="Arial" w:eastAsia="仿宋_GB2312"/>
      <w:color w:val="ffff00"/>
      <w:sz w:val="32"/>
      <w:szCs w:val="32"/>
      <w:lang w:val="en-US" w:eastAsia="en-US"/>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74"/>
    <w:next w:val="774"/>
    <w:uiPriority w:val="0"/>
    <w:semiHidden/>
    <w:qFormat/>
    <w:pPr>
      <w:ind w:left="840" w:hanging="420"/>
    </w:pPr>
    <w:rPr>
      <w:rFonts w:ascii="Times New Roman" w:hAnsi="Times New Roman" w:eastAsia="宋体" w:cs="Times New Roman"/>
      <w:szCs w:val="21"/>
    </w:rPr>
  </w:style>
  <w:style w:type="paragraph" w:styleId="1016" w:customStyle="1">
    <w:name w:val="目录 21"/>
    <w:basedOn w:val="774"/>
    <w:next w:val="774"/>
    <w:uiPriority w:val="0"/>
    <w:semiHidden/>
    <w:qFormat/>
    <w:pPr>
      <w:ind w:left="210"/>
      <w:jc w:val="left"/>
    </w:pPr>
    <w:rPr>
      <w:rFonts w:ascii="Times New Roman" w:hAnsi="Times New Roman" w:eastAsia="宋体" w:cs="Times New Roman"/>
      <w:smallCaps/>
      <w:szCs w:val="24"/>
    </w:rPr>
  </w:style>
  <w:style w:type="paragraph" w:styleId="1017" w:customStyle="1">
    <w:name w:val="目录 91"/>
    <w:basedOn w:val="774"/>
    <w:next w:val="774"/>
    <w:uiPriority w:val="0"/>
    <w:semiHidden/>
    <w:qFormat/>
    <w:pPr>
      <w:ind w:left="1680"/>
      <w:jc w:val="left"/>
    </w:pPr>
    <w:rPr>
      <w:rFonts w:ascii="Times New Roman" w:hAnsi="Times New Roman" w:eastAsia="宋体" w:cs="Times New Roman"/>
      <w:szCs w:val="21"/>
    </w:rPr>
  </w:style>
  <w:style w:type="paragraph" w:styleId="1018" w:customStyle="1">
    <w:name w:val="正文文本 21"/>
    <w:basedOn w:val="774"/>
    <w:link w:val="1019"/>
    <w:uiPriority w:val="0"/>
    <w:qFormat/>
    <w:pPr>
      <w:jc w:val="center"/>
      <w:widowControl/>
    </w:pPr>
    <w:rPr>
      <w:rFonts w:ascii="楷体_GB2312" w:eastAsia="楷体_GB2312"/>
      <w:sz w:val="28"/>
      <w:szCs w:val="28"/>
      <w:lang w:val="en-US" w:eastAsia="en-US"/>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74"/>
    <w:uiPriority w:val="99"/>
    <w:qFormat/>
    <w:pPr>
      <w:jc w:val="left"/>
      <w:spacing w:before="100" w:beforeAutospacing="1" w:after="100" w:afterAutospacing="1"/>
      <w:widowControl/>
    </w:pPr>
    <w:rPr>
      <w:rFonts w:ascii="宋体" w:hAnsi="宋体" w:eastAsia="宋体" w:cs="宋体"/>
      <w:sz w:val="24"/>
      <w:szCs w:val="24"/>
    </w:rPr>
  </w:style>
  <w:style w:type="paragraph" w:styleId="1021" w:customStyle="1">
    <w:name w:val="索引 11"/>
    <w:basedOn w:val="774"/>
    <w:next w:val="774"/>
    <w:uiPriority w:val="0"/>
    <w:semiHidden/>
    <w:qFormat/>
    <w:pPr>
      <w:spacing w:line="240" w:lineRule="atLeast"/>
    </w:pPr>
    <w:rPr>
      <w:rFonts w:ascii="Times New Roman" w:hAnsi="Times New Roman" w:eastAsia="宋体" w:cs="Times New Roman"/>
      <w:b/>
      <w:bCs/>
      <w:szCs w:val="21"/>
    </w:rPr>
  </w:style>
  <w:style w:type="paragraph" w:styleId="1022" w:customStyle="1">
    <w:name w:val="批注主题1"/>
    <w:basedOn w:val="984"/>
    <w:next w:val="984"/>
    <w:link w:val="1023"/>
    <w:uiPriority w:val="0"/>
    <w:semiHidden/>
    <w:qFormat/>
    <w:rPr>
      <w:b/>
      <w:bCs/>
      <w:sz w:val="20"/>
      <w:szCs w:val="21"/>
      <w:lang w:val="en-US" w:eastAsia="en-US"/>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
    <w:basedOn w:val="774"/>
    <w:link w:val="1025"/>
    <w:uiPriority w:val="0"/>
    <w:qFormat/>
    <w:pPr>
      <w:ind w:firstLine="200"/>
      <w:spacing w:line="360" w:lineRule="auto"/>
    </w:pPr>
    <w:rPr>
      <w:rFonts w:ascii="仿宋_GB2312" w:eastAsia="仿宋_GB2312"/>
      <w:sz w:val="30"/>
      <w:szCs w:val="30"/>
      <w:lang w:val="en-US" w:eastAsia="en-US"/>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0"/>
    <w:link w:val="1027"/>
    <w:uiPriority w:val="0"/>
    <w:qFormat/>
    <w:pPr>
      <w:ind w:left="0" w:firstLine="420"/>
      <w:spacing w:after="0" w:line="360" w:lineRule="auto"/>
    </w:pPr>
    <w:rPr>
      <w:rFonts w:ascii="宋体" w:hAnsi="宋体"/>
      <w:sz w:val="20"/>
      <w:szCs w:val="20"/>
      <w:lang w:val="en-US" w:eastAsia="en-US"/>
    </w:rPr>
  </w:style>
  <w:style w:type="character" w:styleId="1027" w:customStyle="1">
    <w:name w:val="正文首行缩进 2 Char"/>
    <w:link w:val="1026"/>
    <w:uiPriority w:val="0"/>
    <w:qFormat/>
    <w:rPr>
      <w:rFonts w:ascii="宋体" w:hAnsi="宋体" w:eastAsia="宋体" w:cs="Times New Roman"/>
      <w:szCs w:val="20"/>
    </w:rPr>
  </w:style>
  <w:style w:type="table" w:styleId="1028" w:customStyle="1">
    <w:name w:val="网格型1"/>
    <w:basedOn w:val="968"/>
    <w:uiPriority w:val="0"/>
    <w:qFormat/>
    <w:pPr>
      <w:jc w:val="both"/>
      <w:widowControl w:val="off"/>
    </w:pPr>
    <w:rPr>
      <w:rFonts w:ascii="Times New Roman" w:hAnsi="Times New Roman" w:eastAsia="宋体" w:cs="Times New Roman"/>
      <w:sz w:val="20"/>
      <w:szCs w:val="20"/>
    </w:rPr>
    <w:tblPr/>
  </w:style>
  <w:style w:type="character" w:styleId="1029" w:customStyle="1">
    <w:name w:val="要点1"/>
    <w:link w:val="774"/>
    <w:uiPriority w:val="22"/>
    <w:qFormat/>
    <w:rPr>
      <w:b/>
      <w:bCs/>
    </w:rPr>
  </w:style>
  <w:style w:type="character" w:styleId="1030" w:customStyle="1">
    <w:name w:val="页码1"/>
    <w:link w:val="774"/>
    <w:uiPriority w:val="0"/>
    <w:qFormat/>
  </w:style>
  <w:style w:type="character" w:styleId="1031" w:customStyle="1">
    <w:name w:val="已访问的超链接1"/>
    <w:link w:val="774"/>
    <w:uiPriority w:val="0"/>
    <w:qFormat/>
    <w:rPr>
      <w:color w:val="800080"/>
      <w:u w:val="single"/>
    </w:rPr>
  </w:style>
  <w:style w:type="character" w:styleId="1032" w:customStyle="1">
    <w:name w:val="超链接1"/>
    <w:link w:val="774"/>
    <w:uiPriority w:val="0"/>
    <w:qFormat/>
    <w:rPr>
      <w:color w:val="0000ff"/>
      <w:u w:val="single"/>
    </w:rPr>
  </w:style>
  <w:style w:type="character" w:styleId="1033" w:customStyle="1">
    <w:name w:val="批注引用1"/>
    <w:link w:val="774"/>
    <w:uiPriority w:val="0"/>
    <w:semiHidden/>
    <w:qFormat/>
    <w:rPr>
      <w:sz w:val="21"/>
      <w:szCs w:val="21"/>
    </w:rPr>
  </w:style>
  <w:style w:type="character" w:styleId="1034" w:customStyle="1">
    <w:name w:val="font5 Char"/>
    <w:link w:val="774"/>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b/>
      <w:sz w:val="30"/>
      <w:szCs w:val="28"/>
      <w:lang w:val="en-US" w:eastAsia="zh-CN" w:bidi="ar-SA"/>
    </w:rPr>
  </w:style>
  <w:style w:type="paragraph" w:styleId="1036" w:customStyle="1">
    <w:name w:val="二级目录"/>
    <w:next w:val="774"/>
    <w:link w:val="103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7" w:customStyle="1">
    <w:name w:val="列出段落 Char"/>
    <w:link w:val="1038"/>
    <w:uiPriority w:val="0"/>
    <w:qFormat/>
    <w:rPr>
      <w:rFonts w:ascii="Calibri" w:hAnsi="Calibri"/>
      <w:sz w:val="24"/>
      <w:szCs w:val="24"/>
      <w:lang w:eastAsia="en-US" w:bidi="en-US"/>
    </w:rPr>
  </w:style>
  <w:style w:type="paragraph" w:styleId="1038" w:customStyle="1">
    <w:name w:val="列出段落1"/>
    <w:basedOn w:val="774"/>
    <w:link w:val="1037"/>
    <w:uiPriority w:val="0"/>
    <w:qFormat/>
    <w:pPr>
      <w:contextualSpacing/>
      <w:ind w:left="720"/>
      <w:jc w:val="left"/>
      <w:widowControl/>
    </w:pPr>
    <w:rPr>
      <w:rFonts w:ascii="Calibri" w:hAnsi="Calibri"/>
      <w:sz w:val="24"/>
      <w:szCs w:val="24"/>
      <w:lang w:val="en-US" w:eastAsia="en-US" w:bidi="en-US"/>
    </w:rPr>
  </w:style>
  <w:style w:type="paragraph" w:styleId="1039" w:customStyle="1">
    <w:name w:val="Body Text(ch)"/>
    <w:basedOn w:val="774"/>
    <w:next w:val="988"/>
    <w:uiPriority w:val="0"/>
    <w:qFormat/>
    <w:pPr>
      <w:spacing w:after="120"/>
    </w:pPr>
    <w:rPr>
      <w:rFonts w:ascii="宋体" w:hAnsi="Arial" w:eastAsia="宋体" w:cs="Times New Roman"/>
      <w:bCs/>
      <w:iCs/>
      <w:szCs w:val="24"/>
    </w:rPr>
  </w:style>
  <w:style w:type="paragraph" w:styleId="1040"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customStyle="1">
    <w:name w:val="Char"/>
    <w:basedOn w:val="774"/>
    <w:uiPriority w:val="0"/>
    <w:qFormat/>
    <w:pPr>
      <w:ind w:firstLine="200"/>
      <w:tabs>
        <w:tab w:val="left" w:pos="360" w:leader="none"/>
      </w:tabs>
    </w:pPr>
    <w:rPr>
      <w:rFonts w:ascii="Times New Roman" w:hAnsi="Times New Roman" w:eastAsia="宋体" w:cs="Times New Roman"/>
      <w:sz w:val="28"/>
      <w:szCs w:val="30"/>
    </w:rPr>
  </w:style>
  <w:style w:type="paragraph" w:styleId="1043" w:customStyle="1">
    <w:name w:val=" Char"/>
    <w:basedOn w:val="982"/>
    <w:uiPriority w:val="0"/>
    <w:qFormat/>
    <w:rPr>
      <w:rFonts w:ascii="Tahoma" w:hAnsi="Tahoma"/>
      <w:sz w:val="24"/>
      <w:szCs w:val="24"/>
    </w:rPr>
  </w:style>
  <w:style w:type="paragraph" w:styleId="1044" w:customStyle="1">
    <w:name w:val="普通正文"/>
    <w:basedOn w:val="774"/>
    <w:uiPriority w:val="0"/>
    <w:qFormat/>
    <w:pPr>
      <w:ind w:firstLine="480"/>
      <w:jc w:val="left"/>
      <w:spacing w:before="120" w:after="120" w:line="360" w:lineRule="auto"/>
    </w:pPr>
    <w:rPr>
      <w:rFonts w:ascii="Arial" w:hAnsi="Arial" w:eastAsia="宋体" w:cs="Times New Roman"/>
      <w:sz w:val="24"/>
      <w:szCs w:val="24"/>
    </w:rPr>
  </w:style>
  <w:style w:type="paragraph" w:styleId="1045" w:customStyle="1">
    <w:name w:val="table_lines"/>
    <w:basedOn w:val="774"/>
    <w:uiPriority w:val="0"/>
    <w:qFormat/>
    <w:pPr>
      <w:jc w:val="left"/>
      <w:widowControl/>
    </w:pPr>
    <w:rPr>
      <w:rFonts w:ascii="Times New Roman" w:hAnsi="Times New Roman" w:eastAsia="宋体" w:cs="Times New Roman"/>
      <w:sz w:val="20"/>
      <w:szCs w:val="20"/>
      <w:lang w:val="de-DE" w:eastAsia="de-DE"/>
    </w:rPr>
  </w:style>
  <w:style w:type="paragraph" w:styleId="104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7" w:customStyle="1">
    <w:name w:val="font7"/>
    <w:basedOn w:val="77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 Char Char Char Char"/>
    <w:basedOn w:val="982"/>
    <w:uiPriority w:val="0"/>
    <w:qFormat/>
    <w:pPr>
      <w:spacing w:line="360" w:lineRule="auto"/>
    </w:pPr>
    <w:rPr>
      <w:rFonts w:ascii="Tahoma" w:hAnsi="Tahoma"/>
      <w:sz w:val="24"/>
      <w:szCs w:val="24"/>
    </w:rPr>
  </w:style>
  <w:style w:type="paragraph" w:styleId="1049" w:customStyle="1">
    <w:name w:val="列出段落"/>
    <w:basedOn w:val="774"/>
    <w:uiPriority w:val="0"/>
    <w:qFormat/>
    <w:pPr>
      <w:contextualSpacing/>
      <w:ind w:left="720"/>
      <w:jc w:val="left"/>
      <w:widowControl/>
    </w:pPr>
    <w:rPr>
      <w:rFonts w:ascii="Calibri" w:hAnsi="Calibri" w:eastAsia="宋体" w:cs="Times New Roman"/>
      <w:sz w:val="24"/>
      <w:szCs w:val="24"/>
      <w:lang w:eastAsia="en-US" w:bidi="en-US"/>
    </w:rPr>
  </w:style>
  <w:style w:type="paragraph" w:styleId="1050" w:customStyle="1">
    <w:name w:val="4"/>
    <w:basedOn w:val="774"/>
    <w:next w:val="1013"/>
    <w:uiPriority w:val="0"/>
    <w:qFormat/>
    <w:pPr>
      <w:ind w:firstLine="420"/>
      <w:spacing w:line="360" w:lineRule="auto"/>
    </w:pPr>
    <w:rPr>
      <w:rFonts w:ascii="Times New Roman" w:hAnsi="Times New Roman" w:eastAsia="宋体" w:cs="Times New Roman"/>
      <w:color w:val="ff0000"/>
      <w:sz w:val="24"/>
      <w:szCs w:val="24"/>
    </w:rPr>
  </w:style>
  <w:style w:type="paragraph" w:styleId="1051" w:customStyle="1">
    <w:name w:val="普通 (Web)"/>
    <w:basedOn w:val="774"/>
    <w:uiPriority w:val="0"/>
    <w:qFormat/>
    <w:pPr>
      <w:jc w:val="left"/>
      <w:spacing w:before="100" w:beforeAutospacing="1" w:after="100" w:afterAutospacing="1"/>
      <w:widowControl/>
    </w:pPr>
    <w:rPr>
      <w:rFonts w:ascii="宋体" w:hAnsi="宋体" w:eastAsia="宋体" w:cs="Times New Roman"/>
      <w:sz w:val="24"/>
      <w:szCs w:val="24"/>
    </w:rPr>
  </w:style>
  <w:style w:type="paragraph" w:styleId="1052" w:customStyle="1">
    <w:name w:val=" Char Char Char Char Char Char Char Char Char Char"/>
    <w:basedOn w:val="774"/>
    <w:uiPriority w:val="0"/>
    <w:qFormat/>
    <w:pPr>
      <w:spacing w:line="360" w:lineRule="auto"/>
    </w:pPr>
    <w:rPr>
      <w:rFonts w:ascii="Times New Roman" w:hAnsi="Times New Roman" w:eastAsia="宋体" w:cs="Times New Roman"/>
      <w:sz w:val="24"/>
      <w:szCs w:val="20"/>
    </w:rPr>
  </w:style>
  <w:style w:type="paragraph" w:styleId="1053" w:customStyle="1">
    <w:name w:val="样式1"/>
    <w:basedOn w:val="774"/>
    <w:uiPriority w:val="0"/>
    <w:qFormat/>
    <w:pPr>
      <w:numPr>
        <w:ilvl w:val="0"/>
        <w:numId w:val="4"/>
      </w:numPr>
    </w:pPr>
    <w:rPr>
      <w:rFonts w:ascii="宋体" w:hAnsi="宋体" w:eastAsia="宋体" w:cs="Times New Roman"/>
      <w:szCs w:val="21"/>
    </w:rPr>
  </w:style>
  <w:style w:type="paragraph" w:styleId="1054" w:customStyle="1">
    <w:name w:val="font6"/>
    <w:basedOn w:val="77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5"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7" w:customStyle="1">
    <w:name w:val="标题3"/>
    <w:basedOn w:val="774"/>
    <w:next w:val="774"/>
    <w:uiPriority w:val="0"/>
    <w:qFormat/>
    <w:pPr>
      <w:ind w:firstLine="624"/>
      <w:spacing w:line="590" w:lineRule="atLeast"/>
    </w:pPr>
    <w:rPr>
      <w:rFonts w:ascii="方正黑体_GBK" w:hAnsi="Times New Roman" w:eastAsia="方正黑体_GBK" w:cs="Times New Roman"/>
      <w:sz w:val="32"/>
      <w:szCs w:val="32"/>
    </w:rPr>
  </w:style>
  <w:style w:type="paragraph" w:styleId="1058"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0" w:customStyle="1">
    <w:name w:val="Char Char Char Char Char Char Char Char"/>
    <w:basedOn w:val="774"/>
    <w:uiPriority w:val="0"/>
    <w:qFormat/>
    <w:pPr>
      <w:jc w:val="left"/>
      <w:spacing w:after="160" w:line="240" w:lineRule="exact"/>
      <w:widowControl/>
    </w:pPr>
    <w:rPr>
      <w:rFonts w:ascii="Verdana" w:hAnsi="Verdana" w:eastAsia="宋体" w:cs="Times New Roman"/>
      <w:sz w:val="20"/>
      <w:szCs w:val="20"/>
      <w:lang w:eastAsia="en-US"/>
    </w:rPr>
  </w:style>
  <w:style w:type="paragraph" w:styleId="1061"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2" w:customStyle="1">
    <w:name w:val=" Char Char Char Char Char Char Char Char"/>
    <w:basedOn w:val="774"/>
    <w:uiPriority w:val="0"/>
    <w:qFormat/>
    <w:pPr>
      <w:jc w:val="left"/>
      <w:spacing w:after="160" w:line="240" w:lineRule="exact"/>
      <w:widowControl/>
    </w:pPr>
    <w:rPr>
      <w:rFonts w:ascii="Verdana" w:hAnsi="Verdana" w:eastAsia="宋体" w:cs="Times New Roman"/>
      <w:sz w:val="20"/>
      <w:szCs w:val="20"/>
      <w:lang w:eastAsia="en-US"/>
    </w:rPr>
  </w:style>
  <w:style w:type="paragraph" w:styleId="1063" w:customStyle="1">
    <w:name w:val="xl30"/>
    <w:basedOn w:val="77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4" w:customStyle="1">
    <w:name w:val="Char Char Char Char"/>
    <w:basedOn w:val="982"/>
    <w:uiPriority w:val="0"/>
    <w:qFormat/>
    <w:pPr>
      <w:spacing w:line="360" w:lineRule="auto"/>
    </w:pPr>
    <w:rPr>
      <w:rFonts w:ascii="Tahoma" w:hAnsi="Tahoma"/>
      <w:sz w:val="24"/>
      <w:szCs w:val="24"/>
    </w:rPr>
  </w:style>
  <w:style w:type="paragraph" w:styleId="1065" w:customStyle="1">
    <w:name w:val="table_1stline"/>
    <w:basedOn w:val="77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6" w:customStyle="1">
    <w:name w:val="font5"/>
    <w:basedOn w:val="77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7" w:customStyle="1">
    <w:name w:val="标题1"/>
    <w:basedOn w:val="774"/>
    <w:next w:val="7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正文1"/>
    <w:basedOn w:val="774"/>
    <w:next w:val="1071"/>
    <w:uiPriority w:val="0"/>
    <w:qFormat/>
    <w:pPr>
      <w:jc w:val="left"/>
      <w:spacing w:line="360" w:lineRule="atLeast"/>
    </w:pPr>
    <w:rPr>
      <w:rFonts w:ascii="宋体" w:hAnsi="Calibri" w:eastAsia="宋体" w:cs="Times New Roman"/>
      <w:sz w:val="24"/>
      <w:szCs w:val="20"/>
    </w:rPr>
  </w:style>
  <w:style w:type="paragraph" w:styleId="1071" w:customStyle="1">
    <w:name w:val="正文文本1"/>
    <w:basedOn w:val="1070"/>
    <w:next w:val="1072"/>
    <w:uiPriority w:val="0"/>
    <w:qFormat/>
    <w:pPr>
      <w:spacing w:after="120"/>
    </w:pPr>
    <w:rPr>
      <w:lang w:val="en-US" w:eastAsia="en-US"/>
    </w:rPr>
  </w:style>
  <w:style w:type="paragraph" w:styleId="1072" w:customStyle="1">
    <w:name w:val="一级条标题"/>
    <w:basedOn w:val="1073"/>
    <w:next w:val="10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customStyle="1">
    <w:name w:val="章标题"/>
    <w:next w:val="7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4" w:customStyle="1">
    <w:name w:val="段"/>
    <w:basedOn w:val="1070"/>
    <w:next w:val="774"/>
    <w:uiPriority w:val="0"/>
    <w:qFormat/>
    <w:pPr>
      <w:ind w:firstLine="200"/>
      <w:widowControl/>
    </w:pPr>
    <w:rPr>
      <w:rFonts w:ascii="宋体"/>
      <w:sz w:val="20"/>
      <w:szCs w:val="20"/>
    </w:rPr>
  </w:style>
  <w:style w:type="paragraph" w:styleId="1075" w:customStyle="1">
    <w:name w:val="纯文本1"/>
    <w:basedOn w:val="774"/>
    <w:uiPriority w:val="0"/>
    <w:qFormat/>
    <w:rPr>
      <w:rFonts w:ascii="宋体" w:hAnsi="Courier New" w:eastAsia="楷体_GB2312"/>
      <w:sz w:val="28"/>
      <w:szCs w:val="20"/>
    </w:rPr>
  </w:style>
  <w:style w:type="paragraph" w:styleId="1076" w:customStyle="1">
    <w:name w:val="Table Paragraph"/>
    <w:basedOn w:val="774"/>
    <w:uiPriority w:val="1"/>
    <w:qFormat/>
    <w:pPr>
      <w:jc w:val="left"/>
      <w:spacing w:line="360" w:lineRule="auto"/>
    </w:pPr>
    <w:rPr>
      <w:sz w:val="24"/>
    </w:rPr>
  </w:style>
  <w:style w:type="paragraph" w:styleId="1077"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table" w:styleId="1078" w:customStyle="1">
    <w:name w:val="Table Normal"/>
    <w:uiPriority w:val="2"/>
    <w:qFormat/>
    <w:rPr>
      <w:lang w:val="en-US" w:eastAsia="zh-CN" w:bidi="ar-SA"/>
    </w:rPr>
    <w:tblPr/>
  </w:style>
  <w:style w:type="paragraph" w:styleId="1079" w:customStyle="1">
    <w:name w:val="条题"/>
    <w:basedOn w:val="774"/>
    <w:uiPriority w:val="0"/>
    <w:qFormat/>
    <w:pPr>
      <w:numPr>
        <w:ilvl w:val="0"/>
        <w:numId w:val="5"/>
      </w:numPr>
      <w:ind w:right="480"/>
      <w:spacing w:line="420" w:lineRule="exact"/>
      <w:tabs>
        <w:tab w:val="left" w:pos="1080" w:leader="none"/>
      </w:tabs>
    </w:pPr>
    <w:rPr>
      <w:sz w:val="24"/>
      <w:szCs w:val="24"/>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吴佳骐</dc:creator>
  <cp:lastModifiedBy>唐磊</cp:lastModifiedBy>
  <cp:revision>18</cp:revision>
  <dcterms:created xsi:type="dcterms:W3CDTF">2025-01-13T07:18:00Z</dcterms:created>
  <dcterms:modified xsi:type="dcterms:W3CDTF">2026-06-18T09:28:47Z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eyJoZGlkIjoiZjgyMDE5YTM0MmM5NTViY2U1ZjNlMTQ3ZjY4ZTY4NjUifQ==</vt:lpwstr>
  </property>
  <property fmtid="{D5CDD505-2E9C-101B-9397-08002B2CF9AE}" pid="3" name="KSOProductBuildVer">
    <vt:lpwstr>2052-12.1.0.24034</vt:lpwstr>
  </property>
  <property fmtid="{D5CDD505-2E9C-101B-9397-08002B2CF9AE}" pid="4" name="ICV">
    <vt:lpwstr>BFB286E1D0C34343B6605713ACA71365_13</vt:lpwstr>
  </property>
</Properties>
</file>