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080D6">
      <w:pPr>
        <w:spacing w:line="360" w:lineRule="auto"/>
        <w:ind w:firstLine="420"/>
        <w:jc w:val="right"/>
        <w:rPr>
          <w:rFonts w:hint="default" w:ascii="宋体" w:hAnsi="宋体" w:eastAsia="宋体" w:cs="宋体"/>
          <w:color w:val="auto"/>
          <w:sz w:val="40"/>
          <w:szCs w:val="24"/>
          <w:highlight w:val="red"/>
          <w:lang w:val="en-US" w:eastAsia="zh-CN"/>
        </w:rPr>
      </w:pPr>
      <w:bookmarkStart w:id="0" w:name="_Hlk69393945"/>
      <w:bookmarkStart w:id="1" w:name="_Toc528771312"/>
      <w:bookmarkStart w:id="2" w:name="_Toc27744861"/>
      <w:r>
        <w:rPr>
          <w:rFonts w:hint="eastAsia" w:ascii="宋体" w:hAnsi="宋体" w:eastAsia="宋体" w:cs="宋体"/>
          <w:b/>
          <w:bCs/>
          <w:color w:val="auto"/>
          <w:sz w:val="28"/>
          <w:szCs w:val="20"/>
          <w:highlight w:val="none"/>
          <w:lang w:val="en-US" w:eastAsia="zh-CN"/>
        </w:rPr>
        <w:t xml:space="preserve"> </w:t>
      </w:r>
      <w:r>
        <w:rPr>
          <w:rFonts w:hint="eastAsia" w:ascii="宋体" w:hAnsi="宋体" w:eastAsia="宋体" w:cs="宋体"/>
          <w:b/>
          <w:bCs/>
          <w:color w:val="auto"/>
          <w:sz w:val="28"/>
          <w:szCs w:val="28"/>
          <w:highlight w:val="none"/>
        </w:rPr>
        <w:t>编号：</w:t>
      </w:r>
      <w:r>
        <w:rPr>
          <w:rFonts w:hint="eastAsia" w:ascii="宋体" w:hAnsi="宋体" w:cs="宋体"/>
          <w:b/>
          <w:bCs/>
          <w:color w:val="auto"/>
          <w:sz w:val="28"/>
          <w:szCs w:val="28"/>
          <w:highlight w:val="none"/>
          <w:lang w:val="en-US" w:eastAsia="zh-CN"/>
        </w:rPr>
        <w:t>JSZC-321000-NTGC-C2026-0008</w:t>
      </w:r>
    </w:p>
    <w:p w14:paraId="07AD0198">
      <w:pPr>
        <w:pStyle w:val="51"/>
        <w:spacing w:before="0" w:after="0" w:line="360" w:lineRule="auto"/>
        <w:rPr>
          <w:rFonts w:hint="eastAsia" w:ascii="宋体" w:hAnsi="宋体" w:eastAsia="宋体" w:cs="宋体"/>
          <w:color w:val="auto"/>
          <w:highlight w:val="none"/>
        </w:rPr>
      </w:pPr>
    </w:p>
    <w:p w14:paraId="505D6E81">
      <w:pPr>
        <w:spacing w:line="360" w:lineRule="auto"/>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学校食堂、实训楼、宿舍等内外墙粉刷、顶层防水及办公区吊顶项目</w:t>
      </w:r>
      <w:r>
        <w:rPr>
          <w:rFonts w:hint="eastAsia" w:ascii="宋体" w:hAnsi="宋体" w:eastAsia="宋体" w:cs="宋体"/>
          <w:b/>
          <w:bCs/>
          <w:color w:val="auto"/>
          <w:sz w:val="32"/>
          <w:szCs w:val="32"/>
          <w:highlight w:val="none"/>
        </w:rPr>
        <w:t>竞争性磋商文件</w:t>
      </w:r>
    </w:p>
    <w:p w14:paraId="7680C025">
      <w:pPr>
        <w:spacing w:line="360" w:lineRule="auto"/>
        <w:jc w:val="center"/>
        <w:rPr>
          <w:rFonts w:hint="eastAsia" w:ascii="宋体" w:hAnsi="宋体" w:eastAsia="宋体" w:cs="宋体"/>
          <w:color w:val="auto"/>
          <w:sz w:val="36"/>
          <w:highlight w:val="none"/>
        </w:rPr>
      </w:pPr>
    </w:p>
    <w:p w14:paraId="6B5047AB">
      <w:pPr>
        <w:spacing w:line="360" w:lineRule="auto"/>
        <w:jc w:val="center"/>
        <w:rPr>
          <w:rFonts w:hint="eastAsia" w:ascii="宋体" w:hAnsi="宋体" w:eastAsia="宋体" w:cs="宋体"/>
          <w:color w:val="auto"/>
          <w:sz w:val="36"/>
          <w:highlight w:val="none"/>
        </w:rPr>
      </w:pPr>
    </w:p>
    <w:p w14:paraId="0CA21ED0">
      <w:pPr>
        <w:pStyle w:val="25"/>
        <w:rPr>
          <w:rFonts w:hint="eastAsia" w:ascii="宋体" w:hAnsi="宋体" w:eastAsia="宋体" w:cs="宋体"/>
          <w:color w:val="auto"/>
          <w:highlight w:val="none"/>
        </w:rPr>
      </w:pPr>
    </w:p>
    <w:p w14:paraId="415E1B23">
      <w:pPr>
        <w:pStyle w:val="25"/>
        <w:rPr>
          <w:rFonts w:hint="eastAsia" w:ascii="宋体" w:hAnsi="宋体" w:eastAsia="宋体" w:cs="宋体"/>
          <w:color w:val="auto"/>
          <w:highlight w:val="none"/>
        </w:rPr>
      </w:pPr>
    </w:p>
    <w:p w14:paraId="0EE23215">
      <w:pPr>
        <w:pStyle w:val="25"/>
        <w:rPr>
          <w:rFonts w:hint="eastAsia" w:ascii="宋体" w:hAnsi="宋体" w:eastAsia="宋体" w:cs="宋体"/>
          <w:color w:val="auto"/>
          <w:highlight w:val="none"/>
        </w:rPr>
      </w:pPr>
    </w:p>
    <w:p w14:paraId="40304FE3">
      <w:pPr>
        <w:pStyle w:val="25"/>
        <w:rPr>
          <w:rFonts w:hint="eastAsia" w:ascii="宋体" w:hAnsi="宋体" w:eastAsia="宋体" w:cs="宋体"/>
          <w:color w:val="auto"/>
          <w:highlight w:val="none"/>
        </w:rPr>
      </w:pPr>
    </w:p>
    <w:p w14:paraId="31D14341">
      <w:pPr>
        <w:pStyle w:val="25"/>
        <w:rPr>
          <w:rFonts w:hint="eastAsia" w:ascii="宋体" w:hAnsi="宋体" w:eastAsia="宋体" w:cs="宋体"/>
          <w:color w:val="auto"/>
          <w:highlight w:val="none"/>
        </w:rPr>
      </w:pPr>
    </w:p>
    <w:p w14:paraId="4636E752">
      <w:pPr>
        <w:pStyle w:val="25"/>
        <w:rPr>
          <w:rFonts w:hint="eastAsia" w:ascii="宋体" w:hAnsi="宋体" w:eastAsia="宋体" w:cs="宋体"/>
          <w:color w:val="auto"/>
          <w:highlight w:val="none"/>
        </w:rPr>
      </w:pPr>
    </w:p>
    <w:p w14:paraId="3384E018">
      <w:pPr>
        <w:pStyle w:val="25"/>
        <w:rPr>
          <w:rFonts w:hint="eastAsia" w:ascii="宋体" w:hAnsi="宋体" w:eastAsia="宋体" w:cs="宋体"/>
          <w:color w:val="auto"/>
          <w:highlight w:val="none"/>
        </w:rPr>
      </w:pPr>
    </w:p>
    <w:p w14:paraId="61980BD4">
      <w:pPr>
        <w:pStyle w:val="25"/>
        <w:rPr>
          <w:rFonts w:hint="eastAsia" w:ascii="宋体" w:hAnsi="宋体" w:eastAsia="宋体" w:cs="宋体"/>
          <w:color w:val="auto"/>
          <w:highlight w:val="none"/>
        </w:rPr>
      </w:pPr>
    </w:p>
    <w:p w14:paraId="5E6990FA">
      <w:pPr>
        <w:pStyle w:val="25"/>
        <w:rPr>
          <w:rFonts w:hint="eastAsia" w:ascii="宋体" w:hAnsi="宋体" w:eastAsia="宋体" w:cs="宋体"/>
          <w:color w:val="auto"/>
          <w:highlight w:val="none"/>
        </w:rPr>
      </w:pPr>
    </w:p>
    <w:p w14:paraId="19E6DE05">
      <w:pPr>
        <w:pStyle w:val="25"/>
        <w:rPr>
          <w:rFonts w:hint="eastAsia" w:ascii="宋体" w:hAnsi="宋体" w:eastAsia="宋体" w:cs="宋体"/>
          <w:color w:val="auto"/>
          <w:highlight w:val="none"/>
        </w:rPr>
      </w:pPr>
    </w:p>
    <w:p w14:paraId="7B7AAE5B">
      <w:pPr>
        <w:pStyle w:val="25"/>
        <w:rPr>
          <w:rFonts w:hint="eastAsia" w:ascii="宋体" w:hAnsi="宋体" w:eastAsia="宋体" w:cs="宋体"/>
          <w:color w:val="auto"/>
          <w:highlight w:val="none"/>
        </w:rPr>
      </w:pPr>
    </w:p>
    <w:p w14:paraId="0A0C1E17">
      <w:pPr>
        <w:pStyle w:val="25"/>
        <w:rPr>
          <w:rFonts w:hint="eastAsia" w:ascii="宋体" w:hAnsi="宋体" w:eastAsia="宋体" w:cs="宋体"/>
          <w:color w:val="auto"/>
          <w:highlight w:val="none"/>
        </w:rPr>
      </w:pPr>
    </w:p>
    <w:p w14:paraId="16FA1505">
      <w:pPr>
        <w:pStyle w:val="25"/>
        <w:rPr>
          <w:rFonts w:hint="eastAsia" w:ascii="宋体" w:hAnsi="宋体" w:eastAsia="宋体" w:cs="宋体"/>
          <w:color w:val="auto"/>
          <w:highlight w:val="none"/>
        </w:rPr>
      </w:pPr>
    </w:p>
    <w:p w14:paraId="4A8E2C9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0"/>
        <w:jc w:val="center"/>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rPr>
        <w:t>采购人：</w:t>
      </w:r>
      <w:r>
        <w:rPr>
          <w:rFonts w:hint="eastAsia" w:ascii="宋体" w:hAnsi="宋体" w:cs="宋体"/>
          <w:b/>
          <w:color w:val="auto"/>
          <w:sz w:val="28"/>
          <w:szCs w:val="28"/>
          <w:highlight w:val="none"/>
          <w:lang w:eastAsia="zh-CN"/>
        </w:rPr>
        <w:t>扬州高等职业技术学校</w:t>
      </w:r>
    </w:p>
    <w:p w14:paraId="07978EA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0"/>
        <w:jc w:val="center"/>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rPr>
        <w:t>采购代理机构：</w:t>
      </w:r>
      <w:r>
        <w:rPr>
          <w:rFonts w:hint="eastAsia" w:ascii="宋体" w:hAnsi="宋体" w:cs="宋体"/>
          <w:b/>
          <w:color w:val="auto"/>
          <w:sz w:val="28"/>
          <w:szCs w:val="28"/>
          <w:highlight w:val="none"/>
          <w:lang w:eastAsia="zh-CN"/>
        </w:rPr>
        <w:t>江苏皋诚工程项目管理有限公司扬州分公司</w:t>
      </w:r>
    </w:p>
    <w:p w14:paraId="65A9B56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0"/>
        <w:jc w:val="center"/>
        <w:rPr>
          <w:rFonts w:hint="eastAsia" w:ascii="宋体" w:hAnsi="宋体" w:eastAsia="宋体" w:cs="宋体"/>
          <w:b/>
          <w:bCs w:val="0"/>
          <w:color w:val="auto"/>
          <w:sz w:val="28"/>
          <w:szCs w:val="28"/>
          <w:highlight w:val="none"/>
        </w:rPr>
      </w:pPr>
      <w:r>
        <w:rPr>
          <w:rFonts w:hint="eastAsia" w:ascii="宋体" w:hAnsi="宋体" w:eastAsia="宋体" w:cs="宋体"/>
          <w:b/>
          <w:color w:val="auto"/>
          <w:sz w:val="28"/>
          <w:szCs w:val="28"/>
          <w:highlight w:val="none"/>
        </w:rPr>
        <w:t>发放日期：</w:t>
      </w:r>
      <w:r>
        <w:rPr>
          <w:rFonts w:hint="eastAsia" w:ascii="宋体" w:hAnsi="宋体" w:eastAsia="宋体" w:cs="宋体"/>
          <w:b/>
          <w:bCs w:val="0"/>
          <w:color w:val="auto"/>
          <w:sz w:val="28"/>
          <w:szCs w:val="28"/>
          <w:highlight w:val="none"/>
        </w:rPr>
        <w:t>202</w:t>
      </w:r>
      <w:r>
        <w:rPr>
          <w:rFonts w:hint="eastAsia" w:ascii="宋体" w:hAnsi="宋体" w:eastAsia="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年</w:t>
      </w:r>
      <w:r>
        <w:rPr>
          <w:rFonts w:hint="eastAsia" w:ascii="宋体" w:hAnsi="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月</w:t>
      </w:r>
      <w:r>
        <w:rPr>
          <w:rFonts w:hint="eastAsia" w:ascii="宋体" w:hAnsi="宋体" w:cs="宋体"/>
          <w:b/>
          <w:bCs w:val="0"/>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b/>
          <w:bCs w:val="0"/>
          <w:color w:val="auto"/>
          <w:sz w:val="28"/>
          <w:szCs w:val="28"/>
          <w:highlight w:val="none"/>
        </w:rPr>
        <w:t>日</w:t>
      </w:r>
    </w:p>
    <w:p w14:paraId="0966A885">
      <w:pPr>
        <w:spacing w:line="360" w:lineRule="auto"/>
        <w:jc w:val="center"/>
        <w:rPr>
          <w:rFonts w:hint="eastAsia" w:ascii="宋体" w:hAnsi="宋体" w:eastAsia="宋体" w:cs="宋体"/>
          <w:b/>
          <w:bCs/>
          <w:color w:val="auto"/>
          <w:sz w:val="36"/>
          <w:highlight w:val="none"/>
        </w:rPr>
      </w:pPr>
    </w:p>
    <w:p w14:paraId="40120E25">
      <w:pP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clear="all"/>
      </w:r>
    </w:p>
    <w:p w14:paraId="4CC8ADF6">
      <w:pPr>
        <w:spacing w:line="360" w:lineRule="auto"/>
        <w:jc w:val="center"/>
        <w:rPr>
          <w:rFonts w:hint="eastAsia" w:ascii="宋体" w:hAnsi="宋体" w:eastAsia="宋体" w:cs="宋体"/>
          <w:b/>
          <w:bCs/>
          <w:color w:val="auto"/>
          <w:sz w:val="32"/>
          <w:highlight w:val="none"/>
          <w:lang w:val="en-US" w:eastAsia="zh-CN"/>
        </w:rPr>
      </w:pPr>
      <w:r>
        <w:rPr>
          <w:rFonts w:hint="eastAsia" w:ascii="宋体" w:hAnsi="宋体" w:eastAsia="宋体" w:cs="宋体"/>
          <w:b/>
          <w:bCs/>
          <w:color w:val="auto"/>
          <w:sz w:val="32"/>
          <w:highlight w:val="none"/>
        </w:rPr>
        <w:t>目 录</w:t>
      </w:r>
    </w:p>
    <w:p w14:paraId="532DBC5D">
      <w:pPr>
        <w:spacing w:line="360" w:lineRule="auto"/>
        <w:jc w:val="center"/>
        <w:rPr>
          <w:rFonts w:hint="eastAsia" w:ascii="宋体" w:hAnsi="宋体" w:eastAsia="宋体" w:cs="宋体"/>
          <w:b/>
          <w:bCs/>
          <w:color w:val="auto"/>
          <w:sz w:val="32"/>
          <w:highlight w:val="none"/>
        </w:rPr>
      </w:pPr>
    </w:p>
    <w:p w14:paraId="47F945D1">
      <w:pPr>
        <w:pStyle w:val="283"/>
        <w:tabs>
          <w:tab w:val="right" w:leader="dot" w:pos="8296"/>
        </w:tabs>
        <w:spacing w:line="60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28"/>
          <w:highlight w:val="none"/>
        </w:rPr>
        <w:fldChar w:fldCharType="begin"/>
      </w:r>
      <w:r>
        <w:rPr>
          <w:rFonts w:hint="eastAsia" w:ascii="宋体" w:hAnsi="宋体" w:eastAsia="宋体" w:cs="宋体"/>
          <w:color w:val="auto"/>
          <w:sz w:val="28"/>
          <w:highlight w:val="none"/>
        </w:rPr>
        <w:instrText xml:space="preserve"> TOC \o "1-3" \f </w:instrText>
      </w:r>
      <w:r>
        <w:rPr>
          <w:rFonts w:hint="eastAsia" w:ascii="宋体" w:hAnsi="宋体" w:eastAsia="宋体" w:cs="宋体"/>
          <w:color w:val="auto"/>
          <w:sz w:val="28"/>
          <w:highlight w:val="none"/>
        </w:rPr>
        <w:fldChar w:fldCharType="separate"/>
      </w:r>
      <w:r>
        <w:rPr>
          <w:rFonts w:hint="eastAsia" w:ascii="宋体" w:hAnsi="宋体" w:eastAsia="宋体" w:cs="宋体"/>
          <w:color w:val="auto"/>
          <w:sz w:val="30"/>
          <w:szCs w:val="30"/>
          <w:highlight w:val="none"/>
        </w:rPr>
        <w:t>第一章 竞争性磋商采购公告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_Toc109304962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p>
    <w:p w14:paraId="64E9EC23">
      <w:pPr>
        <w:pStyle w:val="283"/>
        <w:tabs>
          <w:tab w:val="right" w:leader="dot" w:pos="8296"/>
        </w:tabs>
        <w:spacing w:line="60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第二章 磋商须知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lang w:val="en-US" w:eastAsia="zh-CN"/>
        </w:rPr>
        <w:t>5</w:t>
      </w:r>
    </w:p>
    <w:p w14:paraId="61661DCE">
      <w:pPr>
        <w:pStyle w:val="283"/>
        <w:tabs>
          <w:tab w:val="right" w:leader="dot" w:pos="8296"/>
        </w:tabs>
        <w:spacing w:line="60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第三章 合同条款及格式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_Toc109304973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cs="宋体"/>
          <w:color w:val="auto"/>
          <w:sz w:val="30"/>
          <w:szCs w:val="30"/>
          <w:highlight w:val="none"/>
          <w:lang w:val="en-US" w:eastAsia="zh-CN"/>
        </w:rPr>
        <w:t>4</w:t>
      </w:r>
      <w:r>
        <w:rPr>
          <w:rFonts w:hint="eastAsia" w:ascii="宋体" w:hAnsi="宋体" w:eastAsia="宋体" w:cs="宋体"/>
          <w:color w:val="auto"/>
          <w:sz w:val="30"/>
          <w:szCs w:val="30"/>
          <w:highlight w:val="none"/>
        </w:rPr>
        <w:fldChar w:fldCharType="end"/>
      </w:r>
    </w:p>
    <w:p w14:paraId="31D21CEC">
      <w:pPr>
        <w:pStyle w:val="283"/>
        <w:tabs>
          <w:tab w:val="right" w:leader="dot" w:pos="8296"/>
        </w:tabs>
        <w:spacing w:line="600" w:lineRule="auto"/>
        <w:jc w:val="cente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第四章 项目需求</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24</w:t>
      </w:r>
    </w:p>
    <w:p w14:paraId="33298C7F">
      <w:pPr>
        <w:pStyle w:val="283"/>
        <w:tabs>
          <w:tab w:val="right" w:leader="dot" w:pos="8296"/>
        </w:tabs>
        <w:spacing w:line="600" w:lineRule="auto"/>
        <w:jc w:val="cente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第五章 评审方法及评审标准</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29</w:t>
      </w:r>
    </w:p>
    <w:p w14:paraId="26C689E1">
      <w:pPr>
        <w:pStyle w:val="283"/>
        <w:tabs>
          <w:tab w:val="right" w:leader="dot" w:pos="8296"/>
        </w:tabs>
        <w:spacing w:line="600" w:lineRule="auto"/>
        <w:jc w:val="cente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第六章 竞争性磋商响应文件格式</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33</w:t>
      </w:r>
    </w:p>
    <w:p w14:paraId="1E34F7EE">
      <w:pPr>
        <w:spacing w:line="60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fldChar w:fldCharType="end"/>
      </w:r>
    </w:p>
    <w:p w14:paraId="67FFA903">
      <w:pPr>
        <w:spacing w:line="360" w:lineRule="auto"/>
        <w:rPr>
          <w:rFonts w:hint="eastAsia" w:ascii="宋体" w:hAnsi="宋体" w:eastAsia="宋体" w:cs="宋体"/>
          <w:color w:val="auto"/>
          <w:highlight w:val="none"/>
        </w:rPr>
      </w:pPr>
    </w:p>
    <w:p w14:paraId="21225643">
      <w:pPr>
        <w:pStyle w:val="256"/>
        <w:spacing w:line="360" w:lineRule="auto"/>
        <w:jc w:val="center"/>
        <w:rPr>
          <w:rFonts w:hint="eastAsia" w:ascii="宋体" w:hAnsi="宋体" w:eastAsia="宋体" w:cs="宋体"/>
          <w:color w:val="auto"/>
          <w:sz w:val="36"/>
          <w:szCs w:val="36"/>
          <w:highlight w:val="none"/>
        </w:rPr>
        <w:sectPr>
          <w:headerReference r:id="rId3" w:type="default"/>
          <w:pgSz w:w="11906" w:h="16838"/>
          <w:pgMar w:top="1440" w:right="1800" w:bottom="1440" w:left="1800" w:header="850" w:footer="992" w:gutter="0"/>
          <w:cols w:space="720" w:num="1"/>
          <w:docGrid w:linePitch="360" w:charSpace="0"/>
        </w:sectPr>
      </w:pPr>
      <w:bookmarkStart w:id="3" w:name="_Toc109304962"/>
    </w:p>
    <w:p w14:paraId="65985160">
      <w:pPr>
        <w:pStyle w:val="256"/>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第一章 竞争性磋商采购公告</w:t>
      </w:r>
      <w:bookmarkEnd w:id="0"/>
      <w:bookmarkEnd w:id="3"/>
    </w:p>
    <w:p w14:paraId="51EE2299">
      <w:pPr>
        <w:widowControl/>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eastAsia="zh-CN"/>
        </w:rPr>
        <w:t>扬州高等职业技术学校</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color w:val="auto"/>
          <w:szCs w:val="21"/>
          <w:highlight w:val="none"/>
        </w:rPr>
        <w:t>的委托，</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eastAsia="zh-CN"/>
        </w:rPr>
        <w:t>江苏皋诚工程项目管理有限公司扬州分公司</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color w:val="auto"/>
          <w:szCs w:val="21"/>
          <w:highlight w:val="none"/>
        </w:rPr>
        <w:t>就</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eastAsia="zh-CN"/>
        </w:rPr>
        <w:t>学校食堂、实训楼、宿舍等内外墙粉刷、顶层防水及办公区吊顶项目</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color w:val="auto"/>
          <w:szCs w:val="21"/>
          <w:highlight w:val="none"/>
        </w:rPr>
        <w:t>实施政府采购，本次采购采用竞争性磋商方式，欢迎符合条件的供应商参加磋商。</w:t>
      </w:r>
    </w:p>
    <w:p w14:paraId="24ABC8E7">
      <w:pPr>
        <w:pBdr>
          <w:top w:val="single" w:color="000000" w:sz="4" w:space="1"/>
          <w:left w:val="single" w:color="000000" w:sz="4" w:space="4"/>
          <w:bottom w:val="single" w:color="000000" w:sz="4" w:space="1"/>
          <w:right w:val="single" w:color="000000" w:sz="4" w:space="4"/>
        </w:pBd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项目概况</w:t>
      </w:r>
    </w:p>
    <w:p w14:paraId="05702838">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学校食堂、实训楼、宿舍等内外墙粉刷、顶层防水及办公区吊顶项目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的潜在供应商</w:t>
      </w:r>
      <w:r>
        <w:rPr>
          <w:rFonts w:hint="eastAsia" w:ascii="宋体" w:hAnsi="宋体" w:eastAsia="宋体" w:cs="宋体"/>
          <w:color w:val="auto"/>
          <w:szCs w:val="21"/>
          <w:highlight w:val="none"/>
          <w:u w:val="none"/>
        </w:rPr>
        <w:t>可在</w:t>
      </w:r>
      <w:r>
        <w:rPr>
          <w:rFonts w:hint="eastAsia" w:ascii="宋体" w:hAnsi="宋体" w:eastAsia="宋体" w:cs="宋体"/>
          <w:color w:val="auto"/>
          <w:szCs w:val="21"/>
          <w:highlight w:val="none"/>
          <w:u w:val="single"/>
          <w:lang w:eastAsia="zh-CN"/>
        </w:rPr>
        <w:t>“扬州市政府采购网”、“江苏政府采购网”、“中国政府采购网”</w:t>
      </w:r>
      <w:r>
        <w:rPr>
          <w:rFonts w:hint="eastAsia" w:ascii="宋体" w:hAnsi="宋体" w:eastAsia="宋体" w:cs="宋体"/>
          <w:color w:val="auto"/>
          <w:szCs w:val="21"/>
          <w:highlight w:val="none"/>
        </w:rPr>
        <w:t>自行免费下载采购文件，并于</w:t>
      </w:r>
      <w:bookmarkStart w:id="4" w:name="XMTBJSR_1"/>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202</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09</w:t>
      </w:r>
      <w:r>
        <w:rPr>
          <w:rFonts w:hint="eastAsia" w:ascii="宋体" w:hAnsi="宋体" w:eastAsia="宋体" w:cs="宋体"/>
          <w:bCs/>
          <w:color w:val="auto"/>
          <w:szCs w:val="21"/>
          <w:highlight w:val="none"/>
          <w:u w:val="single"/>
        </w:rPr>
        <w:t>点30分</w:t>
      </w:r>
      <w:bookmarkEnd w:id="4"/>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7101AFA8">
      <w:pPr>
        <w:pStyle w:val="257"/>
        <w:spacing w:before="0" w:after="0" w:line="360" w:lineRule="auto"/>
        <w:ind w:firstLine="422"/>
        <w:rPr>
          <w:rFonts w:hint="eastAsia" w:ascii="宋体" w:hAnsi="宋体" w:eastAsia="宋体" w:cs="宋体"/>
          <w:bCs w:val="0"/>
          <w:color w:val="auto"/>
          <w:sz w:val="21"/>
          <w:szCs w:val="21"/>
          <w:highlight w:val="none"/>
        </w:rPr>
      </w:pPr>
      <w:bookmarkStart w:id="5" w:name="_Toc109304963"/>
      <w:r>
        <w:rPr>
          <w:rFonts w:hint="eastAsia" w:ascii="宋体" w:hAnsi="宋体" w:eastAsia="宋体" w:cs="宋体"/>
          <w:bCs w:val="0"/>
          <w:color w:val="auto"/>
          <w:sz w:val="21"/>
          <w:szCs w:val="21"/>
          <w:highlight w:val="none"/>
        </w:rPr>
        <w:t>一、项目基本情况</w:t>
      </w:r>
      <w:bookmarkEnd w:id="5"/>
    </w:p>
    <w:p w14:paraId="610E298E">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项目编号：JSZC-321000-NTGC-C2026-0008</w:t>
      </w:r>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szCs w:val="21"/>
          <w:highlight w:val="none"/>
          <w:lang w:eastAsia="zh-CN"/>
        </w:rPr>
        <w:tab/>
      </w:r>
    </w:p>
    <w:p w14:paraId="6CB79556">
      <w:p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学校食堂、实训楼、宿舍等内外墙粉刷、顶层防水及办公区吊顶项目</w:t>
      </w:r>
    </w:p>
    <w:p w14:paraId="48CFADE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采购方式：竞争性磋商</w:t>
      </w:r>
    </w:p>
    <w:p w14:paraId="556580CE">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116.44万</w:t>
      </w:r>
      <w:r>
        <w:rPr>
          <w:rFonts w:hint="eastAsia" w:ascii="宋体" w:hAnsi="宋体" w:eastAsia="宋体" w:cs="宋体"/>
          <w:color w:val="auto"/>
          <w:szCs w:val="21"/>
          <w:highlight w:val="none"/>
          <w:lang w:val="en-US" w:eastAsia="zh-CN"/>
        </w:rPr>
        <w:t>元</w:t>
      </w:r>
    </w:p>
    <w:p w14:paraId="5821C183">
      <w:pPr>
        <w:spacing w:line="360" w:lineRule="auto"/>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color w:val="auto"/>
          <w:szCs w:val="21"/>
          <w:highlight w:val="none"/>
          <w:lang w:val="en-US" w:eastAsia="zh-CN"/>
        </w:rPr>
        <w:t>5、最高限价：</w:t>
      </w:r>
      <w:r>
        <w:rPr>
          <w:rFonts w:hint="eastAsia" w:ascii="宋体" w:hAnsi="宋体" w:cs="宋体"/>
          <w:color w:val="auto"/>
          <w:szCs w:val="21"/>
          <w:highlight w:val="none"/>
          <w:lang w:val="en-US" w:eastAsia="zh-CN"/>
        </w:rPr>
        <w:t>114.11万</w:t>
      </w:r>
      <w:r>
        <w:rPr>
          <w:rFonts w:hint="eastAsia" w:ascii="宋体" w:hAnsi="宋体" w:eastAsia="宋体" w:cs="宋体"/>
          <w:color w:val="auto"/>
          <w:szCs w:val="21"/>
          <w:highlight w:val="none"/>
          <w:lang w:val="en-US" w:eastAsia="zh-CN"/>
        </w:rPr>
        <w:t>元，报价</w:t>
      </w:r>
      <w:r>
        <w:rPr>
          <w:rFonts w:hint="eastAsia" w:ascii="宋体" w:hAnsi="宋体" w:eastAsia="宋体" w:cs="宋体"/>
          <w:color w:val="auto"/>
          <w:sz w:val="21"/>
          <w:szCs w:val="21"/>
          <w:highlight w:val="none"/>
          <w:lang w:eastAsia="zh-CN"/>
        </w:rPr>
        <w:t>超过最高限价的为无效报价，按照无效响应处理。</w:t>
      </w:r>
    </w:p>
    <w:p w14:paraId="11E2E6A9">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采购需求：</w:t>
      </w:r>
      <w:r>
        <w:rPr>
          <w:rFonts w:hint="eastAsia" w:ascii="宋体" w:hAnsi="宋体" w:cs="宋体"/>
          <w:color w:val="auto"/>
          <w:szCs w:val="21"/>
          <w:highlight w:val="none"/>
          <w:lang w:eastAsia="zh-CN"/>
        </w:rPr>
        <w:t>扬州高等职业技术学校食堂、实训楼、宿舍等内外墙粉刷、顶层防水及办公区吊顶</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详见</w:t>
      </w:r>
      <w:r>
        <w:rPr>
          <w:rFonts w:hint="eastAsia" w:ascii="宋体" w:hAnsi="宋体" w:eastAsia="宋体" w:cs="宋体"/>
          <w:color w:val="000000"/>
          <w:szCs w:val="21"/>
          <w:highlight w:val="none"/>
          <w:lang w:eastAsia="zh-CN"/>
        </w:rPr>
        <w:t>磋商文件</w:t>
      </w:r>
      <w:r>
        <w:rPr>
          <w:rFonts w:hint="eastAsia" w:ascii="宋体" w:hAnsi="宋体" w:eastAsia="宋体" w:cs="宋体"/>
          <w:color w:val="000000"/>
          <w:szCs w:val="21"/>
          <w:highlight w:val="none"/>
        </w:rPr>
        <w:t>第四章</w:t>
      </w:r>
      <w:r>
        <w:rPr>
          <w:rFonts w:hint="eastAsia" w:ascii="宋体" w:hAnsi="宋体" w:eastAsia="宋体" w:cs="宋体"/>
          <w:color w:val="000000"/>
          <w:szCs w:val="21"/>
          <w:highlight w:val="none"/>
          <w:lang w:eastAsia="zh-CN"/>
        </w:rPr>
        <w:t>项目需求</w:t>
      </w:r>
      <w:r>
        <w:rPr>
          <w:rFonts w:hint="eastAsia" w:ascii="宋体" w:hAnsi="宋体" w:eastAsia="宋体" w:cs="宋体"/>
          <w:color w:val="000000"/>
          <w:szCs w:val="21"/>
          <w:highlight w:val="none"/>
        </w:rPr>
        <w:t>。</w:t>
      </w:r>
    </w:p>
    <w:p w14:paraId="3BB86193">
      <w:pPr>
        <w:numPr>
          <w:ilvl w:val="0"/>
          <w:numId w:val="0"/>
        </w:numPr>
        <w:spacing w:line="360" w:lineRule="auto"/>
        <w:ind w:firstLine="42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合同履行期限：</w:t>
      </w:r>
      <w:r>
        <w:rPr>
          <w:rFonts w:hint="eastAsia" w:ascii="宋体" w:hAnsi="宋体" w:cs="宋体"/>
          <w:color w:val="auto"/>
          <w:szCs w:val="21"/>
          <w:highlight w:val="none"/>
          <w:lang w:val="en-US" w:eastAsia="zh-CN"/>
        </w:rPr>
        <w:t>40 日历天</w:t>
      </w:r>
    </w:p>
    <w:p w14:paraId="54C9B32A">
      <w:pPr>
        <w:numPr>
          <w:ilvl w:val="0"/>
          <w:numId w:val="0"/>
        </w:numPr>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不</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接受联合体</w:t>
      </w:r>
      <w:r>
        <w:rPr>
          <w:rFonts w:hint="eastAsia" w:ascii="宋体" w:hAnsi="宋体" w:eastAsia="宋体" w:cs="宋体"/>
          <w:color w:val="auto"/>
          <w:szCs w:val="21"/>
          <w:highlight w:val="none"/>
          <w:lang w:eastAsia="zh-CN"/>
        </w:rPr>
        <w:t>磋商。</w:t>
      </w:r>
    </w:p>
    <w:p w14:paraId="4C3DA196">
      <w:pPr>
        <w:pStyle w:val="257"/>
        <w:spacing w:before="0" w:after="0" w:line="360" w:lineRule="auto"/>
        <w:ind w:firstLine="422"/>
        <w:rPr>
          <w:rFonts w:hint="eastAsia" w:ascii="宋体" w:hAnsi="宋体" w:eastAsia="宋体" w:cs="宋体"/>
          <w:bCs w:val="0"/>
          <w:color w:val="auto"/>
          <w:sz w:val="21"/>
          <w:szCs w:val="21"/>
          <w:highlight w:val="none"/>
        </w:rPr>
      </w:pPr>
      <w:bookmarkStart w:id="6" w:name="_Toc109304964"/>
      <w:r>
        <w:rPr>
          <w:rFonts w:hint="eastAsia" w:ascii="宋体" w:hAnsi="宋体" w:eastAsia="宋体" w:cs="宋体"/>
          <w:bCs w:val="0"/>
          <w:color w:val="auto"/>
          <w:sz w:val="21"/>
          <w:szCs w:val="21"/>
          <w:highlight w:val="none"/>
        </w:rPr>
        <w:t>二、申请人的资格要求：</w:t>
      </w:r>
      <w:bookmarkEnd w:id="6"/>
    </w:p>
    <w:p w14:paraId="51C205D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满足《中华人民共和国政府采购法》第二十二条规定，并提供下列材料：</w:t>
      </w:r>
    </w:p>
    <w:p w14:paraId="18CD8474">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20"/>
        <w:jc w:val="both"/>
        <w:rPr>
          <w:rFonts w:hint="eastAsia" w:ascii="宋体" w:hAnsi="宋体" w:eastAsia="宋体" w:cs="宋体"/>
          <w:highlight w:val="none"/>
        </w:rPr>
      </w:pPr>
      <w:r>
        <w:rPr>
          <w:rFonts w:hint="eastAsia" w:ascii="宋体" w:hAnsi="宋体" w:eastAsia="宋体" w:cs="宋体"/>
          <w:i/>
          <w:iCs/>
          <w:color w:val="000000"/>
          <w:sz w:val="21"/>
          <w:szCs w:val="21"/>
          <w:highlight w:val="none"/>
          <w:u w:val="single"/>
        </w:rPr>
        <w:t>1.1法人或者其他组织的营业执照等证明文件，自然人的身份证明；</w:t>
      </w:r>
    </w:p>
    <w:p w14:paraId="3FDF037F">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宋体" w:hAnsi="宋体" w:eastAsia="宋体" w:cs="宋体"/>
          <w:highlight w:val="none"/>
        </w:rPr>
      </w:pPr>
      <w:r>
        <w:rPr>
          <w:rFonts w:hint="eastAsia" w:ascii="宋体" w:hAnsi="宋体" w:eastAsia="宋体" w:cs="宋体"/>
          <w:i/>
          <w:iCs/>
          <w:color w:val="000000"/>
          <w:sz w:val="21"/>
          <w:szCs w:val="21"/>
          <w:highlight w:val="none"/>
          <w:u w:val="single"/>
        </w:rPr>
        <w:t>1.2 2024年度</w:t>
      </w:r>
      <w:r>
        <w:rPr>
          <w:rFonts w:hint="eastAsia" w:cs="宋体"/>
          <w:i/>
          <w:iCs/>
          <w:color w:val="000000"/>
          <w:sz w:val="21"/>
          <w:szCs w:val="21"/>
          <w:highlight w:val="none"/>
          <w:u w:val="single"/>
          <w:lang w:val="en-US" w:eastAsia="zh-CN"/>
        </w:rPr>
        <w:t>或2025年度</w:t>
      </w:r>
      <w:r>
        <w:rPr>
          <w:rFonts w:hint="eastAsia" w:ascii="宋体" w:hAnsi="宋体" w:eastAsia="宋体" w:cs="宋体"/>
          <w:i/>
          <w:iCs/>
          <w:color w:val="000000"/>
          <w:sz w:val="21"/>
          <w:szCs w:val="21"/>
          <w:highlight w:val="none"/>
          <w:u w:val="single"/>
        </w:rPr>
        <w:t>的财务状况报告</w:t>
      </w:r>
      <w:r>
        <w:rPr>
          <w:rFonts w:hint="eastAsia" w:ascii="宋体" w:hAnsi="宋体" w:eastAsia="宋体" w:cs="宋体"/>
          <w:b/>
          <w:bCs/>
          <w:i/>
          <w:iCs/>
          <w:color w:val="000000"/>
          <w:sz w:val="21"/>
          <w:szCs w:val="21"/>
          <w:highlight w:val="none"/>
          <w:u w:val="single"/>
        </w:rPr>
        <w:t>（成立不满一年无需提供）；</w:t>
      </w:r>
    </w:p>
    <w:p w14:paraId="712F16F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宋体" w:hAnsi="宋体" w:eastAsia="宋体" w:cs="宋体"/>
          <w:highlight w:val="none"/>
        </w:rPr>
      </w:pPr>
      <w:r>
        <w:rPr>
          <w:rFonts w:hint="eastAsia" w:ascii="宋体" w:hAnsi="宋体" w:eastAsia="宋体" w:cs="宋体"/>
          <w:i/>
          <w:iCs/>
          <w:color w:val="000000"/>
          <w:sz w:val="21"/>
          <w:szCs w:val="21"/>
          <w:highlight w:val="none"/>
          <w:u w:val="single"/>
        </w:rPr>
        <w:t>1.3依法缴纳税收和社会保障资金的相关材料</w:t>
      </w:r>
      <w:r>
        <w:rPr>
          <w:rFonts w:hint="eastAsia" w:ascii="宋体" w:hAnsi="宋体" w:eastAsia="宋体" w:cs="宋体"/>
          <w:b/>
          <w:bCs/>
          <w:i/>
          <w:iCs/>
          <w:color w:val="000000"/>
          <w:sz w:val="21"/>
          <w:szCs w:val="21"/>
          <w:highlight w:val="none"/>
          <w:u w:val="single"/>
        </w:rPr>
        <w:t>（提供提交投标文件截止时间前一年内至少一个月依法缴纳税收及缴纳社会保障资金的证明材料。</w:t>
      </w:r>
      <w:r>
        <w:rPr>
          <w:rFonts w:hint="eastAsia" w:ascii="宋体" w:hAnsi="宋体" w:eastAsia="宋体" w:cs="宋体"/>
          <w:b/>
          <w:bCs/>
          <w:i/>
          <w:iCs/>
          <w:color w:val="000000"/>
          <w:sz w:val="21"/>
          <w:szCs w:val="21"/>
          <w:highlight w:val="none"/>
          <w:u w:val="single"/>
          <w:lang w:eastAsia="zh-CN"/>
        </w:rPr>
        <w:t>供应商</w:t>
      </w:r>
      <w:r>
        <w:rPr>
          <w:rFonts w:hint="eastAsia" w:ascii="宋体" w:hAnsi="宋体" w:eastAsia="宋体" w:cs="宋体"/>
          <w:b/>
          <w:bCs/>
          <w:i/>
          <w:iCs/>
          <w:color w:val="000000"/>
          <w:sz w:val="21"/>
          <w:szCs w:val="21"/>
          <w:highlight w:val="none"/>
          <w:u w:val="single"/>
        </w:rPr>
        <w:t>依法享受缓缴、免缴税收、社会保障资金的提供证明材料。）</w:t>
      </w:r>
    </w:p>
    <w:p w14:paraId="50DA60DB">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宋体" w:hAnsi="宋体" w:eastAsia="宋体" w:cs="宋体"/>
          <w:highlight w:val="none"/>
        </w:rPr>
      </w:pPr>
      <w:r>
        <w:rPr>
          <w:rFonts w:hint="eastAsia" w:ascii="宋体" w:hAnsi="宋体" w:eastAsia="宋体" w:cs="宋体"/>
          <w:i/>
          <w:iCs/>
          <w:color w:val="000000"/>
          <w:sz w:val="21"/>
          <w:szCs w:val="21"/>
          <w:highlight w:val="none"/>
          <w:u w:val="single"/>
        </w:rPr>
        <w:t>1.4 具备履行合同所必需的设备和专业技术能力的书面声明；</w:t>
      </w:r>
    </w:p>
    <w:p w14:paraId="119924C9">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宋体" w:hAnsi="宋体" w:eastAsia="宋体" w:cs="宋体"/>
          <w:highlight w:val="none"/>
        </w:rPr>
      </w:pPr>
      <w:r>
        <w:rPr>
          <w:rFonts w:hint="eastAsia" w:ascii="宋体" w:hAnsi="宋体" w:eastAsia="宋体" w:cs="宋体"/>
          <w:i/>
          <w:iCs/>
          <w:color w:val="000000"/>
          <w:sz w:val="21"/>
          <w:szCs w:val="21"/>
          <w:highlight w:val="none"/>
          <w:u w:val="single"/>
        </w:rPr>
        <w:t>1.5 参加政府采购活动前3年内在经营活动中没有重大违法记录的书面声明；</w:t>
      </w:r>
    </w:p>
    <w:p w14:paraId="775A65E6">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eastAsia" w:ascii="宋体" w:hAnsi="宋体" w:eastAsia="宋体" w:cs="宋体"/>
          <w:highlight w:val="none"/>
        </w:rPr>
      </w:pPr>
      <w:r>
        <w:rPr>
          <w:rFonts w:hint="eastAsia" w:ascii="宋体" w:hAnsi="宋体" w:eastAsia="宋体" w:cs="宋体"/>
          <w:i/>
          <w:iCs/>
          <w:color w:val="000000"/>
          <w:sz w:val="21"/>
          <w:szCs w:val="21"/>
          <w:highlight w:val="none"/>
          <w:u w:val="single"/>
        </w:rPr>
        <w:t xml:space="preserve">1.6 </w:t>
      </w:r>
      <w:r>
        <w:rPr>
          <w:rFonts w:hint="eastAsia" w:ascii="宋体" w:hAnsi="宋体" w:eastAsia="宋体" w:cs="宋体"/>
          <w:i/>
          <w:iCs/>
          <w:color w:val="000000"/>
          <w:sz w:val="21"/>
          <w:szCs w:val="21"/>
          <w:highlight w:val="none"/>
          <w:u w:val="single"/>
          <w:lang w:eastAsia="zh-CN"/>
        </w:rPr>
        <w:t>供应商</w:t>
      </w:r>
      <w:r>
        <w:rPr>
          <w:rFonts w:hint="eastAsia" w:ascii="宋体" w:hAnsi="宋体" w:eastAsia="宋体" w:cs="宋体"/>
          <w:i/>
          <w:iCs/>
          <w:color w:val="000000"/>
          <w:sz w:val="21"/>
          <w:szCs w:val="21"/>
          <w:highlight w:val="none"/>
          <w:u w:val="single"/>
        </w:rPr>
        <w:t>信用承诺函；</w:t>
      </w:r>
    </w:p>
    <w:p w14:paraId="15784F38">
      <w:pPr>
        <w:pStyle w:val="117"/>
        <w:numPr>
          <w:ilvl w:val="0"/>
          <w:numId w:val="0"/>
        </w:numPr>
        <w:spacing w:line="360" w:lineRule="auto"/>
        <w:ind w:firstLine="420"/>
        <w:rPr>
          <w:rFonts w:hint="eastAsia" w:ascii="宋体" w:hAnsi="宋体" w:eastAsia="宋体" w:cs="宋体"/>
          <w:i/>
          <w:iCs/>
          <w:color w:val="auto"/>
          <w:szCs w:val="21"/>
          <w:highlight w:val="none"/>
          <w:u w:val="single"/>
          <w:lang w:val="en-US" w:eastAsia="zh-CN"/>
        </w:rPr>
      </w:pPr>
      <w:r>
        <w:rPr>
          <w:rFonts w:hint="eastAsia" w:ascii="宋体" w:hAnsi="宋体" w:eastAsia="宋体" w:cs="宋体"/>
          <w:i/>
          <w:iCs/>
          <w:color w:val="auto"/>
          <w:szCs w:val="21"/>
          <w:highlight w:val="none"/>
          <w:u w:val="single"/>
          <w:lang w:val="en-US" w:eastAsia="zh-CN"/>
        </w:rPr>
        <w:t>1.7未被“信用中国”网站（www.creditchina.gov.cn）、“中国政府采购网”(www.ccgp.gov.cn)列入失信被执行人、重大税收违法案件当事人名单、政府采购严重违法失信行为记录名单。</w:t>
      </w:r>
    </w:p>
    <w:p w14:paraId="5A69ADE6">
      <w:pPr>
        <w:pStyle w:val="117"/>
        <w:numPr>
          <w:ilvl w:val="0"/>
          <w:numId w:val="0"/>
        </w:numPr>
        <w:spacing w:line="360" w:lineRule="auto"/>
        <w:ind w:firstLine="420"/>
        <w:rPr>
          <w:rFonts w:hint="eastAsia" w:ascii="宋体" w:hAnsi="宋体" w:eastAsia="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1.8</w:t>
      </w:r>
      <w:r>
        <w:rPr>
          <w:rFonts w:hint="eastAsia" w:ascii="宋体" w:hAnsi="宋体" w:eastAsia="宋体" w:cs="宋体"/>
          <w:i/>
          <w:iCs/>
          <w:color w:val="auto"/>
          <w:szCs w:val="21"/>
          <w:highlight w:val="none"/>
          <w:u w:val="single"/>
          <w:lang w:val="en-US" w:eastAsia="zh-CN"/>
        </w:rPr>
        <w:t>.磋商响应函</w:t>
      </w:r>
    </w:p>
    <w:p w14:paraId="1859CB87">
      <w:pPr>
        <w:pStyle w:val="117"/>
        <w:numPr>
          <w:ilvl w:val="0"/>
          <w:numId w:val="0"/>
        </w:numPr>
        <w:spacing w:line="360" w:lineRule="auto"/>
        <w:ind w:firstLine="420"/>
        <w:rPr>
          <w:rFonts w:hint="eastAsia" w:ascii="宋体" w:hAnsi="宋体" w:eastAsia="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1.9</w:t>
      </w:r>
      <w:r>
        <w:rPr>
          <w:rFonts w:hint="eastAsia" w:ascii="宋体" w:hAnsi="宋体" w:eastAsia="宋体" w:cs="宋体"/>
          <w:i/>
          <w:iCs/>
          <w:color w:val="auto"/>
          <w:szCs w:val="21"/>
          <w:highlight w:val="none"/>
          <w:u w:val="single"/>
          <w:lang w:val="en-US" w:eastAsia="zh-CN"/>
        </w:rPr>
        <w:t>.法人授权书</w:t>
      </w:r>
    </w:p>
    <w:p w14:paraId="72225E46">
      <w:pPr>
        <w:keepNext w:val="0"/>
        <w:keepLines w:val="0"/>
        <w:pageBreakBefore w:val="0"/>
        <w:widowControl w:val="0"/>
        <w:numPr>
          <w:ilvl w:val="0"/>
          <w:numId w:val="0"/>
        </w:numPr>
        <w:spacing w:line="360" w:lineRule="auto"/>
        <w:ind w:right="0" w:firstLine="420"/>
        <w:rPr>
          <w:rFonts w:hint="eastAsia" w:ascii="宋体" w:hAnsi="宋体" w:eastAsia="宋体" w:cs="宋体"/>
          <w:i/>
          <w:iCs/>
          <w:color w:val="auto"/>
          <w:sz w:val="21"/>
          <w:szCs w:val="21"/>
          <w:highlight w:val="none"/>
          <w:u w:val="single"/>
          <w:lang w:val="en-US" w:eastAsia="zh-CN" w:bidi="ar-SA"/>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w:t>
      </w:r>
      <w:r>
        <w:rPr>
          <w:rFonts w:hint="eastAsia" w:ascii="宋体" w:hAnsi="宋体" w:eastAsia="宋体" w:cs="宋体"/>
          <w:i/>
          <w:iCs/>
          <w:color w:val="auto"/>
          <w:sz w:val="21"/>
          <w:szCs w:val="21"/>
          <w:highlight w:val="none"/>
          <w:u w:val="single"/>
          <w:lang w:val="en-US" w:eastAsia="zh-CN" w:bidi="ar-SA"/>
        </w:rPr>
        <w:t>本项目专门面向中小企业采购，供应商须提供《中小企业声明函》，《中小企业声明函》不符合要求或未提供的，投标文件无效。</w:t>
      </w:r>
    </w:p>
    <w:p w14:paraId="262E960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SA"/>
        </w:rPr>
        <w:t>3、</w:t>
      </w:r>
      <w:r>
        <w:rPr>
          <w:rFonts w:hint="eastAsia" w:ascii="宋体" w:hAnsi="宋体" w:eastAsia="宋体" w:cs="宋体"/>
          <w:color w:val="auto"/>
          <w:szCs w:val="21"/>
          <w:highlight w:val="none"/>
        </w:rPr>
        <w:t>本项目的特定资格要求：</w:t>
      </w:r>
    </w:p>
    <w:p w14:paraId="28810288">
      <w:pPr>
        <w:pStyle w:val="117"/>
        <w:keepNext w:val="0"/>
        <w:keepLines w:val="0"/>
        <w:pageBreakBefore w:val="0"/>
        <w:widowControl w:val="0"/>
        <w:spacing w:line="360" w:lineRule="auto"/>
        <w:ind w:left="0" w:firstLine="420"/>
        <w:jc w:val="left"/>
        <w:rPr>
          <w:rFonts w:hint="eastAsia" w:ascii="宋体" w:hAnsi="宋体" w:eastAsia="宋体" w:cs="宋体"/>
          <w:i/>
          <w:iCs/>
          <w:highlight w:val="none"/>
          <w:u w:val="single"/>
          <w:lang w:val="en-US" w:eastAsia="zh-CN"/>
        </w:rPr>
      </w:pPr>
      <w:r>
        <w:rPr>
          <w:rFonts w:hint="eastAsia" w:ascii="宋体" w:hAnsi="宋体" w:eastAsia="宋体" w:cs="宋体"/>
          <w:i/>
          <w:iCs/>
          <w:highlight w:val="none"/>
          <w:u w:val="single"/>
          <w:lang w:val="en-US" w:eastAsia="zh-CN"/>
        </w:rPr>
        <w:t>3.1 供应商具有有效的建筑装修装饰工程专业承包</w:t>
      </w:r>
      <w:r>
        <w:rPr>
          <w:rFonts w:hint="eastAsia" w:ascii="宋体" w:hAnsi="宋体" w:cs="宋体"/>
          <w:i/>
          <w:iCs/>
          <w:highlight w:val="none"/>
          <w:u w:val="single"/>
          <w:lang w:val="en-US" w:eastAsia="zh-CN"/>
        </w:rPr>
        <w:t>贰</w:t>
      </w:r>
      <w:r>
        <w:rPr>
          <w:rFonts w:hint="eastAsia" w:ascii="宋体" w:hAnsi="宋体" w:eastAsia="宋体" w:cs="宋体"/>
          <w:i/>
          <w:iCs/>
          <w:highlight w:val="none"/>
          <w:u w:val="single"/>
          <w:lang w:val="en-US" w:eastAsia="zh-CN"/>
        </w:rPr>
        <w:t>级及以上资质，且具有有效的安全生产许可证(原件扫描上传)</w:t>
      </w:r>
    </w:p>
    <w:p w14:paraId="0960553B">
      <w:pPr>
        <w:pStyle w:val="117"/>
        <w:keepNext w:val="0"/>
        <w:keepLines w:val="0"/>
        <w:pageBreakBefore w:val="0"/>
        <w:widowControl w:val="0"/>
        <w:spacing w:line="360" w:lineRule="auto"/>
        <w:ind w:left="0" w:firstLine="420"/>
        <w:jc w:val="left"/>
        <w:rPr>
          <w:rFonts w:hint="eastAsia" w:ascii="宋体" w:hAnsi="宋体" w:eastAsia="宋体" w:cs="宋体"/>
          <w:i/>
          <w:iCs/>
          <w:color w:val="auto"/>
          <w:highlight w:val="none"/>
          <w:u w:val="single"/>
          <w:lang w:val="en-US" w:eastAsia="zh-CN"/>
        </w:rPr>
      </w:pPr>
      <w:r>
        <w:rPr>
          <w:rFonts w:hint="eastAsia" w:ascii="宋体" w:hAnsi="宋体" w:eastAsia="宋体" w:cs="宋体"/>
          <w:i/>
          <w:iCs/>
          <w:highlight w:val="none"/>
          <w:u w:val="single"/>
          <w:lang w:val="en-US" w:eastAsia="zh-CN"/>
        </w:rPr>
        <w:t xml:space="preserve">3.2 </w:t>
      </w:r>
      <w:r>
        <w:rPr>
          <w:rFonts w:hint="eastAsia" w:ascii="宋体" w:hAnsi="宋体" w:eastAsia="宋体" w:cs="宋体"/>
          <w:i/>
          <w:iCs/>
          <w:color w:val="auto"/>
          <w:highlight w:val="none"/>
          <w:u w:val="single"/>
          <w:lang w:val="en-US" w:eastAsia="zh-CN"/>
        </w:rPr>
        <w:t>项目负责人要求：必须具有有效的</w:t>
      </w:r>
      <w:r>
        <w:rPr>
          <w:rFonts w:hint="eastAsia" w:ascii="宋体" w:hAnsi="宋体" w:cs="宋体"/>
          <w:i/>
          <w:color w:val="auto"/>
          <w:highlight w:val="none"/>
          <w:u w:val="single"/>
        </w:rPr>
        <w:t>建筑工程</w:t>
      </w:r>
      <w:r>
        <w:rPr>
          <w:rFonts w:hint="eastAsia" w:ascii="宋体" w:hAnsi="宋体" w:eastAsia="宋体" w:cs="宋体"/>
          <w:i/>
          <w:iCs/>
          <w:color w:val="auto"/>
          <w:highlight w:val="none"/>
          <w:u w:val="single"/>
          <w:lang w:val="en-US" w:eastAsia="zh-CN"/>
        </w:rPr>
        <w:t>专业</w:t>
      </w:r>
      <w:r>
        <w:rPr>
          <w:rFonts w:hint="eastAsia" w:ascii="宋体" w:hAnsi="宋体" w:cs="宋体"/>
          <w:i/>
          <w:iCs/>
          <w:color w:val="auto"/>
          <w:highlight w:val="none"/>
          <w:u w:val="single"/>
          <w:lang w:val="en-US" w:eastAsia="zh-CN"/>
        </w:rPr>
        <w:t>二</w:t>
      </w:r>
      <w:r>
        <w:rPr>
          <w:rFonts w:hint="eastAsia" w:ascii="宋体" w:hAnsi="宋体" w:eastAsia="宋体" w:cs="宋体"/>
          <w:i/>
          <w:iCs/>
          <w:color w:val="auto"/>
          <w:highlight w:val="none"/>
          <w:u w:val="single"/>
          <w:lang w:val="en-US" w:eastAsia="zh-CN"/>
        </w:rPr>
        <w:t>级及以上注册建造师证书；并具有有效的安全生产考核合格证（B类证），无在建工程(原件扫描上传)</w:t>
      </w:r>
    </w:p>
    <w:p w14:paraId="25B95B71">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i/>
          <w:iCs/>
          <w:highlight w:val="none"/>
          <w:u w:val="single"/>
          <w:lang w:val="en-US" w:eastAsia="zh-CN"/>
        </w:rPr>
        <w:t>3.3 提供供应商为拟派项目负责人缴纳的响应文件截止时间前一年内至少一个月</w:t>
      </w:r>
      <w:r>
        <w:rPr>
          <w:rFonts w:hint="eastAsia" w:ascii="宋体" w:hAnsi="宋体" w:cs="宋体"/>
          <w:i/>
          <w:iCs/>
          <w:highlight w:val="none"/>
          <w:u w:val="single"/>
          <w:lang w:val="en-US" w:eastAsia="zh-CN"/>
        </w:rPr>
        <w:t>社保</w:t>
      </w:r>
      <w:r>
        <w:rPr>
          <w:rFonts w:hint="eastAsia" w:ascii="宋体" w:hAnsi="宋体" w:eastAsia="宋体" w:cs="宋体"/>
          <w:i/>
          <w:iCs/>
          <w:highlight w:val="none"/>
          <w:u w:val="single"/>
          <w:lang w:val="en-US" w:eastAsia="zh-CN"/>
        </w:rPr>
        <w:t>证明材料(原件扫描上传)</w:t>
      </w:r>
    </w:p>
    <w:p w14:paraId="33E29CA4">
      <w:pPr>
        <w:pStyle w:val="257"/>
        <w:spacing w:before="0" w:after="0" w:line="360" w:lineRule="auto"/>
        <w:ind w:firstLine="422"/>
        <w:rPr>
          <w:rFonts w:hint="eastAsia" w:ascii="宋体" w:hAnsi="宋体" w:eastAsia="宋体" w:cs="宋体"/>
          <w:bCs w:val="0"/>
          <w:color w:val="auto"/>
          <w:sz w:val="21"/>
          <w:szCs w:val="21"/>
          <w:highlight w:val="none"/>
        </w:rPr>
      </w:pPr>
      <w:bookmarkStart w:id="7" w:name="_Toc109304965"/>
      <w:r>
        <w:rPr>
          <w:rFonts w:hint="eastAsia" w:ascii="宋体" w:hAnsi="宋体" w:eastAsia="宋体" w:cs="宋体"/>
          <w:bCs w:val="0"/>
          <w:color w:val="auto"/>
          <w:sz w:val="21"/>
          <w:szCs w:val="21"/>
          <w:highlight w:val="none"/>
        </w:rPr>
        <w:t>三、获取采购文件</w:t>
      </w:r>
      <w:bookmarkEnd w:id="7"/>
    </w:p>
    <w:p w14:paraId="45E71CC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时间：磋商公告及磋商文件公告期限为自本公告发布之日起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个工作日后仍可下载采购文件，但不作为供应商权益受到损害的证明材料和依据。</w:t>
      </w:r>
    </w:p>
    <w:p w14:paraId="2EF8686E">
      <w:pPr>
        <w:spacing w:line="360" w:lineRule="auto"/>
        <w:ind w:firstLine="422"/>
        <w:rPr>
          <w:rFonts w:hint="eastAsia" w:ascii="宋体" w:hAnsi="宋体" w:eastAsia="宋体" w:cs="宋体"/>
          <w:b/>
          <w:bCs/>
          <w:color w:val="auto"/>
          <w:sz w:val="24"/>
          <w:szCs w:val="24"/>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获取方式：</w:t>
      </w:r>
      <w:r>
        <w:rPr>
          <w:rFonts w:hint="eastAsia" w:ascii="宋体" w:hAnsi="宋体" w:eastAsia="宋体" w:cs="宋体"/>
          <w:b/>
          <w:bCs/>
          <w:color w:val="auto"/>
          <w:szCs w:val="21"/>
          <w:highlight w:val="none"/>
        </w:rPr>
        <w:t>本项目采用网上注册登记方式。</w:t>
      </w:r>
    </w:p>
    <w:p w14:paraId="54833EF1">
      <w:pPr>
        <w:spacing w:line="360" w:lineRule="auto"/>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潜在供应商访问</w:t>
      </w:r>
      <w:r>
        <w:rPr>
          <w:rFonts w:hint="eastAsia" w:ascii="宋体" w:hAnsi="宋体" w:eastAsia="宋体" w:cs="宋体"/>
          <w:b/>
          <w:bCs/>
          <w:color w:val="auto"/>
          <w:szCs w:val="21"/>
          <w:highlight w:val="none"/>
        </w:rPr>
        <w:t>政府采购管理交易系统（苏采云）</w:t>
      </w:r>
      <w:r>
        <w:rPr>
          <w:rFonts w:hint="eastAsia" w:ascii="宋体" w:hAnsi="宋体" w:eastAsia="宋体" w:cs="宋体"/>
          <w:b/>
          <w:bCs/>
          <w:color w:val="auto"/>
          <w:highlight w:val="none"/>
        </w:rPr>
        <w:t>的网络地址和方法：</w:t>
      </w:r>
    </w:p>
    <w:p w14:paraId="78D8A65D">
      <w:pPr>
        <w:spacing w:line="360" w:lineRule="auto"/>
        <w:ind w:firstLine="422"/>
        <w:rPr>
          <w:rFonts w:hint="eastAsia" w:ascii="宋体" w:hAnsi="宋体" w:eastAsia="宋体" w:cs="宋体"/>
          <w:b/>
          <w:bCs/>
          <w:color w:val="auto"/>
          <w:szCs w:val="21"/>
          <w:highlight w:val="none"/>
        </w:rPr>
      </w:pPr>
      <w:bookmarkStart w:id="8" w:name="_Toc109304966"/>
      <w:r>
        <w:rPr>
          <w:rFonts w:hint="eastAsia" w:ascii="宋体" w:hAnsi="宋体" w:eastAsia="宋体" w:cs="宋体"/>
          <w:b/>
          <w:bCs/>
          <w:color w:val="auto"/>
          <w:szCs w:val="21"/>
          <w:highlight w:val="none"/>
        </w:rPr>
        <w:t>（1）潜在供应商访问政府采购管理交易系统（苏采云）的方法：“苏采云”系统用户注册--获取“CA数字证书”--CA绑定与登录--网上报名--下载采购文件（后缀名为“.kedt”）--将后缀名为“.kedt”的采购文件导入政府采购客户端工具--制作</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文件--导出加密的</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文件（后缀名为zip）--通过“苏采云”系统上传</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文件。</w:t>
      </w:r>
    </w:p>
    <w:p w14:paraId="30B478B8">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（2）“CA数字证书”的获取：供应商需办理CA锁，“苏采云”系统目前仅支持“苏采云”系统下的政务CA，省内各地区办理的“苏采云”系统下的政务CA全省通用。</w:t>
      </w:r>
    </w:p>
    <w:p w14:paraId="629DDFFF">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（3）“CA数字证书”的办理材料以及供应商操作手册详见：</w:t>
      </w:r>
    </w:p>
    <w:p w14:paraId="12C6190E">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http://zfcg.yangzhou.gov.cn/zfcg/xzzx/202309/4d7de1f7865f4a2894fc22bc452f94d8.shtml</w:t>
      </w:r>
      <w:r>
        <w:rPr>
          <w:rFonts w:hint="eastAsia" w:ascii="宋体" w:hAnsi="宋体" w:eastAsia="宋体" w:cs="宋体"/>
          <w:b/>
          <w:bCs/>
          <w:color w:val="auto"/>
          <w:szCs w:val="21"/>
          <w:highlight w:val="none"/>
          <w:lang w:eastAsia="zh-CN"/>
        </w:rPr>
        <w:t>.</w:t>
      </w:r>
    </w:p>
    <w:p w14:paraId="00957C6D">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（4）潜在供应商访问“苏采云”系统的网络地址和方法：“苏采云”系统的网址：http://jszfcg.jsczt.cn</w:t>
      </w:r>
      <w:r>
        <w:rPr>
          <w:rFonts w:hint="eastAsia" w:ascii="宋体" w:hAnsi="宋体" w:eastAsia="宋体" w:cs="宋体"/>
          <w:b/>
          <w:bCs/>
          <w:color w:val="auto"/>
          <w:szCs w:val="21"/>
          <w:highlight w:val="none"/>
          <w:lang w:eastAsia="zh-CN"/>
        </w:rPr>
        <w:t>/</w:t>
      </w:r>
    </w:p>
    <w:p w14:paraId="128500B4">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（5）采购文件（后缀名为“.kedt”）、供应商操作手册及政府采购客户端工具也可通过“苏采云”系统--已报名项目--报名详情页面内相应链接进行下载。</w:t>
      </w:r>
    </w:p>
    <w:p w14:paraId="5EBEC718">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（6）招标代理机构（采购代理机构）将数据电文形式的采购文件加载至“苏采云”系统，供潜在供应商下载或者查阅。    </w:t>
      </w:r>
    </w:p>
    <w:p w14:paraId="05AB51D3">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（7）苏采云系统使用谷歌浏览器参与不见面开标。</w:t>
      </w:r>
      <w:bookmarkEnd w:id="8"/>
    </w:p>
    <w:p w14:paraId="257196C3">
      <w:pPr>
        <w:spacing w:line="360" w:lineRule="auto"/>
        <w:ind w:firstLine="422"/>
        <w:rPr>
          <w:rFonts w:hint="eastAsia" w:ascii="宋体" w:hAnsi="宋体" w:eastAsia="宋体" w:cs="宋体"/>
          <w:b/>
          <w:bCs/>
          <w:color w:val="auto"/>
          <w:szCs w:val="21"/>
          <w:highlight w:val="none"/>
        </w:rPr>
      </w:pPr>
      <w:bookmarkStart w:id="9" w:name="_Toc109304968"/>
      <w:r>
        <w:rPr>
          <w:rFonts w:hint="eastAsia" w:ascii="宋体" w:hAnsi="宋体" w:eastAsia="宋体" w:cs="宋体"/>
          <w:b/>
          <w:bCs/>
          <w:color w:val="auto"/>
          <w:szCs w:val="21"/>
          <w:highlight w:val="none"/>
        </w:rPr>
        <w:t>四、提交</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文件截止时间、开标时间和地点</w:t>
      </w:r>
    </w:p>
    <w:p w14:paraId="5FA654C2">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时间：202</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7</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日</w:t>
      </w:r>
      <w:r>
        <w:rPr>
          <w:rFonts w:hint="eastAsia" w:ascii="宋体" w:hAnsi="宋体" w:cs="宋体"/>
          <w:b/>
          <w:bCs/>
          <w:color w:val="auto"/>
          <w:szCs w:val="21"/>
          <w:highlight w:val="none"/>
          <w:lang w:val="en-US" w:eastAsia="zh-CN"/>
        </w:rPr>
        <w:t>上午09</w:t>
      </w:r>
      <w:r>
        <w:rPr>
          <w:rFonts w:hint="eastAsia" w:ascii="宋体" w:hAnsi="宋体" w:eastAsia="宋体" w:cs="宋体"/>
          <w:b/>
          <w:bCs/>
          <w:color w:val="auto"/>
          <w:szCs w:val="21"/>
          <w:highlight w:val="none"/>
        </w:rPr>
        <w:t>点30分（北京时间）</w:t>
      </w:r>
    </w:p>
    <w:p w14:paraId="2B842327">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开标地点：“苏采云”系统（网址：</w:t>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"http://jszfcg.jsczt.cn/）\“开标大厅\”"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http://jszfcg.jsczt.cn/）“开标大厅”</w:t>
      </w:r>
      <w:r>
        <w:rPr>
          <w:rFonts w:hint="eastAsia" w:ascii="宋体" w:hAnsi="宋体" w:eastAsia="宋体" w:cs="宋体"/>
          <w:b/>
          <w:bCs/>
          <w:color w:val="auto"/>
          <w:szCs w:val="21"/>
          <w:highlight w:val="none"/>
        </w:rPr>
        <w:fldChar w:fldCharType="end"/>
      </w:r>
    </w:p>
    <w:p w14:paraId="3C2D09C5">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rPr>
        <w:t>、公告期限</w:t>
      </w:r>
      <w:bookmarkEnd w:id="9"/>
    </w:p>
    <w:p w14:paraId="351A711D">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自本公告发布之日起</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个工作日。</w:t>
      </w:r>
    </w:p>
    <w:p w14:paraId="7ABA4CD5">
      <w:pPr>
        <w:pStyle w:val="257"/>
        <w:spacing w:before="0" w:after="0" w:line="360" w:lineRule="auto"/>
        <w:ind w:firstLine="422"/>
        <w:rPr>
          <w:rFonts w:hint="eastAsia" w:ascii="宋体" w:hAnsi="宋体" w:eastAsia="宋体" w:cs="宋体"/>
          <w:color w:val="auto"/>
          <w:sz w:val="21"/>
          <w:szCs w:val="21"/>
          <w:highlight w:val="none"/>
        </w:rPr>
      </w:pPr>
      <w:bookmarkStart w:id="10" w:name="_Toc109304969"/>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、其他补充事宜</w:t>
      </w:r>
      <w:bookmarkEnd w:id="10"/>
    </w:p>
    <w:p w14:paraId="1CCAA429">
      <w:pPr>
        <w:tabs>
          <w:tab w:val="left" w:pos="266"/>
        </w:tabs>
        <w:spacing w:line="360" w:lineRule="auto"/>
        <w:ind w:firstLine="422"/>
        <w:rPr>
          <w:rFonts w:hint="eastAsia" w:ascii="宋体" w:hAnsi="宋体" w:eastAsia="宋体" w:cs="宋体"/>
          <w:b/>
          <w:bCs/>
          <w:color w:val="auto"/>
          <w:highlight w:val="none"/>
        </w:rPr>
      </w:pPr>
      <w:bookmarkStart w:id="11" w:name="_Toc109304970"/>
      <w:r>
        <w:rPr>
          <w:rFonts w:hint="eastAsia" w:ascii="宋体" w:hAnsi="宋体" w:eastAsia="宋体" w:cs="宋体"/>
          <w:b/>
          <w:color w:val="auto"/>
          <w:szCs w:val="21"/>
          <w:highlight w:val="none"/>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r>
        <w:rPr>
          <w:rFonts w:hint="eastAsia" w:ascii="宋体" w:hAnsi="宋体" w:eastAsia="宋体" w:cs="宋体"/>
          <w:b/>
          <w:bCs/>
          <w:color w:val="auto"/>
          <w:highlight w:val="none"/>
        </w:rPr>
        <w:t>成交供应商可凭政府采购合同办理融资贷款，详见江苏政府采购网“政采贷”专栏。</w:t>
      </w:r>
    </w:p>
    <w:p w14:paraId="0204BC19">
      <w:pPr>
        <w:pStyle w:val="257"/>
        <w:spacing w:before="0" w:after="0" w:line="360" w:lineRule="auto"/>
        <w:ind w:firstLine="422"/>
        <w:rPr>
          <w:rFonts w:hint="eastAsia" w:ascii="宋体" w:hAnsi="宋体" w:eastAsia="宋体" w:cs="宋体"/>
          <w:color w:val="auto"/>
          <w:sz w:val="21"/>
          <w:szCs w:val="21"/>
          <w:highlight w:val="none"/>
        </w:rPr>
      </w:pPr>
      <w:bookmarkStart w:id="12" w:name="_Toc109304971"/>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、其他</w:t>
      </w:r>
      <w:bookmarkEnd w:id="12"/>
    </w:p>
    <w:p w14:paraId="1B230EB4">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本次采购采用“政府采购管理交易系统（苏采云）”，招标、投标、评标和中标结果发布全程电子化，开标方式为不见面开标。供应商应当按照《政府采购管理交易系统（苏采云）供应商操作手册》参加</w:t>
      </w:r>
      <w:r>
        <w:rPr>
          <w:rFonts w:hint="eastAsia" w:ascii="宋体" w:hAnsi="宋体" w:eastAsia="宋体" w:cs="宋体"/>
          <w:b/>
          <w:bCs/>
          <w:color w:val="auto"/>
          <w:szCs w:val="21"/>
          <w:highlight w:val="none"/>
          <w:lang w:eastAsia="zh-CN"/>
        </w:rPr>
        <w:t>磋商</w:t>
      </w:r>
      <w:r>
        <w:rPr>
          <w:rFonts w:hint="eastAsia" w:ascii="宋体" w:hAnsi="宋体" w:eastAsia="宋体" w:cs="宋体"/>
          <w:b/>
          <w:bCs/>
          <w:color w:val="auto"/>
          <w:szCs w:val="21"/>
          <w:highlight w:val="none"/>
        </w:rPr>
        <w:t>活动。如供应商未按要求操作，由此所产生的风险由供应商自行承担。</w:t>
      </w:r>
    </w:p>
    <w:p w14:paraId="5D3BBB49">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供应商如确定参加磋商，可自行下载采购文件及有关资料，按照《操作手册》进行注册，领取CA和办理电子签章，并按《操作手册》要求制作、上传电子</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文件，技术支持联系方式：13813140731。</w:t>
      </w:r>
    </w:p>
    <w:p w14:paraId="1A42F369">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竞争性磋商、竞争性谈判、单一来源采购项目将与供应商就磋商（谈判）文件进行线上磋商（谈判），请供应商在开标前登录谷歌浏览器进入不见面大厅，并准备好耳麦和摄像设备。因供应商网络与电源不稳定、未按要求配置上述设备、上述设备发生故障等自身原因，导致磋商（谈判）失败，供应商自行</w:t>
      </w:r>
      <w:r>
        <w:rPr>
          <w:rFonts w:hint="eastAsia" w:ascii="宋体" w:hAnsi="宋体" w:eastAsia="宋体" w:cs="宋体"/>
          <w:b/>
          <w:bCs/>
          <w:color w:val="auto"/>
          <w:szCs w:val="21"/>
          <w:highlight w:val="none"/>
          <w:lang w:eastAsia="zh-CN"/>
        </w:rPr>
        <w:t>承担</w:t>
      </w:r>
      <w:r>
        <w:rPr>
          <w:rFonts w:hint="eastAsia" w:ascii="宋体" w:hAnsi="宋体" w:eastAsia="宋体" w:cs="宋体"/>
          <w:b/>
          <w:bCs/>
          <w:color w:val="auto"/>
          <w:szCs w:val="21"/>
          <w:highlight w:val="none"/>
        </w:rPr>
        <w:t>后果。</w:t>
      </w:r>
    </w:p>
    <w:p w14:paraId="2D29D416">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773429CF">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供应商对于</w:t>
      </w:r>
      <w:r>
        <w:rPr>
          <w:rFonts w:hint="eastAsia" w:ascii="宋体" w:hAnsi="宋体" w:eastAsia="宋体" w:cs="宋体"/>
          <w:b/>
          <w:bCs/>
          <w:color w:val="auto"/>
          <w:szCs w:val="21"/>
          <w:highlight w:val="none"/>
          <w:lang w:eastAsia="zh-CN"/>
        </w:rPr>
        <w:t>响应</w:t>
      </w:r>
      <w:r>
        <w:rPr>
          <w:rFonts w:hint="eastAsia" w:ascii="宋体" w:hAnsi="宋体" w:eastAsia="宋体" w:cs="宋体"/>
          <w:b/>
          <w:bCs/>
          <w:color w:val="auto"/>
          <w:szCs w:val="21"/>
          <w:highlight w:val="none"/>
        </w:rPr>
        <w:t>产品的包装应按照“财办库〔2020〕123号《关于印发《商品包装政府采购需求标准（试行）</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快递包装政府采购需求标准（试行）》的通知》”执行。</w:t>
      </w:r>
    </w:p>
    <w:p w14:paraId="113632BD">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潜在供应商对采购文件项目需求部分的询问、质疑请向采购人提出，由采购人负责答复。</w:t>
      </w:r>
    </w:p>
    <w:p w14:paraId="04979AFF">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本次采购不收取保证金。</w:t>
      </w:r>
    </w:p>
    <w:p w14:paraId="55D5DC93">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有关本次采购的事项若存在变动或修改，敬请及时关注</w:t>
      </w:r>
      <w:r>
        <w:rPr>
          <w:rFonts w:hint="eastAsia" w:ascii="宋体" w:hAnsi="宋体" w:eastAsia="宋体" w:cs="宋体"/>
          <w:b/>
          <w:bCs/>
          <w:color w:val="auto"/>
          <w:szCs w:val="21"/>
          <w:highlight w:val="none"/>
          <w:lang w:eastAsia="zh-CN"/>
        </w:rPr>
        <w:t>“扬州市政府采购网”、“江苏政府采购网”、“中国政府采购网”</w:t>
      </w:r>
      <w:r>
        <w:rPr>
          <w:rFonts w:hint="eastAsia" w:ascii="宋体" w:hAnsi="宋体" w:eastAsia="宋体" w:cs="宋体"/>
          <w:b/>
          <w:bCs/>
          <w:color w:val="auto"/>
          <w:szCs w:val="21"/>
          <w:highlight w:val="none"/>
        </w:rPr>
        <w:t>发布的信息。</w:t>
      </w:r>
    </w:p>
    <w:p w14:paraId="03CC6B8C">
      <w:pP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本项目采购文件中所有斜体下划线部分为实质性条款，如不满足，则为无效响应。</w:t>
      </w:r>
    </w:p>
    <w:p w14:paraId="5693B56E">
      <w:pPr>
        <w:pStyle w:val="257"/>
        <w:spacing w:before="0" w:after="0" w:line="360" w:lineRule="auto"/>
        <w:ind w:firstLine="422"/>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八</w:t>
      </w:r>
      <w:r>
        <w:rPr>
          <w:rFonts w:hint="eastAsia" w:ascii="宋体" w:hAnsi="宋体" w:eastAsia="宋体" w:cs="宋体"/>
          <w:bCs w:val="0"/>
          <w:color w:val="auto"/>
          <w:sz w:val="21"/>
          <w:szCs w:val="21"/>
          <w:highlight w:val="none"/>
        </w:rPr>
        <w:t>、本次竞争性磋商联系方式</w:t>
      </w:r>
      <w:bookmarkEnd w:id="11"/>
    </w:p>
    <w:p w14:paraId="182AE420">
      <w:pPr>
        <w:pStyle w:val="27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23E90935">
      <w:pPr>
        <w:spacing w:line="360" w:lineRule="auto"/>
        <w:ind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cs="宋体"/>
          <w:bCs/>
          <w:color w:val="auto"/>
          <w:szCs w:val="21"/>
          <w:highlight w:val="none"/>
          <w:lang w:eastAsia="zh-CN"/>
        </w:rPr>
        <w:t>扬州高等职业技术学校</w:t>
      </w:r>
    </w:p>
    <w:p w14:paraId="33378FB5">
      <w:pPr>
        <w:pStyle w:val="273"/>
        <w:spacing w:line="360" w:lineRule="auto"/>
        <w:ind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hAnsi="宋体" w:cs="宋体"/>
          <w:color w:val="auto"/>
          <w:sz w:val="21"/>
          <w:szCs w:val="21"/>
          <w:highlight w:val="none"/>
          <w:lang w:val="en-US" w:eastAsia="zh-CN"/>
        </w:rPr>
        <w:t>扬州市广陵区万福西路106号</w:t>
      </w:r>
    </w:p>
    <w:p w14:paraId="66876E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left"/>
        <w:rPr>
          <w:rFonts w:hint="default"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项目联系人：</w:t>
      </w:r>
      <w:r>
        <w:rPr>
          <w:rFonts w:hint="eastAsia" w:ascii="宋体" w:hAnsi="宋体" w:eastAsia="宋体" w:cs="宋体"/>
          <w:color w:val="auto"/>
          <w:sz w:val="21"/>
          <w:szCs w:val="21"/>
          <w:highlight w:val="none"/>
          <w:lang w:val="en-US" w:eastAsia="zh-CN"/>
        </w:rPr>
        <w:t>伏</w:t>
      </w:r>
      <w:r>
        <w:rPr>
          <w:rFonts w:hint="eastAsia" w:ascii="宋体" w:hAnsi="宋体" w:eastAsia="宋体" w:cs="宋体"/>
          <w:color w:val="auto"/>
          <w:sz w:val="21"/>
          <w:szCs w:val="21"/>
          <w:highlight w:val="none"/>
        </w:rPr>
        <w:t>老师</w:t>
      </w:r>
    </w:p>
    <w:p w14:paraId="7E993D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left"/>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bidi="ar-SA"/>
        </w:rPr>
        <w:t>电　　话：</w:t>
      </w:r>
      <w:r>
        <w:rPr>
          <w:rFonts w:hint="eastAsia" w:ascii="宋体" w:hAnsi="宋体" w:eastAsia="宋体" w:cs="宋体"/>
          <w:color w:val="auto"/>
          <w:sz w:val="21"/>
          <w:szCs w:val="21"/>
          <w:highlight w:val="none"/>
          <w:lang w:val="en-US" w:eastAsia="zh-CN"/>
        </w:rPr>
        <w:t>0514-85829191</w:t>
      </w:r>
    </w:p>
    <w:p w14:paraId="16A4AA6B">
      <w:pPr>
        <w:pStyle w:val="27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2.代理机构信息</w:t>
      </w:r>
    </w:p>
    <w:p w14:paraId="08781411">
      <w:pPr>
        <w:pStyle w:val="27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名    称：</w:t>
      </w:r>
      <w:r>
        <w:rPr>
          <w:rFonts w:hint="eastAsia" w:hAnsi="宋体" w:cs="宋体"/>
          <w:color w:val="auto"/>
          <w:sz w:val="21"/>
          <w:szCs w:val="21"/>
          <w:highlight w:val="none"/>
          <w:lang w:eastAsia="zh-CN"/>
        </w:rPr>
        <w:t>江苏皋诚工程项目管理有限公司扬州分公司</w:t>
      </w:r>
    </w:p>
    <w:p w14:paraId="7DEED3BC">
      <w:pPr>
        <w:pStyle w:val="273"/>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扬州市邗江区邗江路49号-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01室</w:t>
      </w:r>
    </w:p>
    <w:p w14:paraId="042470C3">
      <w:pPr>
        <w:spacing w:line="360" w:lineRule="auto"/>
        <w:ind w:firstLine="420"/>
        <w:rPr>
          <w:rFonts w:hint="default"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联 系 人：</w:t>
      </w:r>
      <w:r>
        <w:rPr>
          <w:rFonts w:hint="eastAsia" w:ascii="宋体" w:hAnsi="宋体" w:cs="宋体"/>
          <w:b w:val="0"/>
          <w:bCs/>
          <w:color w:val="auto"/>
          <w:sz w:val="21"/>
          <w:szCs w:val="21"/>
          <w:highlight w:val="none"/>
          <w:lang w:val="en-US" w:eastAsia="zh-CN" w:bidi="ar-SA"/>
        </w:rPr>
        <w:t>胡品伟</w:t>
      </w:r>
    </w:p>
    <w:p w14:paraId="58DC9545">
      <w:pPr>
        <w:pageBreakBefore w:val="0"/>
        <w:spacing w:line="360" w:lineRule="auto"/>
        <w:ind w:right="0" w:firstLine="420"/>
        <w:rPr>
          <w:rFonts w:hint="default"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电　　话：</w:t>
      </w:r>
      <w:r>
        <w:rPr>
          <w:rFonts w:hint="eastAsia" w:ascii="宋体" w:hAnsi="宋体" w:cs="宋体"/>
          <w:b w:val="0"/>
          <w:bCs/>
          <w:color w:val="auto"/>
          <w:sz w:val="21"/>
          <w:szCs w:val="21"/>
          <w:highlight w:val="none"/>
          <w:lang w:val="en-US" w:eastAsia="zh-CN" w:bidi="ar-SA"/>
        </w:rPr>
        <w:t>13092002368</w:t>
      </w:r>
    </w:p>
    <w:p w14:paraId="118FABA4">
      <w:pPr>
        <w:pageBreakBefore w:val="0"/>
        <w:spacing w:line="360" w:lineRule="auto"/>
        <w:ind w:right="0" w:firstLine="420"/>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3、项目联系人</w:t>
      </w:r>
    </w:p>
    <w:p w14:paraId="71604C96">
      <w:pPr>
        <w:spacing w:line="360" w:lineRule="auto"/>
        <w:ind w:firstLine="420"/>
        <w:rPr>
          <w:rFonts w:hint="default"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联 系 人：</w:t>
      </w:r>
      <w:r>
        <w:rPr>
          <w:rFonts w:hint="eastAsia" w:ascii="宋体" w:hAnsi="宋体" w:cs="宋体"/>
          <w:b w:val="0"/>
          <w:bCs/>
          <w:color w:val="auto"/>
          <w:sz w:val="21"/>
          <w:szCs w:val="21"/>
          <w:highlight w:val="none"/>
          <w:lang w:val="en-US" w:eastAsia="zh-CN" w:bidi="ar-SA"/>
        </w:rPr>
        <w:t>胡品伟</w:t>
      </w:r>
    </w:p>
    <w:p w14:paraId="0A6452B0">
      <w:pPr>
        <w:pageBreakBefore w:val="0"/>
        <w:spacing w:line="360" w:lineRule="auto"/>
        <w:ind w:right="0" w:firstLine="420"/>
        <w:rPr>
          <w:rFonts w:hint="default"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电　　话：</w:t>
      </w:r>
      <w:r>
        <w:rPr>
          <w:rFonts w:hint="eastAsia" w:ascii="宋体" w:hAnsi="宋体" w:cs="宋体"/>
          <w:b w:val="0"/>
          <w:bCs/>
          <w:color w:val="auto"/>
          <w:sz w:val="21"/>
          <w:szCs w:val="21"/>
          <w:highlight w:val="none"/>
          <w:lang w:val="en-US" w:eastAsia="zh-CN" w:bidi="ar-SA"/>
        </w:rPr>
        <w:t>13092002368</w:t>
      </w:r>
    </w:p>
    <w:p w14:paraId="49D2A91F">
      <w:pPr>
        <w:pStyle w:val="273"/>
        <w:spacing w:line="360" w:lineRule="auto"/>
        <w:rPr>
          <w:rFonts w:hint="eastAsia" w:ascii="宋体" w:hAnsi="宋体" w:eastAsia="宋体" w:cs="宋体"/>
          <w:color w:val="auto"/>
          <w:sz w:val="21"/>
          <w:szCs w:val="21"/>
          <w:highlight w:val="none"/>
          <w:lang w:val="en-US" w:eastAsia="zh-CN"/>
        </w:rPr>
      </w:pPr>
    </w:p>
    <w:p w14:paraId="74C2A46E">
      <w:pPr>
        <w:spacing w:line="360" w:lineRule="auto"/>
        <w:ind w:firstLine="422"/>
        <w:rPr>
          <w:rFonts w:hint="eastAsia" w:ascii="宋体" w:hAnsi="宋体" w:eastAsia="宋体" w:cs="宋体"/>
          <w:b/>
          <w:i/>
          <w:iCs/>
          <w:color w:val="auto"/>
          <w:szCs w:val="21"/>
          <w:highlight w:val="none"/>
          <w:u w:val="single"/>
        </w:rPr>
      </w:pPr>
    </w:p>
    <w:p w14:paraId="226BD276">
      <w:pPr>
        <w:pStyle w:val="256"/>
        <w:spacing w:line="360" w:lineRule="auto"/>
        <w:jc w:val="center"/>
        <w:rPr>
          <w:rFonts w:hint="eastAsia" w:ascii="宋体" w:hAnsi="宋体" w:eastAsia="宋体" w:cs="宋体"/>
          <w:color w:val="auto"/>
          <w:highlight w:val="none"/>
        </w:rPr>
        <w:sectPr>
          <w:headerReference r:id="rId4" w:type="default"/>
          <w:footerReference r:id="rId5" w:type="default"/>
          <w:pgSz w:w="11906" w:h="16838"/>
          <w:pgMar w:top="1440" w:right="1800" w:bottom="1440" w:left="1800" w:header="850" w:footer="992" w:gutter="0"/>
          <w:pgNumType w:start="1"/>
          <w:cols w:space="720" w:num="1"/>
          <w:docGrid w:linePitch="360" w:charSpace="0"/>
        </w:sectPr>
      </w:pPr>
      <w:bookmarkStart w:id="13" w:name="_Toc109304972"/>
    </w:p>
    <w:p w14:paraId="6F0E0B39">
      <w:pPr>
        <w:pStyle w:val="256"/>
        <w:keepNext/>
        <w:keepLines/>
        <w:pageBreakBefore w:val="0"/>
        <w:widowControl w:val="0"/>
        <w:spacing w:before="0" w:after="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第二章 磋商须知</w:t>
      </w:r>
      <w:bookmarkEnd w:id="13"/>
    </w:p>
    <w:p w14:paraId="431D84B0">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1、采购方式</w:t>
      </w:r>
    </w:p>
    <w:p w14:paraId="6CFFF84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 本次采购采取竞争性磋商方式，本采购文件仅适用于</w:t>
      </w:r>
      <w:r>
        <w:rPr>
          <w:rFonts w:hint="eastAsia" w:ascii="宋体" w:hAnsi="宋体" w:cs="宋体"/>
          <w:color w:val="auto"/>
          <w:highlight w:val="none"/>
          <w:lang w:val="en-US" w:eastAsia="zh-CN"/>
        </w:rPr>
        <w:t>JSZC-321000-NTGC-C2026-0008</w:t>
      </w:r>
      <w:r>
        <w:rPr>
          <w:rFonts w:hint="eastAsia" w:ascii="宋体" w:hAnsi="宋体" w:eastAsia="宋体" w:cs="宋体"/>
          <w:color w:val="auto"/>
          <w:highlight w:val="none"/>
        </w:rPr>
        <w:t>号项目。</w:t>
      </w:r>
    </w:p>
    <w:p w14:paraId="53DEBE39">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2、供应商</w:t>
      </w:r>
    </w:p>
    <w:p w14:paraId="2A2920DC">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2.1 参加竞争性磋商的供应商以下简称“供应商”，是指参加磋商并符合采购文件规定资格条件的法人、其他组织或者自然人。</w:t>
      </w:r>
    </w:p>
    <w:p w14:paraId="2E98F05C">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2.2合格的供应商</w:t>
      </w:r>
    </w:p>
    <w:p w14:paraId="5B9FEF5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2.2.1 满足采购公告中供应商的资格条件要求的规定。</w:t>
      </w:r>
    </w:p>
    <w:p w14:paraId="65D5744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2.2.2 满足本文件实质性条款的规定。</w:t>
      </w:r>
    </w:p>
    <w:p w14:paraId="09E86D38">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3、适用法律</w:t>
      </w:r>
    </w:p>
    <w:p w14:paraId="493F87DF">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3.1 本次采购及由此产生的合同受中华人民共和国有关的法律法规制约和保护。</w:t>
      </w:r>
    </w:p>
    <w:p w14:paraId="6A300DBE">
      <w:pPr>
        <w:spacing w:line="360" w:lineRule="auto"/>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4、参加磋商费用</w:t>
      </w:r>
    </w:p>
    <w:p w14:paraId="614D79C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4.1 供应商应自行承担所有与参加磋商有关的费用，无论磋商过程中的做法和结果如何，</w:t>
      </w:r>
      <w:r>
        <w:rPr>
          <w:rFonts w:hint="eastAsia" w:ascii="宋体" w:hAnsi="宋体" w:cs="宋体"/>
          <w:color w:val="auto"/>
          <w:highlight w:val="none"/>
          <w:lang w:eastAsia="zh-CN"/>
        </w:rPr>
        <w:t>江苏皋诚工程项目管理有限公司扬州分公司</w:t>
      </w:r>
      <w:r>
        <w:rPr>
          <w:rFonts w:hint="eastAsia" w:ascii="宋体" w:hAnsi="宋体" w:eastAsia="宋体" w:cs="宋体"/>
          <w:color w:val="auto"/>
          <w:highlight w:val="none"/>
        </w:rPr>
        <w:t>(以下简称代理机构)在任何情况下均无义务和责任承担这些费用。</w:t>
      </w:r>
    </w:p>
    <w:p w14:paraId="6BF3A625">
      <w:p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4.2</w:t>
      </w:r>
      <w:bookmarkStart w:id="14" w:name="_Hlk115095815"/>
      <w:r>
        <w:rPr>
          <w:rFonts w:hint="eastAsia" w:ascii="宋体" w:hAnsi="宋体" w:cs="宋体"/>
          <w:color w:val="auto"/>
          <w:highlight w:val="none"/>
          <w:lang w:val="en-US" w:eastAsia="zh-CN"/>
        </w:rPr>
        <w:t xml:space="preserve"> 招标代理服务费按</w:t>
      </w:r>
      <w:r>
        <w:rPr>
          <w:rFonts w:hint="eastAsia" w:ascii="宋体" w:hAnsi="宋体" w:eastAsia="宋体" w:cs="宋体"/>
          <w:color w:val="auto"/>
          <w:highlight w:val="none"/>
        </w:rPr>
        <w:t>发改价格〔2011〕534号文件规定标准*</w:t>
      </w:r>
      <w:r>
        <w:rPr>
          <w:rFonts w:hint="eastAsia" w:ascii="宋体" w:hAnsi="宋体" w:cs="宋体"/>
          <w:color w:val="auto"/>
          <w:highlight w:val="none"/>
          <w:lang w:val="en-US" w:eastAsia="zh-CN"/>
        </w:rPr>
        <w:t>50</w:t>
      </w:r>
      <w:r>
        <w:rPr>
          <w:rFonts w:hint="eastAsia" w:ascii="宋体" w:hAnsi="宋体" w:eastAsia="宋体" w:cs="宋体"/>
          <w:color w:val="auto"/>
          <w:highlight w:val="none"/>
        </w:rPr>
        <w:t>%</w:t>
      </w:r>
      <w:r>
        <w:rPr>
          <w:rFonts w:hint="eastAsia" w:ascii="宋体" w:hAnsi="宋体" w:cs="宋体"/>
          <w:color w:val="auto"/>
          <w:highlight w:val="none"/>
          <w:lang w:val="en-US" w:eastAsia="zh-CN"/>
        </w:rPr>
        <w:t>计取，本次采购招标代理服务费由采购人支付。</w:t>
      </w:r>
      <w:bookmarkEnd w:id="14"/>
      <w:r>
        <w:rPr>
          <w:rFonts w:hint="eastAsia" w:ascii="宋体" w:hAnsi="宋体" w:eastAsia="宋体" w:cs="宋体"/>
          <w:color w:val="auto"/>
          <w:highlight w:val="none"/>
          <w:lang w:val="en-US" w:eastAsia="zh-CN"/>
        </w:rPr>
        <w:t xml:space="preserve"> </w:t>
      </w:r>
    </w:p>
    <w:p w14:paraId="46580D28">
      <w:pPr>
        <w:keepNext w:val="0"/>
        <w:keepLines w:val="0"/>
        <w:pageBreakBefore w:val="0"/>
        <w:widowControl w:val="0"/>
        <w:spacing w:line="360" w:lineRule="auto"/>
        <w:ind w:firstLine="632" w:firstLineChars="300"/>
        <w:jc w:val="both"/>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招标代理服务费开户银行：</w:t>
      </w:r>
      <w:r>
        <w:rPr>
          <w:rFonts w:hint="eastAsia" w:ascii="宋体" w:hAnsi="宋体" w:eastAsia="宋体" w:cs="宋体"/>
          <w:color w:val="auto"/>
          <w:highlight w:val="none"/>
          <w:lang w:val="en-US" w:eastAsia="zh-CN"/>
        </w:rPr>
        <w:t>中信银行扬州邗江支行</w:t>
      </w:r>
    </w:p>
    <w:p w14:paraId="67410559">
      <w:pPr>
        <w:keepNext w:val="0"/>
        <w:keepLines w:val="0"/>
        <w:pageBreakBefore w:val="0"/>
        <w:widowControl w:val="0"/>
        <w:spacing w:line="360" w:lineRule="auto"/>
        <w:ind w:firstLine="632" w:firstLineChars="300"/>
        <w:jc w:val="both"/>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开户名称：</w:t>
      </w:r>
      <w:r>
        <w:rPr>
          <w:rFonts w:hint="eastAsia" w:ascii="宋体" w:hAnsi="宋体" w:eastAsia="宋体" w:cs="宋体"/>
          <w:color w:val="auto"/>
          <w:highlight w:val="none"/>
          <w:lang w:val="en-US" w:eastAsia="zh-CN"/>
        </w:rPr>
        <w:t>江苏皋诚工程项目管理有限公司扬州分公司</w:t>
      </w:r>
    </w:p>
    <w:p w14:paraId="7E0D0678">
      <w:pPr>
        <w:keepNext w:val="0"/>
        <w:keepLines w:val="0"/>
        <w:pageBreakBefore w:val="0"/>
        <w:widowControl w:val="0"/>
        <w:spacing w:line="360" w:lineRule="auto"/>
        <w:ind w:firstLine="632" w:firstLineChars="3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开户账号</w:t>
      </w:r>
      <w:r>
        <w:rPr>
          <w:rFonts w:hint="eastAsia" w:ascii="宋体" w:hAnsi="宋体" w:eastAsia="宋体" w:cs="宋体"/>
          <w:b/>
          <w:color w:val="auto"/>
          <w:szCs w:val="21"/>
          <w:highlight w:val="none"/>
        </w:rPr>
        <w:t>：</w:t>
      </w:r>
      <w:r>
        <w:rPr>
          <w:rFonts w:hint="eastAsia" w:ascii="宋体" w:hAnsi="宋体" w:eastAsia="宋体" w:cs="宋体"/>
          <w:color w:val="auto"/>
          <w:highlight w:val="none"/>
          <w:lang w:val="en-US" w:eastAsia="zh-CN"/>
        </w:rPr>
        <w:t>8110501013401924016</w:t>
      </w:r>
    </w:p>
    <w:p w14:paraId="35502EE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4.3</w:t>
      </w:r>
      <w:r>
        <w:rPr>
          <w:rFonts w:hint="eastAsia" w:ascii="宋体" w:hAnsi="宋体" w:eastAsia="宋体" w:cs="宋体"/>
          <w:color w:val="auto"/>
          <w:highlight w:val="none"/>
        </w:rPr>
        <w:t>专家评审费按《扬州市财政局关于进一步规范扬州市政府采购专家评审费标准的通知》（扬财购〔2020〕40号）执行。</w:t>
      </w:r>
    </w:p>
    <w:p w14:paraId="73BE8565">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5、采购文件的约束力</w:t>
      </w:r>
    </w:p>
    <w:p w14:paraId="251BBB8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5.1 供应商一旦参加本项目采购活动，即被认为接受了本采购文件的规定和约束。</w:t>
      </w:r>
    </w:p>
    <w:p w14:paraId="42B02308">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6、采购文件构成</w:t>
      </w:r>
    </w:p>
    <w:p w14:paraId="203A546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6.1 采购文件有以下部分组成：</w:t>
      </w:r>
    </w:p>
    <w:p w14:paraId="11B8627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（1）采购公告</w:t>
      </w:r>
    </w:p>
    <w:p w14:paraId="07F5D4A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（2）磋商须知</w:t>
      </w:r>
    </w:p>
    <w:p w14:paraId="2809493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（3）合同条款及格式</w:t>
      </w:r>
    </w:p>
    <w:p w14:paraId="68C2268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（4）项目需求</w:t>
      </w:r>
    </w:p>
    <w:p w14:paraId="5F05D35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（5）评审方法与评审标准</w:t>
      </w:r>
    </w:p>
    <w:p w14:paraId="7950A69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（6）竞争性磋商响应文件格式</w:t>
      </w:r>
    </w:p>
    <w:p w14:paraId="69520EB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请仔细检查采购文件是否齐全，如有缺漏请立即与代理机构联系解决。</w:t>
      </w:r>
    </w:p>
    <w:p w14:paraId="3701CD8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6.2 采购的最小单位是包。采购服务数量及技术要求中未分包的，供应商对要求提供的服务不得部分响应；采购服务数量及技术要求中已经分包的，应当以包为单位响应。</w:t>
      </w:r>
    </w:p>
    <w:p w14:paraId="71DFB87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6.3 采购文件如果要求供应商提交备选响应方案的，供应商可以提交备选方案；否则，备选方案将被拒绝。</w:t>
      </w:r>
    </w:p>
    <w:p w14:paraId="0EAFFD2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52138E0D">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7、采购文件的澄清</w:t>
      </w:r>
    </w:p>
    <w:p w14:paraId="3675706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7.1 任何要求对采购文件进行澄清的供应商，应在提交首次响应文件截止时间至少5日前按采购公告中的通讯地址，以书面形式通知代理机构。</w:t>
      </w:r>
    </w:p>
    <w:p w14:paraId="3BD09606">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8、采购文件的修改</w:t>
      </w:r>
    </w:p>
    <w:p w14:paraId="0D59EBC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8.1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14:paraId="7B14628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8.2采购文件的修改将在</w:t>
      </w:r>
      <w:r>
        <w:rPr>
          <w:rFonts w:hint="eastAsia" w:ascii="宋体" w:hAnsi="宋体" w:eastAsia="宋体" w:cs="宋体"/>
          <w:color w:val="auto"/>
          <w:highlight w:val="none"/>
          <w:lang w:eastAsia="zh-CN"/>
        </w:rPr>
        <w:t>“扬州市政府采购网”、“江苏政府采购网”、“中国政府采购网”</w:t>
      </w:r>
      <w:r>
        <w:rPr>
          <w:rFonts w:hint="eastAsia" w:ascii="宋体" w:hAnsi="宋体" w:eastAsia="宋体" w:cs="宋体"/>
          <w:color w:val="auto"/>
          <w:highlight w:val="none"/>
        </w:rPr>
        <w:t>公布，补充文件将作为采购文件的组成部分，并对供应商具有约束力。</w:t>
      </w:r>
    </w:p>
    <w:p w14:paraId="50016317">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9、采购文件的语言、度量衡单位、货币</w:t>
      </w:r>
    </w:p>
    <w:p w14:paraId="654DCE8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9.1供应商提交的响应文件以及供应商与代理机构就有关磋商的所有来往通知、函件和文件均应使用简体中文。</w:t>
      </w:r>
    </w:p>
    <w:p w14:paraId="46798B4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9.2 除技术性能另有规定外，采购文件所使用的度量衡单位，均须采用国家法定计量单位。</w:t>
      </w:r>
    </w:p>
    <w:p w14:paraId="5426D97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9.3采购文件中的服务单价和总价无特殊规定的采用人民币报价，以元为单位标注。采购文件中另有规定的按规定执行。</w:t>
      </w:r>
    </w:p>
    <w:p w14:paraId="24385429">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10、响应文件构成</w:t>
      </w:r>
    </w:p>
    <w:p w14:paraId="717F293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10.1磋商文件由以下部分组成</w:t>
      </w:r>
    </w:p>
    <w:p w14:paraId="0B996CD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（1）资格审查响应对照表</w:t>
      </w:r>
    </w:p>
    <w:p w14:paraId="42947C4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（2）符合性审查响应对照表</w:t>
      </w:r>
    </w:p>
    <w:p w14:paraId="5964270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（3）非实质性响应对照表</w:t>
      </w:r>
    </w:p>
    <w:p w14:paraId="3FA04C7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（4）磋商响应报价表 </w:t>
      </w:r>
    </w:p>
    <w:p w14:paraId="4333D68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（5）技术参数响应及偏离表 </w:t>
      </w:r>
    </w:p>
    <w:p w14:paraId="1496DE2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（6）商务条款响应及偏离表 </w:t>
      </w:r>
    </w:p>
    <w:p w14:paraId="3808D98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（7）其他（供应商认为有必要提供的声明和文件，如有自拟并自行添加）</w:t>
      </w:r>
    </w:p>
    <w:p w14:paraId="18C5EF51">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10.2 供应商应当根据采购文件要求编制响应文件，响应文件应对采购文件提出的要求和条件作出响应，并在相应的响应文件中逐条标明满足与否。</w:t>
      </w:r>
    </w:p>
    <w:p w14:paraId="289C7986">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11、证明供应商资格及符合采购文件规定的文件</w:t>
      </w:r>
    </w:p>
    <w:p w14:paraId="7898FD0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11.1供应商应按要求提交资格证明文件及符合采购文件规定的文件。</w:t>
      </w:r>
    </w:p>
    <w:p w14:paraId="6F370D2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11.2供应商应提交证明其有资格参加磋商和成交后有能力独立履行合同的文件。</w:t>
      </w:r>
    </w:p>
    <w:p w14:paraId="4106873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11.3供应商除必须具有履行合同所需提供的产品或服务的能力外，还必须具备相应的财务、技术方面的能力。</w:t>
      </w:r>
    </w:p>
    <w:p w14:paraId="11B2081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11.4供应商应提交根据合同要求提供的证明服务质量合格以及符合采购文件规定的证明文件。</w:t>
      </w:r>
    </w:p>
    <w:p w14:paraId="4D2CBF1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11.5证明供应商所提供服务与采购文件的要求相一致的文件可以是手册、图纸、文字资料和数据。</w:t>
      </w:r>
    </w:p>
    <w:p w14:paraId="30F5ADA1">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12、磋商响应报价表</w:t>
      </w:r>
    </w:p>
    <w:p w14:paraId="731B6F4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12.1 供应商应按照采购文件规定格式填报磋商响应报价表，每项服务只允许有一个报价，任何有选择的报价将不予接受。</w:t>
      </w:r>
    </w:p>
    <w:p w14:paraId="4581B23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12.2 标的物</w:t>
      </w:r>
    </w:p>
    <w:p w14:paraId="0868E58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采购人需求的服务供应、安装，调试及有关技术服务等。</w:t>
      </w:r>
    </w:p>
    <w:p w14:paraId="36C4ABF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12.3</w:t>
      </w:r>
      <w:r>
        <w:rPr>
          <w:rFonts w:hint="eastAsia" w:ascii="宋体" w:hAnsi="宋体" w:eastAsia="宋体" w:cs="宋体"/>
          <w:color w:val="auto"/>
          <w:highlight w:val="none"/>
          <w:lang w:eastAsia="zh-CN"/>
        </w:rPr>
        <w:t>其他费用</w:t>
      </w:r>
      <w:r>
        <w:rPr>
          <w:rFonts w:hint="eastAsia" w:ascii="宋体" w:hAnsi="宋体" w:eastAsia="宋体" w:cs="宋体"/>
          <w:color w:val="auto"/>
          <w:highlight w:val="none"/>
        </w:rPr>
        <w:t>处理</w:t>
      </w:r>
    </w:p>
    <w:p w14:paraId="7D06D07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采购文件未列明，而供应商认为必需的费用也需列入报价。</w:t>
      </w:r>
    </w:p>
    <w:p w14:paraId="2D7CB414">
      <w:pPr>
        <w:spacing w:line="360" w:lineRule="auto"/>
        <w:ind w:firstLine="422"/>
        <w:rPr>
          <w:rFonts w:hint="eastAsia" w:ascii="宋体" w:hAnsi="宋体" w:eastAsia="宋体" w:cs="宋体"/>
          <w:color w:val="auto"/>
          <w:highlight w:val="none"/>
        </w:rPr>
      </w:pPr>
      <w:r>
        <w:rPr>
          <w:rFonts w:hint="eastAsia" w:ascii="宋体" w:hAnsi="宋体" w:eastAsia="宋体" w:cs="宋体"/>
          <w:b/>
          <w:bCs/>
          <w:color w:val="auto"/>
          <w:highlight w:val="none"/>
        </w:rPr>
        <w:t>13、技术参数响应及偏离表、商务条款响应及偏离表及磋商服务说明</w:t>
      </w:r>
    </w:p>
    <w:p w14:paraId="21702ED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13.1 对采购文件中的技术与商务条款要求逐项作出响应或偏离，并说明原因；</w:t>
      </w:r>
    </w:p>
    <w:p w14:paraId="5863728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13.2 提供参加本项目类似案例简介；</w:t>
      </w:r>
    </w:p>
    <w:p w14:paraId="7D8D467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13.3 详细阐述所投服务的主要组成部分、功能设计、实现思路及关键技术；</w:t>
      </w:r>
    </w:p>
    <w:p w14:paraId="6293C4D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13.4 供应商认为需要的其他技术文件或说明。</w:t>
      </w:r>
    </w:p>
    <w:p w14:paraId="373AFCA9">
      <w:pPr>
        <w:spacing w:line="360" w:lineRule="auto"/>
        <w:ind w:firstLine="422"/>
        <w:rPr>
          <w:rFonts w:hint="eastAsia" w:ascii="宋体" w:hAnsi="宋体" w:eastAsia="宋体" w:cs="宋体"/>
          <w:color w:val="auto"/>
          <w:highlight w:val="none"/>
        </w:rPr>
      </w:pPr>
      <w:r>
        <w:rPr>
          <w:rFonts w:hint="eastAsia" w:ascii="宋体" w:hAnsi="宋体" w:eastAsia="宋体" w:cs="宋体"/>
          <w:b/>
          <w:bCs/>
          <w:color w:val="auto"/>
          <w:highlight w:val="none"/>
        </w:rPr>
        <w:t>14、服务承诺及售后服务机构、人员的情况介绍</w:t>
      </w:r>
    </w:p>
    <w:p w14:paraId="4B3D3DB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14.1供应商的服务承诺应</w:t>
      </w:r>
      <w:r>
        <w:rPr>
          <w:rFonts w:hint="eastAsia" w:ascii="宋体" w:hAnsi="宋体" w:eastAsia="宋体" w:cs="宋体"/>
          <w:color w:val="auto"/>
          <w:highlight w:val="none"/>
          <w:lang w:eastAsia="zh-CN"/>
        </w:rPr>
        <w:t>按照</w:t>
      </w:r>
      <w:r>
        <w:rPr>
          <w:rFonts w:hint="eastAsia" w:ascii="宋体" w:hAnsi="宋体" w:eastAsia="宋体" w:cs="宋体"/>
          <w:color w:val="auto"/>
          <w:highlight w:val="none"/>
        </w:rPr>
        <w:t>不低于采购文件中商务要求的标准。</w:t>
      </w:r>
    </w:p>
    <w:p w14:paraId="63D7BE0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14.2提供供应商有关售后服务的管理制度、售后服务机构的分布情况、售后服务人员的数量、素质、技术水平及售后服务的反应能力。</w:t>
      </w:r>
    </w:p>
    <w:p w14:paraId="7734A1C5">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15、磋商响应函</w:t>
      </w:r>
    </w:p>
    <w:p w14:paraId="41FBB29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15.1 供应商应按照扬州市政府采购交易管理系统提供的格式完整、正确填写磋商响应函。</w:t>
      </w:r>
    </w:p>
    <w:p w14:paraId="3701EDA7">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16、磋商响应有效期</w:t>
      </w:r>
    </w:p>
    <w:p w14:paraId="7C0E7CB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16.1 磋商响应有效期为代理机构规定的响应文件接收截止时间后</w:t>
      </w:r>
      <w:r>
        <w:rPr>
          <w:rFonts w:hint="eastAsia" w:ascii="宋体" w:hAnsi="宋体" w:eastAsia="宋体" w:cs="宋体"/>
          <w:color w:val="auto"/>
          <w:highlight w:val="none"/>
          <w:u w:val="single"/>
        </w:rPr>
        <w:t>六十（60）天</w:t>
      </w:r>
      <w:r>
        <w:rPr>
          <w:rFonts w:hint="eastAsia" w:ascii="宋体" w:hAnsi="宋体" w:eastAsia="宋体" w:cs="宋体"/>
          <w:color w:val="auto"/>
          <w:highlight w:val="none"/>
        </w:rPr>
        <w:t>。磋商响应有效期比规定短的将被视为非实质性</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而予以拒绝。</w:t>
      </w:r>
    </w:p>
    <w:p w14:paraId="634F22A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16.2 在特殊情况下，代理机构于原磋商响应有效期满之前，可向供应商提出延长磋商响应有效期的要求。这种要求与答复均应采用书面形式。供应商可以拒绝代理机构的这一要求而放弃磋商响应；同意延长磋商响应有效期的供应商既不能要求也不允许修改其响应文件。本采购文件受磋商响应有效期约束的所有权利与义务均延长至新的有效期。</w:t>
      </w:r>
    </w:p>
    <w:p w14:paraId="1765C33B">
      <w:pPr>
        <w:spacing w:line="360" w:lineRule="auto"/>
        <w:ind w:firstLine="420"/>
        <w:rPr>
          <w:rFonts w:hint="eastAsia" w:ascii="宋体" w:hAnsi="宋体" w:eastAsia="宋体" w:cs="宋体"/>
          <w:b/>
          <w:bCs/>
          <w:color w:val="auto"/>
          <w:highlight w:val="none"/>
        </w:rPr>
      </w:pPr>
      <w:bookmarkStart w:id="15" w:name="_Toc16938541"/>
      <w:bookmarkStart w:id="16" w:name="_Toc20823297"/>
      <w:r>
        <w:rPr>
          <w:rFonts w:hint="eastAsia" w:ascii="宋体" w:hAnsi="宋体" w:eastAsia="宋体" w:cs="宋体"/>
          <w:b/>
          <w:bCs/>
          <w:color w:val="auto"/>
          <w:highlight w:val="none"/>
        </w:rPr>
        <w:t>17、响应文件</w:t>
      </w:r>
      <w:bookmarkEnd w:id="15"/>
      <w:bookmarkEnd w:id="16"/>
      <w:r>
        <w:rPr>
          <w:rFonts w:hint="eastAsia" w:ascii="宋体" w:hAnsi="宋体" w:eastAsia="宋体" w:cs="宋体"/>
          <w:b/>
          <w:bCs/>
          <w:color w:val="auto"/>
          <w:highlight w:val="none"/>
        </w:rPr>
        <w:t>的递交</w:t>
      </w:r>
    </w:p>
    <w:p w14:paraId="305138F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17.1 电子响应文件的递交供应商应当按照《操作手册》规定，在磋商响应截止时间前制作并上传电子响应文件。</w:t>
      </w:r>
      <w:bookmarkStart w:id="17" w:name="_Toc16938542"/>
      <w:bookmarkStart w:id="18" w:name="_Toc20823298"/>
    </w:p>
    <w:p w14:paraId="4491D2AA">
      <w:pPr>
        <w:spacing w:line="360" w:lineRule="auto"/>
        <w:ind w:firstLine="42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17.2政府采购管理交易系统（苏采云）相关要求是本采购文件的组成部分。</w:t>
      </w:r>
    </w:p>
    <w:p w14:paraId="211B462E">
      <w:pPr>
        <w:spacing w:line="360" w:lineRule="auto"/>
        <w:ind w:firstLine="42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17.3供应商应对 CA 证书妥善保管，如被他人盗用</w:t>
      </w:r>
      <w:r>
        <w:rPr>
          <w:rFonts w:hint="eastAsia" w:ascii="宋体" w:hAnsi="宋体" w:eastAsia="宋体" w:cs="宋体"/>
          <w:b w:val="0"/>
          <w:bCs w:val="0"/>
          <w:color w:val="auto"/>
          <w:szCs w:val="21"/>
          <w:highlight w:val="none"/>
          <w:lang w:eastAsia="zh-CN"/>
        </w:rPr>
        <w:t>磋商</w:t>
      </w:r>
      <w:r>
        <w:rPr>
          <w:rFonts w:hint="eastAsia" w:ascii="宋体" w:hAnsi="宋体" w:eastAsia="宋体" w:cs="宋体"/>
          <w:b w:val="0"/>
          <w:bCs w:val="0"/>
          <w:color w:val="auto"/>
          <w:szCs w:val="21"/>
          <w:highlight w:val="none"/>
        </w:rPr>
        <w:t>，因此带来的</w:t>
      </w:r>
      <w:r>
        <w:rPr>
          <w:rFonts w:hint="eastAsia" w:ascii="宋体" w:hAnsi="宋体" w:eastAsia="宋体" w:cs="宋体"/>
          <w:b w:val="0"/>
          <w:bCs w:val="0"/>
          <w:color w:val="auto"/>
          <w:szCs w:val="21"/>
          <w:highlight w:val="none"/>
          <w:lang w:eastAsia="zh-CN"/>
        </w:rPr>
        <w:t>后果</w:t>
      </w:r>
      <w:r>
        <w:rPr>
          <w:rFonts w:hint="eastAsia" w:ascii="宋体" w:hAnsi="宋体" w:eastAsia="宋体" w:cs="宋体"/>
          <w:b w:val="0"/>
          <w:bCs w:val="0"/>
          <w:color w:val="auto"/>
          <w:szCs w:val="21"/>
          <w:highlight w:val="none"/>
        </w:rPr>
        <w:t>均由供应商自行承担。</w:t>
      </w:r>
    </w:p>
    <w:p w14:paraId="2FB7303E">
      <w:pPr>
        <w:spacing w:line="360" w:lineRule="auto"/>
        <w:ind w:firstLine="42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17.4供应商应当对采购文件提出的要求和条件作出实质性响应，并在电子</w:t>
      </w:r>
      <w:r>
        <w:rPr>
          <w:rFonts w:hint="eastAsia" w:ascii="宋体" w:hAnsi="宋体" w:eastAsia="宋体" w:cs="宋体"/>
          <w:b w:val="0"/>
          <w:bCs w:val="0"/>
          <w:color w:val="auto"/>
          <w:szCs w:val="21"/>
          <w:highlight w:val="none"/>
          <w:lang w:eastAsia="zh-CN"/>
        </w:rPr>
        <w:t>磋商</w:t>
      </w:r>
      <w:r>
        <w:rPr>
          <w:rFonts w:hint="eastAsia" w:ascii="宋体" w:hAnsi="宋体" w:eastAsia="宋体" w:cs="宋体"/>
          <w:b w:val="0"/>
          <w:bCs w:val="0"/>
          <w:color w:val="auto"/>
          <w:szCs w:val="21"/>
          <w:highlight w:val="none"/>
        </w:rPr>
        <w:t>系统逐条应答。</w:t>
      </w:r>
    </w:p>
    <w:p w14:paraId="41D63D43">
      <w:pPr>
        <w:spacing w:line="360" w:lineRule="auto"/>
        <w:ind w:firstLine="42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17.5供应商应对要求提供的资格证明文件（如资质证书、资格证书）、技术资料（如白皮书、彩页、手册、检测报告等）扫描上传至</w:t>
      </w:r>
      <w:r>
        <w:rPr>
          <w:rFonts w:hint="eastAsia" w:ascii="宋体" w:hAnsi="宋体" w:eastAsia="宋体" w:cs="宋体"/>
          <w:b w:val="0"/>
          <w:bCs w:val="0"/>
          <w:color w:val="auto"/>
          <w:szCs w:val="21"/>
          <w:highlight w:val="none"/>
          <w:lang w:eastAsia="zh-CN"/>
        </w:rPr>
        <w:t>磋商</w:t>
      </w:r>
      <w:r>
        <w:rPr>
          <w:rFonts w:hint="eastAsia" w:ascii="宋体" w:hAnsi="宋体" w:eastAsia="宋体" w:cs="宋体"/>
          <w:b w:val="0"/>
          <w:bCs w:val="0"/>
          <w:color w:val="auto"/>
          <w:szCs w:val="21"/>
          <w:highlight w:val="none"/>
        </w:rPr>
        <w:t>系统。</w:t>
      </w:r>
    </w:p>
    <w:p w14:paraId="3FB8450B">
      <w:pPr>
        <w:spacing w:line="360" w:lineRule="auto"/>
        <w:ind w:firstLine="422"/>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17.6</w:t>
      </w: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szCs w:val="21"/>
          <w:highlight w:val="none"/>
        </w:rPr>
        <w:t>应当在</w:t>
      </w:r>
      <w:r>
        <w:rPr>
          <w:rFonts w:hint="eastAsia" w:ascii="宋体" w:hAnsi="宋体" w:eastAsia="宋体" w:cs="宋体"/>
          <w:b w:val="0"/>
          <w:bCs w:val="0"/>
          <w:color w:val="auto"/>
          <w:szCs w:val="21"/>
          <w:highlight w:val="none"/>
          <w:lang w:eastAsia="zh-CN"/>
        </w:rPr>
        <w:t>磋商</w:t>
      </w:r>
      <w:r>
        <w:rPr>
          <w:rFonts w:hint="eastAsia" w:ascii="宋体" w:hAnsi="宋体" w:eastAsia="宋体" w:cs="宋体"/>
          <w:b w:val="0"/>
          <w:bCs w:val="0"/>
          <w:color w:val="auto"/>
          <w:szCs w:val="21"/>
          <w:highlight w:val="none"/>
        </w:rPr>
        <w:t>文件要求提交</w:t>
      </w:r>
      <w:r>
        <w:rPr>
          <w:rFonts w:hint="eastAsia" w:ascii="宋体" w:hAnsi="宋体" w:eastAsia="宋体" w:cs="宋体"/>
          <w:b w:val="0"/>
          <w:bCs w:val="0"/>
          <w:color w:val="auto"/>
          <w:szCs w:val="21"/>
          <w:highlight w:val="none"/>
          <w:lang w:val="en-US" w:eastAsia="zh-CN"/>
        </w:rPr>
        <w:t>响应</w:t>
      </w:r>
      <w:r>
        <w:rPr>
          <w:rFonts w:hint="eastAsia" w:ascii="宋体" w:hAnsi="宋体" w:eastAsia="宋体" w:cs="宋体"/>
          <w:b w:val="0"/>
          <w:bCs w:val="0"/>
          <w:color w:val="auto"/>
          <w:szCs w:val="21"/>
          <w:highlight w:val="none"/>
        </w:rPr>
        <w:t>文件的截止时间前，将</w:t>
      </w:r>
      <w:r>
        <w:rPr>
          <w:rFonts w:hint="eastAsia" w:ascii="宋体" w:hAnsi="宋体" w:eastAsia="宋体" w:cs="宋体"/>
          <w:b w:val="0"/>
          <w:bCs w:val="0"/>
          <w:color w:val="auto"/>
          <w:szCs w:val="21"/>
          <w:highlight w:val="none"/>
          <w:lang w:eastAsia="zh-CN"/>
        </w:rPr>
        <w:t>响应</w:t>
      </w:r>
      <w:r>
        <w:rPr>
          <w:rFonts w:hint="eastAsia" w:ascii="宋体" w:hAnsi="宋体" w:eastAsia="宋体" w:cs="宋体"/>
          <w:b w:val="0"/>
          <w:bCs w:val="0"/>
          <w:color w:val="auto"/>
          <w:szCs w:val="21"/>
          <w:highlight w:val="none"/>
        </w:rPr>
        <w:t>文件提交至“苏采云”系统，逾期提交的</w:t>
      </w:r>
      <w:r>
        <w:rPr>
          <w:rFonts w:hint="eastAsia" w:ascii="宋体" w:hAnsi="宋体" w:eastAsia="宋体" w:cs="宋体"/>
          <w:b w:val="0"/>
          <w:bCs w:val="0"/>
          <w:color w:val="auto"/>
          <w:szCs w:val="21"/>
          <w:highlight w:val="none"/>
          <w:lang w:eastAsia="zh-CN"/>
        </w:rPr>
        <w:t>响应</w:t>
      </w:r>
      <w:r>
        <w:rPr>
          <w:rFonts w:hint="eastAsia" w:ascii="宋体" w:hAnsi="宋体" w:eastAsia="宋体" w:cs="宋体"/>
          <w:b w:val="0"/>
          <w:bCs w:val="0"/>
          <w:color w:val="auto"/>
          <w:szCs w:val="21"/>
          <w:highlight w:val="none"/>
        </w:rPr>
        <w:t>文件，“苏采云”系统将自动拒收。</w:t>
      </w:r>
    </w:p>
    <w:p w14:paraId="1EA99413">
      <w:pPr>
        <w:spacing w:line="360" w:lineRule="auto"/>
        <w:ind w:firstLine="422"/>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17.</w:t>
      </w:r>
      <w:r>
        <w:rPr>
          <w:rFonts w:hint="eastAsia" w:ascii="宋体" w:hAnsi="宋体" w:eastAsia="宋体" w:cs="宋体"/>
          <w:b w:val="0"/>
          <w:bCs w:val="0"/>
          <w:color w:val="auto"/>
          <w:szCs w:val="21"/>
          <w:highlight w:val="none"/>
          <w:lang w:val="en-US" w:eastAsia="zh-CN"/>
        </w:rPr>
        <w:t>7</w:t>
      </w:r>
      <w:r>
        <w:rPr>
          <w:rFonts w:hint="eastAsia" w:ascii="宋体" w:hAnsi="宋体" w:eastAsia="宋体" w:cs="宋体"/>
          <w:b w:val="0"/>
          <w:bCs w:val="0"/>
          <w:color w:val="auto"/>
          <w:szCs w:val="21"/>
          <w:highlight w:val="none"/>
        </w:rPr>
        <w:t>各供应商应在规定时间内凭CA证书进行网上解密。</w:t>
      </w:r>
    </w:p>
    <w:p w14:paraId="11422B4E">
      <w:pPr>
        <w:spacing w:line="360" w:lineRule="auto"/>
        <w:ind w:firstLine="422"/>
        <w:rPr>
          <w:rFonts w:hint="eastAsia" w:ascii="宋体" w:hAnsi="宋体" w:eastAsia="宋体" w:cs="宋体"/>
          <w:b/>
          <w:bCs/>
          <w:color w:val="auto"/>
          <w:sz w:val="24"/>
          <w:highlight w:val="none"/>
        </w:rPr>
      </w:pPr>
      <w:r>
        <w:rPr>
          <w:rFonts w:hint="eastAsia" w:ascii="宋体" w:hAnsi="宋体" w:eastAsia="宋体" w:cs="宋体"/>
          <w:b/>
          <w:bCs/>
          <w:color w:val="auto"/>
          <w:highlight w:val="none"/>
        </w:rPr>
        <w:t>18、磋商响应截止日期</w:t>
      </w:r>
      <w:bookmarkEnd w:id="17"/>
      <w:bookmarkEnd w:id="18"/>
    </w:p>
    <w:p w14:paraId="52261D2F">
      <w:pPr>
        <w:spacing w:line="360" w:lineRule="auto"/>
        <w:ind w:firstLine="420"/>
        <w:rPr>
          <w:rFonts w:hint="eastAsia" w:ascii="宋体" w:hAnsi="宋体" w:eastAsia="宋体" w:cs="宋体"/>
          <w:i/>
          <w:color w:val="auto"/>
          <w:highlight w:val="none"/>
          <w:u w:val="single"/>
        </w:rPr>
      </w:pPr>
      <w:r>
        <w:rPr>
          <w:rFonts w:hint="eastAsia" w:ascii="宋体" w:hAnsi="宋体" w:eastAsia="宋体" w:cs="宋体"/>
          <w:i/>
          <w:color w:val="auto"/>
          <w:highlight w:val="none"/>
          <w:u w:val="single"/>
        </w:rPr>
        <w:t>18.1 供应商上传电子响应文件的时间不得迟于采购公告中规定的磋商响应截止时间。</w:t>
      </w:r>
    </w:p>
    <w:p w14:paraId="7AB0BE6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供应商应</w:t>
      </w:r>
      <w:r>
        <w:rPr>
          <w:rFonts w:hint="eastAsia" w:ascii="宋体" w:hAnsi="宋体" w:eastAsia="宋体" w:cs="宋体"/>
          <w:color w:val="auto"/>
          <w:highlight w:val="none"/>
          <w:lang w:eastAsia="zh-CN"/>
        </w:rPr>
        <w:t>充分考虑</w:t>
      </w:r>
      <w:r>
        <w:rPr>
          <w:rFonts w:hint="eastAsia" w:ascii="宋体" w:hAnsi="宋体" w:eastAsia="宋体" w:cs="宋体"/>
          <w:color w:val="auto"/>
          <w:highlight w:val="none"/>
        </w:rPr>
        <w:t>网络环境、网络带宽等风险因素，如因供应商自身原因造成的电子响应文件上传不成功由供应商自行承担全部责任。</w:t>
      </w:r>
    </w:p>
    <w:p w14:paraId="1538196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18.2 代理机构可以按照规定，通过修改采购文件延长磋商截止日期，在此情况下，供应商的所有权利和义务以及供应商受制的截止日期均应以延长后新的截止日期为准。</w:t>
      </w:r>
    </w:p>
    <w:p w14:paraId="14E4ABE7">
      <w:pPr>
        <w:spacing w:line="360" w:lineRule="auto"/>
        <w:ind w:firstLine="420"/>
        <w:rPr>
          <w:rFonts w:hint="eastAsia" w:ascii="宋体" w:hAnsi="宋体" w:eastAsia="宋体" w:cs="宋体"/>
          <w:b/>
          <w:bCs/>
          <w:color w:val="auto"/>
          <w:highlight w:val="none"/>
        </w:rPr>
      </w:pPr>
      <w:bookmarkStart w:id="19" w:name="_Toc20823299"/>
      <w:bookmarkStart w:id="20" w:name="_Toc16938543"/>
      <w:r>
        <w:rPr>
          <w:rFonts w:hint="eastAsia" w:ascii="宋体" w:hAnsi="宋体" w:eastAsia="宋体" w:cs="宋体"/>
          <w:b/>
          <w:bCs/>
          <w:color w:val="auto"/>
          <w:highlight w:val="none"/>
        </w:rPr>
        <w:t>19、响应文件</w:t>
      </w:r>
      <w:bookmarkEnd w:id="19"/>
      <w:bookmarkEnd w:id="20"/>
      <w:r>
        <w:rPr>
          <w:rFonts w:hint="eastAsia" w:ascii="宋体" w:hAnsi="宋体" w:eastAsia="宋体" w:cs="宋体"/>
          <w:b/>
          <w:bCs/>
          <w:color w:val="auto"/>
          <w:highlight w:val="none"/>
        </w:rPr>
        <w:t>的拒收</w:t>
      </w:r>
    </w:p>
    <w:p w14:paraId="019C7D0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19.1代理机构拒绝接收在其规定的磋商截止时间后上传的任何响应文件。</w:t>
      </w:r>
    </w:p>
    <w:p w14:paraId="5E1B3728">
      <w:pPr>
        <w:spacing w:line="360" w:lineRule="auto"/>
        <w:ind w:firstLine="420"/>
        <w:rPr>
          <w:rFonts w:hint="eastAsia" w:ascii="宋体" w:hAnsi="宋体" w:eastAsia="宋体" w:cs="宋体"/>
          <w:b/>
          <w:bCs/>
          <w:color w:val="auto"/>
          <w:highlight w:val="none"/>
        </w:rPr>
      </w:pPr>
      <w:bookmarkStart w:id="21" w:name="_Toc16938544"/>
      <w:bookmarkStart w:id="22" w:name="_Toc20823300"/>
      <w:r>
        <w:rPr>
          <w:rFonts w:hint="eastAsia" w:ascii="宋体" w:hAnsi="宋体" w:eastAsia="宋体" w:cs="宋体"/>
          <w:b/>
          <w:bCs/>
          <w:color w:val="auto"/>
          <w:highlight w:val="none"/>
        </w:rPr>
        <w:t>20、响应文件的撤回和修改</w:t>
      </w:r>
      <w:bookmarkEnd w:id="21"/>
      <w:bookmarkEnd w:id="22"/>
    </w:p>
    <w:p w14:paraId="6CD5D0E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20.1 响应文件的撤回</w:t>
      </w:r>
    </w:p>
    <w:p w14:paraId="138E434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20.1.1 电子响应文件的撤回</w:t>
      </w:r>
    </w:p>
    <w:p w14:paraId="5102DA7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供应商可在磋商截止时间前，撤回其电子响应文件，具体操作方法见《操作手册》。</w:t>
      </w:r>
    </w:p>
    <w:p w14:paraId="7C52A77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20.1.2 供应商撤回电子响应文件，则认为其不再参与本项目磋商谈判。</w:t>
      </w:r>
    </w:p>
    <w:p w14:paraId="4079A0E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20.2 响应文件的修改</w:t>
      </w:r>
    </w:p>
    <w:p w14:paraId="19DCD24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供应商可在磋商截止时间前，对其电子响应文件进行修改，具体操作方法见《操作手册》。</w:t>
      </w:r>
    </w:p>
    <w:p w14:paraId="01C560F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20.3 在磋商截止时间之后，供应商不得对其电子响应文件作任何修改。</w:t>
      </w:r>
    </w:p>
    <w:p w14:paraId="2A9BFFE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20.4 在磋商截止时间至采购文件中规定的磋商有效期满之间的这段时间内，供应商不得撤回其响应文件。</w:t>
      </w:r>
    </w:p>
    <w:p w14:paraId="024B6A11">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21、磋商</w:t>
      </w:r>
    </w:p>
    <w:p w14:paraId="5031A24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21.1 代理机构将在采购公告中规定的时间和地点组织磋商开始仪式。供应商应当按照《操作手册》规定，参加磋商活动。</w:t>
      </w:r>
    </w:p>
    <w:p w14:paraId="5E5496D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21.2供应商在磋商过程中</w:t>
      </w:r>
      <w:r>
        <w:rPr>
          <w:rFonts w:hint="eastAsia" w:ascii="宋体" w:hAnsi="宋体" w:eastAsia="宋体" w:cs="宋体"/>
          <w:color w:val="auto"/>
          <w:highlight w:val="none"/>
          <w:lang w:eastAsia="zh-CN"/>
        </w:rPr>
        <w:t>涉及的</w:t>
      </w:r>
      <w:r>
        <w:rPr>
          <w:rFonts w:hint="eastAsia" w:ascii="宋体" w:hAnsi="宋体" w:eastAsia="宋体" w:cs="宋体"/>
          <w:color w:val="auto"/>
          <w:highlight w:val="none"/>
        </w:rPr>
        <w:t>响应文件解密等工作，应按照《操作手册》规定执行。</w:t>
      </w:r>
    </w:p>
    <w:p w14:paraId="57839E7E">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22、磋商小组</w:t>
      </w:r>
    </w:p>
    <w:p w14:paraId="629BC44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22.1 磋商开始后，代理机构将立即组织磋商小组进行评审。</w:t>
      </w:r>
    </w:p>
    <w:p w14:paraId="3D660B6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22.2磋商小组由采购人代表和有关技术、经济等方面的专家组成，且人员构成符合政府采购有关规定。</w:t>
      </w:r>
    </w:p>
    <w:p w14:paraId="4E8ED10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22.3磋商小组独立工作，负责评审有效响应文件并确定成交候选供应商。</w:t>
      </w:r>
    </w:p>
    <w:p w14:paraId="43F987ED">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23、评审过程的保密与公正</w:t>
      </w:r>
    </w:p>
    <w:p w14:paraId="3A53ECA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23.1评审专家应当遵守评审工作纪律，不得泄露评审情况和评审中获悉的商业秘密。</w:t>
      </w:r>
    </w:p>
    <w:p w14:paraId="41686B7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23.2在评审过程中，供应商不得以任何行为影响评审过程，否则其响应文件将被作为无效响应文件。</w:t>
      </w:r>
    </w:p>
    <w:p w14:paraId="7CDD53B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23.3 在评审期间，代理机构将设专门工作人员与供应商联系。</w:t>
      </w:r>
    </w:p>
    <w:p w14:paraId="6C78749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23.4 代理机构和磋商小组不向未成交的供应商解释未成交原因，也不公布评审过程中的相关细节。</w:t>
      </w:r>
    </w:p>
    <w:p w14:paraId="28D12CE7">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24、磋商的澄清</w:t>
      </w:r>
    </w:p>
    <w:p w14:paraId="6416D69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24.1评审期间，磋商小组要求供应商澄清、说明或者更正响应文件以电子函件形式提交但并非对每个供应商都作澄清要求。</w:t>
      </w:r>
    </w:p>
    <w:p w14:paraId="6104BAA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24.2接到磋商小组澄清要求的供应商应按磋商小组规定的时间和格式在”政府采购管理交易系统（苏采云）”中做出澄清，澄清的内容作为响应文件的补充部分。具体操作方式见《操作手册》。</w:t>
      </w:r>
    </w:p>
    <w:p w14:paraId="7103296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24.3 接到磋商小组澄清要求的供应商如未按规定做出澄清，其风险由供应商自行承担。</w:t>
      </w:r>
    </w:p>
    <w:p w14:paraId="0655C4B8">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25、对响应文件的初审</w:t>
      </w:r>
    </w:p>
    <w:p w14:paraId="7FFB5E3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25.1响应文件初审分为资格审查和符合性审查。</w:t>
      </w:r>
    </w:p>
    <w:p w14:paraId="0BB5620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25.1.1资格审查：依据法律法规和采购文件的规定，对响应文件中的资格证明文件进行审查。以确定供应商是否具备参加磋商的资格。</w:t>
      </w:r>
    </w:p>
    <w:p w14:paraId="179F966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25.1.2符合性检查：依据采购文件的规定，由磋商小组从响应文件的有效性、完整性和对采购文件的响应程度进行审查，以确定是否对采购文件的实质性要求作出响应。</w:t>
      </w:r>
    </w:p>
    <w:p w14:paraId="2FDB6F0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25.1.3 未通过资格审查或符合性审查的供应商，代理机构将在”政府采购管理交易系统（苏采云）”中告知未通过资格审查或符合性审查的原因，评审结束后，代理机构将不再告知未通过资格审查或符合性审查的原因。</w:t>
      </w:r>
    </w:p>
    <w:p w14:paraId="27D79ED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25.2在详细评审之前，磋商小组将首先审查每份响应文件是否实质性响应了采购文件的要求。实质性响应的响应文件应该是与采购文件要求的全部条款、条件和规格相符，没有重大偏离或保留。</w:t>
      </w:r>
    </w:p>
    <w:p w14:paraId="64817B8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所谓重大偏离或保留是指与采购文件规定的实质性要求存在负偏离，或者在实质上与采购文件不一致，而且限制了合同中买方（采购人）和见证方（代理机构）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7A1F4BC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25.3如果响应文件实质上没有响应采购文件的要求，磋商小组将予以拒绝，供应商不得通过修改或撤销不合要求的偏离或保留而使其响应文件成为实质性响应的文件。</w:t>
      </w:r>
    </w:p>
    <w:p w14:paraId="0BC483A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25.4 供应商在开、评标全过程中应保持通讯畅通，并安排专人与代理机构及磋商小组联系。</w:t>
      </w:r>
    </w:p>
    <w:p w14:paraId="7CDF73CD">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26、磋商程序及评审方法和标准</w:t>
      </w:r>
    </w:p>
    <w:p w14:paraId="2291AFC6">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26.1磋商程序</w:t>
      </w:r>
    </w:p>
    <w:p w14:paraId="16260E5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26.1.1 对于通过资格性和符合性审查的供应商，磋商小组所有成员将集中与单一供应商在”政府采购管理交易系统（苏采云）”中分别进行磋商。</w:t>
      </w:r>
    </w:p>
    <w:p w14:paraId="42C6B4A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能根据磋商文件和磋商情况实质性变动的内容有：采购需求中的技术、服务要求以及合同草案条款。对磋商文件作出的实质性变动是磋商文件的有效组成部分，磋商小组将以电子函件形式同时通知所有参加磋商的供应商。供应商应当按照磋商文件的变动情况和磋商小组的要求重新提交响应文件，并加盖电子签章。</w:t>
      </w:r>
    </w:p>
    <w:p w14:paraId="7C275AF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26.1.2 采购文件能够详细列明采购标的的技术、服务要求的，磋商结束后，磋商小组将要求所有实质性响应的供应商在规定时间内提交最后报价。</w:t>
      </w:r>
    </w:p>
    <w:p w14:paraId="27CBE7C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1042B81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14:paraId="452D62B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26.1.3 供应商未在磋商小组规定的时间内完成最后报价的视为放弃磋商，其响应按无效响应处理。最后报价须加盖电子签章。已提交响应文件的供应商，在提交最后报价之前，可以根据磋商情况退出磋商。</w:t>
      </w:r>
    </w:p>
    <w:p w14:paraId="52F7195A">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26.2 评审方法和标准</w:t>
      </w:r>
    </w:p>
    <w:p w14:paraId="7D259A1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26.2.1评审方法。经磋商确定最终采购需求和提交最后报价的供应商后，由磋商小组采用综合评分法对提交最后报价的供应商的响应文件和最后报价进行综合评分。</w:t>
      </w:r>
    </w:p>
    <w:p w14:paraId="0D142C9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764E90F">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26.2.2评审标准</w:t>
      </w:r>
    </w:p>
    <w:p w14:paraId="2D52AE3B">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见本采购文件第五章规定。</w:t>
      </w:r>
    </w:p>
    <w:p w14:paraId="4E288105">
      <w:pPr>
        <w:spacing w:line="360" w:lineRule="auto"/>
        <w:ind w:firstLine="420"/>
        <w:rPr>
          <w:rFonts w:hint="eastAsia" w:ascii="宋体" w:hAnsi="宋体" w:eastAsia="宋体" w:cs="宋体"/>
          <w:color w:val="auto"/>
          <w:highlight w:val="none"/>
        </w:rPr>
      </w:pPr>
      <w:r>
        <w:rPr>
          <w:rFonts w:hint="eastAsia" w:ascii="宋体" w:hAnsi="宋体" w:eastAsia="宋体" w:cs="宋体"/>
          <w:b/>
          <w:bCs/>
          <w:color w:val="auto"/>
          <w:highlight w:val="none"/>
        </w:rPr>
        <w:t>27、无效响应及采购活动终止的情况</w:t>
      </w:r>
    </w:p>
    <w:p w14:paraId="276F2FA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27.1无效响应条款</w:t>
      </w:r>
    </w:p>
    <w:p w14:paraId="032C8D1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27.1.1 供应商未按照采购文件要求上传电子磋商响应文件的。</w:t>
      </w:r>
    </w:p>
    <w:p w14:paraId="54B979F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27.1.2 供应商未成功解密电子磋商响应文件的。</w:t>
      </w:r>
    </w:p>
    <w:p w14:paraId="2583F3C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27.1.3 供应商不具备采购文件中规</w:t>
      </w:r>
      <w:r>
        <w:rPr>
          <w:rFonts w:hint="eastAsia" w:ascii="宋体" w:hAnsi="宋体" w:eastAsia="宋体" w:cs="宋体"/>
          <w:color w:val="auto"/>
          <w:highlight w:val="none"/>
          <w:lang w:eastAsia="zh-CN"/>
        </w:rPr>
        <w:t>定的</w:t>
      </w:r>
      <w:r>
        <w:rPr>
          <w:rFonts w:hint="eastAsia" w:ascii="宋体" w:hAnsi="宋体" w:eastAsia="宋体" w:cs="宋体"/>
          <w:color w:val="auto"/>
          <w:highlight w:val="none"/>
        </w:rPr>
        <w:t>资格要求的。</w:t>
      </w:r>
    </w:p>
    <w:p w14:paraId="11D9F33F">
      <w:pPr>
        <w:spacing w:line="360" w:lineRule="auto"/>
        <w:ind w:firstLine="420"/>
        <w:rPr>
          <w:rFonts w:hint="eastAsia" w:ascii="宋体" w:hAnsi="宋体" w:eastAsia="宋体" w:cs="宋体"/>
          <w:i/>
          <w:color w:val="auto"/>
          <w:highlight w:val="none"/>
          <w:u w:val="single"/>
        </w:rPr>
      </w:pPr>
      <w:r>
        <w:rPr>
          <w:rFonts w:hint="eastAsia" w:ascii="宋体" w:hAnsi="宋体" w:eastAsia="宋体" w:cs="宋体"/>
          <w:color w:val="auto"/>
          <w:highlight w:val="none"/>
        </w:rPr>
        <w:t>27.1.4 未通过符合性审查的。</w:t>
      </w:r>
    </w:p>
    <w:p w14:paraId="332D5342">
      <w:pPr>
        <w:spacing w:line="360" w:lineRule="auto"/>
        <w:ind w:firstLine="420"/>
        <w:rPr>
          <w:rFonts w:hint="eastAsia" w:ascii="宋体" w:hAnsi="宋体" w:eastAsia="宋体" w:cs="宋体"/>
          <w:i/>
          <w:color w:val="auto"/>
          <w:highlight w:val="none"/>
          <w:u w:val="single"/>
        </w:rPr>
      </w:pPr>
      <w:r>
        <w:rPr>
          <w:rFonts w:hint="eastAsia" w:ascii="宋体" w:hAnsi="宋体" w:eastAsia="宋体" w:cs="宋体"/>
          <w:color w:val="auto"/>
          <w:highlight w:val="none"/>
        </w:rPr>
        <w:t>27.1.5 不符合采购文件中规定的其他实质性要求和条件的（</w:t>
      </w:r>
      <w:r>
        <w:rPr>
          <w:rFonts w:hint="eastAsia" w:ascii="宋体" w:hAnsi="宋体" w:eastAsia="宋体" w:cs="宋体"/>
          <w:i/>
          <w:color w:val="auto"/>
          <w:highlight w:val="none"/>
          <w:u w:val="single"/>
        </w:rPr>
        <w:t>本采购文件中斜体且有下划线部分为实质性要求和条件）。</w:t>
      </w:r>
    </w:p>
    <w:p w14:paraId="660B9DD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27.1.6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21E32E3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27.1.7 本项目采购产品被财政部、国家发改委、生态环境部等列入“节能产品品目清单”强制采购范围，而供应商所磋商产品不在强制采购范围内的。</w:t>
      </w:r>
    </w:p>
    <w:p w14:paraId="41F5CCE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27.1.8 响应文件未按照采购文件要求加盖电子签章。</w:t>
      </w:r>
    </w:p>
    <w:p w14:paraId="1F9E2D7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27.1.9 其他</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及本采购文件规定的属无效响应的情形。</w:t>
      </w:r>
    </w:p>
    <w:p w14:paraId="5313F09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27.2 采购活动终止的情况：</w:t>
      </w:r>
    </w:p>
    <w:p w14:paraId="287C260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27.2.1 因情况变化，不再符合规定的竞争性磋商采购方式适用情形的；</w:t>
      </w:r>
    </w:p>
    <w:p w14:paraId="6CA8C55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27.2.2 出现影响采购公正的违法、违规行为的；</w:t>
      </w:r>
    </w:p>
    <w:p w14:paraId="5C93AA7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27.2.3 除本磋商文件第26.1.2条第三款规定的情形外，在采购过程中符合要求的供应商或者报价未超过采购预算的供应商不足3家的。</w:t>
      </w:r>
    </w:p>
    <w:p w14:paraId="513FBED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27.2.4 因重大变故，采购任务取消的。</w:t>
      </w:r>
    </w:p>
    <w:p w14:paraId="17EF5ACB">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28、确定成交单位</w:t>
      </w:r>
    </w:p>
    <w:p w14:paraId="4F94A8B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28.1 磋商小组根据综合评分情况，按照评审得分由高到低顺序推荐3名以上成交候选供应商，并编写评审报告。符合本文件第26.1.2条情形的，可以推荐2家成交候选供应商。评审得分相同的，按照最后报价由低到高的顺序推荐。评审得分且最后报价相同的，按照技术指标优劣顺序推荐。</w:t>
      </w:r>
    </w:p>
    <w:p w14:paraId="661C461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28.2 采购人应根据磋商推荐的成交候选人，按照排序由高到低的</w:t>
      </w:r>
      <w:r>
        <w:rPr>
          <w:rFonts w:hint="eastAsia" w:ascii="宋体" w:hAnsi="宋体" w:eastAsia="宋体" w:cs="宋体"/>
          <w:color w:val="auto"/>
          <w:highlight w:val="none"/>
          <w:lang w:eastAsia="zh-CN"/>
        </w:rPr>
        <w:t>原则</w:t>
      </w:r>
      <w:r>
        <w:rPr>
          <w:rFonts w:hint="eastAsia" w:ascii="宋体" w:hAnsi="宋体" w:eastAsia="宋体" w:cs="宋体"/>
          <w:color w:val="auto"/>
          <w:highlight w:val="none"/>
        </w:rPr>
        <w:t>确定成交供应商。</w:t>
      </w:r>
    </w:p>
    <w:p w14:paraId="2EF9949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28.3 代理机构将在</w:t>
      </w:r>
      <w:r>
        <w:rPr>
          <w:rFonts w:hint="eastAsia" w:ascii="宋体" w:hAnsi="宋体" w:eastAsia="宋体" w:cs="宋体"/>
          <w:color w:val="auto"/>
          <w:highlight w:val="none"/>
          <w:lang w:eastAsia="zh-CN"/>
        </w:rPr>
        <w:t>“扬州市政府采购网”、“江苏政府采购网”、“中国政府采购网”</w:t>
      </w:r>
      <w:r>
        <w:rPr>
          <w:rFonts w:hint="eastAsia" w:ascii="宋体" w:hAnsi="宋体" w:eastAsia="宋体" w:cs="宋体"/>
          <w:color w:val="auto"/>
          <w:highlight w:val="none"/>
        </w:rPr>
        <w:t>发布成交公告，公告期限为1个工作日。</w:t>
      </w:r>
    </w:p>
    <w:p w14:paraId="4DD63A7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 若有充分证据证明，成交供应商出现下列情况之一的，一经查实，将被取消成交资格：</w:t>
      </w:r>
    </w:p>
    <w:p w14:paraId="1B3A328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28.4.1 提供虚假材料谋取成交的；</w:t>
      </w:r>
    </w:p>
    <w:p w14:paraId="19185A0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28.4.2 向采购人、代理机构行贿或者提供其他不正当利益的；</w:t>
      </w:r>
    </w:p>
    <w:p w14:paraId="3E57B5E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28.4.3 恶意竞争，最终总报价明显低于其自身合理成本且又无法提供证明的；</w:t>
      </w:r>
    </w:p>
    <w:p w14:paraId="4F43738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28.4.4 属于本文件规定的无效条件，但在评审过程中又未被磋商小组发现的；</w:t>
      </w:r>
    </w:p>
    <w:p w14:paraId="2C4100E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28.4.5 与采购人或者其他供应商恶意串通的；</w:t>
      </w:r>
    </w:p>
    <w:p w14:paraId="5B3121A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28.4.6 采取不正当手段诋毁、排挤其他供应商的；</w:t>
      </w:r>
    </w:p>
    <w:p w14:paraId="773AB41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28.4.7 不符合</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的规定的。</w:t>
      </w:r>
    </w:p>
    <w:p w14:paraId="34B83D1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 有下列情形之一的，视为</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串通</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无效：</w:t>
      </w:r>
    </w:p>
    <w:p w14:paraId="1C099F7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.5.1不同</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响应</w:t>
      </w:r>
      <w:r>
        <w:rPr>
          <w:rFonts w:hint="eastAsia" w:ascii="宋体" w:hAnsi="宋体" w:eastAsia="宋体" w:cs="宋体"/>
          <w:bCs/>
          <w:color w:val="auto"/>
          <w:szCs w:val="21"/>
          <w:highlight w:val="none"/>
        </w:rPr>
        <w:t>文件由同一单位或者个人编制。</w:t>
      </w:r>
    </w:p>
    <w:p w14:paraId="63337DB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.5.2不同</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委托同一单位或者个人办理</w:t>
      </w:r>
      <w:r>
        <w:rPr>
          <w:rFonts w:hint="eastAsia" w:ascii="宋体" w:hAnsi="宋体" w:eastAsia="宋体" w:cs="宋体"/>
          <w:bCs/>
          <w:color w:val="auto"/>
          <w:szCs w:val="21"/>
          <w:highlight w:val="none"/>
          <w:lang w:eastAsia="zh-CN"/>
        </w:rPr>
        <w:t>磋商</w:t>
      </w:r>
      <w:r>
        <w:rPr>
          <w:rFonts w:hint="eastAsia" w:ascii="宋体" w:hAnsi="宋体" w:eastAsia="宋体" w:cs="宋体"/>
          <w:bCs/>
          <w:color w:val="auto"/>
          <w:szCs w:val="21"/>
          <w:highlight w:val="none"/>
        </w:rPr>
        <w:t>事宜。</w:t>
      </w:r>
    </w:p>
    <w:p w14:paraId="6E3F8A4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.5.3 不同</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响应</w:t>
      </w:r>
      <w:r>
        <w:rPr>
          <w:rFonts w:hint="eastAsia" w:ascii="宋体" w:hAnsi="宋体" w:eastAsia="宋体" w:cs="宋体"/>
          <w:bCs/>
          <w:color w:val="auto"/>
          <w:szCs w:val="21"/>
          <w:highlight w:val="none"/>
        </w:rPr>
        <w:t>文件载明的项目管理成员或者联系人员为同一人。</w:t>
      </w:r>
    </w:p>
    <w:p w14:paraId="0A893B3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.5.4不同</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响应</w:t>
      </w:r>
      <w:r>
        <w:rPr>
          <w:rFonts w:hint="eastAsia" w:ascii="宋体" w:hAnsi="宋体" w:eastAsia="宋体" w:cs="宋体"/>
          <w:bCs/>
          <w:color w:val="auto"/>
          <w:szCs w:val="21"/>
          <w:highlight w:val="none"/>
        </w:rPr>
        <w:t>文件异常一致或者</w:t>
      </w:r>
      <w:r>
        <w:rPr>
          <w:rFonts w:hint="eastAsia" w:ascii="宋体" w:hAnsi="宋体" w:eastAsia="宋体" w:cs="宋体"/>
          <w:bCs/>
          <w:color w:val="auto"/>
          <w:szCs w:val="21"/>
          <w:highlight w:val="none"/>
          <w:lang w:eastAsia="zh-CN"/>
        </w:rPr>
        <w:t>响应</w:t>
      </w:r>
      <w:r>
        <w:rPr>
          <w:rFonts w:hint="eastAsia" w:ascii="宋体" w:hAnsi="宋体" w:eastAsia="宋体" w:cs="宋体"/>
          <w:bCs/>
          <w:color w:val="auto"/>
          <w:szCs w:val="21"/>
          <w:highlight w:val="none"/>
        </w:rPr>
        <w:t>报价呈规律性差异。</w:t>
      </w:r>
    </w:p>
    <w:p w14:paraId="60533FC5">
      <w:pPr>
        <w:tabs>
          <w:tab w:val="left" w:pos="528"/>
        </w:tabs>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ab/>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.5.5不同</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响应</w:t>
      </w:r>
      <w:r>
        <w:rPr>
          <w:rFonts w:hint="eastAsia" w:ascii="宋体" w:hAnsi="宋体" w:eastAsia="宋体" w:cs="宋体"/>
          <w:bCs/>
          <w:color w:val="auto"/>
          <w:szCs w:val="21"/>
          <w:highlight w:val="none"/>
        </w:rPr>
        <w:t>文件相互混装。</w:t>
      </w:r>
    </w:p>
    <w:p w14:paraId="36CACF7B">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29、质疑处理</w:t>
      </w:r>
    </w:p>
    <w:p w14:paraId="5D9F3B8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29.1提出质疑的供应商应当是参与所质疑项目采购活动的供应商。潜在供应商依法获取其可质疑的采购文件的，可以对采购文件提出质疑。</w:t>
      </w:r>
    </w:p>
    <w:p w14:paraId="4ED2E95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对项目需求部分的质疑，潜在供应商应向采购人提出，由采购人负责答复。</w:t>
      </w:r>
    </w:p>
    <w:p w14:paraId="4838B42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29.2供应商认为采购文件、采购过程和中标或成交结果使自己的权益受到损害的，可以在知道或应知其权益受到损害之日起7个工作日内，以书面形式向采购人或代理机构提出质疑。</w:t>
      </w:r>
    </w:p>
    <w:p w14:paraId="2827BF7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29.2.1对采购文件提出质疑的，应当在获取采购文件之日或者采购文件公告期限届满之日起7个工作日内提出。</w:t>
      </w:r>
    </w:p>
    <w:p w14:paraId="6CB0756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29.2.2对采购过程提出质疑的，为各采购程序环节结束之日起7个工作日内提出。</w:t>
      </w:r>
    </w:p>
    <w:p w14:paraId="741E552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29.2.3对成交结果提出质疑的，为成交结果公告期限届满之日起7个工作日内提出。</w:t>
      </w:r>
    </w:p>
    <w:p w14:paraId="7C5D6BF1">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29.3供应商应在法定质疑期内一次性提出针对同一采购程序环节的质疑。供应商如在法定期限内对同一采购程序环节提出多次质疑的，代理机构、采购人将只对供应商第一次质疑作出答复。</w:t>
      </w:r>
    </w:p>
    <w:p w14:paraId="2A290CF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29.4质疑函必须按照《质疑函范本》及《授权委托书》要求的格式和内容进行填写，格式见网址：http://zfcg.yangzhou.gov.cn。供应商如组成联合体参加磋商，则《质疑函范本》及《授权委托书》中要求签字、盖章、加盖公章之处，联合体各方均须按要求签字、盖章、加盖公章。</w:t>
      </w:r>
    </w:p>
    <w:p w14:paraId="360C0E2C">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29.5 代理机构及采购人只接收以纸质原件形式送达的质疑。</w:t>
      </w:r>
    </w:p>
    <w:p w14:paraId="54C0A7B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采购人质疑接收人及联系方式见采购文件第一章。</w:t>
      </w:r>
    </w:p>
    <w:p w14:paraId="42C4411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29.6代理机构收到质疑申请后，将对质疑的形式和内容进行审查，如质疑内容、格式不符合规定，代理机构将告知质疑人进行补正。</w:t>
      </w:r>
    </w:p>
    <w:p w14:paraId="060F24C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29.7质疑人应当在法定质疑期限内进行补正并重新提交质疑函。</w:t>
      </w:r>
    </w:p>
    <w:p w14:paraId="1388062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29.8 以下情形的质疑不予受理</w:t>
      </w:r>
    </w:p>
    <w:p w14:paraId="1A10479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29.8.1 内容不符合《政府采购质疑和投诉办法》第十二条规定的质疑。</w:t>
      </w:r>
    </w:p>
    <w:p w14:paraId="2987272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29.8.2 超出政府采购法定期限的质疑。</w:t>
      </w:r>
    </w:p>
    <w:p w14:paraId="45689F2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29.8.3 以传真、电子邮件等方式递交的非原件形式的质疑。</w:t>
      </w:r>
    </w:p>
    <w:p w14:paraId="4F97538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29.8.4 未参加磋商活动的供应商或在磋商活动中自身权益未受到损害的供应商所提出的质疑。</w:t>
      </w:r>
    </w:p>
    <w:p w14:paraId="1F35F30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29.8.5供应商组成联合体参加磋商，联合体中任何一方或多方未按要求签字、盖章、加盖公章的质疑。</w:t>
      </w:r>
    </w:p>
    <w:p w14:paraId="0DE58A7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29.9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7C92361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29.10代理机构应当在收到供应商的书面质疑后7个工作日内作出答复，并以书面形式通知质疑供应商和其他有关供应商，但答复的内容不得涉及商业秘密。</w:t>
      </w:r>
    </w:p>
    <w:p w14:paraId="3009E078">
      <w:pPr>
        <w:numPr>
          <w:ilvl w:val="0"/>
          <w:numId w:val="0"/>
        </w:numPr>
        <w:spacing w:line="360" w:lineRule="auto"/>
        <w:ind w:firstLine="420"/>
        <w:rPr>
          <w:rFonts w:hint="eastAsia" w:ascii="宋体" w:hAnsi="宋体" w:eastAsia="宋体" w:cs="宋体"/>
          <w:highlight w:val="none"/>
          <w:lang w:val="en-US" w:eastAsia="zh-CN"/>
        </w:rPr>
      </w:pPr>
      <w:r>
        <w:rPr>
          <w:rFonts w:hint="eastAsia" w:ascii="宋体" w:hAnsi="宋体" w:eastAsia="宋体" w:cs="宋体"/>
          <w:sz w:val="21"/>
          <w:szCs w:val="22"/>
          <w:highlight w:val="none"/>
          <w:lang w:val="en-US" w:eastAsia="zh-CN" w:bidi="ar-SA"/>
        </w:rPr>
        <w:t>30、</w:t>
      </w:r>
      <w:r>
        <w:rPr>
          <w:rFonts w:hint="eastAsia" w:ascii="宋体" w:hAnsi="宋体" w:eastAsia="宋体" w:cs="宋体"/>
          <w:b/>
          <w:bCs/>
          <w:color w:val="auto"/>
          <w:highlight w:val="none"/>
          <w:lang w:val="en-US" w:eastAsia="zh-CN"/>
        </w:rPr>
        <w:t>成交通知书</w:t>
      </w:r>
    </w:p>
    <w:p w14:paraId="4DF8F07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30.l 成交结果确定后，代理机构将向成交供应商发出成通知书。</w:t>
      </w:r>
    </w:p>
    <w:p w14:paraId="678A5F9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30.2 成交供应商可在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扬州市政府采购交易管理系统（苏采云）”成交通知书下载模块中自行下载成交通知书。</w:t>
      </w:r>
    </w:p>
    <w:p w14:paraId="4FB96AB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30.3成交通知书将是合同的一个组成部分。对采购人和成交供应商均具有法律效力。成交通知书发出后，采购人改变成交结果的，或者成交供应商放弃成交项目的，应当依法承担法律责任。</w:t>
      </w:r>
    </w:p>
    <w:p w14:paraId="3C4ECD4D">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31、 签订合同</w:t>
      </w:r>
    </w:p>
    <w:p w14:paraId="6A898376">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31.l成交供应商应在成交通知书发出之日起三十日内，按照采购文件确定的事项与采购人签订政府采购合同。</w:t>
      </w:r>
    </w:p>
    <w:p w14:paraId="54CA2A6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31.2 采购文件、成交供应商的响应文件及磋商过程中有关澄清、承诺文件均应作为合同附件。</w:t>
      </w:r>
    </w:p>
    <w:p w14:paraId="701E028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31.3 合同在“</w:t>
      </w:r>
      <w:r>
        <w:rPr>
          <w:rFonts w:hint="eastAsia" w:ascii="宋体" w:hAnsi="宋体" w:eastAsia="宋体" w:cs="宋体"/>
          <w:color w:val="auto"/>
          <w:szCs w:val="21"/>
          <w:highlight w:val="none"/>
          <w:lang w:val="en-US" w:eastAsia="zh-CN"/>
        </w:rPr>
        <w:t>扬州市</w:t>
      </w:r>
      <w:r>
        <w:rPr>
          <w:rFonts w:hint="eastAsia" w:ascii="宋体" w:hAnsi="宋体" w:eastAsia="宋体" w:cs="宋体"/>
          <w:color w:val="auto"/>
          <w:szCs w:val="21"/>
          <w:highlight w:val="none"/>
        </w:rPr>
        <w:t>政府采购管理交易系统（苏采云）”中签订，签订合同后，</w:t>
      </w:r>
      <w:r>
        <w:rPr>
          <w:rFonts w:hint="eastAsia" w:ascii="宋体" w:hAnsi="宋体" w:eastAsia="宋体" w:cs="宋体"/>
          <w:i/>
          <w:iCs/>
          <w:color w:val="auto"/>
          <w:szCs w:val="21"/>
          <w:highlight w:val="none"/>
          <w:u w:val="single"/>
        </w:rPr>
        <w:t>成交供应商不得将货物或服务及其他服务进行转包</w:t>
      </w:r>
      <w:r>
        <w:rPr>
          <w:rFonts w:hint="eastAsia" w:ascii="宋体" w:hAnsi="宋体" w:eastAsia="宋体" w:cs="宋体"/>
          <w:color w:val="auto"/>
          <w:szCs w:val="21"/>
          <w:highlight w:val="none"/>
        </w:rPr>
        <w:t>。未经采购人同意，成交供应商也不得采用分包的形式履行合同，否则采购人有权终止合同，成交供应商的履约保证金将不予退还。转包或分包造成采购人损失的，成交供应商应承担赔偿责任。</w:t>
      </w:r>
    </w:p>
    <w:p w14:paraId="19EC4D87">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31.4采购人不得向成交供应商提出任何不合理的要求作为签订合同的条件，不得与成交供应商私下订立背离合同实质性内容的协议。所签订的合同不得对采购文件确定事项和成交供应商响应文件作实质性修改。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071C1DF7">
      <w:pPr>
        <w:spacing w:line="360" w:lineRule="auto"/>
        <w:ind w:firstLine="422"/>
        <w:rPr>
          <w:rFonts w:hint="eastAsia" w:ascii="宋体" w:hAnsi="宋体" w:eastAsia="宋体" w:cs="宋体"/>
          <w:color w:val="auto"/>
          <w:highlight w:val="none"/>
        </w:rPr>
      </w:pPr>
      <w:r>
        <w:rPr>
          <w:rFonts w:hint="eastAsia" w:ascii="宋体" w:hAnsi="宋体" w:eastAsia="宋体" w:cs="宋体"/>
          <w:color w:val="auto"/>
          <w:highlight w:val="none"/>
        </w:rPr>
        <w:t>32、其他</w:t>
      </w:r>
    </w:p>
    <w:p w14:paraId="6C9B3043">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32.1 依据《政府采购促进中小企业发展管理办法》</w:t>
      </w:r>
      <w:r>
        <w:rPr>
          <w:rFonts w:hint="eastAsia" w:ascii="宋体" w:hAnsi="宋体" w:eastAsia="宋体" w:cs="宋体"/>
          <w:color w:val="auto"/>
          <w:highlight w:val="none"/>
          <w:lang w:eastAsia="zh-CN"/>
        </w:rPr>
        <w:t>享受</w:t>
      </w:r>
      <w:r>
        <w:rPr>
          <w:rFonts w:hint="eastAsia" w:ascii="宋体" w:hAnsi="宋体" w:eastAsia="宋体" w:cs="宋体"/>
          <w:color w:val="auto"/>
          <w:highlight w:val="none"/>
        </w:rPr>
        <w:t>扶持政策获得政府采购合同的，小微企业不得将合同分包给大中型企业，中型企业不得将合同分包给大型企业。</w:t>
      </w:r>
    </w:p>
    <w:p w14:paraId="5ED553F5">
      <w:pPr>
        <w:spacing w:line="360" w:lineRule="auto"/>
        <w:rPr>
          <w:rFonts w:hint="eastAsia" w:ascii="宋体" w:hAnsi="宋体" w:eastAsia="宋体" w:cs="宋体"/>
          <w:color w:val="auto"/>
          <w:highlight w:val="none"/>
        </w:rPr>
      </w:pPr>
    </w:p>
    <w:p w14:paraId="7CABE22C">
      <w:pPr>
        <w:pStyle w:val="256"/>
        <w:keepNext/>
        <w:keepLines/>
        <w:pageBreakBefore w:val="0"/>
        <w:widowControl w:val="0"/>
        <w:numPr>
          <w:ilvl w:val="0"/>
          <w:numId w:val="0"/>
        </w:numPr>
        <w:spacing w:before="0" w:after="0" w:line="360" w:lineRule="auto"/>
        <w:jc w:val="center"/>
        <w:rPr>
          <w:rFonts w:hint="eastAsia" w:ascii="宋体" w:hAnsi="宋体" w:eastAsia="宋体" w:cs="宋体"/>
          <w:color w:val="auto"/>
          <w:highlight w:val="none"/>
        </w:rPr>
      </w:pPr>
      <w:bookmarkStart w:id="23" w:name="_Toc109304973"/>
      <w:r>
        <w:rPr>
          <w:rFonts w:hint="eastAsia" w:ascii="宋体" w:hAnsi="宋体" w:eastAsia="宋体" w:cs="宋体"/>
          <w:color w:val="auto"/>
          <w:highlight w:val="none"/>
        </w:rPr>
        <w:br w:type="page" w:clear="all"/>
      </w:r>
      <w:r>
        <w:rPr>
          <w:rFonts w:hint="eastAsia" w:ascii="宋体" w:hAnsi="宋体" w:eastAsia="宋体" w:cs="宋体"/>
          <w:color w:val="auto"/>
          <w:sz w:val="36"/>
          <w:szCs w:val="36"/>
          <w:highlight w:val="none"/>
          <w:lang w:val="en-US" w:eastAsia="zh-CN"/>
        </w:rPr>
        <w:t xml:space="preserve">第三章 </w:t>
      </w:r>
      <w:r>
        <w:rPr>
          <w:rFonts w:hint="eastAsia" w:ascii="宋体" w:hAnsi="宋体" w:eastAsia="宋体" w:cs="宋体"/>
          <w:color w:val="auto"/>
          <w:sz w:val="36"/>
          <w:szCs w:val="36"/>
          <w:highlight w:val="none"/>
        </w:rPr>
        <w:t>合同条款及格式</w:t>
      </w:r>
      <w:bookmarkEnd w:id="23"/>
    </w:p>
    <w:p w14:paraId="5C2D1351">
      <w:pPr>
        <w:pStyle w:val="23"/>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以下为</w:t>
      </w:r>
      <w:r>
        <w:rPr>
          <w:rFonts w:hint="eastAsia" w:ascii="宋体" w:hAnsi="宋体" w:eastAsia="宋体" w:cs="宋体"/>
          <w:color w:val="auto"/>
          <w:sz w:val="21"/>
          <w:highlight w:val="none"/>
          <w:lang w:eastAsia="zh-CN"/>
        </w:rPr>
        <w:t>成交</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签订</w:t>
      </w:r>
      <w:r>
        <w:rPr>
          <w:rFonts w:hint="eastAsia" w:ascii="宋体" w:hAnsi="宋体" w:eastAsia="宋体" w:cs="宋体"/>
          <w:color w:val="auto"/>
          <w:sz w:val="21"/>
          <w:highlight w:val="none"/>
        </w:rPr>
        <w:t>本项目合同的通用条款，</w:t>
      </w:r>
      <w:r>
        <w:rPr>
          <w:rFonts w:hint="eastAsia" w:ascii="宋体" w:hAnsi="宋体" w:eastAsia="宋体" w:cs="宋体"/>
          <w:color w:val="auto"/>
          <w:sz w:val="21"/>
          <w:highlight w:val="none"/>
          <w:lang w:eastAsia="zh-CN"/>
        </w:rPr>
        <w:t>成交</w:t>
      </w:r>
      <w:r>
        <w:rPr>
          <w:rFonts w:hint="eastAsia" w:ascii="宋体" w:hAnsi="宋体" w:eastAsia="宋体" w:cs="宋体"/>
          <w:color w:val="auto"/>
          <w:sz w:val="21"/>
          <w:highlight w:val="none"/>
        </w:rPr>
        <w:t>供应商不得提出实质性的修改。关于专用条款将由采购人与</w:t>
      </w:r>
      <w:r>
        <w:rPr>
          <w:rFonts w:hint="eastAsia" w:ascii="宋体" w:hAnsi="宋体" w:eastAsia="宋体" w:cs="宋体"/>
          <w:color w:val="auto"/>
          <w:sz w:val="21"/>
          <w:highlight w:val="none"/>
          <w:lang w:eastAsia="zh-CN"/>
        </w:rPr>
        <w:t>成交</w:t>
      </w:r>
      <w:r>
        <w:rPr>
          <w:rFonts w:hint="eastAsia" w:ascii="宋体" w:hAnsi="宋体" w:eastAsia="宋体" w:cs="宋体"/>
          <w:color w:val="auto"/>
          <w:sz w:val="21"/>
          <w:highlight w:val="none"/>
        </w:rPr>
        <w:t>供应商结合本项目具体情况协商后补充，但补充内容对</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响应</w:t>
      </w:r>
      <w:r>
        <w:rPr>
          <w:rFonts w:hint="eastAsia" w:ascii="宋体" w:hAnsi="宋体" w:eastAsia="宋体" w:cs="宋体"/>
          <w:color w:val="auto"/>
          <w:sz w:val="21"/>
          <w:highlight w:val="none"/>
        </w:rPr>
        <w:t>文件以及通用条款，不得作实质性修改。</w:t>
      </w:r>
    </w:p>
    <w:p w14:paraId="2FEDCB8A">
      <w:pPr>
        <w:numPr>
          <w:ilvl w:val="0"/>
          <w:numId w:val="0"/>
        </w:numPr>
        <w:rPr>
          <w:rFonts w:hint="eastAsia" w:ascii="宋体" w:hAnsi="宋体" w:eastAsia="宋体" w:cs="宋体"/>
          <w:color w:val="auto"/>
          <w:highlight w:val="none"/>
        </w:rPr>
      </w:pPr>
    </w:p>
    <w:p w14:paraId="680B911E">
      <w:pPr>
        <w:pStyle w:val="23"/>
        <w:spacing w:before="120" w:after="120" w:line="360" w:lineRule="auto"/>
        <w:ind w:firstLine="402"/>
        <w:jc w:val="center"/>
        <w:rPr>
          <w:rFonts w:hAnsi="宋体"/>
          <w:b/>
          <w:bCs/>
          <w:color w:val="auto"/>
          <w:highlight w:val="none"/>
        </w:rPr>
      </w:pPr>
      <w:bookmarkStart w:id="24" w:name="_Toc109304974"/>
      <w:r>
        <w:rPr>
          <w:rFonts w:hint="eastAsia" w:hAnsi="宋体"/>
          <w:b/>
          <w:bCs/>
          <w:color w:val="auto"/>
          <w:highlight w:val="none"/>
        </w:rPr>
        <w:t>扬州市政府采购合同（工程）（合同编号）</w:t>
      </w:r>
    </w:p>
    <w:p w14:paraId="29394B4E">
      <w:pPr>
        <w:pStyle w:val="23"/>
        <w:keepNext w:val="0"/>
        <w:keepLines w:val="0"/>
        <w:pageBreakBefore w:val="0"/>
        <w:widowControl w:val="0"/>
        <w:kinsoku/>
        <w:wordWrap/>
        <w:overflowPunct/>
        <w:topLinePunct w:val="0"/>
        <w:autoSpaceDE/>
        <w:autoSpaceDN/>
        <w:bidi w:val="0"/>
        <w:adjustRightInd/>
        <w:snapToGrid/>
        <w:spacing w:line="360" w:lineRule="auto"/>
        <w:ind w:firstLine="403"/>
        <w:textAlignment w:val="auto"/>
        <w:rPr>
          <w:rFonts w:hAnsi="宋体"/>
          <w:color w:val="auto"/>
          <w:highlight w:val="none"/>
        </w:rPr>
      </w:pPr>
      <w:r>
        <w:rPr>
          <w:rFonts w:hint="eastAsia" w:hAnsi="宋体"/>
          <w:color w:val="auto"/>
          <w:highlight w:val="none"/>
        </w:rPr>
        <w:t>项目名称：</w:t>
      </w:r>
      <w:r>
        <w:rPr>
          <w:rFonts w:hint="eastAsia" w:hAnsi="宋体" w:cs="宋体"/>
          <w:color w:val="auto"/>
          <w:szCs w:val="21"/>
          <w:highlight w:val="none"/>
          <w:u w:val="single"/>
          <w:lang w:eastAsia="zh-CN"/>
        </w:rPr>
        <w:t>学校食堂、实训楼、宿舍等内外墙粉刷、顶层防水及办公区吊顶项目</w:t>
      </w:r>
      <w:r>
        <w:rPr>
          <w:rFonts w:hint="eastAsia" w:hAnsi="宋体"/>
          <w:color w:val="auto"/>
          <w:highlight w:val="none"/>
        </w:rPr>
        <w:t xml:space="preserve">                                       </w:t>
      </w:r>
    </w:p>
    <w:p w14:paraId="0968AA77">
      <w:pPr>
        <w:pStyle w:val="23"/>
        <w:keepNext w:val="0"/>
        <w:keepLines w:val="0"/>
        <w:pageBreakBefore w:val="0"/>
        <w:widowControl w:val="0"/>
        <w:kinsoku/>
        <w:wordWrap/>
        <w:overflowPunct/>
        <w:topLinePunct w:val="0"/>
        <w:autoSpaceDE/>
        <w:autoSpaceDN/>
        <w:bidi w:val="0"/>
        <w:adjustRightInd/>
        <w:snapToGrid/>
        <w:spacing w:line="360" w:lineRule="auto"/>
        <w:ind w:firstLine="403"/>
        <w:textAlignment w:val="auto"/>
        <w:rPr>
          <w:rFonts w:hAnsi="宋体"/>
          <w:color w:val="auto"/>
          <w:highlight w:val="none"/>
        </w:rPr>
      </w:pPr>
      <w:r>
        <w:rPr>
          <w:rFonts w:hint="eastAsia" w:hAnsi="宋体"/>
          <w:color w:val="auto"/>
          <w:highlight w:val="none"/>
        </w:rPr>
        <w:t>项目编号：</w:t>
      </w:r>
      <w:r>
        <w:rPr>
          <w:rFonts w:hint="eastAsia" w:hAnsi="宋体"/>
          <w:color w:val="auto"/>
          <w:highlight w:val="none"/>
          <w:u w:val="single"/>
          <w:lang w:val="en-US" w:eastAsia="zh-CN"/>
        </w:rPr>
        <w:t xml:space="preserve">                    </w:t>
      </w:r>
      <w:r>
        <w:rPr>
          <w:rFonts w:hint="eastAsia" w:ascii="Times New Roman" w:hAnsi="Times New Roman"/>
          <w:color w:val="auto"/>
          <w:highlight w:val="none"/>
          <w:u w:val="single"/>
        </w:rPr>
        <w:t>号</w:t>
      </w:r>
    </w:p>
    <w:p w14:paraId="229CEB7C">
      <w:pPr>
        <w:pStyle w:val="23"/>
        <w:keepNext w:val="0"/>
        <w:keepLines w:val="0"/>
        <w:pageBreakBefore w:val="0"/>
        <w:widowControl w:val="0"/>
        <w:kinsoku/>
        <w:wordWrap/>
        <w:overflowPunct/>
        <w:topLinePunct w:val="0"/>
        <w:autoSpaceDE/>
        <w:autoSpaceDN/>
        <w:bidi w:val="0"/>
        <w:adjustRightInd/>
        <w:snapToGrid/>
        <w:spacing w:line="360" w:lineRule="auto"/>
        <w:ind w:firstLine="403"/>
        <w:textAlignment w:val="auto"/>
        <w:rPr>
          <w:rFonts w:hint="eastAsia" w:hAnsi="宋体" w:eastAsia="宋体" w:cs="宋体"/>
          <w:color w:val="auto"/>
          <w:szCs w:val="21"/>
          <w:highlight w:val="none"/>
          <w:u w:val="single"/>
          <w:lang w:eastAsia="zh-CN"/>
        </w:rPr>
      </w:pPr>
      <w:r>
        <w:rPr>
          <w:rFonts w:hint="eastAsia" w:hAnsi="宋体"/>
          <w:color w:val="auto"/>
          <w:highlight w:val="none"/>
        </w:rPr>
        <w:t>甲方：</w:t>
      </w:r>
      <w:r>
        <w:rPr>
          <w:rFonts w:hint="eastAsia" w:hAnsi="宋体" w:cs="宋体"/>
          <w:color w:val="auto"/>
          <w:szCs w:val="21"/>
          <w:highlight w:val="none"/>
          <w:u w:val="single"/>
          <w:lang w:eastAsia="zh-CN"/>
        </w:rPr>
        <w:t>扬州高等职业技术学校</w:t>
      </w:r>
    </w:p>
    <w:p w14:paraId="563451A3">
      <w:pPr>
        <w:pStyle w:val="23"/>
        <w:keepNext w:val="0"/>
        <w:keepLines w:val="0"/>
        <w:pageBreakBefore w:val="0"/>
        <w:widowControl w:val="0"/>
        <w:kinsoku/>
        <w:wordWrap/>
        <w:overflowPunct/>
        <w:topLinePunct w:val="0"/>
        <w:autoSpaceDE/>
        <w:autoSpaceDN/>
        <w:bidi w:val="0"/>
        <w:adjustRightInd/>
        <w:snapToGrid/>
        <w:spacing w:line="360" w:lineRule="auto"/>
        <w:ind w:firstLine="403"/>
        <w:textAlignment w:val="auto"/>
        <w:rPr>
          <w:rFonts w:hint="eastAsia" w:hAnsi="宋体"/>
          <w:color w:val="auto"/>
          <w:highlight w:val="none"/>
          <w:u w:val="single"/>
          <w:lang w:val="en-US" w:eastAsia="zh-CN"/>
        </w:rPr>
      </w:pPr>
      <w:r>
        <w:rPr>
          <w:rFonts w:hint="eastAsia" w:hAnsi="宋体"/>
          <w:color w:val="auto"/>
          <w:highlight w:val="none"/>
        </w:rPr>
        <w:t>乙方：</w:t>
      </w:r>
      <w:r>
        <w:rPr>
          <w:rFonts w:hint="eastAsia" w:hAnsi="宋体"/>
          <w:color w:val="auto"/>
          <w:highlight w:val="none"/>
          <w:u w:val="single"/>
          <w:lang w:val="en-US" w:eastAsia="zh-CN"/>
        </w:rPr>
        <w:t xml:space="preserve">                                  </w:t>
      </w:r>
    </w:p>
    <w:p w14:paraId="0ED74653">
      <w:pPr>
        <w:pStyle w:val="23"/>
        <w:keepNext w:val="0"/>
        <w:keepLines w:val="0"/>
        <w:pageBreakBefore w:val="0"/>
        <w:widowControl w:val="0"/>
        <w:kinsoku/>
        <w:wordWrap/>
        <w:overflowPunct/>
        <w:topLinePunct w:val="0"/>
        <w:autoSpaceDE/>
        <w:autoSpaceDN/>
        <w:bidi w:val="0"/>
        <w:adjustRightInd/>
        <w:snapToGrid/>
        <w:spacing w:line="360" w:lineRule="auto"/>
        <w:ind w:firstLine="403"/>
        <w:textAlignment w:val="auto"/>
        <w:rPr>
          <w:rFonts w:hint="eastAsia" w:hAnsi="宋体" w:eastAsia="宋体"/>
          <w:color w:val="auto"/>
          <w:highlight w:val="none"/>
          <w:lang w:eastAsia="zh-CN"/>
        </w:rPr>
      </w:pPr>
      <w:r>
        <w:rPr>
          <w:rFonts w:hint="eastAsia" w:hAnsi="宋体"/>
          <w:color w:val="auto"/>
          <w:highlight w:val="none"/>
        </w:rPr>
        <w:t>见证方：</w:t>
      </w:r>
      <w:r>
        <w:rPr>
          <w:rFonts w:hint="eastAsia" w:hAnsi="宋体"/>
          <w:color w:val="auto"/>
          <w:highlight w:val="none"/>
          <w:u w:val="single"/>
          <w:lang w:eastAsia="zh-CN"/>
        </w:rPr>
        <w:t>江苏皋诚工程项目管理有限公司扬州分公司</w:t>
      </w:r>
    </w:p>
    <w:p w14:paraId="3BCD5CCF">
      <w:pPr>
        <w:pStyle w:val="23"/>
        <w:keepNext w:val="0"/>
        <w:keepLines w:val="0"/>
        <w:pageBreakBefore w:val="0"/>
        <w:widowControl w:val="0"/>
        <w:kinsoku/>
        <w:wordWrap/>
        <w:overflowPunct/>
        <w:topLinePunct w:val="0"/>
        <w:autoSpaceDE/>
        <w:autoSpaceDN/>
        <w:bidi w:val="0"/>
        <w:adjustRightInd/>
        <w:snapToGrid/>
        <w:spacing w:line="360" w:lineRule="auto"/>
        <w:ind w:firstLine="403"/>
        <w:textAlignment w:val="auto"/>
        <w:rPr>
          <w:rFonts w:hAnsi="宋体"/>
          <w:color w:val="auto"/>
          <w:highlight w:val="none"/>
        </w:rPr>
      </w:pPr>
      <w:r>
        <w:rPr>
          <w:rFonts w:hint="eastAsia" w:hAnsi="宋体"/>
          <w:color w:val="auto"/>
          <w:highlight w:val="none"/>
        </w:rPr>
        <w:t>甲、乙双方根据</w:t>
      </w:r>
      <w:r>
        <w:rPr>
          <w:rFonts w:hint="eastAsia" w:hAnsi="宋体"/>
          <w:color w:val="auto"/>
          <w:highlight w:val="none"/>
          <w:lang w:eastAsia="zh-CN"/>
        </w:rPr>
        <w:t>江苏皋诚工程项目管理有限公司扬州分公司</w:t>
      </w:r>
      <w:r>
        <w:rPr>
          <w:rFonts w:hint="eastAsia" w:hAnsi="宋体"/>
          <w:color w:val="auto"/>
          <w:highlight w:val="none"/>
          <w:u w:val="single"/>
          <w:lang w:eastAsia="zh-CN"/>
        </w:rPr>
        <w:t>学校食堂、实训楼、宿舍等内外墙粉刷、顶层防水及办公区吊顶项目</w:t>
      </w:r>
      <w:r>
        <w:rPr>
          <w:rFonts w:hint="eastAsia" w:hAnsi="宋体"/>
          <w:color w:val="auto"/>
          <w:highlight w:val="none"/>
        </w:rPr>
        <w:t>竞争性磋商的结果，签署本合同。</w:t>
      </w:r>
    </w:p>
    <w:p w14:paraId="188505B7">
      <w:pPr>
        <w:spacing w:line="360" w:lineRule="auto"/>
        <w:outlineLvl w:val="1"/>
        <w:rPr>
          <w:rFonts w:ascii="宋体" w:hAnsi="宋体" w:cs="宋体"/>
          <w:b/>
          <w:bCs/>
          <w:color w:val="auto"/>
          <w:szCs w:val="21"/>
          <w:highlight w:val="none"/>
        </w:rPr>
      </w:pPr>
      <w:r>
        <w:rPr>
          <w:rFonts w:hint="eastAsia" w:ascii="宋体" w:hAnsi="宋体" w:cs="宋体"/>
          <w:b/>
          <w:color w:val="auto"/>
          <w:szCs w:val="21"/>
          <w:highlight w:val="none"/>
        </w:rPr>
        <w:t>1、合同组成</w:t>
      </w:r>
    </w:p>
    <w:p w14:paraId="5B89C06B">
      <w:pPr>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rPr>
        <w:t>下列关于</w:t>
      </w:r>
      <w:r>
        <w:rPr>
          <w:rStyle w:val="319"/>
          <w:rFonts w:hint="eastAsia" w:ascii="宋体" w:hAnsi="宋体" w:cs="宋体"/>
          <w:color w:val="auto"/>
          <w:szCs w:val="21"/>
          <w:highlight w:val="none"/>
          <w:u w:val="single"/>
        </w:rPr>
        <w:t xml:space="preserve">            </w:t>
      </w:r>
      <w:r>
        <w:rPr>
          <w:rStyle w:val="319"/>
          <w:rFonts w:hint="eastAsia" w:ascii="宋体" w:hAnsi="宋体" w:cs="宋体"/>
          <w:color w:val="auto"/>
          <w:szCs w:val="21"/>
          <w:highlight w:val="none"/>
        </w:rPr>
        <w:t>文件、乙方提交的响应文件均是构成本合同不可分割的部分，还包括：</w:t>
      </w:r>
    </w:p>
    <w:p w14:paraId="25755929">
      <w:pPr>
        <w:keepNext w:val="0"/>
        <w:keepLines w:val="0"/>
        <w:pageBreakBefore w:val="0"/>
        <w:widowControl w:val="0"/>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lang w:val="en-US" w:eastAsia="zh-CN"/>
        </w:rPr>
        <w:t>(1)</w:t>
      </w:r>
      <w:r>
        <w:rPr>
          <w:rStyle w:val="319"/>
          <w:rFonts w:hint="eastAsia" w:ascii="宋体" w:hAnsi="宋体" w:cs="宋体"/>
          <w:color w:val="auto"/>
          <w:szCs w:val="21"/>
          <w:highlight w:val="none"/>
        </w:rPr>
        <w:t>合同条款；</w:t>
      </w:r>
    </w:p>
    <w:p w14:paraId="18AD484E">
      <w:pPr>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lang w:val="en-US" w:eastAsia="zh-CN"/>
        </w:rPr>
        <w:t>(2)</w:t>
      </w:r>
      <w:r>
        <w:rPr>
          <w:rStyle w:val="319"/>
          <w:rFonts w:hint="eastAsia" w:ascii="宋体" w:hAnsi="宋体" w:cs="宋体"/>
          <w:color w:val="auto"/>
          <w:szCs w:val="21"/>
          <w:highlight w:val="none"/>
        </w:rPr>
        <w:t>响应承诺函；</w:t>
      </w:r>
    </w:p>
    <w:p w14:paraId="2AEEB4E5">
      <w:pPr>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lang w:val="en-US" w:eastAsia="zh-CN"/>
        </w:rPr>
        <w:t>(3)</w:t>
      </w:r>
      <w:r>
        <w:rPr>
          <w:rStyle w:val="319"/>
          <w:rFonts w:hint="eastAsia" w:ascii="宋体" w:hAnsi="宋体" w:cs="宋体"/>
          <w:color w:val="auto"/>
          <w:szCs w:val="21"/>
          <w:highlight w:val="none"/>
        </w:rPr>
        <w:t>最后报价表；</w:t>
      </w:r>
    </w:p>
    <w:p w14:paraId="13F68FAC">
      <w:pPr>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lang w:val="en-US" w:eastAsia="zh-CN"/>
        </w:rPr>
        <w:t>(4)</w:t>
      </w:r>
      <w:r>
        <w:rPr>
          <w:rStyle w:val="319"/>
          <w:rFonts w:hint="eastAsia" w:ascii="宋体" w:hAnsi="宋体" w:cs="宋体"/>
          <w:color w:val="auto"/>
          <w:szCs w:val="21"/>
          <w:highlight w:val="none"/>
        </w:rPr>
        <w:t>报价明细表；</w:t>
      </w:r>
    </w:p>
    <w:p w14:paraId="245ED7E6">
      <w:pPr>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lang w:val="en-US" w:eastAsia="zh-CN"/>
        </w:rPr>
        <w:t>(5)</w:t>
      </w:r>
      <w:r>
        <w:rPr>
          <w:rStyle w:val="319"/>
          <w:rFonts w:hint="eastAsia" w:ascii="宋体" w:hAnsi="宋体" w:cs="宋体"/>
          <w:color w:val="auto"/>
          <w:szCs w:val="21"/>
          <w:highlight w:val="none"/>
        </w:rPr>
        <w:t>工程方案及服务承诺；</w:t>
      </w:r>
    </w:p>
    <w:p w14:paraId="0B93D5BF">
      <w:pPr>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lang w:val="en-US" w:eastAsia="zh-CN"/>
        </w:rPr>
        <w:t>(6)</w:t>
      </w:r>
      <w:r>
        <w:rPr>
          <w:rStyle w:val="319"/>
          <w:rFonts w:hint="eastAsia" w:ascii="宋体" w:hAnsi="宋体" w:cs="宋体"/>
          <w:color w:val="auto"/>
          <w:szCs w:val="21"/>
          <w:highlight w:val="none"/>
        </w:rPr>
        <w:t>成交通知书；</w:t>
      </w:r>
    </w:p>
    <w:p w14:paraId="233EAC87">
      <w:pPr>
        <w:spacing w:line="360" w:lineRule="auto"/>
        <w:ind w:firstLine="420"/>
        <w:rPr>
          <w:rStyle w:val="319"/>
          <w:rFonts w:ascii="宋体" w:hAnsi="宋体" w:cs="宋体"/>
          <w:color w:val="auto"/>
          <w:szCs w:val="21"/>
          <w:highlight w:val="none"/>
        </w:rPr>
      </w:pPr>
      <w:r>
        <w:rPr>
          <w:rStyle w:val="319"/>
          <w:rFonts w:hint="eastAsia" w:ascii="宋体" w:hAnsi="宋体" w:cs="宋体"/>
          <w:color w:val="auto"/>
          <w:szCs w:val="21"/>
          <w:highlight w:val="none"/>
          <w:lang w:val="en-US" w:eastAsia="zh-CN"/>
        </w:rPr>
        <w:t>(7)</w:t>
      </w:r>
      <w:r>
        <w:rPr>
          <w:rStyle w:val="319"/>
          <w:rFonts w:hint="eastAsia" w:ascii="宋体" w:hAnsi="宋体" w:cs="宋体"/>
          <w:color w:val="auto"/>
          <w:szCs w:val="21"/>
          <w:highlight w:val="none"/>
        </w:rPr>
        <w:t>甲方、乙方商定的其他必要文件。</w:t>
      </w:r>
    </w:p>
    <w:p w14:paraId="26B4B429">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2、工程概况</w:t>
      </w:r>
    </w:p>
    <w:p w14:paraId="5CE898F6">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2.1工程名称：</w:t>
      </w:r>
      <w:r>
        <w:rPr>
          <w:rFonts w:hint="eastAsia" w:ascii="宋体" w:hAnsi="宋体" w:cs="宋体"/>
          <w:color w:val="auto"/>
          <w:szCs w:val="21"/>
          <w:highlight w:val="none"/>
          <w:u w:val="single"/>
          <w:lang w:eastAsia="zh-CN"/>
        </w:rPr>
        <w:t>学校食堂、实训楼、宿舍等内外墙粉刷、顶层防水及办公区吊顶项目</w:t>
      </w:r>
    </w:p>
    <w:p w14:paraId="7CE91D09">
      <w:pPr>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2.2工程地点：</w:t>
      </w:r>
      <w:r>
        <w:rPr>
          <w:rFonts w:hint="eastAsia" w:hAnsi="宋体" w:cs="宋体"/>
          <w:color w:val="auto"/>
          <w:szCs w:val="21"/>
          <w:highlight w:val="none"/>
          <w:u w:val="single"/>
          <w:lang w:eastAsia="zh-CN"/>
        </w:rPr>
        <w:t>扬州高等职业技术学校</w:t>
      </w:r>
    </w:p>
    <w:p w14:paraId="1772CD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文件所规定的工程范围</w:t>
      </w:r>
    </w:p>
    <w:p w14:paraId="0E96832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2.4承包方式：包工包料</w:t>
      </w:r>
    </w:p>
    <w:p w14:paraId="52A8A7E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2.5工期：</w:t>
      </w:r>
      <w:r>
        <w:rPr>
          <w:rFonts w:hint="eastAsia" w:ascii="宋体" w:hAnsi="宋体" w:cs="宋体"/>
          <w:b/>
          <w:bCs/>
          <w:color w:val="auto"/>
          <w:szCs w:val="21"/>
          <w:highlight w:val="none"/>
        </w:rPr>
        <w:t>本工程工期</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日历天，拟于  年 月 日开工，  年 月 日竣工</w:t>
      </w:r>
      <w:r>
        <w:rPr>
          <w:rFonts w:hint="eastAsia" w:ascii="宋体" w:hAnsi="宋体" w:cs="宋体"/>
          <w:color w:val="auto"/>
          <w:szCs w:val="21"/>
          <w:highlight w:val="none"/>
        </w:rPr>
        <w:t>，具体开工时间以采购人通知为准。</w:t>
      </w:r>
    </w:p>
    <w:p w14:paraId="7FC2674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2.6工程质量：合格。</w:t>
      </w:r>
    </w:p>
    <w:p w14:paraId="0261B32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合同金额</w:t>
      </w:r>
      <w:r>
        <w:rPr>
          <w:rFonts w:hint="eastAsia" w:ascii="宋体" w:hAnsi="宋体" w:cs="宋体"/>
          <w:color w:val="auto"/>
          <w:szCs w:val="21"/>
          <w:highlight w:val="none"/>
        </w:rPr>
        <w:t>：</w:t>
      </w:r>
      <w:r>
        <w:rPr>
          <w:rFonts w:hint="eastAsia" w:ascii="宋体" w:hAnsi="宋体"/>
          <w:szCs w:val="21"/>
          <w:highlight w:val="none"/>
        </w:rPr>
        <w:t xml:space="preserve">人民币（大写) </w:t>
      </w:r>
      <w:r>
        <w:rPr>
          <w:rFonts w:ascii="宋体" w:hAnsi="宋体"/>
          <w:szCs w:val="21"/>
          <w:highlight w:val="none"/>
          <w:u w:val="single"/>
        </w:rPr>
        <w:t xml:space="preserve">                </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元）。</w:t>
      </w:r>
      <w:r>
        <w:rPr>
          <w:rFonts w:hint="eastAsia" w:ascii="宋体" w:hAnsi="宋体" w:cs="宋体"/>
          <w:color w:val="auto"/>
          <w:szCs w:val="21"/>
          <w:highlight w:val="none"/>
        </w:rPr>
        <w:t xml:space="preserve">        </w:t>
      </w:r>
    </w:p>
    <w:p w14:paraId="79813419">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2.8付款方式：合同签订后，乙方向甲方开具发票，甲方自收到发票之日起10个工作日内支付合同价的30%预付款，工程竣工验收付至合同价的50%，资料完善并报送符合要求的工程结算审计资料后付至合同价的70%；审计后付至审定价的97%，余款3%作为质保金，质保期满后付清。</w:t>
      </w:r>
    </w:p>
    <w:p w14:paraId="2220BC97">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3、甲方权利义务</w:t>
      </w:r>
    </w:p>
    <w:p w14:paraId="389F985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3.1开工前</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天，向乙方提供经确认的施工图纸或做法说明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并向乙方进行现场交底。全部腾空或部分腾空房屋，清除影响施工的障碍物。对只能部分腾空的房屋中所滞留的家具，陈设等采取保护措施。向乙方提供施工所有的水、电、气及电讯等设备并说明使用注意事项。办理施工所涉及的各种申请批件等手续。</w:t>
      </w:r>
    </w:p>
    <w:p w14:paraId="2C0627D8">
      <w:pPr>
        <w:tabs>
          <w:tab w:val="left" w:pos="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3.2指派</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为甲方驻工地代表，负责合同履行。对工程质量进行监督检查，办理验收，变更，登记手续和其他事宜</w:t>
      </w:r>
      <w:r>
        <w:rPr>
          <w:rFonts w:hint="eastAsia" w:ascii="宋体" w:hAnsi="宋体" w:cs="宋体"/>
          <w:color w:val="auto"/>
          <w:szCs w:val="21"/>
          <w:highlight w:val="none"/>
          <w:lang w:eastAsia="zh-CN"/>
        </w:rPr>
        <w:t>,在</w:t>
      </w:r>
      <w:r>
        <w:rPr>
          <w:rFonts w:ascii="宋体" w:hAnsi="宋体" w:cs="宋体"/>
          <w:color w:val="auto"/>
          <w:szCs w:val="21"/>
          <w:highlight w:val="none"/>
        </w:rPr>
        <w:t xml:space="preserve"> 施工工程中严格控制变更</w:t>
      </w:r>
      <w:r>
        <w:rPr>
          <w:rFonts w:hint="eastAsia" w:ascii="宋体" w:hAnsi="宋体" w:cs="宋体"/>
          <w:color w:val="auto"/>
          <w:szCs w:val="21"/>
          <w:highlight w:val="none"/>
        </w:rPr>
        <w:t>。</w:t>
      </w:r>
    </w:p>
    <w:p w14:paraId="1E81AC0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3.3委托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监理</w:t>
      </w:r>
      <w:r>
        <w:rPr>
          <w:rFonts w:hint="eastAsia" w:ascii="宋体" w:hAnsi="宋体" w:cs="宋体"/>
          <w:color w:val="auto"/>
          <w:szCs w:val="21"/>
          <w:highlight w:val="none"/>
        </w:rPr>
        <w:t>公司进行工程监理，监理公司任命</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为总监理工程师，其职责在监理合同中应明确，并将合同副本交</w:t>
      </w:r>
      <w:r>
        <w:rPr>
          <w:rFonts w:hint="eastAsia" w:ascii="宋体" w:hAnsi="宋体" w:cs="宋体"/>
          <w:bCs/>
          <w:color w:val="auto"/>
          <w:szCs w:val="21"/>
          <w:highlight w:val="none"/>
        </w:rPr>
        <w:t>监理</w:t>
      </w:r>
      <w:r>
        <w:rPr>
          <w:rFonts w:hint="eastAsia" w:ascii="宋体" w:hAnsi="宋体" w:cs="宋体"/>
          <w:color w:val="auto"/>
          <w:szCs w:val="21"/>
          <w:highlight w:val="none"/>
        </w:rPr>
        <w:t>公司</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w:t>
      </w:r>
    </w:p>
    <w:p w14:paraId="21EC801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3.4如确实需要拆改原建筑物结构或设备管线，负责到有关部门办理相应审批手续。</w:t>
      </w:r>
    </w:p>
    <w:p w14:paraId="5E1DFC3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3.5协调有关部门做好现场保卫、消防、垃圾处理等工作。</w:t>
      </w:r>
    </w:p>
    <w:p w14:paraId="4195D301">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4、乙方权利义务</w:t>
      </w:r>
    </w:p>
    <w:p w14:paraId="3A86C05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4.1参加甲方组织的施工图纸或</w:t>
      </w:r>
      <w:r>
        <w:rPr>
          <w:rFonts w:hint="eastAsia" w:ascii="宋体" w:hAnsi="宋体" w:cs="宋体"/>
          <w:color w:val="auto"/>
          <w:szCs w:val="21"/>
          <w:highlight w:val="none"/>
          <w:lang w:eastAsia="zh-CN"/>
        </w:rPr>
        <w:t>做法</w:t>
      </w:r>
      <w:r>
        <w:rPr>
          <w:rFonts w:hint="eastAsia" w:ascii="宋体" w:hAnsi="宋体" w:cs="宋体"/>
          <w:color w:val="auto"/>
          <w:szCs w:val="21"/>
          <w:highlight w:val="none"/>
        </w:rPr>
        <w:t>说明的现场交底，</w:t>
      </w:r>
      <w:r>
        <w:rPr>
          <w:rFonts w:hint="eastAsia" w:ascii="宋体" w:hAnsi="宋体" w:cs="宋体"/>
          <w:color w:val="auto"/>
          <w:szCs w:val="21"/>
          <w:highlight w:val="none"/>
          <w:lang w:eastAsia="zh-CN"/>
        </w:rPr>
        <w:t>拟订</w:t>
      </w:r>
      <w:r>
        <w:rPr>
          <w:rFonts w:hint="eastAsia" w:ascii="宋体" w:hAnsi="宋体" w:cs="宋体"/>
          <w:color w:val="auto"/>
          <w:szCs w:val="21"/>
          <w:highlight w:val="none"/>
        </w:rPr>
        <w:t>施工方案和进度计划，交甲方审定。</w:t>
      </w:r>
    </w:p>
    <w:p w14:paraId="76CC01B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4.2指派</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为乙方项目负责人（项目经理），负责合同履行。按要求组织施工，保质、保量、按期完成施工任务，解决由乙方负责的各项事宜。</w:t>
      </w:r>
    </w:p>
    <w:p w14:paraId="766E58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4.3严格执行施工规范、安全操作规程、防火安全规定、环境保护规定。严格按照图纸或做法说明进行施工，做好各项质量检查记录，参加竣工验收，编制工程决算。</w:t>
      </w:r>
    </w:p>
    <w:p w14:paraId="1D8CB881">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4.4遵守国家或地方政府及有关部门对施工现场管理的规定，妥善保护好施工现场周围建筑物、设备管线、古树名木不受损坏。做好施工现场消防、保卫和垃圾消纳等工作，处理好由于施工带来的扰民问题及与周围单位（住户）的关系。施工安全由乙方负责。</w:t>
      </w:r>
    </w:p>
    <w:p w14:paraId="17238C6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4.5施工中未经甲方同意或有关部门批准，不得随意拆改原建筑物结构及各种设备管线。</w:t>
      </w:r>
    </w:p>
    <w:p w14:paraId="76FDA7D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4.6工程竣工未移交甲方之前，负责对现场的一切设施和工程成品进行保护。</w:t>
      </w:r>
    </w:p>
    <w:p w14:paraId="313EEA9B">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5、税费</w:t>
      </w:r>
    </w:p>
    <w:p w14:paraId="2FFD9BB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5.1中国政府根据现行税法规定对甲方征收的与本合同有关的一切税费均由甲方负担（免税部分除外）。</w:t>
      </w:r>
    </w:p>
    <w:p w14:paraId="2985EF9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5.2中国政府根据现行税法规定对乙方征收的与本合同有关的一切税费均由乙方负担（免税部分除外）。</w:t>
      </w:r>
    </w:p>
    <w:p w14:paraId="6FE75E44">
      <w:pPr>
        <w:numPr>
          <w:ilvl w:val="0"/>
          <w:numId w:val="0"/>
        </w:numPr>
        <w:spacing w:line="360" w:lineRule="auto"/>
        <w:outlineLvl w:val="1"/>
        <w:rPr>
          <w:rFonts w:ascii="宋体" w:hAnsi="宋体" w:cs="宋体"/>
          <w:b/>
          <w:color w:val="auto"/>
          <w:szCs w:val="21"/>
          <w:highlight w:val="none"/>
        </w:rPr>
      </w:pPr>
      <w:r>
        <w:rPr>
          <w:rFonts w:hint="eastAsia" w:ascii="宋体" w:hAnsi="宋体" w:cs="宋体"/>
          <w:b/>
          <w:color w:val="auto"/>
          <w:sz w:val="21"/>
          <w:szCs w:val="21"/>
          <w:highlight w:val="none"/>
          <w:lang w:val="en-US" w:eastAsia="zh-CN" w:bidi="ar-SA"/>
        </w:rPr>
        <w:t>6</w:t>
      </w:r>
      <w:r>
        <w:rPr>
          <w:rFonts w:hint="default" w:ascii="宋体" w:hAnsi="宋体" w:eastAsia="宋体" w:cs="宋体"/>
          <w:b/>
          <w:color w:val="auto"/>
          <w:sz w:val="21"/>
          <w:szCs w:val="21"/>
          <w:highlight w:val="none"/>
          <w:lang w:val="en-US" w:eastAsia="zh-CN" w:bidi="ar-SA"/>
        </w:rPr>
        <w:t>、</w:t>
      </w:r>
      <w:r>
        <w:rPr>
          <w:rFonts w:hint="eastAsia" w:ascii="宋体" w:hAnsi="宋体" w:cs="宋体"/>
          <w:b/>
          <w:color w:val="auto"/>
          <w:szCs w:val="21"/>
          <w:highlight w:val="none"/>
        </w:rPr>
        <w:t>履约保证金</w:t>
      </w:r>
    </w:p>
    <w:p w14:paraId="28E4720A">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val="0"/>
          <w:bCs/>
          <w:color w:val="auto"/>
          <w:szCs w:val="21"/>
          <w:highlight w:val="none"/>
          <w:lang w:val="en-US" w:eastAsia="zh-CN"/>
        </w:rPr>
        <w:t>6.1</w:t>
      </w:r>
      <w:r>
        <w:rPr>
          <w:rFonts w:hint="eastAsia" w:ascii="宋体" w:hAnsi="宋体" w:eastAsia="宋体" w:cs="宋体"/>
          <w:color w:val="auto"/>
          <w:sz w:val="21"/>
          <w:szCs w:val="21"/>
          <w:highlight w:val="none"/>
          <w:u w:val="none"/>
          <w:lang w:val="en-US" w:eastAsia="zh-CN"/>
        </w:rPr>
        <w:t>本项目收取</w:t>
      </w:r>
      <w:r>
        <w:rPr>
          <w:rFonts w:hint="eastAsia" w:ascii="宋体" w:hAnsi="宋体" w:eastAsia="宋体" w:cs="宋体"/>
          <w:color w:val="auto"/>
          <w:sz w:val="21"/>
          <w:szCs w:val="21"/>
          <w:highlight w:val="none"/>
          <w:u w:val="none"/>
          <w:lang w:eastAsia="zh-CN"/>
        </w:rPr>
        <w:t>合同总价</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eastAsia="zh-CN"/>
        </w:rPr>
        <w:t>%的履约保证金</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投标人在收到中标通知书后，须在</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30日</w:t>
      </w:r>
      <w:r>
        <w:rPr>
          <w:rFonts w:hint="eastAsia" w:ascii="宋体" w:hAnsi="宋体" w:eastAsia="宋体" w:cs="宋体"/>
          <w:color w:val="000000" w:themeColor="text1"/>
          <w:sz w:val="21"/>
          <w:szCs w:val="21"/>
          <w:highlight w:val="none"/>
          <w14:textFill>
            <w14:solidFill>
              <w14:schemeClr w14:val="tx1"/>
            </w14:solidFill>
          </w14:textFill>
        </w:rPr>
        <w:t>内向招标人足额提交履约保证金，否则招标人可以取消其中标资格。</w:t>
      </w:r>
    </w:p>
    <w:p w14:paraId="456B9DE8">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7、关于工期的约定</w:t>
      </w:r>
    </w:p>
    <w:p w14:paraId="686E635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7.1甲方要求比合同约定的工期提前竣工时，应征得乙方同意，并支付乙方因赶工采取的措施费用。</w:t>
      </w:r>
    </w:p>
    <w:p w14:paraId="5723C8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7.2因甲方未按约定完成工作，影响工期，工期顺延。</w:t>
      </w:r>
    </w:p>
    <w:p w14:paraId="15EDB6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7.3因乙方责任，不能按期开工或中途无故停工，影响工期，工期不顺延。</w:t>
      </w:r>
    </w:p>
    <w:p w14:paraId="496DE34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7.4因设计变更或非乙方原因造成的停电、停水、停气及不可抗力因素影响，导致停工8小时以上（一周内累计计算）工期相应顺延。</w:t>
      </w:r>
    </w:p>
    <w:p w14:paraId="65EE8B85">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8、关于工程质量、验收及质保的约定</w:t>
      </w:r>
    </w:p>
    <w:p w14:paraId="31F3793C">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8.1本工程以施工图纸或作法说明、设计变更和国家制订的最新施工及验收规范为质量评定验收标准。</w:t>
      </w:r>
    </w:p>
    <w:p w14:paraId="0CAAEB6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8.2本工程质量应达到最新国家质量评定合格标准。</w:t>
      </w:r>
    </w:p>
    <w:p w14:paraId="5C7D82F8">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8.3甲、乙双方应及时办理隐蔽工程和中间工程的检查与验收手续。隐蔽工程和中间工程未经甲方验收通过的，乙方不得擅自进入下一施工阶段。甲方不按时参加隐蔽工程和中间工程验收，乙方可自行验收，甲方应予承认。若甲方要求复验，乙方应按要求办理复验。若复验合格，甲方应承担复验费用由此造成停工，工期顺延；若复验不合格，其复验及返工费用由乙方承担，但工期也予顺延。</w:t>
      </w:r>
    </w:p>
    <w:p w14:paraId="04CD9FF0">
      <w:pPr>
        <w:tabs>
          <w:tab w:val="left" w:pos="0"/>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8.4由于乙方原因造成质量事故，其返工费用由乙方承担，工期不顺延。</w:t>
      </w:r>
    </w:p>
    <w:p w14:paraId="22F450E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cs="宋体"/>
          <w:color w:val="auto"/>
          <w:szCs w:val="21"/>
          <w:highlight w:val="none"/>
        </w:rPr>
      </w:pPr>
      <w:r>
        <w:rPr>
          <w:rFonts w:hint="eastAsia" w:ascii="宋体" w:hAnsi="宋体" w:cs="宋体"/>
          <w:color w:val="auto"/>
          <w:szCs w:val="21"/>
          <w:highlight w:val="none"/>
        </w:rPr>
        <w:t>8.5工程竣工后，乙方应通知甲方验收，甲方自接到验收通知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日内组织验收，并办理验收、移交手续。如甲方在规定时间内未能组织验收，需及时通知乙方，另定验收日期。但甲方应承认乙方竣工日期。</w:t>
      </w:r>
    </w:p>
    <w:p w14:paraId="2DBEA077">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cs="宋体"/>
          <w:color w:val="auto"/>
          <w:szCs w:val="21"/>
          <w:highlight w:val="none"/>
        </w:rPr>
      </w:pPr>
      <w:r>
        <w:rPr>
          <w:rFonts w:hint="eastAsia" w:ascii="宋体" w:hAnsi="宋体" w:cs="宋体"/>
          <w:color w:val="auto"/>
          <w:szCs w:val="21"/>
          <w:highlight w:val="none"/>
        </w:rPr>
        <w:t>8.6本工程应符合国家环保质量要求,否则应承担违约责任并赔偿甲方损失。</w:t>
      </w:r>
    </w:p>
    <w:p w14:paraId="335131E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ascii="宋体" w:hAnsi="宋体" w:cs="宋体"/>
          <w:color w:val="auto"/>
          <w:szCs w:val="21"/>
          <w:highlight w:val="none"/>
        </w:rPr>
      </w:pPr>
      <w:r>
        <w:rPr>
          <w:rFonts w:hint="eastAsia" w:ascii="宋体" w:hAnsi="宋体" w:cs="宋体"/>
          <w:color w:val="auto"/>
          <w:szCs w:val="21"/>
          <w:highlight w:val="none"/>
        </w:rPr>
        <w:t>8.7工程交付尚未使用期间凡属工程遗留问题，乙方在接到甲方书面通知后三天内组织整改。逾期甲方将组织整改，一切费用由乙方承担。</w:t>
      </w:r>
    </w:p>
    <w:p w14:paraId="3D02BF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color w:val="auto"/>
          <w:szCs w:val="21"/>
          <w:highlight w:val="none"/>
        </w:rPr>
      </w:pPr>
      <w:r>
        <w:rPr>
          <w:rFonts w:hint="eastAsia" w:ascii="宋体" w:hAnsi="宋体" w:cs="宋体"/>
          <w:color w:val="auto"/>
          <w:szCs w:val="21"/>
          <w:highlight w:val="none"/>
        </w:rPr>
        <w:t>8.8通过验收后5个日历天内乙方必须将施工队伍、施工机具、周转材料等全部撤清，所有建筑垃圾等必须清运，保持施工现场平整、整洁，塔吊、井架基础等清理完成，如不清运，甲方委托清运，费用由乙方承担在决算中扣除；甲方提供的现场设施应完好，损坏需赔偿。</w:t>
      </w:r>
    </w:p>
    <w:p w14:paraId="560CB6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8.9本工程质量保修期自工程竣工验收合格之日起算。保修期届满前，乙方须对工程进行全面检查，使本工程达到合同所要求的条件及甲方认为合格的程度。</w:t>
      </w:r>
    </w:p>
    <w:p w14:paraId="24119BE5">
      <w:pPr>
        <w:pStyle w:val="50"/>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hAnsi="宋体"/>
          <w:b w:val="0"/>
          <w:bCs/>
          <w:color w:val="auto"/>
          <w:szCs w:val="21"/>
          <w:highlight w:val="none"/>
          <w:u w:val="none"/>
          <w:lang w:val="en-US" w:eastAsia="zh-CN"/>
        </w:rPr>
      </w:pPr>
      <w:r>
        <w:rPr>
          <w:rFonts w:hint="eastAsia" w:hAnsi="宋体" w:cs="宋体"/>
          <w:color w:val="auto"/>
          <w:sz w:val="21"/>
          <w:szCs w:val="21"/>
          <w:highlight w:val="none"/>
          <w:shd w:val="clear" w:color="auto" w:fill="FFFFFF"/>
          <w:lang w:val="en-US" w:eastAsia="zh-CN"/>
        </w:rPr>
        <w:t>8.9.1</w:t>
      </w:r>
      <w:r>
        <w:rPr>
          <w:rFonts w:hint="eastAsia" w:ascii="宋体" w:hAnsi="宋体" w:eastAsia="宋体" w:cs="宋体"/>
          <w:color w:val="auto"/>
          <w:sz w:val="21"/>
          <w:szCs w:val="21"/>
          <w:highlight w:val="none"/>
          <w:shd w:val="clear" w:color="auto" w:fill="FFFFFF"/>
          <w:lang w:val="en-US" w:eastAsia="zh-CN"/>
        </w:rPr>
        <w:t>本项目防水</w:t>
      </w:r>
      <w:r>
        <w:rPr>
          <w:rFonts w:hint="eastAsia" w:ascii="宋体" w:hAnsi="宋体" w:eastAsia="宋体" w:cs="宋体"/>
          <w:color w:val="auto"/>
          <w:sz w:val="21"/>
          <w:szCs w:val="21"/>
          <w:highlight w:val="none"/>
          <w:shd w:val="clear" w:color="auto" w:fill="FFFFFF"/>
        </w:rPr>
        <w:t>工程质量保修期为</w:t>
      </w:r>
      <w:r>
        <w:rPr>
          <w:rFonts w:hint="eastAsia" w:ascii="宋体" w:hAnsi="宋体" w:eastAsia="宋体" w:cs="宋体"/>
          <w:color w:val="auto"/>
          <w:sz w:val="21"/>
          <w:szCs w:val="21"/>
          <w:highlight w:val="none"/>
          <w:shd w:val="clear" w:color="auto" w:fill="FFFFFF"/>
          <w:lang w:val="en-US" w:eastAsia="zh-CN"/>
        </w:rPr>
        <w:t xml:space="preserve"> 5 年，</w:t>
      </w:r>
      <w:r>
        <w:rPr>
          <w:rFonts w:hint="eastAsia" w:ascii="宋体" w:hAnsi="宋体" w:eastAsia="宋体" w:cs="宋体"/>
          <w:color w:val="auto"/>
          <w:sz w:val="21"/>
          <w:szCs w:val="21"/>
          <w:highlight w:val="none"/>
          <w:shd w:val="clear" w:color="auto" w:fill="FFFFFF"/>
        </w:rPr>
        <w:t>从工程竣工验收合格之日起</w:t>
      </w:r>
      <w:r>
        <w:rPr>
          <w:rFonts w:hint="eastAsia" w:hAnsi="宋体" w:cs="宋体"/>
          <w:color w:val="auto"/>
          <w:sz w:val="21"/>
          <w:szCs w:val="21"/>
          <w:highlight w:val="none"/>
          <w:shd w:val="clear" w:color="auto" w:fill="FFFFFF"/>
          <w:lang w:eastAsia="zh-CN"/>
        </w:rPr>
        <w:t>，</w:t>
      </w:r>
      <w:r>
        <w:rPr>
          <w:rFonts w:hint="eastAsia"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年内因工程质量问题所发生的材料费、保修人工费等均由乙方负责免费维修和更换</w:t>
      </w:r>
      <w:r>
        <w:rPr>
          <w:rFonts w:hint="eastAsia" w:ascii="宋体" w:hAnsi="宋体"/>
          <w:b w:val="0"/>
          <w:bCs/>
          <w:color w:val="auto"/>
          <w:szCs w:val="21"/>
          <w:highlight w:val="none"/>
          <w:u w:val="none"/>
          <w:lang w:val="en-US" w:eastAsia="zh-CN"/>
        </w:rPr>
        <w:t>，</w:t>
      </w:r>
      <w:r>
        <w:rPr>
          <w:rFonts w:hint="eastAsia" w:ascii="宋体" w:hAnsi="宋体" w:eastAsia="宋体" w:cs="宋体"/>
          <w:color w:val="auto"/>
          <w:sz w:val="21"/>
          <w:szCs w:val="21"/>
          <w:highlight w:val="none"/>
          <w:shd w:val="clear" w:color="auto" w:fill="FFFFFF"/>
        </w:rPr>
        <w:t>。</w:t>
      </w:r>
    </w:p>
    <w:p w14:paraId="15660BBD">
      <w:pPr>
        <w:pStyle w:val="50"/>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FF0000"/>
          <w:sz w:val="21"/>
          <w:szCs w:val="21"/>
          <w:highlight w:val="none"/>
          <w:shd w:val="clear" w:color="auto" w:fill="FFFFFF"/>
        </w:rPr>
      </w:pPr>
      <w:r>
        <w:rPr>
          <w:rFonts w:hint="eastAsia" w:hAnsi="宋体" w:cs="宋体"/>
          <w:color w:val="000000" w:themeColor="text1"/>
          <w:sz w:val="21"/>
          <w:szCs w:val="21"/>
          <w:highlight w:val="none"/>
          <w:shd w:val="clear" w:color="auto" w:fill="FFFFFF"/>
          <w:lang w:val="en-US" w:eastAsia="zh-CN"/>
          <w14:textFill>
            <w14:solidFill>
              <w14:schemeClr w14:val="tx1"/>
            </w14:solidFill>
          </w14:textFill>
        </w:rPr>
        <w:t>8.9.2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本</w:t>
      </w:r>
      <w:r>
        <w:rPr>
          <w:rFonts w:hint="eastAsia" w:hAnsi="宋体" w:cs="宋体"/>
          <w:color w:val="000000" w:themeColor="text1"/>
          <w:sz w:val="21"/>
          <w:szCs w:val="21"/>
          <w:highlight w:val="none"/>
          <w:shd w:val="clear" w:color="auto" w:fill="FFFFFF"/>
          <w:lang w:val="en-US" w:eastAsia="zh-CN"/>
          <w14:textFill>
            <w14:solidFill>
              <w14:schemeClr w14:val="tx1"/>
            </w14:solidFill>
          </w14:textFill>
        </w:rPr>
        <w:t>项目其他</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工程质量保修期为</w:t>
      </w:r>
      <w:r>
        <w:rPr>
          <w:rFonts w:hint="eastAsia" w:hAnsi="宋体" w:cs="宋体"/>
          <w:color w:val="000000" w:themeColor="text1"/>
          <w:sz w:val="21"/>
          <w:szCs w:val="21"/>
          <w:highlight w:val="none"/>
          <w:u w:val="singl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hAnsi="宋体" w:cs="宋体"/>
          <w:color w:val="000000" w:themeColor="text1"/>
          <w:sz w:val="2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从工程竣工验收合格之日起</w:t>
      </w:r>
      <w:r>
        <w:rPr>
          <w:rFonts w:hint="eastAsia" w:hAnsi="宋体" w:cs="宋体"/>
          <w:color w:val="000000" w:themeColor="text1"/>
          <w:sz w:val="21"/>
          <w:szCs w:val="21"/>
          <w:highlight w:val="none"/>
          <w:shd w:val="clear" w:color="auto" w:fill="FFFFFF"/>
          <w:lang w:eastAsia="zh-CN"/>
          <w14:textFill>
            <w14:solidFill>
              <w14:schemeClr w14:val="tx1"/>
            </w14:solidFill>
          </w14:textFill>
        </w:rPr>
        <w:t>，</w:t>
      </w:r>
      <w:r>
        <w:rPr>
          <w:rFonts w:hint="eastAsia" w:hAnsi="宋体" w:cs="宋体"/>
          <w:color w:val="000000" w:themeColor="text1"/>
          <w:sz w:val="21"/>
          <w:szCs w:val="21"/>
          <w:highlight w:val="none"/>
          <w:u w:val="singl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年内因工程质量问题所发生的材料费、保修人工费等均由乙方负责免费维修和更换。</w:t>
      </w:r>
    </w:p>
    <w:p w14:paraId="1407A6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color w:val="auto"/>
          <w:szCs w:val="21"/>
          <w:highlight w:val="none"/>
        </w:rPr>
      </w:pPr>
      <w:r>
        <w:rPr>
          <w:rFonts w:hint="eastAsia" w:ascii="宋体" w:hAnsi="宋体" w:cs="宋体"/>
          <w:color w:val="auto"/>
          <w:szCs w:val="21"/>
          <w:highlight w:val="none"/>
        </w:rPr>
        <w:t>8.10在保修期内乙方应对非甲方原因引起的工程质量问题承担保修责任，乙方须在接到甲方电话或书面通知后2日内赶到现场维修。紧急维修最迟应在24小时内到场抢修。如乙方未能在甲方规定的时间内及时到场抢修，或自接到保修通知之日起3日仍未给予回复，或连续2次维修仍未能解决问题、修补或消除缺陷的，甲方可自行或直接委托第三方进行维修，由此产生的全部费用均由乙方承担，甲方可直接从工程尾款中扣除该等费用，同时该部分工程的保修期相应顺延。</w:t>
      </w:r>
    </w:p>
    <w:p w14:paraId="2CFBEAC5">
      <w:pPr>
        <w:pStyle w:val="305"/>
        <w:spacing w:line="360" w:lineRule="auto"/>
        <w:ind w:firstLine="211"/>
        <w:jc w:val="left"/>
        <w:rPr>
          <w:rFonts w:ascii="宋体" w:hAnsi="宋体" w:cs="等线"/>
          <w:b/>
          <w:color w:val="000000"/>
          <w:szCs w:val="21"/>
          <w:highlight w:val="none"/>
        </w:rPr>
      </w:pPr>
      <w:r>
        <w:rPr>
          <w:rFonts w:hint="eastAsia" w:ascii="宋体" w:hAnsi="宋体" w:cs="等线"/>
          <w:b/>
          <w:color w:val="000000"/>
          <w:szCs w:val="21"/>
          <w:highlight w:val="none"/>
        </w:rPr>
        <w:t xml:space="preserve"> 9、关于工程价款及结算的约定</w:t>
      </w:r>
    </w:p>
    <w:p w14:paraId="2F9B1190">
      <w:pPr>
        <w:pStyle w:val="305"/>
        <w:spacing w:line="360" w:lineRule="auto"/>
        <w:ind w:firstLine="420"/>
        <w:jc w:val="left"/>
        <w:rPr>
          <w:rFonts w:hint="eastAsia" w:ascii="宋体" w:hAnsi="宋体" w:cs="等线"/>
          <w:color w:val="000000"/>
          <w:szCs w:val="21"/>
          <w:highlight w:val="none"/>
          <w:lang w:val="en-US"/>
        </w:rPr>
      </w:pPr>
      <w:r>
        <w:rPr>
          <w:rFonts w:hint="eastAsia" w:ascii="宋体" w:hAnsi="宋体" w:cs="等线"/>
          <w:color w:val="000000"/>
          <w:szCs w:val="21"/>
          <w:highlight w:val="none"/>
          <w:lang w:val="en-US" w:eastAsia="zh-CN"/>
        </w:rPr>
        <w:t>9.1合同价格形式：</w:t>
      </w:r>
    </w:p>
    <w:p w14:paraId="19905021">
      <w:pPr>
        <w:pStyle w:val="305"/>
        <w:spacing w:line="360" w:lineRule="auto"/>
        <w:ind w:firstLine="420"/>
        <w:jc w:val="left"/>
        <w:rPr>
          <w:rFonts w:hint="eastAsia" w:ascii="宋体" w:hAnsi="宋体" w:cs="等线"/>
          <w:b/>
          <w:bCs/>
          <w:color w:val="000000"/>
          <w:szCs w:val="21"/>
          <w:highlight w:val="none"/>
          <w:lang w:val="en-US"/>
        </w:rPr>
      </w:pPr>
      <w:r>
        <w:rPr>
          <w:rFonts w:hint="eastAsia" w:ascii="宋体" w:hAnsi="宋体" w:cs="等线"/>
          <w:color w:val="000000"/>
          <w:szCs w:val="21"/>
          <w:highlight w:val="none"/>
          <w:lang w:val="en-US"/>
        </w:rPr>
        <w:t>9.1.1</w:t>
      </w:r>
      <w:r>
        <w:rPr>
          <w:rFonts w:hint="eastAsia" w:ascii="宋体" w:hAnsi="宋体" w:cs="等线"/>
          <w:color w:val="000000"/>
          <w:szCs w:val="21"/>
          <w:highlight w:val="none"/>
          <w:lang w:eastAsia="zh-CN"/>
        </w:rPr>
        <w:t>单价合同。</w:t>
      </w:r>
      <w:r>
        <w:rPr>
          <w:rFonts w:hint="eastAsia" w:ascii="宋体" w:hAnsi="宋体" w:cs="等线"/>
          <w:b/>
          <w:bCs/>
          <w:color w:val="000000"/>
          <w:szCs w:val="21"/>
          <w:highlight w:val="none"/>
          <w:lang w:eastAsia="zh-CN"/>
        </w:rPr>
        <w:t>综合单价按第一轮报价的综合单价进行正常计算得出总价后，再在此总价上按最终报价与第一轮投标价的让利幅度进行同比让利，作为最终结算价。</w:t>
      </w:r>
    </w:p>
    <w:p w14:paraId="37DE9BB4">
      <w:pPr>
        <w:pStyle w:val="305"/>
        <w:spacing w:line="360" w:lineRule="auto"/>
        <w:ind w:firstLine="420"/>
        <w:jc w:val="left"/>
        <w:rPr>
          <w:rFonts w:hint="eastAsia" w:ascii="宋体" w:hAnsi="宋体" w:cs="等线"/>
          <w:color w:val="000000"/>
          <w:szCs w:val="21"/>
          <w:highlight w:val="none"/>
          <w:lang w:val="en-US"/>
        </w:rPr>
      </w:pPr>
      <w:r>
        <w:rPr>
          <w:rFonts w:hint="eastAsia" w:ascii="宋体" w:hAnsi="宋体" w:cs="等线"/>
          <w:color w:val="000000"/>
          <w:szCs w:val="21"/>
          <w:highlight w:val="none"/>
          <w:lang w:val="en-US"/>
        </w:rPr>
        <w:t>9.1.2</w:t>
      </w:r>
      <w:r>
        <w:rPr>
          <w:rFonts w:hint="eastAsia" w:ascii="宋体" w:hAnsi="宋体" w:cs="等线"/>
          <w:color w:val="000000"/>
          <w:szCs w:val="21"/>
          <w:highlight w:val="none"/>
          <w:lang w:eastAsia="zh-CN"/>
        </w:rPr>
        <w:t>综合单价包含的风险范围：量的风险由发包人承担，价的风险在下述约定范围内由承包人承担。</w:t>
      </w:r>
    </w:p>
    <w:p w14:paraId="397F3EFE">
      <w:pPr>
        <w:pStyle w:val="305"/>
        <w:spacing w:line="360" w:lineRule="auto"/>
        <w:ind w:firstLine="420"/>
        <w:jc w:val="left"/>
        <w:rPr>
          <w:rFonts w:hint="eastAsia" w:ascii="宋体" w:hAnsi="宋体" w:cs="等线"/>
          <w:color w:val="000000"/>
          <w:szCs w:val="21"/>
          <w:highlight w:val="none"/>
          <w:lang w:val="en-US"/>
        </w:rPr>
      </w:pPr>
      <w:r>
        <w:rPr>
          <w:rFonts w:hint="eastAsia" w:ascii="宋体" w:hAnsi="宋体" w:cs="等线"/>
          <w:color w:val="000000"/>
          <w:szCs w:val="21"/>
          <w:highlight w:val="none"/>
          <w:lang w:val="en-US"/>
        </w:rPr>
        <w:t>9.1.3</w:t>
      </w:r>
      <w:r>
        <w:rPr>
          <w:rFonts w:hint="eastAsia" w:ascii="宋体" w:hAnsi="宋体" w:cs="等线"/>
          <w:color w:val="000000"/>
          <w:szCs w:val="21"/>
          <w:highlight w:val="none"/>
          <w:lang w:eastAsia="zh-CN"/>
        </w:rPr>
        <w:t xml:space="preserve">合同价款中包括的风险范围：除本合同注明的“风险范围以外合同价款条款调整方法”的内容，其他均为合同价款中已包括的风险范围。 </w:t>
      </w:r>
    </w:p>
    <w:p w14:paraId="00ADF121">
      <w:pPr>
        <w:pStyle w:val="305"/>
        <w:spacing w:line="360" w:lineRule="auto"/>
        <w:ind w:firstLine="420"/>
        <w:jc w:val="left"/>
        <w:rPr>
          <w:rFonts w:hint="eastAsia" w:ascii="宋体" w:hAnsi="宋体" w:cs="等线"/>
          <w:color w:val="000000"/>
          <w:szCs w:val="21"/>
          <w:highlight w:val="none"/>
          <w:lang w:val="en-US"/>
        </w:rPr>
      </w:pPr>
      <w:r>
        <w:rPr>
          <w:rFonts w:hint="eastAsia" w:ascii="宋体" w:hAnsi="宋体" w:cs="等线"/>
          <w:color w:val="000000"/>
          <w:szCs w:val="21"/>
          <w:highlight w:val="none"/>
          <w:lang w:val="en-US"/>
        </w:rPr>
        <w:t>9.1.4</w:t>
      </w:r>
      <w:r>
        <w:rPr>
          <w:rFonts w:hint="eastAsia" w:ascii="宋体" w:hAnsi="宋体" w:cs="等线"/>
          <w:color w:val="000000"/>
          <w:szCs w:val="21"/>
          <w:highlight w:val="none"/>
          <w:lang w:eastAsia="zh-CN"/>
        </w:rPr>
        <w:t xml:space="preserve">风险费用的计算方法：承包人投标报价时自行考虑，自主报价，风险范围内的所有费用已全部计入合同总价内，施工过程和竣工结算时风险范围内合同价款不再计算调整。 </w:t>
      </w:r>
    </w:p>
    <w:p w14:paraId="5FD41E8D">
      <w:pPr>
        <w:pStyle w:val="305"/>
        <w:spacing w:line="360" w:lineRule="auto"/>
        <w:ind w:firstLine="420"/>
        <w:jc w:val="left"/>
        <w:rPr>
          <w:rFonts w:hint="eastAsia" w:ascii="宋体" w:hAnsi="宋体" w:cs="等线"/>
          <w:color w:val="000000"/>
          <w:szCs w:val="21"/>
          <w:highlight w:val="none"/>
          <w:lang w:val="en-US"/>
        </w:rPr>
      </w:pPr>
      <w:r>
        <w:rPr>
          <w:rFonts w:hint="eastAsia" w:ascii="宋体" w:hAnsi="宋体" w:cs="等线"/>
          <w:color w:val="000000"/>
          <w:szCs w:val="21"/>
          <w:highlight w:val="none"/>
          <w:lang w:val="en-US"/>
        </w:rPr>
        <w:t>9.1.5</w:t>
      </w:r>
      <w:r>
        <w:rPr>
          <w:rFonts w:hint="eastAsia" w:ascii="宋体" w:hAnsi="宋体" w:cs="等线"/>
          <w:color w:val="000000"/>
          <w:szCs w:val="21"/>
          <w:highlight w:val="none"/>
          <w:lang w:eastAsia="zh-CN"/>
        </w:rPr>
        <w:t xml:space="preserve">风险范围以外合同价格的调整方法： </w:t>
      </w:r>
    </w:p>
    <w:p w14:paraId="2A53668C">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w:t>
      </w:r>
      <w:r>
        <w:rPr>
          <w:rFonts w:hint="eastAsia" w:ascii="宋体" w:hAnsi="宋体" w:cs="等线"/>
          <w:color w:val="000000"/>
          <w:szCs w:val="21"/>
          <w:highlight w:val="none"/>
          <w:u w:val="single"/>
          <w:lang w:val="en-US"/>
        </w:rPr>
        <w:t>a</w:t>
      </w:r>
      <w:r>
        <w:rPr>
          <w:rFonts w:hint="eastAsia" w:ascii="宋体" w:hAnsi="宋体" w:cs="等线"/>
          <w:color w:val="000000"/>
          <w:szCs w:val="21"/>
          <w:highlight w:val="none"/>
          <w:u w:val="single"/>
          <w:lang w:eastAsia="zh-CN"/>
        </w:rPr>
        <w:t xml:space="preserve">）法律法规变化 </w:t>
      </w:r>
    </w:p>
    <w:p w14:paraId="60534757">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①招标工程以投标截止日前</w:t>
      </w:r>
      <w:r>
        <w:rPr>
          <w:rFonts w:hint="eastAsia" w:ascii="宋体" w:hAnsi="宋体" w:cs="等线"/>
          <w:color w:val="000000"/>
          <w:szCs w:val="21"/>
          <w:highlight w:val="none"/>
          <w:u w:val="single"/>
          <w:lang w:val="en-US"/>
        </w:rPr>
        <w:t>28</w:t>
      </w:r>
      <w:r>
        <w:rPr>
          <w:rFonts w:hint="eastAsia" w:ascii="宋体" w:hAnsi="宋体" w:cs="等线"/>
          <w:color w:val="000000"/>
          <w:szCs w:val="21"/>
          <w:highlight w:val="none"/>
          <w:u w:val="single"/>
          <w:lang w:eastAsia="zh-CN"/>
        </w:rPr>
        <w:t>天、非招标工程以合同签订前</w:t>
      </w:r>
      <w:r>
        <w:rPr>
          <w:rFonts w:hint="eastAsia" w:ascii="宋体" w:hAnsi="宋体" w:cs="等线"/>
          <w:color w:val="000000"/>
          <w:szCs w:val="21"/>
          <w:highlight w:val="none"/>
          <w:u w:val="single"/>
          <w:lang w:val="en-US"/>
        </w:rPr>
        <w:t>28</w:t>
      </w:r>
      <w:r>
        <w:rPr>
          <w:rFonts w:hint="eastAsia" w:ascii="宋体" w:hAnsi="宋体" w:cs="等线"/>
          <w:color w:val="000000"/>
          <w:szCs w:val="21"/>
          <w:highlight w:val="none"/>
          <w:u w:val="single"/>
          <w:lang w:eastAsia="zh-CN"/>
        </w:rPr>
        <w:t xml:space="preserve">天为基准日，其后因国家的法律、法规、规章和政策发生变化引起工程造价增减变化的，发承包双方应按照省级或行业建设主管部门或其授权的工程造价管理机构据此发布的规定调整合同价款。 </w:t>
      </w:r>
    </w:p>
    <w:p w14:paraId="4254C57B">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 xml:space="preserve">②因承包人原因导致工期延误的，按本条①规定的调整时间，在合同工程原定竣工时间之后，合同价款调增的不予调整，合同价款调减的予以调整。 </w:t>
      </w:r>
    </w:p>
    <w:p w14:paraId="1365B6C1">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w:t>
      </w:r>
      <w:r>
        <w:rPr>
          <w:rFonts w:hint="eastAsia" w:ascii="宋体" w:hAnsi="宋体" w:cs="等线"/>
          <w:color w:val="000000"/>
          <w:szCs w:val="21"/>
          <w:highlight w:val="none"/>
          <w:u w:val="single"/>
          <w:lang w:val="en-US"/>
        </w:rPr>
        <w:t>b</w:t>
      </w:r>
      <w:r>
        <w:rPr>
          <w:rFonts w:hint="eastAsia" w:ascii="宋体" w:hAnsi="宋体" w:cs="等线"/>
          <w:color w:val="000000"/>
          <w:szCs w:val="21"/>
          <w:highlight w:val="none"/>
          <w:u w:val="single"/>
          <w:lang w:eastAsia="zh-CN"/>
        </w:rPr>
        <w:t xml:space="preserve">）工程变更 </w:t>
      </w:r>
    </w:p>
    <w:p w14:paraId="02E8C9C9">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 xml:space="preserve">①因工程变更引起已标价工程量清单项目或其工程数量发生变化时，应按照下列规定调整： </w:t>
      </w:r>
    </w:p>
    <w:p w14:paraId="1CF8A5B1">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1</w:t>
      </w:r>
      <w:r>
        <w:rPr>
          <w:rFonts w:hint="eastAsia" w:ascii="宋体" w:hAnsi="宋体" w:cs="等线"/>
          <w:color w:val="000000"/>
          <w:szCs w:val="21"/>
          <w:highlight w:val="none"/>
          <w:u w:val="single"/>
          <w:lang w:eastAsia="zh-CN"/>
        </w:rPr>
        <w:t>）已标价工程量清单中有适用于变更工程项目的，应采用该项目的单价；</w:t>
      </w:r>
    </w:p>
    <w:p w14:paraId="62735E72">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2</w:t>
      </w:r>
      <w:r>
        <w:rPr>
          <w:rFonts w:hint="eastAsia" w:ascii="宋体" w:hAnsi="宋体" w:cs="等线"/>
          <w:color w:val="000000"/>
          <w:szCs w:val="21"/>
          <w:highlight w:val="none"/>
          <w:u w:val="single"/>
          <w:lang w:eastAsia="zh-CN"/>
        </w:rPr>
        <w:t xml:space="preserve">）已标价工程量清单中没有适用但有类似于变更工程项目的，可在合理范围内参照类似项目的单价。 </w:t>
      </w:r>
    </w:p>
    <w:p w14:paraId="1820CD46">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3</w:t>
      </w:r>
      <w:r>
        <w:rPr>
          <w:rFonts w:hint="eastAsia" w:ascii="宋体" w:hAnsi="宋体" w:cs="等线"/>
          <w:color w:val="000000"/>
          <w:szCs w:val="21"/>
          <w:highlight w:val="none"/>
          <w:u w:val="single"/>
          <w:lang w:eastAsia="zh-CN"/>
        </w:rPr>
        <w:t xml:space="preserve">）已标价工程量清单中没有适用也没有类似变更工程项目的，应由承包人根据变更工程资料、计量规则和计量办法、工程造价管理机构发布的信息价格和承包人报价浮动率提出变更工程项目的单价、并应报发包人确认后调整。承包人报价浮动率可按下列公式计算：招标工程：承包人报价浮动率按中标让利幅度执行。 </w:t>
      </w:r>
    </w:p>
    <w:p w14:paraId="6118CEE6">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4</w:t>
      </w:r>
      <w:r>
        <w:rPr>
          <w:rFonts w:hint="eastAsia" w:ascii="宋体" w:hAnsi="宋体" w:cs="等线"/>
          <w:color w:val="000000"/>
          <w:szCs w:val="21"/>
          <w:highlight w:val="none"/>
          <w:u w:val="single"/>
          <w:lang w:eastAsia="zh-CN"/>
        </w:rPr>
        <w:t xml:space="preserve">）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 </w:t>
      </w:r>
    </w:p>
    <w:p w14:paraId="7423E2E8">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 xml:space="preserve">②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 </w:t>
      </w:r>
    </w:p>
    <w:p w14:paraId="01B38D1E">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1</w:t>
      </w:r>
      <w:r>
        <w:rPr>
          <w:rFonts w:hint="eastAsia" w:ascii="宋体" w:hAnsi="宋体" w:cs="等线"/>
          <w:color w:val="000000"/>
          <w:szCs w:val="21"/>
          <w:highlight w:val="none"/>
          <w:u w:val="single"/>
          <w:lang w:eastAsia="zh-CN"/>
        </w:rPr>
        <w:t>）安全文明施工费应按照实际发生变化的措施项目必须按国家、省市相关规定执行。</w:t>
      </w:r>
    </w:p>
    <w:p w14:paraId="36528871">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2</w:t>
      </w:r>
      <w:r>
        <w:rPr>
          <w:rFonts w:hint="eastAsia" w:ascii="宋体" w:hAnsi="宋体" w:cs="等线"/>
          <w:color w:val="000000"/>
          <w:szCs w:val="21"/>
          <w:highlight w:val="none"/>
          <w:u w:val="single"/>
          <w:lang w:eastAsia="zh-CN"/>
        </w:rPr>
        <w:t>）采用单价计算的措施项目费，按照实际发生变化的措施项目，按“</w:t>
      </w:r>
      <w:r>
        <w:rPr>
          <w:rFonts w:hint="eastAsia" w:ascii="宋体" w:hAnsi="宋体" w:cs="等线"/>
          <w:color w:val="000000"/>
          <w:szCs w:val="21"/>
          <w:highlight w:val="none"/>
          <w:u w:val="single"/>
          <w:lang w:val="en-US"/>
        </w:rPr>
        <w:t>b</w:t>
      </w:r>
      <w:r>
        <w:rPr>
          <w:rFonts w:hint="eastAsia" w:ascii="宋体" w:hAnsi="宋体" w:cs="等线"/>
          <w:color w:val="000000"/>
          <w:szCs w:val="21"/>
          <w:highlight w:val="none"/>
          <w:u w:val="single"/>
          <w:lang w:eastAsia="zh-CN"/>
        </w:rPr>
        <w:t xml:space="preserve">、①条”的规定确定单价。 </w:t>
      </w:r>
    </w:p>
    <w:p w14:paraId="236B8A4E">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3</w:t>
      </w:r>
      <w:r>
        <w:rPr>
          <w:rFonts w:hint="eastAsia" w:ascii="宋体" w:hAnsi="宋体" w:cs="等线"/>
          <w:color w:val="000000"/>
          <w:szCs w:val="21"/>
          <w:highlight w:val="none"/>
          <w:u w:val="single"/>
          <w:lang w:eastAsia="zh-CN"/>
        </w:rPr>
        <w:t>）按总价（或系数）计算的措施项目费，按照实际发生变化的措施项目调整，但应考虑承包人报价浮动因素，即调整金额按照实际调整金额乘以“本条</w:t>
      </w:r>
      <w:r>
        <w:rPr>
          <w:rFonts w:hint="eastAsia" w:ascii="宋体" w:hAnsi="宋体" w:cs="等线"/>
          <w:color w:val="000000"/>
          <w:szCs w:val="21"/>
          <w:highlight w:val="none"/>
          <w:u w:val="single"/>
          <w:lang w:val="en-US"/>
        </w:rPr>
        <w:t>b</w:t>
      </w:r>
      <w:r>
        <w:rPr>
          <w:rFonts w:hint="eastAsia" w:ascii="宋体" w:hAnsi="宋体" w:cs="等线"/>
          <w:color w:val="000000"/>
          <w:szCs w:val="21"/>
          <w:highlight w:val="none"/>
          <w:u w:val="single"/>
          <w:lang w:eastAsia="zh-CN"/>
        </w:rPr>
        <w:t xml:space="preserve">、①条”规定的承包人报价浮动率计算。如果承包人未事先将实施的方案提交给发包人确定，则应视为工程变更不引起措施项目费的调整或承包人放弃调整措施项目费的权利。 </w:t>
      </w:r>
    </w:p>
    <w:p w14:paraId="3624F2F2">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w:t>
      </w:r>
      <w:r>
        <w:rPr>
          <w:rFonts w:hint="eastAsia" w:ascii="宋体" w:hAnsi="宋体" w:cs="等线"/>
          <w:color w:val="000000"/>
          <w:szCs w:val="21"/>
          <w:highlight w:val="none"/>
          <w:u w:val="single"/>
          <w:lang w:val="en-US"/>
        </w:rPr>
        <w:t>c</w:t>
      </w:r>
      <w:r>
        <w:rPr>
          <w:rFonts w:hint="eastAsia" w:ascii="宋体" w:hAnsi="宋体" w:cs="等线"/>
          <w:color w:val="000000"/>
          <w:szCs w:val="21"/>
          <w:highlight w:val="none"/>
          <w:u w:val="single"/>
          <w:lang w:eastAsia="zh-CN"/>
        </w:rPr>
        <w:t xml:space="preserve">）工程量数量偏差 </w:t>
      </w:r>
    </w:p>
    <w:p w14:paraId="05FA1C45">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合同履行期间，计算的实际工程量数量与招标工程量清单出现偏差，发承包双方可现场签证，根据核实的工程数量调整合同价款。</w:t>
      </w:r>
    </w:p>
    <w:p w14:paraId="4B09A309">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w:t>
      </w:r>
      <w:r>
        <w:rPr>
          <w:rFonts w:hint="eastAsia" w:ascii="宋体" w:hAnsi="宋体" w:cs="等线"/>
          <w:color w:val="000000"/>
          <w:szCs w:val="21"/>
          <w:highlight w:val="none"/>
          <w:u w:val="single"/>
          <w:lang w:val="en-US"/>
        </w:rPr>
        <w:t>d</w:t>
      </w:r>
      <w:r>
        <w:rPr>
          <w:rFonts w:hint="eastAsia" w:ascii="宋体" w:hAnsi="宋体" w:cs="等线"/>
          <w:color w:val="000000"/>
          <w:szCs w:val="21"/>
          <w:highlight w:val="none"/>
          <w:u w:val="single"/>
          <w:lang w:eastAsia="zh-CN"/>
        </w:rPr>
        <w:t xml:space="preserve">）计日工 </w:t>
      </w:r>
    </w:p>
    <w:p w14:paraId="390180E3">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1</w:t>
      </w:r>
      <w:r>
        <w:rPr>
          <w:rFonts w:hint="eastAsia" w:ascii="宋体" w:hAnsi="宋体" w:cs="等线"/>
          <w:color w:val="000000"/>
          <w:szCs w:val="21"/>
          <w:highlight w:val="none"/>
          <w:u w:val="single"/>
          <w:lang w:eastAsia="zh-CN"/>
        </w:rPr>
        <w:t xml:space="preserve">、发包人通知承包人以计日工方式实施的零星工作，承包人应予执行。 </w:t>
      </w:r>
    </w:p>
    <w:p w14:paraId="72831B1D">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2</w:t>
      </w:r>
      <w:r>
        <w:rPr>
          <w:rFonts w:hint="eastAsia" w:ascii="宋体" w:hAnsi="宋体" w:cs="等线"/>
          <w:color w:val="000000"/>
          <w:szCs w:val="21"/>
          <w:highlight w:val="none"/>
          <w:u w:val="single"/>
          <w:lang w:eastAsia="zh-CN"/>
        </w:rPr>
        <w:t>、任一计日工项目实施结束后，承包人应按照确认的计日工现场签证报告核实该类项目的工程数量，并应根据核实的工程数量和承包人已标价工程量清单中的计日工单价计算，提出应付价款；已标价工程量清单中没有该类计日工单价的，由发承包双方按“</w:t>
      </w:r>
      <w:r>
        <w:rPr>
          <w:rFonts w:hint="eastAsia" w:ascii="宋体" w:hAnsi="宋体" w:cs="等线"/>
          <w:color w:val="000000"/>
          <w:szCs w:val="21"/>
          <w:highlight w:val="none"/>
          <w:u w:val="single"/>
          <w:lang w:val="en-US"/>
        </w:rPr>
        <w:t>b</w:t>
      </w:r>
      <w:r>
        <w:rPr>
          <w:rFonts w:hint="eastAsia" w:ascii="宋体" w:hAnsi="宋体" w:cs="等线"/>
          <w:color w:val="000000"/>
          <w:szCs w:val="21"/>
          <w:highlight w:val="none"/>
          <w:u w:val="single"/>
          <w:lang w:eastAsia="zh-CN"/>
        </w:rPr>
        <w:t xml:space="preserve">、①、②条”的规定商定计日工单价计算。 </w:t>
      </w:r>
    </w:p>
    <w:p w14:paraId="4A755D06">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w:t>
      </w:r>
      <w:r>
        <w:rPr>
          <w:rFonts w:hint="eastAsia" w:ascii="宋体" w:hAnsi="宋体" w:cs="等线"/>
          <w:color w:val="000000"/>
          <w:szCs w:val="21"/>
          <w:highlight w:val="none"/>
          <w:u w:val="single"/>
          <w:lang w:val="en-US" w:eastAsia="zh-CN"/>
        </w:rPr>
        <w:t>e</w:t>
      </w:r>
      <w:r>
        <w:rPr>
          <w:rFonts w:hint="eastAsia" w:ascii="宋体" w:hAnsi="宋体" w:cs="等线"/>
          <w:color w:val="000000"/>
          <w:szCs w:val="21"/>
          <w:highlight w:val="none"/>
          <w:u w:val="single"/>
          <w:lang w:eastAsia="zh-CN"/>
        </w:rPr>
        <w:t xml:space="preserve">）不可抗力 </w:t>
      </w:r>
    </w:p>
    <w:p w14:paraId="3131FB67">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eastAsia="zh-CN"/>
        </w:rPr>
        <w:t xml:space="preserve">因不可抗力事件导致的人员伤亡、财产损失及其费用增加，发承包双方应按下列原则分别承担并调整合同价款和工期： </w:t>
      </w:r>
    </w:p>
    <w:p w14:paraId="31C52668">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1</w:t>
      </w:r>
      <w:r>
        <w:rPr>
          <w:rFonts w:hint="eastAsia" w:ascii="宋体" w:hAnsi="宋体" w:cs="等线"/>
          <w:color w:val="000000"/>
          <w:szCs w:val="21"/>
          <w:highlight w:val="none"/>
          <w:u w:val="single"/>
          <w:lang w:eastAsia="zh-CN"/>
        </w:rPr>
        <w:t xml:space="preserve">）合同工程本身的损害、因工程损害导致第三方人员伤亡和财产损失以及运至施工场地用于施工的材料和待安装的损害，应由发包人承担； </w:t>
      </w:r>
    </w:p>
    <w:p w14:paraId="032E51BE">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2</w:t>
      </w:r>
      <w:r>
        <w:rPr>
          <w:rFonts w:hint="eastAsia" w:ascii="宋体" w:hAnsi="宋体" w:cs="等线"/>
          <w:color w:val="000000"/>
          <w:szCs w:val="21"/>
          <w:highlight w:val="none"/>
          <w:u w:val="single"/>
          <w:lang w:eastAsia="zh-CN"/>
        </w:rPr>
        <w:t xml:space="preserve">）发包人、承包人人员伤亡应由其所在单位负责，并应承担相应费用； </w:t>
      </w:r>
    </w:p>
    <w:p w14:paraId="7EFA21A9">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3</w:t>
      </w:r>
      <w:r>
        <w:rPr>
          <w:rFonts w:hint="eastAsia" w:ascii="宋体" w:hAnsi="宋体" w:cs="等线"/>
          <w:color w:val="000000"/>
          <w:szCs w:val="21"/>
          <w:highlight w:val="none"/>
          <w:u w:val="single"/>
          <w:lang w:eastAsia="zh-CN"/>
        </w:rPr>
        <w:t xml:space="preserve">）承包人的施工机械设备损坏及停工损失，应由承包人承担； </w:t>
      </w:r>
    </w:p>
    <w:p w14:paraId="72867E8F">
      <w:pPr>
        <w:pStyle w:val="305"/>
        <w:spacing w:line="360" w:lineRule="auto"/>
        <w:ind w:firstLine="420"/>
        <w:jc w:val="left"/>
        <w:rPr>
          <w:rFonts w:hint="eastAsia" w:ascii="宋体" w:hAnsi="宋体" w:cs="等线"/>
          <w:color w:val="000000"/>
          <w:szCs w:val="21"/>
          <w:highlight w:val="none"/>
          <w:u w:val="single"/>
          <w:lang w:val="en-US"/>
        </w:rPr>
      </w:pPr>
      <w:r>
        <w:rPr>
          <w:rFonts w:hint="eastAsia" w:ascii="宋体" w:hAnsi="宋体" w:cs="等线"/>
          <w:color w:val="000000"/>
          <w:szCs w:val="21"/>
          <w:highlight w:val="none"/>
          <w:u w:val="single"/>
          <w:lang w:val="en-US"/>
        </w:rPr>
        <w:t>4</w:t>
      </w:r>
      <w:r>
        <w:rPr>
          <w:rFonts w:hint="eastAsia" w:ascii="宋体" w:hAnsi="宋体" w:cs="等线"/>
          <w:color w:val="000000"/>
          <w:szCs w:val="21"/>
          <w:highlight w:val="none"/>
          <w:u w:val="single"/>
          <w:lang w:eastAsia="zh-CN"/>
        </w:rPr>
        <w:t>）停工期间，承包人应发包人要求留在施工的必要的管理人员及保卫人员的费用应由发包人承担；</w:t>
      </w:r>
    </w:p>
    <w:p w14:paraId="34B961E8">
      <w:pPr>
        <w:pStyle w:val="305"/>
        <w:spacing w:line="360" w:lineRule="auto"/>
        <w:ind w:firstLine="420"/>
        <w:jc w:val="left"/>
        <w:rPr>
          <w:rFonts w:ascii="宋体" w:hAnsi="宋体" w:cs="等线"/>
          <w:color w:val="000000"/>
          <w:szCs w:val="21"/>
          <w:highlight w:val="none"/>
        </w:rPr>
      </w:pPr>
      <w:r>
        <w:rPr>
          <w:rFonts w:hint="eastAsia" w:ascii="宋体" w:hAnsi="宋体" w:cs="等线"/>
          <w:color w:val="000000"/>
          <w:szCs w:val="21"/>
          <w:highlight w:val="none"/>
          <w:u w:val="single"/>
          <w:lang w:val="en-US"/>
        </w:rPr>
        <w:t>5</w:t>
      </w:r>
      <w:r>
        <w:rPr>
          <w:rFonts w:hint="eastAsia" w:ascii="宋体" w:hAnsi="宋体" w:cs="等线"/>
          <w:color w:val="000000"/>
          <w:szCs w:val="21"/>
          <w:highlight w:val="none"/>
          <w:u w:val="single"/>
          <w:lang w:eastAsia="zh-CN"/>
        </w:rPr>
        <w:t>）工程所需清理、修复费用，应由发包人承担。</w:t>
      </w:r>
    </w:p>
    <w:p w14:paraId="5F16A374">
      <w:pPr>
        <w:pStyle w:val="305"/>
        <w:spacing w:line="360" w:lineRule="auto"/>
        <w:ind w:firstLine="525"/>
        <w:jc w:val="left"/>
        <w:rPr>
          <w:rFonts w:ascii="宋体" w:hAnsi="宋体" w:cs="等线"/>
          <w:color w:val="000000"/>
          <w:szCs w:val="21"/>
          <w:highlight w:val="none"/>
        </w:rPr>
      </w:pPr>
      <w:r>
        <w:rPr>
          <w:rFonts w:hint="eastAsia" w:ascii="宋体" w:hAnsi="宋体" w:cs="等线"/>
          <w:color w:val="000000"/>
          <w:szCs w:val="21"/>
          <w:highlight w:val="none"/>
        </w:rPr>
        <w:t>9.2结算</w:t>
      </w:r>
    </w:p>
    <w:p w14:paraId="34F68158">
      <w:pPr>
        <w:pStyle w:val="305"/>
        <w:spacing w:line="360" w:lineRule="auto"/>
        <w:ind w:firstLine="525"/>
        <w:jc w:val="left"/>
        <w:rPr>
          <w:rFonts w:ascii="宋体" w:hAnsi="宋体" w:cs="等线"/>
          <w:color w:val="000000"/>
          <w:szCs w:val="21"/>
          <w:highlight w:val="none"/>
        </w:rPr>
      </w:pPr>
      <w:r>
        <w:rPr>
          <w:rFonts w:hint="eastAsia" w:ascii="宋体" w:hAnsi="宋体" w:cs="等线"/>
          <w:color w:val="000000"/>
          <w:szCs w:val="21"/>
          <w:highlight w:val="none"/>
        </w:rPr>
        <w:t>本工程结算价需经有关部门审定确认，具体如下：</w:t>
      </w:r>
    </w:p>
    <w:p w14:paraId="49AF2A43">
      <w:pPr>
        <w:pStyle w:val="305"/>
        <w:keepNext w:val="0"/>
        <w:keepLines w:val="0"/>
        <w:pageBreakBefore w:val="0"/>
        <w:widowControl w:val="0"/>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(a)本工程结算价需经有关部门审定确认，本工程安全文明施工措施费计取基本费及扬尘污染防治增加费，结算时按有关部门核定调整。</w:t>
      </w:r>
    </w:p>
    <w:p w14:paraId="0FD82C4C">
      <w:pPr>
        <w:pStyle w:val="305"/>
        <w:keepNext w:val="0"/>
        <w:keepLines w:val="0"/>
        <w:pageBreakBefore w:val="0"/>
        <w:widowControl w:val="0"/>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(b)</w:t>
      </w:r>
      <w:r>
        <w:rPr>
          <w:rFonts w:hint="eastAsia" w:ascii="宋体" w:hAnsi="宋体" w:eastAsia="宋体" w:cs="宋体"/>
          <w:color w:val="000000"/>
          <w:szCs w:val="21"/>
          <w:highlight w:val="none"/>
        </w:rPr>
        <w:t>乙方竣工验收合格后60天内提交结算送审资料进行结算。超过合同约定时间报送的关于工程量变更等导致工程款变化的结算资料不作为审查的依据。</w:t>
      </w:r>
    </w:p>
    <w:p w14:paraId="523234B1">
      <w:pPr>
        <w:pStyle w:val="305"/>
        <w:keepNext w:val="0"/>
        <w:keepLines w:val="0"/>
        <w:pageBreakBefore w:val="0"/>
        <w:widowControl w:val="0"/>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(c)</w:t>
      </w:r>
      <w:r>
        <w:rPr>
          <w:rFonts w:hint="eastAsia" w:ascii="宋体" w:hAnsi="宋体" w:eastAsia="宋体" w:cs="宋体"/>
          <w:color w:val="000000"/>
          <w:szCs w:val="21"/>
          <w:highlight w:val="none"/>
        </w:rPr>
        <w:t>乙方提供的竣工资料如有缺项（如试验记录、调试记录等），则视为该项工序现场未做，在工程结算中此部分费用将予以扣除。</w:t>
      </w:r>
    </w:p>
    <w:p w14:paraId="03410279">
      <w:pPr>
        <w:pStyle w:val="305"/>
        <w:keepNext w:val="0"/>
        <w:keepLines w:val="0"/>
        <w:pageBreakBefore w:val="0"/>
        <w:widowControl w:val="0"/>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(d)</w:t>
      </w:r>
      <w:r>
        <w:rPr>
          <w:rFonts w:hint="eastAsia" w:ascii="宋体" w:hAnsi="宋体" w:eastAsia="宋体" w:cs="宋体"/>
          <w:color w:val="000000"/>
          <w:szCs w:val="21"/>
          <w:highlight w:val="none"/>
        </w:rPr>
        <w:t>本工程最终结算价以审计单位审核为准。</w:t>
      </w:r>
    </w:p>
    <w:p w14:paraId="19138B09">
      <w:pPr>
        <w:pStyle w:val="305"/>
        <w:keepNext w:val="0"/>
        <w:keepLines w:val="0"/>
        <w:pageBreakBefore w:val="0"/>
        <w:widowControl w:val="0"/>
        <w:spacing w:line="360" w:lineRule="auto"/>
        <w:ind w:firstLine="42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(e)</w:t>
      </w:r>
      <w:r>
        <w:rPr>
          <w:rFonts w:hint="eastAsia" w:ascii="宋体" w:hAnsi="宋体" w:eastAsia="宋体" w:cs="宋体"/>
          <w:color w:val="000000"/>
          <w:szCs w:val="21"/>
          <w:highlight w:val="none"/>
        </w:rPr>
        <w:t>乙方需提供增值税发票。</w:t>
      </w:r>
    </w:p>
    <w:p w14:paraId="2A5B8464">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10、关于材料及配件供应的约定</w:t>
      </w:r>
    </w:p>
    <w:p w14:paraId="0DFCA5F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10.1凡由乙方采购的材料及配件、设备，如不符合质量要求或规格有差异，应禁止使用。若已使用，对工程造成的损失由乙方负责。</w:t>
      </w:r>
    </w:p>
    <w:p w14:paraId="35401A9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10.2工程项目中所用所有主材必须征得甲方认可，甲方保留主材甲供的权利。</w:t>
      </w:r>
    </w:p>
    <w:p w14:paraId="5C2D1203">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11、有关安全生产和防火的约定</w:t>
      </w:r>
    </w:p>
    <w:p w14:paraId="60EAF84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11.1甲方提供的施工图纸或作法说明，应符合《中华人民共和国消防条例》和有关防火设计规范。</w:t>
      </w:r>
    </w:p>
    <w:p w14:paraId="5DAFEBF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11.2乙方在施工期间应严格遵守《建设工程安全生产管理条例》、《建筑安装工人安全技术操作规程》、《中华人民共和国消防条例》和其它相关的法规、规范。</w:t>
      </w:r>
    </w:p>
    <w:p w14:paraId="37AB43B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11.3由于甲方确认的图纸或作法说明，违反有关安全操作规程、消防条例和防火设计规范，导致发生安全或火灾事故，甲方应承担由此产生的一切经济损失。</w:t>
      </w:r>
    </w:p>
    <w:p w14:paraId="4F9DAD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11.4由于乙方在施工生产过程中违反有关安全操作规程、消防条例，导致发生安全或火灾等事故，乙方应承担由此引发的一切经济损失及法律责任。</w:t>
      </w:r>
    </w:p>
    <w:p w14:paraId="3BCA86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11.5本建筑安装施工工程必须达到现行版的国家及江苏省的一切有关法律、法规要求，若本工程实施期间有新的相关法律、法规标准出台，则仍应满足新的标准要求。</w:t>
      </w:r>
    </w:p>
    <w:p w14:paraId="62338E3D">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12、奖励和违约责任</w:t>
      </w:r>
    </w:p>
    <w:p w14:paraId="181C7F4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12.1由于乙方原因，</w:t>
      </w:r>
      <w:r>
        <w:rPr>
          <w:rFonts w:hint="eastAsia" w:ascii="宋体" w:hAnsi="宋体" w:cs="宋体"/>
          <w:b/>
          <w:color w:val="auto"/>
          <w:szCs w:val="21"/>
          <w:highlight w:val="none"/>
        </w:rPr>
        <w:t>逾期竣工，每逾期一天，乙方支付甲方</w:t>
      </w:r>
      <w:r>
        <w:rPr>
          <w:rFonts w:hint="eastAsia" w:ascii="宋体" w:hAnsi="宋体" w:cs="宋体"/>
          <w:b/>
          <w:color w:val="auto"/>
          <w:szCs w:val="21"/>
          <w:highlight w:val="none"/>
          <w:u w:val="single"/>
        </w:rPr>
        <w:t xml:space="preserve"> 2000 </w:t>
      </w:r>
      <w:r>
        <w:rPr>
          <w:rFonts w:hint="eastAsia" w:ascii="宋体" w:hAnsi="宋体" w:cs="宋体"/>
          <w:b/>
          <w:color w:val="auto"/>
          <w:szCs w:val="21"/>
          <w:highlight w:val="none"/>
        </w:rPr>
        <w:t>元违约金</w:t>
      </w:r>
      <w:r>
        <w:rPr>
          <w:rFonts w:hint="eastAsia" w:ascii="宋体" w:hAnsi="宋体" w:cs="宋体"/>
          <w:color w:val="auto"/>
          <w:szCs w:val="21"/>
          <w:highlight w:val="none"/>
        </w:rPr>
        <w:t>，逾期竣工超过30天的甲方及委托采购机构有权不予退还乙方的履约保证金。</w:t>
      </w:r>
    </w:p>
    <w:p w14:paraId="15558A54">
      <w:pPr>
        <w:tabs>
          <w:tab w:val="left" w:pos="0"/>
        </w:tabs>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12.2</w:t>
      </w:r>
      <w:r>
        <w:rPr>
          <w:rFonts w:hint="eastAsia" w:ascii="宋体" w:hAnsi="宋体" w:cs="宋体"/>
          <w:b/>
          <w:bCs/>
          <w:color w:val="auto"/>
          <w:szCs w:val="21"/>
          <w:highlight w:val="none"/>
        </w:rPr>
        <w:t>未经甲方同意乙方不得更换项目负责人及项目管理班子人员，否则每更换项目负责人一次，甲方将从工程款中扣除违约金</w:t>
      </w:r>
      <w:r>
        <w:rPr>
          <w:rFonts w:hint="eastAsia" w:ascii="宋体" w:hAnsi="宋体" w:cs="宋体"/>
          <w:b/>
          <w:bCs/>
          <w:color w:val="auto"/>
          <w:szCs w:val="21"/>
          <w:highlight w:val="none"/>
          <w:u w:val="single"/>
        </w:rPr>
        <w:t>5000</w:t>
      </w:r>
      <w:r>
        <w:rPr>
          <w:rFonts w:hint="eastAsia" w:ascii="宋体" w:hAnsi="宋体" w:cs="宋体"/>
          <w:b/>
          <w:bCs/>
          <w:color w:val="auto"/>
          <w:szCs w:val="21"/>
          <w:highlight w:val="none"/>
        </w:rPr>
        <w:t>元；项目管理班子其它人员每更换一次，或</w:t>
      </w:r>
      <w:r>
        <w:rPr>
          <w:rFonts w:hint="eastAsia" w:ascii="宋体" w:hAnsi="宋体" w:cs="宋体"/>
          <w:b/>
          <w:color w:val="auto"/>
          <w:szCs w:val="21"/>
          <w:highlight w:val="none"/>
        </w:rPr>
        <w:t>项目经理月到位率不足</w:t>
      </w:r>
      <w:r>
        <w:rPr>
          <w:rFonts w:hint="eastAsia" w:ascii="宋体" w:hAnsi="宋体" w:cs="宋体"/>
          <w:b/>
          <w:color w:val="auto"/>
          <w:szCs w:val="21"/>
          <w:highlight w:val="none"/>
          <w:u w:val="single"/>
        </w:rPr>
        <w:t>80</w:t>
      </w:r>
      <w:r>
        <w:rPr>
          <w:rFonts w:hint="eastAsia" w:ascii="宋体" w:hAnsi="宋体" w:cs="宋体"/>
          <w:b/>
          <w:color w:val="auto"/>
          <w:szCs w:val="21"/>
          <w:highlight w:val="none"/>
        </w:rPr>
        <w:t>%的，</w:t>
      </w:r>
      <w:r>
        <w:rPr>
          <w:rFonts w:hint="eastAsia" w:ascii="宋体" w:hAnsi="宋体" w:cs="宋体"/>
          <w:b/>
          <w:bCs/>
          <w:color w:val="auto"/>
          <w:szCs w:val="21"/>
          <w:highlight w:val="none"/>
        </w:rPr>
        <w:t>甲方将从工程款中扣除违约金</w:t>
      </w:r>
      <w:r>
        <w:rPr>
          <w:rFonts w:hint="eastAsia" w:ascii="宋体" w:hAnsi="宋体" w:cs="宋体"/>
          <w:b/>
          <w:bCs/>
          <w:color w:val="auto"/>
          <w:szCs w:val="21"/>
          <w:highlight w:val="none"/>
          <w:u w:val="single"/>
        </w:rPr>
        <w:t>2000</w:t>
      </w:r>
      <w:r>
        <w:rPr>
          <w:rFonts w:hint="eastAsia" w:ascii="宋体" w:hAnsi="宋体" w:cs="宋体"/>
          <w:b/>
          <w:bCs/>
          <w:color w:val="auto"/>
          <w:szCs w:val="21"/>
          <w:highlight w:val="none"/>
        </w:rPr>
        <w:t>元；</w:t>
      </w:r>
      <w:r>
        <w:rPr>
          <w:rFonts w:hint="eastAsia" w:ascii="宋体" w:hAnsi="宋体" w:cs="宋体"/>
          <w:b/>
          <w:color w:val="auto"/>
          <w:szCs w:val="21"/>
          <w:highlight w:val="none"/>
        </w:rPr>
        <w:t>项目班子管理人员（除项目经理外）月到位率达不到</w:t>
      </w:r>
      <w:r>
        <w:rPr>
          <w:rFonts w:hint="eastAsia" w:ascii="宋体" w:hAnsi="宋体" w:cs="宋体"/>
          <w:b/>
          <w:color w:val="auto"/>
          <w:szCs w:val="21"/>
          <w:highlight w:val="none"/>
          <w:u w:val="single"/>
        </w:rPr>
        <w:t>90</w:t>
      </w:r>
      <w:r>
        <w:rPr>
          <w:rFonts w:hint="eastAsia" w:ascii="宋体" w:hAnsi="宋体" w:cs="宋体"/>
          <w:b/>
          <w:color w:val="auto"/>
          <w:szCs w:val="21"/>
          <w:highlight w:val="none"/>
        </w:rPr>
        <w:t>%的，每人次罚</w:t>
      </w:r>
      <w:r>
        <w:rPr>
          <w:rFonts w:hint="eastAsia" w:ascii="宋体" w:hAnsi="宋体" w:cs="宋体"/>
          <w:b/>
          <w:color w:val="auto"/>
          <w:szCs w:val="21"/>
          <w:highlight w:val="none"/>
          <w:u w:val="single"/>
        </w:rPr>
        <w:t>500</w:t>
      </w:r>
      <w:r>
        <w:rPr>
          <w:rFonts w:hint="eastAsia" w:ascii="宋体" w:hAnsi="宋体" w:cs="宋体"/>
          <w:b/>
          <w:color w:val="auto"/>
          <w:szCs w:val="21"/>
          <w:highlight w:val="none"/>
        </w:rPr>
        <w:t>元。</w:t>
      </w:r>
    </w:p>
    <w:p w14:paraId="69533D1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12.3乙方应妥善保护甲方提供的设备及工程成品，如造成损失，应照价赔偿。</w:t>
      </w:r>
    </w:p>
    <w:p w14:paraId="5D0AD501">
      <w:pPr>
        <w:tabs>
          <w:tab w:val="left" w:pos="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12.4甲方未办理任何手续，擅自同意拆改原有建筑物或设备管线，由此发生的损失或事故（包括罚款），由甲方负责并承担损失。</w:t>
      </w:r>
    </w:p>
    <w:p w14:paraId="6E2FC2AD">
      <w:pPr>
        <w:tabs>
          <w:tab w:val="left" w:pos="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12.5未经甲方同意，乙方擅自拆改原建筑物结构或设备管线，由此发生的损失或事故（包括罚款），由乙方负责并承担损失。</w:t>
      </w:r>
    </w:p>
    <w:p w14:paraId="3003BD36">
      <w:pPr>
        <w:tabs>
          <w:tab w:val="left" w:pos="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12.6未办理验收手续，甲方提前使用或擅自动用造成损失由甲方负责。</w:t>
      </w:r>
    </w:p>
    <w:p w14:paraId="7EAFAE89">
      <w:pPr>
        <w:tabs>
          <w:tab w:val="left" w:pos="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12.7因一方原因，合同无法继续履行时，应通知对方，办理合同终止协议，并由责任方赔偿对方由此造成的经济损失。</w:t>
      </w:r>
    </w:p>
    <w:p w14:paraId="6AFD3413">
      <w:pPr>
        <w:tabs>
          <w:tab w:val="left" w:pos="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12.8甲乙双方应严格履约，如违约，由违约方承付本合同标的总价5﹪的违约金给受损方，并赔偿受损方由此造成的一切经济损失。乙方施工期间应服从学校管理，不得有在校园内抽烟、乱丢垃圾、电瓶车骑行等行为，不得影响学校正常的教育教学工作，如有违反，每人每次在项目费用中扣款100元，情节恶劣的，除给予适当处罚外，该员工不得继续参与施工。</w:t>
      </w:r>
    </w:p>
    <w:p w14:paraId="464D04AE">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13、不可抗力</w:t>
      </w:r>
    </w:p>
    <w:p w14:paraId="2A24D71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13.1在执行合同期限内，任何一方因不可抗力事件造成不能履行合同时，应立即通知对方，并寄送有关权威机构出具的证明，则合同履行期可延长，延长期与不可抗力影响期相同。出现上述情况不受合同有关逾期责任制约；</w:t>
      </w:r>
    </w:p>
    <w:p w14:paraId="429EF1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13.2不可抗力影响时间持续30日以上时，甲乙双方及时解除合同；</w:t>
      </w:r>
    </w:p>
    <w:p w14:paraId="7432087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13.3本条所述“不可抗力”是指不可预见、不能克服及不能避免的事件，包括战争、严重火灾、洪水、地震等。</w:t>
      </w:r>
    </w:p>
    <w:p w14:paraId="537BF141">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14、纠纷解决办法</w:t>
      </w:r>
    </w:p>
    <w:p w14:paraId="460880B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14.1在执行本合同中所发生的或与本合同有关的一切争端，甲方和乙方应通过友好协商的办法进行解决。如协商仍不能解决，则通过由甲方所在地人民法院诉讼。</w:t>
      </w:r>
    </w:p>
    <w:p w14:paraId="2A5B4AE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14.2在诉讼期间，本合同应继续执行。</w:t>
      </w:r>
    </w:p>
    <w:p w14:paraId="72EE3CA0">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15、破产终止合同</w:t>
      </w:r>
    </w:p>
    <w:p w14:paraId="1E086A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15.1如果乙方破产或无清偿能力时，甲方在任何时候书面通知乙方终止合同而不给乙方补偿。该终止合同将不损害或影响甲方已经或将要采取的补救措施的权利。 </w:t>
      </w:r>
    </w:p>
    <w:p w14:paraId="4F690C3B">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16、分包和转让</w:t>
      </w:r>
    </w:p>
    <w:p w14:paraId="228BB07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16.1本合同不得转让及分包。</w:t>
      </w:r>
    </w:p>
    <w:p w14:paraId="35E383D1">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17、</w:t>
      </w:r>
      <w:bookmarkStart w:id="25" w:name="_Toc22000630"/>
      <w:r>
        <w:rPr>
          <w:rFonts w:hint="eastAsia" w:ascii="宋体" w:hAnsi="宋体" w:cs="宋体"/>
          <w:b/>
          <w:color w:val="auto"/>
          <w:szCs w:val="21"/>
          <w:highlight w:val="none"/>
        </w:rPr>
        <w:t>合同生效及其它</w:t>
      </w:r>
      <w:bookmarkEnd w:id="25"/>
    </w:p>
    <w:p w14:paraId="2C00024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17.1合同应在甲方、乙方签字，</w:t>
      </w:r>
      <w:r>
        <w:rPr>
          <w:rFonts w:hint="eastAsia" w:hAnsi="宋体"/>
          <w:color w:val="auto"/>
          <w:highlight w:val="none"/>
        </w:rPr>
        <w:t>并经见证方见证盖章后，且</w:t>
      </w:r>
      <w:r>
        <w:rPr>
          <w:rFonts w:hint="eastAsia" w:ascii="宋体" w:hAnsi="宋体" w:cs="宋体"/>
          <w:color w:val="auto"/>
          <w:szCs w:val="21"/>
          <w:highlight w:val="none"/>
        </w:rPr>
        <w:t>乙方向甲方交纳履约保证金后生效。</w:t>
      </w:r>
    </w:p>
    <w:p w14:paraId="3473BD3C">
      <w:pPr>
        <w:tabs>
          <w:tab w:val="left" w:pos="142"/>
        </w:tabs>
        <w:spacing w:line="360" w:lineRule="auto"/>
        <w:ind w:firstLine="371"/>
        <w:rPr>
          <w:rFonts w:ascii="宋体" w:hAnsi="宋体" w:cs="宋体"/>
          <w:color w:val="auto"/>
          <w:szCs w:val="21"/>
          <w:highlight w:val="none"/>
        </w:rPr>
      </w:pPr>
      <w:r>
        <w:rPr>
          <w:rFonts w:hint="eastAsia" w:ascii="宋体" w:hAnsi="宋体" w:cs="宋体"/>
          <w:color w:val="auto"/>
          <w:szCs w:val="21"/>
          <w:highlight w:val="none"/>
        </w:rPr>
        <w:t>17.2本合同一式肆份，以中文书写，由甲方贰份、乙方贰份。</w:t>
      </w:r>
    </w:p>
    <w:p w14:paraId="25D969BD">
      <w:pPr>
        <w:spacing w:line="360" w:lineRule="auto"/>
        <w:ind w:firstLine="371"/>
        <w:rPr>
          <w:rFonts w:ascii="宋体" w:hAnsi="宋体" w:cs="宋体"/>
          <w:color w:val="auto"/>
          <w:szCs w:val="21"/>
          <w:highlight w:val="none"/>
        </w:rPr>
      </w:pPr>
      <w:r>
        <w:rPr>
          <w:rFonts w:hint="eastAsia" w:ascii="宋体" w:hAnsi="宋体" w:cs="宋体"/>
          <w:color w:val="auto"/>
          <w:szCs w:val="21"/>
          <w:highlight w:val="none"/>
        </w:rPr>
        <w:t>17.3本合同服务实施期间所发生的合同纠纷，甲方与乙方进行处理。</w:t>
      </w:r>
    </w:p>
    <w:p w14:paraId="07EB5882">
      <w:pPr>
        <w:spacing w:line="360" w:lineRule="auto"/>
        <w:ind w:firstLine="367"/>
        <w:rPr>
          <w:rFonts w:ascii="宋体" w:hAnsi="宋体" w:cs="宋体"/>
          <w:color w:val="auto"/>
          <w:szCs w:val="21"/>
          <w:highlight w:val="none"/>
        </w:rPr>
      </w:pPr>
      <w:r>
        <w:rPr>
          <w:rFonts w:hint="eastAsia" w:ascii="宋体" w:hAnsi="宋体" w:cs="宋体"/>
          <w:color w:val="auto"/>
          <w:szCs w:val="21"/>
          <w:highlight w:val="none"/>
        </w:rPr>
        <w:t>17.4本合同在执行过程中，如随项目的深化，如合同内容需修改或追加补充，应经甲方、乙方协商，并签署书面修改或补充协议。该协议将作为本合同不可分割的一部分。</w:t>
      </w:r>
    </w:p>
    <w:p w14:paraId="682DEBBA">
      <w:pPr>
        <w:pStyle w:val="23"/>
        <w:spacing w:line="360" w:lineRule="auto"/>
        <w:ind w:left="210" w:firstLine="21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bidi="ar-SA"/>
        </w:rPr>
        <w:t>17.5本合同应按照中华人民共和国的现行法律进行解释。</w:t>
      </w:r>
    </w:p>
    <w:p w14:paraId="56FAEB56">
      <w:pPr>
        <w:pStyle w:val="23"/>
        <w:spacing w:line="360" w:lineRule="auto"/>
        <w:ind w:left="210" w:firstLine="210"/>
        <w:rPr>
          <w:rFonts w:hAnsi="宋体"/>
          <w:color w:val="auto"/>
          <w:sz w:val="21"/>
          <w:highlight w:val="none"/>
        </w:rPr>
      </w:pPr>
      <w:r>
        <w:rPr>
          <w:rFonts w:hint="eastAsia" w:hAnsi="宋体"/>
          <w:color w:val="auto"/>
          <w:sz w:val="21"/>
          <w:highlight w:val="none"/>
        </w:rPr>
        <w:t>甲方：                                   乙方：</w:t>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 xml:space="preserve">    </w:t>
      </w:r>
    </w:p>
    <w:p w14:paraId="10A82F9B">
      <w:pPr>
        <w:pStyle w:val="23"/>
        <w:spacing w:line="360" w:lineRule="auto"/>
        <w:rPr>
          <w:rFonts w:hAnsi="宋体"/>
          <w:color w:val="auto"/>
          <w:sz w:val="21"/>
          <w:highlight w:val="none"/>
        </w:rPr>
      </w:pPr>
      <w:r>
        <w:rPr>
          <w:rFonts w:hint="eastAsia" w:hAnsi="宋体"/>
          <w:color w:val="auto"/>
          <w:sz w:val="21"/>
          <w:highlight w:val="none"/>
        </w:rPr>
        <w:t xml:space="preserve">    地址：</w:t>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ab/>
      </w:r>
      <w:r>
        <w:rPr>
          <w:rFonts w:hint="eastAsia" w:hAnsi="宋体"/>
          <w:color w:val="auto"/>
          <w:sz w:val="21"/>
          <w:highlight w:val="none"/>
        </w:rPr>
        <w:t xml:space="preserve">                     地址： </w:t>
      </w:r>
    </w:p>
    <w:p w14:paraId="5865DB17">
      <w:pPr>
        <w:pStyle w:val="23"/>
        <w:spacing w:line="360" w:lineRule="auto"/>
        <w:rPr>
          <w:rFonts w:hAnsi="宋体"/>
          <w:color w:val="auto"/>
          <w:sz w:val="21"/>
          <w:highlight w:val="none"/>
        </w:rPr>
      </w:pPr>
      <w:r>
        <w:rPr>
          <w:rFonts w:hint="eastAsia" w:hAnsi="宋体"/>
          <w:color w:val="auto"/>
          <w:sz w:val="21"/>
          <w:highlight w:val="none"/>
        </w:rPr>
        <w:t xml:space="preserve">    法定代表人或授权代表：                   法定代表人或授权代表：</w:t>
      </w:r>
    </w:p>
    <w:p w14:paraId="0C3DEDE6">
      <w:pPr>
        <w:pStyle w:val="23"/>
        <w:spacing w:line="360" w:lineRule="auto"/>
        <w:rPr>
          <w:rFonts w:hAnsi="宋体"/>
          <w:color w:val="auto"/>
          <w:sz w:val="21"/>
          <w:highlight w:val="none"/>
        </w:rPr>
      </w:pPr>
      <w:r>
        <w:rPr>
          <w:rFonts w:hint="eastAsia" w:hAnsi="宋体"/>
          <w:color w:val="auto"/>
          <w:sz w:val="21"/>
          <w:highlight w:val="none"/>
        </w:rPr>
        <w:t xml:space="preserve">    联系电话：                               联系电话：</w:t>
      </w:r>
    </w:p>
    <w:p w14:paraId="4FF65EA8">
      <w:pPr>
        <w:pStyle w:val="23"/>
        <w:spacing w:line="360" w:lineRule="auto"/>
        <w:ind w:firstLine="420"/>
        <w:rPr>
          <w:rFonts w:hAnsi="宋体"/>
          <w:color w:val="auto"/>
          <w:sz w:val="21"/>
          <w:highlight w:val="none"/>
        </w:rPr>
      </w:pPr>
      <w:r>
        <w:rPr>
          <w:rFonts w:hint="eastAsia" w:hAnsi="宋体"/>
          <w:color w:val="auto"/>
          <w:sz w:val="21"/>
          <w:highlight w:val="none"/>
        </w:rPr>
        <w:t>日期：      年    月    日               日期：      年    月    日</w:t>
      </w:r>
    </w:p>
    <w:p w14:paraId="1376DD28">
      <w:pPr>
        <w:pStyle w:val="23"/>
        <w:spacing w:line="360" w:lineRule="auto"/>
        <w:rPr>
          <w:rFonts w:hint="eastAsia" w:hAnsi="宋体" w:eastAsia="宋体"/>
          <w:color w:val="auto"/>
          <w:sz w:val="21"/>
          <w:highlight w:val="none"/>
          <w:lang w:eastAsia="zh-CN"/>
        </w:rPr>
      </w:pPr>
      <w:r>
        <w:rPr>
          <w:rFonts w:hint="eastAsia" w:hAnsi="宋体"/>
          <w:color w:val="auto"/>
          <w:sz w:val="21"/>
          <w:highlight w:val="none"/>
        </w:rPr>
        <w:t xml:space="preserve">    见证方：</w:t>
      </w:r>
      <w:r>
        <w:rPr>
          <w:rFonts w:hint="eastAsia" w:hAnsi="宋体"/>
          <w:color w:val="auto"/>
          <w:sz w:val="21"/>
          <w:highlight w:val="none"/>
          <w:lang w:eastAsia="zh-CN"/>
        </w:rPr>
        <w:t>江苏皋诚工程项目管理有限公司扬州分公司</w:t>
      </w:r>
    </w:p>
    <w:p w14:paraId="18C423B0">
      <w:pPr>
        <w:pStyle w:val="23"/>
        <w:spacing w:line="360" w:lineRule="auto"/>
        <w:ind w:firstLine="420"/>
        <w:rPr>
          <w:rFonts w:hAnsi="宋体"/>
          <w:color w:val="auto"/>
          <w:sz w:val="21"/>
          <w:highlight w:val="none"/>
        </w:rPr>
      </w:pPr>
      <w:r>
        <w:rPr>
          <w:rFonts w:hint="eastAsia" w:hAnsi="宋体"/>
          <w:color w:val="auto"/>
          <w:sz w:val="21"/>
          <w:highlight w:val="none"/>
        </w:rPr>
        <w:t>项目经办人：</w:t>
      </w:r>
    </w:p>
    <w:p w14:paraId="41E322CD">
      <w:pPr>
        <w:pStyle w:val="23"/>
        <w:spacing w:line="360" w:lineRule="auto"/>
        <w:ind w:firstLine="420"/>
        <w:rPr>
          <w:rFonts w:hAnsi="宋体"/>
          <w:color w:val="auto"/>
          <w:sz w:val="21"/>
          <w:highlight w:val="none"/>
        </w:rPr>
      </w:pPr>
      <w:r>
        <w:rPr>
          <w:rFonts w:hint="eastAsia" w:hAnsi="宋体"/>
          <w:color w:val="auto"/>
          <w:sz w:val="21"/>
          <w:highlight w:val="none"/>
        </w:rPr>
        <w:t>日期：     年   月   日</w:t>
      </w:r>
    </w:p>
    <w:p w14:paraId="6453665C">
      <w:pPr>
        <w:pStyle w:val="23"/>
        <w:spacing w:line="360" w:lineRule="auto"/>
        <w:ind w:firstLine="420"/>
        <w:rPr>
          <w:rFonts w:hAnsi="宋体"/>
          <w:color w:val="auto"/>
          <w:sz w:val="21"/>
          <w:highlight w:val="none"/>
        </w:rPr>
        <w:sectPr>
          <w:headerReference r:id="rId6" w:type="default"/>
          <w:footerReference r:id="rId7" w:type="default"/>
          <w:pgSz w:w="11906" w:h="16838"/>
          <w:pgMar w:top="1440" w:right="1463" w:bottom="1440" w:left="1463" w:header="851" w:footer="992" w:gutter="0"/>
          <w:cols w:space="720" w:num="1"/>
          <w:docGrid w:linePitch="360" w:charSpace="0"/>
        </w:sectPr>
      </w:pPr>
    </w:p>
    <w:p w14:paraId="74061334">
      <w:pPr>
        <w:spacing w:before="240" w:after="240"/>
        <w:jc w:val="center"/>
        <w:rPr>
          <w:rFonts w:ascii="宋体" w:hAnsi="宋体" w:cs="宋体"/>
          <w:b/>
          <w:bCs/>
          <w:color w:val="auto"/>
          <w:spacing w:val="30"/>
          <w:szCs w:val="21"/>
          <w:highlight w:val="none"/>
        </w:rPr>
      </w:pPr>
      <w:r>
        <w:rPr>
          <w:rFonts w:hint="eastAsia" w:ascii="宋体" w:hAnsi="宋体" w:cs="宋体"/>
          <w:b/>
          <w:bCs/>
          <w:color w:val="auto"/>
          <w:spacing w:val="30"/>
          <w:szCs w:val="21"/>
          <w:highlight w:val="none"/>
        </w:rPr>
        <w:t>工程质量保修书</w:t>
      </w:r>
    </w:p>
    <w:p w14:paraId="7831C274">
      <w:pPr>
        <w:pStyle w:val="320"/>
        <w:keepNext w:val="0"/>
        <w:keepLines w:val="0"/>
        <w:pageBreakBefore w:val="0"/>
        <w:widowControl w:val="0"/>
        <w:spacing w:before="0" w:after="0" w:line="440" w:lineRule="exact"/>
        <w:ind w:left="0" w:right="0" w:firstLine="42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发包人(甲方)： </w:t>
      </w:r>
    </w:p>
    <w:p w14:paraId="7DFF2036">
      <w:pPr>
        <w:pStyle w:val="320"/>
        <w:keepNext w:val="0"/>
        <w:keepLines w:val="0"/>
        <w:pageBreakBefore w:val="0"/>
        <w:widowControl w:val="0"/>
        <w:spacing w:before="0" w:after="0" w:line="440" w:lineRule="exact"/>
        <w:ind w:left="0" w:right="0" w:firstLine="420"/>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cs="宋体"/>
          <w:color w:val="auto"/>
          <w:sz w:val="21"/>
          <w:szCs w:val="21"/>
          <w:highlight w:val="none"/>
          <w:lang w:val="en-US" w:eastAsia="zh-CN"/>
        </w:rPr>
        <w:t>已</w:t>
      </w:r>
      <w:r>
        <w:rPr>
          <w:rFonts w:hint="eastAsia" w:ascii="宋体" w:hAnsi="宋体" w:eastAsia="宋体" w:cs="宋体"/>
          <w:color w:val="auto"/>
          <w:sz w:val="21"/>
          <w:szCs w:val="21"/>
          <w:highlight w:val="none"/>
        </w:rPr>
        <w:t>方)：</w:t>
      </w:r>
    </w:p>
    <w:p w14:paraId="0611B7FD">
      <w:pPr>
        <w:pStyle w:val="320"/>
        <w:keepNext w:val="0"/>
        <w:keepLines w:val="0"/>
        <w:pageBreakBefore w:val="0"/>
        <w:widowControl w:val="0"/>
        <w:spacing w:before="0" w:after="0" w:line="440" w:lineRule="exact"/>
        <w:ind w:left="0" w:right="0" w:firstLine="42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甲乙双方根据《中华人民共和国建筑法》、《建设工程质量管理条例》和《房屋建筑工程质量保修办法》，经协商一致，对</w:t>
      </w:r>
      <w:r>
        <w:rPr>
          <w:rFonts w:hint="eastAsia" w:ascii="宋体" w:hAnsi="宋体" w:cs="宋体"/>
          <w:color w:val="auto"/>
          <w:sz w:val="21"/>
          <w:szCs w:val="21"/>
          <w:highlight w:val="none"/>
          <w:u w:val="single"/>
          <w:lang w:eastAsia="zh-CN"/>
        </w:rPr>
        <w:t>学校食堂、实训楼、宿舍等内外墙粉刷、顶层防水及办公区吊顶项目</w:t>
      </w:r>
      <w:r>
        <w:rPr>
          <w:rFonts w:hint="eastAsia" w:ascii="宋体" w:hAnsi="宋体" w:eastAsia="宋体" w:cs="宋体"/>
          <w:color w:val="auto"/>
          <w:sz w:val="21"/>
          <w:szCs w:val="21"/>
          <w:highlight w:val="none"/>
        </w:rPr>
        <w:t>签订工程质量保修书。</w:t>
      </w:r>
    </w:p>
    <w:p w14:paraId="274B9B3C">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一、工程质量保修范围和内容</w:t>
      </w:r>
    </w:p>
    <w:p w14:paraId="3B31F05B">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承包人在质量保修期内，按照有关法律规定和合同约定，承担本工程质量保修责任。</w:t>
      </w:r>
    </w:p>
    <w:p w14:paraId="2E2E59FD">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质量保修范围内包括合同约定的全部承包项目。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1"/>
          <w:szCs w:val="21"/>
          <w:highlight w:val="none"/>
          <w:u w:val="single"/>
          <w:shd w:val="clear" w:color="auto" w:fill="FFFFFF"/>
        </w:rPr>
        <w:t>凡属乙方加工及施工工艺、施工方法及材料质量等质量问题造成的需返工修补的情况。</w:t>
      </w:r>
    </w:p>
    <w:p w14:paraId="3D16774B">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二、质量保修期</w:t>
      </w:r>
    </w:p>
    <w:p w14:paraId="54A42DFC">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1、质量保修期从工程实际竣工之日起开始计算。分单项竣工验收的工程，按单项工程分别计算质量保修期。双方根据《建设工程质量管理条例》及有关规定，约定本工程的质量保修期如下：</w:t>
      </w:r>
    </w:p>
    <w:p w14:paraId="7DE079A2">
      <w:pPr>
        <w:pStyle w:val="50"/>
        <w:keepNext w:val="0"/>
        <w:keepLines w:val="0"/>
        <w:pageBreakBefore w:val="0"/>
        <w:widowControl w:val="0"/>
        <w:spacing w:line="440" w:lineRule="exact"/>
        <w:ind w:firstLine="420"/>
        <w:jc w:val="left"/>
        <w:rPr>
          <w:rFonts w:hint="eastAsia" w:hAnsi="宋体"/>
          <w:b w:val="0"/>
          <w:bCs/>
          <w:color w:val="auto"/>
          <w:szCs w:val="21"/>
          <w:highlight w:val="none"/>
          <w:u w:val="none"/>
          <w:lang w:val="en-US" w:eastAsia="zh-CN"/>
        </w:rPr>
      </w:pPr>
      <w:r>
        <w:rPr>
          <w:rFonts w:hint="eastAsia" w:ascii="宋体" w:hAnsi="宋体" w:eastAsia="宋体" w:cs="宋体"/>
          <w:color w:val="auto"/>
          <w:sz w:val="21"/>
          <w:szCs w:val="21"/>
          <w:highlight w:val="none"/>
          <w:shd w:val="clear" w:color="auto" w:fill="FFFFFF"/>
          <w:lang w:val="en-US" w:eastAsia="zh-CN"/>
        </w:rPr>
        <w:t>1.1本项目防水</w:t>
      </w:r>
      <w:r>
        <w:rPr>
          <w:rFonts w:hint="eastAsia" w:ascii="宋体" w:hAnsi="宋体" w:eastAsia="宋体" w:cs="宋体"/>
          <w:color w:val="auto"/>
          <w:sz w:val="21"/>
          <w:szCs w:val="21"/>
          <w:highlight w:val="none"/>
          <w:shd w:val="clear" w:color="auto" w:fill="FFFFFF"/>
        </w:rPr>
        <w:t>工程质量保修期为</w:t>
      </w:r>
      <w:r>
        <w:rPr>
          <w:rFonts w:hint="eastAsia" w:ascii="宋体" w:hAnsi="宋体" w:eastAsia="宋体" w:cs="宋体"/>
          <w:color w:val="auto"/>
          <w:sz w:val="21"/>
          <w:szCs w:val="21"/>
          <w:highlight w:val="none"/>
          <w:shd w:val="clear" w:color="auto" w:fill="FFFFFF"/>
          <w:lang w:val="en-US" w:eastAsia="zh-CN"/>
        </w:rPr>
        <w:t xml:space="preserve"> 5 年，</w:t>
      </w:r>
      <w:r>
        <w:rPr>
          <w:rFonts w:hint="eastAsia" w:ascii="宋体" w:hAnsi="宋体" w:eastAsia="宋体" w:cs="宋体"/>
          <w:color w:val="auto"/>
          <w:sz w:val="21"/>
          <w:szCs w:val="21"/>
          <w:highlight w:val="none"/>
          <w:shd w:val="clear" w:color="auto" w:fill="FFFFFF"/>
        </w:rPr>
        <w:t>从工程竣工验收合格之日起</w:t>
      </w:r>
      <w:r>
        <w:rPr>
          <w:rFonts w:hint="eastAsia" w:hAnsi="宋体" w:cs="宋体"/>
          <w:color w:val="auto"/>
          <w:sz w:val="21"/>
          <w:szCs w:val="21"/>
          <w:highlight w:val="none"/>
          <w:shd w:val="clear" w:color="auto" w:fill="FFFFFF"/>
          <w:lang w:eastAsia="zh-CN"/>
        </w:rPr>
        <w:t>，</w:t>
      </w:r>
      <w:r>
        <w:rPr>
          <w:rFonts w:hint="eastAsia"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年内因工程质量问题所发生的材料费、保修人工费等均由乙方负责免费维修和更换</w:t>
      </w:r>
      <w:r>
        <w:rPr>
          <w:rFonts w:hint="eastAsia" w:ascii="宋体" w:hAnsi="宋体"/>
          <w:b w:val="0"/>
          <w:bCs/>
          <w:color w:val="auto"/>
          <w:szCs w:val="21"/>
          <w:highlight w:val="none"/>
          <w:u w:val="none"/>
          <w:lang w:val="en-US" w:eastAsia="zh-CN"/>
        </w:rPr>
        <w:t>，</w:t>
      </w:r>
      <w:r>
        <w:rPr>
          <w:rFonts w:hint="eastAsia" w:ascii="宋体" w:hAnsi="宋体" w:eastAsia="宋体" w:cs="宋体"/>
          <w:color w:val="auto"/>
          <w:sz w:val="21"/>
          <w:szCs w:val="21"/>
          <w:highlight w:val="none"/>
          <w:shd w:val="clear" w:color="auto" w:fill="FFFFFF"/>
        </w:rPr>
        <w:t>。</w:t>
      </w:r>
    </w:p>
    <w:p w14:paraId="62A36274">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本</w:t>
      </w:r>
      <w:r>
        <w:rPr>
          <w:rFonts w:hint="eastAsia" w:hAnsi="宋体" w:cs="宋体"/>
          <w:color w:val="auto"/>
          <w:sz w:val="21"/>
          <w:szCs w:val="21"/>
          <w:highlight w:val="none"/>
          <w:shd w:val="clear" w:color="auto" w:fill="FFFFFF"/>
          <w:lang w:val="en-US" w:eastAsia="zh-CN"/>
        </w:rPr>
        <w:t>项目其他</w:t>
      </w:r>
      <w:r>
        <w:rPr>
          <w:rFonts w:hint="eastAsia" w:ascii="宋体" w:hAnsi="宋体" w:eastAsia="宋体" w:cs="宋体"/>
          <w:color w:val="auto"/>
          <w:sz w:val="21"/>
          <w:szCs w:val="21"/>
          <w:highlight w:val="none"/>
          <w:shd w:val="clear" w:color="auto" w:fill="FFFFFF"/>
        </w:rPr>
        <w:t>工程质量保修期为</w:t>
      </w:r>
      <w:r>
        <w:rPr>
          <w:rFonts w:hint="eastAsia" w:hAnsi="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从工程竣工验收合格之日起</w:t>
      </w:r>
      <w:r>
        <w:rPr>
          <w:rFonts w:hint="eastAsia" w:hAnsi="宋体" w:cs="宋体"/>
          <w:color w:val="auto"/>
          <w:sz w:val="21"/>
          <w:szCs w:val="21"/>
          <w:highlight w:val="none"/>
          <w:shd w:val="clear" w:color="auto" w:fill="FFFFFF"/>
          <w:lang w:eastAsia="zh-CN"/>
        </w:rPr>
        <w:t>，</w:t>
      </w:r>
      <w:r>
        <w:rPr>
          <w:rFonts w:hint="eastAsia" w:hAnsi="宋体" w:cs="宋体"/>
          <w:color w:val="auto"/>
          <w:sz w:val="21"/>
          <w:szCs w:val="21"/>
          <w:highlight w:val="none"/>
          <w:u w:val="single"/>
          <w:shd w:val="clear" w:color="auto" w:fill="FFFFFF"/>
          <w:lang w:val="en-US" w:eastAsia="zh-CN"/>
        </w:rPr>
        <w:t xml:space="preserve">  </w:t>
      </w:r>
      <w:r>
        <w:rPr>
          <w:rFonts w:hint="eastAsia" w:ascii="宋体" w:hAnsi="宋体" w:eastAsia="宋体" w:cs="宋体"/>
          <w:color w:val="auto"/>
          <w:sz w:val="21"/>
          <w:szCs w:val="21"/>
          <w:highlight w:val="none"/>
          <w:shd w:val="clear" w:color="auto" w:fill="FFFFFF"/>
        </w:rPr>
        <w:t>年内因工程质量问题所发生的材料费、保修人工费等均由乙方负责免费维修和更换。</w:t>
      </w:r>
    </w:p>
    <w:p w14:paraId="06063614">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2、在乙方对质量保证期内出现的质量问题进行维修时，乙方应相应延长维修或更换部分的质量保证期。</w:t>
      </w:r>
    </w:p>
    <w:p w14:paraId="2EB91D98">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3、质量保证期内因甲方原因或自然灾害而造成的损坏，乙方不承担保修责任，但乙方有义务对此进行维修，维修发生的材料和人工费用由甲方承担。</w:t>
      </w:r>
    </w:p>
    <w:p w14:paraId="45127C8D">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三、缺陷责任期</w:t>
      </w:r>
    </w:p>
    <w:p w14:paraId="6DF969F1">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工程缺陷责任期为</w:t>
      </w:r>
      <w:r>
        <w:rPr>
          <w:rFonts w:hint="eastAsia" w:ascii="宋体" w:hAnsi="宋体" w:eastAsia="宋体" w:cs="宋体"/>
          <w:color w:val="auto"/>
          <w:sz w:val="21"/>
          <w:szCs w:val="21"/>
          <w:highlight w:val="none"/>
          <w:u w:val="single"/>
          <w:shd w:val="clear" w:color="auto" w:fill="FFFFFF"/>
        </w:rPr>
        <w:t xml:space="preserve">  24  </w:t>
      </w:r>
      <w:r>
        <w:rPr>
          <w:rFonts w:hint="eastAsia" w:ascii="宋体" w:hAnsi="宋体" w:eastAsia="宋体" w:cs="宋体"/>
          <w:color w:val="auto"/>
          <w:sz w:val="21"/>
          <w:szCs w:val="21"/>
          <w:highlight w:val="none"/>
          <w:shd w:val="clear" w:color="auto" w:fill="FFFFFF"/>
        </w:rPr>
        <w:t>个月，缺陷责任期自工程竣工验收合格之日起计算。单位工程先于全部工程进行验收，单位工程缺陷责任期自单位工程验收合格之日起算。</w:t>
      </w:r>
    </w:p>
    <w:p w14:paraId="422AE5B1">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四、质量保修责任</w:t>
      </w:r>
    </w:p>
    <w:p w14:paraId="216DD85E">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hint="eastAsia"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属于保修范围、内容的项目，承包人应当在接到保修通知之日起7天内派人保修。承包人不在约定期限内派人保修的，发包人可以委托他人修理，保修费用从质量保修金内扣除。</w:t>
      </w:r>
    </w:p>
    <w:p w14:paraId="224507A8">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r>
        <w:rPr>
          <w:rFonts w:hint="eastAsia"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发生紧急事故需抢修的，承包人在接到事故通知后，应当立即到达事故现场抢修。非承包人施工质量引起的事故，费用由发包人承担。</w:t>
      </w:r>
    </w:p>
    <w:p w14:paraId="4106F65F">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w:t>
      </w:r>
      <w:r>
        <w:rPr>
          <w:rFonts w:hint="eastAsia"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在国家规定的工程合理使用年限内，承包人要确保工程质量。因承包人原因致使工程在合理使用年限内成人身和财产损害的，承包人应承担损害赔偿责任。</w:t>
      </w:r>
    </w:p>
    <w:p w14:paraId="2D4A6FF4">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w:t>
      </w:r>
      <w:r>
        <w:rPr>
          <w:rFonts w:hint="eastAsia"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F5FF3E5">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5</w:t>
      </w:r>
      <w:r>
        <w:rPr>
          <w:rFonts w:hint="eastAsia"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质量保修完成后，由发包人组织验收。</w:t>
      </w:r>
    </w:p>
    <w:p w14:paraId="567DAB0A">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五、保修费用</w:t>
      </w:r>
    </w:p>
    <w:p w14:paraId="3D201296">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保修费用由造成质量缺陷的责任方承担。</w:t>
      </w:r>
    </w:p>
    <w:p w14:paraId="351D2692">
      <w:pPr>
        <w:pStyle w:val="50"/>
        <w:keepNext w:val="0"/>
        <w:keepLines w:val="0"/>
        <w:pageBreakBefore w:val="0"/>
        <w:widowControl w:val="0"/>
        <w:spacing w:line="440" w:lineRule="exact"/>
        <w:ind w:firstLine="525"/>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六、双方约定的其他工程质量保修事项：</w:t>
      </w:r>
      <w:r>
        <w:rPr>
          <w:rFonts w:hint="eastAsia" w:ascii="宋体" w:hAnsi="宋体" w:eastAsia="宋体" w:cs="宋体"/>
          <w:color w:val="auto"/>
          <w:sz w:val="21"/>
          <w:szCs w:val="21"/>
          <w:highlight w:val="none"/>
          <w:u w:val="single"/>
          <w:shd w:val="clear" w:color="auto" w:fill="FFFFFF"/>
        </w:rPr>
        <w:t>保修期内因承包人不能及时履行保修义务，发包人有权另请第三方维修，费用按实际发生费用的2倍由承包人支付</w:t>
      </w:r>
      <w:r>
        <w:rPr>
          <w:rFonts w:hint="eastAsia" w:hAnsi="宋体" w:cs="宋体"/>
          <w:color w:val="auto"/>
          <w:sz w:val="21"/>
          <w:szCs w:val="21"/>
          <w:highlight w:val="none"/>
          <w:u w:val="single"/>
          <w:shd w:val="clear" w:color="auto" w:fill="FFFFFF"/>
          <w:lang w:eastAsia="zh-CN"/>
        </w:rPr>
        <w:t>。</w:t>
      </w:r>
      <w:r>
        <w:rPr>
          <w:rFonts w:hint="eastAsia" w:ascii="宋体" w:hAnsi="宋体" w:eastAsia="宋体" w:cs="宋体"/>
          <w:color w:val="auto"/>
          <w:sz w:val="21"/>
          <w:szCs w:val="21"/>
          <w:highlight w:val="none"/>
          <w:shd w:val="clear" w:color="auto" w:fill="FFFFFF"/>
        </w:rPr>
        <w:t xml:space="preserve">                                               </w:t>
      </w:r>
    </w:p>
    <w:p w14:paraId="6E0B66BE">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工程质量保修书由施工合同甲方、乙方在工程竣工验收前共同签署，作为施工合同附件，其有效期限至保修期满。</w:t>
      </w:r>
    </w:p>
    <w:p w14:paraId="3B723D0A">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发包人(公章)：                                  承包人(公章) ： </w:t>
      </w:r>
    </w:p>
    <w:p w14:paraId="29AFA0E1">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地  址：                                        地  址：</w:t>
      </w:r>
    </w:p>
    <w:p w14:paraId="6B5C0C36">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法定代表人(签字)：                              法定代表人(签字)：</w:t>
      </w:r>
    </w:p>
    <w:p w14:paraId="75B63104">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委托代理人(签字)：                              委托代理人(签字)：</w:t>
      </w:r>
    </w:p>
    <w:p w14:paraId="01D8F482">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电  话：                                        电  话：</w:t>
      </w:r>
    </w:p>
    <w:p w14:paraId="72F97E06">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传  真：                                        传  真：</w:t>
      </w:r>
    </w:p>
    <w:p w14:paraId="582EB900">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开户银行：                                      开户银行：     </w:t>
      </w:r>
    </w:p>
    <w:p w14:paraId="3F9A7F44">
      <w:pPr>
        <w:pStyle w:val="50"/>
        <w:keepNext w:val="0"/>
        <w:keepLines w:val="0"/>
        <w:pageBreakBefore w:val="0"/>
        <w:widowControl w:val="0"/>
        <w:spacing w:line="440" w:lineRule="exact"/>
        <w:ind w:firstLine="420"/>
        <w:jc w:val="left"/>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账  号：                                        账  号：</w:t>
      </w:r>
    </w:p>
    <w:p w14:paraId="5E6CEE6D">
      <w:pPr>
        <w:pStyle w:val="50"/>
        <w:keepNext w:val="0"/>
        <w:keepLines w:val="0"/>
        <w:pageBreakBefore w:val="0"/>
        <w:widowControl w:val="0"/>
        <w:spacing w:line="440" w:lineRule="exact"/>
        <w:ind w:firstLine="42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shd w:val="clear" w:color="auto" w:fill="FFFFFF"/>
        </w:rPr>
        <w:t>邮政编码：                                      邮政编码：</w:t>
      </w:r>
    </w:p>
    <w:p w14:paraId="4492DD27">
      <w:pPr>
        <w:spacing w:line="440" w:lineRule="exact"/>
        <w:ind w:firstLine="420"/>
        <w:contextualSpacing/>
        <w:jc w:val="right"/>
        <w:rPr>
          <w:rFonts w:ascii="宋体" w:hAnsi="宋体" w:cs="宋体"/>
          <w:color w:val="auto"/>
          <w:szCs w:val="21"/>
          <w:highlight w:val="none"/>
        </w:rPr>
      </w:pPr>
    </w:p>
    <w:p w14:paraId="7D3A6E94">
      <w:pPr>
        <w:spacing w:line="440" w:lineRule="exact"/>
        <w:ind w:firstLine="420"/>
        <w:contextualSpacing/>
        <w:jc w:val="right"/>
        <w:rPr>
          <w:rFonts w:ascii="宋体" w:hAnsi="宋体" w:cs="宋体"/>
          <w:color w:val="auto"/>
          <w:szCs w:val="21"/>
          <w:highlight w:val="none"/>
        </w:rPr>
        <w:sectPr>
          <w:pgSz w:w="11906" w:h="16838"/>
          <w:pgMar w:top="1440" w:right="1463" w:bottom="1440" w:left="1463" w:header="851" w:footer="992" w:gutter="0"/>
          <w:cols w:space="720" w:num="1"/>
          <w:docGrid w:linePitch="360" w:charSpace="0"/>
        </w:sectPr>
      </w:pPr>
      <w:r>
        <w:rPr>
          <w:rFonts w:hint="eastAsia" w:ascii="宋体" w:hAnsi="宋体" w:cs="宋体"/>
          <w:color w:val="auto"/>
          <w:szCs w:val="21"/>
          <w:highlight w:val="none"/>
        </w:rPr>
        <w:t>日期: 2026年  月  日</w:t>
      </w:r>
    </w:p>
    <w:p w14:paraId="5AA478EE">
      <w:pPr>
        <w:spacing w:before="240" w:after="240"/>
        <w:jc w:val="center"/>
        <w:rPr>
          <w:rFonts w:ascii="宋体" w:hAnsi="宋体" w:cs="宋体"/>
          <w:b/>
          <w:bCs/>
          <w:color w:val="auto"/>
          <w:spacing w:val="30"/>
          <w:szCs w:val="21"/>
          <w:highlight w:val="none"/>
        </w:rPr>
      </w:pPr>
      <w:r>
        <w:rPr>
          <w:rFonts w:hint="eastAsia" w:ascii="宋体" w:hAnsi="宋体" w:cs="宋体"/>
          <w:b/>
          <w:bCs/>
          <w:color w:val="auto"/>
          <w:spacing w:val="30"/>
          <w:szCs w:val="21"/>
          <w:highlight w:val="none"/>
        </w:rPr>
        <w:t>施工单位安全施工承诺书</w:t>
      </w:r>
    </w:p>
    <w:p w14:paraId="7140D5DA">
      <w:pPr>
        <w:spacing w:line="360" w:lineRule="auto"/>
        <w:ind w:firstLine="420"/>
        <w:rPr>
          <w:rFonts w:hAnsi="宋体"/>
          <w:bCs/>
          <w:color w:val="auto"/>
          <w:highlight w:val="none"/>
        </w:rPr>
      </w:pPr>
      <w:r>
        <w:rPr>
          <w:rFonts w:hint="eastAsia" w:hAnsi="宋体"/>
          <w:bCs/>
          <w:color w:val="auto"/>
          <w:highlight w:val="none"/>
        </w:rPr>
        <w:t xml:space="preserve">本单位郑重承诺∶在___________工程施工过程中，严格遵守《建筑法》、《安全生产法》、《建设工程安全生产管理条例》、《安全生产许可证条例》、《施工企业安全生产评价标准》、《建筑施工安全检查标准》、《危险性较大的分部分项工程安全管理规定》《建筑工程施工发包与承包违法行为认定查处管理办法》等法律法规规章、规范标准和各项规定。 </w:t>
      </w:r>
    </w:p>
    <w:p w14:paraId="1D854CCB">
      <w:pPr>
        <w:spacing w:line="360" w:lineRule="auto"/>
        <w:ind w:firstLine="420"/>
        <w:rPr>
          <w:rFonts w:hAnsi="宋体"/>
          <w:bCs/>
          <w:color w:val="auto"/>
          <w:highlight w:val="none"/>
        </w:rPr>
      </w:pPr>
      <w:r>
        <w:rPr>
          <w:rFonts w:hint="eastAsia" w:hAnsi="宋体"/>
          <w:bCs/>
          <w:color w:val="auto"/>
          <w:highlight w:val="none"/>
        </w:rPr>
        <w:t xml:space="preserve">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切实履行总承包单位对施工现场的安全生产负总责的法定义务，决不以包代管，决不违法分包、转包和挂靠，确保工程质量和施工安全。 </w:t>
      </w:r>
    </w:p>
    <w:p w14:paraId="7830E0FB">
      <w:pPr>
        <w:spacing w:line="360" w:lineRule="auto"/>
        <w:ind w:firstLine="420"/>
        <w:rPr>
          <w:rFonts w:hAnsi="宋体"/>
          <w:bCs/>
          <w:color w:val="auto"/>
          <w:highlight w:val="none"/>
        </w:rPr>
      </w:pPr>
      <w:r>
        <w:rPr>
          <w:rFonts w:hint="eastAsia" w:hAnsi="宋体"/>
          <w:bCs/>
          <w:color w:val="auto"/>
          <w:highlight w:val="none"/>
        </w:rPr>
        <w:t>单位法定代表人</w:t>
      </w:r>
      <w:r>
        <w:rPr>
          <w:rFonts w:hint="eastAsia" w:hAnsi="宋体"/>
          <w:bCs/>
          <w:color w:val="auto"/>
          <w:highlight w:val="none"/>
          <w:u w:val="single"/>
        </w:rPr>
        <w:t xml:space="preserve">         </w:t>
      </w:r>
      <w:r>
        <w:rPr>
          <w:rFonts w:hint="eastAsia" w:hAnsi="宋体"/>
          <w:bCs/>
          <w:color w:val="auto"/>
          <w:highlight w:val="none"/>
        </w:rPr>
        <w:t>授权</w:t>
      </w:r>
      <w:r>
        <w:rPr>
          <w:rFonts w:hint="eastAsia" w:hAnsi="宋体"/>
          <w:bCs/>
          <w:color w:val="auto"/>
          <w:highlight w:val="none"/>
          <w:u w:val="single"/>
        </w:rPr>
        <w:t xml:space="preserve">            </w:t>
      </w:r>
      <w:r>
        <w:rPr>
          <w:rFonts w:hint="eastAsia" w:hAnsi="宋体"/>
          <w:bCs/>
          <w:color w:val="auto"/>
          <w:highlight w:val="none"/>
        </w:rPr>
        <w:t>为本工程项目经理。</w:t>
      </w:r>
    </w:p>
    <w:p w14:paraId="20F13DC9">
      <w:pPr>
        <w:spacing w:line="360" w:lineRule="auto"/>
        <w:ind w:firstLine="420"/>
        <w:rPr>
          <w:rFonts w:hAnsi="宋体"/>
          <w:bCs/>
          <w:color w:val="auto"/>
          <w:highlight w:val="none"/>
        </w:rPr>
      </w:pPr>
      <w:r>
        <w:rPr>
          <w:rFonts w:hint="eastAsia" w:hAnsi="宋体"/>
          <w:bCs/>
          <w:color w:val="auto"/>
          <w:highlight w:val="none"/>
        </w:rPr>
        <w:t xml:space="preserve">承诺期内，若违反上述承诺内容，本企业和承诺人愿意接受建设行政主管部门及其他有关部门依据有关法律法规给予的处罚。 </w:t>
      </w:r>
    </w:p>
    <w:tbl>
      <w:tblPr>
        <w:tblStyle w:val="43"/>
        <w:tblpPr w:leftFromText="180" w:rightFromText="180" w:vertAnchor="text" w:horzAnchor="page" w:tblpXSpec="center" w:tblpY="466"/>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701"/>
        <w:gridCol w:w="1559"/>
        <w:gridCol w:w="1559"/>
      </w:tblGrid>
      <w:tr w14:paraId="0E62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tcPr>
          <w:p w14:paraId="5818760A">
            <w:pPr>
              <w:pStyle w:val="1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w:t>
            </w:r>
          </w:p>
        </w:tc>
        <w:tc>
          <w:tcPr>
            <w:tcW w:w="1701" w:type="dxa"/>
            <w:noWrap w:val="0"/>
          </w:tcPr>
          <w:p w14:paraId="7939928A">
            <w:pPr>
              <w:pStyle w:val="16"/>
              <w:jc w:val="center"/>
              <w:rPr>
                <w:rFonts w:ascii="宋体" w:hAnsi="宋体" w:eastAsia="宋体" w:cs="宋体"/>
                <w:color w:val="auto"/>
                <w:sz w:val="21"/>
                <w:szCs w:val="21"/>
                <w:highlight w:val="none"/>
              </w:rPr>
            </w:pPr>
          </w:p>
        </w:tc>
        <w:tc>
          <w:tcPr>
            <w:tcW w:w="1559" w:type="dxa"/>
            <w:noWrap w:val="0"/>
          </w:tcPr>
          <w:p w14:paraId="40883CDD">
            <w:pPr>
              <w:pStyle w:val="1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承诺日期</w:t>
            </w:r>
          </w:p>
        </w:tc>
        <w:tc>
          <w:tcPr>
            <w:tcW w:w="1559" w:type="dxa"/>
            <w:noWrap w:val="0"/>
          </w:tcPr>
          <w:p w14:paraId="24B14259">
            <w:pPr>
              <w:pStyle w:val="16"/>
              <w:jc w:val="center"/>
              <w:rPr>
                <w:rFonts w:ascii="宋体" w:hAnsi="宋体" w:eastAsia="宋体" w:cs="宋体"/>
                <w:color w:val="auto"/>
                <w:sz w:val="21"/>
                <w:szCs w:val="21"/>
                <w:highlight w:val="none"/>
              </w:rPr>
            </w:pPr>
          </w:p>
        </w:tc>
      </w:tr>
      <w:tr w14:paraId="3D95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tcPr>
          <w:p w14:paraId="04D7CAE0">
            <w:pPr>
              <w:pStyle w:val="1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4819" w:type="dxa"/>
            <w:gridSpan w:val="3"/>
            <w:noWrap w:val="0"/>
          </w:tcPr>
          <w:p w14:paraId="24EC6772">
            <w:pPr>
              <w:pStyle w:val="16"/>
              <w:jc w:val="center"/>
              <w:rPr>
                <w:rFonts w:ascii="宋体" w:hAnsi="宋体" w:eastAsia="宋体" w:cs="宋体"/>
                <w:color w:val="auto"/>
                <w:sz w:val="21"/>
                <w:szCs w:val="21"/>
                <w:highlight w:val="none"/>
              </w:rPr>
            </w:pPr>
          </w:p>
        </w:tc>
      </w:tr>
      <w:tr w14:paraId="71E0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tcPr>
          <w:p w14:paraId="73D39287">
            <w:pPr>
              <w:pStyle w:val="1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项目经理（签名）</w:t>
            </w:r>
          </w:p>
        </w:tc>
        <w:tc>
          <w:tcPr>
            <w:tcW w:w="1701" w:type="dxa"/>
            <w:noWrap w:val="0"/>
          </w:tcPr>
          <w:p w14:paraId="0D762C79">
            <w:pPr>
              <w:pStyle w:val="16"/>
              <w:jc w:val="center"/>
              <w:rPr>
                <w:rFonts w:ascii="宋体" w:hAnsi="宋体" w:eastAsia="宋体" w:cs="宋体"/>
                <w:color w:val="auto"/>
                <w:sz w:val="21"/>
                <w:szCs w:val="21"/>
                <w:highlight w:val="none"/>
              </w:rPr>
            </w:pPr>
          </w:p>
        </w:tc>
        <w:tc>
          <w:tcPr>
            <w:tcW w:w="1559" w:type="dxa"/>
            <w:noWrap w:val="0"/>
          </w:tcPr>
          <w:p w14:paraId="1ECC01BF">
            <w:pPr>
              <w:pStyle w:val="1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承诺日期</w:t>
            </w:r>
          </w:p>
        </w:tc>
        <w:tc>
          <w:tcPr>
            <w:tcW w:w="1559" w:type="dxa"/>
            <w:noWrap w:val="0"/>
          </w:tcPr>
          <w:p w14:paraId="23BD64B6">
            <w:pPr>
              <w:pStyle w:val="16"/>
              <w:jc w:val="center"/>
              <w:rPr>
                <w:rFonts w:ascii="宋体" w:hAnsi="宋体" w:eastAsia="宋体" w:cs="宋体"/>
                <w:color w:val="auto"/>
                <w:sz w:val="21"/>
                <w:szCs w:val="21"/>
                <w:highlight w:val="none"/>
              </w:rPr>
            </w:pPr>
          </w:p>
        </w:tc>
      </w:tr>
      <w:tr w14:paraId="3B53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tcPr>
          <w:p w14:paraId="71D46AA6">
            <w:pPr>
              <w:pStyle w:val="1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4819" w:type="dxa"/>
            <w:gridSpan w:val="3"/>
            <w:noWrap w:val="0"/>
          </w:tcPr>
          <w:p w14:paraId="4318D1B7">
            <w:pPr>
              <w:pStyle w:val="16"/>
              <w:jc w:val="center"/>
              <w:rPr>
                <w:rFonts w:ascii="宋体" w:hAnsi="宋体" w:eastAsia="宋体" w:cs="宋体"/>
                <w:color w:val="auto"/>
                <w:sz w:val="21"/>
                <w:szCs w:val="21"/>
                <w:highlight w:val="none"/>
              </w:rPr>
            </w:pPr>
          </w:p>
        </w:tc>
      </w:tr>
    </w:tbl>
    <w:p w14:paraId="10635E7E">
      <w:pPr>
        <w:pStyle w:val="16"/>
        <w:rPr>
          <w:color w:val="auto"/>
          <w:highlight w:val="none"/>
        </w:rPr>
      </w:pPr>
    </w:p>
    <w:p w14:paraId="49FE129C">
      <w:pPr>
        <w:widowControl/>
        <w:spacing w:line="360" w:lineRule="auto"/>
        <w:ind w:firstLine="420"/>
        <w:jc w:val="right"/>
        <w:rPr>
          <w:rFonts w:hint="eastAsia" w:ascii="宋体" w:hAnsi="宋体" w:eastAsia="宋体" w:cs="Times New Roman"/>
          <w:szCs w:val="21"/>
          <w:highlight w:val="none"/>
        </w:rPr>
        <w:sectPr>
          <w:headerReference r:id="rId8" w:type="default"/>
          <w:footerReference r:id="rId9" w:type="default"/>
          <w:pgSz w:w="11906" w:h="16838"/>
          <w:pgMar w:top="1440" w:right="1800" w:bottom="1440" w:left="1800" w:header="851" w:footer="992" w:gutter="0"/>
          <w:cols w:space="720" w:num="1"/>
          <w:docGrid w:linePitch="360" w:charSpace="0"/>
        </w:sectPr>
      </w:pPr>
      <w:r>
        <w:rPr>
          <w:rFonts w:hint="eastAsia" w:ascii="宋体" w:hAnsi="宋体"/>
          <w:color w:val="auto"/>
          <w:szCs w:val="21"/>
          <w:highlight w:val="none"/>
        </w:rPr>
        <w:t>（单位公章）</w:t>
      </w:r>
    </w:p>
    <w:p w14:paraId="6D6EBEBB">
      <w:pPr>
        <w:pStyle w:val="256"/>
        <w:keepNext/>
        <w:keepLines/>
        <w:pageBreakBefore w:val="0"/>
        <w:widowControl w:val="0"/>
        <w:spacing w:before="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sz w:val="36"/>
          <w:szCs w:val="36"/>
          <w:highlight w:val="none"/>
        </w:rPr>
        <w:t>第四章 项目需求</w:t>
      </w:r>
      <w:bookmarkEnd w:id="24"/>
    </w:p>
    <w:p w14:paraId="7461C8DF">
      <w:pPr>
        <w:pageBreakBefore w:val="0"/>
        <w:widowControl w:val="0"/>
        <w:kinsoku/>
        <w:wordWrap/>
        <w:overflowPunct/>
        <w:topLinePunct w:val="0"/>
        <w:autoSpaceDE/>
        <w:autoSpaceDN/>
        <w:bidi w:val="0"/>
        <w:spacing w:beforeAutospacing="0" w:line="360" w:lineRule="auto"/>
        <w:ind w:firstLine="420"/>
        <w:textAlignment w:val="auto"/>
        <w:rPr>
          <w:rFonts w:hint="eastAsia" w:ascii="宋体" w:hAnsi="宋体" w:eastAsia="宋体" w:cs="宋体"/>
          <w:sz w:val="21"/>
          <w:szCs w:val="21"/>
          <w:highlight w:val="none"/>
        </w:rPr>
      </w:pPr>
      <w:bookmarkStart w:id="26" w:name="_Toc109304975"/>
      <w:r>
        <w:rPr>
          <w:rFonts w:hint="eastAsia" w:ascii="宋体" w:hAnsi="宋体" w:eastAsia="宋体" w:cs="宋体"/>
          <w:sz w:val="21"/>
          <w:szCs w:val="21"/>
          <w:highlight w:val="none"/>
        </w:rPr>
        <w:t>一、</w:t>
      </w:r>
      <w:r>
        <w:rPr>
          <w:rFonts w:hint="eastAsia" w:ascii="宋体" w:hAnsi="宋体" w:eastAsia="宋体" w:cs="宋体"/>
          <w:b/>
          <w:bCs/>
          <w:sz w:val="21"/>
          <w:szCs w:val="21"/>
          <w:highlight w:val="none"/>
        </w:rPr>
        <w:t>项目概况</w:t>
      </w:r>
    </w:p>
    <w:p w14:paraId="15EF3CD6">
      <w:pPr>
        <w:pageBreakBefore w:val="0"/>
        <w:widowControl w:val="0"/>
        <w:kinsoku/>
        <w:wordWrap/>
        <w:overflowPunct/>
        <w:topLinePunct w:val="0"/>
        <w:autoSpaceDE/>
        <w:autoSpaceDN/>
        <w:bidi w:val="0"/>
        <w:spacing w:line="360" w:lineRule="auto"/>
        <w:ind w:firstLine="42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val="en-US" w:eastAsia="zh-CN"/>
        </w:rPr>
        <w:t>JSZC-321000-NTGC-C2026-0008</w:t>
      </w:r>
    </w:p>
    <w:p w14:paraId="2826371E">
      <w:pPr>
        <w:pageBreakBefore w:val="0"/>
        <w:widowControl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学校食堂、实训楼、宿舍等内外墙粉刷、顶层防水及办公区吊顶项目</w:t>
      </w:r>
    </w:p>
    <w:p w14:paraId="26635086">
      <w:pPr>
        <w:pStyle w:val="49"/>
        <w:keepNext w:val="0"/>
        <w:keepLines w:val="0"/>
        <w:pageBreakBefore w:val="0"/>
        <w:widowControl w:val="0"/>
        <w:kinsoku/>
        <w:wordWrap/>
        <w:overflowPunct/>
        <w:topLinePunct w:val="0"/>
        <w:autoSpaceDE/>
        <w:autoSpaceDN/>
        <w:bidi w:val="0"/>
        <w:adjustRightInd/>
        <w:snapToGrid/>
        <w:spacing w:after="361" w:afterLines="100" w:line="360" w:lineRule="auto"/>
        <w:ind w:firstLine="539"/>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具体内容如下（详见工程量清单）：</w:t>
      </w:r>
    </w:p>
    <w:p w14:paraId="3D82A5AA">
      <w:pPr>
        <w:pageBreakBefore w:val="0"/>
        <w:widowControl w:val="0"/>
        <w:kinsoku/>
        <w:wordWrap/>
        <w:overflowPunct/>
        <w:topLinePunct w:val="0"/>
        <w:autoSpaceDE/>
        <w:autoSpaceDN/>
        <w:bidi w:val="0"/>
        <w:spacing w:line="360" w:lineRule="auto"/>
        <w:jc w:val="center"/>
        <w:textAlignment w:val="auto"/>
        <w:rPr>
          <w:rFonts w:hint="eastAsia" w:ascii="方正小标宋_GBK" w:hAnsi="方正小标宋_GBK" w:eastAsia="方正小标宋_GBK" w:cs="方正小标宋_GBK"/>
          <w:b/>
          <w:bCs/>
          <w:sz w:val="24"/>
          <w:szCs w:val="24"/>
          <w:lang w:val="en-US" w:eastAsia="zh-CN"/>
        </w:rPr>
      </w:pPr>
      <w:r>
        <w:rPr>
          <w:rFonts w:hint="eastAsia" w:ascii="方正小标宋_GBK" w:hAnsi="方正小标宋_GBK" w:eastAsia="方正小标宋_GBK" w:cs="方正小标宋_GBK"/>
          <w:b/>
          <w:bCs/>
          <w:sz w:val="24"/>
          <w:szCs w:val="24"/>
          <w:lang w:val="en-US" w:eastAsia="zh-CN"/>
        </w:rPr>
        <w:t>食堂区域出新改造</w:t>
      </w:r>
    </w:p>
    <w:p w14:paraId="5F40444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eastAsia="zh-CN"/>
        </w:rPr>
        <w:t>一、津园</w:t>
      </w:r>
      <w:r>
        <w:rPr>
          <w:rFonts w:hint="eastAsia" w:asciiTheme="minorEastAsia" w:hAnsiTheme="minorEastAsia" w:eastAsiaTheme="minorEastAsia" w:cstheme="minorEastAsia"/>
          <w:b/>
          <w:bCs/>
          <w:color w:val="auto"/>
          <w:sz w:val="21"/>
          <w:szCs w:val="21"/>
        </w:rPr>
        <w:t>内墙粉刷</w:t>
      </w:r>
    </w:p>
    <w:p w14:paraId="19C7F93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津园东西南北四个楼梯间各4层，多年未进行出新，特别是东侧楼梯原楼顶供水管从楼顶向下漏水导致内墙涂料脱落腐蚀严重</w:t>
      </w:r>
      <w:r>
        <w:rPr>
          <w:rFonts w:hint="eastAsia" w:asciiTheme="minorEastAsia" w:hAnsiTheme="minorEastAsia" w:eastAsiaTheme="minorEastAsia" w:cstheme="minorEastAsia"/>
          <w:color w:val="auto"/>
          <w:sz w:val="21"/>
          <w:szCs w:val="21"/>
          <w:lang w:eastAsia="zh-CN"/>
        </w:rPr>
        <w:t>。肉眼看到处</w:t>
      </w:r>
      <w:r>
        <w:rPr>
          <w:rFonts w:hint="eastAsia" w:asciiTheme="minorEastAsia" w:hAnsiTheme="minorEastAsia" w:eastAsiaTheme="minorEastAsia" w:cstheme="minorEastAsia"/>
          <w:color w:val="auto"/>
          <w:sz w:val="21"/>
          <w:szCs w:val="21"/>
        </w:rPr>
        <w:t>需要刷乳胶漆出新</w:t>
      </w:r>
      <w:r>
        <w:rPr>
          <w:rFonts w:hint="eastAsia" w:asciiTheme="minorEastAsia" w:hAnsiTheme="minorEastAsia" w:eastAsiaTheme="minorEastAsia" w:cstheme="minorEastAsia"/>
          <w:color w:val="auto"/>
          <w:sz w:val="21"/>
          <w:szCs w:val="21"/>
          <w:lang w:eastAsia="zh-CN"/>
        </w:rPr>
        <w:t>（部分原供水管道处的护套管需要切割防护管做复原处理）。</w:t>
      </w:r>
    </w:p>
    <w:p w14:paraId="695837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工艺要求：裂缝</w:t>
      </w:r>
      <w:r>
        <w:rPr>
          <w:rFonts w:hint="eastAsia" w:asciiTheme="minorEastAsia" w:hAnsiTheme="minorEastAsia" w:eastAsiaTheme="minorEastAsia" w:cstheme="minorEastAsia"/>
          <w:color w:val="auto"/>
          <w:sz w:val="21"/>
          <w:szCs w:val="21"/>
          <w:lang w:eastAsia="zh-CN"/>
        </w:rPr>
        <w:t>起皮腐蚀</w:t>
      </w:r>
      <w:r>
        <w:rPr>
          <w:rFonts w:hint="eastAsia" w:asciiTheme="minorEastAsia" w:hAnsiTheme="minorEastAsia" w:eastAsiaTheme="minorEastAsia" w:cstheme="minorEastAsia"/>
          <w:color w:val="auto"/>
          <w:sz w:val="21"/>
          <w:szCs w:val="21"/>
        </w:rPr>
        <w:t>处铲除原墙面到砂浆层挂网，批腻子2遍，刷乳胶漆2遍，其余</w:t>
      </w:r>
      <w:r>
        <w:rPr>
          <w:rFonts w:hint="eastAsia" w:asciiTheme="minorEastAsia" w:hAnsiTheme="minorEastAsia" w:eastAsiaTheme="minorEastAsia" w:cstheme="minorEastAsia"/>
          <w:color w:val="auto"/>
          <w:sz w:val="21"/>
          <w:szCs w:val="21"/>
          <w:lang w:eastAsia="zh-CN"/>
        </w:rPr>
        <w:t>清除灰尘滚刷两遍乳胶漆出新</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楼梯扶手原色油漆出新</w:t>
      </w:r>
      <w:r>
        <w:rPr>
          <w:rFonts w:hint="eastAsia" w:asciiTheme="minorEastAsia" w:hAnsiTheme="minorEastAsia" w:eastAsiaTheme="minorEastAsia" w:cstheme="minorEastAsia"/>
          <w:color w:val="auto"/>
          <w:sz w:val="21"/>
          <w:szCs w:val="21"/>
        </w:rPr>
        <w:t>。</w:t>
      </w:r>
    </w:p>
    <w:p w14:paraId="36F667D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eastAsia="zh-CN"/>
        </w:rPr>
        <w:t>二、</w:t>
      </w:r>
      <w:r>
        <w:rPr>
          <w:rFonts w:hint="eastAsia" w:asciiTheme="minorEastAsia" w:hAnsiTheme="minorEastAsia" w:eastAsiaTheme="minorEastAsia" w:cstheme="minorEastAsia"/>
          <w:b/>
          <w:bCs/>
          <w:color w:val="auto"/>
          <w:sz w:val="21"/>
          <w:szCs w:val="21"/>
        </w:rPr>
        <w:t>沁园食堂就餐环境</w:t>
      </w:r>
      <w:r>
        <w:rPr>
          <w:rFonts w:hint="eastAsia" w:asciiTheme="minorEastAsia" w:hAnsiTheme="minorEastAsia" w:eastAsiaTheme="minorEastAsia" w:cstheme="minorEastAsia"/>
          <w:b/>
          <w:bCs/>
          <w:color w:val="auto"/>
          <w:sz w:val="21"/>
          <w:szCs w:val="21"/>
          <w:lang w:eastAsia="zh-CN"/>
        </w:rPr>
        <w:t>出新</w:t>
      </w:r>
    </w:p>
    <w:p w14:paraId="4A4B27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食堂出餐窗口玻璃隔断多年未更新，不少铝合金框架风化变形导致玻璃结构稳定性受影响容易脱落，存在安全隐患，需要拆除重做</w:t>
      </w:r>
      <w:r>
        <w:rPr>
          <w:rFonts w:hint="eastAsia" w:asciiTheme="minorEastAsia" w:hAnsiTheme="minorEastAsia" w:eastAsiaTheme="minorEastAsia" w:cstheme="minorEastAsia"/>
          <w:color w:val="auto"/>
          <w:sz w:val="21"/>
          <w:szCs w:val="21"/>
          <w:lang w:eastAsia="zh-CN"/>
        </w:rPr>
        <w:t>，仿造津园食堂</w:t>
      </w:r>
      <w:r>
        <w:rPr>
          <w:rFonts w:hint="eastAsia" w:asciiTheme="minorEastAsia" w:hAnsiTheme="minorEastAsia" w:eastAsiaTheme="minorEastAsia" w:cstheme="minorEastAsia"/>
          <w:color w:val="auto"/>
          <w:sz w:val="21"/>
          <w:szCs w:val="21"/>
          <w:lang w:val="en-US" w:eastAsia="zh-CN"/>
        </w:rPr>
        <w:t>1楼的布局，出餐口加装钢纱网可随时开启和关闭，</w:t>
      </w:r>
      <w:r>
        <w:rPr>
          <w:rFonts w:hint="eastAsia" w:asciiTheme="minorEastAsia" w:hAnsiTheme="minorEastAsia" w:eastAsiaTheme="minorEastAsia" w:cstheme="minorEastAsia"/>
          <w:b/>
          <w:bCs/>
          <w:color w:val="auto"/>
          <w:sz w:val="21"/>
          <w:szCs w:val="21"/>
          <w:lang w:eastAsia="zh-CN"/>
        </w:rPr>
        <w:t>上端安装换气扇</w:t>
      </w:r>
      <w:r>
        <w:rPr>
          <w:rFonts w:hint="eastAsia" w:asciiTheme="minorEastAsia" w:hAnsiTheme="minorEastAsia" w:eastAsiaTheme="minorEastAsia" w:cstheme="minorEastAsia"/>
          <w:b/>
          <w:bCs/>
          <w:color w:val="auto"/>
          <w:sz w:val="21"/>
          <w:szCs w:val="21"/>
          <w:lang w:val="en-US" w:eastAsia="zh-CN"/>
        </w:rPr>
        <w:t>4个。</w:t>
      </w:r>
    </w:p>
    <w:p w14:paraId="2D6CC4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台面</w:t>
      </w:r>
      <w:r>
        <w:rPr>
          <w:rFonts w:hint="eastAsia" w:asciiTheme="minorEastAsia" w:hAnsiTheme="minorEastAsia" w:eastAsiaTheme="minorEastAsia" w:cstheme="minorEastAsia"/>
          <w:color w:val="auto"/>
          <w:sz w:val="21"/>
          <w:szCs w:val="21"/>
          <w:lang w:eastAsia="zh-CN"/>
        </w:rPr>
        <w:t>拆除降低</w:t>
      </w:r>
      <w:r>
        <w:rPr>
          <w:rFonts w:hint="eastAsia" w:asciiTheme="minorEastAsia" w:hAnsiTheme="minorEastAsia" w:eastAsiaTheme="minorEastAsia" w:cstheme="minorEastAsia"/>
          <w:color w:val="auto"/>
          <w:sz w:val="21"/>
          <w:szCs w:val="21"/>
        </w:rPr>
        <w:t>做304不锈钢包边处理，</w:t>
      </w:r>
      <w:r>
        <w:rPr>
          <w:rFonts w:hint="eastAsia" w:asciiTheme="minorEastAsia" w:hAnsiTheme="minorEastAsia" w:eastAsiaTheme="minorEastAsia" w:cstheme="minorEastAsia"/>
          <w:color w:val="auto"/>
          <w:sz w:val="21"/>
          <w:szCs w:val="21"/>
          <w:lang w:eastAsia="zh-CN"/>
        </w:rPr>
        <w:t>仿造津园食堂</w:t>
      </w:r>
      <w:r>
        <w:rPr>
          <w:rFonts w:hint="eastAsia" w:asciiTheme="minorEastAsia" w:hAnsiTheme="minorEastAsia" w:eastAsiaTheme="minorEastAsia" w:cstheme="minorEastAsia"/>
          <w:color w:val="auto"/>
          <w:sz w:val="21"/>
          <w:szCs w:val="21"/>
          <w:lang w:val="en-US" w:eastAsia="zh-CN"/>
        </w:rPr>
        <w:t>1楼的布局，</w:t>
      </w:r>
      <w:r>
        <w:rPr>
          <w:rFonts w:hint="eastAsia" w:asciiTheme="minorEastAsia" w:hAnsiTheme="minorEastAsia" w:eastAsiaTheme="minorEastAsia" w:cstheme="minorEastAsia"/>
          <w:b/>
          <w:bCs/>
          <w:color w:val="auto"/>
          <w:sz w:val="21"/>
          <w:szCs w:val="21"/>
          <w:lang w:eastAsia="zh-CN"/>
        </w:rPr>
        <w:t>保温台线路整理可以利旧，要保证达到保温台使用功率</w:t>
      </w:r>
      <w:r>
        <w:rPr>
          <w:rFonts w:hint="eastAsia" w:asciiTheme="minorEastAsia" w:hAnsiTheme="minorEastAsia" w:eastAsiaTheme="minorEastAsia" w:cstheme="minorEastAsia"/>
          <w:color w:val="auto"/>
          <w:sz w:val="21"/>
          <w:szCs w:val="21"/>
        </w:rPr>
        <w:t>；</w:t>
      </w:r>
    </w:p>
    <w:p w14:paraId="2C30F0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洗碗间、消毒间以及售卖间之间的内隔断多年使用老化</w:t>
      </w:r>
      <w:r>
        <w:rPr>
          <w:rFonts w:hint="eastAsia" w:asciiTheme="minorEastAsia" w:hAnsiTheme="minorEastAsia" w:eastAsiaTheme="minorEastAsia" w:cstheme="minorEastAsia"/>
          <w:color w:val="auto"/>
          <w:sz w:val="21"/>
          <w:szCs w:val="21"/>
          <w:lang w:eastAsia="zh-CN"/>
        </w:rPr>
        <w:t>存在安全隐患</w:t>
      </w:r>
      <w:r>
        <w:rPr>
          <w:rFonts w:hint="eastAsia" w:asciiTheme="minorEastAsia" w:hAnsiTheme="minorEastAsia" w:eastAsiaTheme="minorEastAsia" w:cstheme="minorEastAsia"/>
          <w:color w:val="auto"/>
          <w:sz w:val="21"/>
          <w:szCs w:val="21"/>
        </w:rPr>
        <w:t>的问题，同时隔断隔空不彻底，不符合现在食堂专项整治的要求，拆除后砌筑隔断墙15公分宽度到顶贴瓷砖</w:t>
      </w:r>
      <w:r>
        <w:rPr>
          <w:rFonts w:hint="eastAsia" w:asciiTheme="minorEastAsia" w:hAnsiTheme="minorEastAsia" w:eastAsiaTheme="minorEastAsia" w:cstheme="minorEastAsia"/>
          <w:b/>
          <w:bCs/>
          <w:color w:val="auto"/>
          <w:sz w:val="21"/>
          <w:szCs w:val="21"/>
          <w:lang w:eastAsia="zh-CN"/>
        </w:rPr>
        <w:t>。线路安装到位，确保每台设备可以通电使用，拆除空调并重新安装；</w:t>
      </w:r>
    </w:p>
    <w:p w14:paraId="267769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部分吊顶</w:t>
      </w:r>
      <w:r>
        <w:rPr>
          <w:rFonts w:hint="eastAsia" w:asciiTheme="minorEastAsia" w:hAnsiTheme="minorEastAsia" w:eastAsiaTheme="minorEastAsia" w:cstheme="minorEastAsia"/>
          <w:color w:val="auto"/>
          <w:sz w:val="21"/>
          <w:szCs w:val="21"/>
          <w:lang w:eastAsia="zh-CN"/>
        </w:rPr>
        <w:t>更换成铝扣板吊顶</w:t>
      </w:r>
      <w:r>
        <w:rPr>
          <w:rFonts w:hint="eastAsia" w:asciiTheme="minorEastAsia" w:hAnsiTheme="minorEastAsia" w:eastAsiaTheme="minorEastAsia" w:cstheme="minorEastAsia"/>
          <w:b/>
          <w:bCs/>
          <w:color w:val="auto"/>
          <w:sz w:val="21"/>
          <w:szCs w:val="21"/>
          <w:lang w:eastAsia="zh-CN"/>
        </w:rPr>
        <w:t>，及嵌入式配套</w:t>
      </w:r>
      <w:r>
        <w:rPr>
          <w:rFonts w:hint="eastAsia" w:asciiTheme="minorEastAsia" w:hAnsiTheme="minorEastAsia" w:eastAsiaTheme="minorEastAsia" w:cstheme="minorEastAsia"/>
          <w:color w:val="auto"/>
          <w:sz w:val="21"/>
          <w:szCs w:val="21"/>
          <w:lang w:eastAsia="zh-CN"/>
        </w:rPr>
        <w:t>吸顶</w:t>
      </w:r>
      <w:r>
        <w:rPr>
          <w:rFonts w:hint="eastAsia" w:asciiTheme="minorEastAsia" w:hAnsiTheme="minorEastAsia" w:eastAsiaTheme="minorEastAsia" w:cstheme="minorEastAsia"/>
          <w:color w:val="auto"/>
          <w:sz w:val="21"/>
          <w:szCs w:val="21"/>
        </w:rPr>
        <w:t>灯</w:t>
      </w:r>
      <w:r>
        <w:rPr>
          <w:rFonts w:hint="eastAsia" w:asciiTheme="minorEastAsia" w:hAnsiTheme="minorEastAsia" w:eastAsiaTheme="minorEastAsia" w:cstheme="minorEastAsia"/>
          <w:color w:val="auto"/>
          <w:sz w:val="21"/>
          <w:szCs w:val="21"/>
          <w:lang w:eastAsia="zh-CN"/>
        </w:rPr>
        <w:t>（数量达到规定照度要求）；</w:t>
      </w:r>
    </w:p>
    <w:p w14:paraId="7F2857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地面排水沟</w:t>
      </w:r>
      <w:r>
        <w:rPr>
          <w:rFonts w:hint="eastAsia" w:asciiTheme="minorEastAsia" w:hAnsiTheme="minorEastAsia" w:eastAsiaTheme="minorEastAsia" w:cstheme="minorEastAsia"/>
          <w:color w:val="auto"/>
          <w:sz w:val="21"/>
          <w:szCs w:val="21"/>
          <w:lang w:eastAsia="zh-CN"/>
        </w:rPr>
        <w:t>部分调整</w:t>
      </w:r>
      <w:r>
        <w:rPr>
          <w:rFonts w:hint="eastAsia" w:asciiTheme="minorEastAsia" w:hAnsiTheme="minorEastAsia" w:eastAsiaTheme="minorEastAsia" w:cstheme="minorEastAsia"/>
          <w:color w:val="auto"/>
          <w:sz w:val="21"/>
          <w:szCs w:val="21"/>
        </w:rPr>
        <w:t>及部分地砖</w:t>
      </w:r>
      <w:r>
        <w:rPr>
          <w:rFonts w:hint="eastAsia" w:asciiTheme="minorEastAsia" w:hAnsiTheme="minorEastAsia" w:eastAsiaTheme="minorEastAsia" w:cstheme="minorEastAsia"/>
          <w:color w:val="auto"/>
          <w:sz w:val="21"/>
          <w:szCs w:val="21"/>
          <w:lang w:eastAsia="zh-CN"/>
        </w:rPr>
        <w:t>（或使用新型地面材料）</w:t>
      </w:r>
      <w:r>
        <w:rPr>
          <w:rFonts w:hint="eastAsia" w:asciiTheme="minorEastAsia" w:hAnsiTheme="minorEastAsia" w:eastAsiaTheme="minorEastAsia" w:cstheme="minorEastAsia"/>
          <w:color w:val="auto"/>
          <w:sz w:val="21"/>
          <w:szCs w:val="21"/>
        </w:rPr>
        <w:t>更换</w:t>
      </w:r>
      <w:r>
        <w:rPr>
          <w:rFonts w:hint="eastAsia" w:asciiTheme="minorEastAsia" w:hAnsiTheme="minorEastAsia" w:eastAsiaTheme="minorEastAsia" w:cstheme="minorEastAsia"/>
          <w:b/>
          <w:bCs/>
          <w:color w:val="auto"/>
          <w:sz w:val="21"/>
          <w:szCs w:val="21"/>
          <w:lang w:eastAsia="zh-CN"/>
        </w:rPr>
        <w:t>，同时确保排水沟盖板配套，要能够起到防“四害”效果</w:t>
      </w:r>
      <w:r>
        <w:rPr>
          <w:rFonts w:hint="eastAsia" w:asciiTheme="minorEastAsia" w:hAnsiTheme="minorEastAsia" w:eastAsiaTheme="minorEastAsia" w:cstheme="minorEastAsia"/>
          <w:color w:val="auto"/>
          <w:sz w:val="21"/>
          <w:szCs w:val="21"/>
        </w:rPr>
        <w:t>；</w:t>
      </w:r>
    </w:p>
    <w:p w14:paraId="2955C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局部水电改造</w:t>
      </w:r>
      <w:r>
        <w:rPr>
          <w:rFonts w:hint="eastAsia" w:asciiTheme="minorEastAsia" w:hAnsiTheme="minorEastAsia" w:eastAsiaTheme="minorEastAsia" w:cstheme="minorEastAsia"/>
          <w:color w:val="auto"/>
          <w:sz w:val="21"/>
          <w:szCs w:val="21"/>
          <w:lang w:eastAsia="zh-CN"/>
        </w:rPr>
        <w:t>。</w:t>
      </w:r>
    </w:p>
    <w:p w14:paraId="640E50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）操作间、配菜间、白案间吊顶</w:t>
      </w:r>
      <w:r>
        <w:rPr>
          <w:rFonts w:hint="eastAsia" w:asciiTheme="minorEastAsia" w:hAnsiTheme="minorEastAsia" w:eastAsiaTheme="minorEastAsia" w:cstheme="minorEastAsia"/>
          <w:color w:val="auto"/>
          <w:sz w:val="21"/>
          <w:szCs w:val="21"/>
          <w:lang w:val="en-US" w:eastAsia="zh-CN"/>
        </w:rPr>
        <w:t>。</w:t>
      </w:r>
    </w:p>
    <w:p w14:paraId="6DEC4B7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（5）更换大厅、操作间、售卖间紫外线灯20盏。</w:t>
      </w:r>
    </w:p>
    <w:p w14:paraId="20451E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（6）三个食堂更换门厅门帘，并维修玻璃门，沁园更换玻璃门一樘。</w:t>
      </w:r>
    </w:p>
    <w:p w14:paraId="19FBB2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（7）津园二楼食堂操作间通往大厅煤气管道断封。</w:t>
      </w:r>
    </w:p>
    <w:p w14:paraId="08722E4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eastAsia="zh-CN"/>
        </w:rPr>
        <w:t>三、三楼餐厅</w:t>
      </w:r>
      <w:r>
        <w:rPr>
          <w:rFonts w:hint="eastAsia" w:asciiTheme="minorEastAsia" w:hAnsiTheme="minorEastAsia" w:eastAsiaTheme="minorEastAsia" w:cstheme="minorEastAsia"/>
          <w:b/>
          <w:bCs/>
          <w:color w:val="auto"/>
          <w:sz w:val="21"/>
          <w:szCs w:val="21"/>
        </w:rPr>
        <w:t>吊顶</w:t>
      </w:r>
    </w:p>
    <w:p w14:paraId="4FEAA8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三</w:t>
      </w:r>
      <w:r>
        <w:rPr>
          <w:rFonts w:hint="eastAsia" w:asciiTheme="minorEastAsia" w:hAnsiTheme="minorEastAsia" w:eastAsiaTheme="minorEastAsia" w:cstheme="minorEastAsia"/>
          <w:color w:val="auto"/>
          <w:sz w:val="21"/>
          <w:szCs w:val="21"/>
        </w:rPr>
        <w:t>楼餐厅目前安装了吸顶空调，未做吊顶，导致空调效果不理想，全是明线管影响美观</w:t>
      </w:r>
      <w:r>
        <w:rPr>
          <w:rFonts w:hint="eastAsia" w:asciiTheme="minorEastAsia" w:hAnsiTheme="minorEastAsia" w:eastAsiaTheme="minorEastAsia" w:cstheme="minorEastAsia"/>
          <w:color w:val="auto"/>
          <w:sz w:val="21"/>
          <w:szCs w:val="21"/>
          <w:lang w:eastAsia="zh-CN"/>
        </w:rPr>
        <w:t>（参考一楼吊顶做法）</w:t>
      </w:r>
      <w:r>
        <w:rPr>
          <w:rFonts w:hint="eastAsia" w:asciiTheme="minorEastAsia" w:hAnsiTheme="minorEastAsia" w:eastAsiaTheme="minorEastAsia" w:cstheme="minorEastAsia"/>
          <w:color w:val="auto"/>
          <w:sz w:val="21"/>
          <w:szCs w:val="21"/>
        </w:rPr>
        <w:t>，需要进行60盏节</w:t>
      </w:r>
      <w:r>
        <w:rPr>
          <w:rFonts w:hint="eastAsia" w:asciiTheme="minorEastAsia" w:hAnsiTheme="minorEastAsia" w:eastAsiaTheme="minorEastAsia" w:cstheme="minorEastAsia"/>
          <w:color w:val="auto"/>
          <w:sz w:val="21"/>
          <w:szCs w:val="21"/>
          <w:lang w:eastAsia="zh-CN"/>
        </w:rPr>
        <w:t>（分三路控制）</w:t>
      </w:r>
      <w:r>
        <w:rPr>
          <w:rFonts w:hint="eastAsia" w:asciiTheme="minorEastAsia" w:hAnsiTheme="minorEastAsia" w:eastAsiaTheme="minorEastAsia" w:cstheme="minorEastAsia"/>
          <w:color w:val="auto"/>
          <w:sz w:val="21"/>
          <w:szCs w:val="21"/>
        </w:rPr>
        <w:t>能灯具的更换，更新灭蝇灯20个，紫外消毒灯20个</w:t>
      </w:r>
      <w:r>
        <w:rPr>
          <w:rFonts w:hint="eastAsia" w:asciiTheme="minorEastAsia" w:hAnsiTheme="minorEastAsia" w:eastAsiaTheme="minorEastAsia" w:cstheme="minorEastAsia"/>
          <w:color w:val="auto"/>
          <w:sz w:val="21"/>
          <w:szCs w:val="21"/>
          <w:lang w:eastAsia="zh-CN"/>
        </w:rPr>
        <w:t>（更换灯管）</w:t>
      </w:r>
      <w:r>
        <w:rPr>
          <w:rFonts w:hint="eastAsia" w:asciiTheme="minorEastAsia" w:hAnsiTheme="minorEastAsia" w:eastAsiaTheme="minorEastAsia" w:cstheme="minorEastAsia"/>
          <w:color w:val="auto"/>
          <w:sz w:val="21"/>
          <w:szCs w:val="21"/>
        </w:rPr>
        <w:t>，墙面</w:t>
      </w:r>
      <w:r>
        <w:rPr>
          <w:rFonts w:hint="eastAsia" w:asciiTheme="minorEastAsia" w:hAnsiTheme="minorEastAsia" w:eastAsiaTheme="minorEastAsia" w:cstheme="minorEastAsia"/>
          <w:color w:val="auto"/>
          <w:sz w:val="21"/>
          <w:szCs w:val="21"/>
          <w:lang w:eastAsia="zh-CN"/>
        </w:rPr>
        <w:t>和立柱原样</w:t>
      </w:r>
      <w:r>
        <w:rPr>
          <w:rFonts w:hint="eastAsia" w:asciiTheme="minorEastAsia" w:hAnsiTheme="minorEastAsia" w:eastAsiaTheme="minorEastAsia" w:cstheme="minorEastAsia"/>
          <w:color w:val="auto"/>
          <w:sz w:val="21"/>
          <w:szCs w:val="21"/>
        </w:rPr>
        <w:t>出新</w:t>
      </w:r>
      <w:r>
        <w:rPr>
          <w:rFonts w:hint="eastAsia" w:asciiTheme="minorEastAsia" w:hAnsiTheme="minorEastAsia" w:eastAsiaTheme="minorEastAsia" w:cstheme="minorEastAsia"/>
          <w:color w:val="auto"/>
          <w:sz w:val="21"/>
          <w:szCs w:val="21"/>
          <w:lang w:eastAsia="zh-CN"/>
        </w:rPr>
        <w:t>。</w:t>
      </w:r>
    </w:p>
    <w:p w14:paraId="48AAA529">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一楼餐厅、售卖间，操作间，初加工间更换紫外线消毒灯</w:t>
      </w:r>
      <w:r>
        <w:rPr>
          <w:rFonts w:hint="eastAsia" w:asciiTheme="minorEastAsia" w:hAnsiTheme="minorEastAsia" w:eastAsiaTheme="minorEastAsia" w:cstheme="minorEastAsia"/>
          <w:color w:val="auto"/>
          <w:sz w:val="21"/>
          <w:szCs w:val="21"/>
          <w:lang w:val="en-US" w:eastAsia="zh-CN"/>
        </w:rPr>
        <w:t>20盏</w:t>
      </w:r>
      <w:r>
        <w:rPr>
          <w:rFonts w:hint="eastAsia" w:asciiTheme="minorEastAsia" w:hAnsiTheme="minorEastAsia" w:eastAsiaTheme="minorEastAsia" w:cstheme="minorEastAsia"/>
          <w:color w:val="auto"/>
          <w:sz w:val="21"/>
          <w:szCs w:val="21"/>
          <w:lang w:eastAsia="zh-CN"/>
        </w:rPr>
        <w:t>（更换灯管）。</w:t>
      </w:r>
    </w:p>
    <w:p w14:paraId="364E77C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沁园食堂更换安装煤气报警设备一套、煤气泄露探头</w:t>
      </w:r>
      <w:r>
        <w:rPr>
          <w:rFonts w:hint="eastAsia" w:asciiTheme="minorEastAsia" w:hAnsiTheme="minorEastAsia" w:eastAsiaTheme="minorEastAsia" w:cstheme="minorEastAsia"/>
          <w:color w:val="auto"/>
          <w:sz w:val="21"/>
          <w:szCs w:val="21"/>
          <w:lang w:val="en-US" w:eastAsia="zh-CN"/>
        </w:rPr>
        <w:t>2个</w:t>
      </w:r>
      <w:r>
        <w:rPr>
          <w:rFonts w:hint="eastAsia" w:asciiTheme="minorEastAsia" w:hAnsiTheme="minorEastAsia" w:eastAsiaTheme="minorEastAsia" w:cstheme="minorEastAsia"/>
          <w:color w:val="auto"/>
          <w:sz w:val="21"/>
          <w:szCs w:val="21"/>
          <w:lang w:eastAsia="zh-CN"/>
        </w:rPr>
        <w:t>，津园食堂更换安装一套煤气报警设备、煤气泄露探头</w:t>
      </w:r>
      <w:r>
        <w:rPr>
          <w:rFonts w:hint="eastAsia" w:asciiTheme="minorEastAsia" w:hAnsiTheme="minorEastAsia" w:eastAsiaTheme="minorEastAsia" w:cstheme="minorEastAsia"/>
          <w:color w:val="auto"/>
          <w:sz w:val="21"/>
          <w:szCs w:val="21"/>
          <w:lang w:val="en-US" w:eastAsia="zh-CN"/>
        </w:rPr>
        <w:t>8个。</w:t>
      </w:r>
    </w:p>
    <w:p w14:paraId="4426C392">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方正小标宋_GBK" w:hAnsi="方正小标宋_GBK" w:eastAsia="方正小标宋_GBK" w:cs="方正小标宋_GBK"/>
          <w:b/>
          <w:bCs/>
          <w:sz w:val="24"/>
          <w:szCs w:val="24"/>
          <w:lang w:val="en-US" w:eastAsia="zh-CN"/>
        </w:rPr>
        <w:t>12号楼3、4、5、6、10层走廊过道、电梯厅、大厅吊顶及墙面扶手出新项目</w:t>
      </w:r>
    </w:p>
    <w:p w14:paraId="02995F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 吊顶标高：走廊、北厅吊顶完成面标高2.85米，电梯厅吊顶完成面标高2.9米，5层面积约2260㎡。确保满足空间净高及相关规范要求。</w:t>
      </w:r>
    </w:p>
    <w:p w14:paraId="6A2971C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 龙骨、石膏板：采用50系列轻钢龙骨，主龙骨间距≤1200mm，副龙骨间距≤600mm，吊杆间距≤1200mm，吊杆直径不小于8mm，确保龙骨体系具有足够的承载能力和稳定性；采用12mm厚防潮石膏板，表面平整，无破损、变形等缺陷。吊顶材料需满足消防防火等级要求，电梯厅及潮湿环境区域的石膏板需采用防潮型，吊顶与墙体、柱子等交接处需做好密封防潮处理。</w:t>
      </w:r>
    </w:p>
    <w:p w14:paraId="26D1A70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 灯具、线路安装：每层吊顶需安装300*600mm人体感应平板灯39张，龙骨体系应根据设备位置进行加强处理，确保设备安装牢固，位置准确，与吊顶表面平整过渡；墙面明敷线路，凿槽敷放。</w:t>
      </w:r>
    </w:p>
    <w:p w14:paraId="715C4FA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 油漆处理：新吊顶石膏板安装完成后，需进行嵌缝、贴布、刮腻子、打磨、刷乳胶漆等表面处理工序，要求表面平整光滑，无裂缝、鼓包、色差等现象；1-10层过道、北厅、电梯厅、4个步行楼梯未贴瓷砖墙面（1、2、7、8、9层吊顶位置除外）铲除空鼓铺网批腻刷乳胶漆出新（裂缝起皮处按要求铲除到砂浆层从新批腻子2遍挂网，油漆两遍，未开裂处只需要滚刷两遍出新），乳胶漆颜色及光泽度需符合设计要求；4个步行楼梯扶手除锈，刷防锈漆、灰色面漆。</w:t>
      </w:r>
    </w:p>
    <w:p w14:paraId="7D93C23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5.原有设备设施处理：原有喷淋头水管延长至吊顶下平面，更换喷淋头及装饰盖（形状参照1层）；原有摄像头、无线AP、有线发射AP、广播、消防应急灯需改变位置的参照2层，保证设备不缺不坏。</w:t>
      </w:r>
    </w:p>
    <w:p w14:paraId="0E8442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6.伸缩缝、瓷砖处理：每层伸缩缝立面、顶面用不锈钢板折边封盖，确保美观（参照2层伸缩缝处理）；过道部分瓷砖脱落损坏，新购同样规格、色泽瓷砖补贴。</w:t>
      </w:r>
    </w:p>
    <w:p w14:paraId="0A2A25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 安全要求：施工过程中需严格遵守安全操作规程，做好高空作业防护措施，确保施工安全，吊顶施工完成后需进行承载力测试，确保使用安全。</w:t>
      </w:r>
    </w:p>
    <w:p w14:paraId="06DB756D">
      <w:pPr>
        <w:keepNext w:val="0"/>
        <w:keepLines w:val="0"/>
        <w:pageBreakBefore w:val="0"/>
        <w:widowControl w:val="0"/>
        <w:kinsoku/>
        <w:wordWrap/>
        <w:overflowPunct/>
        <w:topLinePunct w:val="0"/>
        <w:autoSpaceDE/>
        <w:autoSpaceDN/>
        <w:bidi w:val="0"/>
        <w:adjustRightInd/>
        <w:snapToGrid/>
        <w:spacing w:before="181" w:beforeLines="50" w:after="181" w:afterLines="50" w:line="360" w:lineRule="auto"/>
        <w:jc w:val="center"/>
        <w:textAlignment w:val="auto"/>
        <w:rPr>
          <w:rFonts w:hint="eastAsia" w:ascii="方正小标宋_GBK" w:hAnsi="方正小标宋_GBK" w:eastAsia="方正小标宋_GBK" w:cs="方正小标宋_GBK"/>
          <w:b/>
          <w:bCs/>
          <w:sz w:val="24"/>
          <w:szCs w:val="24"/>
          <w:lang w:val="en-US" w:eastAsia="zh-CN"/>
        </w:rPr>
      </w:pPr>
      <w:r>
        <w:rPr>
          <w:rFonts w:hint="eastAsia" w:ascii="方正小标宋_GBK" w:hAnsi="方正小标宋_GBK" w:eastAsia="方正小标宋_GBK" w:cs="方正小标宋_GBK"/>
          <w:b/>
          <w:bCs/>
          <w:sz w:val="24"/>
          <w:szCs w:val="24"/>
          <w:lang w:val="en-US" w:eastAsia="zh-CN"/>
        </w:rPr>
        <w:t>23号楼顶层防水项目</w:t>
      </w:r>
    </w:p>
    <w:p w14:paraId="436BC9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1.防水面积：见工程量清单</w:t>
      </w:r>
    </w:p>
    <w:p w14:paraId="07C29A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防水材料要求：采用符合国家标准的高弹性3mmSBS防水卷材，厚度不低于3mm，具有优异的耐候性、抗穿刺性和粘结力，同时配套使用专用基层处理剂、密封膏等辅材。汽车实训工厂2楼东西外平台伸缩缝凿开至现浇层、落水管改道向南排水，基层做防水、不锈钢板隔层，试水无渗漏后复贴大理石材，北侧2楼厕所存在向下漏水情况需要维修。</w:t>
      </w:r>
    </w:p>
    <w:p w14:paraId="622347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 施工工艺标准：基层需进行彻底清理，铲除原有卷材防水层和找平层（确保保温层不破坏）；</w:t>
      </w:r>
      <w:r>
        <w:rPr>
          <w:rFonts w:hint="eastAsia" w:asciiTheme="minorEastAsia" w:hAnsiTheme="minorEastAsia" w:eastAsiaTheme="minorEastAsia" w:cstheme="minorEastAsia"/>
          <w:color w:val="auto"/>
          <w:sz w:val="21"/>
          <w:szCs w:val="21"/>
          <w:highlight w:val="none"/>
          <w:lang w:val="en-US" w:eastAsia="zh-CN"/>
        </w:rPr>
        <w:t>重新砂浆找平，严格按防水施工规范要求敷设防水卷材，</w:t>
      </w:r>
      <w:r>
        <w:rPr>
          <w:rFonts w:hint="eastAsia" w:asciiTheme="minorEastAsia" w:hAnsiTheme="minorEastAsia" w:eastAsiaTheme="minorEastAsia" w:cstheme="minorEastAsia"/>
          <w:color w:val="auto"/>
          <w:sz w:val="21"/>
          <w:szCs w:val="21"/>
          <w:lang w:val="en-US" w:eastAsia="zh-CN"/>
        </w:rPr>
        <w:t>确保表面平整干燥；卷材铺贴采用热熔法施工，搭接宽度不小于100mm，搭接缝需热熔密封严密，阴阳角、落水口等特殊部位应增设加强层，</w:t>
      </w:r>
      <w:r>
        <w:rPr>
          <w:rFonts w:hint="eastAsia" w:asciiTheme="minorEastAsia" w:hAnsiTheme="minorEastAsia" w:eastAsiaTheme="minorEastAsia" w:cstheme="minorEastAsia"/>
          <w:color w:val="auto"/>
          <w:sz w:val="21"/>
          <w:szCs w:val="21"/>
          <w:highlight w:val="none"/>
          <w:lang w:val="en-US" w:eastAsia="zh-CN"/>
        </w:rPr>
        <w:t>同时必须提供从铲除找平层至防水工程全部完工的完整施工全过程摄像资料</w:t>
      </w:r>
      <w:r>
        <w:rPr>
          <w:rFonts w:hint="eastAsia" w:asciiTheme="minorEastAsia" w:hAnsiTheme="minorEastAsia" w:eastAsiaTheme="minorEastAsia" w:cstheme="minorEastAsia"/>
          <w:color w:val="auto"/>
          <w:sz w:val="21"/>
          <w:szCs w:val="21"/>
          <w:lang w:val="en-US" w:eastAsia="zh-CN"/>
        </w:rPr>
        <w:t>。</w:t>
      </w:r>
    </w:p>
    <w:p w14:paraId="1F17D54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 工程质量要求：防水层施工完成后需进行闭水试验，蓄水深度不小于20mm，蓄水时间不少于24小时，无渗漏现象；防水层表面应平整顺直，无起鼓、开裂、翘边等缺陷，与基层粘接牢固。</w:t>
      </w:r>
    </w:p>
    <w:p w14:paraId="16F40E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 安全文明施工：施工单位需配备齐全的安全防护用品，设置安全警示标志，严格遵守施工现场安全管理规定，避免发生安全事故；施工过程中产生的建筑垃圾需及时清理，保持施工现场整洁。</w:t>
      </w:r>
    </w:p>
    <w:p w14:paraId="3B6A77DF">
      <w:pPr>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采购方式：竞争性磋商</w:t>
      </w:r>
    </w:p>
    <w:p w14:paraId="754C3F3C">
      <w:pPr>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116.44万</w:t>
      </w:r>
      <w:r>
        <w:rPr>
          <w:rFonts w:hint="eastAsia" w:ascii="宋体" w:hAnsi="宋体" w:eastAsia="宋体" w:cs="宋体"/>
          <w:color w:val="auto"/>
          <w:szCs w:val="21"/>
          <w:highlight w:val="none"/>
          <w:lang w:val="en-US" w:eastAsia="zh-CN"/>
        </w:rPr>
        <w:t>元</w:t>
      </w:r>
    </w:p>
    <w:p w14:paraId="0DB6E1A8">
      <w:pPr>
        <w:pageBreakBefore w:val="0"/>
        <w:widowControl w:val="0"/>
        <w:numPr>
          <w:ilvl w:val="0"/>
          <w:numId w:val="0"/>
        </w:numPr>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lang w:val="en-US" w:eastAsia="zh-CN"/>
        </w:rPr>
        <w:t>最高限价：</w:t>
      </w:r>
      <w:r>
        <w:rPr>
          <w:rFonts w:hint="eastAsia" w:ascii="宋体" w:hAnsi="宋体" w:cs="宋体"/>
          <w:color w:val="auto"/>
          <w:szCs w:val="21"/>
          <w:highlight w:val="none"/>
          <w:lang w:val="en-US" w:eastAsia="zh-CN"/>
        </w:rPr>
        <w:t>114.11万</w:t>
      </w:r>
      <w:r>
        <w:rPr>
          <w:rFonts w:hint="eastAsia" w:ascii="宋体" w:hAnsi="宋体" w:eastAsia="宋体" w:cs="宋体"/>
          <w:color w:val="auto"/>
          <w:szCs w:val="21"/>
          <w:highlight w:val="none"/>
          <w:lang w:val="en-US" w:eastAsia="zh-CN"/>
        </w:rPr>
        <w:t>元，报价</w:t>
      </w:r>
      <w:r>
        <w:rPr>
          <w:rFonts w:hint="eastAsia" w:ascii="宋体" w:hAnsi="宋体" w:eastAsia="宋体" w:cs="宋体"/>
          <w:color w:val="auto"/>
          <w:sz w:val="21"/>
          <w:szCs w:val="21"/>
          <w:highlight w:val="none"/>
          <w:lang w:eastAsia="zh-CN"/>
        </w:rPr>
        <w:t>超过最高限价的为无效报价，按照无效响应处理</w:t>
      </w:r>
      <w:r>
        <w:rPr>
          <w:rFonts w:hint="eastAsia" w:ascii="宋体" w:hAnsi="宋体" w:cs="宋体"/>
          <w:color w:val="auto"/>
          <w:sz w:val="21"/>
          <w:szCs w:val="21"/>
          <w:highlight w:val="none"/>
          <w:lang w:eastAsia="zh-CN"/>
        </w:rPr>
        <w:t>。</w:t>
      </w:r>
    </w:p>
    <w:p w14:paraId="18527C6B">
      <w:pPr>
        <w:pageBreakBefore w:val="0"/>
        <w:widowControl w:val="0"/>
        <w:numPr>
          <w:ilvl w:val="0"/>
          <w:numId w:val="0"/>
        </w:numPr>
        <w:kinsoku/>
        <w:wordWrap/>
        <w:overflowPunct/>
        <w:topLinePunct w:val="0"/>
        <w:autoSpaceDE/>
        <w:autoSpaceDN/>
        <w:bidi w:val="0"/>
        <w:spacing w:line="360" w:lineRule="auto"/>
        <w:ind w:firstLine="42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合同履行期限：</w:t>
      </w:r>
      <w:r>
        <w:rPr>
          <w:rFonts w:hint="eastAsia" w:ascii="宋体" w:hAnsi="宋体" w:cs="宋体"/>
          <w:color w:val="auto"/>
          <w:szCs w:val="21"/>
          <w:highlight w:val="none"/>
          <w:lang w:val="en-US" w:eastAsia="zh-CN"/>
        </w:rPr>
        <w:t>40日历天</w:t>
      </w:r>
    </w:p>
    <w:p w14:paraId="66C8D26E">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u w:val="none"/>
        </w:rPr>
        <w:t>不</w:t>
      </w:r>
      <w:r>
        <w:rPr>
          <w:rFonts w:hint="eastAsia" w:ascii="宋体" w:hAnsi="宋体" w:eastAsia="宋体" w:cs="宋体"/>
          <w:color w:val="auto"/>
          <w:szCs w:val="21"/>
          <w:highlight w:val="none"/>
        </w:rPr>
        <w:t>接受联合体</w:t>
      </w:r>
      <w:r>
        <w:rPr>
          <w:rFonts w:hint="eastAsia" w:ascii="宋体" w:hAnsi="宋体" w:eastAsia="宋体" w:cs="宋体"/>
          <w:color w:val="auto"/>
          <w:szCs w:val="21"/>
          <w:highlight w:val="none"/>
          <w:lang w:eastAsia="zh-CN"/>
        </w:rPr>
        <w:t>磋商</w:t>
      </w:r>
    </w:p>
    <w:p w14:paraId="73241907">
      <w:pPr>
        <w:keepNext w:val="0"/>
        <w:keepLines w:val="0"/>
        <w:pageBreakBefore w:val="0"/>
        <w:widowControl w:val="0"/>
        <w:kinsoku/>
        <w:wordWrap/>
        <w:overflowPunct/>
        <w:topLinePunct w:val="0"/>
        <w:autoSpaceDE/>
        <w:autoSpaceDN/>
        <w:bidi w:val="0"/>
        <w:spacing w:line="360" w:lineRule="auto"/>
        <w:ind w:firstLine="422"/>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二、报价编制要求</w:t>
      </w:r>
    </w:p>
    <w:p w14:paraId="20F50735">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包括不限于:工程量清单报价中的项目单价与其数量相乘的总和，应与投标报价汇总表</w:t>
      </w:r>
      <w:r>
        <w:rPr>
          <w:rFonts w:hint="eastAsia" w:ascii="宋体" w:hAnsi="宋体" w:eastAsia="宋体" w:cs="宋体"/>
          <w:sz w:val="21"/>
          <w:szCs w:val="21"/>
          <w:highlight w:val="none"/>
          <w:lang w:val="en-US" w:eastAsia="zh-CN"/>
        </w:rPr>
        <w:t>总价及磋商响应函中的总价相符，不符时以单价数量的总和为准。</w:t>
      </w:r>
    </w:p>
    <w:p w14:paraId="518DC22B">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施工过程中，供应商需采取措施保护现场及周边相关财务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物品、设施等，因供应</w:t>
      </w:r>
      <w:r>
        <w:rPr>
          <w:rFonts w:hint="eastAsia" w:ascii="宋体" w:hAnsi="宋体" w:eastAsia="宋体" w:cs="宋体"/>
          <w:sz w:val="21"/>
          <w:szCs w:val="21"/>
          <w:highlight w:val="none"/>
        </w:rPr>
        <w:t>商的不规范操作、误操作等原因造成相关</w:t>
      </w:r>
      <w:r>
        <w:rPr>
          <w:rFonts w:hint="eastAsia" w:ascii="宋体" w:hAnsi="宋体" w:eastAsia="宋体" w:cs="宋体"/>
          <w:sz w:val="21"/>
          <w:szCs w:val="21"/>
          <w:highlight w:val="none"/>
          <w:lang w:val="en-US" w:eastAsia="zh-CN"/>
        </w:rPr>
        <w:t>设施</w:t>
      </w:r>
      <w:r>
        <w:rPr>
          <w:rFonts w:hint="eastAsia" w:ascii="宋体" w:hAnsi="宋体" w:eastAsia="宋体" w:cs="宋体"/>
          <w:sz w:val="21"/>
          <w:szCs w:val="21"/>
          <w:highlight w:val="none"/>
        </w:rPr>
        <w:t>的损坏、设备的停用等后果均</w:t>
      </w:r>
      <w:r>
        <w:rPr>
          <w:rFonts w:hint="eastAsia" w:ascii="宋体" w:hAnsi="宋体" w:eastAsia="宋体" w:cs="宋体"/>
          <w:sz w:val="21"/>
          <w:szCs w:val="21"/>
          <w:highlight w:val="none"/>
          <w:lang w:val="en-US" w:eastAsia="zh-CN"/>
        </w:rPr>
        <w:t>由供应</w:t>
      </w:r>
      <w:r>
        <w:rPr>
          <w:rFonts w:hint="eastAsia" w:ascii="宋体" w:hAnsi="宋体" w:eastAsia="宋体" w:cs="宋体"/>
          <w:sz w:val="21"/>
          <w:szCs w:val="21"/>
          <w:highlight w:val="none"/>
        </w:rPr>
        <w:t>商承担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由供应商原样修复并自行承担相关费用</w:t>
      </w:r>
      <w:r>
        <w:rPr>
          <w:rFonts w:hint="eastAsia" w:ascii="宋体" w:hAnsi="宋体" w:eastAsia="宋体" w:cs="宋体"/>
          <w:sz w:val="21"/>
          <w:szCs w:val="21"/>
          <w:highlight w:val="none"/>
          <w:lang w:eastAsia="zh-CN"/>
        </w:rPr>
        <w:t>。</w:t>
      </w:r>
    </w:p>
    <w:p w14:paraId="06FF4BAB">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供应商需积极主动地配合采购人进行施工完毕后验收，确保通过</w:t>
      </w:r>
      <w:r>
        <w:rPr>
          <w:rFonts w:hint="eastAsia" w:ascii="宋体" w:hAnsi="宋体" w:eastAsia="宋体" w:cs="宋体"/>
          <w:sz w:val="21"/>
          <w:szCs w:val="21"/>
          <w:highlight w:val="none"/>
          <w:lang w:val="en-US" w:eastAsia="zh-CN"/>
        </w:rPr>
        <w:t>检测</w:t>
      </w:r>
      <w:r>
        <w:rPr>
          <w:rFonts w:hint="eastAsia" w:ascii="宋体" w:hAnsi="宋体" w:eastAsia="宋体" w:cs="宋体"/>
          <w:sz w:val="21"/>
          <w:szCs w:val="21"/>
          <w:highlight w:val="none"/>
        </w:rPr>
        <w:t>和验收，若出现检测不合格或验收不合格的情况，供应商需要重新返工直至</w:t>
      </w:r>
      <w:r>
        <w:rPr>
          <w:rFonts w:hint="eastAsia" w:ascii="宋体" w:hAnsi="宋体" w:eastAsia="宋体" w:cs="宋体"/>
          <w:sz w:val="21"/>
          <w:szCs w:val="21"/>
          <w:highlight w:val="none"/>
          <w:lang w:val="en-US" w:eastAsia="zh-CN"/>
        </w:rPr>
        <w:t>检测</w:t>
      </w:r>
      <w:r>
        <w:rPr>
          <w:rFonts w:hint="eastAsia" w:ascii="宋体" w:hAnsi="宋体" w:eastAsia="宋体" w:cs="宋体"/>
          <w:sz w:val="21"/>
          <w:szCs w:val="21"/>
          <w:highlight w:val="none"/>
        </w:rPr>
        <w:t>通过并且验收合格，由此导致的返工费等相关其他费用，由供应商自行承担，并且采购人有权从工程款中扣除</w:t>
      </w:r>
      <w:r>
        <w:rPr>
          <w:rFonts w:hint="eastAsia" w:ascii="宋体" w:hAnsi="宋体" w:eastAsia="宋体" w:cs="宋体"/>
          <w:sz w:val="21"/>
          <w:szCs w:val="21"/>
          <w:highlight w:val="none"/>
          <w:lang w:eastAsia="zh-CN"/>
        </w:rPr>
        <w:t>。</w:t>
      </w:r>
    </w:p>
    <w:p w14:paraId="25CD4BA6">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单价和总价均应包括但不限于所有设备、材料、税金、包装费、运杂费、保险</w:t>
      </w:r>
      <w:r>
        <w:rPr>
          <w:rFonts w:hint="eastAsia" w:ascii="宋体" w:hAnsi="宋体" w:eastAsia="宋体" w:cs="宋体"/>
          <w:sz w:val="21"/>
          <w:szCs w:val="21"/>
          <w:highlight w:val="none"/>
          <w:lang w:val="en-US" w:eastAsia="zh-CN"/>
        </w:rPr>
        <w:t>费、</w:t>
      </w:r>
      <w:r>
        <w:rPr>
          <w:rFonts w:hint="eastAsia" w:ascii="宋体" w:hAnsi="宋体" w:eastAsia="宋体" w:cs="宋体"/>
          <w:sz w:val="21"/>
          <w:szCs w:val="21"/>
          <w:highlight w:val="none"/>
        </w:rPr>
        <w:t>卸力费、安装调试费、资料费、保修期内维修费用及代理服务费等直至完全交付采购人使用的所有费用。</w:t>
      </w:r>
    </w:p>
    <w:p w14:paraId="33DC5F2B">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成交后根据本单位的最终总报价和首轮明细报价，自行调整各明细单价(原则上除不可竞争费外，其他各分项报价同比例下浮)直至合价和最终总报价相符，报采购人和预算编制单位审核，审核通过后，后期根据审核后的明细报价结算。</w:t>
      </w:r>
    </w:p>
    <w:p w14:paraId="459FE665">
      <w:pPr>
        <w:pStyle w:val="62"/>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成交后根据本单位的最终总报价和首轮明细报价，自行调整各明细单价(原则上除不可竞争费外，其他各分项报价同比例下浮)直至合价和最终总报价相符，报采购人和预算编制单位审核，审核通过后，后期根据审核后的明细报价结算。</w:t>
      </w:r>
    </w:p>
    <w:p w14:paraId="24515C0D">
      <w:pPr>
        <w:keepNext w:val="0"/>
        <w:keepLines w:val="0"/>
        <w:pageBreakBefore w:val="0"/>
        <w:widowControl w:val="0"/>
        <w:kinsoku/>
        <w:wordWrap/>
        <w:overflowPunct/>
        <w:topLinePunct w:val="0"/>
        <w:autoSpaceDE/>
        <w:autoSpaceDN/>
        <w:bidi w:val="0"/>
        <w:spacing w:line="360" w:lineRule="auto"/>
        <w:ind w:firstLine="422"/>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三、其它磋商须知</w:t>
      </w:r>
    </w:p>
    <w:p w14:paraId="397E55D1">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供应商应彻底自行踏勘现场，以充分了解项目位置、交通状况以及工作范围等任何足以影响其报价的情况。任何忽视或误解项目基本情况，而使采购人在项目实施过程中蒙受的损失，将由供应商进行赔偿。</w:t>
      </w:r>
    </w:p>
    <w:p w14:paraId="0AD7377F">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本项目承包范围为</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图纸、工程量清单、附件范围相关的内容。供应商应根据附件内容以现场踏勘为准仔细核对工程量清单，核对内容包括清单数量、清单特征、计量单位等，并将疑问在提问截止时间书面提出，如未提出任何疑问，则视为对采购人提供的工程量清单不存在问题，漏报项视为价格已分摊到其他清单项中，承包人自行承担工程量清单数量偏差、漏项及清单错误的风险。否则自行承担所有损失。本项目须承诺保留采购人需求。除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文件或合同另有约定外，结算时不得调整</w:t>
      </w:r>
      <w:r>
        <w:rPr>
          <w:rFonts w:hint="eastAsia" w:ascii="宋体" w:hAnsi="宋体" w:eastAsia="宋体" w:cs="宋体"/>
          <w:sz w:val="21"/>
          <w:szCs w:val="21"/>
          <w:highlight w:val="none"/>
          <w:lang w:eastAsia="zh-CN"/>
        </w:rPr>
        <w:t>。</w:t>
      </w:r>
    </w:p>
    <w:p w14:paraId="08C7141B">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“投标报价汇总表”中的投标总价由分部分项工程费、措施项目费、其他项目费、规费和税金</w:t>
      </w:r>
      <w:r>
        <w:rPr>
          <w:rFonts w:hint="eastAsia" w:ascii="宋体" w:hAnsi="宋体" w:eastAsia="宋体" w:cs="宋体"/>
          <w:sz w:val="21"/>
          <w:szCs w:val="21"/>
          <w:highlight w:val="none"/>
          <w:lang w:val="en-US" w:eastAsia="zh-CN"/>
        </w:rPr>
        <w:t>组</w:t>
      </w:r>
      <w:r>
        <w:rPr>
          <w:rFonts w:hint="eastAsia" w:ascii="宋体" w:hAnsi="宋体" w:eastAsia="宋体" w:cs="宋体"/>
          <w:sz w:val="21"/>
          <w:szCs w:val="21"/>
          <w:highlight w:val="none"/>
        </w:rPr>
        <w:t>成，并且“投标报价汇总表”中的投标总价应当与构成已标价工程部分项工程费、措施项目费、其他项目费、规费、税金的合计金额一致</w:t>
      </w:r>
      <w:r>
        <w:rPr>
          <w:rFonts w:hint="eastAsia" w:ascii="宋体" w:hAnsi="宋体" w:eastAsia="宋体" w:cs="宋体"/>
          <w:sz w:val="21"/>
          <w:szCs w:val="21"/>
          <w:highlight w:val="none"/>
          <w:lang w:eastAsia="zh-CN"/>
        </w:rPr>
        <w:t>。</w:t>
      </w:r>
    </w:p>
    <w:p w14:paraId="5C8A27FA">
      <w:pPr>
        <w:pStyle w:val="23"/>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供应商应将下列不可竞争费用按照规定的标准计取，不得降低标准计取: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现场</w:t>
      </w:r>
      <w:r>
        <w:rPr>
          <w:rFonts w:hint="eastAsia" w:ascii="宋体" w:hAnsi="宋体" w:eastAsia="宋体" w:cs="宋体"/>
          <w:sz w:val="21"/>
          <w:szCs w:val="21"/>
          <w:highlight w:val="none"/>
        </w:rPr>
        <w:t>安全、文明施工措施费</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(2)规费、税金</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(3)省级以上财政、税收、物价等部门</w:t>
      </w:r>
      <w:r>
        <w:rPr>
          <w:rFonts w:hint="eastAsia" w:ascii="宋体" w:hAnsi="宋体" w:eastAsia="宋体" w:cs="宋体"/>
          <w:sz w:val="21"/>
          <w:szCs w:val="21"/>
          <w:highlight w:val="none"/>
          <w:lang w:val="en-US" w:eastAsia="zh-CN"/>
        </w:rPr>
        <w:t>批准的</w:t>
      </w:r>
      <w:r>
        <w:rPr>
          <w:rFonts w:hint="eastAsia" w:ascii="宋体" w:hAnsi="宋体" w:eastAsia="宋体" w:cs="宋体"/>
          <w:sz w:val="21"/>
          <w:szCs w:val="21"/>
          <w:highlight w:val="none"/>
        </w:rPr>
        <w:t>税金及行政性规费</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(4)其他按照法律、法规规定的不可竞争费用;(5)材料暂估价格</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专业工程暂估价</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(7)暂列金额</w:t>
      </w:r>
      <w:r>
        <w:rPr>
          <w:rFonts w:hint="eastAsia" w:ascii="宋体" w:hAnsi="宋体" w:eastAsia="宋体" w:cs="宋体"/>
          <w:sz w:val="21"/>
          <w:szCs w:val="21"/>
          <w:highlight w:val="none"/>
          <w:lang w:eastAsia="zh-CN"/>
        </w:rPr>
        <w:t>。</w:t>
      </w:r>
    </w:p>
    <w:p w14:paraId="027F173D">
      <w:pPr>
        <w:pStyle w:val="49"/>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属可竞争费用由供应商自主报价的，须满足下列要求:供应商根据企业定</w:t>
      </w:r>
      <w:r>
        <w:rPr>
          <w:rFonts w:hint="eastAsia" w:ascii="宋体" w:hAnsi="宋体" w:eastAsia="宋体" w:cs="宋体"/>
          <w:sz w:val="21"/>
          <w:szCs w:val="21"/>
          <w:highlight w:val="none"/>
          <w:lang w:eastAsia="zh-CN"/>
        </w:rPr>
        <w:t>额</w:t>
      </w:r>
      <w:r>
        <w:rPr>
          <w:rFonts w:hint="eastAsia" w:ascii="宋体" w:hAnsi="宋体" w:eastAsia="宋体" w:cs="宋体"/>
          <w:sz w:val="21"/>
          <w:szCs w:val="21"/>
          <w:highlight w:val="none"/>
          <w:lang w:val="en-US" w:eastAsia="zh-CN"/>
        </w:rPr>
        <w:t>报价的</w:t>
      </w:r>
      <w:r>
        <w:rPr>
          <w:rFonts w:hint="eastAsia" w:ascii="宋体" w:hAnsi="宋体" w:eastAsia="宋体" w:cs="宋体"/>
          <w:sz w:val="21"/>
          <w:szCs w:val="21"/>
          <w:highlight w:val="none"/>
        </w:rPr>
        <w:t>项目，其人工、材料、机械消耗量远低于市场平均水平时，应附有详细分析资料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工程主要</w:t>
      </w:r>
      <w:r>
        <w:rPr>
          <w:rFonts w:hint="eastAsia" w:ascii="宋体" w:hAnsi="宋体" w:eastAsia="宋体" w:cs="宋体"/>
          <w:sz w:val="21"/>
          <w:szCs w:val="21"/>
          <w:highlight w:val="none"/>
        </w:rPr>
        <w:t>材料单价远低于同期扬州市造价管理部门发布的市场信息价的最低价格时，应附有材料</w:t>
      </w:r>
      <w:r>
        <w:rPr>
          <w:rFonts w:hint="eastAsia" w:ascii="宋体" w:hAnsi="宋体" w:eastAsia="宋体" w:cs="宋体"/>
          <w:sz w:val="21"/>
          <w:szCs w:val="21"/>
          <w:highlight w:val="none"/>
          <w:lang w:val="en-US" w:eastAsia="zh-CN"/>
        </w:rPr>
        <w:t>供货</w:t>
      </w:r>
      <w:r>
        <w:rPr>
          <w:rFonts w:hint="eastAsia" w:ascii="宋体" w:hAnsi="宋体" w:eastAsia="宋体" w:cs="宋体"/>
          <w:sz w:val="21"/>
          <w:szCs w:val="21"/>
          <w:highlight w:val="none"/>
        </w:rPr>
        <w:t>单位的书面供应承诺。书面材料中要列出供货单位对材料的品牌、规格、质量等级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单价、</w:t>
      </w:r>
      <w:r>
        <w:rPr>
          <w:rFonts w:hint="eastAsia" w:ascii="宋体" w:hAnsi="宋体" w:eastAsia="宋体" w:cs="宋体"/>
          <w:sz w:val="21"/>
          <w:szCs w:val="21"/>
          <w:highlight w:val="none"/>
        </w:rPr>
        <w:t>数量等内容的承诺，并提供相关票据文件等证明材料;施工组织措施费用、管理费、利润远低于计国家及省计价规范标准时，应提供详细的分析资料</w:t>
      </w:r>
      <w:r>
        <w:rPr>
          <w:rFonts w:hint="eastAsia" w:ascii="宋体" w:hAnsi="宋体" w:eastAsia="宋体" w:cs="宋体"/>
          <w:sz w:val="21"/>
          <w:szCs w:val="21"/>
          <w:highlight w:val="none"/>
          <w:lang w:eastAsia="zh-CN"/>
        </w:rPr>
        <w:t>。</w:t>
      </w:r>
    </w:p>
    <w:p w14:paraId="70EC7CD4">
      <w:pPr>
        <w:pStyle w:val="49"/>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.材料品牌详见附表：《推荐品牌材料一览表》，品牌投标人必须在其可选范围内考虑报价，并在投标文件材料明细表中明确标注其选的品牌，其他材料的品质不低于</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要求的品质。符合国家质量验收标准。</w:t>
      </w:r>
    </w:p>
    <w:p w14:paraId="1EC614AF">
      <w:pPr>
        <w:keepNext w:val="0"/>
        <w:keepLines w:val="0"/>
        <w:pageBreakBefore w:val="0"/>
        <w:widowControl w:val="0"/>
        <w:kinsoku/>
        <w:wordWrap/>
        <w:overflowPunct/>
        <w:topLinePunct w:val="0"/>
        <w:autoSpaceDE/>
        <w:autoSpaceDN/>
        <w:bidi w:val="0"/>
        <w:adjustRightInd w:val="0"/>
        <w:snapToGrid w:val="0"/>
        <w:spacing w:after="78"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附表：《推荐品牌材料一览表》：</w:t>
      </w:r>
    </w:p>
    <w:p w14:paraId="0438CAFF">
      <w:pPr>
        <w:pStyle w:val="2"/>
        <w:rPr>
          <w:rFonts w:hint="eastAsia" w:ascii="宋体" w:hAnsi="宋体" w:eastAsia="宋体" w:cs="宋体"/>
          <w:kern w:val="0"/>
          <w:sz w:val="21"/>
          <w:szCs w:val="21"/>
        </w:rPr>
      </w:pPr>
    </w:p>
    <w:p w14:paraId="3299C526">
      <w:pPr>
        <w:rPr>
          <w:rFonts w:hint="eastAsia" w:ascii="宋体" w:hAnsi="宋体" w:eastAsia="宋体" w:cs="宋体"/>
          <w:kern w:val="0"/>
          <w:sz w:val="21"/>
          <w:szCs w:val="21"/>
        </w:rPr>
      </w:pPr>
    </w:p>
    <w:p w14:paraId="5D4F4AF2">
      <w:pPr>
        <w:pStyle w:val="2"/>
        <w:rPr>
          <w:rFonts w:hint="eastAsia"/>
        </w:rPr>
      </w:pPr>
    </w:p>
    <w:p w14:paraId="26692504">
      <w:pPr>
        <w:rPr>
          <w:rFonts w:hint="eastAsia"/>
          <w:lang w:val="en-US" w:eastAsia="zh-CN"/>
        </w:rPr>
      </w:pPr>
    </w:p>
    <w:tbl>
      <w:tblPr>
        <w:tblStyle w:val="43"/>
        <w:tblW w:w="83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3263"/>
        <w:gridCol w:w="4000"/>
      </w:tblGrid>
      <w:tr w14:paraId="00DD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83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FD0B">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材料设备品牌表</w:t>
            </w:r>
          </w:p>
        </w:tc>
      </w:tr>
      <w:tr w14:paraId="75B18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1DA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1F9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58DB">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推荐品牌</w:t>
            </w:r>
          </w:p>
        </w:tc>
      </w:tr>
      <w:tr w14:paraId="688A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A729">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87C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内墙涂料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0D2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立邦、多乐士、三棵树</w:t>
            </w:r>
          </w:p>
        </w:tc>
      </w:tr>
      <w:tr w14:paraId="127E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105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BF3E">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5685">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维罗生态砖、新中源、蒙娜丽莎</w:t>
            </w:r>
          </w:p>
        </w:tc>
      </w:tr>
      <w:tr w14:paraId="4127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DD6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9750">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铝扣板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84EA">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欧斯龙、欧陆、友邦</w:t>
            </w:r>
          </w:p>
        </w:tc>
      </w:tr>
      <w:tr w14:paraId="70AB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062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5C93">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卷材防水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0888">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北新、宏源、三棵树</w:t>
            </w:r>
          </w:p>
        </w:tc>
      </w:tr>
      <w:tr w14:paraId="5FC5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CA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5C2E">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石膏板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68AD">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龙牌、泰山、梦牌</w:t>
            </w:r>
          </w:p>
        </w:tc>
      </w:tr>
      <w:tr w14:paraId="5C79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6AC4">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673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水管与配套管件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E360">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中财、顾地、联塑、公元</w:t>
            </w:r>
          </w:p>
        </w:tc>
      </w:tr>
      <w:tr w14:paraId="42DA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89EE">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539A">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电线、电缆</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B29">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宝胜、上上、远东、江扬、华创</w:t>
            </w:r>
          </w:p>
        </w:tc>
      </w:tr>
      <w:tr w14:paraId="2849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7EDA">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090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开关、插座、面板（毛坯）</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478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飞雕、德力西、龙胜、鸿雁</w:t>
            </w:r>
          </w:p>
        </w:tc>
      </w:tr>
      <w:tr w14:paraId="0140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E05C">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5401">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普通灯具</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9277">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欧普、西顿、三雄、雷士、飞利浦</w:t>
            </w:r>
          </w:p>
        </w:tc>
      </w:tr>
      <w:tr w14:paraId="39D8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25C3">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BA6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419A">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正泰、德力西、上海人民</w:t>
            </w:r>
          </w:p>
        </w:tc>
      </w:tr>
      <w:tr w14:paraId="71AB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2906">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AFB1">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CDD5">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中财、康泰、伟星、公元</w:t>
            </w:r>
          </w:p>
        </w:tc>
      </w:tr>
    </w:tbl>
    <w:p w14:paraId="7A01A3D2">
      <w:pPr>
        <w:pStyle w:val="256"/>
        <w:keepNext/>
        <w:keepLines/>
        <w:pageBreakBefore w:val="0"/>
        <w:widowControl w:val="0"/>
        <w:kinsoku/>
        <w:wordWrap/>
        <w:overflowPunct/>
        <w:topLinePunct w:val="0"/>
        <w:autoSpaceDE/>
        <w:autoSpaceDN/>
        <w:bidi w:val="0"/>
        <w:adjustRightInd/>
        <w:snapToGrid/>
        <w:spacing w:before="0" w:after="0" w:line="360" w:lineRule="atLeast"/>
        <w:jc w:val="center"/>
        <w:textAlignment w:val="auto"/>
        <w:rPr>
          <w:rFonts w:hint="eastAsia" w:ascii="宋体" w:hAnsi="宋体" w:eastAsia="宋体" w:cs="宋体"/>
          <w:color w:val="auto"/>
          <w:sz w:val="36"/>
          <w:szCs w:val="36"/>
          <w:highlight w:val="none"/>
        </w:rPr>
      </w:pPr>
    </w:p>
    <w:p w14:paraId="0C3AD354">
      <w:pPr>
        <w:rPr>
          <w:rFonts w:hint="eastAsia"/>
        </w:rPr>
        <w:sectPr>
          <w:pgSz w:w="11906" w:h="16838"/>
          <w:pgMar w:top="1440" w:right="1800" w:bottom="1440" w:left="1800" w:header="851" w:footer="992" w:gutter="0"/>
          <w:cols w:space="720" w:num="1"/>
          <w:docGrid w:linePitch="360" w:charSpace="0"/>
        </w:sectPr>
      </w:pPr>
    </w:p>
    <w:p w14:paraId="795E9E12">
      <w:pPr>
        <w:pStyle w:val="256"/>
        <w:keepNext/>
        <w:keepLines/>
        <w:pageBreakBefore w:val="0"/>
        <w:widowControl w:val="0"/>
        <w:spacing w:before="0" w:after="0"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第五章 评审方法及评审标准</w:t>
      </w:r>
      <w:bookmarkEnd w:id="1"/>
      <w:bookmarkEnd w:id="26"/>
    </w:p>
    <w:p w14:paraId="66B35403">
      <w:pPr>
        <w:pStyle w:val="289"/>
        <w:keepNext w:val="0"/>
        <w:keepLines w:val="0"/>
        <w:pageBreakBefore w:val="0"/>
        <w:widowControl w:val="0"/>
        <w:spacing w:line="360" w:lineRule="auto"/>
        <w:ind w:firstLine="422"/>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一、评审方法</w:t>
      </w:r>
    </w:p>
    <w:p w14:paraId="5C6347D3">
      <w:pPr>
        <w:pStyle w:val="273"/>
        <w:keepNext w:val="0"/>
        <w:keepLines w:val="0"/>
        <w:pageBreakBefore w:val="0"/>
        <w:widowControl w:val="0"/>
        <w:spacing w:before="120" w:after="12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采用综合评分法的，评标结果按评审后得分由高到低顺序排列。得分相同的，按响应报价由低到高顺序排列。得分且响应报价相同的并列。响应文件满足磋商文件全部实质性要求，且按照评审因素的量化指标评审得分最高的供应商为成交候选人。 </w:t>
      </w:r>
    </w:p>
    <w:p w14:paraId="5DD7484C">
      <w:pPr>
        <w:keepNext w:val="0"/>
        <w:keepLines w:val="0"/>
        <w:pageBreakBefore w:val="0"/>
        <w:widowControl w:val="0"/>
        <w:numPr>
          <w:ilvl w:val="0"/>
          <w:numId w:val="0"/>
        </w:numPr>
        <w:spacing w:line="360" w:lineRule="auto"/>
        <w:ind w:firstLine="422"/>
        <w:rPr>
          <w:rFonts w:hint="eastAsia" w:ascii="宋体" w:hAnsi="宋体" w:eastAsia="宋体" w:cs="宋体"/>
          <w:b/>
          <w:bCs/>
          <w:szCs w:val="21"/>
          <w:highlight w:val="none"/>
        </w:rPr>
      </w:pPr>
      <w:r>
        <w:rPr>
          <w:rFonts w:hint="eastAsia" w:ascii="宋体" w:hAnsi="宋体" w:eastAsia="宋体" w:cs="宋体"/>
          <w:b/>
          <w:bCs/>
          <w:sz w:val="21"/>
          <w:szCs w:val="21"/>
          <w:highlight w:val="none"/>
          <w:lang w:val="en-US" w:eastAsia="zh-CN" w:bidi="ar-SA"/>
        </w:rPr>
        <w:t>二、</w:t>
      </w:r>
      <w:r>
        <w:rPr>
          <w:rFonts w:hint="eastAsia" w:ascii="宋体" w:hAnsi="宋体" w:eastAsia="宋体" w:cs="宋体"/>
          <w:b/>
          <w:bCs/>
          <w:szCs w:val="21"/>
          <w:highlight w:val="none"/>
        </w:rPr>
        <w:t>落实政府采购政策需满足的资格要求：</w:t>
      </w:r>
    </w:p>
    <w:p w14:paraId="29949B44">
      <w:pPr>
        <w:keepNext w:val="0"/>
        <w:keepLines w:val="0"/>
        <w:pageBreakBefore w:val="0"/>
        <w:widowControl w:val="0"/>
        <w:numPr>
          <w:ilvl w:val="0"/>
          <w:numId w:val="0"/>
        </w:numPr>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16D86ED1">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1、小微型企业价格扣除</w:t>
      </w:r>
    </w:p>
    <w:p w14:paraId="636F1AE0">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（1）本项目对小型和微型企业产品给予</w:t>
      </w:r>
      <w:r>
        <w:rPr>
          <w:rFonts w:hint="eastAsia" w:ascii="宋体" w:hAnsi="宋体" w:eastAsia="宋体" w:cs="宋体"/>
          <w:color w:val="auto"/>
          <w:sz w:val="21"/>
          <w:szCs w:val="21"/>
          <w:highlight w:val="none"/>
          <w:u w:val="single"/>
          <w:lang w:val="en-US" w:eastAsia="zh-CN" w:bidi="ar-SA"/>
        </w:rPr>
        <w:t xml:space="preserve"> / </w:t>
      </w:r>
      <w:r>
        <w:rPr>
          <w:rFonts w:hint="eastAsia" w:ascii="宋体" w:hAnsi="宋体" w:eastAsia="宋体" w:cs="宋体"/>
          <w:color w:val="auto"/>
          <w:sz w:val="21"/>
          <w:szCs w:val="21"/>
          <w:highlight w:val="none"/>
          <w:lang w:val="en-US" w:eastAsia="zh-CN" w:bidi="ar-SA"/>
        </w:rPr>
        <w:t>的扣除价格，用扣除后的价格参与评审。</w:t>
      </w:r>
    </w:p>
    <w:p w14:paraId="55CCB819">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（2）供应商需按照采购文件的要求提供相应的《中小企业声明函》。</w:t>
      </w:r>
    </w:p>
    <w:p w14:paraId="7CD99F63">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000000" w:themeColor="text1"/>
          <w:highlight w:val="none"/>
          <w14:textFill>
            <w14:solidFill>
              <w14:schemeClr w14:val="tx1"/>
            </w14:solidFill>
          </w14:textFill>
        </w:rPr>
        <w:t>（3）企业标准请参照《关于印发中小企业划型标准规定的通知》（工信部联企业[2011]300号）文件规定自行填写。</w:t>
      </w:r>
    </w:p>
    <w:p w14:paraId="1CA8CDA6">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2、残疾人福利单位价格扣除</w:t>
      </w:r>
    </w:p>
    <w:p w14:paraId="636739F2">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（1）本项目对残疾人福利性单位视同小型、微型企业，给予</w:t>
      </w:r>
      <w:r>
        <w:rPr>
          <w:rFonts w:hint="eastAsia" w:ascii="宋体" w:hAnsi="宋体" w:eastAsia="宋体" w:cs="宋体"/>
          <w:color w:val="auto"/>
          <w:sz w:val="21"/>
          <w:szCs w:val="21"/>
          <w:highlight w:val="none"/>
          <w:u w:val="single"/>
          <w:lang w:val="en-US" w:eastAsia="zh-CN" w:bidi="ar-SA"/>
        </w:rPr>
        <w:t xml:space="preserve"> / </w:t>
      </w:r>
      <w:r>
        <w:rPr>
          <w:rFonts w:hint="eastAsia" w:ascii="宋体" w:hAnsi="宋体" w:eastAsia="宋体" w:cs="宋体"/>
          <w:color w:val="auto"/>
          <w:sz w:val="21"/>
          <w:szCs w:val="21"/>
          <w:highlight w:val="none"/>
          <w:lang w:val="en-US" w:eastAsia="zh-CN" w:bidi="ar-SA"/>
        </w:rPr>
        <w:t>的价格扣除，用扣除后的价格参与评审。</w:t>
      </w:r>
    </w:p>
    <w:p w14:paraId="2F32813D">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（2）残疾人福利单位需按照采购文件的要求提供《残疾人福利性单位声明函》。</w:t>
      </w:r>
    </w:p>
    <w:p w14:paraId="6AC39EC8">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（3）残疾人福利单位标准请参照《关于促进残疾人就业政府采购政策的通知》（财库2017〕141号）。</w:t>
      </w:r>
    </w:p>
    <w:p w14:paraId="4CC06304">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3、监狱和戒毒企业价格扣除</w:t>
      </w:r>
    </w:p>
    <w:p w14:paraId="5B1E967F">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（1）本项目对监狱和戒毒企业（简称监狱企业）视同小型、微型企业，给予</w:t>
      </w:r>
      <w:r>
        <w:rPr>
          <w:rFonts w:hint="eastAsia" w:ascii="宋体" w:hAnsi="宋体" w:eastAsia="宋体" w:cs="宋体"/>
          <w:color w:val="auto"/>
          <w:sz w:val="21"/>
          <w:szCs w:val="21"/>
          <w:highlight w:val="none"/>
          <w:u w:val="single"/>
          <w:lang w:val="en-US" w:eastAsia="zh-CN" w:bidi="ar-SA"/>
        </w:rPr>
        <w:t xml:space="preserve"> / </w:t>
      </w:r>
      <w:r>
        <w:rPr>
          <w:rFonts w:hint="eastAsia" w:ascii="宋体" w:hAnsi="宋体" w:eastAsia="宋体" w:cs="宋体"/>
          <w:color w:val="auto"/>
          <w:sz w:val="21"/>
          <w:szCs w:val="21"/>
          <w:highlight w:val="none"/>
          <w:lang w:val="en-US" w:eastAsia="zh-CN" w:bidi="ar-SA"/>
        </w:rPr>
        <w:t>的价格扣除，用扣除后的价格参与评审。</w:t>
      </w:r>
    </w:p>
    <w:p w14:paraId="61139775">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（2）监狱企业参加政府采购活动时，需提供由省级以上监狱管理局、戒毒管理局(含新疆生产建设兵团)出具的属于监狱企业的证明文件。供应商如不提供上述证明文件，价格将不做相应扣除。</w:t>
      </w:r>
    </w:p>
    <w:p w14:paraId="724E6009">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（3）监狱企业标准请参照《关于政府采购支持监狱企业发展有关问题的通知》（财库[2014]68号）。</w:t>
      </w:r>
    </w:p>
    <w:p w14:paraId="5A81ED0E">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4、残疾人福利单位、监狱企业属于小型、微型企业的，不重复享受政策。</w:t>
      </w:r>
    </w:p>
    <w:p w14:paraId="27642F6D">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eastAsia="宋体" w:cs="宋体"/>
          <w:color w:val="auto"/>
          <w:sz w:val="21"/>
          <w:szCs w:val="21"/>
          <w:highlight w:val="none"/>
          <w:u w:val="single"/>
          <w:lang w:val="en-US" w:eastAsia="zh-CN" w:bidi="ar-SA"/>
        </w:rPr>
        <w:t xml:space="preserve"> / </w:t>
      </w:r>
      <w:r>
        <w:rPr>
          <w:rFonts w:hint="eastAsia" w:ascii="宋体" w:hAnsi="宋体" w:eastAsia="宋体" w:cs="宋体"/>
          <w:color w:val="auto"/>
          <w:sz w:val="21"/>
          <w:szCs w:val="21"/>
          <w:highlight w:val="none"/>
          <w:lang w:val="en-US" w:eastAsia="zh-CN" w:bidi="ar-SA"/>
        </w:rPr>
        <w:t>的价格扣除，用扣除后的价格参与评审。</w:t>
      </w:r>
    </w:p>
    <w:p w14:paraId="1D954404">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6、联合体各方均为小型、微型企业（残疾人福利单位、监狱企业）的，联合体享受</w:t>
      </w:r>
      <w:r>
        <w:rPr>
          <w:rFonts w:hint="eastAsia" w:ascii="宋体" w:hAnsi="宋体" w:eastAsia="宋体" w:cs="宋体"/>
          <w:color w:val="auto"/>
          <w:sz w:val="21"/>
          <w:szCs w:val="21"/>
          <w:highlight w:val="none"/>
          <w:u w:val="single"/>
          <w:lang w:val="en-US" w:eastAsia="zh-CN" w:bidi="ar-SA"/>
        </w:rPr>
        <w:t xml:space="preserve"> / </w:t>
      </w:r>
      <w:r>
        <w:rPr>
          <w:rFonts w:hint="eastAsia" w:ascii="宋体" w:hAnsi="宋体" w:eastAsia="宋体" w:cs="宋体"/>
          <w:color w:val="auto"/>
          <w:sz w:val="21"/>
          <w:szCs w:val="21"/>
          <w:highlight w:val="none"/>
          <w:lang w:val="en-US" w:eastAsia="zh-CN" w:bidi="ar-SA"/>
        </w:rPr>
        <w:t>价格扣除，用扣除后的价格参与评审。</w:t>
      </w:r>
    </w:p>
    <w:p w14:paraId="0F47E2AF">
      <w:pPr>
        <w:keepNext w:val="0"/>
        <w:keepLines w:val="0"/>
        <w:pageBreakBefore w:val="0"/>
        <w:widowControl w:val="0"/>
        <w:spacing w:line="360" w:lineRule="auto"/>
        <w:ind w:firstLine="42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7、大中型企业向小型、微型企业分包的，分包意向协议约定小型、微型企业合同份额占到合同总金额30%以上的，给予</w:t>
      </w:r>
      <w:r>
        <w:rPr>
          <w:rFonts w:hint="eastAsia" w:ascii="宋体" w:hAnsi="宋体" w:eastAsia="宋体" w:cs="宋体"/>
          <w:color w:val="auto"/>
          <w:sz w:val="21"/>
          <w:szCs w:val="21"/>
          <w:highlight w:val="none"/>
          <w:u w:val="single"/>
          <w:lang w:val="en-US" w:eastAsia="zh-CN" w:bidi="ar-SA"/>
        </w:rPr>
        <w:t xml:space="preserve"> / </w:t>
      </w:r>
      <w:r>
        <w:rPr>
          <w:rFonts w:hint="eastAsia" w:ascii="宋体" w:hAnsi="宋体" w:eastAsia="宋体" w:cs="宋体"/>
          <w:color w:val="auto"/>
          <w:sz w:val="21"/>
          <w:szCs w:val="21"/>
          <w:highlight w:val="none"/>
          <w:lang w:val="en-US" w:eastAsia="zh-CN" w:bidi="ar-SA"/>
        </w:rPr>
        <w:t>的价格扣除，用扣除后的价格参与评审。</w:t>
      </w:r>
    </w:p>
    <w:p w14:paraId="7807CFFF">
      <w:pPr>
        <w:pStyle w:val="289"/>
        <w:keepNext w:val="0"/>
        <w:keepLines w:val="0"/>
        <w:pageBreakBefore w:val="0"/>
        <w:widowControl w:val="0"/>
        <w:numPr>
          <w:ilvl w:val="0"/>
          <w:numId w:val="0"/>
        </w:numPr>
        <w:spacing w:before="0" w:after="0"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三、</w:t>
      </w:r>
      <w:r>
        <w:rPr>
          <w:rFonts w:hint="eastAsia" w:ascii="宋体" w:hAnsi="宋体" w:eastAsia="宋体" w:cs="宋体"/>
          <w:b/>
          <w:color w:val="auto"/>
          <w:sz w:val="21"/>
          <w:szCs w:val="21"/>
          <w:highlight w:val="none"/>
        </w:rPr>
        <w:t>评审标准</w:t>
      </w:r>
    </w:p>
    <w:tbl>
      <w:tblPr>
        <w:tblStyle w:val="43"/>
        <w:tblW w:w="85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37"/>
        <w:gridCol w:w="1081"/>
        <w:gridCol w:w="6509"/>
      </w:tblGrid>
      <w:tr w14:paraId="1A233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937" w:type="dxa"/>
            <w:tcBorders>
              <w:top w:val="single" w:color="000000" w:sz="4" w:space="0"/>
              <w:left w:val="single" w:color="000000" w:sz="4" w:space="0"/>
              <w:bottom w:val="single" w:color="000000" w:sz="4" w:space="0"/>
              <w:right w:val="single" w:color="000000" w:sz="4" w:space="0"/>
            </w:tcBorders>
            <w:noWrap/>
            <w:vAlign w:val="center"/>
          </w:tcPr>
          <w:p w14:paraId="4E8826BB">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lang w:eastAsia="zh-CN"/>
              </w:rPr>
            </w:pPr>
          </w:p>
          <w:p w14:paraId="05CA5BE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lang w:eastAsia="zh-CN"/>
              </w:rPr>
            </w:pPr>
          </w:p>
        </w:tc>
        <w:tc>
          <w:tcPr>
            <w:tcW w:w="7590" w:type="dxa"/>
            <w:gridSpan w:val="2"/>
            <w:tcBorders>
              <w:top w:val="single" w:color="000000" w:sz="4" w:space="0"/>
              <w:left w:val="single" w:color="000000" w:sz="4" w:space="0"/>
              <w:bottom w:val="single" w:color="000000" w:sz="4" w:space="0"/>
              <w:right w:val="single" w:color="000000" w:sz="4" w:space="0"/>
            </w:tcBorders>
            <w:noWrap/>
            <w:vAlign w:val="center"/>
          </w:tcPr>
          <w:p w14:paraId="70E3056C">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14:paraId="264E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16" w:hRule="atLeast"/>
          <w:jc w:val="center"/>
        </w:trPr>
        <w:tc>
          <w:tcPr>
            <w:tcW w:w="937" w:type="dxa"/>
            <w:tcBorders>
              <w:top w:val="single" w:color="000000" w:sz="4" w:space="0"/>
              <w:left w:val="single" w:color="000000" w:sz="4" w:space="0"/>
              <w:bottom w:val="single" w:color="000000" w:sz="4" w:space="0"/>
              <w:right w:val="single" w:color="000000" w:sz="4" w:space="0"/>
            </w:tcBorders>
            <w:noWrap/>
            <w:vAlign w:val="center"/>
          </w:tcPr>
          <w:p w14:paraId="3F7F2DD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134F12E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7590" w:type="dxa"/>
            <w:gridSpan w:val="2"/>
            <w:tcBorders>
              <w:top w:val="single" w:color="000000" w:sz="4" w:space="0"/>
              <w:left w:val="single" w:color="000000" w:sz="4" w:space="0"/>
              <w:bottom w:val="single" w:color="000000" w:sz="4" w:space="0"/>
              <w:right w:val="single" w:color="000000" w:sz="4" w:space="0"/>
            </w:tcBorders>
            <w:noWrap/>
            <w:vAlign w:val="center"/>
          </w:tcPr>
          <w:p w14:paraId="634797CE">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满足采购文件要求且</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响应最低的有效报价为评标基准价，其价格分为满分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0分。其他供应商的价格分统一按照下列公式计算：报价得分=（评标基准价/投标报价）×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0×100%，结果保留两位小数。</w:t>
            </w:r>
          </w:p>
        </w:tc>
      </w:tr>
      <w:tr w14:paraId="6BAE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4" w:hRule="atLeast"/>
          <w:jc w:val="center"/>
        </w:trPr>
        <w:tc>
          <w:tcPr>
            <w:tcW w:w="937" w:type="dxa"/>
            <w:vMerge w:val="restart"/>
            <w:tcBorders>
              <w:top w:val="single" w:color="000000" w:sz="4" w:space="0"/>
              <w:left w:val="single" w:color="000000" w:sz="4" w:space="0"/>
              <w:right w:val="single" w:color="000000" w:sz="4" w:space="0"/>
            </w:tcBorders>
            <w:noWrap/>
            <w:vAlign w:val="center"/>
          </w:tcPr>
          <w:p w14:paraId="067D6EE2">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项目方案</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rPr>
              <w:t>分）</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AECE1F3">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总体概述</w:t>
            </w:r>
          </w:p>
          <w:p w14:paraId="21CE148A">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26F5EB25">
            <w:pPr>
              <w:keepNext w:val="0"/>
              <w:keepLines w:val="0"/>
              <w:pageBreakBefore w:val="0"/>
              <w:kinsoku/>
              <w:wordWrap/>
              <w:overflowPunct/>
              <w:topLinePunct w:val="0"/>
              <w:autoSpaceDE/>
              <w:autoSpaceDN/>
              <w:bidi w:val="0"/>
              <w:adjustRightInd/>
              <w:snapToGrid/>
              <w:spacing w:beforeAutospacing="0" w:afterAutospacing="0" w:line="360" w:lineRule="exact"/>
              <w:ind w:lef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对工程的总体设想、组织形式、各项管理目标及控制措施、施工实施计划、施工的协调措施等内容进行评分。</w:t>
            </w:r>
          </w:p>
          <w:p w14:paraId="3F4823E5">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概述科学、严密、合理，描述详细且具有针对性的得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1A1A0115">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概述较合理、严密、描述较为详细，不存在实施难度的得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0CEFEC56">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概述具有不合理项、描述略欠缺、存在一定的实施难度得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p w14:paraId="2219AF1D">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概述具有明显不合理项、描述欠缺、存在实施难度得1分；</w:t>
            </w:r>
          </w:p>
          <w:p w14:paraId="40F88DE1">
            <w:pPr>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其余</w:t>
            </w:r>
            <w:r>
              <w:rPr>
                <w:rFonts w:hint="eastAsia" w:ascii="宋体" w:hAnsi="宋体" w:eastAsia="宋体" w:cs="宋体"/>
                <w:b w:val="0"/>
                <w:bCs w:val="0"/>
                <w:color w:val="auto"/>
                <w:sz w:val="21"/>
                <w:szCs w:val="21"/>
                <w:highlight w:val="none"/>
                <w:lang w:val="en-US" w:eastAsia="zh-CN"/>
              </w:rPr>
              <w:t>不得</w:t>
            </w:r>
            <w:r>
              <w:rPr>
                <w:rFonts w:hint="eastAsia" w:ascii="宋体" w:hAnsi="宋体" w:eastAsia="宋体" w:cs="宋体"/>
                <w:b w:val="0"/>
                <w:bCs w:val="0"/>
                <w:color w:val="auto"/>
                <w:sz w:val="21"/>
                <w:szCs w:val="21"/>
                <w:highlight w:val="none"/>
                <w:lang w:eastAsia="zh-CN"/>
              </w:rPr>
              <w:t>分。</w:t>
            </w:r>
          </w:p>
        </w:tc>
      </w:tr>
      <w:tr w14:paraId="35F2E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937" w:type="dxa"/>
            <w:vMerge w:val="continue"/>
            <w:tcBorders>
              <w:left w:val="single" w:color="000000" w:sz="4" w:space="0"/>
              <w:right w:val="single" w:color="000000" w:sz="4" w:space="0"/>
            </w:tcBorders>
            <w:noWrap/>
            <w:vAlign w:val="center"/>
          </w:tcPr>
          <w:p w14:paraId="6DF5F416">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50C7EA71">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质量、安全、进度控制措施</w:t>
            </w:r>
          </w:p>
          <w:p w14:paraId="6FC13225">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7B03D9DF">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能够有效实施管理工作，采取科学合理的措施保证工程的</w:t>
            </w:r>
            <w:r>
              <w:rPr>
                <w:rFonts w:hint="eastAsia" w:ascii="宋体" w:hAnsi="宋体" w:eastAsia="宋体" w:cs="宋体"/>
                <w:b w:val="0"/>
                <w:bCs w:val="0"/>
                <w:sz w:val="21"/>
                <w:szCs w:val="21"/>
                <w:highlight w:val="none"/>
              </w:rPr>
              <w:t>质量、安全、进度</w:t>
            </w:r>
            <w:r>
              <w:rPr>
                <w:rFonts w:hint="eastAsia" w:ascii="宋体" w:hAnsi="宋体" w:eastAsia="宋体" w:cs="宋体"/>
                <w:b w:val="0"/>
                <w:bCs w:val="0"/>
                <w:color w:val="auto"/>
                <w:sz w:val="21"/>
                <w:szCs w:val="21"/>
                <w:highlight w:val="none"/>
              </w:rPr>
              <w:t>。</w:t>
            </w:r>
          </w:p>
          <w:p w14:paraId="3481B528">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措施科学、严密、合理，描述详细且具有针对性的得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17103D1B">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措施较合理、严密、描述较为详细的得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040A5E65">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措施具有不合理项、描述略欠缺的得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p w14:paraId="34D14A48">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措施具有明显不合理项、描述欠缺的得1分；</w:t>
            </w:r>
          </w:p>
          <w:p w14:paraId="0AC9C943">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exact"/>
              <w:ind w:left="425" w:hanging="425"/>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其余不得分。</w:t>
            </w:r>
          </w:p>
        </w:tc>
      </w:tr>
      <w:tr w14:paraId="25F55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9" w:hRule="atLeast"/>
          <w:jc w:val="center"/>
        </w:trPr>
        <w:tc>
          <w:tcPr>
            <w:tcW w:w="937" w:type="dxa"/>
            <w:vMerge w:val="continue"/>
            <w:tcBorders>
              <w:left w:val="single" w:color="000000" w:sz="4" w:space="0"/>
              <w:right w:val="single" w:color="000000" w:sz="4" w:space="0"/>
            </w:tcBorders>
            <w:noWrap/>
            <w:vAlign w:val="center"/>
          </w:tcPr>
          <w:p w14:paraId="62644268">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61C2D119">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机械设备和材料投入计划</w:t>
            </w:r>
          </w:p>
          <w:p w14:paraId="43E27012">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
              </w:rPr>
              <w:t>（</w:t>
            </w:r>
            <w:r>
              <w:rPr>
                <w:rFonts w:hint="eastAsia" w:ascii="宋体" w:hAnsi="宋体" w:cs="宋体"/>
                <w:color w:val="auto"/>
                <w:sz w:val="21"/>
                <w:szCs w:val="21"/>
                <w:highlight w:val="none"/>
                <w:lang w:val="en-US" w:eastAsia="zh-CN" w:bidi="ar"/>
              </w:rPr>
              <w:t>10</w:t>
            </w:r>
            <w:r>
              <w:rPr>
                <w:rFonts w:hint="eastAsia" w:ascii="宋体" w:hAnsi="宋体" w:eastAsia="宋体" w:cs="宋体"/>
                <w:color w:val="auto"/>
                <w:sz w:val="21"/>
                <w:szCs w:val="21"/>
                <w:highlight w:val="none"/>
                <w:lang w:val="en-US" w:eastAsia="zh-CN" w:bidi="ar"/>
              </w:rPr>
              <w:t>分）</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4816369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供应商制定保证项目实施的机械设备和材料的投入计划。 </w:t>
            </w:r>
          </w:p>
          <w:p w14:paraId="55EC7995">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投入项目的技术设备和材料科学、严密、合理，管理制度完备、使用方案详细且具有针对性的得</w:t>
            </w:r>
            <w:r>
              <w:rPr>
                <w:rFonts w:hint="eastAsia" w:ascii="宋体" w:hAnsi="宋体" w:cs="宋体"/>
                <w:color w:val="auto"/>
                <w:sz w:val="21"/>
                <w:szCs w:val="21"/>
                <w:highlight w:val="none"/>
                <w:lang w:val="en-US" w:eastAsia="zh-CN" w:bidi="ar-SA"/>
              </w:rPr>
              <w:t>10</w:t>
            </w:r>
            <w:r>
              <w:rPr>
                <w:rFonts w:hint="eastAsia" w:ascii="宋体" w:hAnsi="宋体" w:eastAsia="宋体" w:cs="宋体"/>
                <w:color w:val="auto"/>
                <w:sz w:val="21"/>
                <w:szCs w:val="21"/>
                <w:highlight w:val="none"/>
                <w:lang w:val="en-US" w:eastAsia="zh-CN" w:bidi="ar-SA"/>
              </w:rPr>
              <w:t xml:space="preserve">分； </w:t>
            </w:r>
          </w:p>
          <w:p w14:paraId="363ED459">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投入项目的技术设备和材料较严密、合理，管理制度较完备、使用方案较详细，不存在实施难度的得</w:t>
            </w:r>
            <w:r>
              <w:rPr>
                <w:rFonts w:hint="eastAsia" w:ascii="宋体" w:hAnsi="宋体" w:cs="宋体"/>
                <w:color w:val="auto"/>
                <w:sz w:val="21"/>
                <w:szCs w:val="21"/>
                <w:highlight w:val="none"/>
                <w:lang w:val="en-US" w:eastAsia="zh-CN" w:bidi="ar-SA"/>
              </w:rPr>
              <w:t>7</w:t>
            </w:r>
            <w:r>
              <w:rPr>
                <w:rFonts w:hint="eastAsia" w:ascii="宋体" w:hAnsi="宋体" w:eastAsia="宋体" w:cs="宋体"/>
                <w:color w:val="auto"/>
                <w:sz w:val="21"/>
                <w:szCs w:val="21"/>
                <w:highlight w:val="none"/>
                <w:lang w:val="en-US" w:eastAsia="zh-CN" w:bidi="ar-SA"/>
              </w:rPr>
              <w:t xml:space="preserve">分； </w:t>
            </w:r>
          </w:p>
          <w:p w14:paraId="4FA751AF">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bidi="ar-SA"/>
              </w:rPr>
              <w:t>投入技术设备和材料</w:t>
            </w:r>
            <w:r>
              <w:rPr>
                <w:rFonts w:hint="eastAsia" w:ascii="宋体" w:hAnsi="宋体" w:cs="宋体"/>
                <w:color w:val="auto"/>
                <w:sz w:val="21"/>
                <w:szCs w:val="21"/>
                <w:highlight w:val="none"/>
                <w:lang w:val="en-US" w:eastAsia="zh-CN" w:bidi="ar-SA"/>
              </w:rPr>
              <w:t>有欠缺</w:t>
            </w:r>
            <w:r>
              <w:rPr>
                <w:rFonts w:hint="eastAsia" w:ascii="宋体" w:hAnsi="宋体" w:eastAsia="宋体" w:cs="宋体"/>
                <w:color w:val="auto"/>
                <w:sz w:val="21"/>
                <w:szCs w:val="21"/>
                <w:highlight w:val="none"/>
                <w:lang w:val="en-US" w:eastAsia="zh-CN" w:bidi="ar-SA"/>
              </w:rPr>
              <w:t>的得</w:t>
            </w: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 xml:space="preserve">分； </w:t>
            </w:r>
          </w:p>
          <w:p w14:paraId="264FAA85">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投入技术设备和材料明显不足，不能满足项目实施需要的得1分； </w:t>
            </w:r>
          </w:p>
          <w:p w14:paraId="7AC85EAD">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firstLine="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未提供不得分。</w:t>
            </w:r>
          </w:p>
        </w:tc>
      </w:tr>
      <w:tr w14:paraId="6028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94" w:hRule="atLeast"/>
          <w:jc w:val="center"/>
        </w:trPr>
        <w:tc>
          <w:tcPr>
            <w:tcW w:w="937" w:type="dxa"/>
            <w:vMerge w:val="continue"/>
            <w:tcBorders>
              <w:left w:val="single" w:color="000000" w:sz="4" w:space="0"/>
              <w:right w:val="single" w:color="000000" w:sz="4" w:space="0"/>
            </w:tcBorders>
            <w:noWrap/>
            <w:vAlign w:val="center"/>
          </w:tcPr>
          <w:p w14:paraId="3C108385">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3F27647D">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安全文明施工、施工现场扬尘污染防治措施及环境保护方面的措施</w:t>
            </w:r>
          </w:p>
          <w:p w14:paraId="64BB550D">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bidi="ar"/>
              </w:rPr>
              <w:t>（</w:t>
            </w:r>
            <w:r>
              <w:rPr>
                <w:rFonts w:hint="eastAsia" w:ascii="宋体" w:hAnsi="宋体" w:cs="宋体"/>
                <w:color w:val="auto"/>
                <w:sz w:val="21"/>
                <w:szCs w:val="21"/>
                <w:highlight w:val="none"/>
                <w:lang w:val="en-US" w:eastAsia="zh-CN" w:bidi="ar"/>
              </w:rPr>
              <w:t>10</w:t>
            </w:r>
            <w:r>
              <w:rPr>
                <w:rFonts w:hint="eastAsia" w:ascii="宋体" w:hAnsi="宋体" w:eastAsia="宋体" w:cs="宋体"/>
                <w:color w:val="auto"/>
                <w:sz w:val="21"/>
                <w:szCs w:val="21"/>
                <w:highlight w:val="none"/>
                <w:lang w:val="en-US" w:eastAsia="zh-CN" w:bidi="ar"/>
              </w:rPr>
              <w:t>分）</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564E250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供应商制定安全文明施工、施工现场扬尘污染防治措施及环境保护方面的措施。</w:t>
            </w:r>
          </w:p>
          <w:p w14:paraId="247995EB">
            <w:pPr>
              <w:keepNext w:val="0"/>
              <w:keepLines w:val="0"/>
              <w:pageBreakBefore w:val="0"/>
              <w:numPr>
                <w:ilvl w:val="0"/>
                <w:numId w:val="7"/>
              </w:numPr>
              <w:kinsoku/>
              <w:wordWrap/>
              <w:overflowPunct/>
              <w:topLinePunct w:val="0"/>
              <w:autoSpaceDE/>
              <w:autoSpaceDN/>
              <w:bidi w:val="0"/>
              <w:adjustRightInd/>
              <w:snapToGrid/>
              <w:spacing w:line="360" w:lineRule="exact"/>
              <w:ind w:left="425" w:hanging="425"/>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措施科学、严密、合理，描述详细且具有针对性的得</w:t>
            </w:r>
            <w:r>
              <w:rPr>
                <w:rFonts w:hint="eastAsia" w:ascii="宋体" w:hAnsi="宋体" w:cs="宋体"/>
                <w:color w:val="auto"/>
                <w:sz w:val="21"/>
                <w:szCs w:val="21"/>
                <w:highlight w:val="none"/>
                <w:lang w:val="en-US" w:eastAsia="zh-CN" w:bidi="ar-SA"/>
              </w:rPr>
              <w:t>10</w:t>
            </w:r>
            <w:r>
              <w:rPr>
                <w:rFonts w:hint="eastAsia" w:ascii="宋体" w:hAnsi="宋体" w:eastAsia="宋体" w:cs="宋体"/>
                <w:color w:val="auto"/>
                <w:sz w:val="21"/>
                <w:szCs w:val="21"/>
                <w:highlight w:val="none"/>
                <w:lang w:val="en-US" w:eastAsia="zh-CN" w:bidi="ar-SA"/>
              </w:rPr>
              <w:t>分；</w:t>
            </w:r>
          </w:p>
          <w:p w14:paraId="437312AA">
            <w:pPr>
              <w:keepNext w:val="0"/>
              <w:keepLines w:val="0"/>
              <w:pageBreakBefore w:val="0"/>
              <w:numPr>
                <w:ilvl w:val="0"/>
                <w:numId w:val="7"/>
              </w:numPr>
              <w:kinsoku/>
              <w:wordWrap/>
              <w:overflowPunct/>
              <w:topLinePunct w:val="0"/>
              <w:autoSpaceDE/>
              <w:autoSpaceDN/>
              <w:bidi w:val="0"/>
              <w:adjustRightInd/>
              <w:snapToGrid/>
              <w:spacing w:line="360" w:lineRule="exact"/>
              <w:ind w:left="425" w:hanging="425"/>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措施较合理、严密、描述较为详细，不存在实施难度的得</w:t>
            </w:r>
            <w:r>
              <w:rPr>
                <w:rFonts w:hint="eastAsia" w:ascii="宋体" w:hAnsi="宋体" w:cs="宋体"/>
                <w:color w:val="auto"/>
                <w:sz w:val="21"/>
                <w:szCs w:val="21"/>
                <w:highlight w:val="none"/>
                <w:lang w:val="en-US" w:eastAsia="zh-CN" w:bidi="ar-SA"/>
              </w:rPr>
              <w:t>7</w:t>
            </w:r>
            <w:r>
              <w:rPr>
                <w:rFonts w:hint="eastAsia" w:ascii="宋体" w:hAnsi="宋体" w:eastAsia="宋体" w:cs="宋体"/>
                <w:color w:val="auto"/>
                <w:sz w:val="21"/>
                <w:szCs w:val="21"/>
                <w:highlight w:val="none"/>
                <w:lang w:val="en-US" w:eastAsia="zh-CN" w:bidi="ar-SA"/>
              </w:rPr>
              <w:t>分；</w:t>
            </w:r>
          </w:p>
          <w:p w14:paraId="49F9E52E">
            <w:pPr>
              <w:keepNext w:val="0"/>
              <w:keepLines w:val="0"/>
              <w:pageBreakBefore w:val="0"/>
              <w:numPr>
                <w:ilvl w:val="0"/>
                <w:numId w:val="7"/>
              </w:numPr>
              <w:kinsoku/>
              <w:wordWrap/>
              <w:overflowPunct/>
              <w:topLinePunct w:val="0"/>
              <w:autoSpaceDE/>
              <w:autoSpaceDN/>
              <w:bidi w:val="0"/>
              <w:adjustRightInd/>
              <w:snapToGrid/>
              <w:spacing w:line="360" w:lineRule="exact"/>
              <w:ind w:left="425" w:hanging="425"/>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措施较合理、严密、描述</w:t>
            </w:r>
            <w:r>
              <w:rPr>
                <w:rFonts w:hint="eastAsia" w:ascii="宋体" w:hAnsi="宋体" w:eastAsia="宋体" w:cs="宋体"/>
                <w:b w:val="0"/>
                <w:bCs w:val="0"/>
                <w:color w:val="auto"/>
                <w:sz w:val="21"/>
                <w:szCs w:val="21"/>
                <w:highlight w:val="none"/>
                <w:lang w:eastAsia="zh-CN"/>
              </w:rPr>
              <w:t>略欠缺</w:t>
            </w:r>
            <w:r>
              <w:rPr>
                <w:rFonts w:hint="eastAsia" w:ascii="宋体" w:hAnsi="宋体" w:eastAsia="宋体" w:cs="宋体"/>
                <w:color w:val="auto"/>
                <w:sz w:val="21"/>
                <w:szCs w:val="21"/>
                <w:highlight w:val="none"/>
                <w:lang w:val="en-US" w:eastAsia="zh-CN" w:bidi="ar-SA"/>
              </w:rPr>
              <w:t>，存在实施难度的得</w:t>
            </w: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分；</w:t>
            </w:r>
          </w:p>
          <w:p w14:paraId="56EF39B7">
            <w:pPr>
              <w:keepNext w:val="0"/>
              <w:keepLines w:val="0"/>
              <w:pageBreakBefore w:val="0"/>
              <w:numPr>
                <w:ilvl w:val="0"/>
                <w:numId w:val="7"/>
              </w:numPr>
              <w:kinsoku/>
              <w:wordWrap/>
              <w:overflowPunct/>
              <w:topLinePunct w:val="0"/>
              <w:autoSpaceDE/>
              <w:autoSpaceDN/>
              <w:bidi w:val="0"/>
              <w:adjustRightInd/>
              <w:snapToGrid/>
              <w:spacing w:line="360" w:lineRule="exact"/>
              <w:ind w:left="425" w:hanging="425"/>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措施具有明显不合理项、存在实施难度得</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w:t>
            </w:r>
          </w:p>
          <w:p w14:paraId="5A5DBC12">
            <w:pPr>
              <w:keepNext w:val="0"/>
              <w:keepLines w:val="0"/>
              <w:pageBreakBefore w:val="0"/>
              <w:numPr>
                <w:ilvl w:val="0"/>
                <w:numId w:val="7"/>
              </w:numPr>
              <w:kinsoku/>
              <w:wordWrap/>
              <w:overflowPunct/>
              <w:topLinePunct w:val="0"/>
              <w:autoSpaceDE/>
              <w:autoSpaceDN/>
              <w:bidi w:val="0"/>
              <w:adjustRightInd/>
              <w:snapToGrid/>
              <w:spacing w:line="360" w:lineRule="exact"/>
              <w:ind w:left="425" w:hanging="425"/>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bidi="ar-SA"/>
              </w:rPr>
              <w:t>其余不得分。</w:t>
            </w:r>
          </w:p>
        </w:tc>
      </w:tr>
      <w:tr w14:paraId="3B98E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69" w:hRule="atLeast"/>
          <w:jc w:val="center"/>
        </w:trPr>
        <w:tc>
          <w:tcPr>
            <w:tcW w:w="937" w:type="dxa"/>
            <w:vMerge w:val="continue"/>
            <w:tcBorders>
              <w:left w:val="single" w:color="000000" w:sz="4" w:space="0"/>
              <w:bottom w:val="single" w:color="auto" w:sz="4" w:space="0"/>
              <w:right w:val="single" w:color="000000" w:sz="4" w:space="0"/>
            </w:tcBorders>
            <w:noWrap/>
            <w:vAlign w:val="center"/>
          </w:tcPr>
          <w:p w14:paraId="39943FC9">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rPr>
            </w:pPr>
          </w:p>
        </w:tc>
        <w:tc>
          <w:tcPr>
            <w:tcW w:w="1081" w:type="dxa"/>
            <w:tcBorders>
              <w:top w:val="single" w:color="000000" w:sz="4" w:space="0"/>
              <w:left w:val="single" w:color="000000" w:sz="4" w:space="0"/>
              <w:bottom w:val="single" w:color="auto" w:sz="4" w:space="0"/>
              <w:right w:val="single" w:color="000000" w:sz="4" w:space="0"/>
            </w:tcBorders>
            <w:noWrap/>
            <w:vAlign w:val="center"/>
          </w:tcPr>
          <w:p w14:paraId="6BE3ACBB">
            <w:pPr>
              <w:keepNext w:val="0"/>
              <w:keepLines w:val="0"/>
              <w:pageBreakBefore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cs="仿宋"/>
                <w:szCs w:val="21"/>
                <w:lang w:bidi="ar"/>
              </w:rPr>
              <w:t>应急预案和风险管理方案（</w:t>
            </w:r>
            <w:r>
              <w:rPr>
                <w:rFonts w:hint="eastAsia" w:ascii="宋体" w:hAnsi="宋体" w:cs="仿宋"/>
                <w:szCs w:val="21"/>
                <w:lang w:val="en-US" w:eastAsia="zh-CN" w:bidi="ar"/>
              </w:rPr>
              <w:t>10</w:t>
            </w:r>
            <w:r>
              <w:rPr>
                <w:rFonts w:hint="eastAsia" w:ascii="宋体" w:hAnsi="宋体" w:cs="仿宋"/>
                <w:szCs w:val="21"/>
                <w:lang w:bidi="ar"/>
              </w:rPr>
              <w:t>分）</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4126E4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val="en-US" w:eastAsia="zh-CN" w:bidi="ar"/>
              </w:rPr>
              <w:t>一</w:t>
            </w:r>
            <w:r>
              <w:rPr>
                <w:rFonts w:hint="eastAsia" w:ascii="宋体" w:hAnsi="宋体" w:cs="仿宋"/>
                <w:szCs w:val="21"/>
                <w:lang w:bidi="ar"/>
              </w:rPr>
              <w:t>、应急预案（总分5分）</w:t>
            </w:r>
          </w:p>
          <w:p w14:paraId="4F5875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bidi="ar"/>
              </w:rPr>
              <w:t>1.有应急预案且方案科学、严密、合理，描述详细难点分析措施可行具有针对性的得5分；</w:t>
            </w:r>
          </w:p>
          <w:p w14:paraId="617E2C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bidi="ar"/>
              </w:rPr>
              <w:t>2.有应急预案且方案基本合理、描述一般、存在可操作性得3分；</w:t>
            </w:r>
          </w:p>
          <w:p w14:paraId="1177C0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val="en-US" w:eastAsia="zh-CN" w:bidi="ar"/>
              </w:rPr>
              <w:t>3</w:t>
            </w:r>
            <w:r>
              <w:rPr>
                <w:rFonts w:hint="eastAsia" w:ascii="宋体" w:hAnsi="宋体" w:cs="仿宋"/>
                <w:szCs w:val="21"/>
                <w:lang w:bidi="ar"/>
              </w:rPr>
              <w:t>.有应急预案且方案具有明显不合理项、描述欠缺、存在实施难度得1分；</w:t>
            </w:r>
          </w:p>
          <w:p w14:paraId="41002A8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cs="仿宋"/>
                <w:szCs w:val="21"/>
                <w:lang w:bidi="ar"/>
              </w:rPr>
            </w:pPr>
            <w:r>
              <w:rPr>
                <w:rFonts w:hint="eastAsia" w:ascii="宋体" w:hAnsi="宋体" w:cs="仿宋"/>
                <w:szCs w:val="21"/>
                <w:lang w:val="en-US" w:eastAsia="zh-CN" w:bidi="ar"/>
              </w:rPr>
              <w:t>4</w:t>
            </w:r>
            <w:r>
              <w:rPr>
                <w:rFonts w:hint="eastAsia" w:ascii="宋体" w:hAnsi="宋体" w:cs="仿宋"/>
                <w:szCs w:val="21"/>
                <w:lang w:bidi="ar"/>
              </w:rPr>
              <w:t>.不提供方案的不得分。</w:t>
            </w:r>
          </w:p>
          <w:p w14:paraId="534C92A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val="en-US" w:eastAsia="zh-CN" w:bidi="ar"/>
              </w:rPr>
              <w:t>二</w:t>
            </w:r>
            <w:r>
              <w:rPr>
                <w:rFonts w:hint="eastAsia" w:ascii="宋体" w:hAnsi="宋体" w:cs="仿宋"/>
                <w:szCs w:val="21"/>
                <w:lang w:bidi="ar"/>
              </w:rPr>
              <w:t>、风险管理方案（总分5分）</w:t>
            </w:r>
          </w:p>
          <w:p w14:paraId="75473E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bidi="ar"/>
              </w:rPr>
              <w:t>1.有风险管理方案且方案科学、严密、合理，描述详细难点分析措施可行具有针对性的得5分；</w:t>
            </w:r>
          </w:p>
          <w:p w14:paraId="68FCF7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bidi="ar"/>
              </w:rPr>
              <w:t>2.有风险管理方案且较合理、严密、描述较为详细，不存在实施难度的得</w:t>
            </w:r>
            <w:r>
              <w:rPr>
                <w:rFonts w:hint="eastAsia" w:ascii="宋体" w:hAnsi="宋体" w:cs="仿宋"/>
                <w:szCs w:val="21"/>
                <w:lang w:val="en-US" w:eastAsia="zh-CN" w:bidi="ar"/>
              </w:rPr>
              <w:t>3</w:t>
            </w:r>
            <w:r>
              <w:rPr>
                <w:rFonts w:hint="eastAsia" w:ascii="宋体" w:hAnsi="宋体" w:cs="仿宋"/>
                <w:szCs w:val="21"/>
                <w:lang w:bidi="ar"/>
              </w:rPr>
              <w:t>分；</w:t>
            </w:r>
          </w:p>
          <w:p w14:paraId="5B502B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仿宋"/>
                <w:szCs w:val="21"/>
                <w:lang w:bidi="ar"/>
              </w:rPr>
            </w:pPr>
            <w:r>
              <w:rPr>
                <w:rFonts w:hint="eastAsia" w:ascii="宋体" w:hAnsi="宋体" w:cs="仿宋"/>
                <w:szCs w:val="21"/>
                <w:lang w:val="en-US" w:eastAsia="zh-CN" w:bidi="ar"/>
              </w:rPr>
              <w:t>3</w:t>
            </w:r>
            <w:r>
              <w:rPr>
                <w:rFonts w:hint="eastAsia" w:ascii="宋体" w:hAnsi="宋体" w:cs="仿宋"/>
                <w:szCs w:val="21"/>
                <w:lang w:bidi="ar"/>
              </w:rPr>
              <w:t>.有风险管理方案但方案具有不合理项、描述略欠缺、存在一定的实施难度得1分；</w:t>
            </w:r>
          </w:p>
          <w:p w14:paraId="1E753B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cs="仿宋"/>
                <w:szCs w:val="21"/>
                <w:lang w:val="en-US" w:eastAsia="zh-CN" w:bidi="ar"/>
              </w:rPr>
              <w:t>4</w:t>
            </w:r>
            <w:r>
              <w:rPr>
                <w:rFonts w:hint="eastAsia" w:ascii="宋体" w:hAnsi="宋体" w:cs="仿宋"/>
                <w:szCs w:val="21"/>
                <w:lang w:bidi="ar"/>
              </w:rPr>
              <w:t>.不提供方案的不得分。</w:t>
            </w:r>
          </w:p>
        </w:tc>
      </w:tr>
      <w:tr w14:paraId="3E20D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21" w:hRule="atLeast"/>
          <w:jc w:val="center"/>
        </w:trPr>
        <w:tc>
          <w:tcPr>
            <w:tcW w:w="937" w:type="dxa"/>
            <w:vMerge w:val="restart"/>
            <w:tcBorders>
              <w:top w:val="single" w:color="auto" w:sz="4" w:space="0"/>
              <w:left w:val="single" w:color="000000" w:sz="4" w:space="0"/>
              <w:right w:val="single" w:color="000000" w:sz="4" w:space="0"/>
            </w:tcBorders>
            <w:noWrap/>
            <w:vAlign w:val="center"/>
          </w:tcPr>
          <w:p w14:paraId="5A5D1F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商务部分</w:t>
            </w:r>
          </w:p>
          <w:p w14:paraId="2E0CB33E">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20</w:t>
            </w:r>
            <w:r>
              <w:rPr>
                <w:rFonts w:hint="eastAsia" w:ascii="宋体" w:hAnsi="宋体" w:eastAsia="宋体" w:cs="宋体"/>
                <w:b w:val="0"/>
                <w:bCs w:val="0"/>
                <w:sz w:val="21"/>
                <w:szCs w:val="21"/>
                <w:highlight w:val="none"/>
              </w:rPr>
              <w:t>分)</w:t>
            </w:r>
          </w:p>
        </w:tc>
        <w:tc>
          <w:tcPr>
            <w:tcW w:w="1081" w:type="dxa"/>
            <w:tcBorders>
              <w:top w:val="single" w:color="auto" w:sz="4" w:space="0"/>
              <w:left w:val="single" w:color="000000" w:sz="4" w:space="0"/>
              <w:right w:val="single" w:color="000000" w:sz="4" w:space="0"/>
            </w:tcBorders>
            <w:noWrap/>
            <w:vAlign w:val="center"/>
          </w:tcPr>
          <w:p w14:paraId="008854A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检测报告及承诺</w:t>
            </w:r>
          </w:p>
          <w:p w14:paraId="19F7023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center"/>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2F2C7141">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cs="仿宋"/>
                <w:color w:val="auto"/>
                <w:szCs w:val="21"/>
                <w:lang w:bidi="ar"/>
              </w:rPr>
            </w:pPr>
            <w:r>
              <w:rPr>
                <w:rFonts w:hint="eastAsia" w:ascii="宋体" w:hAnsi="宋体" w:eastAsia="宋体" w:cs="仿宋"/>
                <w:color w:val="auto"/>
                <w:sz w:val="21"/>
                <w:szCs w:val="21"/>
                <w:lang w:val="en-US" w:eastAsia="zh-CN" w:bidi="ar"/>
              </w:rPr>
              <w:t>1、</w:t>
            </w:r>
            <w:r>
              <w:rPr>
                <w:rFonts w:hint="eastAsia" w:ascii="宋体" w:hAnsi="宋体" w:cs="仿宋"/>
                <w:szCs w:val="21"/>
                <w:lang w:bidi="ar"/>
              </w:rPr>
              <w:t>提供本次施工</w:t>
            </w:r>
            <w:r>
              <w:rPr>
                <w:rFonts w:hint="eastAsia" w:ascii="宋体" w:hAnsi="宋体" w:cs="仿宋"/>
                <w:szCs w:val="21"/>
                <w:lang w:val="en-US" w:eastAsia="zh-CN" w:bidi="ar"/>
              </w:rPr>
              <w:t>拟</w:t>
            </w:r>
            <w:r>
              <w:rPr>
                <w:rFonts w:hint="eastAsia" w:ascii="宋体" w:hAnsi="宋体" w:cs="仿宋"/>
                <w:szCs w:val="21"/>
                <w:lang w:bidi="ar"/>
              </w:rPr>
              <w:t>使用的</w:t>
            </w:r>
            <w:r>
              <w:rPr>
                <w:rFonts w:hint="eastAsia" w:ascii="宋体" w:hAnsi="宋体" w:cs="仿宋"/>
                <w:szCs w:val="21"/>
                <w:lang w:val="en-US" w:eastAsia="zh-CN" w:bidi="ar"/>
              </w:rPr>
              <w:t>石膏板</w:t>
            </w:r>
            <w:r>
              <w:rPr>
                <w:rFonts w:hint="eastAsia" w:ascii="宋体" w:hAnsi="宋体" w:cs="仿宋"/>
                <w:szCs w:val="21"/>
                <w:lang w:bidi="ar"/>
              </w:rPr>
              <w:t>、墙</w:t>
            </w:r>
            <w:r>
              <w:rPr>
                <w:rFonts w:hint="eastAsia" w:ascii="宋体" w:hAnsi="宋体" w:cs="仿宋"/>
                <w:szCs w:val="21"/>
                <w:lang w:val="en-US" w:eastAsia="zh-CN" w:bidi="ar"/>
              </w:rPr>
              <w:t>和</w:t>
            </w:r>
            <w:r>
              <w:rPr>
                <w:rFonts w:hint="eastAsia" w:ascii="宋体" w:hAnsi="宋体" w:cs="仿宋"/>
                <w:szCs w:val="21"/>
                <w:lang w:bidi="ar"/>
              </w:rPr>
              <w:t>顶面涂料</w:t>
            </w:r>
            <w:r>
              <w:rPr>
                <w:rFonts w:hint="eastAsia" w:ascii="宋体" w:hAnsi="宋体" w:cs="仿宋"/>
                <w:szCs w:val="21"/>
                <w:lang w:eastAsia="zh-CN" w:bidi="ar"/>
              </w:rPr>
              <w:t>、</w:t>
            </w:r>
            <w:r>
              <w:rPr>
                <w:rFonts w:hint="eastAsia" w:ascii="宋体" w:hAnsi="宋体" w:cs="仿宋"/>
                <w:szCs w:val="21"/>
                <w:lang w:val="en-US" w:eastAsia="zh-CN" w:bidi="ar"/>
              </w:rPr>
              <w:t>腻子及胶水、密封胶、结构胶</w:t>
            </w:r>
            <w:r>
              <w:rPr>
                <w:rFonts w:hint="eastAsia" w:ascii="宋体" w:hAnsi="宋体" w:cs="仿宋"/>
                <w:szCs w:val="21"/>
                <w:lang w:bidi="ar"/>
              </w:rPr>
              <w:t>等主</w:t>
            </w:r>
            <w:r>
              <w:rPr>
                <w:rFonts w:hint="eastAsia" w:ascii="宋体" w:hAnsi="宋体" w:cs="仿宋"/>
                <w:szCs w:val="21"/>
                <w:lang w:val="en-US" w:eastAsia="zh-CN" w:bidi="ar"/>
              </w:rPr>
              <w:t>辅</w:t>
            </w:r>
            <w:r>
              <w:rPr>
                <w:rFonts w:hint="eastAsia" w:ascii="宋体" w:hAnsi="宋体" w:cs="仿宋"/>
                <w:szCs w:val="21"/>
                <w:lang w:bidi="ar"/>
              </w:rPr>
              <w:t>材品牌</w:t>
            </w:r>
            <w:r>
              <w:rPr>
                <w:rFonts w:hint="eastAsia" w:ascii="宋体" w:hAnsi="宋体" w:cs="仿宋"/>
                <w:szCs w:val="21"/>
                <w:lang w:val="en-US" w:eastAsia="zh-CN" w:bidi="ar"/>
              </w:rPr>
              <w:t>及第三方</w:t>
            </w:r>
            <w:r>
              <w:rPr>
                <w:rFonts w:hint="eastAsia" w:ascii="宋体" w:hAnsi="宋体" w:cs="仿宋"/>
                <w:szCs w:val="21"/>
                <w:lang w:bidi="ar"/>
              </w:rPr>
              <w:t>环保检测报告</w:t>
            </w:r>
            <w:r>
              <w:rPr>
                <w:rFonts w:hint="eastAsia" w:ascii="宋体" w:hAnsi="宋体" w:cs="仿宋"/>
                <w:szCs w:val="21"/>
                <w:lang w:eastAsia="zh-CN" w:bidi="ar"/>
              </w:rPr>
              <w:t>（</w:t>
            </w:r>
            <w:r>
              <w:rPr>
                <w:rFonts w:hint="eastAsia" w:ascii="宋体" w:hAnsi="宋体" w:cs="仿宋"/>
                <w:szCs w:val="21"/>
                <w:lang w:val="en-US" w:eastAsia="zh-CN" w:bidi="ar"/>
              </w:rPr>
              <w:t>复印件</w:t>
            </w:r>
            <w:r>
              <w:rPr>
                <w:rFonts w:hint="eastAsia" w:ascii="宋体" w:hAnsi="宋体" w:cs="仿宋"/>
                <w:szCs w:val="21"/>
                <w:lang w:eastAsia="zh-CN" w:bidi="ar"/>
              </w:rPr>
              <w:t>）</w:t>
            </w:r>
            <w:r>
              <w:rPr>
                <w:rFonts w:hint="eastAsia" w:ascii="宋体" w:hAnsi="宋体" w:cs="仿宋"/>
                <w:szCs w:val="21"/>
                <w:lang w:bidi="ar"/>
              </w:rPr>
              <w:t>，每提供1种材料品牌及</w:t>
            </w:r>
            <w:r>
              <w:rPr>
                <w:rFonts w:hint="eastAsia" w:ascii="宋体" w:hAnsi="宋体" w:cs="仿宋"/>
                <w:szCs w:val="21"/>
                <w:lang w:val="en-US" w:eastAsia="zh-CN" w:bidi="ar"/>
              </w:rPr>
              <w:t>第三方</w:t>
            </w:r>
            <w:r>
              <w:rPr>
                <w:rFonts w:hint="eastAsia" w:ascii="宋体" w:hAnsi="宋体" w:cs="仿宋"/>
                <w:szCs w:val="21"/>
                <w:lang w:bidi="ar"/>
              </w:rPr>
              <w:t>环保检测报告</w:t>
            </w:r>
            <w:r>
              <w:rPr>
                <w:rFonts w:hint="eastAsia" w:ascii="宋体" w:hAnsi="宋体" w:cs="仿宋"/>
                <w:szCs w:val="21"/>
                <w:lang w:eastAsia="zh-CN" w:bidi="ar"/>
              </w:rPr>
              <w:t>（</w:t>
            </w:r>
            <w:r>
              <w:rPr>
                <w:rFonts w:hint="eastAsia" w:ascii="宋体" w:hAnsi="宋体" w:cs="仿宋"/>
                <w:szCs w:val="21"/>
                <w:lang w:val="en-US" w:eastAsia="zh-CN" w:bidi="ar"/>
              </w:rPr>
              <w:t>复印件</w:t>
            </w:r>
            <w:r>
              <w:rPr>
                <w:rFonts w:hint="eastAsia" w:ascii="宋体" w:hAnsi="宋体" w:cs="仿宋"/>
                <w:szCs w:val="21"/>
                <w:lang w:eastAsia="zh-CN" w:bidi="ar"/>
              </w:rPr>
              <w:t>）</w:t>
            </w:r>
            <w:r>
              <w:rPr>
                <w:rFonts w:hint="eastAsia" w:ascii="宋体" w:hAnsi="宋体" w:cs="仿宋"/>
                <w:szCs w:val="21"/>
                <w:lang w:bidi="ar"/>
              </w:rPr>
              <w:t>得</w:t>
            </w:r>
            <w:r>
              <w:rPr>
                <w:rFonts w:hint="eastAsia" w:ascii="宋体" w:hAnsi="宋体" w:cs="仿宋"/>
                <w:szCs w:val="21"/>
                <w:lang w:val="en-US" w:eastAsia="zh-CN" w:bidi="ar"/>
              </w:rPr>
              <w:t>0.5</w:t>
            </w:r>
            <w:r>
              <w:rPr>
                <w:rFonts w:hint="eastAsia" w:ascii="宋体" w:hAnsi="宋体" w:cs="仿宋"/>
                <w:szCs w:val="21"/>
                <w:lang w:bidi="ar"/>
              </w:rPr>
              <w:t>分，总分</w:t>
            </w:r>
            <w:r>
              <w:rPr>
                <w:rFonts w:hint="eastAsia" w:ascii="宋体" w:hAnsi="宋体" w:cs="仿宋"/>
                <w:color w:val="auto"/>
                <w:szCs w:val="21"/>
                <w:lang w:val="en-US" w:eastAsia="zh-CN" w:bidi="ar"/>
              </w:rPr>
              <w:t>2</w:t>
            </w:r>
            <w:r>
              <w:rPr>
                <w:rFonts w:hint="eastAsia" w:ascii="宋体" w:hAnsi="宋体" w:cs="仿宋"/>
                <w:color w:val="auto"/>
                <w:szCs w:val="21"/>
                <w:lang w:bidi="ar"/>
              </w:rPr>
              <w:t>分。</w:t>
            </w:r>
          </w:p>
          <w:p w14:paraId="050ED0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lang w:val="en-US" w:eastAsia="zh-CN" w:bidi="ar-SA"/>
              </w:rPr>
              <w:t>2、</w:t>
            </w:r>
            <w:r>
              <w:rPr>
                <w:rFonts w:hint="eastAsia" w:ascii="宋体" w:hAnsi="宋体" w:cs="宋体"/>
                <w:color w:val="auto"/>
                <w:sz w:val="21"/>
                <w:szCs w:val="21"/>
                <w:highlight w:val="none"/>
                <w:lang w:val="en-US" w:eastAsia="zh-CN"/>
              </w:rPr>
              <w:t>除防水工程外，其他工程质保期为2年，在此基础上，其他工程质保期每增加1年得1分，最多3分（提供承诺书）。</w:t>
            </w:r>
          </w:p>
        </w:tc>
      </w:tr>
      <w:tr w14:paraId="0C971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90" w:hRule="atLeast"/>
          <w:jc w:val="center"/>
        </w:trPr>
        <w:tc>
          <w:tcPr>
            <w:tcW w:w="937" w:type="dxa"/>
            <w:vMerge w:val="continue"/>
            <w:tcBorders>
              <w:left w:val="single" w:color="000000" w:sz="4" w:space="0"/>
              <w:right w:val="single" w:color="000000" w:sz="4" w:space="0"/>
            </w:tcBorders>
            <w:noWrap/>
            <w:vAlign w:val="center"/>
          </w:tcPr>
          <w:p w14:paraId="79FBF58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textAlignment w:val="auto"/>
            </w:pPr>
          </w:p>
        </w:tc>
        <w:tc>
          <w:tcPr>
            <w:tcW w:w="1081" w:type="dxa"/>
            <w:tcBorders>
              <w:left w:val="single" w:color="000000" w:sz="4" w:space="0"/>
              <w:bottom w:val="single" w:color="000000" w:sz="4" w:space="0"/>
              <w:right w:val="single" w:color="000000" w:sz="4" w:space="0"/>
            </w:tcBorders>
            <w:noWrap/>
            <w:vAlign w:val="center"/>
          </w:tcPr>
          <w:p w14:paraId="6DD919B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售后方案</w:t>
            </w:r>
          </w:p>
          <w:p w14:paraId="630F688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firstLine="0" w:firstLineChars="0"/>
              <w:jc w:val="center"/>
              <w:textAlignment w:val="auto"/>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6BD056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bookmarkStart w:id="28" w:name="_GoBack"/>
            <w:bookmarkEnd w:id="28"/>
            <w:r>
              <w:rPr>
                <w:rFonts w:hint="eastAsia" w:ascii="宋体" w:hAnsi="宋体" w:eastAsia="宋体" w:cs="宋体"/>
                <w:b w:val="0"/>
                <w:bCs w:val="0"/>
                <w:color w:val="auto"/>
                <w:sz w:val="21"/>
                <w:szCs w:val="21"/>
                <w:highlight w:val="none"/>
                <w:lang w:eastAsia="zh-CN"/>
              </w:rPr>
              <w:t>供应商提出后期质保承诺、维护响应、服务方式等，评委根据方案综合打分。</w:t>
            </w:r>
            <w:r>
              <w:rPr>
                <w:rFonts w:hint="eastAsia" w:ascii="宋体" w:hAnsi="宋体" w:cs="仿宋"/>
                <w:szCs w:val="21"/>
                <w:lang w:bidi="ar"/>
              </w:rPr>
              <w:t>总分5分。</w:t>
            </w:r>
          </w:p>
          <w:p w14:paraId="39ACCF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lang w:val="en-US" w:eastAsia="zh-CN" w:bidi="ar-SA"/>
              </w:rPr>
              <w:t>(1)</w:t>
            </w:r>
            <w:r>
              <w:rPr>
                <w:rFonts w:hint="eastAsia" w:ascii="宋体" w:hAnsi="宋体" w:eastAsia="宋体" w:cs="宋体"/>
                <w:b w:val="0"/>
                <w:bCs w:val="0"/>
                <w:color w:val="auto"/>
                <w:sz w:val="21"/>
                <w:szCs w:val="21"/>
                <w:highlight w:val="none"/>
                <w:lang w:eastAsia="zh-CN"/>
              </w:rPr>
              <w:t>服务保障科学、严密、合理，描述详细且具有针对性的得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p w14:paraId="2FA4FC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lang w:val="en-US" w:eastAsia="zh-CN" w:bidi="ar-SA"/>
              </w:rPr>
              <w:t>(2)</w:t>
            </w:r>
            <w:r>
              <w:rPr>
                <w:rFonts w:hint="eastAsia" w:ascii="宋体" w:hAnsi="宋体" w:eastAsia="宋体" w:cs="宋体"/>
                <w:b w:val="0"/>
                <w:bCs w:val="0"/>
                <w:color w:val="auto"/>
                <w:sz w:val="21"/>
                <w:szCs w:val="21"/>
                <w:highlight w:val="none"/>
                <w:lang w:eastAsia="zh-CN"/>
              </w:rPr>
              <w:t>服务保障较合理、严密、描述较详细且较有针对性的得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p>
          <w:p w14:paraId="64BF9D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lang w:val="en-US" w:eastAsia="zh-CN" w:bidi="ar-SA"/>
              </w:rPr>
              <w:t>(3)</w:t>
            </w:r>
            <w:r>
              <w:rPr>
                <w:rFonts w:hint="eastAsia" w:ascii="宋体" w:hAnsi="宋体" w:eastAsia="宋体" w:cs="宋体"/>
                <w:b w:val="0"/>
                <w:bCs w:val="0"/>
                <w:color w:val="auto"/>
                <w:sz w:val="21"/>
                <w:szCs w:val="21"/>
                <w:highlight w:val="none"/>
                <w:lang w:eastAsia="zh-CN"/>
              </w:rPr>
              <w:t>服务保障基本合理、存在可操作性得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w:t>
            </w:r>
          </w:p>
          <w:p w14:paraId="7F836E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b w:val="0"/>
                <w:bCs w:val="0"/>
                <w:color w:val="auto"/>
                <w:sz w:val="21"/>
                <w:szCs w:val="21"/>
                <w:highlight w:val="none"/>
                <w:lang w:eastAsia="zh-CN"/>
              </w:rPr>
            </w:pPr>
            <w:r>
              <w:rPr>
                <w:rFonts w:hint="default" w:ascii="宋体" w:hAnsi="宋体" w:eastAsia="宋体" w:cs="宋体"/>
                <w:b w:val="0"/>
                <w:bCs w:val="0"/>
                <w:color w:val="auto"/>
                <w:sz w:val="21"/>
                <w:szCs w:val="21"/>
                <w:lang w:val="en-US" w:eastAsia="zh-CN" w:bidi="ar-SA"/>
              </w:rPr>
              <w:t>(4)</w:t>
            </w:r>
            <w:r>
              <w:rPr>
                <w:rFonts w:hint="eastAsia" w:ascii="宋体" w:hAnsi="宋体" w:eastAsia="宋体" w:cs="宋体"/>
                <w:b w:val="0"/>
                <w:bCs w:val="0"/>
                <w:color w:val="auto"/>
                <w:sz w:val="21"/>
                <w:szCs w:val="21"/>
                <w:highlight w:val="none"/>
                <w:lang w:eastAsia="zh-CN"/>
              </w:rPr>
              <w:t>服务保障具有不合理项、描述略欠缺、存在一定的实施难度得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w:t>
            </w:r>
          </w:p>
          <w:p w14:paraId="5F7846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0" w:leftChars="0" w:firstLine="0" w:firstLineChars="0"/>
              <w:textAlignment w:val="auto"/>
              <w:rPr>
                <w:rFonts w:hint="eastAsia" w:ascii="宋体" w:hAnsi="宋体" w:eastAsia="宋体" w:cs="宋体"/>
                <w:sz w:val="21"/>
                <w:szCs w:val="21"/>
                <w:highlight w:val="none"/>
              </w:rPr>
            </w:pPr>
            <w:r>
              <w:rPr>
                <w:rFonts w:hint="default" w:ascii="宋体" w:hAnsi="宋体" w:eastAsia="宋体" w:cs="宋体"/>
                <w:sz w:val="21"/>
                <w:szCs w:val="21"/>
                <w:lang w:val="en-US" w:eastAsia="zh-CN" w:bidi="ar-SA"/>
              </w:rPr>
              <w:t>(5)</w:t>
            </w:r>
            <w:r>
              <w:rPr>
                <w:rFonts w:hint="eastAsia" w:ascii="宋体" w:hAnsi="宋体" w:eastAsia="宋体" w:cs="宋体"/>
                <w:b w:val="0"/>
                <w:bCs w:val="0"/>
                <w:color w:val="auto"/>
                <w:sz w:val="21"/>
                <w:szCs w:val="21"/>
                <w:highlight w:val="none"/>
                <w:lang w:eastAsia="zh-CN"/>
              </w:rPr>
              <w:t>其余不得分。</w:t>
            </w:r>
          </w:p>
        </w:tc>
      </w:tr>
      <w:tr w14:paraId="0E5F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4" w:hRule="atLeast"/>
          <w:jc w:val="center"/>
        </w:trPr>
        <w:tc>
          <w:tcPr>
            <w:tcW w:w="937" w:type="dxa"/>
            <w:vMerge w:val="continue"/>
            <w:tcBorders>
              <w:left w:val="single" w:color="000000" w:sz="4" w:space="0"/>
              <w:right w:val="single" w:color="000000" w:sz="4" w:space="0"/>
            </w:tcBorders>
            <w:noWrap/>
            <w:vAlign w:val="center"/>
          </w:tcPr>
          <w:p w14:paraId="55F78F0E">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val="0"/>
                <w:bCs w:val="0"/>
                <w:color w:val="auto"/>
                <w:sz w:val="21"/>
                <w:szCs w:val="21"/>
                <w:highlight w:val="none"/>
                <w:lang w:val="en-US" w:eastAsia="zh-CN"/>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D606E9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人员配备</w:t>
            </w:r>
          </w:p>
          <w:p w14:paraId="034B58A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59157A73">
            <w:pPr>
              <w:keepNext w:val="0"/>
              <w:keepLines w:val="0"/>
              <w:pageBreakBefore w:val="0"/>
              <w:numPr>
                <w:ilvl w:val="0"/>
                <w:numId w:val="8"/>
              </w:numPr>
              <w:kinsoku/>
              <w:wordWrap/>
              <w:overflowPunct/>
              <w:topLinePunct w:val="0"/>
              <w:autoSpaceDE/>
              <w:autoSpaceDN/>
              <w:bidi w:val="0"/>
              <w:adjustRightInd/>
              <w:snapToGrid/>
              <w:spacing w:beforeAutospacing="0" w:afterAutospacing="0" w:line="360" w:lineRule="exact"/>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拟派本项目</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en-US" w:eastAsia="zh-CN"/>
              </w:rPr>
              <w:t>具备工程类</w:t>
            </w:r>
            <w:r>
              <w:rPr>
                <w:rFonts w:hint="eastAsia" w:ascii="宋体" w:hAnsi="宋体" w:eastAsia="宋体" w:cs="宋体"/>
                <w:color w:val="auto"/>
                <w:sz w:val="21"/>
                <w:szCs w:val="21"/>
                <w:highlight w:val="none"/>
              </w:rPr>
              <w:t>中级</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lang w:val="zh-CN"/>
              </w:rPr>
              <w:t>（提供</w:t>
            </w:r>
            <w:r>
              <w:rPr>
                <w:rFonts w:hint="eastAsia" w:ascii="宋体" w:hAnsi="宋体" w:eastAsia="宋体" w:cs="宋体"/>
                <w:b/>
                <w:bCs/>
                <w:color w:val="auto"/>
                <w:sz w:val="21"/>
                <w:szCs w:val="21"/>
                <w:highlight w:val="none"/>
                <w:lang w:val="en-US" w:eastAsia="zh-CN"/>
              </w:rPr>
              <w:t>有效</w:t>
            </w:r>
            <w:r>
              <w:rPr>
                <w:rFonts w:hint="eastAsia" w:ascii="宋体" w:hAnsi="宋体" w:eastAsia="宋体" w:cs="宋体"/>
                <w:b/>
                <w:bCs/>
                <w:color w:val="auto"/>
                <w:sz w:val="21"/>
                <w:szCs w:val="21"/>
                <w:highlight w:val="none"/>
                <w:lang w:val="zh-CN"/>
              </w:rPr>
              <w:t>证书原件扫描件）</w:t>
            </w:r>
          </w:p>
          <w:p w14:paraId="3C8F0F07">
            <w:pPr>
              <w:keepNext w:val="0"/>
              <w:keepLines w:val="0"/>
              <w:pageBreakBefore w:val="0"/>
              <w:numPr>
                <w:ilvl w:val="0"/>
                <w:numId w:val="8"/>
              </w:numPr>
              <w:kinsoku/>
              <w:wordWrap/>
              <w:overflowPunct/>
              <w:topLinePunct w:val="0"/>
              <w:autoSpaceDE/>
              <w:autoSpaceDN/>
              <w:bidi w:val="0"/>
              <w:adjustRightInd/>
              <w:snapToGrid/>
              <w:spacing w:beforeAutospacing="0" w:afterAutospacing="0" w:line="360" w:lineRule="exact"/>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rPr>
              <w:t>拟派</w:t>
            </w:r>
            <w:r>
              <w:rPr>
                <w:rFonts w:hint="eastAsia" w:ascii="宋体" w:hAnsi="宋体" w:eastAsia="宋体" w:cs="宋体"/>
                <w:b w:val="0"/>
                <w:bCs/>
                <w:color w:val="auto"/>
                <w:sz w:val="21"/>
                <w:szCs w:val="21"/>
                <w:highlight w:val="none"/>
                <w:lang w:val="en-US" w:eastAsia="zh-CN"/>
              </w:rPr>
              <w:t>本</w:t>
            </w:r>
            <w:r>
              <w:rPr>
                <w:rFonts w:hint="eastAsia" w:ascii="宋体" w:hAnsi="宋体" w:eastAsia="宋体" w:cs="宋体"/>
                <w:b w:val="0"/>
                <w:bCs/>
                <w:color w:val="auto"/>
                <w:sz w:val="21"/>
                <w:szCs w:val="21"/>
                <w:highlight w:val="none"/>
              </w:rPr>
              <w:t>项目组成员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除</w:t>
            </w:r>
            <w:r>
              <w:rPr>
                <w:rFonts w:hint="eastAsia" w:ascii="宋体" w:hAnsi="宋体" w:eastAsia="宋体" w:cs="宋体"/>
                <w:color w:val="auto"/>
                <w:sz w:val="21"/>
                <w:szCs w:val="21"/>
                <w:highlight w:val="none"/>
                <w:lang w:eastAsia="zh-CN"/>
              </w:rPr>
              <w:t>项目负责人）</w:t>
            </w:r>
            <w:r>
              <w:rPr>
                <w:rFonts w:hint="eastAsia" w:ascii="宋体" w:hAnsi="宋体" w:eastAsia="宋体" w:cs="宋体"/>
                <w:color w:val="auto"/>
                <w:sz w:val="21"/>
                <w:szCs w:val="21"/>
                <w:highlight w:val="none"/>
                <w:lang w:val="en-US" w:eastAsia="zh-CN"/>
              </w:rPr>
              <w:t>具备建筑工程专业二级及以上注册建造师证书或具备工程类</w:t>
            </w:r>
            <w:r>
              <w:rPr>
                <w:rFonts w:hint="eastAsia" w:ascii="宋体" w:hAnsi="宋体" w:eastAsia="宋体" w:cs="宋体"/>
                <w:color w:val="auto"/>
                <w:sz w:val="21"/>
                <w:szCs w:val="21"/>
                <w:highlight w:val="none"/>
              </w:rPr>
              <w:t>中级</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lang w:val="en-US" w:eastAsia="zh-CN"/>
              </w:rPr>
              <w:t>，有一人得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b/>
                <w:bCs/>
                <w:color w:val="auto"/>
                <w:sz w:val="21"/>
                <w:szCs w:val="21"/>
                <w:highlight w:val="none"/>
                <w:lang w:val="zh-CN"/>
              </w:rPr>
              <w:t>（提供</w:t>
            </w:r>
            <w:r>
              <w:rPr>
                <w:rFonts w:hint="eastAsia" w:ascii="宋体" w:hAnsi="宋体" w:eastAsia="宋体" w:cs="宋体"/>
                <w:b/>
                <w:bCs/>
                <w:color w:val="auto"/>
                <w:sz w:val="21"/>
                <w:szCs w:val="21"/>
                <w:highlight w:val="none"/>
                <w:lang w:val="en-US" w:eastAsia="zh-CN"/>
              </w:rPr>
              <w:t>有效</w:t>
            </w:r>
            <w:r>
              <w:rPr>
                <w:rFonts w:hint="eastAsia" w:ascii="宋体" w:hAnsi="宋体" w:eastAsia="宋体" w:cs="宋体"/>
                <w:b/>
                <w:bCs/>
                <w:color w:val="auto"/>
                <w:sz w:val="21"/>
                <w:szCs w:val="21"/>
                <w:highlight w:val="none"/>
                <w:lang w:val="zh-CN"/>
              </w:rPr>
              <w:t>证书原件扫描件）</w:t>
            </w:r>
          </w:p>
          <w:p w14:paraId="54923205">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所有拟投入本项目的人员均需提供相关证明材料及供应商为其缴纳响应文件截止前一年内至少一个月的社保证明材料原件扫描上传（退休返聘人员需提供退休证、返聘合同等），原件扫描上传</w:t>
            </w:r>
            <w:r>
              <w:rPr>
                <w:rFonts w:hint="eastAsia" w:ascii="宋体" w:hAnsi="宋体" w:eastAsia="宋体" w:cs="宋体"/>
                <w:b/>
                <w:bCs/>
                <w:color w:val="auto"/>
                <w:sz w:val="21"/>
                <w:szCs w:val="21"/>
                <w:highlight w:val="none"/>
                <w:lang w:eastAsia="zh-CN"/>
              </w:rPr>
              <w:t>。</w:t>
            </w:r>
          </w:p>
        </w:tc>
      </w:tr>
      <w:tr w14:paraId="4EF1C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6" w:hRule="atLeast"/>
          <w:jc w:val="center"/>
        </w:trPr>
        <w:tc>
          <w:tcPr>
            <w:tcW w:w="937" w:type="dxa"/>
            <w:vMerge w:val="continue"/>
            <w:tcBorders>
              <w:left w:val="single" w:color="000000" w:sz="4" w:space="0"/>
              <w:right w:val="single" w:color="000000" w:sz="4" w:space="0"/>
            </w:tcBorders>
            <w:noWrap/>
            <w:vAlign w:val="center"/>
          </w:tcPr>
          <w:p w14:paraId="37723B4E">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auto"/>
                <w:sz w:val="21"/>
                <w:szCs w:val="21"/>
                <w:highlight w:val="none"/>
              </w:rPr>
            </w:pP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007A69D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p>
          <w:p w14:paraId="1B01BEC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tc>
        <w:tc>
          <w:tcPr>
            <w:tcW w:w="6509" w:type="dxa"/>
            <w:tcBorders>
              <w:top w:val="single" w:color="000000" w:sz="4" w:space="0"/>
              <w:left w:val="single" w:color="000000" w:sz="4" w:space="0"/>
              <w:bottom w:val="single" w:color="000000" w:sz="4" w:space="0"/>
              <w:right w:val="single" w:color="000000" w:sz="4" w:space="0"/>
            </w:tcBorders>
            <w:noWrap/>
            <w:vAlign w:val="center"/>
          </w:tcPr>
          <w:p w14:paraId="77428F26">
            <w:pPr>
              <w:keepNext w:val="0"/>
              <w:keepLines w:val="0"/>
              <w:pageBreakBefore w:val="0"/>
              <w:kinsoku/>
              <w:wordWrap/>
              <w:overflowPunct/>
              <w:topLinePunct w:val="0"/>
              <w:autoSpaceDE/>
              <w:autoSpaceDN/>
              <w:bidi w:val="0"/>
              <w:adjustRightInd/>
              <w:snapToGrid/>
              <w:spacing w:beforeAutospacing="0" w:afterAutospacing="0" w:line="360" w:lineRule="exact"/>
              <w:ind w:left="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月01日以来承担过类似工程业绩的（以竣工验收合格证明时间为准），每提供一个，得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1AAFD561">
            <w:pPr>
              <w:pStyle w:val="306"/>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b/>
                <w:bCs/>
                <w:color w:val="auto"/>
                <w:sz w:val="21"/>
                <w:szCs w:val="21"/>
                <w:highlight w:val="none"/>
              </w:rPr>
              <w:t>（业绩认定时间以竣工验收时间为准，业绩材料需同时提供：1、依法承发包的交易结果文件；2、合同；3、竣工验收证明材料；</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合同对应任意发票（二维码清晰可扫描）。依法承发包的交易结果文件包括中标通知书，直接发包通知书（或备案表）或成交通知书等；依法可以不进行招标的项目，可以提供业主单位或招标代理机构出具的有关中标文件；</w:t>
            </w:r>
            <w:r>
              <w:rPr>
                <w:rFonts w:hint="eastAsia" w:ascii="宋体" w:hAnsi="宋体" w:eastAsia="宋体" w:cs="宋体"/>
                <w:b/>
                <w:bCs/>
                <w:color w:val="auto"/>
                <w:sz w:val="21"/>
                <w:szCs w:val="21"/>
                <w:highlight w:val="none"/>
                <w:lang w:val="en-US" w:eastAsia="zh-CN"/>
              </w:rPr>
              <w:t>原件扫描上传。</w:t>
            </w:r>
            <w:r>
              <w:rPr>
                <w:rFonts w:hint="eastAsia" w:ascii="宋体" w:hAnsi="宋体" w:eastAsia="宋体" w:cs="宋体"/>
                <w:b/>
                <w:bCs/>
                <w:color w:val="auto"/>
                <w:sz w:val="21"/>
                <w:szCs w:val="21"/>
                <w:highlight w:val="none"/>
              </w:rPr>
              <w:t>）</w:t>
            </w:r>
          </w:p>
        </w:tc>
      </w:tr>
      <w:tr w14:paraId="4F876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0" w:hRule="atLeast"/>
          <w:jc w:val="center"/>
        </w:trPr>
        <w:tc>
          <w:tcPr>
            <w:tcW w:w="8527" w:type="dxa"/>
            <w:gridSpan w:val="3"/>
            <w:tcBorders>
              <w:top w:val="single" w:color="000000" w:sz="4" w:space="0"/>
              <w:left w:val="single" w:color="000000" w:sz="4" w:space="0"/>
              <w:bottom w:val="single" w:color="000000" w:sz="4" w:space="0"/>
              <w:right w:val="single" w:color="000000" w:sz="4" w:space="0"/>
            </w:tcBorders>
            <w:noWrap/>
            <w:vAlign w:val="center"/>
          </w:tcPr>
          <w:p w14:paraId="747B223E">
            <w:pPr>
              <w:keepNext w:val="0"/>
              <w:keepLines w:val="0"/>
              <w:pageBreakBefore w:val="0"/>
              <w:numPr>
                <w:ilvl w:val="0"/>
                <w:numId w:val="0"/>
              </w:numPr>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合计：100分</w:t>
            </w:r>
          </w:p>
        </w:tc>
      </w:tr>
    </w:tbl>
    <w:p w14:paraId="757B3A60">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22"/>
        <w:jc w:val="both"/>
        <w:rPr>
          <w:rFonts w:hint="eastAsia" w:ascii="宋体" w:hAnsi="宋体" w:eastAsia="宋体" w:cs="宋体"/>
          <w:highlight w:val="none"/>
        </w:rPr>
      </w:pPr>
      <w:r>
        <w:rPr>
          <w:rFonts w:hint="eastAsia" w:ascii="宋体" w:hAnsi="宋体" w:eastAsia="宋体" w:cs="宋体"/>
          <w:b/>
          <w:bCs/>
          <w:color w:val="000000"/>
          <w:sz w:val="21"/>
          <w:szCs w:val="21"/>
          <w:highlight w:val="none"/>
        </w:rPr>
        <w:t>注明：</w:t>
      </w:r>
    </w:p>
    <w:p w14:paraId="506D107B">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eastAsia" w:ascii="宋体" w:hAnsi="宋体" w:eastAsia="宋体" w:cs="宋体"/>
          <w:highlight w:val="none"/>
        </w:rPr>
      </w:pPr>
      <w:r>
        <w:rPr>
          <w:rFonts w:hint="eastAsia" w:ascii="宋体" w:hAnsi="宋体" w:eastAsia="宋体" w:cs="宋体"/>
          <w:b/>
          <w:bCs/>
          <w:color w:val="000000"/>
          <w:sz w:val="21"/>
          <w:szCs w:val="21"/>
          <w:highlight w:val="none"/>
        </w:rPr>
        <w:t>1.异常低价投标（响应）</w:t>
      </w:r>
    </w:p>
    <w:p w14:paraId="7DC308D7">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2"/>
        <w:jc w:val="both"/>
        <w:rPr>
          <w:rFonts w:hint="eastAsia" w:ascii="宋体" w:hAnsi="宋体" w:eastAsia="宋体" w:cs="宋体"/>
          <w:b/>
          <w:bCs w:val="0"/>
          <w:sz w:val="21"/>
          <w:szCs w:val="21"/>
          <w:highlight w:val="none"/>
          <w:lang w:val="en-US" w:eastAsia="zh-CN" w:bidi="ar-SA"/>
        </w:rPr>
      </w:pPr>
      <w:r>
        <w:rPr>
          <w:rFonts w:hint="eastAsia" w:ascii="宋体" w:hAnsi="宋体" w:eastAsia="宋体" w:cs="宋体"/>
          <w:b/>
          <w:bCs w:val="0"/>
          <w:sz w:val="21"/>
          <w:szCs w:val="21"/>
          <w:highlight w:val="none"/>
          <w:lang w:val="en-US" w:eastAsia="zh-CN" w:bidi="ar-SA"/>
        </w:rPr>
        <w:t>1.1投标（响应）报价低于全部通过符合性审查供应商投标（响应）报价平均值50%的，即投标（响应）报价&lt;全部通过符合性审查供应商投标（响应）报价平均值×50%； </w:t>
      </w:r>
    </w:p>
    <w:p w14:paraId="47219F09">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b/>
          <w:bCs w:val="0"/>
          <w:sz w:val="21"/>
          <w:szCs w:val="21"/>
          <w:highlight w:val="none"/>
          <w:lang w:val="en-US" w:eastAsia="zh-CN" w:bidi="ar-SA"/>
        </w:rPr>
      </w:pPr>
      <w:r>
        <w:rPr>
          <w:rFonts w:hint="eastAsia" w:ascii="宋体" w:hAnsi="宋体" w:eastAsia="宋体" w:cs="宋体"/>
          <w:b/>
          <w:bCs w:val="0"/>
          <w:sz w:val="21"/>
          <w:szCs w:val="21"/>
          <w:highlight w:val="none"/>
          <w:lang w:val="en-US" w:eastAsia="zh-CN" w:bidi="ar-SA"/>
        </w:rPr>
        <w:t>　　1.2投标（响应）报价低于通过符合性审查的次低报价供应商投标（响应）报价50%的，即投标（响应）报价&lt;通过符合性审查的次低报价供应商投标（响应）报价×50%； </w:t>
      </w:r>
    </w:p>
    <w:p w14:paraId="0857FEBA">
      <w:pPr>
        <w:pStyle w:val="4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b/>
          <w:bCs w:val="0"/>
          <w:sz w:val="21"/>
          <w:szCs w:val="21"/>
          <w:highlight w:val="none"/>
          <w:lang w:val="en-US" w:eastAsia="zh-CN" w:bidi="ar-SA"/>
        </w:rPr>
      </w:pPr>
      <w:r>
        <w:rPr>
          <w:rFonts w:hint="eastAsia" w:ascii="宋体" w:hAnsi="宋体" w:eastAsia="宋体" w:cs="宋体"/>
          <w:b/>
          <w:bCs w:val="0"/>
          <w:sz w:val="21"/>
          <w:szCs w:val="21"/>
          <w:highlight w:val="none"/>
          <w:lang w:val="en-US" w:eastAsia="zh-CN" w:bidi="ar-SA"/>
        </w:rPr>
        <w:t>　　1.3投标（响应）报价低于采购项目最高限价45%的，即投标（响应）报价&lt;采购项目最高限价×45%； </w:t>
      </w:r>
    </w:p>
    <w:p w14:paraId="09D21384">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eastAsia" w:ascii="宋体" w:hAnsi="宋体" w:eastAsia="宋体" w:cs="宋体"/>
          <w:b/>
          <w:bCs w:val="0"/>
          <w:highlight w:val="none"/>
        </w:rPr>
      </w:pPr>
      <w:r>
        <w:rPr>
          <w:rFonts w:hint="eastAsia" w:ascii="宋体" w:hAnsi="宋体" w:eastAsia="宋体" w:cs="宋体"/>
          <w:b/>
          <w:bCs w:val="0"/>
          <w:sz w:val="21"/>
          <w:szCs w:val="21"/>
          <w:highlight w:val="none"/>
          <w:lang w:val="en-US" w:eastAsia="zh-CN" w:bidi="ar-SA"/>
        </w:rPr>
        <w:t>1.4评审委员会基于专业判断，认为供应商报价过低，有可能影响产品质量或者不能诚信履约的其他情形。</w:t>
      </w:r>
    </w:p>
    <w:p w14:paraId="27DA332C">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eastAsia" w:ascii="宋体" w:hAnsi="宋体" w:eastAsia="宋体" w:cs="宋体"/>
          <w:highlight w:val="none"/>
        </w:rPr>
      </w:pPr>
      <w:r>
        <w:rPr>
          <w:rFonts w:hint="eastAsia" w:ascii="宋体" w:hAnsi="宋体" w:eastAsia="宋体" w:cs="宋体"/>
          <w:b/>
          <w:bCs/>
          <w:color w:val="000000"/>
          <w:sz w:val="21"/>
          <w:szCs w:val="21"/>
          <w:highlight w:val="none"/>
        </w:rPr>
        <w:t>1.</w:t>
      </w:r>
      <w:r>
        <w:rPr>
          <w:rFonts w:hint="eastAsia" w:cs="宋体"/>
          <w:b/>
          <w:bCs/>
          <w:color w:val="000000"/>
          <w:sz w:val="21"/>
          <w:szCs w:val="21"/>
          <w:highlight w:val="none"/>
          <w:lang w:val="en-US" w:eastAsia="zh-CN"/>
        </w:rPr>
        <w:t>5</w:t>
      </w:r>
      <w:r>
        <w:rPr>
          <w:rFonts w:hint="eastAsia" w:ascii="宋体" w:hAnsi="宋体" w:eastAsia="宋体" w:cs="宋体"/>
          <w:b/>
          <w:bCs/>
          <w:color w:val="000000"/>
          <w:sz w:val="21"/>
          <w:szCs w:val="21"/>
          <w:highlight w:val="none"/>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3E4AAA3">
      <w:pPr>
        <w:keepNext w:val="0"/>
        <w:keepLines w:val="0"/>
        <w:pageBreakBefore w:val="0"/>
        <w:widowControl w:val="0"/>
        <w:spacing w:line="360" w:lineRule="auto"/>
        <w:ind w:firstLine="422"/>
        <w:rPr>
          <w:rFonts w:hint="eastAsia" w:ascii="宋体" w:hAnsi="宋体" w:eastAsia="宋体" w:cs="宋体"/>
          <w:color w:val="auto"/>
          <w:highlight w:val="none"/>
        </w:rPr>
      </w:pPr>
      <w:r>
        <w:rPr>
          <w:rFonts w:hint="eastAsia" w:ascii="宋体" w:hAnsi="宋体" w:eastAsia="宋体" w:cs="宋体"/>
          <w:b/>
          <w:bCs/>
          <w:color w:val="000000"/>
          <w:sz w:val="21"/>
          <w:szCs w:val="21"/>
          <w:highlight w:val="none"/>
          <w:lang w:val="en-US" w:eastAsia="zh-CN" w:bidi="ar-SA"/>
        </w:rPr>
        <w:t>2.如为联合体投标，以上评分内容以联合体牵头单位或成员单位提供的证明资料均可作为评分依据。</w:t>
      </w:r>
      <w:r>
        <w:rPr>
          <w:rFonts w:hint="eastAsia" w:ascii="宋体" w:hAnsi="宋体" w:eastAsia="宋体" w:cs="宋体"/>
          <w:b/>
          <w:color w:val="auto"/>
          <w:sz w:val="21"/>
          <w:szCs w:val="21"/>
          <w:highlight w:val="none"/>
          <w:lang w:val="en-US" w:eastAsia="zh-CN"/>
        </w:rPr>
        <w:t xml:space="preserve">  </w:t>
      </w:r>
      <w:bookmarkStart w:id="27" w:name="_Toc109304976"/>
    </w:p>
    <w:p w14:paraId="060BB3CC">
      <w:pPr>
        <w:pStyle w:val="256"/>
        <w:spacing w:line="360" w:lineRule="auto"/>
        <w:jc w:val="center"/>
        <w:rPr>
          <w:rFonts w:hint="eastAsia" w:ascii="宋体" w:hAnsi="宋体" w:eastAsia="宋体" w:cs="宋体"/>
          <w:color w:val="auto"/>
          <w:highlight w:val="none"/>
        </w:rPr>
        <w:sectPr>
          <w:pgSz w:w="11906" w:h="16838"/>
          <w:pgMar w:top="1440" w:right="1800" w:bottom="1440" w:left="1800" w:header="851" w:footer="992" w:gutter="0"/>
          <w:cols w:space="720" w:num="1"/>
          <w:docGrid w:linePitch="360" w:charSpace="0"/>
        </w:sectPr>
      </w:pPr>
    </w:p>
    <w:p w14:paraId="53C2EF1F">
      <w:pPr>
        <w:pStyle w:val="256"/>
        <w:spacing w:line="360" w:lineRule="auto"/>
        <w:jc w:val="center"/>
        <w:rPr>
          <w:rFonts w:hint="eastAsia" w:ascii="宋体" w:hAnsi="宋体" w:eastAsia="宋体" w:cs="宋体"/>
          <w:color w:val="auto"/>
          <w:sz w:val="52"/>
          <w:highlight w:val="none"/>
        </w:rPr>
      </w:pPr>
      <w:r>
        <w:rPr>
          <w:rFonts w:hint="eastAsia" w:ascii="宋体" w:hAnsi="宋体" w:eastAsia="宋体" w:cs="宋体"/>
          <w:color w:val="auto"/>
          <w:sz w:val="36"/>
          <w:szCs w:val="36"/>
          <w:highlight w:val="none"/>
        </w:rPr>
        <w:t>第六章 竞争性磋商响应文件格式</w:t>
      </w:r>
      <w:bookmarkEnd w:id="2"/>
      <w:bookmarkEnd w:id="27"/>
    </w:p>
    <w:p w14:paraId="1C02AF0C">
      <w:pPr>
        <w:spacing w:line="360" w:lineRule="auto"/>
        <w:jc w:val="center"/>
        <w:rPr>
          <w:rFonts w:hint="eastAsia" w:ascii="宋体" w:hAnsi="宋体" w:eastAsia="宋体" w:cs="宋体"/>
          <w:b/>
          <w:color w:val="auto"/>
          <w:sz w:val="22"/>
          <w:highlight w:val="none"/>
        </w:rPr>
      </w:pPr>
    </w:p>
    <w:p w14:paraId="03538B39">
      <w:pPr>
        <w:spacing w:line="360" w:lineRule="auto"/>
        <w:jc w:val="both"/>
        <w:rPr>
          <w:rFonts w:hint="eastAsia" w:ascii="宋体" w:hAnsi="宋体" w:eastAsia="宋体" w:cs="宋体"/>
          <w:b/>
          <w:bCs/>
          <w:color w:val="auto"/>
          <w:sz w:val="36"/>
          <w:szCs w:val="36"/>
          <w:highlight w:val="none"/>
        </w:rPr>
      </w:pPr>
    </w:p>
    <w:p w14:paraId="3B7C42FD">
      <w:pPr>
        <w:spacing w:line="360" w:lineRule="auto"/>
        <w:jc w:val="center"/>
        <w:rPr>
          <w:rFonts w:hint="eastAsia" w:ascii="宋体" w:hAnsi="宋体" w:eastAsia="宋体" w:cs="宋体"/>
          <w:b/>
          <w:bCs/>
          <w:color w:val="auto"/>
          <w:sz w:val="36"/>
          <w:szCs w:val="36"/>
          <w:highlight w:val="none"/>
        </w:rPr>
      </w:pPr>
    </w:p>
    <w:p w14:paraId="0FA9C9B3">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36"/>
          <w:szCs w:val="36"/>
          <w:highlight w:val="none"/>
        </w:rPr>
        <w:t>竞争性磋商响应文件</w:t>
      </w:r>
    </w:p>
    <w:p w14:paraId="0D4A1713">
      <w:pPr>
        <w:spacing w:line="360" w:lineRule="auto"/>
        <w:jc w:val="center"/>
        <w:rPr>
          <w:rFonts w:hint="eastAsia" w:ascii="宋体" w:hAnsi="宋体" w:eastAsia="宋体" w:cs="宋体"/>
          <w:b/>
          <w:color w:val="auto"/>
          <w:sz w:val="36"/>
          <w:szCs w:val="21"/>
          <w:highlight w:val="none"/>
        </w:rPr>
      </w:pPr>
    </w:p>
    <w:p w14:paraId="038E37C1">
      <w:pPr>
        <w:spacing w:line="360" w:lineRule="auto"/>
        <w:jc w:val="center"/>
        <w:rPr>
          <w:rFonts w:hint="eastAsia" w:ascii="宋体" w:hAnsi="宋体" w:eastAsia="宋体" w:cs="宋体"/>
          <w:b/>
          <w:color w:val="auto"/>
          <w:sz w:val="36"/>
          <w:szCs w:val="21"/>
          <w:highlight w:val="none"/>
        </w:rPr>
      </w:pPr>
    </w:p>
    <w:p w14:paraId="7CFB819E">
      <w:pPr>
        <w:spacing w:line="360" w:lineRule="auto"/>
        <w:jc w:val="center"/>
        <w:rPr>
          <w:rFonts w:hint="eastAsia" w:ascii="宋体" w:hAnsi="宋体" w:eastAsia="宋体" w:cs="宋体"/>
          <w:b/>
          <w:color w:val="auto"/>
          <w:sz w:val="36"/>
          <w:szCs w:val="21"/>
          <w:highlight w:val="none"/>
        </w:rPr>
      </w:pPr>
    </w:p>
    <w:p w14:paraId="0AA93859">
      <w:pPr>
        <w:spacing w:line="360" w:lineRule="auto"/>
        <w:jc w:val="center"/>
        <w:rPr>
          <w:rFonts w:hint="eastAsia" w:ascii="宋体" w:hAnsi="宋体" w:eastAsia="宋体" w:cs="宋体"/>
          <w:b/>
          <w:color w:val="auto"/>
          <w:sz w:val="36"/>
          <w:szCs w:val="21"/>
          <w:highlight w:val="none"/>
        </w:rPr>
      </w:pPr>
    </w:p>
    <w:p w14:paraId="2CD30769">
      <w:pPr>
        <w:spacing w:line="360" w:lineRule="auto"/>
        <w:jc w:val="center"/>
        <w:rPr>
          <w:rFonts w:hint="eastAsia" w:ascii="宋体" w:hAnsi="宋体" w:eastAsia="宋体" w:cs="宋体"/>
          <w:b/>
          <w:color w:val="auto"/>
          <w:sz w:val="36"/>
          <w:highlight w:val="none"/>
        </w:rPr>
      </w:pPr>
    </w:p>
    <w:p w14:paraId="0B7E288C">
      <w:pPr>
        <w:spacing w:line="360" w:lineRule="auto"/>
        <w:ind w:firstLine="1084"/>
        <w:rPr>
          <w:rFonts w:hint="eastAsia" w:ascii="宋体" w:hAnsi="宋体" w:eastAsia="宋体" w:cs="宋体"/>
          <w:b/>
          <w:color w:val="auto"/>
          <w:sz w:val="36"/>
          <w:highlight w:val="none"/>
        </w:rPr>
      </w:pPr>
    </w:p>
    <w:p w14:paraId="7C6F9D7E">
      <w:pPr>
        <w:spacing w:line="360" w:lineRule="auto"/>
        <w:ind w:firstLine="1084"/>
        <w:rPr>
          <w:rFonts w:hint="eastAsia" w:ascii="宋体" w:hAnsi="宋体" w:eastAsia="宋体" w:cs="宋体"/>
          <w:b/>
          <w:color w:val="auto"/>
          <w:sz w:val="36"/>
          <w:highlight w:val="none"/>
        </w:rPr>
      </w:pPr>
    </w:p>
    <w:p w14:paraId="081F288B">
      <w:pPr>
        <w:spacing w:line="360" w:lineRule="auto"/>
        <w:ind w:firstLine="1084"/>
        <w:rPr>
          <w:rFonts w:hint="eastAsia" w:ascii="宋体" w:hAnsi="宋体" w:eastAsia="宋体" w:cs="宋体"/>
          <w:b/>
          <w:color w:val="auto"/>
          <w:sz w:val="36"/>
          <w:highlight w:val="none"/>
        </w:rPr>
      </w:pPr>
      <w:r>
        <w:rPr>
          <w:rFonts w:hint="eastAsia" w:ascii="宋体" w:hAnsi="宋体" w:eastAsia="宋体" w:cs="宋体"/>
          <w:b/>
          <w:color w:val="auto"/>
          <w:sz w:val="36"/>
          <w:highlight w:val="none"/>
        </w:rPr>
        <w:t>项 目 名 称：</w:t>
      </w:r>
      <w:r>
        <w:rPr>
          <w:rFonts w:hint="eastAsia" w:ascii="宋体" w:hAnsi="宋体" w:eastAsia="宋体" w:cs="宋体"/>
          <w:b/>
          <w:color w:val="auto"/>
          <w:sz w:val="36"/>
          <w:highlight w:val="none"/>
          <w:u w:val="single"/>
        </w:rPr>
        <w:t xml:space="preserve">                   </w:t>
      </w:r>
    </w:p>
    <w:p w14:paraId="6540891B">
      <w:pPr>
        <w:spacing w:line="360" w:lineRule="auto"/>
        <w:ind w:firstLine="1084"/>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项 目 编 号：</w:t>
      </w:r>
      <w:r>
        <w:rPr>
          <w:rFonts w:hint="eastAsia" w:ascii="宋体" w:hAnsi="宋体" w:eastAsia="宋体" w:cs="宋体"/>
          <w:b/>
          <w:color w:val="auto"/>
          <w:sz w:val="36"/>
          <w:highlight w:val="none"/>
          <w:u w:val="single"/>
        </w:rPr>
        <w:t xml:space="preserve">                   </w:t>
      </w:r>
    </w:p>
    <w:p w14:paraId="0E412798">
      <w:pPr>
        <w:spacing w:line="360" w:lineRule="auto"/>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磋商供应商名称 ：</w:t>
      </w:r>
      <w:r>
        <w:rPr>
          <w:rFonts w:hint="eastAsia" w:ascii="宋体" w:hAnsi="宋体" w:eastAsia="宋体" w:cs="宋体"/>
          <w:b/>
          <w:color w:val="auto"/>
          <w:sz w:val="36"/>
          <w:highlight w:val="none"/>
          <w:u w:val="single"/>
        </w:rPr>
        <w:t xml:space="preserve">               </w:t>
      </w:r>
    </w:p>
    <w:p w14:paraId="775675B8">
      <w:pPr>
        <w:spacing w:line="360" w:lineRule="auto"/>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日      期 ：</w:t>
      </w:r>
      <w:r>
        <w:rPr>
          <w:rFonts w:hint="eastAsia" w:ascii="宋体" w:hAnsi="宋体" w:eastAsia="宋体" w:cs="宋体"/>
          <w:b/>
          <w:color w:val="auto"/>
          <w:sz w:val="36"/>
          <w:highlight w:val="none"/>
          <w:u w:val="single"/>
        </w:rPr>
        <w:t xml:space="preserve">                   </w:t>
      </w:r>
    </w:p>
    <w:p w14:paraId="58841C3D">
      <w:pPr>
        <w:spacing w:line="360" w:lineRule="auto"/>
        <w:ind w:firstLine="1084"/>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供  应  商</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（电子签章）</w:t>
      </w:r>
    </w:p>
    <w:p w14:paraId="44EB5CE9">
      <w:pPr>
        <w:pBdr>
          <w:top w:val="none" w:color="000000" w:sz="0" w:space="0"/>
          <w:left w:val="none" w:color="000000" w:sz="0" w:space="0"/>
          <w:bottom w:val="none" w:color="000000" w:sz="0" w:space="0"/>
          <w:right w:val="none" w:color="000000" w:sz="0" w:space="0"/>
        </w:pBdr>
        <w:spacing w:before="220" w:after="312" w:line="253"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32"/>
          <w:highlight w:val="none"/>
        </w:rPr>
        <w:t> </w:t>
      </w:r>
    </w:p>
    <w:p w14:paraId="627F7F1E">
      <w:pPr>
        <w:rPr>
          <w:rFonts w:hint="eastAsia" w:ascii="宋体" w:hAnsi="宋体" w:eastAsia="宋体" w:cs="宋体"/>
          <w:color w:val="auto"/>
          <w:sz w:val="24"/>
          <w:highlight w:val="none"/>
        </w:rPr>
      </w:pPr>
    </w:p>
    <w:p w14:paraId="2BF84C05">
      <w:pPr>
        <w:spacing w:line="360" w:lineRule="auto"/>
        <w:jc w:val="center"/>
        <w:rPr>
          <w:rFonts w:hint="eastAsia" w:ascii="宋体" w:hAnsi="宋体" w:eastAsia="宋体" w:cs="宋体"/>
          <w:b/>
          <w:bCs/>
          <w:color w:val="auto"/>
          <w:sz w:val="32"/>
          <w:szCs w:val="32"/>
          <w:highlight w:val="none"/>
        </w:rPr>
        <w:sectPr>
          <w:pgSz w:w="11906" w:h="16838"/>
          <w:pgMar w:top="1440" w:right="1800" w:bottom="1440" w:left="1800" w:header="851" w:footer="992" w:gutter="0"/>
          <w:cols w:space="720" w:num="1"/>
          <w:docGrid w:linePitch="360" w:charSpace="0"/>
        </w:sectPr>
      </w:pPr>
    </w:p>
    <w:p w14:paraId="6902681B">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磋商主要文件目录</w:t>
      </w:r>
    </w:p>
    <w:p w14:paraId="1A313411">
      <w:pPr>
        <w:spacing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一、资格审查响应对照表</w:t>
      </w:r>
    </w:p>
    <w:p w14:paraId="5C58C412">
      <w:pPr>
        <w:spacing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二、符合性审查响应对照表</w:t>
      </w:r>
    </w:p>
    <w:p w14:paraId="36E74B35">
      <w:pPr>
        <w:spacing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w:t>
      </w:r>
      <w:r>
        <w:rPr>
          <w:rFonts w:hint="eastAsia" w:ascii="宋体" w:hAnsi="宋体" w:eastAsia="宋体" w:cs="宋体"/>
          <w:i w:val="0"/>
          <w:iCs/>
          <w:color w:val="000000"/>
          <w:sz w:val="21"/>
          <w:szCs w:val="21"/>
          <w:highlight w:val="none"/>
          <w:u w:val="none"/>
        </w:rPr>
        <w:t>磋商响应报价表</w:t>
      </w:r>
    </w:p>
    <w:p w14:paraId="3D2F0825">
      <w:pPr>
        <w:spacing w:line="360" w:lineRule="auto"/>
        <w:ind w:firstLine="480"/>
        <w:rPr>
          <w:rFonts w:hint="eastAsia" w:ascii="宋体" w:hAnsi="宋体" w:eastAsia="宋体" w:cs="宋体"/>
          <w:i/>
          <w:color w:val="000000"/>
          <w:sz w:val="21"/>
          <w:szCs w:val="21"/>
          <w:highlight w:val="none"/>
          <w:u w:val="single"/>
        </w:rPr>
      </w:pPr>
      <w:r>
        <w:rPr>
          <w:rFonts w:hint="eastAsia" w:ascii="宋体" w:hAnsi="宋体" w:eastAsia="宋体" w:cs="宋体"/>
          <w:color w:val="000000"/>
          <w:sz w:val="21"/>
          <w:szCs w:val="21"/>
          <w:highlight w:val="none"/>
        </w:rPr>
        <w:t>四</w:t>
      </w:r>
      <w:r>
        <w:rPr>
          <w:rFonts w:hint="eastAsia" w:ascii="宋体" w:hAnsi="宋体" w:eastAsia="宋体" w:cs="宋体"/>
          <w:b/>
          <w:bCs/>
          <w:color w:val="000000"/>
          <w:sz w:val="21"/>
          <w:szCs w:val="21"/>
          <w:highlight w:val="none"/>
        </w:rPr>
        <w:t>、</w:t>
      </w:r>
      <w:r>
        <w:rPr>
          <w:rFonts w:hint="eastAsia" w:ascii="宋体" w:hAnsi="宋体" w:eastAsia="宋体" w:cs="宋体"/>
          <w:color w:val="000000"/>
          <w:sz w:val="21"/>
          <w:szCs w:val="21"/>
          <w:highlight w:val="none"/>
        </w:rPr>
        <w:t>分项报价表</w:t>
      </w:r>
    </w:p>
    <w:p w14:paraId="5A69051B">
      <w:pPr>
        <w:spacing w:line="360" w:lineRule="auto"/>
        <w:ind w:left="48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五</w:t>
      </w:r>
      <w:r>
        <w:rPr>
          <w:rFonts w:hint="eastAsia" w:ascii="宋体" w:hAnsi="宋体" w:eastAsia="宋体" w:cs="宋体"/>
          <w:color w:val="000000"/>
          <w:sz w:val="21"/>
          <w:szCs w:val="21"/>
          <w:highlight w:val="none"/>
        </w:rPr>
        <w:t>、技术参数响应及偏离表</w:t>
      </w:r>
    </w:p>
    <w:p w14:paraId="1C12DF1B">
      <w:pPr>
        <w:spacing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六、商务条款响应及偏离表</w:t>
      </w:r>
    </w:p>
    <w:p w14:paraId="7036607B">
      <w:pPr>
        <w:spacing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七、拟投入人员一览表</w:t>
      </w:r>
    </w:p>
    <w:p w14:paraId="6D011E27">
      <w:pPr>
        <w:spacing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八、项目方案</w:t>
      </w:r>
    </w:p>
    <w:p w14:paraId="543A8B14">
      <w:pPr>
        <w:spacing w:line="360" w:lineRule="auto"/>
        <w:ind w:left="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九、主要标的信息</w:t>
      </w:r>
    </w:p>
    <w:p w14:paraId="3EDC2C24">
      <w:pPr>
        <w:spacing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十、其</w:t>
      </w:r>
      <w:r>
        <w:rPr>
          <w:rFonts w:hint="eastAsia" w:ascii="宋体" w:hAnsi="宋体" w:cs="宋体"/>
          <w:color w:val="000000"/>
          <w:sz w:val="21"/>
          <w:szCs w:val="21"/>
          <w:highlight w:val="none"/>
          <w:lang w:val="en-US" w:eastAsia="zh-CN"/>
        </w:rPr>
        <w:t>它</w:t>
      </w:r>
      <w:r>
        <w:rPr>
          <w:rFonts w:hint="eastAsia" w:ascii="宋体" w:hAnsi="宋体" w:eastAsia="宋体" w:cs="宋体"/>
          <w:color w:val="000000"/>
          <w:sz w:val="21"/>
          <w:szCs w:val="21"/>
          <w:highlight w:val="none"/>
        </w:rPr>
        <w:t xml:space="preserve"> （供应商认为有必要提供的声明和文件，如有自拟并自行添加）</w:t>
      </w:r>
    </w:p>
    <w:p w14:paraId="7F49B22D">
      <w:pPr>
        <w:shd w:val="clear" w:color="auto"/>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br w:type="page" w:clear="all"/>
      </w:r>
    </w:p>
    <w:p w14:paraId="04449A7E">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一、资格审查响应对照表</w:t>
      </w:r>
    </w:p>
    <w:p w14:paraId="777035C7">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磋商供应商全称（加盖公章）：</w:t>
      </w:r>
    </w:p>
    <w:tbl>
      <w:tblPr>
        <w:tblStyle w:val="44"/>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46"/>
        <w:gridCol w:w="5447"/>
        <w:gridCol w:w="2413"/>
      </w:tblGrid>
      <w:tr w14:paraId="0F792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trPr>
        <w:tc>
          <w:tcPr>
            <w:tcW w:w="646" w:type="dxa"/>
            <w:noWrap/>
            <w:tcMar>
              <w:top w:w="0" w:type="dxa"/>
              <w:left w:w="108" w:type="dxa"/>
              <w:bottom w:w="0" w:type="dxa"/>
              <w:right w:w="108" w:type="dxa"/>
            </w:tcMar>
            <w:vAlign w:val="center"/>
          </w:tcPr>
          <w:p w14:paraId="2268BEF5">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序号</w:t>
            </w:r>
          </w:p>
        </w:tc>
        <w:tc>
          <w:tcPr>
            <w:tcW w:w="5447" w:type="dxa"/>
            <w:noWrap/>
            <w:tcMar>
              <w:top w:w="0" w:type="dxa"/>
              <w:left w:w="108" w:type="dxa"/>
              <w:bottom w:w="0" w:type="dxa"/>
              <w:right w:w="108" w:type="dxa"/>
            </w:tcMar>
            <w:vAlign w:val="center"/>
          </w:tcPr>
          <w:p w14:paraId="08DEBCCC">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资格和符合性检查响应内容</w:t>
            </w:r>
          </w:p>
        </w:tc>
        <w:tc>
          <w:tcPr>
            <w:tcW w:w="2413" w:type="dxa"/>
            <w:noWrap/>
            <w:tcMar>
              <w:top w:w="0" w:type="dxa"/>
              <w:left w:w="108" w:type="dxa"/>
              <w:bottom w:w="0" w:type="dxa"/>
              <w:right w:w="108" w:type="dxa"/>
            </w:tcMar>
            <w:vAlign w:val="center"/>
          </w:tcPr>
          <w:p w14:paraId="48C49717">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是否响应</w:t>
            </w:r>
          </w:p>
          <w:p w14:paraId="1D7AC9AA">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（填是或者否）</w:t>
            </w:r>
          </w:p>
        </w:tc>
      </w:tr>
      <w:tr w14:paraId="16E8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8506" w:type="dxa"/>
            <w:gridSpan w:val="3"/>
            <w:noWrap/>
            <w:tcMar>
              <w:top w:w="0" w:type="dxa"/>
              <w:left w:w="108" w:type="dxa"/>
              <w:bottom w:w="0" w:type="dxa"/>
              <w:right w:w="108" w:type="dxa"/>
            </w:tcMar>
            <w:vAlign w:val="top"/>
          </w:tcPr>
          <w:p w14:paraId="58070236">
            <w:pPr>
              <w:keepNext w:val="0"/>
              <w:keepLines w:val="0"/>
              <w:pageBreakBefore w:val="0"/>
              <w:widowControl w:val="0"/>
              <w:pBdr>
                <w:top w:val="none" w:color="000000" w:sz="0" w:space="0"/>
                <w:left w:val="none" w:color="000000" w:sz="0" w:space="0"/>
                <w:bottom w:val="none" w:color="000000" w:sz="0" w:space="0"/>
                <w:right w:val="none" w:color="000000" w:sz="0" w:space="0"/>
              </w:pBdr>
              <w:tabs>
                <w:tab w:val="left" w:pos="1243"/>
              </w:tabs>
              <w:spacing w:after="0" w:line="240" w:lineRule="auto"/>
              <w:ind w:left="0" w:right="0" w:firstLine="0"/>
              <w:jc w:val="both"/>
              <w:rPr>
                <w:rFonts w:hint="eastAsia" w:ascii="宋体" w:hAnsi="宋体" w:eastAsia="宋体" w:cs="宋体"/>
                <w:color w:val="000000"/>
                <w:sz w:val="21"/>
                <w:szCs w:val="21"/>
                <w:highlight w:val="none"/>
                <w:lang w:eastAsia="zh-CN"/>
              </w:rPr>
            </w:pPr>
            <w:r>
              <w:rPr>
                <w:rFonts w:hint="eastAsia" w:ascii="宋体" w:hAnsi="宋体" w:eastAsia="宋体" w:cs="宋体"/>
                <w:b/>
                <w:color w:val="000000"/>
                <w:sz w:val="21"/>
                <w:szCs w:val="21"/>
                <w:highlight w:val="none"/>
              </w:rPr>
              <w:t>通用资格条件</w:t>
            </w:r>
          </w:p>
        </w:tc>
      </w:tr>
      <w:tr w14:paraId="16F0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trPr>
        <w:tc>
          <w:tcPr>
            <w:tcW w:w="646" w:type="dxa"/>
            <w:noWrap/>
            <w:tcMar>
              <w:top w:w="0" w:type="dxa"/>
              <w:left w:w="108" w:type="dxa"/>
              <w:bottom w:w="0" w:type="dxa"/>
              <w:right w:w="108" w:type="dxa"/>
            </w:tcMar>
            <w:vAlign w:val="center"/>
          </w:tcPr>
          <w:p w14:paraId="500AC706">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i/>
                <w:color w:val="000000"/>
                <w:sz w:val="21"/>
                <w:szCs w:val="21"/>
                <w:highlight w:val="none"/>
                <w:u w:val="single"/>
              </w:rPr>
              <w:t>1</w:t>
            </w:r>
          </w:p>
        </w:tc>
        <w:tc>
          <w:tcPr>
            <w:tcW w:w="5447" w:type="dxa"/>
            <w:noWrap/>
            <w:tcMar>
              <w:top w:w="0" w:type="dxa"/>
              <w:left w:w="108" w:type="dxa"/>
              <w:bottom w:w="0" w:type="dxa"/>
              <w:right w:w="108" w:type="dxa"/>
            </w:tcMar>
            <w:vAlign w:val="center"/>
          </w:tcPr>
          <w:p w14:paraId="0A6B68E6">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right="0"/>
              <w:jc w:val="both"/>
              <w:rPr>
                <w:rFonts w:hint="eastAsia" w:ascii="宋体" w:hAnsi="宋体" w:eastAsia="宋体" w:cs="宋体"/>
                <w:i w:val="0"/>
                <w:iCs w:val="0"/>
                <w:sz w:val="21"/>
                <w:szCs w:val="21"/>
                <w:highlight w:val="none"/>
                <w:u w:val="none"/>
              </w:rPr>
            </w:pPr>
            <w:r>
              <w:rPr>
                <w:rFonts w:hint="eastAsia" w:ascii="宋体" w:hAnsi="宋体" w:eastAsia="宋体" w:cs="宋体"/>
                <w:i w:val="0"/>
                <w:iCs w:val="0"/>
                <w:color w:val="000000"/>
                <w:sz w:val="21"/>
                <w:szCs w:val="21"/>
                <w:highlight w:val="none"/>
                <w:u w:val="none"/>
              </w:rPr>
              <w:t>法人或者其他组织的营业执照等证明文件，自然人的身份证明；</w:t>
            </w:r>
          </w:p>
        </w:tc>
        <w:tc>
          <w:tcPr>
            <w:tcW w:w="2413" w:type="dxa"/>
            <w:noWrap/>
            <w:tcMar>
              <w:top w:w="0" w:type="dxa"/>
              <w:left w:w="108" w:type="dxa"/>
              <w:bottom w:w="0" w:type="dxa"/>
              <w:right w:w="108" w:type="dxa"/>
            </w:tcMar>
            <w:vAlign w:val="top"/>
          </w:tcPr>
          <w:p w14:paraId="024A962F">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sz w:val="21"/>
                <w:szCs w:val="21"/>
                <w:highlight w:val="none"/>
              </w:rPr>
            </w:pPr>
          </w:p>
        </w:tc>
      </w:tr>
      <w:tr w14:paraId="1E38A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8" w:hRule="atLeast"/>
        </w:trPr>
        <w:tc>
          <w:tcPr>
            <w:tcW w:w="646" w:type="dxa"/>
            <w:noWrap/>
            <w:tcMar>
              <w:top w:w="0" w:type="dxa"/>
              <w:left w:w="108" w:type="dxa"/>
              <w:bottom w:w="0" w:type="dxa"/>
              <w:right w:w="108" w:type="dxa"/>
            </w:tcMar>
            <w:vAlign w:val="center"/>
          </w:tcPr>
          <w:p w14:paraId="08DA7B5F">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i/>
                <w:color w:val="000000"/>
                <w:sz w:val="21"/>
                <w:szCs w:val="21"/>
                <w:highlight w:val="none"/>
                <w:u w:val="single"/>
              </w:rPr>
              <w:t>2</w:t>
            </w:r>
          </w:p>
        </w:tc>
        <w:tc>
          <w:tcPr>
            <w:tcW w:w="5447" w:type="dxa"/>
            <w:noWrap/>
            <w:tcMar>
              <w:top w:w="0" w:type="dxa"/>
              <w:left w:w="108" w:type="dxa"/>
              <w:bottom w:w="0" w:type="dxa"/>
              <w:right w:w="108" w:type="dxa"/>
            </w:tcMar>
            <w:vAlign w:val="center"/>
          </w:tcPr>
          <w:p w14:paraId="68B1978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right="0"/>
              <w:jc w:val="both"/>
              <w:rPr>
                <w:rFonts w:hint="eastAsia" w:ascii="宋体" w:hAnsi="宋体" w:eastAsia="宋体" w:cs="宋体"/>
                <w:b w:val="0"/>
                <w:bCs w:val="0"/>
                <w:i w:val="0"/>
                <w:iCs w:val="0"/>
                <w:sz w:val="21"/>
                <w:szCs w:val="21"/>
                <w:highlight w:val="none"/>
                <w:u w:val="none"/>
              </w:rPr>
            </w:pPr>
            <w:r>
              <w:rPr>
                <w:rFonts w:hint="eastAsia" w:ascii="宋体" w:hAnsi="宋体" w:eastAsia="宋体" w:cs="宋体"/>
                <w:b w:val="0"/>
                <w:bCs w:val="0"/>
                <w:i w:val="0"/>
                <w:iCs w:val="0"/>
                <w:color w:val="000000"/>
                <w:sz w:val="21"/>
                <w:szCs w:val="21"/>
                <w:highlight w:val="none"/>
                <w:u w:val="none"/>
              </w:rPr>
              <w:t>2024年度</w:t>
            </w:r>
            <w:r>
              <w:rPr>
                <w:rFonts w:hint="eastAsia" w:ascii="宋体" w:hAnsi="宋体" w:eastAsia="宋体" w:cs="宋体"/>
                <w:b w:val="0"/>
                <w:bCs w:val="0"/>
                <w:i w:val="0"/>
                <w:iCs w:val="0"/>
                <w:color w:val="000000"/>
                <w:sz w:val="21"/>
                <w:szCs w:val="21"/>
                <w:highlight w:val="none"/>
                <w:u w:val="none"/>
                <w:lang w:val="en-US" w:eastAsia="zh-CN"/>
              </w:rPr>
              <w:t>或2025年度</w:t>
            </w:r>
            <w:r>
              <w:rPr>
                <w:rFonts w:hint="eastAsia" w:ascii="宋体" w:hAnsi="宋体" w:eastAsia="宋体" w:cs="宋体"/>
                <w:b w:val="0"/>
                <w:bCs w:val="0"/>
                <w:i w:val="0"/>
                <w:iCs w:val="0"/>
                <w:color w:val="000000"/>
                <w:sz w:val="21"/>
                <w:szCs w:val="21"/>
                <w:highlight w:val="none"/>
                <w:u w:val="none"/>
              </w:rPr>
              <w:t>的财务状况报告（成立不满一年无需提供）；</w:t>
            </w:r>
          </w:p>
        </w:tc>
        <w:tc>
          <w:tcPr>
            <w:tcW w:w="2413" w:type="dxa"/>
            <w:noWrap/>
            <w:tcMar>
              <w:top w:w="0" w:type="dxa"/>
              <w:left w:w="108" w:type="dxa"/>
              <w:bottom w:w="0" w:type="dxa"/>
              <w:right w:w="108" w:type="dxa"/>
            </w:tcMar>
            <w:vAlign w:val="top"/>
          </w:tcPr>
          <w:p w14:paraId="0523978F">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sz w:val="21"/>
                <w:szCs w:val="21"/>
                <w:highlight w:val="none"/>
              </w:rPr>
            </w:pPr>
          </w:p>
        </w:tc>
      </w:tr>
      <w:tr w14:paraId="19B9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trPr>
        <w:tc>
          <w:tcPr>
            <w:tcW w:w="646" w:type="dxa"/>
            <w:noWrap/>
            <w:tcMar>
              <w:top w:w="0" w:type="dxa"/>
              <w:left w:w="108" w:type="dxa"/>
              <w:bottom w:w="0" w:type="dxa"/>
              <w:right w:w="108" w:type="dxa"/>
            </w:tcMar>
            <w:vAlign w:val="center"/>
          </w:tcPr>
          <w:p w14:paraId="2A481DDC">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i/>
                <w:color w:val="000000"/>
                <w:sz w:val="21"/>
                <w:szCs w:val="21"/>
                <w:highlight w:val="none"/>
                <w:u w:val="single"/>
              </w:rPr>
              <w:t>3</w:t>
            </w:r>
          </w:p>
        </w:tc>
        <w:tc>
          <w:tcPr>
            <w:tcW w:w="5447" w:type="dxa"/>
            <w:noWrap/>
            <w:tcMar>
              <w:top w:w="0" w:type="dxa"/>
              <w:left w:w="108" w:type="dxa"/>
              <w:bottom w:w="0" w:type="dxa"/>
              <w:right w:w="108" w:type="dxa"/>
            </w:tcMar>
            <w:vAlign w:val="center"/>
          </w:tcPr>
          <w:p w14:paraId="56682A7A">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right="0"/>
              <w:jc w:val="both"/>
              <w:rPr>
                <w:rFonts w:hint="eastAsia" w:ascii="宋体" w:hAnsi="宋体" w:eastAsia="宋体" w:cs="宋体"/>
                <w:b w:val="0"/>
                <w:bCs w:val="0"/>
                <w:i w:val="0"/>
                <w:iCs w:val="0"/>
                <w:sz w:val="21"/>
                <w:szCs w:val="21"/>
                <w:highlight w:val="none"/>
                <w:u w:val="none"/>
              </w:rPr>
            </w:pPr>
            <w:r>
              <w:rPr>
                <w:rFonts w:hint="eastAsia" w:ascii="宋体" w:hAnsi="宋体" w:eastAsia="宋体" w:cs="宋体"/>
                <w:b w:val="0"/>
                <w:bCs w:val="0"/>
                <w:i w:val="0"/>
                <w:iCs w:val="0"/>
                <w:color w:val="000000"/>
                <w:sz w:val="21"/>
                <w:szCs w:val="21"/>
                <w:highlight w:val="none"/>
                <w:u w:val="none"/>
              </w:rPr>
              <w:t>依法缴纳税收和社会保障资金的相关材料（提供提交投标文件截止时间前一年内至少一个月依法缴纳税收及缴纳社会保障资金的证明材料。</w:t>
            </w:r>
            <w:r>
              <w:rPr>
                <w:rFonts w:hint="eastAsia" w:ascii="宋体" w:hAnsi="宋体" w:eastAsia="宋体" w:cs="宋体"/>
                <w:b w:val="0"/>
                <w:bCs w:val="0"/>
                <w:i w:val="0"/>
                <w:iCs w:val="0"/>
                <w:color w:val="000000"/>
                <w:sz w:val="21"/>
                <w:szCs w:val="21"/>
                <w:highlight w:val="none"/>
                <w:u w:val="none"/>
                <w:lang w:eastAsia="zh-CN"/>
              </w:rPr>
              <w:t>供应商</w:t>
            </w:r>
            <w:r>
              <w:rPr>
                <w:rFonts w:hint="eastAsia" w:ascii="宋体" w:hAnsi="宋体" w:eastAsia="宋体" w:cs="宋体"/>
                <w:b w:val="0"/>
                <w:bCs w:val="0"/>
                <w:i w:val="0"/>
                <w:iCs w:val="0"/>
                <w:color w:val="000000"/>
                <w:sz w:val="21"/>
                <w:szCs w:val="21"/>
                <w:highlight w:val="none"/>
                <w:u w:val="none"/>
              </w:rPr>
              <w:t>依法享受缓缴、免缴税收、社会保障资金的提供证明材料。）</w:t>
            </w:r>
          </w:p>
        </w:tc>
        <w:tc>
          <w:tcPr>
            <w:tcW w:w="2413" w:type="dxa"/>
            <w:noWrap/>
            <w:tcMar>
              <w:top w:w="0" w:type="dxa"/>
              <w:left w:w="108" w:type="dxa"/>
              <w:bottom w:w="0" w:type="dxa"/>
              <w:right w:w="108" w:type="dxa"/>
            </w:tcMar>
            <w:vAlign w:val="top"/>
          </w:tcPr>
          <w:p w14:paraId="1EE01138">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sz w:val="21"/>
                <w:szCs w:val="21"/>
                <w:highlight w:val="none"/>
              </w:rPr>
            </w:pPr>
          </w:p>
        </w:tc>
      </w:tr>
      <w:tr w14:paraId="46CA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1" w:hRule="atLeast"/>
        </w:trPr>
        <w:tc>
          <w:tcPr>
            <w:tcW w:w="646" w:type="dxa"/>
            <w:noWrap/>
            <w:tcMar>
              <w:top w:w="0" w:type="dxa"/>
              <w:left w:w="108" w:type="dxa"/>
              <w:bottom w:w="0" w:type="dxa"/>
              <w:right w:w="108" w:type="dxa"/>
            </w:tcMar>
            <w:vAlign w:val="center"/>
          </w:tcPr>
          <w:p w14:paraId="629291BF">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i/>
                <w:color w:val="000000"/>
                <w:sz w:val="21"/>
                <w:szCs w:val="21"/>
                <w:highlight w:val="none"/>
                <w:u w:val="single"/>
              </w:rPr>
              <w:t>4</w:t>
            </w:r>
          </w:p>
        </w:tc>
        <w:tc>
          <w:tcPr>
            <w:tcW w:w="5447" w:type="dxa"/>
            <w:noWrap/>
            <w:tcMar>
              <w:top w:w="0" w:type="dxa"/>
              <w:left w:w="108" w:type="dxa"/>
              <w:bottom w:w="0" w:type="dxa"/>
              <w:right w:w="108" w:type="dxa"/>
            </w:tcMar>
            <w:vAlign w:val="center"/>
          </w:tcPr>
          <w:p w14:paraId="49A6807B">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right="0"/>
              <w:jc w:val="both"/>
              <w:rPr>
                <w:rFonts w:hint="eastAsia" w:ascii="宋体" w:hAnsi="宋体" w:eastAsia="宋体" w:cs="宋体"/>
                <w:i w:val="0"/>
                <w:iCs w:val="0"/>
                <w:sz w:val="21"/>
                <w:szCs w:val="21"/>
                <w:highlight w:val="none"/>
                <w:u w:val="none"/>
              </w:rPr>
            </w:pPr>
            <w:r>
              <w:rPr>
                <w:rFonts w:hint="eastAsia" w:ascii="宋体" w:hAnsi="宋体" w:eastAsia="宋体" w:cs="宋体"/>
                <w:i w:val="0"/>
                <w:iCs w:val="0"/>
                <w:color w:val="000000"/>
                <w:sz w:val="21"/>
                <w:szCs w:val="21"/>
                <w:highlight w:val="none"/>
                <w:u w:val="none"/>
              </w:rPr>
              <w:t>具备履行合同所必需的设备和专业技术能力的书面声明；</w:t>
            </w:r>
          </w:p>
        </w:tc>
        <w:tc>
          <w:tcPr>
            <w:tcW w:w="2413" w:type="dxa"/>
            <w:noWrap/>
            <w:tcMar>
              <w:top w:w="0" w:type="dxa"/>
              <w:left w:w="108" w:type="dxa"/>
              <w:bottom w:w="0" w:type="dxa"/>
              <w:right w:w="108" w:type="dxa"/>
            </w:tcMar>
            <w:vAlign w:val="top"/>
          </w:tcPr>
          <w:p w14:paraId="5C7719D7">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sz w:val="21"/>
                <w:szCs w:val="21"/>
                <w:highlight w:val="none"/>
              </w:rPr>
            </w:pPr>
          </w:p>
        </w:tc>
      </w:tr>
      <w:tr w14:paraId="1F18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trPr>
        <w:tc>
          <w:tcPr>
            <w:tcW w:w="646" w:type="dxa"/>
            <w:noWrap/>
            <w:tcMar>
              <w:top w:w="0" w:type="dxa"/>
              <w:left w:w="108" w:type="dxa"/>
              <w:bottom w:w="0" w:type="dxa"/>
              <w:right w:w="108" w:type="dxa"/>
            </w:tcMar>
            <w:vAlign w:val="center"/>
          </w:tcPr>
          <w:p w14:paraId="72E1C027">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i/>
                <w:color w:val="000000"/>
                <w:sz w:val="21"/>
                <w:szCs w:val="21"/>
                <w:highlight w:val="none"/>
                <w:u w:val="single"/>
              </w:rPr>
              <w:t>5</w:t>
            </w:r>
          </w:p>
        </w:tc>
        <w:tc>
          <w:tcPr>
            <w:tcW w:w="5447" w:type="dxa"/>
            <w:noWrap/>
            <w:tcMar>
              <w:top w:w="0" w:type="dxa"/>
              <w:left w:w="108" w:type="dxa"/>
              <w:bottom w:w="0" w:type="dxa"/>
              <w:right w:w="108" w:type="dxa"/>
            </w:tcMar>
            <w:vAlign w:val="center"/>
          </w:tcPr>
          <w:p w14:paraId="41F95A5E">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right="0"/>
              <w:jc w:val="both"/>
              <w:rPr>
                <w:rFonts w:hint="eastAsia" w:ascii="宋体" w:hAnsi="宋体" w:eastAsia="宋体" w:cs="宋体"/>
                <w:i w:val="0"/>
                <w:iCs w:val="0"/>
                <w:sz w:val="21"/>
                <w:szCs w:val="21"/>
                <w:highlight w:val="none"/>
                <w:u w:val="none"/>
              </w:rPr>
            </w:pPr>
            <w:r>
              <w:rPr>
                <w:rFonts w:hint="eastAsia" w:ascii="宋体" w:hAnsi="宋体" w:eastAsia="宋体" w:cs="宋体"/>
                <w:i w:val="0"/>
                <w:iCs w:val="0"/>
                <w:color w:val="000000"/>
                <w:sz w:val="21"/>
                <w:szCs w:val="21"/>
                <w:highlight w:val="none"/>
                <w:u w:val="none"/>
              </w:rPr>
              <w:t>参加政府采购活动前3年内在经营活动中没有重大违法记录的书面声明；</w:t>
            </w:r>
          </w:p>
        </w:tc>
        <w:tc>
          <w:tcPr>
            <w:tcW w:w="2413" w:type="dxa"/>
            <w:noWrap/>
            <w:tcMar>
              <w:top w:w="0" w:type="dxa"/>
              <w:left w:w="108" w:type="dxa"/>
              <w:bottom w:w="0" w:type="dxa"/>
              <w:right w:w="108" w:type="dxa"/>
            </w:tcMar>
            <w:vAlign w:val="top"/>
          </w:tcPr>
          <w:p w14:paraId="4A6253F4">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sz w:val="21"/>
                <w:szCs w:val="21"/>
                <w:highlight w:val="none"/>
              </w:rPr>
            </w:pPr>
          </w:p>
        </w:tc>
      </w:tr>
      <w:tr w14:paraId="31B47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0" w:hRule="atLeast"/>
        </w:trPr>
        <w:tc>
          <w:tcPr>
            <w:tcW w:w="646" w:type="dxa"/>
            <w:noWrap/>
            <w:tcMar>
              <w:top w:w="0" w:type="dxa"/>
              <w:left w:w="108" w:type="dxa"/>
              <w:bottom w:w="0" w:type="dxa"/>
              <w:right w:w="108" w:type="dxa"/>
            </w:tcMar>
            <w:vAlign w:val="center"/>
          </w:tcPr>
          <w:p w14:paraId="07D2FA9E">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i/>
                <w:color w:val="000000"/>
                <w:sz w:val="21"/>
                <w:szCs w:val="21"/>
                <w:highlight w:val="none"/>
                <w:u w:val="single"/>
              </w:rPr>
              <w:t>6</w:t>
            </w:r>
          </w:p>
        </w:tc>
        <w:tc>
          <w:tcPr>
            <w:tcW w:w="5447" w:type="dxa"/>
            <w:noWrap/>
            <w:tcMar>
              <w:top w:w="0" w:type="dxa"/>
              <w:left w:w="108" w:type="dxa"/>
              <w:bottom w:w="0" w:type="dxa"/>
              <w:right w:w="108" w:type="dxa"/>
            </w:tcMar>
            <w:vAlign w:val="center"/>
          </w:tcPr>
          <w:p w14:paraId="1E9F9347">
            <w:pPr>
              <w:pStyle w:val="4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right="0"/>
              <w:jc w:val="both"/>
              <w:rPr>
                <w:rFonts w:hint="eastAsia" w:ascii="宋体" w:hAnsi="宋体" w:eastAsia="宋体" w:cs="宋体"/>
                <w:i w:val="0"/>
                <w:iCs w:val="0"/>
                <w:sz w:val="21"/>
                <w:szCs w:val="21"/>
                <w:highlight w:val="none"/>
                <w:u w:val="none"/>
              </w:rPr>
            </w:pPr>
            <w:r>
              <w:rPr>
                <w:rFonts w:hint="eastAsia" w:ascii="宋体" w:hAnsi="宋体" w:eastAsia="宋体" w:cs="宋体"/>
                <w:i w:val="0"/>
                <w:iCs w:val="0"/>
                <w:color w:val="000000"/>
                <w:sz w:val="21"/>
                <w:szCs w:val="21"/>
                <w:highlight w:val="none"/>
                <w:u w:val="none"/>
                <w:lang w:eastAsia="zh-CN"/>
              </w:rPr>
              <w:t>供应商</w:t>
            </w:r>
            <w:r>
              <w:rPr>
                <w:rFonts w:hint="eastAsia" w:ascii="宋体" w:hAnsi="宋体" w:eastAsia="宋体" w:cs="宋体"/>
                <w:i w:val="0"/>
                <w:iCs w:val="0"/>
                <w:color w:val="000000"/>
                <w:sz w:val="21"/>
                <w:szCs w:val="21"/>
                <w:highlight w:val="none"/>
                <w:u w:val="none"/>
              </w:rPr>
              <w:t>信用承诺函；</w:t>
            </w:r>
          </w:p>
        </w:tc>
        <w:tc>
          <w:tcPr>
            <w:tcW w:w="2413" w:type="dxa"/>
            <w:noWrap/>
            <w:tcMar>
              <w:top w:w="0" w:type="dxa"/>
              <w:left w:w="108" w:type="dxa"/>
              <w:bottom w:w="0" w:type="dxa"/>
              <w:right w:w="108" w:type="dxa"/>
            </w:tcMar>
            <w:vAlign w:val="top"/>
          </w:tcPr>
          <w:p w14:paraId="5CA20AD2">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sz w:val="21"/>
                <w:szCs w:val="21"/>
                <w:highlight w:val="none"/>
              </w:rPr>
            </w:pPr>
          </w:p>
        </w:tc>
      </w:tr>
      <w:tr w14:paraId="5078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4" w:hRule="atLeast"/>
        </w:trPr>
        <w:tc>
          <w:tcPr>
            <w:tcW w:w="646" w:type="dxa"/>
            <w:noWrap/>
            <w:tcMar>
              <w:top w:w="0" w:type="dxa"/>
              <w:left w:w="108" w:type="dxa"/>
              <w:bottom w:w="0" w:type="dxa"/>
              <w:right w:w="108" w:type="dxa"/>
            </w:tcMar>
            <w:vAlign w:val="center"/>
          </w:tcPr>
          <w:p w14:paraId="362728F1">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i/>
                <w:color w:val="000000"/>
                <w:sz w:val="21"/>
                <w:szCs w:val="21"/>
                <w:highlight w:val="none"/>
                <w:u w:val="single"/>
              </w:rPr>
              <w:t>7</w:t>
            </w:r>
          </w:p>
        </w:tc>
        <w:tc>
          <w:tcPr>
            <w:tcW w:w="5447" w:type="dxa"/>
            <w:noWrap/>
            <w:tcMar>
              <w:top w:w="0" w:type="dxa"/>
              <w:left w:w="108" w:type="dxa"/>
              <w:bottom w:w="0" w:type="dxa"/>
              <w:right w:w="108" w:type="dxa"/>
            </w:tcMar>
            <w:vAlign w:val="center"/>
          </w:tcPr>
          <w:p w14:paraId="035B79EB">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after="0" w:line="240" w:lineRule="auto"/>
              <w:ind w:right="0"/>
              <w:jc w:val="both"/>
              <w:rPr>
                <w:rFonts w:hint="eastAsia" w:ascii="宋体" w:hAnsi="宋体" w:eastAsia="宋体" w:cs="宋体"/>
                <w:i w:val="0"/>
                <w:iCs w:val="0"/>
                <w:sz w:val="21"/>
                <w:szCs w:val="21"/>
                <w:highlight w:val="none"/>
                <w:u w:val="none"/>
              </w:rPr>
            </w:pPr>
            <w:r>
              <w:rPr>
                <w:rFonts w:hint="eastAsia" w:ascii="宋体" w:hAnsi="宋体" w:eastAsia="宋体" w:cs="宋体"/>
                <w:i w:val="0"/>
                <w:iCs w:val="0"/>
                <w:color w:val="auto"/>
                <w:sz w:val="21"/>
                <w:szCs w:val="21"/>
                <w:highlight w:val="none"/>
                <w:u w:val="none"/>
                <w:lang w:val="en-US" w:eastAsia="zh-CN"/>
              </w:rPr>
              <w:t>未被“信用中国”网站（www.creditchina.gov.cn）、“中国政府采购网”(www.ccgp.gov.cn)列入失信被执行人、重大税收违法案件当事人名单、政府采购严重违法失信行为记录名单。</w:t>
            </w:r>
          </w:p>
        </w:tc>
        <w:tc>
          <w:tcPr>
            <w:tcW w:w="2413" w:type="dxa"/>
            <w:noWrap/>
            <w:tcMar>
              <w:top w:w="0" w:type="dxa"/>
              <w:left w:w="108" w:type="dxa"/>
              <w:bottom w:w="0" w:type="dxa"/>
              <w:right w:w="108" w:type="dxa"/>
            </w:tcMar>
            <w:vAlign w:val="top"/>
          </w:tcPr>
          <w:p w14:paraId="6CF41DA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sz w:val="21"/>
                <w:szCs w:val="21"/>
                <w:highlight w:val="none"/>
              </w:rPr>
            </w:pPr>
          </w:p>
        </w:tc>
      </w:tr>
      <w:tr w14:paraId="7615C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7" w:hRule="atLeast"/>
        </w:trPr>
        <w:tc>
          <w:tcPr>
            <w:tcW w:w="8506" w:type="dxa"/>
            <w:gridSpan w:val="3"/>
            <w:noWrap/>
            <w:tcMar>
              <w:top w:w="0" w:type="dxa"/>
              <w:left w:w="108" w:type="dxa"/>
              <w:bottom w:w="0" w:type="dxa"/>
              <w:right w:w="108" w:type="dxa"/>
            </w:tcMar>
            <w:vAlign w:val="top"/>
          </w:tcPr>
          <w:p w14:paraId="23AB872A">
            <w:pPr>
              <w:keepNext w:val="0"/>
              <w:keepLines w:val="0"/>
              <w:pageBreakBefore w:val="0"/>
              <w:widowControl w:val="0"/>
              <w:pBdr>
                <w:top w:val="none" w:color="000000" w:sz="0" w:space="0"/>
                <w:left w:val="none" w:color="000000" w:sz="0" w:space="0"/>
                <w:bottom w:val="none" w:color="000000" w:sz="0" w:space="0"/>
                <w:right w:val="none" w:color="000000" w:sz="0" w:space="0"/>
              </w:pBdr>
              <w:tabs>
                <w:tab w:val="left" w:pos="2510"/>
              </w:tabs>
              <w:spacing w:after="0" w:line="240" w:lineRule="auto"/>
              <w:ind w:left="0" w:right="0" w:firstLine="0"/>
              <w:jc w:val="both"/>
              <w:rPr>
                <w:rFonts w:hint="eastAsia" w:ascii="宋体" w:hAnsi="宋体" w:eastAsia="宋体" w:cs="宋体"/>
                <w:b/>
                <w:color w:val="000000"/>
                <w:sz w:val="21"/>
                <w:szCs w:val="21"/>
                <w:highlight w:val="none"/>
              </w:rPr>
            </w:pPr>
            <w:r>
              <w:rPr>
                <w:rFonts w:hint="eastAsia" w:ascii="宋体" w:hAnsi="宋体" w:eastAsia="宋体" w:cs="宋体"/>
                <w:b/>
                <w:bCs/>
                <w:color w:val="000000" w:themeColor="text1"/>
                <w:sz w:val="21"/>
                <w:szCs w:val="21"/>
                <w:highlight w:val="none"/>
                <w14:textFill>
                  <w14:solidFill>
                    <w14:schemeClr w14:val="tx1"/>
                  </w14:solidFill>
                </w14:textFill>
              </w:rPr>
              <w:t>落实政府采购政策需满足的资格要求</w:t>
            </w:r>
          </w:p>
        </w:tc>
      </w:tr>
      <w:tr w14:paraId="55AC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atLeast"/>
        </w:trPr>
        <w:tc>
          <w:tcPr>
            <w:tcW w:w="646" w:type="dxa"/>
            <w:noWrap/>
            <w:tcMar>
              <w:top w:w="0" w:type="dxa"/>
              <w:left w:w="108" w:type="dxa"/>
              <w:bottom w:w="0" w:type="dxa"/>
              <w:right w:w="108" w:type="dxa"/>
            </w:tcMar>
            <w:vAlign w:val="center"/>
          </w:tcPr>
          <w:p w14:paraId="2281C097">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i/>
                <w:color w:val="000000"/>
                <w:sz w:val="21"/>
                <w:szCs w:val="21"/>
                <w:highlight w:val="none"/>
                <w:u w:val="single"/>
                <w:lang w:val="en-US" w:eastAsia="zh-CN"/>
              </w:rPr>
            </w:pPr>
            <w:r>
              <w:rPr>
                <w:rFonts w:hint="eastAsia" w:ascii="宋体" w:hAnsi="宋体" w:eastAsia="宋体" w:cs="宋体"/>
                <w:i/>
                <w:color w:val="000000"/>
                <w:sz w:val="21"/>
                <w:szCs w:val="21"/>
                <w:highlight w:val="none"/>
                <w:u w:val="single"/>
                <w:lang w:val="en-US" w:eastAsia="zh-CN"/>
              </w:rPr>
              <w:t>8</w:t>
            </w:r>
          </w:p>
        </w:tc>
        <w:tc>
          <w:tcPr>
            <w:tcW w:w="5447" w:type="dxa"/>
            <w:noWrap/>
            <w:tcMar>
              <w:top w:w="0" w:type="dxa"/>
              <w:left w:w="108" w:type="dxa"/>
              <w:bottom w:w="0" w:type="dxa"/>
              <w:right w:w="108" w:type="dxa"/>
            </w:tcMar>
            <w:vAlign w:val="top"/>
          </w:tcPr>
          <w:p w14:paraId="0A1416A8">
            <w:pPr>
              <w:keepNext w:val="0"/>
              <w:keepLines w:val="0"/>
              <w:pageBreakBefore w:val="0"/>
              <w:widowControl w:val="0"/>
              <w:numPr>
                <w:ilvl w:val="0"/>
                <w:numId w:val="0"/>
              </w:numPr>
              <w:spacing w:line="240" w:lineRule="auto"/>
              <w:ind w:right="0" w:firstLine="0"/>
              <w:jc w:val="both"/>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auto"/>
                <w:sz w:val="21"/>
                <w:szCs w:val="21"/>
                <w:highlight w:val="none"/>
                <w:u w:val="none"/>
                <w:lang w:val="en-US" w:eastAsia="zh-CN" w:bidi="ar-SA"/>
              </w:rPr>
              <w:t>本项目专门面向中小企业采购，供应商须提供《中小企业声明函》，《中小企业声明函》不符合要求或未提供的，投标文件无效。</w:t>
            </w:r>
          </w:p>
        </w:tc>
        <w:tc>
          <w:tcPr>
            <w:tcW w:w="2413" w:type="dxa"/>
            <w:noWrap/>
            <w:tcMar>
              <w:top w:w="0" w:type="dxa"/>
              <w:left w:w="108" w:type="dxa"/>
              <w:bottom w:w="0" w:type="dxa"/>
              <w:right w:w="108" w:type="dxa"/>
            </w:tcMar>
            <w:vAlign w:val="top"/>
          </w:tcPr>
          <w:p w14:paraId="7D6BD430">
            <w:pPr>
              <w:keepNext w:val="0"/>
              <w:keepLines w:val="0"/>
              <w:pageBreakBefore w:val="0"/>
              <w:widowControl w:val="0"/>
              <w:pBdr>
                <w:top w:val="none" w:color="000000" w:sz="0" w:space="0"/>
                <w:left w:val="none" w:color="000000" w:sz="0" w:space="0"/>
                <w:bottom w:val="none" w:color="000000" w:sz="0" w:space="0"/>
                <w:right w:val="none" w:color="000000" w:sz="0" w:space="0"/>
              </w:pBdr>
              <w:tabs>
                <w:tab w:val="left" w:pos="2510"/>
              </w:tabs>
              <w:spacing w:after="0" w:line="240" w:lineRule="auto"/>
              <w:ind w:left="0" w:right="0" w:firstLine="0"/>
              <w:jc w:val="both"/>
              <w:rPr>
                <w:rFonts w:hint="eastAsia" w:ascii="宋体" w:hAnsi="宋体" w:eastAsia="宋体" w:cs="宋体"/>
                <w:b/>
                <w:color w:val="000000"/>
                <w:sz w:val="21"/>
                <w:szCs w:val="21"/>
                <w:highlight w:val="none"/>
              </w:rPr>
            </w:pPr>
          </w:p>
        </w:tc>
      </w:tr>
      <w:tr w14:paraId="75129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atLeast"/>
        </w:trPr>
        <w:tc>
          <w:tcPr>
            <w:tcW w:w="8506" w:type="dxa"/>
            <w:gridSpan w:val="3"/>
            <w:noWrap/>
            <w:tcMar>
              <w:top w:w="0" w:type="dxa"/>
              <w:left w:w="108" w:type="dxa"/>
              <w:bottom w:w="0" w:type="dxa"/>
              <w:right w:w="108" w:type="dxa"/>
            </w:tcMar>
            <w:vAlign w:val="top"/>
          </w:tcPr>
          <w:p w14:paraId="06019D5D">
            <w:pPr>
              <w:keepNext w:val="0"/>
              <w:keepLines w:val="0"/>
              <w:pageBreakBefore w:val="0"/>
              <w:widowControl w:val="0"/>
              <w:pBdr>
                <w:top w:val="none" w:color="000000" w:sz="0" w:space="0"/>
                <w:left w:val="none" w:color="000000" w:sz="0" w:space="0"/>
                <w:bottom w:val="none" w:color="000000" w:sz="0" w:space="0"/>
                <w:right w:val="none" w:color="000000" w:sz="0" w:space="0"/>
              </w:pBdr>
              <w:tabs>
                <w:tab w:val="left" w:pos="2510"/>
              </w:tabs>
              <w:spacing w:after="0" w:line="240" w:lineRule="auto"/>
              <w:ind w:left="0" w:right="0" w:firstLine="0"/>
              <w:jc w:val="both"/>
              <w:rPr>
                <w:rFonts w:hint="eastAsia" w:ascii="宋体" w:hAnsi="宋体" w:eastAsia="宋体" w:cs="宋体"/>
                <w:b/>
                <w:i w:val="0"/>
                <w:iCs w:val="0"/>
                <w:color w:val="000000"/>
                <w:sz w:val="21"/>
                <w:szCs w:val="21"/>
                <w:highlight w:val="none"/>
                <w:u w:val="none"/>
              </w:rPr>
            </w:pPr>
            <w:r>
              <w:rPr>
                <w:rFonts w:hint="eastAsia" w:ascii="宋体" w:hAnsi="宋体" w:eastAsia="宋体" w:cs="宋体"/>
                <w:b/>
                <w:i w:val="0"/>
                <w:iCs w:val="0"/>
                <w:color w:val="000000"/>
                <w:sz w:val="21"/>
                <w:szCs w:val="21"/>
                <w:highlight w:val="none"/>
                <w:u w:val="none"/>
              </w:rPr>
              <w:t>特定资格要求</w:t>
            </w:r>
          </w:p>
        </w:tc>
      </w:tr>
      <w:tr w14:paraId="0EA1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atLeast"/>
        </w:trPr>
        <w:tc>
          <w:tcPr>
            <w:tcW w:w="646" w:type="dxa"/>
            <w:noWrap/>
            <w:tcMar>
              <w:top w:w="0" w:type="dxa"/>
              <w:left w:w="108" w:type="dxa"/>
              <w:bottom w:w="0" w:type="dxa"/>
              <w:right w:w="108" w:type="dxa"/>
            </w:tcMar>
            <w:vAlign w:val="center"/>
          </w:tcPr>
          <w:p w14:paraId="1E5E5277">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i/>
                <w:color w:val="000000"/>
                <w:sz w:val="21"/>
                <w:szCs w:val="21"/>
                <w:highlight w:val="none"/>
                <w:u w:val="single"/>
                <w:lang w:val="en-US" w:eastAsia="zh-CN"/>
              </w:rPr>
            </w:pPr>
            <w:r>
              <w:rPr>
                <w:rFonts w:hint="eastAsia" w:ascii="宋体" w:hAnsi="宋体" w:eastAsia="宋体" w:cs="宋体"/>
                <w:i/>
                <w:color w:val="000000"/>
                <w:sz w:val="21"/>
                <w:szCs w:val="21"/>
                <w:highlight w:val="none"/>
                <w:u w:val="single"/>
                <w:lang w:val="en-US" w:eastAsia="zh-CN"/>
              </w:rPr>
              <w:t>9</w:t>
            </w:r>
          </w:p>
        </w:tc>
        <w:tc>
          <w:tcPr>
            <w:tcW w:w="5447" w:type="dxa"/>
            <w:noWrap/>
            <w:tcMar>
              <w:top w:w="0" w:type="dxa"/>
              <w:left w:w="108" w:type="dxa"/>
              <w:bottom w:w="0" w:type="dxa"/>
              <w:right w:w="108" w:type="dxa"/>
            </w:tcMar>
            <w:vAlign w:val="top"/>
          </w:tcPr>
          <w:p w14:paraId="09A12423">
            <w:pPr>
              <w:keepNext w:val="0"/>
              <w:keepLines w:val="0"/>
              <w:pageBreakBefore w:val="0"/>
              <w:widowControl w:val="0"/>
              <w:numPr>
                <w:ilvl w:val="0"/>
                <w:numId w:val="0"/>
              </w:numPr>
              <w:spacing w:line="240" w:lineRule="auto"/>
              <w:ind w:right="0" w:firstLine="0"/>
              <w:jc w:val="both"/>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SA"/>
              </w:rPr>
              <w:t>供应商具有有效的建筑装修装饰工程专业承包贰级及以上资质，且具有有效的安全生产许可证(原件扫描上传)</w:t>
            </w:r>
          </w:p>
        </w:tc>
        <w:tc>
          <w:tcPr>
            <w:tcW w:w="2413" w:type="dxa"/>
            <w:noWrap/>
            <w:tcMar>
              <w:top w:w="0" w:type="dxa"/>
              <w:left w:w="108" w:type="dxa"/>
              <w:bottom w:w="0" w:type="dxa"/>
              <w:right w:w="108" w:type="dxa"/>
            </w:tcMar>
            <w:vAlign w:val="top"/>
          </w:tcPr>
          <w:p w14:paraId="1CCEF079">
            <w:pPr>
              <w:keepNext w:val="0"/>
              <w:keepLines w:val="0"/>
              <w:pageBreakBefore w:val="0"/>
              <w:widowControl w:val="0"/>
              <w:pBdr>
                <w:top w:val="none" w:color="000000" w:sz="0" w:space="0"/>
                <w:left w:val="none" w:color="000000" w:sz="0" w:space="0"/>
                <w:bottom w:val="none" w:color="000000" w:sz="0" w:space="0"/>
                <w:right w:val="none" w:color="000000" w:sz="0" w:space="0"/>
              </w:pBdr>
              <w:tabs>
                <w:tab w:val="left" w:pos="2510"/>
              </w:tabs>
              <w:spacing w:after="0" w:line="240" w:lineRule="auto"/>
              <w:ind w:left="0" w:right="0" w:firstLine="0"/>
              <w:jc w:val="both"/>
              <w:rPr>
                <w:rFonts w:hint="eastAsia" w:ascii="宋体" w:hAnsi="宋体" w:eastAsia="宋体" w:cs="宋体"/>
                <w:b/>
                <w:color w:val="000000"/>
                <w:sz w:val="21"/>
                <w:szCs w:val="21"/>
                <w:highlight w:val="none"/>
              </w:rPr>
            </w:pPr>
          </w:p>
        </w:tc>
      </w:tr>
      <w:tr w14:paraId="59E62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atLeast"/>
        </w:trPr>
        <w:tc>
          <w:tcPr>
            <w:tcW w:w="646" w:type="dxa"/>
            <w:noWrap/>
            <w:tcMar>
              <w:top w:w="0" w:type="dxa"/>
              <w:left w:w="108" w:type="dxa"/>
              <w:bottom w:w="0" w:type="dxa"/>
              <w:right w:w="108" w:type="dxa"/>
            </w:tcMar>
            <w:vAlign w:val="center"/>
          </w:tcPr>
          <w:p w14:paraId="20930973">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i/>
                <w:color w:val="000000"/>
                <w:sz w:val="21"/>
                <w:szCs w:val="21"/>
                <w:highlight w:val="none"/>
                <w:u w:val="single"/>
                <w:lang w:val="en-US" w:eastAsia="zh-CN"/>
              </w:rPr>
            </w:pPr>
            <w:r>
              <w:rPr>
                <w:rFonts w:hint="eastAsia" w:ascii="宋体" w:hAnsi="宋体" w:eastAsia="宋体" w:cs="宋体"/>
                <w:i/>
                <w:color w:val="000000"/>
                <w:sz w:val="21"/>
                <w:szCs w:val="21"/>
                <w:highlight w:val="none"/>
                <w:u w:val="single"/>
                <w:lang w:val="en-US" w:eastAsia="zh-CN"/>
              </w:rPr>
              <w:t>10</w:t>
            </w:r>
          </w:p>
        </w:tc>
        <w:tc>
          <w:tcPr>
            <w:tcW w:w="5447" w:type="dxa"/>
            <w:noWrap/>
            <w:tcMar>
              <w:top w:w="0" w:type="dxa"/>
              <w:left w:w="108" w:type="dxa"/>
              <w:bottom w:w="0" w:type="dxa"/>
              <w:right w:w="108" w:type="dxa"/>
            </w:tcMar>
            <w:vAlign w:val="top"/>
          </w:tcPr>
          <w:p w14:paraId="07391110">
            <w:pPr>
              <w:keepNext w:val="0"/>
              <w:keepLines w:val="0"/>
              <w:pageBreakBefore w:val="0"/>
              <w:widowControl w:val="0"/>
              <w:numPr>
                <w:ilvl w:val="0"/>
                <w:numId w:val="0"/>
              </w:numPr>
              <w:spacing w:line="240" w:lineRule="auto"/>
              <w:ind w:right="0" w:firstLine="0"/>
              <w:jc w:val="both"/>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SA"/>
              </w:rPr>
              <w:t>项目负责人要求：必须具有有效的建筑工程专业二级及以上注册建造师证书；并具有有效的安全生产考核合格证（B类证），无在建工程(原件扫描上传)</w:t>
            </w:r>
          </w:p>
        </w:tc>
        <w:tc>
          <w:tcPr>
            <w:tcW w:w="2413" w:type="dxa"/>
            <w:noWrap/>
            <w:tcMar>
              <w:top w:w="0" w:type="dxa"/>
              <w:left w:w="108" w:type="dxa"/>
              <w:bottom w:w="0" w:type="dxa"/>
              <w:right w:w="108" w:type="dxa"/>
            </w:tcMar>
            <w:vAlign w:val="top"/>
          </w:tcPr>
          <w:p w14:paraId="75C5E03D">
            <w:pPr>
              <w:keepNext w:val="0"/>
              <w:keepLines w:val="0"/>
              <w:pageBreakBefore w:val="0"/>
              <w:widowControl w:val="0"/>
              <w:pBdr>
                <w:top w:val="none" w:color="000000" w:sz="0" w:space="0"/>
                <w:left w:val="none" w:color="000000" w:sz="0" w:space="0"/>
                <w:bottom w:val="none" w:color="000000" w:sz="0" w:space="0"/>
                <w:right w:val="none" w:color="000000" w:sz="0" w:space="0"/>
              </w:pBdr>
              <w:tabs>
                <w:tab w:val="left" w:pos="2510"/>
              </w:tabs>
              <w:spacing w:after="0" w:line="240" w:lineRule="auto"/>
              <w:ind w:left="0" w:right="0" w:firstLine="0"/>
              <w:jc w:val="both"/>
              <w:rPr>
                <w:rFonts w:hint="eastAsia" w:ascii="宋体" w:hAnsi="宋体" w:eastAsia="宋体" w:cs="宋体"/>
                <w:b/>
                <w:color w:val="000000"/>
                <w:sz w:val="21"/>
                <w:szCs w:val="21"/>
                <w:highlight w:val="none"/>
              </w:rPr>
            </w:pPr>
          </w:p>
        </w:tc>
      </w:tr>
      <w:tr w14:paraId="2ACC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atLeast"/>
        </w:trPr>
        <w:tc>
          <w:tcPr>
            <w:tcW w:w="646" w:type="dxa"/>
            <w:noWrap/>
            <w:tcMar>
              <w:top w:w="0" w:type="dxa"/>
              <w:left w:w="108" w:type="dxa"/>
              <w:bottom w:w="0" w:type="dxa"/>
              <w:right w:w="108" w:type="dxa"/>
            </w:tcMar>
            <w:vAlign w:val="center"/>
          </w:tcPr>
          <w:p w14:paraId="2320E3CB">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i/>
                <w:color w:val="000000"/>
                <w:sz w:val="21"/>
                <w:szCs w:val="21"/>
                <w:highlight w:val="none"/>
                <w:u w:val="single"/>
                <w:lang w:val="en-US" w:eastAsia="zh-CN"/>
              </w:rPr>
            </w:pPr>
            <w:r>
              <w:rPr>
                <w:rFonts w:hint="eastAsia" w:ascii="宋体" w:hAnsi="宋体" w:eastAsia="宋体" w:cs="宋体"/>
                <w:i/>
                <w:color w:val="000000"/>
                <w:sz w:val="21"/>
                <w:szCs w:val="21"/>
                <w:highlight w:val="none"/>
                <w:u w:val="single"/>
                <w:lang w:val="en-US" w:eastAsia="zh-CN"/>
              </w:rPr>
              <w:t>11</w:t>
            </w:r>
          </w:p>
        </w:tc>
        <w:tc>
          <w:tcPr>
            <w:tcW w:w="5447" w:type="dxa"/>
            <w:noWrap/>
            <w:tcMar>
              <w:top w:w="0" w:type="dxa"/>
              <w:left w:w="108" w:type="dxa"/>
              <w:bottom w:w="0" w:type="dxa"/>
              <w:right w:w="108" w:type="dxa"/>
            </w:tcMar>
            <w:vAlign w:val="top"/>
          </w:tcPr>
          <w:p w14:paraId="7CEA4A94">
            <w:pPr>
              <w:keepNext w:val="0"/>
              <w:keepLines w:val="0"/>
              <w:pageBreakBefore w:val="0"/>
              <w:widowControl w:val="0"/>
              <w:numPr>
                <w:ilvl w:val="0"/>
                <w:numId w:val="0"/>
              </w:numPr>
              <w:spacing w:line="240" w:lineRule="auto"/>
              <w:ind w:right="0" w:firstLine="0"/>
              <w:jc w:val="both"/>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SA"/>
              </w:rPr>
              <w:t>提供供应商为拟派项目负责人缴纳的响应文件截止时间前一年内至少一个月社保证明材料(原件扫描上传)</w:t>
            </w:r>
          </w:p>
        </w:tc>
        <w:tc>
          <w:tcPr>
            <w:tcW w:w="2413" w:type="dxa"/>
            <w:noWrap/>
            <w:tcMar>
              <w:top w:w="0" w:type="dxa"/>
              <w:left w:w="108" w:type="dxa"/>
              <w:bottom w:w="0" w:type="dxa"/>
              <w:right w:w="108" w:type="dxa"/>
            </w:tcMar>
            <w:vAlign w:val="top"/>
          </w:tcPr>
          <w:p w14:paraId="02ACD834">
            <w:pPr>
              <w:keepNext w:val="0"/>
              <w:keepLines w:val="0"/>
              <w:pageBreakBefore w:val="0"/>
              <w:widowControl w:val="0"/>
              <w:pBdr>
                <w:top w:val="none" w:color="000000" w:sz="0" w:space="0"/>
                <w:left w:val="none" w:color="000000" w:sz="0" w:space="0"/>
                <w:bottom w:val="none" w:color="000000" w:sz="0" w:space="0"/>
                <w:right w:val="none" w:color="000000" w:sz="0" w:space="0"/>
              </w:pBdr>
              <w:tabs>
                <w:tab w:val="left" w:pos="2510"/>
              </w:tabs>
              <w:spacing w:after="0" w:line="240" w:lineRule="auto"/>
              <w:ind w:left="0" w:right="0" w:firstLine="0"/>
              <w:jc w:val="both"/>
              <w:rPr>
                <w:rFonts w:hint="eastAsia" w:ascii="宋体" w:hAnsi="宋体" w:eastAsia="宋体" w:cs="宋体"/>
                <w:b/>
                <w:color w:val="000000"/>
                <w:sz w:val="21"/>
                <w:szCs w:val="21"/>
                <w:highlight w:val="none"/>
              </w:rPr>
            </w:pPr>
          </w:p>
        </w:tc>
      </w:tr>
      <w:tr w14:paraId="50648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2" w:hRule="atLeast"/>
        </w:trPr>
        <w:tc>
          <w:tcPr>
            <w:tcW w:w="8506" w:type="dxa"/>
            <w:gridSpan w:val="3"/>
            <w:noWrap/>
            <w:tcMar>
              <w:top w:w="0" w:type="dxa"/>
              <w:left w:w="108" w:type="dxa"/>
              <w:bottom w:w="0" w:type="dxa"/>
              <w:right w:w="108" w:type="dxa"/>
            </w:tcMar>
            <w:vAlign w:val="top"/>
          </w:tcPr>
          <w:p w14:paraId="492E023A">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其他资格条件</w:t>
            </w:r>
          </w:p>
        </w:tc>
      </w:tr>
      <w:tr w14:paraId="0DAFD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49" w:hRule="atLeast"/>
        </w:trPr>
        <w:tc>
          <w:tcPr>
            <w:tcW w:w="646" w:type="dxa"/>
            <w:noWrap/>
            <w:tcMar>
              <w:top w:w="0" w:type="dxa"/>
              <w:left w:w="108" w:type="dxa"/>
              <w:bottom w:w="0" w:type="dxa"/>
              <w:right w:w="108" w:type="dxa"/>
            </w:tcMar>
            <w:vAlign w:val="center"/>
          </w:tcPr>
          <w:p w14:paraId="5F6E094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i/>
                <w:color w:val="000000"/>
                <w:sz w:val="21"/>
                <w:szCs w:val="21"/>
                <w:highlight w:val="none"/>
                <w:u w:val="single"/>
                <w:lang w:val="en-US" w:eastAsia="zh-CN"/>
              </w:rPr>
            </w:pPr>
            <w:r>
              <w:rPr>
                <w:rFonts w:hint="eastAsia" w:ascii="宋体" w:hAnsi="宋体" w:eastAsia="宋体" w:cs="宋体"/>
                <w:i/>
                <w:color w:val="000000"/>
                <w:sz w:val="21"/>
                <w:szCs w:val="21"/>
                <w:highlight w:val="none"/>
                <w:u w:val="single"/>
                <w:lang w:val="en-US" w:eastAsia="zh-CN"/>
              </w:rPr>
              <w:t>12</w:t>
            </w:r>
          </w:p>
        </w:tc>
        <w:tc>
          <w:tcPr>
            <w:tcW w:w="5447" w:type="dxa"/>
            <w:noWrap/>
            <w:tcMar>
              <w:top w:w="0" w:type="dxa"/>
              <w:left w:w="108" w:type="dxa"/>
              <w:bottom w:w="0" w:type="dxa"/>
              <w:right w:w="108" w:type="dxa"/>
            </w:tcMar>
            <w:vAlign w:val="center"/>
          </w:tcPr>
          <w:p w14:paraId="72408E2E">
            <w:pPr>
              <w:keepNext w:val="0"/>
              <w:keepLines w:val="0"/>
              <w:pageBreakBefore w:val="0"/>
              <w:widowControl w:val="0"/>
              <w:numPr>
                <w:ilvl w:val="0"/>
                <w:numId w:val="0"/>
              </w:numPr>
              <w:spacing w:line="240" w:lineRule="auto"/>
              <w:ind w:right="0" w:firstLine="0"/>
              <w:jc w:val="both"/>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SA"/>
              </w:rPr>
              <w:t>磋商响应函</w:t>
            </w:r>
          </w:p>
        </w:tc>
        <w:tc>
          <w:tcPr>
            <w:tcW w:w="2413" w:type="dxa"/>
            <w:noWrap/>
            <w:tcMar>
              <w:top w:w="0" w:type="dxa"/>
              <w:left w:w="108" w:type="dxa"/>
              <w:bottom w:w="0" w:type="dxa"/>
              <w:right w:w="108" w:type="dxa"/>
            </w:tcMar>
            <w:vAlign w:val="top"/>
          </w:tcPr>
          <w:p w14:paraId="2F342AC5">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color w:val="000000"/>
                <w:sz w:val="21"/>
                <w:szCs w:val="21"/>
                <w:highlight w:val="none"/>
              </w:rPr>
            </w:pPr>
          </w:p>
        </w:tc>
      </w:tr>
      <w:tr w14:paraId="7B41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trPr>
        <w:tc>
          <w:tcPr>
            <w:tcW w:w="646" w:type="dxa"/>
            <w:noWrap/>
            <w:tcMar>
              <w:top w:w="0" w:type="dxa"/>
              <w:left w:w="108" w:type="dxa"/>
              <w:bottom w:w="0" w:type="dxa"/>
              <w:right w:w="108" w:type="dxa"/>
            </w:tcMar>
            <w:vAlign w:val="center"/>
          </w:tcPr>
          <w:p w14:paraId="071B8BD6">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center"/>
              <w:rPr>
                <w:rFonts w:hint="eastAsia" w:ascii="宋体" w:hAnsi="宋体" w:eastAsia="宋体" w:cs="宋体"/>
                <w:i/>
                <w:color w:val="000000"/>
                <w:sz w:val="21"/>
                <w:szCs w:val="21"/>
                <w:highlight w:val="none"/>
                <w:u w:val="single"/>
                <w:lang w:val="en-US" w:eastAsia="zh-CN"/>
              </w:rPr>
            </w:pPr>
            <w:r>
              <w:rPr>
                <w:rFonts w:hint="eastAsia" w:ascii="宋体" w:hAnsi="宋体" w:eastAsia="宋体" w:cs="宋体"/>
                <w:i/>
                <w:color w:val="000000"/>
                <w:sz w:val="21"/>
                <w:szCs w:val="21"/>
                <w:highlight w:val="none"/>
                <w:u w:val="single"/>
                <w:lang w:val="en-US" w:eastAsia="zh-CN"/>
              </w:rPr>
              <w:t>13</w:t>
            </w:r>
          </w:p>
        </w:tc>
        <w:tc>
          <w:tcPr>
            <w:tcW w:w="5447" w:type="dxa"/>
            <w:noWrap/>
            <w:tcMar>
              <w:top w:w="0" w:type="dxa"/>
              <w:left w:w="108" w:type="dxa"/>
              <w:bottom w:w="0" w:type="dxa"/>
              <w:right w:w="108" w:type="dxa"/>
            </w:tcMar>
            <w:vAlign w:val="center"/>
          </w:tcPr>
          <w:p w14:paraId="2557D2B6">
            <w:pPr>
              <w:keepNext w:val="0"/>
              <w:keepLines w:val="0"/>
              <w:pageBreakBefore w:val="0"/>
              <w:widowControl w:val="0"/>
              <w:numPr>
                <w:ilvl w:val="0"/>
                <w:numId w:val="0"/>
              </w:numPr>
              <w:spacing w:line="240" w:lineRule="auto"/>
              <w:ind w:right="0" w:firstLine="0"/>
              <w:jc w:val="both"/>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bidi="ar-SA"/>
              </w:rPr>
              <w:t>法人授权书</w:t>
            </w:r>
          </w:p>
        </w:tc>
        <w:tc>
          <w:tcPr>
            <w:tcW w:w="2413" w:type="dxa"/>
            <w:noWrap/>
            <w:tcMar>
              <w:top w:w="0" w:type="dxa"/>
              <w:left w:w="108" w:type="dxa"/>
              <w:bottom w:w="0" w:type="dxa"/>
              <w:right w:w="108" w:type="dxa"/>
            </w:tcMar>
            <w:vAlign w:val="top"/>
          </w:tcPr>
          <w:p w14:paraId="0908DDFF">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240" w:lineRule="auto"/>
              <w:ind w:left="0" w:right="0" w:firstLine="0"/>
              <w:jc w:val="both"/>
              <w:rPr>
                <w:rFonts w:hint="eastAsia" w:ascii="宋体" w:hAnsi="宋体" w:eastAsia="宋体" w:cs="宋体"/>
                <w:color w:val="000000"/>
                <w:sz w:val="21"/>
                <w:szCs w:val="21"/>
                <w:highlight w:val="none"/>
              </w:rPr>
            </w:pPr>
          </w:p>
        </w:tc>
      </w:tr>
    </w:tbl>
    <w:p w14:paraId="0A178215">
      <w:pPr>
        <w:pBdr>
          <w:top w:val="none" w:color="000000" w:sz="0" w:space="0"/>
          <w:left w:val="none" w:color="000000" w:sz="0" w:space="0"/>
          <w:bottom w:val="none" w:color="000000" w:sz="0" w:space="0"/>
          <w:right w:val="none" w:color="000000" w:sz="0" w:space="0"/>
        </w:pBdr>
        <w:spacing w:before="50" w:after="5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0FBDED65">
      <w:pPr>
        <w:spacing w:before="156" w:after="156" w:line="360" w:lineRule="auto"/>
        <w:jc w:val="center"/>
        <w:rPr>
          <w:rFonts w:hint="eastAsia" w:ascii="宋体" w:hAnsi="宋体" w:eastAsia="宋体" w:cs="宋体"/>
          <w:b/>
          <w:bCs/>
          <w:color w:val="000000"/>
          <w:sz w:val="24"/>
          <w:szCs w:val="24"/>
          <w:highlight w:val="none"/>
        </w:rPr>
        <w:sectPr>
          <w:pgSz w:w="11906" w:h="16838"/>
          <w:pgMar w:top="1440" w:right="1800" w:bottom="1440" w:left="1800" w:header="851" w:footer="992" w:gutter="0"/>
          <w:cols w:space="720" w:num="1"/>
          <w:docGrid w:linePitch="360" w:charSpace="0"/>
        </w:sectPr>
      </w:pPr>
    </w:p>
    <w:p w14:paraId="00DF67A7">
      <w:pPr>
        <w:spacing w:before="156" w:after="156"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具备履行合同所必需的设备和专业技术能力的书面声明</w:t>
      </w:r>
    </w:p>
    <w:p w14:paraId="3E759377">
      <w:pPr>
        <w:spacing w:line="360" w:lineRule="auto"/>
        <w:ind w:firstLine="492"/>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我单位郑重声明：我单位具备履行本项采购合同所必需的设备和专业技术能力，为履行本项采购合同我公司具备如下主要设备和主要专业技术能力：</w:t>
      </w:r>
    </w:p>
    <w:p w14:paraId="1B02D0A2">
      <w:pPr>
        <w:spacing w:line="360" w:lineRule="auto"/>
        <w:ind w:firstLine="492"/>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主要设备有：</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w:t>
      </w:r>
    </w:p>
    <w:p w14:paraId="398BF359">
      <w:pPr>
        <w:spacing w:line="360" w:lineRule="auto"/>
        <w:ind w:firstLine="492"/>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主要专业技术能力有：</w:t>
      </w:r>
      <w:r>
        <w:rPr>
          <w:rFonts w:hint="eastAsia" w:ascii="宋体" w:hAnsi="宋体" w:eastAsia="宋体" w:cs="宋体"/>
          <w:bCs/>
          <w:color w:val="000000"/>
          <w:szCs w:val="21"/>
          <w:highlight w:val="none"/>
          <w:u w:val="single"/>
        </w:rPr>
        <w:t xml:space="preserve">   </w:t>
      </w:r>
      <w:r>
        <w:rPr>
          <w:rFonts w:hint="eastAsia" w:ascii="宋体" w:hAnsi="宋体" w:eastAsia="宋体" w:cs="宋体"/>
          <w:bCs/>
          <w:color w:val="000000"/>
          <w:szCs w:val="21"/>
          <w:highlight w:val="none"/>
        </w:rPr>
        <w:t>。</w:t>
      </w:r>
    </w:p>
    <w:p w14:paraId="10ECF6A8">
      <w:pPr>
        <w:pStyle w:val="117"/>
        <w:numPr>
          <w:ilvl w:val="0"/>
          <w:numId w:val="0"/>
        </w:numPr>
        <w:spacing w:line="360" w:lineRule="auto"/>
        <w:ind w:firstLine="420"/>
        <w:rPr>
          <w:rFonts w:hint="eastAsia" w:ascii="宋体" w:hAnsi="宋体" w:eastAsia="宋体" w:cs="宋体"/>
          <w:i/>
          <w:iCs/>
          <w:color w:val="auto"/>
          <w:sz w:val="21"/>
          <w:szCs w:val="21"/>
          <w:highlight w:val="none"/>
          <w:u w:val="single"/>
          <w:lang w:val="en-US" w:eastAsia="zh-CN" w:bidi="ar-SA"/>
        </w:rPr>
      </w:pPr>
    </w:p>
    <w:p w14:paraId="1483CEB3">
      <w:pPr>
        <w:rPr>
          <w:rFonts w:hint="eastAsia" w:ascii="宋体" w:hAnsi="宋体" w:eastAsia="宋体" w:cs="宋体"/>
          <w:b/>
          <w:color w:val="000000"/>
          <w:sz w:val="28"/>
          <w:highlight w:val="none"/>
        </w:rPr>
        <w:sectPr>
          <w:pgSz w:w="11906" w:h="16838"/>
          <w:pgMar w:top="1440" w:right="1800" w:bottom="1440" w:left="1800" w:header="851" w:footer="992" w:gutter="0"/>
          <w:cols w:space="720" w:num="1"/>
          <w:docGrid w:linePitch="360" w:charSpace="0"/>
        </w:sectPr>
      </w:pPr>
      <w:r>
        <w:rPr>
          <w:rFonts w:hint="eastAsia" w:ascii="宋体" w:hAnsi="宋体" w:eastAsia="宋体" w:cs="宋体"/>
          <w:b/>
          <w:color w:val="000000"/>
          <w:sz w:val="28"/>
          <w:highlight w:val="none"/>
        </w:rPr>
        <w:br w:type="page" w:clear="all"/>
      </w:r>
    </w:p>
    <w:p w14:paraId="52887D1F">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磋商响应函</w:t>
      </w:r>
    </w:p>
    <w:p w14:paraId="4D0EAE87">
      <w:pPr>
        <w:pBdr>
          <w:top w:val="none" w:color="000000" w:sz="0" w:space="0"/>
          <w:left w:val="none" w:color="000000" w:sz="0" w:space="0"/>
          <w:bottom w:val="none" w:color="000000" w:sz="0" w:space="0"/>
          <w:right w:val="none" w:color="000000" w:sz="0" w:space="0"/>
        </w:pBdr>
        <w:spacing w:before="220" w:after="0" w:line="360" w:lineRule="auto"/>
        <w:ind w:left="0" w:right="0" w:firstLine="0"/>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致：</w:t>
      </w:r>
      <w:r>
        <w:rPr>
          <w:rFonts w:hint="eastAsia" w:ascii="宋体" w:hAnsi="宋体" w:cs="宋体"/>
          <w:color w:val="000000"/>
          <w:sz w:val="21"/>
          <w:szCs w:val="21"/>
          <w:highlight w:val="none"/>
          <w:lang w:eastAsia="zh-CN"/>
        </w:rPr>
        <w:t>扬州高等职业技术学校</w:t>
      </w:r>
    </w:p>
    <w:p w14:paraId="74AB2FDA">
      <w:pPr>
        <w:pBdr>
          <w:top w:val="none" w:color="000000" w:sz="0" w:space="0"/>
          <w:left w:val="none" w:color="000000" w:sz="0" w:space="0"/>
          <w:bottom w:val="none" w:color="000000" w:sz="0" w:space="0"/>
          <w:right w:val="none" w:color="000000" w:sz="0" w:space="0"/>
        </w:pBdr>
        <w:spacing w:before="220" w:after="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根据贵方的</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号磋商文件，正式授权下述签字人</w:t>
      </w:r>
      <w:r>
        <w:rPr>
          <w:rFonts w:hint="eastAsia" w:ascii="宋体" w:hAnsi="宋体" w:eastAsia="宋体" w:cs="宋体"/>
          <w:color w:val="000000"/>
          <w:sz w:val="21"/>
          <w:szCs w:val="21"/>
          <w:highlight w:val="none"/>
          <w:u w:val="none"/>
        </w:rPr>
        <w:t>_________________</w:t>
      </w:r>
      <w:r>
        <w:rPr>
          <w:rFonts w:hint="eastAsia" w:ascii="宋体" w:hAnsi="宋体" w:eastAsia="宋体" w:cs="宋体"/>
          <w:color w:val="000000"/>
          <w:sz w:val="21"/>
          <w:szCs w:val="21"/>
          <w:highlight w:val="none"/>
        </w:rPr>
        <w:t>(姓名)代表我方______________（供应商的名称），全权处理本次项目磋商采购的有关事宜。</w:t>
      </w:r>
    </w:p>
    <w:p w14:paraId="6E9A63F6">
      <w:pPr>
        <w:pBdr>
          <w:top w:val="none" w:color="000000" w:sz="0" w:space="0"/>
          <w:left w:val="none" w:color="000000" w:sz="0" w:space="0"/>
          <w:bottom w:val="none" w:color="000000" w:sz="0" w:space="0"/>
          <w:right w:val="none" w:color="000000" w:sz="0" w:space="0"/>
        </w:pBdr>
        <w:spacing w:before="220" w:after="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据此函，__________（签字人）兹宣布同意如下：</w:t>
      </w:r>
    </w:p>
    <w:p w14:paraId="7D4E755B">
      <w:pPr>
        <w:pBdr>
          <w:top w:val="none" w:color="000000" w:sz="0" w:space="0"/>
          <w:left w:val="none" w:color="000000" w:sz="0" w:space="0"/>
          <w:bottom w:val="none" w:color="000000" w:sz="0" w:space="0"/>
          <w:right w:val="none" w:color="000000" w:sz="0" w:space="0"/>
        </w:pBdr>
        <w:spacing w:before="220" w:after="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按磋商文件规定的各项要求，向买方提供所需服务。</w:t>
      </w:r>
    </w:p>
    <w:p w14:paraId="24ECC9BD">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我们已详细审核全部磋商文件及其有效补充文件，我们知道必须放弃提出含糊不清或误解问题的权利。</w:t>
      </w:r>
    </w:p>
    <w:p w14:paraId="4F27E43B">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我们同意从规定的响应文件接收截止时间起遵循本响应文件，并在规定的磋商有效期期满之前均具有约束力。</w:t>
      </w:r>
    </w:p>
    <w:p w14:paraId="6DCF7451">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如果在响应文件接收截止时间后规定的磋商有效期内撤回响应文件或成交后拒绝签订合同，我们可被贵方报监管部门后列入政府采购失信行为名单。</w:t>
      </w:r>
    </w:p>
    <w:p w14:paraId="3A5321C9">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同意向贵方提供贵方可能另外要求的与磋商采购有关的任何证据或资料，并保证我方已提供和将要提供的文件是真实的、准确的。</w:t>
      </w:r>
    </w:p>
    <w:p w14:paraId="649C60B0">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一旦我方成交，我方将根据磋商文件的规定，严格履行合同的责任和义务，并保证在磋商文件规定的时间完成项目，交付买方验收。</w:t>
      </w:r>
    </w:p>
    <w:p w14:paraId="467D345F">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遵守磋商文件中要求的收费项目和标准。</w:t>
      </w:r>
    </w:p>
    <w:p w14:paraId="5EE623EA">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与本磋商采购有关的正式通讯地址为：</w:t>
      </w:r>
    </w:p>
    <w:p w14:paraId="35269443">
      <w:pPr>
        <w:pBdr>
          <w:top w:val="none" w:color="000000" w:sz="0" w:space="0"/>
          <w:left w:val="none" w:color="000000" w:sz="0" w:space="0"/>
          <w:bottom w:val="none" w:color="000000" w:sz="0" w:space="0"/>
          <w:right w:val="none" w:color="000000" w:sz="0" w:space="0"/>
        </w:pBdr>
        <w:spacing w:before="220" w:after="0" w:line="360" w:lineRule="auto"/>
        <w:ind w:left="0" w:right="0" w:firstLine="479"/>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p w14:paraId="5B82DC7F">
      <w:pPr>
        <w:pStyle w:val="29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                         邮 编：</w:t>
      </w:r>
    </w:p>
    <w:p w14:paraId="21DCF16E">
      <w:pPr>
        <w:pStyle w:val="29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w:t>
      </w:r>
    </w:p>
    <w:p w14:paraId="3A2F5F22">
      <w:pPr>
        <w:pStyle w:val="29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供应商开户行：                  账 户： </w:t>
      </w:r>
    </w:p>
    <w:p w14:paraId="3AE07E15">
      <w:pPr>
        <w:pStyle w:val="29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法定代表人姓名（签章）：        联系电话：</w:t>
      </w:r>
    </w:p>
    <w:p w14:paraId="2E7569BD">
      <w:pPr>
        <w:pStyle w:val="29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供应商名称（公章）：            </w:t>
      </w:r>
    </w:p>
    <w:p w14:paraId="111AF601">
      <w:pPr>
        <w:pStyle w:val="293"/>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期：________年____月____日</w:t>
      </w:r>
    </w:p>
    <w:p w14:paraId="08C05353">
      <w:pPr>
        <w:shd w:val="clear" w:color="auto"/>
        <w:rPr>
          <w:rFonts w:hint="eastAsia" w:ascii="宋体" w:hAnsi="宋体" w:eastAsia="宋体" w:cs="宋体"/>
          <w:highlight w:val="none"/>
        </w:rPr>
      </w:pPr>
      <w:r>
        <w:rPr>
          <w:rFonts w:hint="eastAsia" w:ascii="宋体" w:hAnsi="宋体" w:eastAsia="宋体" w:cs="宋体"/>
          <w:b/>
          <w:color w:val="000000"/>
          <w:sz w:val="28"/>
          <w:highlight w:val="none"/>
        </w:rPr>
        <w:br w:type="page" w:clear="all"/>
      </w:r>
    </w:p>
    <w:p w14:paraId="16CAEEDC">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资 格 声 明</w:t>
      </w:r>
    </w:p>
    <w:p w14:paraId="22AB8AC0">
      <w:pPr>
        <w:pBdr>
          <w:top w:val="none" w:color="000000" w:sz="0" w:space="0"/>
          <w:left w:val="none" w:color="000000" w:sz="0" w:space="0"/>
          <w:bottom w:val="none" w:color="000000" w:sz="0" w:space="0"/>
          <w:right w:val="none" w:color="000000" w:sz="0" w:space="0"/>
        </w:pBdr>
        <w:spacing w:before="220" w:after="0" w:line="253" w:lineRule="atLeast"/>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1、名称及其它情况：</w:t>
      </w:r>
    </w:p>
    <w:p w14:paraId="60061F8A">
      <w:pPr>
        <w:pBdr>
          <w:top w:val="none" w:color="000000" w:sz="0" w:space="0"/>
          <w:left w:val="none" w:color="000000" w:sz="0" w:space="0"/>
          <w:bottom w:val="none" w:color="000000" w:sz="0" w:space="0"/>
          <w:right w:val="none" w:color="000000" w:sz="0" w:space="0"/>
        </w:pBdr>
        <w:spacing w:before="220" w:after="0" w:line="253" w:lineRule="atLeast"/>
        <w:ind w:left="0" w:right="0" w:firstLine="31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（1）供应商名称：</w:t>
      </w:r>
    </w:p>
    <w:p w14:paraId="1BAEB25D">
      <w:pPr>
        <w:pBdr>
          <w:top w:val="none" w:color="000000" w:sz="0" w:space="0"/>
          <w:left w:val="none" w:color="000000" w:sz="0" w:space="0"/>
          <w:bottom w:val="none" w:color="000000" w:sz="0" w:space="0"/>
          <w:right w:val="none" w:color="000000" w:sz="0" w:space="0"/>
        </w:pBdr>
        <w:spacing w:before="220" w:after="0" w:line="253" w:lineRule="atLeast"/>
        <w:ind w:left="0" w:right="0" w:firstLine="31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（2）地址：邮编：</w:t>
      </w:r>
    </w:p>
    <w:p w14:paraId="5A1E04B1">
      <w:pPr>
        <w:pBdr>
          <w:top w:val="none" w:color="000000" w:sz="0" w:space="0"/>
          <w:left w:val="none" w:color="000000" w:sz="0" w:space="0"/>
          <w:bottom w:val="none" w:color="000000" w:sz="0" w:space="0"/>
          <w:right w:val="none" w:color="000000" w:sz="0" w:space="0"/>
        </w:pBdr>
        <w:spacing w:before="220" w:after="0" w:line="253" w:lineRule="atLeast"/>
        <w:ind w:left="0" w:right="0" w:firstLine="84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电话：  传真：</w:t>
      </w:r>
    </w:p>
    <w:p w14:paraId="1DAF5A24">
      <w:pPr>
        <w:pBdr>
          <w:top w:val="none" w:color="000000" w:sz="0" w:space="0"/>
          <w:left w:val="none" w:color="000000" w:sz="0" w:space="0"/>
          <w:bottom w:val="none" w:color="000000" w:sz="0" w:space="0"/>
          <w:right w:val="none" w:color="000000" w:sz="0" w:space="0"/>
        </w:pBdr>
        <w:spacing w:before="220" w:after="0" w:line="253" w:lineRule="atLeast"/>
        <w:ind w:left="0" w:right="0" w:firstLine="31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（3）成立和/或注册日期：</w:t>
      </w:r>
    </w:p>
    <w:p w14:paraId="03C14B4B">
      <w:pPr>
        <w:pBdr>
          <w:top w:val="none" w:color="000000" w:sz="0" w:space="0"/>
          <w:left w:val="none" w:color="000000" w:sz="0" w:space="0"/>
          <w:bottom w:val="none" w:color="000000" w:sz="0" w:space="0"/>
          <w:right w:val="none" w:color="000000" w:sz="0" w:space="0"/>
        </w:pBdr>
        <w:spacing w:before="220" w:after="0" w:line="253" w:lineRule="atLeast"/>
        <w:ind w:left="0" w:right="0" w:firstLine="31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（4）法定代表人：</w:t>
      </w:r>
    </w:p>
    <w:p w14:paraId="0F6C6E1E">
      <w:pPr>
        <w:pBdr>
          <w:top w:val="none" w:color="000000" w:sz="0" w:space="0"/>
          <w:left w:val="none" w:color="000000" w:sz="0" w:space="0"/>
          <w:bottom w:val="none" w:color="000000" w:sz="0" w:space="0"/>
          <w:right w:val="none" w:color="000000" w:sz="0" w:space="0"/>
        </w:pBdr>
        <w:spacing w:before="220" w:after="0" w:line="253" w:lineRule="atLeast"/>
        <w:ind w:left="0" w:right="0" w:firstLine="31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（5）实收资本：</w:t>
      </w:r>
    </w:p>
    <w:p w14:paraId="3816A62B">
      <w:pPr>
        <w:pBdr>
          <w:top w:val="none" w:color="000000" w:sz="0" w:space="0"/>
          <w:left w:val="none" w:color="000000" w:sz="0" w:space="0"/>
          <w:bottom w:val="none" w:color="000000" w:sz="0" w:space="0"/>
          <w:right w:val="none" w:color="000000" w:sz="0" w:space="0"/>
        </w:pBdr>
        <w:spacing w:before="220" w:after="0" w:line="253" w:lineRule="atLeast"/>
        <w:ind w:left="0" w:right="0" w:firstLine="315"/>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（6）近期资产负债表：（到</w:t>
      </w:r>
      <w:r>
        <w:rPr>
          <w:rFonts w:hint="eastAsia" w:ascii="宋体" w:hAnsi="宋体" w:eastAsia="宋体" w:cs="宋体"/>
          <w:color w:val="000000"/>
          <w:sz w:val="21"/>
          <w:szCs w:val="21"/>
          <w:highlight w:val="none"/>
          <w:u w:val="single"/>
        </w:rPr>
        <w:t>20  年12月31日</w:t>
      </w:r>
      <w:r>
        <w:rPr>
          <w:rFonts w:hint="eastAsia" w:ascii="宋体" w:hAnsi="宋体" w:eastAsia="宋体" w:cs="宋体"/>
          <w:color w:val="000000"/>
          <w:sz w:val="21"/>
          <w:szCs w:val="21"/>
          <w:highlight w:val="none"/>
        </w:rPr>
        <w:t>）</w:t>
      </w:r>
    </w:p>
    <w:p w14:paraId="48DA0636">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&lt;1&gt; 固定资产：</w:t>
      </w:r>
    </w:p>
    <w:p w14:paraId="54239214">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&lt;2&gt; 流动资金：</w:t>
      </w:r>
    </w:p>
    <w:p w14:paraId="06FE4D4C">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&lt;3&gt; 长期负债：</w:t>
      </w:r>
    </w:p>
    <w:p w14:paraId="262AB65B">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&lt;4&gt; 短期负债：</w:t>
      </w:r>
    </w:p>
    <w:p w14:paraId="4DCBF0EA">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2、近三年同类服务的主要销售业绩（无有效联系人、联系方式和合同复印件的视为未填报本项目）：</w:t>
      </w:r>
    </w:p>
    <w:tbl>
      <w:tblPr>
        <w:tblStyle w:val="4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271"/>
        <w:gridCol w:w="4251"/>
      </w:tblGrid>
      <w:tr w14:paraId="0BC5C8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71" w:type="dxa"/>
            <w:tcBorders>
              <w:top w:val="nil"/>
              <w:left w:val="nil"/>
              <w:bottom w:val="nil"/>
              <w:right w:val="nil"/>
            </w:tcBorders>
            <w:noWrap/>
            <w:tcMar>
              <w:top w:w="0" w:type="dxa"/>
              <w:left w:w="108" w:type="dxa"/>
              <w:bottom w:w="0" w:type="dxa"/>
              <w:right w:w="108" w:type="dxa"/>
            </w:tcMar>
            <w:vAlign w:val="top"/>
          </w:tcPr>
          <w:p w14:paraId="4389DF59">
            <w:pPr>
              <w:pBdr>
                <w:top w:val="none" w:color="000000" w:sz="0" w:space="0"/>
                <w:left w:val="none" w:color="000000" w:sz="0" w:space="0"/>
                <w:bottom w:val="none" w:color="000000" w:sz="0" w:space="0"/>
                <w:right w:val="none" w:color="000000" w:sz="0" w:space="0"/>
              </w:pBdr>
              <w:spacing w:before="220" w:after="200" w:line="253"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u w:val="single"/>
              </w:rPr>
              <w:t>甲方名称、联系人、联系方式</w:t>
            </w:r>
          </w:p>
        </w:tc>
        <w:tc>
          <w:tcPr>
            <w:tcW w:w="4251" w:type="dxa"/>
            <w:tcBorders>
              <w:top w:val="nil"/>
              <w:left w:val="nil"/>
              <w:bottom w:val="nil"/>
              <w:right w:val="nil"/>
            </w:tcBorders>
            <w:noWrap/>
            <w:tcMar>
              <w:top w:w="0" w:type="dxa"/>
              <w:left w:w="108" w:type="dxa"/>
              <w:bottom w:w="0" w:type="dxa"/>
              <w:right w:w="108" w:type="dxa"/>
            </w:tcMar>
            <w:vAlign w:val="top"/>
          </w:tcPr>
          <w:p w14:paraId="4D12D5C8">
            <w:pPr>
              <w:pBdr>
                <w:top w:val="none" w:color="000000" w:sz="0" w:space="0"/>
                <w:left w:val="none" w:color="000000" w:sz="0" w:space="0"/>
                <w:bottom w:val="none" w:color="000000" w:sz="0" w:space="0"/>
                <w:right w:val="none" w:color="000000" w:sz="0" w:space="0"/>
              </w:pBdr>
              <w:spacing w:before="220" w:after="200" w:line="253"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u w:val="single"/>
              </w:rPr>
              <w:t>项   目   名   称</w:t>
            </w:r>
          </w:p>
        </w:tc>
      </w:tr>
      <w:tr w14:paraId="6569505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71" w:type="dxa"/>
            <w:tcBorders>
              <w:top w:val="nil"/>
              <w:left w:val="nil"/>
              <w:bottom w:val="nil"/>
              <w:right w:val="nil"/>
            </w:tcBorders>
            <w:noWrap/>
            <w:tcMar>
              <w:top w:w="0" w:type="dxa"/>
              <w:left w:w="108" w:type="dxa"/>
              <w:bottom w:w="0" w:type="dxa"/>
              <w:right w:w="108" w:type="dxa"/>
            </w:tcMar>
            <w:vAlign w:val="top"/>
          </w:tcPr>
          <w:p w14:paraId="02EA9FA6">
            <w:pPr>
              <w:pBdr>
                <w:top w:val="none" w:color="000000" w:sz="0" w:space="0"/>
                <w:left w:val="none" w:color="000000" w:sz="0" w:space="0"/>
                <w:bottom w:val="none" w:color="000000" w:sz="0" w:space="0"/>
                <w:right w:val="none" w:color="000000" w:sz="0" w:space="0"/>
              </w:pBdr>
              <w:spacing w:before="220" w:after="200" w:line="253" w:lineRule="atLeast"/>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4251" w:type="dxa"/>
            <w:tcBorders>
              <w:top w:val="nil"/>
              <w:left w:val="nil"/>
              <w:bottom w:val="nil"/>
              <w:right w:val="nil"/>
            </w:tcBorders>
            <w:noWrap/>
            <w:tcMar>
              <w:top w:w="0" w:type="dxa"/>
              <w:left w:w="108" w:type="dxa"/>
              <w:bottom w:w="0" w:type="dxa"/>
              <w:right w:w="108" w:type="dxa"/>
            </w:tcMar>
            <w:vAlign w:val="top"/>
          </w:tcPr>
          <w:p w14:paraId="07BFD90A">
            <w:pPr>
              <w:pBdr>
                <w:top w:val="none" w:color="000000" w:sz="0" w:space="0"/>
                <w:left w:val="none" w:color="000000" w:sz="0" w:space="0"/>
                <w:bottom w:val="none" w:color="000000" w:sz="0" w:space="0"/>
                <w:right w:val="none" w:color="000000" w:sz="0" w:space="0"/>
              </w:pBdr>
              <w:spacing w:before="220" w:after="200" w:line="253" w:lineRule="atLeast"/>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5D0FB5E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271" w:type="dxa"/>
            <w:tcBorders>
              <w:top w:val="nil"/>
              <w:left w:val="nil"/>
              <w:bottom w:val="nil"/>
              <w:right w:val="nil"/>
            </w:tcBorders>
            <w:noWrap/>
            <w:tcMar>
              <w:top w:w="0" w:type="dxa"/>
              <w:left w:w="108" w:type="dxa"/>
              <w:bottom w:w="0" w:type="dxa"/>
              <w:right w:w="108" w:type="dxa"/>
            </w:tcMar>
            <w:vAlign w:val="top"/>
          </w:tcPr>
          <w:p w14:paraId="6AB20AB5">
            <w:pPr>
              <w:pBdr>
                <w:top w:val="none" w:color="000000" w:sz="0" w:space="0"/>
                <w:left w:val="none" w:color="000000" w:sz="0" w:space="0"/>
                <w:bottom w:val="none" w:color="000000" w:sz="0" w:space="0"/>
                <w:right w:val="none" w:color="000000" w:sz="0" w:space="0"/>
              </w:pBdr>
              <w:spacing w:before="220" w:after="200" w:line="253" w:lineRule="atLeast"/>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4251" w:type="dxa"/>
            <w:tcBorders>
              <w:top w:val="nil"/>
              <w:left w:val="nil"/>
              <w:bottom w:val="nil"/>
              <w:right w:val="nil"/>
            </w:tcBorders>
            <w:noWrap/>
            <w:tcMar>
              <w:top w:w="0" w:type="dxa"/>
              <w:left w:w="108" w:type="dxa"/>
              <w:bottom w:w="0" w:type="dxa"/>
              <w:right w:w="108" w:type="dxa"/>
            </w:tcMar>
            <w:vAlign w:val="top"/>
          </w:tcPr>
          <w:p w14:paraId="4E60B826">
            <w:pPr>
              <w:pBdr>
                <w:top w:val="none" w:color="000000" w:sz="0" w:space="0"/>
                <w:left w:val="none" w:color="000000" w:sz="0" w:space="0"/>
                <w:bottom w:val="none" w:color="000000" w:sz="0" w:space="0"/>
                <w:right w:val="none" w:color="000000" w:sz="0" w:space="0"/>
              </w:pBdr>
              <w:spacing w:before="220" w:after="200" w:line="253" w:lineRule="atLeast"/>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bl>
    <w:p w14:paraId="7D3A9EC9">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3、本次采购要求的其他资格文件以及供应商认为需要声明的其他情况：</w:t>
      </w:r>
    </w:p>
    <w:p w14:paraId="36F1DBB3">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兹证明上述声明是真实的、正确的，并提供了全部能提供的资料和数据，我们同意遵照贵方要求出示有关证明文件，如有虚假，自愿丧失成交资格，一年内退出扬州政府采购市场。</w:t>
      </w:r>
    </w:p>
    <w:p w14:paraId="776E8598">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供应商名称（公章）：</w:t>
      </w:r>
    </w:p>
    <w:p w14:paraId="3E7FA7C7">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法定代表人姓名（签章）：</w:t>
      </w:r>
    </w:p>
    <w:p w14:paraId="6C1AA448">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xml:space="preserve">日        </w:t>
      </w:r>
    </w:p>
    <w:p w14:paraId="4F63213B">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（注：资格声明为格式文件,实质性内容请勿修改，否则将导致磋商响应文件无效）</w:t>
      </w:r>
    </w:p>
    <w:p w14:paraId="5D48AC08">
      <w:pPr>
        <w:shd w:val="clear" w:color="auto"/>
        <w:rPr>
          <w:rFonts w:hint="eastAsia" w:ascii="宋体" w:hAnsi="宋体" w:eastAsia="宋体" w:cs="宋体"/>
          <w:highlight w:val="none"/>
        </w:rPr>
      </w:pPr>
      <w:r>
        <w:rPr>
          <w:rFonts w:hint="eastAsia" w:ascii="宋体" w:hAnsi="宋体" w:eastAsia="宋体" w:cs="宋体"/>
          <w:b/>
          <w:color w:val="000000"/>
          <w:sz w:val="28"/>
          <w:highlight w:val="none"/>
        </w:rPr>
        <w:br w:type="page" w:clear="all"/>
      </w:r>
    </w:p>
    <w:p w14:paraId="2E1FD6B5">
      <w:pPr>
        <w:pBdr>
          <w:top w:val="none" w:color="000000" w:sz="0" w:space="0"/>
          <w:left w:val="none" w:color="000000" w:sz="0" w:space="0"/>
          <w:bottom w:val="none" w:color="000000" w:sz="0" w:space="0"/>
          <w:right w:val="none" w:color="000000" w:sz="0" w:space="0"/>
        </w:pBdr>
        <w:spacing w:before="220" w:after="312" w:line="253" w:lineRule="atLeast"/>
        <w:ind w:left="0" w:right="0" w:firstLine="0"/>
        <w:jc w:val="center"/>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法定代表人授权委托书</w:t>
      </w:r>
    </w:p>
    <w:p w14:paraId="723B1BED">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48D5EDEB">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本授权书声明：</w:t>
      </w:r>
      <w:r>
        <w:rPr>
          <w:rFonts w:hint="eastAsia" w:ascii="宋体" w:hAnsi="宋体" w:eastAsia="宋体" w:cs="宋体"/>
          <w:color w:val="000000"/>
          <w:sz w:val="22"/>
          <w:highlight w:val="none"/>
        </w:rPr>
        <w:t>________________</w:t>
      </w:r>
      <w:r>
        <w:rPr>
          <w:rFonts w:hint="eastAsia" w:ascii="宋体" w:hAnsi="宋体" w:eastAsia="宋体" w:cs="宋体"/>
          <w:color w:val="000000"/>
          <w:sz w:val="21"/>
          <w:highlight w:val="none"/>
        </w:rPr>
        <w:t>（供应商名称）授权</w:t>
      </w:r>
      <w:r>
        <w:rPr>
          <w:rFonts w:hint="eastAsia" w:ascii="宋体" w:hAnsi="宋体" w:eastAsia="宋体" w:cs="宋体"/>
          <w:color w:val="000000"/>
          <w:sz w:val="22"/>
          <w:highlight w:val="none"/>
        </w:rPr>
        <w:t>___________</w:t>
      </w:r>
      <w:r>
        <w:rPr>
          <w:rFonts w:hint="eastAsia" w:ascii="宋体" w:hAnsi="宋体" w:eastAsia="宋体" w:cs="宋体"/>
          <w:color w:val="000000"/>
          <w:sz w:val="21"/>
          <w:highlight w:val="none"/>
        </w:rPr>
        <w:t>（被授权人的姓名）为我方就（项目编号及名称）采购活动的合法代理人，以本公司名义全权处理一切与该项目采购有关的事务。</w:t>
      </w:r>
    </w:p>
    <w:p w14:paraId="60FD21CF">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本授权书于</w:t>
      </w:r>
      <w:r>
        <w:rPr>
          <w:rFonts w:hint="eastAsia" w:ascii="宋体" w:hAnsi="宋体" w:eastAsia="宋体" w:cs="宋体"/>
          <w:color w:val="000000"/>
          <w:sz w:val="22"/>
          <w:highlight w:val="none"/>
        </w:rPr>
        <w:t>______</w:t>
      </w:r>
      <w:r>
        <w:rPr>
          <w:rFonts w:hint="eastAsia" w:ascii="宋体" w:hAnsi="宋体" w:eastAsia="宋体" w:cs="宋体"/>
          <w:color w:val="000000"/>
          <w:sz w:val="21"/>
          <w:highlight w:val="none"/>
        </w:rPr>
        <w:t>年</w:t>
      </w:r>
      <w:r>
        <w:rPr>
          <w:rFonts w:hint="eastAsia" w:ascii="宋体" w:hAnsi="宋体" w:eastAsia="宋体" w:cs="宋体"/>
          <w:color w:val="000000"/>
          <w:sz w:val="22"/>
          <w:highlight w:val="none"/>
        </w:rPr>
        <w:t>____</w:t>
      </w:r>
      <w:r>
        <w:rPr>
          <w:rFonts w:hint="eastAsia" w:ascii="宋体" w:hAnsi="宋体" w:eastAsia="宋体" w:cs="宋体"/>
          <w:color w:val="000000"/>
          <w:sz w:val="21"/>
          <w:highlight w:val="none"/>
        </w:rPr>
        <w:t>月</w:t>
      </w:r>
      <w:r>
        <w:rPr>
          <w:rFonts w:hint="eastAsia" w:ascii="宋体" w:hAnsi="宋体" w:eastAsia="宋体" w:cs="宋体"/>
          <w:color w:val="000000"/>
          <w:sz w:val="22"/>
          <w:highlight w:val="none"/>
        </w:rPr>
        <w:t>____</w:t>
      </w:r>
      <w:r>
        <w:rPr>
          <w:rFonts w:hint="eastAsia" w:ascii="宋体" w:hAnsi="宋体" w:eastAsia="宋体" w:cs="宋体"/>
          <w:color w:val="000000"/>
          <w:sz w:val="21"/>
          <w:highlight w:val="none"/>
        </w:rPr>
        <w:t>日起生效，特此声明。</w:t>
      </w:r>
    </w:p>
    <w:p w14:paraId="5FF06820">
      <w:pPr>
        <w:pBdr>
          <w:top w:val="none" w:color="000000" w:sz="0" w:space="0"/>
          <w:left w:val="none" w:color="000000" w:sz="0" w:space="0"/>
          <w:bottom w:val="none" w:color="000000" w:sz="0" w:space="0"/>
          <w:right w:val="none" w:color="000000" w:sz="0" w:space="0"/>
        </w:pBdr>
        <w:spacing w:before="220" w:after="0" w:line="360" w:lineRule="auto"/>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1C168A10">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法定代表人姓名（签</w:t>
      </w:r>
      <w:r>
        <w:rPr>
          <w:rFonts w:hint="eastAsia" w:ascii="宋体" w:hAnsi="宋体" w:eastAsia="宋体" w:cs="宋体"/>
          <w:color w:val="000000"/>
          <w:sz w:val="21"/>
          <w:highlight w:val="none"/>
          <w:lang w:eastAsia="zh-CN"/>
        </w:rPr>
        <w:t>字</w:t>
      </w:r>
      <w:r>
        <w:rPr>
          <w:rFonts w:hint="eastAsia" w:ascii="宋体" w:hAnsi="宋体" w:eastAsia="宋体" w:cs="宋体"/>
          <w:color w:val="000000"/>
          <w:sz w:val="21"/>
          <w:highlight w:val="none"/>
          <w:lang w:val="en-US" w:eastAsia="zh-CN"/>
        </w:rPr>
        <w:t>/</w:t>
      </w:r>
      <w:r>
        <w:rPr>
          <w:rFonts w:hint="eastAsia" w:ascii="宋体" w:hAnsi="宋体" w:eastAsia="宋体" w:cs="宋体"/>
          <w:color w:val="000000"/>
          <w:sz w:val="21"/>
          <w:highlight w:val="none"/>
        </w:rPr>
        <w:t>章）：</w:t>
      </w:r>
    </w:p>
    <w:p w14:paraId="24EEE8F6">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被授权人姓名：</w:t>
      </w:r>
    </w:p>
    <w:p w14:paraId="2E9508EE">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联系电话（手机）：</w:t>
      </w:r>
    </w:p>
    <w:p w14:paraId="0CF3B52B">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单位名称：</w:t>
      </w:r>
      <w:r>
        <w:rPr>
          <w:rFonts w:hint="eastAsia" w:ascii="宋体" w:hAnsi="宋体" w:eastAsia="宋体" w:cs="宋体"/>
          <w:color w:val="000000"/>
          <w:sz w:val="22"/>
          <w:highlight w:val="none"/>
        </w:rPr>
        <w:t>_____________________________________</w:t>
      </w:r>
    </w:p>
    <w:p w14:paraId="35B712FC">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授权单位盖章：</w:t>
      </w:r>
      <w:r>
        <w:rPr>
          <w:rFonts w:hint="eastAsia" w:ascii="宋体" w:hAnsi="宋体" w:eastAsia="宋体" w:cs="宋体"/>
          <w:color w:val="000000"/>
          <w:sz w:val="22"/>
          <w:highlight w:val="none"/>
        </w:rPr>
        <w:t>_________________________________</w:t>
      </w:r>
    </w:p>
    <w:p w14:paraId="74D0C5E9">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地址：</w:t>
      </w:r>
    </w:p>
    <w:p w14:paraId="1106C7C4">
      <w:pPr>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z w:val="21"/>
          <w:highlight w:val="none"/>
        </w:rPr>
        <w:t>日期：</w:t>
      </w:r>
    </w:p>
    <w:p w14:paraId="763647A4">
      <w:pPr>
        <w:pBdr>
          <w:top w:val="none" w:color="000000" w:sz="0" w:space="0"/>
          <w:left w:val="none" w:color="000000" w:sz="0" w:space="0"/>
          <w:bottom w:val="none" w:color="000000" w:sz="0" w:space="0"/>
          <w:right w:val="none" w:color="000000" w:sz="0" w:space="0"/>
        </w:pBdr>
        <w:spacing w:before="220" w:after="0" w:line="460"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05EB3FA0">
      <w:pPr>
        <w:pBdr>
          <w:top w:val="none" w:color="000000" w:sz="0" w:space="0"/>
          <w:left w:val="none" w:color="000000" w:sz="0" w:space="0"/>
          <w:bottom w:val="none" w:color="000000" w:sz="0" w:space="0"/>
          <w:right w:val="none" w:color="000000" w:sz="0" w:space="0"/>
        </w:pBdr>
        <w:spacing w:before="220" w:after="0" w:line="460"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法定代表人身份证复印件：</w:t>
      </w:r>
    </w:p>
    <w:p w14:paraId="0C46B460">
      <w:pPr>
        <w:pBdr>
          <w:top w:val="none" w:color="000000" w:sz="0" w:space="0"/>
          <w:left w:val="none" w:color="000000" w:sz="0" w:space="0"/>
          <w:bottom w:val="none" w:color="000000" w:sz="0" w:space="0"/>
          <w:right w:val="none" w:color="000000" w:sz="0" w:space="0"/>
        </w:pBdr>
        <w:spacing w:before="220" w:after="0" w:line="460"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6BCEA811">
      <w:pPr>
        <w:pBdr>
          <w:top w:val="none" w:color="000000" w:sz="0" w:space="0"/>
          <w:left w:val="none" w:color="000000" w:sz="0" w:space="0"/>
          <w:bottom w:val="none" w:color="000000" w:sz="0" w:space="0"/>
          <w:right w:val="none" w:color="000000" w:sz="0" w:space="0"/>
        </w:pBdr>
        <w:spacing w:before="220" w:after="0" w:line="460"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5CF8FA6D">
      <w:pPr>
        <w:pBdr>
          <w:top w:val="none" w:color="000000" w:sz="0" w:space="0"/>
          <w:left w:val="none" w:color="000000" w:sz="0" w:space="0"/>
          <w:bottom w:val="none" w:color="000000" w:sz="0" w:space="0"/>
          <w:right w:val="none" w:color="000000" w:sz="0" w:space="0"/>
        </w:pBdr>
        <w:spacing w:before="220" w:after="0" w:line="460"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被授权人身份证复印件：</w:t>
      </w:r>
    </w:p>
    <w:p w14:paraId="7447FEFE">
      <w:pPr>
        <w:pBdr>
          <w:top w:val="none" w:color="000000" w:sz="0" w:space="0"/>
          <w:left w:val="none" w:color="000000" w:sz="0" w:space="0"/>
          <w:bottom w:val="none" w:color="000000" w:sz="0" w:space="0"/>
          <w:right w:val="none" w:color="000000" w:sz="0" w:space="0"/>
        </w:pBdr>
        <w:spacing w:before="220" w:after="0" w:line="460"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4"/>
          <w:highlight w:val="none"/>
        </w:rPr>
        <w:t> </w:t>
      </w:r>
    </w:p>
    <w:p w14:paraId="0724A994">
      <w:pPr>
        <w:pBdr>
          <w:top w:val="none" w:color="000000" w:sz="0" w:space="0"/>
          <w:left w:val="none" w:color="000000" w:sz="0" w:space="0"/>
          <w:bottom w:val="none" w:color="000000" w:sz="0" w:space="0"/>
          <w:right w:val="none" w:color="000000" w:sz="0" w:space="0"/>
        </w:pBdr>
        <w:spacing w:before="220" w:after="0" w:line="460"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4"/>
          <w:highlight w:val="none"/>
        </w:rPr>
        <w:t> </w:t>
      </w:r>
    </w:p>
    <w:p w14:paraId="36F396CA">
      <w:pPr>
        <w:shd w:val="clear" w:color="auto"/>
        <w:rPr>
          <w:rFonts w:hint="eastAsia" w:ascii="宋体" w:hAnsi="宋体" w:eastAsia="宋体" w:cs="宋体"/>
          <w:highlight w:val="none"/>
        </w:rPr>
      </w:pPr>
      <w:r>
        <w:rPr>
          <w:rFonts w:hint="eastAsia" w:ascii="宋体" w:hAnsi="宋体" w:eastAsia="宋体" w:cs="宋体"/>
          <w:b/>
          <w:color w:val="000000"/>
          <w:sz w:val="24"/>
          <w:highlight w:val="none"/>
        </w:rPr>
        <w:br w:type="page" w:clear="all"/>
      </w:r>
    </w:p>
    <w:p w14:paraId="674EC9AE">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b/>
          <w:bCs/>
          <w:color w:val="000000"/>
          <w:sz w:val="24"/>
          <w:szCs w:val="24"/>
          <w:highlight w:val="none"/>
        </w:rPr>
      </w:pPr>
      <w:r>
        <w:rPr>
          <w:rFonts w:hint="eastAsia" w:ascii="宋体" w:hAnsi="宋体" w:eastAsia="宋体" w:cs="宋体"/>
          <w:b/>
          <w:color w:val="000000"/>
          <w:sz w:val="24"/>
          <w:highlight w:val="none"/>
        </w:rPr>
        <w:t>参加本次政府采购活动前 3 年内在经营活动中没有重大违法记录的书面声明</w:t>
      </w:r>
    </w:p>
    <w:p w14:paraId="2F0BE82D">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07070D22">
      <w:pPr>
        <w:pBdr>
          <w:top w:val="none" w:color="000000" w:sz="0" w:space="0"/>
          <w:left w:val="none" w:color="000000" w:sz="0" w:space="0"/>
          <w:bottom w:val="none" w:color="000000" w:sz="0" w:space="0"/>
          <w:right w:val="none" w:color="000000" w:sz="0" w:space="0"/>
        </w:pBdr>
        <w:spacing w:before="220" w:after="312"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声  明</w:t>
      </w:r>
    </w:p>
    <w:p w14:paraId="0458EF7E">
      <w:pPr>
        <w:keepNext w:val="0"/>
        <w:keepLines w:val="0"/>
        <w:pageBreakBefore w:val="0"/>
        <w:widowControl w:val="0"/>
        <w:pBdr>
          <w:top w:val="none" w:color="000000" w:sz="0" w:space="0"/>
          <w:left w:val="none" w:color="000000" w:sz="0" w:space="0"/>
          <w:bottom w:val="none" w:color="000000" w:sz="0" w:space="0"/>
          <w:right w:val="none" w:color="000000" w:sz="0" w:space="0"/>
        </w:pBdr>
        <w:spacing w:before="22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我公司郑重声明：参加本次政府采购活动前3年内，我公司在经营活动中没有因违法经营受到刑事处罚或者责令停产停业、吊销许可证或者执照、较大数额罚款等行政处罚。</w:t>
      </w:r>
    </w:p>
    <w:p w14:paraId="65A3BB15">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4664E470">
      <w:pPr>
        <w:pBdr>
          <w:top w:val="none" w:color="000000" w:sz="0" w:space="0"/>
          <w:left w:val="none" w:color="000000" w:sz="0" w:space="0"/>
          <w:bottom w:val="none" w:color="000000" w:sz="0" w:space="0"/>
          <w:right w:val="none" w:color="000000" w:sz="0" w:space="0"/>
        </w:pBdr>
        <w:spacing w:before="220" w:after="0" w:line="253" w:lineRule="atLeast"/>
        <w:ind w:left="0" w:right="0" w:firstLine="315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222028D9">
      <w:pPr>
        <w:pBdr>
          <w:top w:val="none" w:color="000000" w:sz="0" w:space="0"/>
          <w:left w:val="none" w:color="000000" w:sz="0" w:space="0"/>
          <w:bottom w:val="none" w:color="000000" w:sz="0" w:space="0"/>
          <w:right w:val="none" w:color="000000" w:sz="0" w:space="0"/>
        </w:pBdr>
        <w:spacing w:before="220" w:after="0" w:line="360" w:lineRule="auto"/>
        <w:ind w:left="0" w:right="0" w:firstLine="315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供应商名称（公章）：</w:t>
      </w:r>
    </w:p>
    <w:p w14:paraId="7A17EA7F">
      <w:pPr>
        <w:pBdr>
          <w:top w:val="none" w:color="000000" w:sz="0" w:space="0"/>
          <w:left w:val="none" w:color="000000" w:sz="0" w:space="0"/>
          <w:bottom w:val="none" w:color="000000" w:sz="0" w:space="0"/>
          <w:right w:val="none" w:color="000000" w:sz="0" w:space="0"/>
        </w:pBdr>
        <w:spacing w:before="220" w:after="0" w:line="36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法定代表人签章：</w:t>
      </w:r>
    </w:p>
    <w:p w14:paraId="338B0193">
      <w:pPr>
        <w:pBdr>
          <w:top w:val="none" w:color="000000" w:sz="0" w:space="0"/>
          <w:left w:val="none" w:color="000000" w:sz="0" w:space="0"/>
          <w:bottom w:val="none" w:color="000000" w:sz="0" w:space="0"/>
          <w:right w:val="none" w:color="000000" w:sz="0" w:space="0"/>
        </w:pBdr>
        <w:spacing w:before="220" w:after="0" w:line="36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日期：</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w:t>
      </w:r>
    </w:p>
    <w:p w14:paraId="7874E22D">
      <w:pPr>
        <w:pBdr>
          <w:top w:val="none" w:color="000000" w:sz="0" w:space="0"/>
          <w:left w:val="none" w:color="000000" w:sz="0" w:space="0"/>
          <w:bottom w:val="none" w:color="000000" w:sz="0" w:space="0"/>
          <w:right w:val="none" w:color="000000" w:sz="0" w:space="0"/>
        </w:pBdr>
        <w:spacing w:before="220" w:after="0" w:line="36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p w14:paraId="090B449F">
      <w:pPr>
        <w:pBdr>
          <w:top w:val="none" w:color="000000" w:sz="0" w:space="0"/>
          <w:left w:val="none" w:color="000000" w:sz="0" w:space="0"/>
          <w:bottom w:val="none" w:color="000000" w:sz="0" w:space="0"/>
          <w:right w:val="none" w:color="000000" w:sz="0" w:space="0"/>
        </w:pBdr>
        <w:spacing w:before="220" w:after="0" w:line="460"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4"/>
          <w:highlight w:val="none"/>
        </w:rPr>
        <w:t> </w:t>
      </w:r>
    </w:p>
    <w:p w14:paraId="2D9679EE">
      <w:pPr>
        <w:pBdr>
          <w:top w:val="none" w:color="000000" w:sz="0" w:space="0"/>
          <w:left w:val="none" w:color="000000" w:sz="0" w:space="0"/>
          <w:bottom w:val="none" w:color="000000" w:sz="0" w:space="0"/>
          <w:right w:val="none" w:color="000000" w:sz="0" w:space="0"/>
        </w:pBdr>
        <w:spacing w:before="220" w:after="0" w:line="460"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4"/>
          <w:highlight w:val="none"/>
        </w:rPr>
        <w:t> </w:t>
      </w:r>
    </w:p>
    <w:p w14:paraId="5926E1DE">
      <w:pPr>
        <w:pBdr>
          <w:top w:val="none" w:color="000000" w:sz="0" w:space="0"/>
          <w:left w:val="none" w:color="000000" w:sz="0" w:space="0"/>
          <w:bottom w:val="none" w:color="000000" w:sz="0" w:space="0"/>
          <w:right w:val="none" w:color="000000" w:sz="0" w:space="0"/>
        </w:pBdr>
        <w:spacing w:before="220" w:after="0" w:line="460"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4"/>
          <w:highlight w:val="none"/>
        </w:rPr>
        <w:t> </w:t>
      </w:r>
    </w:p>
    <w:p w14:paraId="0753707F">
      <w:pPr>
        <w:pBdr>
          <w:top w:val="none" w:color="000000" w:sz="0" w:space="0"/>
          <w:left w:val="none" w:color="000000" w:sz="0" w:space="0"/>
          <w:bottom w:val="none" w:color="000000" w:sz="0" w:space="0"/>
          <w:right w:val="none" w:color="000000" w:sz="0" w:space="0"/>
        </w:pBdr>
        <w:spacing w:before="220" w:after="0" w:line="460"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4"/>
          <w:highlight w:val="none"/>
        </w:rPr>
        <w:t> </w:t>
      </w:r>
    </w:p>
    <w:p w14:paraId="44D4E0CB">
      <w:pPr>
        <w:shd w:val="clear" w:color="auto"/>
        <w:rPr>
          <w:rFonts w:hint="eastAsia" w:ascii="宋体" w:hAnsi="宋体" w:eastAsia="宋体" w:cs="宋体"/>
          <w:highlight w:val="none"/>
        </w:rPr>
      </w:pPr>
      <w:r>
        <w:rPr>
          <w:rFonts w:hint="eastAsia" w:ascii="宋体" w:hAnsi="宋体" w:eastAsia="宋体" w:cs="宋体"/>
          <w:b/>
          <w:color w:val="000000"/>
          <w:sz w:val="22"/>
          <w:highlight w:val="none"/>
        </w:rPr>
        <w:br w:type="page" w:clear="all"/>
      </w:r>
    </w:p>
    <w:p w14:paraId="07CB6647">
      <w:pPr>
        <w:shd w:val="clear" w:color="auto" w:fill="auto"/>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供应商信用承诺书</w:t>
      </w:r>
    </w:p>
    <w:p w14:paraId="65603514">
      <w:pPr>
        <w:keepNext w:val="0"/>
        <w:keepLines w:val="0"/>
        <w:pageBreakBefore w:val="0"/>
        <w:widowControl w:val="0"/>
        <w:shd w:val="clear" w:color="auto" w:fill="auto"/>
        <w:spacing w:line="360" w:lineRule="auto"/>
        <w:rPr>
          <w:rFonts w:hint="eastAsia" w:ascii="宋体" w:hAnsi="宋体" w:eastAsia="宋体" w:cs="宋体"/>
          <w:szCs w:val="32"/>
          <w:highlight w:val="none"/>
        </w:rPr>
      </w:pPr>
      <w:r>
        <w:rPr>
          <w:rFonts w:hint="eastAsia" w:ascii="宋体" w:hAnsi="宋体" w:eastAsia="宋体" w:cs="宋体"/>
          <w:szCs w:val="32"/>
          <w:highlight w:val="none"/>
        </w:rPr>
        <w:t>承诺主体名称：</w:t>
      </w:r>
    </w:p>
    <w:p w14:paraId="1EE96E02">
      <w:pPr>
        <w:keepNext w:val="0"/>
        <w:keepLines w:val="0"/>
        <w:pageBreakBefore w:val="0"/>
        <w:widowControl w:val="0"/>
        <w:shd w:val="clear" w:color="auto" w:fill="auto"/>
        <w:spacing w:line="360" w:lineRule="auto"/>
        <w:rPr>
          <w:rFonts w:hint="eastAsia" w:ascii="宋体" w:hAnsi="宋体" w:eastAsia="宋体" w:cs="宋体"/>
          <w:highlight w:val="none"/>
        </w:rPr>
      </w:pPr>
      <w:r>
        <w:rPr>
          <w:rFonts w:hint="eastAsia" w:ascii="宋体" w:hAnsi="宋体" w:eastAsia="宋体" w:cs="宋体"/>
          <w:szCs w:val="32"/>
          <w:highlight w:val="none"/>
        </w:rPr>
        <w:t>统一社会信用代码：</w:t>
      </w:r>
    </w:p>
    <w:p w14:paraId="01887C3B">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为维护公平竞争、规范有序的市场秩序，营造诚实守信的信用环境，共同推进社会信用体系建设完善，树立企业诚信守法形象，本企业对________________________项目政府采购活动郑重承诺如下</w:t>
      </w:r>
      <w:r>
        <w:rPr>
          <w:rFonts w:hint="eastAsia" w:ascii="宋体" w:hAnsi="宋体" w:eastAsia="宋体" w:cs="宋体"/>
          <w:szCs w:val="32"/>
          <w:highlight w:val="none"/>
          <w:lang w:eastAsia="zh-CN"/>
        </w:rPr>
        <w:t>：</w:t>
      </w:r>
    </w:p>
    <w:p w14:paraId="65190416">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一、对提供给注册登记部门、行业管理部门、司法部门、行业组织以及在政府采购活动中提交的所有资料的合法性、真实性、准确性和有效性负责；</w:t>
      </w:r>
    </w:p>
    <w:p w14:paraId="0A32E09A">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二、严格按照国家法律、法规和规章开展采购活动，全面履行应尽的责任和义务，全面做到履约守信，具备《中华人民共和国政府采购法》第二十二条第一款规定的条件</w:t>
      </w:r>
      <w:r>
        <w:rPr>
          <w:rFonts w:hint="eastAsia" w:ascii="宋体" w:hAnsi="宋体" w:eastAsia="宋体" w:cs="宋体"/>
          <w:szCs w:val="32"/>
          <w:highlight w:val="none"/>
          <w:lang w:eastAsia="zh-CN"/>
        </w:rPr>
        <w:t>；</w:t>
      </w:r>
    </w:p>
    <w:p w14:paraId="7F3026F9">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三、严格依法开展生产经营活动，主动接受行业监管，自愿接受依法开展的日常检查；违法失信经营后将自愿接受约束和惩戒，并依法承担相应责任；</w:t>
      </w:r>
    </w:p>
    <w:p w14:paraId="24028068">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四、自觉接受行政管理部门、行业组织、社会公众、新闻舆论的监督；</w:t>
      </w:r>
    </w:p>
    <w:p w14:paraId="30F1BE40">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五、自觉做到自我约束、自我管理，不制假售假、商标侵权、虚假宣传、违约毁约、恶意逃债、偷税漏税、垄断和不正当竞争，维护经营者、消费者的合法权益；</w:t>
      </w:r>
    </w:p>
    <w:p w14:paraId="5C7FC878">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六、提出政府采购质疑和投诉坚持依法依规、诚实信用原则，在全国范围12个月内没有三次以上查无实据的政府采购投诉；</w:t>
      </w:r>
    </w:p>
    <w:p w14:paraId="00508EA3">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七、严格遵守信用信息公示相关规定，向社会公示信用信息；</w:t>
      </w:r>
    </w:p>
    <w:p w14:paraId="235C516A">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八、在“信用中国”和“中国政府采购网”网站中无违法违规、较重或严重失信记录；</w:t>
      </w:r>
    </w:p>
    <w:p w14:paraId="1CD392F5">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7222A0E7">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十、本承诺书自签订之日起生效。</w:t>
      </w:r>
    </w:p>
    <w:p w14:paraId="504DCA81">
      <w:pPr>
        <w:keepNext w:val="0"/>
        <w:keepLines w:val="0"/>
        <w:pageBreakBefore w:val="0"/>
        <w:widowControl w:val="0"/>
        <w:shd w:val="clear" w:color="auto" w:fill="auto"/>
        <w:spacing w:line="360" w:lineRule="auto"/>
        <w:ind w:firstLine="420"/>
        <w:rPr>
          <w:rFonts w:hint="eastAsia" w:ascii="宋体" w:hAnsi="宋体" w:eastAsia="宋体" w:cs="宋体"/>
          <w:szCs w:val="32"/>
          <w:highlight w:val="none"/>
        </w:rPr>
      </w:pPr>
      <w:r>
        <w:rPr>
          <w:rFonts w:hint="eastAsia" w:ascii="宋体" w:hAnsi="宋体" w:eastAsia="宋体" w:cs="宋体"/>
          <w:szCs w:val="32"/>
          <w:highlight w:val="none"/>
        </w:rPr>
        <w:t> （注：法定代表人或负责人、主体名称发生变更的应当重新做出承诺）</w:t>
      </w:r>
    </w:p>
    <w:p w14:paraId="7E0E903E">
      <w:pPr>
        <w:keepNext w:val="0"/>
        <w:keepLines w:val="0"/>
        <w:pageBreakBefore w:val="0"/>
        <w:widowControl w:val="0"/>
        <w:shd w:val="clear" w:color="auto" w:fill="auto"/>
        <w:spacing w:line="360" w:lineRule="auto"/>
        <w:jc w:val="center"/>
        <w:rPr>
          <w:rFonts w:hint="eastAsia" w:ascii="宋体" w:hAnsi="宋体" w:eastAsia="宋体" w:cs="宋体"/>
          <w:szCs w:val="32"/>
          <w:highlight w:val="none"/>
        </w:rPr>
      </w:pPr>
      <w:r>
        <w:rPr>
          <w:rFonts w:hint="eastAsia" w:ascii="宋体" w:hAnsi="宋体" w:eastAsia="宋体" w:cs="宋体"/>
          <w:szCs w:val="32"/>
          <w:highlight w:val="none"/>
        </w:rPr>
        <w:t xml:space="preserve">　　　　　　　　　　      </w:t>
      </w:r>
      <w:r>
        <w:rPr>
          <w:rFonts w:hint="eastAsia" w:ascii="宋体" w:hAnsi="宋体" w:cs="宋体"/>
          <w:szCs w:val="32"/>
          <w:highlight w:val="none"/>
          <w:lang w:val="en-US" w:eastAsia="zh-CN"/>
        </w:rPr>
        <w:t xml:space="preserve">             </w:t>
      </w:r>
      <w:r>
        <w:rPr>
          <w:rFonts w:hint="eastAsia" w:ascii="宋体" w:hAnsi="宋体" w:eastAsia="宋体" w:cs="宋体"/>
          <w:szCs w:val="32"/>
          <w:highlight w:val="none"/>
        </w:rPr>
        <w:t xml:space="preserve">  承诺单位（签章）：           </w:t>
      </w:r>
    </w:p>
    <w:p w14:paraId="46695180">
      <w:pPr>
        <w:keepNext w:val="0"/>
        <w:keepLines w:val="0"/>
        <w:pageBreakBefore w:val="0"/>
        <w:widowControl w:val="0"/>
        <w:shd w:val="clear" w:color="auto" w:fill="auto"/>
        <w:spacing w:line="360" w:lineRule="auto"/>
        <w:jc w:val="center"/>
        <w:rPr>
          <w:rFonts w:hint="eastAsia" w:ascii="宋体" w:hAnsi="宋体" w:eastAsia="宋体" w:cs="宋体"/>
          <w:szCs w:val="32"/>
          <w:highlight w:val="none"/>
        </w:rPr>
      </w:pPr>
      <w:r>
        <w:rPr>
          <w:rFonts w:hint="eastAsia" w:ascii="宋体" w:hAnsi="宋体" w:eastAsia="宋体" w:cs="宋体"/>
          <w:szCs w:val="32"/>
          <w:highlight w:val="none"/>
        </w:rPr>
        <w:t>　　　　　　</w:t>
      </w:r>
      <w:r>
        <w:rPr>
          <w:rFonts w:hint="eastAsia" w:ascii="宋体" w:hAnsi="宋体" w:cs="宋体"/>
          <w:szCs w:val="32"/>
          <w:highlight w:val="none"/>
          <w:lang w:val="en-US" w:eastAsia="zh-CN"/>
        </w:rPr>
        <w:t xml:space="preserve">           </w:t>
      </w:r>
      <w:r>
        <w:rPr>
          <w:rFonts w:hint="eastAsia" w:ascii="宋体" w:hAnsi="宋体" w:eastAsia="宋体" w:cs="宋体"/>
          <w:szCs w:val="32"/>
          <w:highlight w:val="none"/>
        </w:rPr>
        <w:t>法定代表人（负责人）：</w:t>
      </w:r>
    </w:p>
    <w:p w14:paraId="4D1DAEFE">
      <w:pPr>
        <w:keepNext w:val="0"/>
        <w:keepLines w:val="0"/>
        <w:pageBreakBefore w:val="0"/>
        <w:widowControl w:val="0"/>
        <w:shd w:val="clear" w:color="auto" w:fill="auto"/>
        <w:spacing w:line="360" w:lineRule="auto"/>
        <w:jc w:val="center"/>
        <w:rPr>
          <w:rFonts w:hint="eastAsia" w:ascii="宋体" w:hAnsi="宋体" w:eastAsia="宋体" w:cs="宋体"/>
          <w:szCs w:val="32"/>
          <w:highlight w:val="none"/>
        </w:rPr>
        <w:sectPr>
          <w:pgSz w:w="11906" w:h="16838"/>
          <w:pgMar w:top="1440" w:right="1800" w:bottom="1440" w:left="1800" w:header="851" w:footer="992" w:gutter="0"/>
          <w:cols w:space="720" w:num="1"/>
          <w:docGrid w:linePitch="360" w:charSpace="0"/>
        </w:sectPr>
      </w:pPr>
      <w:r>
        <w:rPr>
          <w:rFonts w:hint="eastAsia" w:ascii="宋体" w:hAnsi="宋体" w:eastAsia="宋体" w:cs="宋体"/>
          <w:szCs w:val="32"/>
          <w:highlight w:val="none"/>
        </w:rPr>
        <w:t>　　　　　</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年 </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 xml:space="preserve"> 月   日</w:t>
      </w:r>
    </w:p>
    <w:p w14:paraId="06EB55CC">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0"/>
        <w:jc w:val="center"/>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中小企业声明函（</w:t>
      </w:r>
      <w:r>
        <w:rPr>
          <w:rFonts w:hint="eastAsia" w:ascii="宋体" w:hAnsi="宋体" w:cs="宋体"/>
          <w:b/>
          <w:color w:val="000000"/>
          <w:sz w:val="24"/>
          <w:szCs w:val="24"/>
          <w:highlight w:val="none"/>
          <w:lang w:val="en-US" w:eastAsia="zh-CN"/>
        </w:rPr>
        <w:t>工程</w:t>
      </w:r>
      <w:r>
        <w:rPr>
          <w:rFonts w:hint="eastAsia" w:ascii="宋体" w:hAnsi="宋体" w:eastAsia="宋体" w:cs="宋体"/>
          <w:b/>
          <w:color w:val="000000"/>
          <w:sz w:val="24"/>
          <w:szCs w:val="24"/>
          <w:highlight w:val="none"/>
        </w:rPr>
        <w:t>）</w:t>
      </w:r>
    </w:p>
    <w:p w14:paraId="26E9D517">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color w:val="000000"/>
          <w:sz w:val="21"/>
          <w:szCs w:val="21"/>
          <w:highlight w:val="none"/>
        </w:rPr>
      </w:pPr>
    </w:p>
    <w:p w14:paraId="5107FB7F">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本公司（联合体）郑重声明，根据《政府采购促进中小企业发展管理办法》（财库﹝2020﹞46 号）的规定，本公司（联合体）参加</w:t>
      </w:r>
      <w:r>
        <w:rPr>
          <w:rFonts w:hint="eastAsia" w:ascii="宋体" w:hAnsi="宋体" w:cs="宋体"/>
          <w:color w:val="000000"/>
          <w:sz w:val="21"/>
          <w:szCs w:val="21"/>
          <w:highlight w:val="none"/>
          <w:u w:val="single"/>
          <w:lang w:eastAsia="zh-CN"/>
        </w:rPr>
        <w:t>扬州高等职业技术学校</w:t>
      </w:r>
      <w:r>
        <w:rPr>
          <w:rFonts w:hint="eastAsia" w:ascii="宋体" w:hAnsi="宋体" w:eastAsia="宋体" w:cs="宋体"/>
          <w:color w:val="000000"/>
          <w:sz w:val="21"/>
          <w:szCs w:val="21"/>
          <w:highlight w:val="none"/>
        </w:rPr>
        <w:t>的</w:t>
      </w:r>
      <w:r>
        <w:rPr>
          <w:rFonts w:hint="eastAsia" w:ascii="宋体" w:hAnsi="宋体" w:cs="宋体"/>
          <w:color w:val="000000"/>
          <w:sz w:val="21"/>
          <w:szCs w:val="21"/>
          <w:highlight w:val="none"/>
          <w:u w:val="single"/>
          <w:lang w:eastAsia="zh-CN"/>
        </w:rPr>
        <w:t>学校食堂、实训楼、宿舍等内外墙粉刷、顶层防水及办公区吊顶项目</w:t>
      </w:r>
      <w:r>
        <w:rPr>
          <w:rFonts w:hint="eastAsia" w:ascii="宋体" w:hAnsi="宋体" w:eastAsia="宋体" w:cs="宋体"/>
          <w:color w:val="000000"/>
          <w:sz w:val="21"/>
          <w:szCs w:val="21"/>
          <w:highlight w:val="none"/>
        </w:rPr>
        <w:t>采购活动，工程的施工单位全部由符合政策要求的中小企业承接。相关企业（含联合体中的中小企业、签订分包意向协议的中小企业）的具体情况如下：</w:t>
      </w:r>
    </w:p>
    <w:p w14:paraId="4B2D0523">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xml:space="preserve">1. </w:t>
      </w:r>
      <w:r>
        <w:rPr>
          <w:rFonts w:hint="eastAsia" w:ascii="宋体" w:hAnsi="宋体" w:eastAsia="宋体" w:cs="宋体"/>
          <w:color w:val="000000"/>
          <w:sz w:val="21"/>
          <w:szCs w:val="21"/>
          <w:highlight w:val="none"/>
          <w:u w:val="single"/>
        </w:rPr>
        <w:t xml:space="preserve">（标的名称） </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（建筑业）</w:t>
      </w:r>
      <w:r>
        <w:rPr>
          <w:rFonts w:hint="eastAsia" w:ascii="宋体" w:hAnsi="宋体" w:eastAsia="宋体" w:cs="宋体"/>
          <w:color w:val="000000"/>
          <w:sz w:val="21"/>
          <w:szCs w:val="21"/>
          <w:highlight w:val="none"/>
        </w:rPr>
        <w:t>；承建（承接）企业为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，从业人员人，营业收入为万元，资产总额为万元，属于</w:t>
      </w:r>
      <w:r>
        <w:rPr>
          <w:rFonts w:hint="eastAsia" w:ascii="宋体" w:hAnsi="宋体" w:eastAsia="宋体" w:cs="宋体"/>
          <w:color w:val="000000"/>
          <w:sz w:val="21"/>
          <w:szCs w:val="21"/>
          <w:highlight w:val="none"/>
          <w:u w:val="single"/>
        </w:rPr>
        <w:t>（中型企业、小型企业、微型企业）；</w:t>
      </w:r>
    </w:p>
    <w:p w14:paraId="2A94CFB1">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xml:space="preserve">2. </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 ，属于</w:t>
      </w:r>
      <w:r>
        <w:rPr>
          <w:rFonts w:hint="eastAsia" w:ascii="宋体" w:hAnsi="宋体" w:eastAsia="宋体" w:cs="宋体"/>
          <w:color w:val="000000"/>
          <w:sz w:val="21"/>
          <w:szCs w:val="21"/>
          <w:highlight w:val="none"/>
          <w:u w:val="single"/>
        </w:rPr>
        <w:t>（建筑业）</w:t>
      </w:r>
      <w:r>
        <w:rPr>
          <w:rFonts w:hint="eastAsia" w:ascii="宋体" w:hAnsi="宋体" w:eastAsia="宋体" w:cs="宋体"/>
          <w:color w:val="000000"/>
          <w:sz w:val="21"/>
          <w:szCs w:val="21"/>
          <w:highlight w:val="none"/>
        </w:rPr>
        <w:t>；承建（承接）企业为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，从业人员人，营业收入为万元，资产总额为万元，属于</w:t>
      </w:r>
      <w:r>
        <w:rPr>
          <w:rFonts w:hint="eastAsia" w:ascii="宋体" w:hAnsi="宋体" w:eastAsia="宋体" w:cs="宋体"/>
          <w:color w:val="000000"/>
          <w:sz w:val="21"/>
          <w:szCs w:val="21"/>
          <w:highlight w:val="none"/>
          <w:u w:val="single"/>
        </w:rPr>
        <w:t>（中型企业、小型企业、微型企业）；</w:t>
      </w:r>
    </w:p>
    <w:p w14:paraId="24D89010">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w:t>
      </w:r>
    </w:p>
    <w:p w14:paraId="50E00571">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以上企业，不属于大企业的分支机构，不存在控股股东为大企业的情形，也不存在与大企业的负责人为同一人的情形。</w:t>
      </w:r>
    </w:p>
    <w:p w14:paraId="37FDA50E">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本企业对上述声明内容的真实性负责。如有虚假，将依法承担相应责任。</w:t>
      </w:r>
    </w:p>
    <w:p w14:paraId="429E110B">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2"/>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注</w:t>
      </w:r>
      <w:r>
        <w:rPr>
          <w:rFonts w:hint="eastAsia" w:ascii="宋体" w:hAnsi="宋体" w:eastAsia="宋体" w:cs="宋体"/>
          <w:color w:val="000000"/>
          <w:sz w:val="21"/>
          <w:szCs w:val="21"/>
          <w:highlight w:val="none"/>
        </w:rPr>
        <w:t>：1、从业人员（不仅指在职职工）、营业收入、资产总额填报上一年度数据，无上一年度数据的新成立企业可不填报。</w:t>
      </w:r>
    </w:p>
    <w:p w14:paraId="5861FDA9">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2、供应商如不提供此声明函，价格将不做相应扣除。</w:t>
      </w:r>
    </w:p>
    <w:p w14:paraId="18DC83A4">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3、企业声明函请完整填写，中标后将公示。</w:t>
      </w:r>
    </w:p>
    <w:p w14:paraId="2C7F4249">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5EECA72F">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5、中小企业不得属于大企业的分支机构，不得存在控股股东为大企业的情形，不得存在与大企业的负责人为同一人的情形。</w:t>
      </w:r>
    </w:p>
    <w:p w14:paraId="4A3BEE6A">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66467BE2">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rPr>
          <w:rFonts w:hint="eastAsia" w:ascii="宋体" w:hAnsi="宋体" w:eastAsia="宋体" w:cs="宋体"/>
          <w:color w:val="000000"/>
          <w:sz w:val="21"/>
          <w:szCs w:val="21"/>
          <w:highlight w:val="none"/>
        </w:rPr>
      </w:pPr>
    </w:p>
    <w:p w14:paraId="77090B73">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83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企业名称（盖章）：</w:t>
      </w:r>
    </w:p>
    <w:p w14:paraId="4EC389E9">
      <w:pPr>
        <w:keepNext w:val="0"/>
        <w:keepLines w:val="0"/>
        <w:pageBreakBefore w:val="0"/>
        <w:widowControl w:val="0"/>
        <w:pBdr>
          <w:top w:val="none" w:color="000000" w:sz="0" w:space="0"/>
          <w:left w:val="none" w:color="000000" w:sz="0" w:space="0"/>
          <w:bottom w:val="none" w:color="000000" w:sz="0" w:space="0"/>
          <w:right w:val="none" w:color="000000" w:sz="0" w:space="0"/>
        </w:pBdr>
        <w:spacing w:before="0" w:line="360" w:lineRule="auto"/>
        <w:ind w:left="0" w:right="0" w:firstLine="42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 期</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p>
    <w:p w14:paraId="4A207474">
      <w:pPr>
        <w:pBdr>
          <w:top w:val="none" w:color="000000" w:sz="0" w:space="0"/>
          <w:left w:val="none" w:color="000000" w:sz="0" w:space="0"/>
          <w:bottom w:val="none" w:color="000000" w:sz="0" w:space="0"/>
          <w:right w:val="none" w:color="000000" w:sz="0" w:space="0"/>
        </w:pBdr>
        <w:spacing w:before="0" w:after="0" w:line="253" w:lineRule="atLeast"/>
        <w:ind w:left="0" w:right="0" w:firstLine="2726"/>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5A2366E4">
      <w:pPr>
        <w:keepLines/>
        <w:pBdr>
          <w:top w:val="none" w:color="000000" w:sz="0" w:space="0"/>
          <w:left w:val="none" w:color="000000" w:sz="0" w:space="0"/>
          <w:bottom w:val="none" w:color="000000" w:sz="0" w:space="0"/>
          <w:right w:val="none" w:color="000000" w:sz="0" w:space="0"/>
        </w:pBdr>
        <w:spacing w:before="300" w:after="300" w:line="85" w:lineRule="atLeast"/>
        <w:ind w:left="0" w:right="0" w:firstLine="0"/>
        <w:jc w:val="center"/>
        <w:rPr>
          <w:rFonts w:hint="eastAsia" w:ascii="宋体" w:hAnsi="宋体" w:eastAsia="宋体" w:cs="宋体"/>
          <w:b/>
          <w:color w:val="000000"/>
          <w:sz w:val="21"/>
          <w:highlight w:val="none"/>
        </w:rPr>
        <w:sectPr>
          <w:pgSz w:w="11906" w:h="16838"/>
          <w:pgMar w:top="1440" w:right="1800" w:bottom="1440" w:left="1800" w:header="851" w:footer="992" w:gutter="0"/>
          <w:cols w:space="1701" w:num="1"/>
          <w:docGrid w:linePitch="360" w:charSpace="0"/>
        </w:sectPr>
      </w:pPr>
    </w:p>
    <w:p w14:paraId="19527E67">
      <w:pPr>
        <w:keepLines/>
        <w:pBdr>
          <w:top w:val="none" w:color="000000" w:sz="0" w:space="0"/>
          <w:left w:val="none" w:color="000000" w:sz="0" w:space="0"/>
          <w:bottom w:val="none" w:color="000000" w:sz="0" w:space="0"/>
          <w:right w:val="none" w:color="000000" w:sz="0" w:space="0"/>
        </w:pBdr>
        <w:spacing w:before="300" w:after="300" w:line="85"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1"/>
          <w:highlight w:val="none"/>
        </w:rPr>
        <w:t>中小微企业划型标准</w:t>
      </w:r>
    </w:p>
    <w:p w14:paraId="31212872">
      <w:pPr>
        <w:pBdr>
          <w:top w:val="none" w:color="000000" w:sz="0" w:space="0"/>
          <w:left w:val="none" w:color="000000" w:sz="0" w:space="0"/>
          <w:bottom w:val="none" w:color="000000" w:sz="0" w:space="0"/>
          <w:right w:val="none" w:color="000000" w:sz="0" w:space="0"/>
        </w:pBdr>
        <w:spacing w:before="300" w:after="452"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中小微企业划型标准如下：</w:t>
      </w:r>
    </w:p>
    <w:tbl>
      <w:tblPr>
        <w:tblStyle w:val="4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259"/>
        <w:gridCol w:w="1658"/>
        <w:gridCol w:w="1200"/>
        <w:gridCol w:w="1766"/>
        <w:gridCol w:w="1529"/>
        <w:gridCol w:w="1104"/>
      </w:tblGrid>
      <w:tr w14:paraId="182F8A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85" w:hRule="atLeast"/>
        </w:trPr>
        <w:tc>
          <w:tcPr>
            <w:tcW w:w="125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6618EBD">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行业名称</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19688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指标名称</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4D3382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计量单位</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458D99B">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中型</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3228F4D">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小型</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B908667">
            <w:pPr>
              <w:pBdr>
                <w:top w:val="none" w:color="000000" w:sz="0" w:space="0"/>
                <w:left w:val="none" w:color="000000" w:sz="0" w:space="0"/>
                <w:bottom w:val="none" w:color="000000" w:sz="0" w:space="0"/>
                <w:right w:val="none" w:color="000000" w:sz="0" w:space="0"/>
              </w:pBdr>
              <w:spacing w:before="100" w:after="150" w:line="85" w:lineRule="atLeast"/>
              <w:ind w:left="0" w:right="0" w:firstLine="42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微型</w:t>
            </w:r>
          </w:p>
        </w:tc>
      </w:tr>
      <w:tr w14:paraId="016C22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DE131A8">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农、林、牧、渔</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BD7E0D0">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CC32C8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5B8EAA6">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500≤Y＜20000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DD2404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50≤Y＜500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B8B82C">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Y＜50</w:t>
            </w:r>
          </w:p>
        </w:tc>
      </w:tr>
      <w:tr w14:paraId="674B4B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430B421">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工业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B8F958">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2078D51">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FA0CDBC">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300≤X＜1000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424EE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20≤X＜300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8B1DA1C">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X＜20</w:t>
            </w:r>
          </w:p>
        </w:tc>
      </w:tr>
      <w:tr w14:paraId="39DE14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1C61E3F1">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747DFB47">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2928694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2DDE86C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2000≤Y＜40000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1AD473F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300≤Y＜2000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3FBAD09">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Y＜300</w:t>
            </w:r>
          </w:p>
        </w:tc>
      </w:tr>
      <w:tr w14:paraId="3DC0FC3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D7313F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建筑业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17C1BF">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FFECF0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56BD9D5">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6000≤Y＜80000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9969F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300≤Y＜6000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9A06C09">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Y＜300</w:t>
            </w:r>
          </w:p>
        </w:tc>
      </w:tr>
      <w:tr w14:paraId="1E13E05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2C96FC74">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781274B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资产总额（Z）</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20E87F3C">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6DE18936">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5000≤Z＜80000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2E24262B">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300≤Z＜5000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1518FEB">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Z＜300</w:t>
            </w:r>
          </w:p>
        </w:tc>
      </w:tr>
      <w:tr w14:paraId="112F1D9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60C1C21">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批发业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0B1A85A">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105D054">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3D56376">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20≤X＜200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C3CADDF">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5≤X＜20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52289B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X＜5</w:t>
            </w:r>
          </w:p>
        </w:tc>
      </w:tr>
      <w:tr w14:paraId="1F4E19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71"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14ED124C">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6CA20AE0">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2877A11">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0BD67B19">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5000≤Y＜40000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706C63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1000≤Y＜5000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7307E88">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Y＜1000</w:t>
            </w:r>
          </w:p>
        </w:tc>
      </w:tr>
      <w:tr w14:paraId="1B4B4B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1F6326C">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零售业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AC6501F">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FBB3D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872ED0C">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50≤X＜300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26CADD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10≤X＜50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F1F4908">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w:t>
            </w:r>
          </w:p>
        </w:tc>
      </w:tr>
      <w:tr w14:paraId="367992F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1E7530D4">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1F33AA33">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04F4241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F109065">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500≤Y＜20000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9E481E3">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100≤Y＜500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23084136">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w:t>
            </w:r>
          </w:p>
        </w:tc>
      </w:tr>
      <w:tr w14:paraId="431FC3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F41A3F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交通运输业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FB231F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FF2FF7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FB48029">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300≤X＜1000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97CABB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20≤X＜300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D046AA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X＜20</w:t>
            </w:r>
          </w:p>
        </w:tc>
      </w:tr>
      <w:tr w14:paraId="55FA5AA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4CEFDD56">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57B46591">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3F90D0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2B59C02">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3000≤Y＜30000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6A1E477C">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200≤Y＜3000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7C8D5333">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Y＜200</w:t>
            </w:r>
          </w:p>
        </w:tc>
      </w:tr>
      <w:tr w14:paraId="2D6D636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76313E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仓储业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14EED30">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A341DE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4B3F3BE">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100≤X＜200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15F0F04">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20≤X＜100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E96F2FA">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X＜20</w:t>
            </w:r>
          </w:p>
        </w:tc>
      </w:tr>
      <w:tr w14:paraId="75FD8E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1A0A7FE8">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578B6EE7">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2B1783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7FA28B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1000≤Y＜30000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30A8B5F">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100≤Y＜1000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B5B87CA">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w:t>
            </w:r>
          </w:p>
        </w:tc>
      </w:tr>
      <w:tr w14:paraId="249B99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A188C4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邮政业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DA3021E">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2A4861A">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20F7AF4">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300≤X＜1000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CF6FB9D">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20≤X＜300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7378E36">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X＜20</w:t>
            </w:r>
          </w:p>
        </w:tc>
      </w:tr>
      <w:tr w14:paraId="5449F84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08690F40">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3327194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1D8FE1D4">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7290F470">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2000≤Y＜30000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77145754">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100≤Y＜2000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05CF54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w:t>
            </w:r>
          </w:p>
        </w:tc>
      </w:tr>
      <w:tr w14:paraId="3380284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86DF13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住宿业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5AC4949">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34AE028">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80D6374">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100≤X＜300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B91433">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10≤X＜100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D54CD9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w:t>
            </w:r>
          </w:p>
        </w:tc>
      </w:tr>
      <w:tr w14:paraId="5FA63B1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45557628">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7147E657">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13B2FC1">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1345F1DC">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2000≤Y＜10000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D710FF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100≤Y＜2000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66A10C9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w:t>
            </w:r>
          </w:p>
        </w:tc>
      </w:tr>
      <w:tr w14:paraId="3ABB26D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BB0D68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餐饮业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A05FF41">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A225C63">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9950DF8">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100≤X＜300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5EEDF0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10≤X＜100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8D64B0B">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w:t>
            </w:r>
          </w:p>
        </w:tc>
      </w:tr>
      <w:tr w14:paraId="49E8E3E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344EBE19">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7F37F74A">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BA2D95F">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1F01DBF6">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2000≤Y＜10000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BC57D2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100≤Y＜2000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7F26B793">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w:t>
            </w:r>
          </w:p>
        </w:tc>
      </w:tr>
      <w:tr w14:paraId="68D901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60D6C3C">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信息传输业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EACFDC4">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1C5879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E7053A7">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100≤X＜2000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C9676E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10≤X＜100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2A7EB6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w:t>
            </w:r>
          </w:p>
        </w:tc>
      </w:tr>
      <w:tr w14:paraId="0A00DF9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3B470310">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101689E4">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6C17817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2409E6B5">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1000≤Y＜100000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61778DD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100≤Y＜1000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ECEB7B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w:t>
            </w:r>
          </w:p>
        </w:tc>
      </w:tr>
      <w:tr w14:paraId="784D242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4679C64">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软件和信息技术服务业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264E21F">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A9EE93D">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A32CDE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100≤X＜300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34CA056">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10≤X＜100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895D08B">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w:t>
            </w:r>
          </w:p>
        </w:tc>
      </w:tr>
      <w:tr w14:paraId="6DB43E6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2A66775B">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7645E7A3">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769553F">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6D95065A">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1000≤Y＜10000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0B6610DB">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50≤Y＜1000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60482EC7">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Y＜50</w:t>
            </w:r>
          </w:p>
        </w:tc>
      </w:tr>
      <w:tr w14:paraId="3786893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8E4A3A">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房地产开发经营</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BBE42A5">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D9D00D6">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1E770FA">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1000≤Y＜200000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E4AE08">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100≤X＜1000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590FD4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X＜100</w:t>
            </w:r>
          </w:p>
        </w:tc>
      </w:tr>
      <w:tr w14:paraId="72C02C1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7C2E2F61">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67B147C9">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资产总额（Z）</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301BAE4">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13115F5">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5000≤Z＜10000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479F0BA">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2000≤Y＜5000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4D10E58">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Y＜2000</w:t>
            </w:r>
          </w:p>
        </w:tc>
      </w:tr>
      <w:tr w14:paraId="77600ED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1AE5DAD">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物业管理</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E57493C">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559A40">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F27AD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300≤X＜1000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327928A">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100≤X＜300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7469A1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X＜100</w:t>
            </w:r>
          </w:p>
        </w:tc>
      </w:tr>
      <w:tr w14:paraId="7CE204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237DE40D">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45AF9DBA">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营业收入（Y）</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11E68811">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2DB34B43">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1000≤Y＜5000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4339488C">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500≤Y＜1000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3F8BF23B">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Y＜500</w:t>
            </w:r>
          </w:p>
        </w:tc>
      </w:tr>
      <w:tr w14:paraId="2D8B035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tcW w:w="1259"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34D1299">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租赁和商务服务业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72E31B2">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F2707A6">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C00E276">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100≤X＜300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F887358">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10≤X＜100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2D704F5">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w:t>
            </w:r>
          </w:p>
        </w:tc>
      </w:tr>
      <w:tr w14:paraId="6C4624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5" w:hRule="atLeast"/>
        </w:trPr>
        <w:tc>
          <w:tcPr>
            <w:vMerge w:val="continue"/>
            <w:tcBorders>
              <w:top w:val="single" w:color="000000" w:sz="4" w:space="0"/>
              <w:left w:val="single" w:color="000000" w:sz="4" w:space="0"/>
              <w:bottom w:val="single" w:color="000000" w:sz="4" w:space="0"/>
              <w:right w:val="single" w:color="000000" w:sz="4" w:space="0"/>
            </w:tcBorders>
            <w:noWrap w:val="0"/>
          </w:tcPr>
          <w:p w14:paraId="340982BB">
            <w:pPr>
              <w:spacing w:after="0" w:line="240" w:lineRule="auto"/>
              <w:rPr>
                <w:rFonts w:hint="eastAsia" w:ascii="宋体" w:hAnsi="宋体" w:eastAsia="宋体" w:cs="宋体"/>
                <w:sz w:val="21"/>
                <w:szCs w:val="21"/>
                <w:highlight w:val="none"/>
              </w:rPr>
            </w:pPr>
          </w:p>
        </w:tc>
        <w:tc>
          <w:tcPr>
            <w:tcW w:w="1658" w:type="dxa"/>
            <w:tcBorders>
              <w:top w:val="nil"/>
              <w:left w:val="single" w:color="000000" w:sz="4" w:space="0"/>
              <w:bottom w:val="single" w:color="999999" w:sz="8" w:space="0"/>
              <w:right w:val="single" w:color="999999" w:sz="8" w:space="0"/>
            </w:tcBorders>
            <w:noWrap w:val="0"/>
            <w:tcMar>
              <w:top w:w="0" w:type="dxa"/>
              <w:left w:w="105" w:type="dxa"/>
              <w:bottom w:w="0" w:type="dxa"/>
              <w:right w:w="105" w:type="dxa"/>
            </w:tcMar>
            <w:vAlign w:val="center"/>
          </w:tcPr>
          <w:p w14:paraId="72CDC25F">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资产总额（Z）</w:t>
            </w:r>
          </w:p>
        </w:tc>
        <w:tc>
          <w:tcPr>
            <w:tcW w:w="1200"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41E4A49">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万元</w:t>
            </w:r>
          </w:p>
        </w:tc>
        <w:tc>
          <w:tcPr>
            <w:tcW w:w="1766"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E43F8ED">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8000≤Z＜120000</w:t>
            </w:r>
          </w:p>
        </w:tc>
        <w:tc>
          <w:tcPr>
            <w:tcW w:w="1529"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7B95F9B6">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100≤Z＜8000</w:t>
            </w:r>
          </w:p>
        </w:tc>
        <w:tc>
          <w:tcPr>
            <w:tcW w:w="1104" w:type="dxa"/>
            <w:tcBorders>
              <w:top w:val="nil"/>
              <w:left w:val="nil"/>
              <w:bottom w:val="single" w:color="999999" w:sz="8" w:space="0"/>
              <w:right w:val="single" w:color="999999" w:sz="8" w:space="0"/>
            </w:tcBorders>
            <w:noWrap w:val="0"/>
            <w:tcMar>
              <w:top w:w="0" w:type="dxa"/>
              <w:left w:w="105" w:type="dxa"/>
              <w:bottom w:w="0" w:type="dxa"/>
              <w:right w:w="105" w:type="dxa"/>
            </w:tcMar>
            <w:vAlign w:val="center"/>
          </w:tcPr>
          <w:p w14:paraId="538ADFCD">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Y＜100</w:t>
            </w:r>
          </w:p>
        </w:tc>
      </w:tr>
      <w:tr w14:paraId="395CCA3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125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4750A41">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其他未列明行业</w:t>
            </w:r>
          </w:p>
        </w:tc>
        <w:tc>
          <w:tcPr>
            <w:tcW w:w="165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2F89124">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从业人员（X）</w:t>
            </w:r>
          </w:p>
        </w:tc>
        <w:tc>
          <w:tcPr>
            <w:tcW w:w="120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B25F233">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人</w:t>
            </w:r>
          </w:p>
        </w:tc>
        <w:tc>
          <w:tcPr>
            <w:tcW w:w="176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2CC2442">
            <w:pPr>
              <w:pBdr>
                <w:top w:val="none" w:color="000000" w:sz="0" w:space="0"/>
                <w:left w:val="none" w:color="000000" w:sz="0" w:space="0"/>
                <w:bottom w:val="none" w:color="000000" w:sz="0" w:space="0"/>
                <w:right w:val="none" w:color="000000" w:sz="0" w:space="0"/>
              </w:pBdr>
              <w:spacing w:before="100" w:after="150" w:line="85" w:lineRule="atLeast"/>
              <w:ind w:left="0" w:right="0" w:firstLine="0"/>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100≤X＜300</w:t>
            </w:r>
          </w:p>
        </w:tc>
        <w:tc>
          <w:tcPr>
            <w:tcW w:w="152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C9C9DD2">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10≤X＜100</w:t>
            </w:r>
          </w:p>
        </w:tc>
        <w:tc>
          <w:tcPr>
            <w:tcW w:w="11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A19457E">
            <w:pPr>
              <w:pBdr>
                <w:top w:val="none" w:color="000000" w:sz="0" w:space="0"/>
                <w:left w:val="none" w:color="000000" w:sz="0" w:space="0"/>
                <w:bottom w:val="none" w:color="000000" w:sz="0" w:space="0"/>
                <w:right w:val="none" w:color="000000" w:sz="0" w:space="0"/>
              </w:pBdr>
              <w:spacing w:before="100" w:after="150" w:line="85" w:lineRule="atLeast"/>
              <w:ind w:left="0" w:right="0" w:firstLine="0"/>
              <w:jc w:val="center"/>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X＜10</w:t>
            </w:r>
          </w:p>
        </w:tc>
      </w:tr>
    </w:tbl>
    <w:p w14:paraId="03C32A7F">
      <w:pPr>
        <w:pBdr>
          <w:top w:val="none" w:color="000000" w:sz="0" w:space="0"/>
          <w:left w:val="none" w:color="000000" w:sz="0" w:space="0"/>
          <w:bottom w:val="none" w:color="000000" w:sz="0" w:space="0"/>
          <w:right w:val="none" w:color="000000" w:sz="0" w:space="0"/>
        </w:pBdr>
        <w:spacing w:before="0" w:after="0" w:line="253" w:lineRule="atLeast"/>
        <w:ind w:left="0" w:right="0" w:firstLine="0"/>
        <w:jc w:val="both"/>
        <w:rPr>
          <w:rFonts w:hint="eastAsia" w:ascii="宋体" w:hAnsi="宋体" w:eastAsia="宋体" w:cs="宋体"/>
          <w:sz w:val="21"/>
          <w:szCs w:val="21"/>
          <w:highlight w:val="none"/>
        </w:rPr>
      </w:pPr>
      <w:r>
        <w:rPr>
          <w:rFonts w:hint="eastAsia" w:ascii="宋体" w:hAnsi="宋体" w:eastAsia="宋体" w:cs="宋体"/>
          <w:b/>
          <w:color w:val="666666"/>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83040C1">
      <w:pPr>
        <w:pStyle w:val="40"/>
        <w:ind w:firstLine="422"/>
        <w:jc w:val="center"/>
        <w:rPr>
          <w:rFonts w:hint="eastAsia" w:ascii="宋体" w:hAnsi="宋体"/>
          <w:b/>
          <w:color w:val="auto"/>
          <w:sz w:val="21"/>
          <w:szCs w:val="21"/>
          <w:highlight w:val="none"/>
        </w:rPr>
        <w:sectPr>
          <w:headerReference r:id="rId10" w:type="default"/>
          <w:footerReference r:id="rId11" w:type="default"/>
          <w:pgSz w:w="11906" w:h="16838"/>
          <w:pgMar w:top="1440" w:right="1800" w:bottom="1440" w:left="1800" w:header="851" w:footer="992" w:gutter="0"/>
          <w:cols w:space="1701" w:num="1"/>
          <w:docGrid w:linePitch="360" w:charSpace="0"/>
        </w:sectPr>
      </w:pPr>
    </w:p>
    <w:p w14:paraId="64C67E45">
      <w:pPr>
        <w:pBdr>
          <w:top w:val="none" w:color="000000" w:sz="0" w:space="0"/>
          <w:left w:val="none" w:color="000000" w:sz="0" w:space="0"/>
          <w:bottom w:val="none" w:color="000000" w:sz="0" w:space="0"/>
          <w:right w:val="none" w:color="000000" w:sz="0" w:space="0"/>
        </w:pBdr>
        <w:spacing w:before="0" w:after="0" w:line="253" w:lineRule="atLeast"/>
        <w:ind w:left="0" w:right="0" w:firstLine="0"/>
        <w:jc w:val="center"/>
        <w:rPr>
          <w:rFonts w:hint="eastAsia" w:ascii="宋体" w:hAnsi="宋体" w:eastAsia="宋体" w:cs="宋体"/>
          <w:sz w:val="24"/>
          <w:szCs w:val="24"/>
          <w:highlight w:val="none"/>
        </w:rPr>
      </w:pPr>
      <w:r>
        <w:rPr>
          <w:rFonts w:hint="eastAsia" w:ascii="宋体" w:hAnsi="宋体" w:eastAsia="宋体" w:cs="宋体"/>
          <w:b/>
          <w:color w:val="000000"/>
          <w:sz w:val="24"/>
          <w:szCs w:val="24"/>
          <w:highlight w:val="none"/>
        </w:rPr>
        <w:t>残疾人福利性单位声明函</w:t>
      </w:r>
    </w:p>
    <w:p w14:paraId="182A5C90">
      <w:pPr>
        <w:pBdr>
          <w:top w:val="none" w:color="000000" w:sz="0" w:space="0"/>
          <w:left w:val="none" w:color="000000" w:sz="0" w:space="0"/>
          <w:bottom w:val="none" w:color="000000" w:sz="0" w:space="0"/>
          <w:right w:val="none" w:color="000000" w:sz="0" w:space="0"/>
        </w:pBdr>
        <w:spacing w:before="0" w:after="0" w:line="253" w:lineRule="atLeast"/>
        <w:ind w:left="0" w:right="0" w:firstLine="624"/>
        <w:jc w:val="both"/>
        <w:rPr>
          <w:rFonts w:hint="eastAsia" w:ascii="宋体" w:hAnsi="宋体" w:eastAsia="宋体" w:cs="宋体"/>
          <w:highlight w:val="none"/>
        </w:rPr>
      </w:pPr>
      <w:r>
        <w:rPr>
          <w:rFonts w:hint="eastAsia" w:ascii="宋体" w:hAnsi="宋体" w:eastAsia="宋体" w:cs="宋体"/>
          <w:color w:val="000000"/>
          <w:spacing w:val="6"/>
          <w:sz w:val="30"/>
          <w:highlight w:val="none"/>
        </w:rPr>
        <w:t> </w:t>
      </w:r>
    </w:p>
    <w:p w14:paraId="24B9BD2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120F793D">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本单位在本次政府采购活动中提供的残疾人福利单位产品报价合计为人民币（大写）圆整（￥：     ）。</w:t>
      </w:r>
    </w:p>
    <w:p w14:paraId="5CDDB326">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05D686C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p w14:paraId="735AC9AB">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（备注：1、供应商如不提供此声明函，价格将不做相应扣除。2、中标供应商为残疾人福利单位的，此声明函将随中标结果同时公告，接受社会监督）</w:t>
      </w:r>
    </w:p>
    <w:p w14:paraId="0C72A6BC">
      <w:pPr>
        <w:pBdr>
          <w:top w:val="none" w:color="000000" w:sz="0" w:space="0"/>
          <w:left w:val="none" w:color="000000" w:sz="0" w:space="0"/>
          <w:bottom w:val="none" w:color="000000" w:sz="0" w:space="0"/>
          <w:right w:val="none" w:color="000000" w:sz="0" w:space="0"/>
        </w:pBdr>
        <w:spacing w:before="0" w:after="0" w:line="360" w:lineRule="auto"/>
        <w:ind w:left="0" w:right="0" w:firstLine="444"/>
        <w:jc w:val="both"/>
        <w:rPr>
          <w:rFonts w:hint="eastAsia" w:ascii="宋体" w:hAnsi="宋体" w:eastAsia="宋体" w:cs="宋体"/>
          <w:sz w:val="21"/>
          <w:szCs w:val="21"/>
          <w:highlight w:val="none"/>
        </w:rPr>
      </w:pPr>
      <w:r>
        <w:rPr>
          <w:rFonts w:hint="eastAsia" w:ascii="宋体" w:hAnsi="宋体" w:eastAsia="宋体" w:cs="宋体"/>
          <w:color w:val="000000"/>
          <w:spacing w:val="6"/>
          <w:sz w:val="21"/>
          <w:szCs w:val="21"/>
          <w:highlight w:val="none"/>
        </w:rPr>
        <w:t> </w:t>
      </w:r>
    </w:p>
    <w:p w14:paraId="3F9D2B84">
      <w:pPr>
        <w:pBdr>
          <w:top w:val="none" w:color="000000" w:sz="0" w:space="0"/>
          <w:left w:val="none" w:color="000000" w:sz="0" w:space="0"/>
          <w:bottom w:val="none" w:color="000000" w:sz="0" w:space="0"/>
          <w:right w:val="none" w:color="000000" w:sz="0" w:space="0"/>
        </w:pBdr>
        <w:spacing w:before="0" w:after="0" w:line="360" w:lineRule="auto"/>
        <w:ind w:left="0" w:right="0" w:firstLine="42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供应商全称（盖章）：</w:t>
      </w:r>
    </w:p>
    <w:p w14:paraId="5C1392EA">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lang w:val="en-US" w:eastAsia="zh-CN"/>
        </w:rPr>
        <w:sectPr>
          <w:pgSz w:w="11906" w:h="16838"/>
          <w:pgMar w:top="1440" w:right="1800" w:bottom="1440" w:left="1800" w:header="851" w:footer="992" w:gutter="0"/>
          <w:cols w:space="1701" w:num="1"/>
          <w:docGrid w:linePitch="360" w:charSpace="0"/>
        </w:sectPr>
      </w:pPr>
      <w:r>
        <w:rPr>
          <w:rFonts w:hint="eastAsia" w:ascii="宋体" w:hAnsi="宋体" w:eastAsia="宋体" w:cs="宋体"/>
          <w:color w:val="000000"/>
          <w:sz w:val="21"/>
          <w:szCs w:val="21"/>
          <w:highlight w:val="none"/>
        </w:rPr>
        <w:t>                      日  期：</w:t>
      </w:r>
    </w:p>
    <w:p w14:paraId="5F32FA62">
      <w:pPr>
        <w:pStyle w:val="40"/>
        <w:ind w:firstLine="422"/>
        <w:jc w:val="center"/>
        <w:rPr>
          <w:rFonts w:ascii="宋体" w:hAnsi="宋体"/>
          <w:b/>
          <w:color w:val="auto"/>
          <w:sz w:val="24"/>
          <w:szCs w:val="24"/>
          <w:highlight w:val="none"/>
        </w:rPr>
      </w:pPr>
      <w:r>
        <w:rPr>
          <w:rFonts w:hint="eastAsia" w:ascii="宋体" w:hAnsi="宋体"/>
          <w:b/>
          <w:color w:val="auto"/>
          <w:sz w:val="24"/>
          <w:szCs w:val="24"/>
          <w:highlight w:val="none"/>
        </w:rPr>
        <w:t>项目经理无在建项目的承诺书</w:t>
      </w:r>
    </w:p>
    <w:p w14:paraId="6FC89F94">
      <w:pPr>
        <w:pStyle w:val="23"/>
        <w:spacing w:line="700" w:lineRule="exact"/>
        <w:rPr>
          <w:rFonts w:hAnsi="宋体"/>
          <w:color w:val="auto"/>
          <w:sz w:val="21"/>
          <w:szCs w:val="21"/>
          <w:highlight w:val="none"/>
        </w:rPr>
      </w:pPr>
      <w:r>
        <w:rPr>
          <w:rFonts w:hint="eastAsia" w:hAnsi="宋体"/>
          <w:color w:val="auto"/>
          <w:sz w:val="21"/>
          <w:szCs w:val="21"/>
          <w:highlight w:val="none"/>
          <w:u w:val="single"/>
        </w:rPr>
        <w:t xml:space="preserve">                   </w:t>
      </w:r>
      <w:r>
        <w:rPr>
          <w:rFonts w:hint="eastAsia" w:hAnsi="宋体"/>
          <w:color w:val="auto"/>
          <w:sz w:val="21"/>
          <w:szCs w:val="21"/>
          <w:highlight w:val="none"/>
        </w:rPr>
        <w:t>（代理机构）：</w:t>
      </w:r>
    </w:p>
    <w:p w14:paraId="6F50CD30">
      <w:pPr>
        <w:pStyle w:val="23"/>
        <w:spacing w:line="700" w:lineRule="exact"/>
        <w:ind w:firstLine="342"/>
        <w:rPr>
          <w:rFonts w:hAnsi="宋体"/>
          <w:color w:val="auto"/>
          <w:sz w:val="21"/>
          <w:szCs w:val="21"/>
          <w:highlight w:val="none"/>
        </w:rPr>
      </w:pPr>
      <w:r>
        <w:rPr>
          <w:rFonts w:hint="eastAsia" w:hAnsi="宋体"/>
          <w:color w:val="auto"/>
          <w:sz w:val="21"/>
          <w:szCs w:val="21"/>
          <w:highlight w:val="none"/>
        </w:rPr>
        <w:t xml:space="preserve">我方在此声明，我方拟派往 </w:t>
      </w:r>
      <w:r>
        <w:rPr>
          <w:rFonts w:hint="eastAsia" w:hAnsi="宋体"/>
          <w:color w:val="auto"/>
          <w:sz w:val="21"/>
          <w:szCs w:val="21"/>
          <w:highlight w:val="none"/>
          <w:u w:val="single"/>
        </w:rPr>
        <w:t xml:space="preserve">                  </w:t>
      </w:r>
      <w:r>
        <w:rPr>
          <w:rFonts w:hint="eastAsia" w:hAnsi="宋体"/>
          <w:color w:val="auto"/>
          <w:sz w:val="21"/>
          <w:szCs w:val="21"/>
          <w:highlight w:val="none"/>
        </w:rPr>
        <w:t>（以下简称“本项目”）的项目经理</w:t>
      </w:r>
      <w:r>
        <w:rPr>
          <w:rFonts w:hint="eastAsia" w:hAnsi="宋体"/>
          <w:color w:val="auto"/>
          <w:sz w:val="21"/>
          <w:szCs w:val="21"/>
          <w:highlight w:val="none"/>
          <w:u w:val="single"/>
        </w:rPr>
        <w:t xml:space="preserve">       </w:t>
      </w:r>
      <w:r>
        <w:rPr>
          <w:rFonts w:hint="eastAsia" w:hAnsi="宋体"/>
          <w:color w:val="auto"/>
          <w:sz w:val="21"/>
          <w:szCs w:val="21"/>
          <w:highlight w:val="none"/>
        </w:rPr>
        <w:t>（项目经理姓名）身份证号码：</w:t>
      </w:r>
      <w:r>
        <w:rPr>
          <w:rFonts w:hint="eastAsia" w:hAnsi="宋体"/>
          <w:color w:val="auto"/>
          <w:sz w:val="21"/>
          <w:szCs w:val="21"/>
          <w:highlight w:val="none"/>
          <w:u w:val="single"/>
        </w:rPr>
        <w:t xml:space="preserve">               </w:t>
      </w:r>
      <w:r>
        <w:rPr>
          <w:rFonts w:hint="eastAsia" w:hAnsi="宋体"/>
          <w:color w:val="auto"/>
          <w:sz w:val="21"/>
          <w:szCs w:val="21"/>
          <w:highlight w:val="none"/>
        </w:rPr>
        <w:t>注册证书号码：</w:t>
      </w:r>
      <w:r>
        <w:rPr>
          <w:rFonts w:hint="eastAsia" w:hAnsi="宋体"/>
          <w:color w:val="auto"/>
          <w:sz w:val="21"/>
          <w:szCs w:val="21"/>
          <w:highlight w:val="none"/>
          <w:u w:val="single"/>
        </w:rPr>
        <w:t xml:space="preserve">             </w:t>
      </w:r>
      <w:r>
        <w:rPr>
          <w:rFonts w:hint="eastAsia" w:hAnsi="宋体"/>
          <w:color w:val="auto"/>
          <w:sz w:val="21"/>
          <w:szCs w:val="21"/>
          <w:highlight w:val="none"/>
        </w:rPr>
        <w:t>现阶段没有担任任何在施建项目的项目经理或项目负责人。</w:t>
      </w:r>
    </w:p>
    <w:p w14:paraId="0E10534B">
      <w:pPr>
        <w:pStyle w:val="23"/>
        <w:spacing w:line="700" w:lineRule="exact"/>
        <w:ind w:firstLine="342"/>
        <w:rPr>
          <w:rFonts w:hAnsi="宋体"/>
          <w:color w:val="auto"/>
          <w:sz w:val="21"/>
          <w:szCs w:val="21"/>
          <w:highlight w:val="none"/>
        </w:rPr>
      </w:pPr>
      <w:r>
        <w:rPr>
          <w:rFonts w:hint="eastAsia" w:hAnsi="宋体"/>
          <w:color w:val="auto"/>
          <w:sz w:val="21"/>
          <w:szCs w:val="21"/>
          <w:highlight w:val="none"/>
        </w:rPr>
        <w:t>我方保证上述信息的真实和准确，并愿意承担因我方就此弄虚作假所引起的一切法律后果。</w:t>
      </w:r>
    </w:p>
    <w:p w14:paraId="733FF65A">
      <w:pPr>
        <w:pStyle w:val="23"/>
        <w:spacing w:line="360" w:lineRule="auto"/>
        <w:rPr>
          <w:rFonts w:hAnsi="宋体"/>
          <w:color w:val="auto"/>
          <w:sz w:val="21"/>
          <w:szCs w:val="21"/>
          <w:highlight w:val="none"/>
        </w:rPr>
      </w:pPr>
    </w:p>
    <w:p w14:paraId="685EEFD5">
      <w:pPr>
        <w:pStyle w:val="23"/>
        <w:spacing w:line="360" w:lineRule="auto"/>
        <w:ind w:firstLine="342"/>
        <w:rPr>
          <w:rFonts w:hAnsi="宋体"/>
          <w:color w:val="auto"/>
          <w:sz w:val="21"/>
          <w:szCs w:val="21"/>
          <w:highlight w:val="none"/>
        </w:rPr>
      </w:pPr>
      <w:r>
        <w:rPr>
          <w:rFonts w:hint="eastAsia" w:hAnsi="宋体"/>
          <w:color w:val="auto"/>
          <w:sz w:val="21"/>
          <w:szCs w:val="21"/>
          <w:highlight w:val="none"/>
        </w:rPr>
        <w:t xml:space="preserve">特此承诺。  </w:t>
      </w:r>
    </w:p>
    <w:p w14:paraId="1B85CDAA">
      <w:pPr>
        <w:pStyle w:val="23"/>
        <w:spacing w:line="360" w:lineRule="auto"/>
        <w:rPr>
          <w:rFonts w:hAnsi="宋体"/>
          <w:color w:val="auto"/>
          <w:sz w:val="21"/>
          <w:szCs w:val="21"/>
          <w:highlight w:val="none"/>
        </w:rPr>
      </w:pPr>
    </w:p>
    <w:p w14:paraId="46C61B17">
      <w:pPr>
        <w:pStyle w:val="23"/>
        <w:spacing w:line="360" w:lineRule="auto"/>
        <w:rPr>
          <w:rFonts w:hAnsi="宋体"/>
          <w:color w:val="auto"/>
          <w:sz w:val="21"/>
          <w:szCs w:val="21"/>
          <w:highlight w:val="none"/>
        </w:rPr>
      </w:pPr>
    </w:p>
    <w:p w14:paraId="59DF5248">
      <w:pPr>
        <w:pStyle w:val="23"/>
        <w:spacing w:line="360" w:lineRule="auto"/>
        <w:ind w:firstLine="342"/>
        <w:rPr>
          <w:rFonts w:hAnsi="宋体"/>
          <w:color w:val="auto"/>
          <w:sz w:val="21"/>
          <w:szCs w:val="21"/>
          <w:highlight w:val="none"/>
        </w:rPr>
      </w:pPr>
    </w:p>
    <w:p w14:paraId="3CC90261">
      <w:pPr>
        <w:pStyle w:val="23"/>
        <w:spacing w:line="360" w:lineRule="auto"/>
        <w:ind w:firstLine="342"/>
        <w:jc w:val="right"/>
        <w:rPr>
          <w:rFonts w:hAnsi="宋体"/>
          <w:color w:val="auto"/>
          <w:sz w:val="21"/>
          <w:szCs w:val="21"/>
          <w:highlight w:val="none"/>
        </w:rPr>
      </w:pPr>
      <w:r>
        <w:rPr>
          <w:rFonts w:hint="eastAsia" w:hAnsi="宋体"/>
          <w:color w:val="auto"/>
          <w:sz w:val="21"/>
          <w:szCs w:val="21"/>
          <w:highlight w:val="none"/>
        </w:rPr>
        <w:t>供应商：              （盖单位章）</w:t>
      </w:r>
    </w:p>
    <w:p w14:paraId="744BC5DA">
      <w:pPr>
        <w:pStyle w:val="23"/>
        <w:spacing w:line="360" w:lineRule="auto"/>
        <w:ind w:firstLine="342"/>
        <w:jc w:val="center"/>
        <w:rPr>
          <w:rFonts w:hAnsi="宋体"/>
          <w:color w:val="auto"/>
          <w:sz w:val="21"/>
          <w:szCs w:val="21"/>
          <w:highlight w:val="none"/>
        </w:rPr>
      </w:pPr>
      <w:r>
        <w:rPr>
          <w:rFonts w:hint="eastAsia" w:hAnsi="宋体"/>
          <w:color w:val="auto"/>
          <w:sz w:val="21"/>
          <w:szCs w:val="21"/>
          <w:highlight w:val="none"/>
        </w:rPr>
        <w:t xml:space="preserve">                           法定代表人或其委托代理人：             （签字）</w:t>
      </w:r>
    </w:p>
    <w:p w14:paraId="079F2BB4">
      <w:pPr>
        <w:numPr>
          <w:ilvl w:val="0"/>
          <w:numId w:val="0"/>
        </w:num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1"/>
          <w:szCs w:val="21"/>
          <w:highlight w:val="none"/>
          <w:lang w:val="en-US" w:eastAsia="zh-CN" w:bidi="ar-SA"/>
        </w:rPr>
        <w:sectPr>
          <w:pgSz w:w="11906" w:h="16838"/>
          <w:pgMar w:top="1440" w:right="1800" w:bottom="1440" w:left="1800" w:header="851" w:footer="992" w:gutter="0"/>
          <w:cols w:space="1701" w:num="1"/>
          <w:docGrid w:linePitch="360" w:charSpace="0"/>
        </w:sectPr>
      </w:pPr>
      <w:r>
        <w:rPr>
          <w:rFonts w:hint="eastAsia" w:hAnsi="宋体"/>
          <w:color w:val="auto"/>
          <w:sz w:val="21"/>
          <w:szCs w:val="21"/>
          <w:highlight w:val="none"/>
        </w:rPr>
        <w:t>              年      月      日</w:t>
      </w:r>
    </w:p>
    <w:p w14:paraId="79926A3A">
      <w:pPr>
        <w:numPr>
          <w:ilvl w:val="0"/>
          <w:numId w:val="0"/>
        </w:num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bidi="ar-SA"/>
        </w:rPr>
        <w:t>二、</w:t>
      </w:r>
      <w:r>
        <w:rPr>
          <w:rFonts w:hint="eastAsia" w:ascii="宋体" w:hAnsi="宋体" w:eastAsia="宋体" w:cs="宋体"/>
          <w:b/>
          <w:color w:val="000000"/>
          <w:sz w:val="28"/>
          <w:szCs w:val="28"/>
          <w:highlight w:val="none"/>
        </w:rPr>
        <w:t>符合性审查响应对照表</w:t>
      </w:r>
    </w:p>
    <w:p w14:paraId="59D438CB">
      <w:pPr>
        <w:pStyle w:val="49"/>
        <w:numPr>
          <w:ilvl w:val="0"/>
          <w:numId w:val="0"/>
        </w:numPr>
        <w:rPr>
          <w:rFonts w:hint="eastAsia"/>
          <w:highlight w:val="none"/>
        </w:rPr>
      </w:pPr>
    </w:p>
    <w:tbl>
      <w:tblPr>
        <w:tblStyle w:val="4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31"/>
        <w:gridCol w:w="4636"/>
        <w:gridCol w:w="1945"/>
        <w:gridCol w:w="1310"/>
      </w:tblGrid>
      <w:tr w14:paraId="0366DF7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82" w:hRule="atLeast"/>
        </w:trPr>
        <w:tc>
          <w:tcPr>
            <w:tcW w:w="646"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2197FA5">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序号</w:t>
            </w:r>
          </w:p>
        </w:tc>
        <w:tc>
          <w:tcPr>
            <w:tcW w:w="4792"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4667E3E8">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符合性审查响应内容</w:t>
            </w:r>
          </w:p>
        </w:tc>
        <w:tc>
          <w:tcPr>
            <w:tcW w:w="200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7FD22D63">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是否响应</w:t>
            </w:r>
          </w:p>
          <w:p w14:paraId="592A43F6">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（填是或者否）</w:t>
            </w:r>
          </w:p>
        </w:tc>
        <w:tc>
          <w:tcPr>
            <w:tcW w:w="1348"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23BC07A7">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b/>
                <w:color w:val="000000"/>
                <w:sz w:val="21"/>
                <w:szCs w:val="21"/>
                <w:highlight w:val="none"/>
              </w:rPr>
              <w:t>响应情况</w:t>
            </w:r>
          </w:p>
        </w:tc>
      </w:tr>
      <w:tr w14:paraId="783132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64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EA4DDBD">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1</w:t>
            </w:r>
          </w:p>
        </w:tc>
        <w:tc>
          <w:tcPr>
            <w:tcW w:w="4792"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F02D564">
            <w:pPr>
              <w:pBdr>
                <w:top w:val="none" w:color="000000" w:sz="0" w:space="0"/>
                <w:left w:val="none" w:color="000000" w:sz="0" w:space="0"/>
                <w:bottom w:val="none" w:color="000000" w:sz="0" w:space="0"/>
                <w:right w:val="none" w:color="000000" w:sz="0" w:space="0"/>
              </w:pBdr>
              <w:spacing w:before="220" w:after="0" w:line="360" w:lineRule="auto"/>
              <w:ind w:left="0" w:right="0" w:firstLine="0"/>
              <w:jc w:val="both"/>
              <w:rPr>
                <w:rFonts w:hint="eastAsia" w:ascii="宋体" w:hAnsi="宋体" w:eastAsia="宋体" w:cs="宋体"/>
                <w:b w:val="0"/>
                <w:bCs/>
                <w:sz w:val="21"/>
                <w:szCs w:val="21"/>
                <w:highlight w:val="none"/>
              </w:rPr>
            </w:pPr>
            <w:r>
              <w:rPr>
                <w:rFonts w:hint="eastAsia" w:ascii="宋体" w:hAnsi="宋体" w:eastAsia="宋体" w:cs="宋体"/>
                <w:b w:val="0"/>
                <w:bCs/>
                <w:color w:val="000000"/>
                <w:sz w:val="21"/>
                <w:szCs w:val="21"/>
                <w:highlight w:val="none"/>
              </w:rPr>
              <w:t>采购需求中必须满足的实质性要求</w:t>
            </w:r>
            <w:r>
              <w:rPr>
                <w:rFonts w:hint="eastAsia" w:ascii="宋体" w:hAnsi="宋体" w:eastAsia="宋体" w:cs="宋体"/>
                <w:b w:val="0"/>
                <w:bCs/>
                <w:color w:val="auto"/>
                <w:sz w:val="21"/>
                <w:szCs w:val="21"/>
                <w:highlight w:val="none"/>
              </w:rPr>
              <w:t>（即加斜体下划线内容，每条详细列出）</w:t>
            </w:r>
          </w:p>
        </w:tc>
        <w:tc>
          <w:tcPr>
            <w:tcW w:w="200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493B856">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p>
        </w:tc>
        <w:tc>
          <w:tcPr>
            <w:tcW w:w="134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E0ECAC2">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p>
        </w:tc>
      </w:tr>
      <w:tr w14:paraId="7950697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64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E74CBA4">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p>
        </w:tc>
        <w:tc>
          <w:tcPr>
            <w:tcW w:w="479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C15CC4E">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00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F5502E2">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4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2ACECBB">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2CF075A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85" w:hRule="atLeast"/>
        </w:trPr>
        <w:tc>
          <w:tcPr>
            <w:tcW w:w="64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02E3602">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p>
        </w:tc>
        <w:tc>
          <w:tcPr>
            <w:tcW w:w="479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FDD9C7C">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00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D21887A">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4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E4BFD52">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5D1B36F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7" w:hRule="atLeast"/>
        </w:trPr>
        <w:tc>
          <w:tcPr>
            <w:tcW w:w="64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4705A45">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w:t>
            </w:r>
          </w:p>
        </w:tc>
        <w:tc>
          <w:tcPr>
            <w:tcW w:w="479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0750A26">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00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D5073B5">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4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7E8A92B">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4EE02F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80" w:hRule="atLeast"/>
        </w:trPr>
        <w:tc>
          <w:tcPr>
            <w:tcW w:w="64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A9FA3D0">
            <w:pPr>
              <w:pBdr>
                <w:top w:val="none" w:color="000000" w:sz="0" w:space="0"/>
                <w:left w:val="none" w:color="000000" w:sz="0" w:space="0"/>
                <w:bottom w:val="none" w:color="000000" w:sz="0" w:space="0"/>
                <w:right w:val="none" w:color="000000" w:sz="0" w:space="0"/>
              </w:pBdr>
              <w:spacing w:before="220" w:after="0" w:line="24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479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E8CC22D">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w:t>
            </w:r>
          </w:p>
        </w:tc>
        <w:tc>
          <w:tcPr>
            <w:tcW w:w="200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D8B0A95">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4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51410F0">
            <w:pPr>
              <w:pBdr>
                <w:top w:val="none" w:color="000000" w:sz="0" w:space="0"/>
                <w:left w:val="none" w:color="000000" w:sz="0" w:space="0"/>
                <w:bottom w:val="none" w:color="000000" w:sz="0" w:space="0"/>
                <w:right w:val="none" w:color="000000" w:sz="0" w:space="0"/>
              </w:pBdr>
              <w:spacing w:before="220" w:after="0" w:line="240" w:lineRule="auto"/>
              <w:ind w:left="0" w:right="0" w:firstLine="0"/>
              <w:jc w:val="both"/>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bl>
    <w:p w14:paraId="75B78EA1">
      <w:pPr>
        <w:pBdr>
          <w:top w:val="none" w:color="000000" w:sz="0" w:space="0"/>
          <w:left w:val="none" w:color="000000" w:sz="0" w:space="0"/>
          <w:bottom w:val="none" w:color="000000" w:sz="0" w:space="0"/>
          <w:right w:val="none" w:color="000000" w:sz="0" w:space="0"/>
        </w:pBdr>
        <w:spacing w:before="220" w:after="0" w:line="250"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32"/>
          <w:highlight w:val="none"/>
        </w:rPr>
        <w:t> </w:t>
      </w:r>
    </w:p>
    <w:p w14:paraId="708E0BB8">
      <w:pPr>
        <w:pBdr>
          <w:top w:val="none" w:color="000000" w:sz="0" w:space="0"/>
          <w:left w:val="none" w:color="000000" w:sz="0" w:space="0"/>
          <w:bottom w:val="none" w:color="000000" w:sz="0" w:space="0"/>
          <w:right w:val="none" w:color="000000" w:sz="0" w:space="0"/>
        </w:pBdr>
        <w:spacing w:before="220" w:after="0" w:line="250"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32"/>
          <w:highlight w:val="none"/>
        </w:rPr>
        <w:t> </w:t>
      </w:r>
    </w:p>
    <w:p w14:paraId="58A69187">
      <w:pPr>
        <w:pBdr>
          <w:top w:val="none" w:color="000000" w:sz="0" w:space="0"/>
          <w:left w:val="none" w:color="000000" w:sz="0" w:space="0"/>
          <w:bottom w:val="none" w:color="000000" w:sz="0" w:space="0"/>
          <w:right w:val="none" w:color="000000" w:sz="0" w:space="0"/>
        </w:pBdr>
        <w:spacing w:before="220" w:after="0" w:line="250"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32"/>
          <w:highlight w:val="none"/>
        </w:rPr>
        <w:t> </w:t>
      </w:r>
    </w:p>
    <w:p w14:paraId="388328EF">
      <w:pPr>
        <w:pBdr>
          <w:top w:val="none" w:color="000000" w:sz="0" w:space="0"/>
          <w:left w:val="none" w:color="000000" w:sz="0" w:space="0"/>
          <w:bottom w:val="none" w:color="000000" w:sz="0" w:space="0"/>
          <w:right w:val="none" w:color="000000" w:sz="0" w:space="0"/>
        </w:pBdr>
        <w:spacing w:before="220" w:after="0" w:line="250"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32"/>
          <w:highlight w:val="none"/>
        </w:rPr>
        <w:t> </w:t>
      </w:r>
    </w:p>
    <w:p w14:paraId="74025D88">
      <w:pPr>
        <w:pBdr>
          <w:top w:val="none" w:color="000000" w:sz="0" w:space="0"/>
          <w:left w:val="none" w:color="000000" w:sz="0" w:space="0"/>
          <w:bottom w:val="none" w:color="000000" w:sz="0" w:space="0"/>
          <w:right w:val="none" w:color="000000" w:sz="0" w:space="0"/>
        </w:pBdr>
        <w:spacing w:before="220" w:after="0" w:line="250"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32"/>
          <w:highlight w:val="none"/>
        </w:rPr>
        <w:t> </w:t>
      </w:r>
    </w:p>
    <w:p w14:paraId="072429C9">
      <w:pPr>
        <w:pBdr>
          <w:top w:val="none" w:color="000000" w:sz="0" w:space="0"/>
          <w:left w:val="none" w:color="000000" w:sz="0" w:space="0"/>
          <w:bottom w:val="none" w:color="000000" w:sz="0" w:space="0"/>
          <w:right w:val="none" w:color="000000" w:sz="0" w:space="0"/>
        </w:pBdr>
        <w:spacing w:before="220" w:after="0" w:line="250"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32"/>
          <w:highlight w:val="none"/>
        </w:rPr>
        <w:t> </w:t>
      </w:r>
    </w:p>
    <w:p w14:paraId="0549FE02">
      <w:pPr>
        <w:pBdr>
          <w:top w:val="none" w:color="000000" w:sz="0" w:space="0"/>
          <w:left w:val="none" w:color="000000" w:sz="0" w:space="0"/>
          <w:bottom w:val="none" w:color="000000" w:sz="0" w:space="0"/>
          <w:right w:val="none" w:color="000000" w:sz="0" w:space="0"/>
        </w:pBdr>
        <w:spacing w:before="220" w:after="200" w:line="250" w:lineRule="atLeast"/>
        <w:ind w:left="0" w:right="0" w:firstLine="0"/>
        <w:rPr>
          <w:rFonts w:hint="eastAsia" w:ascii="宋体" w:hAnsi="宋体" w:eastAsia="宋体" w:cs="宋体"/>
          <w:highlight w:val="none"/>
        </w:rPr>
      </w:pPr>
      <w:r>
        <w:rPr>
          <w:rFonts w:hint="eastAsia" w:ascii="宋体" w:hAnsi="宋体" w:eastAsia="宋体" w:cs="宋体"/>
          <w:highlight w:val="none"/>
        </w:rPr>
        <w:br w:type="page" w:clear="all"/>
      </w:r>
    </w:p>
    <w:p w14:paraId="07E624D0">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三</w:t>
      </w:r>
      <w:r>
        <w:rPr>
          <w:rFonts w:hint="eastAsia" w:ascii="宋体" w:hAnsi="宋体" w:eastAsia="宋体" w:cs="宋体"/>
          <w:b/>
          <w:color w:val="000000"/>
          <w:sz w:val="28"/>
          <w:szCs w:val="28"/>
          <w:highlight w:val="none"/>
        </w:rPr>
        <w:t>、磋商响应报价表</w:t>
      </w:r>
    </w:p>
    <w:p w14:paraId="361EAC86">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3D68C4DC">
      <w:pPr>
        <w:pBdr>
          <w:top w:val="none" w:color="000000" w:sz="0" w:space="0"/>
          <w:left w:val="none" w:color="000000" w:sz="0" w:space="0"/>
          <w:bottom w:val="none" w:color="000000" w:sz="0" w:space="0"/>
          <w:right w:val="none" w:color="000000" w:sz="0" w:space="0"/>
        </w:pBdr>
        <w:spacing w:before="220" w:after="0" w:line="253" w:lineRule="atLeast"/>
        <w:ind w:left="0" w:right="0" w:firstLine="0"/>
        <w:rPr>
          <w:rFonts w:hint="eastAsia" w:ascii="宋体" w:hAnsi="宋体" w:eastAsia="宋体" w:cs="宋体"/>
          <w:highlight w:val="none"/>
        </w:rPr>
      </w:pPr>
      <w:r>
        <w:rPr>
          <w:rFonts w:hint="eastAsia" w:ascii="宋体" w:hAnsi="宋体" w:eastAsia="宋体" w:cs="宋体"/>
          <w:color w:val="000000"/>
          <w:sz w:val="21"/>
          <w:highlight w:val="none"/>
        </w:rPr>
        <w:t>项目名称：</w:t>
      </w:r>
    </w:p>
    <w:p w14:paraId="3B19578A">
      <w:pPr>
        <w:pBdr>
          <w:top w:val="none" w:color="000000" w:sz="0" w:space="0"/>
          <w:left w:val="none" w:color="000000" w:sz="0" w:space="0"/>
          <w:bottom w:val="none" w:color="000000" w:sz="0" w:space="0"/>
          <w:right w:val="none" w:color="000000" w:sz="0" w:space="0"/>
        </w:pBdr>
        <w:spacing w:before="220" w:after="0" w:line="250" w:lineRule="atLeast"/>
        <w:ind w:left="0" w:right="0" w:firstLine="0"/>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rPr>
        <w:t>项目编号：</w:t>
      </w:r>
    </w:p>
    <w:tbl>
      <w:tblPr>
        <w:tblStyle w:val="43"/>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6596"/>
      </w:tblGrid>
      <w:tr w14:paraId="3742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0969A85E">
            <w:pPr>
              <w:pStyle w:val="16"/>
              <w:keepNext w:val="0"/>
              <w:keepLines w:val="0"/>
              <w:pageBreakBefore w:val="0"/>
              <w:widowControl w:val="0"/>
              <w:spacing w:line="30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服务名称</w:t>
            </w:r>
          </w:p>
        </w:tc>
        <w:tc>
          <w:tcPr>
            <w:tcW w:w="6596" w:type="dxa"/>
            <w:tcBorders>
              <w:top w:val="single" w:color="auto" w:sz="4" w:space="0"/>
              <w:left w:val="single" w:color="auto" w:sz="4" w:space="0"/>
              <w:bottom w:val="single" w:color="auto" w:sz="4" w:space="0"/>
              <w:right w:val="single" w:color="auto" w:sz="4" w:space="0"/>
            </w:tcBorders>
            <w:noWrap w:val="0"/>
            <w:vAlign w:val="center"/>
          </w:tcPr>
          <w:p w14:paraId="47877C19">
            <w:pPr>
              <w:jc w:val="center"/>
              <w:rPr>
                <w:rFonts w:hint="eastAsia" w:ascii="宋体" w:hAnsi="宋体" w:eastAsia="宋体" w:cs="宋体"/>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投标报价</w:t>
            </w:r>
          </w:p>
        </w:tc>
      </w:tr>
      <w:tr w14:paraId="0696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0071B9EE">
            <w:pPr>
              <w:pStyle w:val="16"/>
              <w:spacing w:line="300" w:lineRule="auto"/>
              <w:rPr>
                <w:rFonts w:hint="eastAsia" w:ascii="宋体" w:hAnsi="宋体" w:eastAsia="宋体" w:cs="宋体"/>
                <w:sz w:val="21"/>
                <w:szCs w:val="21"/>
                <w:highlight w:val="none"/>
              </w:rPr>
            </w:pPr>
          </w:p>
        </w:tc>
        <w:tc>
          <w:tcPr>
            <w:tcW w:w="6596" w:type="dxa"/>
            <w:tcBorders>
              <w:top w:val="single" w:color="auto" w:sz="4" w:space="0"/>
              <w:left w:val="single" w:color="auto" w:sz="4" w:space="0"/>
              <w:bottom w:val="single" w:color="auto" w:sz="4" w:space="0"/>
              <w:right w:val="single" w:color="auto" w:sz="4" w:space="0"/>
            </w:tcBorders>
            <w:noWrap w:val="0"/>
            <w:vAlign w:val="center"/>
          </w:tcPr>
          <w:p w14:paraId="323730A0">
            <w:pPr>
              <w:pStyle w:val="289"/>
              <w:spacing w:before="156" w:after="0"/>
              <w:ind w:firstLine="0"/>
              <w:rPr>
                <w:rFonts w:hint="eastAsia" w:ascii="宋体" w:hAnsi="宋体" w:eastAsia="宋体" w:cs="宋体"/>
                <w:color w:val="auto"/>
                <w:sz w:val="21"/>
                <w:szCs w:val="21"/>
                <w:highlight w:val="none"/>
              </w:rPr>
            </w:pPr>
          </w:p>
          <w:p w14:paraId="4AB43F79">
            <w:pPr>
              <w:pStyle w:val="289"/>
              <w:spacing w:before="156"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14:paraId="1B572555">
            <w:pPr>
              <w:pStyle w:val="289"/>
              <w:spacing w:before="156" w:after="0"/>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                             （人民币：元）</w:t>
            </w:r>
          </w:p>
          <w:p w14:paraId="7A78F5F6">
            <w:pPr>
              <w:pStyle w:val="289"/>
              <w:spacing w:before="0" w:after="0" w:line="500" w:lineRule="exact"/>
              <w:ind w:firstLine="4200"/>
              <w:rPr>
                <w:rFonts w:hint="eastAsia" w:ascii="宋体" w:hAnsi="宋体" w:eastAsia="宋体" w:cs="宋体"/>
                <w:sz w:val="21"/>
                <w:szCs w:val="21"/>
                <w:highlight w:val="none"/>
                <w:lang w:eastAsia="zh-CN"/>
              </w:rPr>
            </w:pPr>
          </w:p>
        </w:tc>
      </w:tr>
      <w:tr w14:paraId="473B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30D7B0F6">
            <w:pPr>
              <w:pStyle w:val="16"/>
              <w:spacing w:line="30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6596" w:type="dxa"/>
            <w:tcBorders>
              <w:top w:val="single" w:color="auto" w:sz="4" w:space="0"/>
              <w:left w:val="single" w:color="auto" w:sz="4" w:space="0"/>
              <w:bottom w:val="single" w:color="auto" w:sz="4" w:space="0"/>
              <w:right w:val="single" w:color="auto" w:sz="4" w:space="0"/>
            </w:tcBorders>
            <w:noWrap w:val="0"/>
            <w:vAlign w:val="center"/>
          </w:tcPr>
          <w:p w14:paraId="38EA18C9">
            <w:pPr>
              <w:pStyle w:val="16"/>
              <w:spacing w:line="300" w:lineRule="auto"/>
              <w:ind w:firstLine="1365"/>
              <w:rPr>
                <w:rFonts w:hint="eastAsia" w:ascii="宋体" w:hAnsi="宋体" w:eastAsia="宋体" w:cs="宋体"/>
                <w:sz w:val="21"/>
                <w:szCs w:val="21"/>
                <w:highlight w:val="none"/>
              </w:rPr>
            </w:pPr>
          </w:p>
        </w:tc>
      </w:tr>
    </w:tbl>
    <w:p w14:paraId="685529ED">
      <w:pPr>
        <w:pBdr>
          <w:top w:val="none" w:color="000000" w:sz="0" w:space="0"/>
          <w:left w:val="none" w:color="000000" w:sz="0" w:space="0"/>
          <w:bottom w:val="none" w:color="000000" w:sz="0" w:space="0"/>
          <w:right w:val="none" w:color="000000" w:sz="0" w:space="0"/>
        </w:pBdr>
        <w:spacing w:before="220" w:after="0" w:line="250" w:lineRule="atLeast"/>
        <w:ind w:left="0" w:right="0" w:firstLine="0"/>
        <w:rPr>
          <w:rFonts w:hint="eastAsia" w:ascii="宋体" w:hAnsi="宋体" w:eastAsia="宋体" w:cs="宋体"/>
          <w:highlight w:val="none"/>
        </w:rPr>
      </w:pPr>
      <w:r>
        <w:rPr>
          <w:rFonts w:hint="eastAsia" w:ascii="宋体" w:hAnsi="宋体" w:eastAsia="宋体" w:cs="宋体"/>
          <w:color w:val="000000"/>
          <w:sz w:val="22"/>
          <w:highlight w:val="none"/>
        </w:rPr>
        <w:t>          </w:t>
      </w:r>
    </w:p>
    <w:p w14:paraId="005A3B3A">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磋商供应商全称（盖章）：</w:t>
      </w:r>
    </w:p>
    <w:p w14:paraId="19B0F081">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11F40F7E">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日</w:t>
      </w:r>
      <w:r>
        <w:rPr>
          <w:rFonts w:hint="eastAsia" w:ascii="宋体" w:hAnsi="宋体" w:eastAsia="宋体" w:cs="宋体"/>
          <w:color w:val="000000"/>
          <w:sz w:val="22"/>
          <w:highlight w:val="none"/>
          <w:lang w:val="en-US" w:eastAsia="zh-CN"/>
        </w:rPr>
        <w:t xml:space="preserve">   </w:t>
      </w:r>
      <w:r>
        <w:rPr>
          <w:rFonts w:hint="eastAsia" w:ascii="宋体" w:hAnsi="宋体" w:eastAsia="宋体" w:cs="宋体"/>
          <w:color w:val="000000"/>
          <w:sz w:val="22"/>
          <w:highlight w:val="none"/>
        </w:rPr>
        <w:t>期：    年   月   日</w:t>
      </w:r>
    </w:p>
    <w:p w14:paraId="695E5222">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74F3DC85">
      <w:pPr>
        <w:pBdr>
          <w:top w:val="none" w:color="000000" w:sz="0" w:space="0"/>
          <w:left w:val="none" w:color="000000" w:sz="0" w:space="0"/>
          <w:bottom w:val="none" w:color="000000" w:sz="0" w:space="0"/>
          <w:right w:val="none" w:color="000000" w:sz="0" w:space="0"/>
        </w:pBdr>
        <w:spacing w:before="220" w:after="0" w:line="253" w:lineRule="atLeast"/>
        <w:ind w:left="0" w:right="0" w:firstLine="0"/>
        <w:rPr>
          <w:rFonts w:hint="eastAsia" w:ascii="宋体" w:hAnsi="宋体" w:eastAsia="宋体" w:cs="宋体"/>
          <w:highlight w:val="none"/>
        </w:rPr>
      </w:pPr>
      <w:r>
        <w:rPr>
          <w:rFonts w:hint="eastAsia" w:ascii="宋体" w:hAnsi="宋体" w:eastAsia="宋体" w:cs="宋体"/>
          <w:b/>
          <w:color w:val="000000"/>
          <w:sz w:val="22"/>
          <w:highlight w:val="none"/>
        </w:rPr>
        <w:t>备注：</w:t>
      </w:r>
    </w:p>
    <w:p w14:paraId="6FCCB2F5">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1、磋商响应报价表必须加盖供应商公章。</w:t>
      </w:r>
    </w:p>
    <w:p w14:paraId="578FA040">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color w:val="000000"/>
          <w:sz w:val="22"/>
          <w:highlight w:val="none"/>
        </w:rPr>
      </w:pPr>
      <w:r>
        <w:rPr>
          <w:rFonts w:hint="eastAsia" w:ascii="宋体" w:hAnsi="宋体" w:eastAsia="宋体" w:cs="宋体"/>
          <w:color w:val="000000"/>
          <w:sz w:val="22"/>
          <w:highlight w:val="none"/>
        </w:rPr>
        <w:t>2、此表可以根据需要自行增减行数，且</w:t>
      </w:r>
      <w:r>
        <w:rPr>
          <w:rFonts w:hint="eastAsia" w:ascii="宋体" w:hAnsi="宋体" w:eastAsia="宋体" w:cs="宋体"/>
          <w:b/>
          <w:color w:val="000000"/>
          <w:sz w:val="22"/>
          <w:highlight w:val="none"/>
        </w:rPr>
        <w:t>该表报价非本次磋商中的最后报价</w:t>
      </w:r>
      <w:r>
        <w:rPr>
          <w:rFonts w:hint="eastAsia" w:ascii="宋体" w:hAnsi="宋体" w:eastAsia="宋体" w:cs="宋体"/>
          <w:color w:val="000000"/>
          <w:sz w:val="22"/>
          <w:highlight w:val="none"/>
        </w:rPr>
        <w:t>。</w:t>
      </w:r>
    </w:p>
    <w:p w14:paraId="01823505">
      <w:pPr>
        <w:shd w:val="clear" w:color="auto"/>
        <w:rPr>
          <w:rFonts w:hint="eastAsia" w:ascii="宋体" w:hAnsi="宋体" w:eastAsia="宋体" w:cs="宋体"/>
          <w:sz w:val="21"/>
          <w:szCs w:val="22"/>
          <w:highlight w:val="none"/>
          <w:lang w:val="en-US" w:eastAsia="zh-CN" w:bidi="ar-SA"/>
        </w:rPr>
      </w:pPr>
      <w:r>
        <w:rPr>
          <w:rFonts w:hint="eastAsia" w:ascii="宋体" w:hAnsi="宋体" w:eastAsia="宋体" w:cs="宋体"/>
          <w:b/>
          <w:color w:val="000000"/>
          <w:sz w:val="28"/>
          <w:highlight w:val="none"/>
        </w:rPr>
        <w:br w:type="page" w:clear="all"/>
      </w:r>
    </w:p>
    <w:p w14:paraId="6CDE7416">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val="en-US" w:eastAsia="zh-CN"/>
        </w:rPr>
        <w:t>四</w:t>
      </w:r>
      <w:r>
        <w:rPr>
          <w:rFonts w:hint="eastAsia" w:ascii="宋体" w:hAnsi="宋体" w:eastAsia="宋体" w:cs="宋体"/>
          <w:b/>
          <w:color w:val="000000"/>
          <w:sz w:val="28"/>
          <w:szCs w:val="28"/>
          <w:highlight w:val="none"/>
        </w:rPr>
        <w:t>、分项报价表</w:t>
      </w:r>
    </w:p>
    <w:p w14:paraId="452930AC">
      <w:pPr>
        <w:pBdr>
          <w:top w:val="none" w:color="000000" w:sz="0" w:space="0"/>
          <w:left w:val="none" w:color="000000" w:sz="0" w:space="0"/>
          <w:bottom w:val="none" w:color="000000" w:sz="0" w:space="0"/>
          <w:right w:val="none" w:color="000000" w:sz="0" w:space="0"/>
        </w:pBdr>
        <w:spacing w:before="220" w:after="312"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4"/>
          <w:highlight w:val="none"/>
        </w:rPr>
        <w:t> </w:t>
      </w:r>
    </w:p>
    <w:p w14:paraId="21FB13B5">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 </w:t>
      </w:r>
    </w:p>
    <w:p w14:paraId="05541864">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 </w:t>
      </w:r>
    </w:p>
    <w:p w14:paraId="715D26A3">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 </w:t>
      </w:r>
    </w:p>
    <w:p w14:paraId="13C1FF7D">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 </w:t>
      </w:r>
    </w:p>
    <w:p w14:paraId="761387B0">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 </w:t>
      </w:r>
    </w:p>
    <w:p w14:paraId="698EAB9A">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highlight w:val="none"/>
        </w:rPr>
      </w:pPr>
      <w:r>
        <w:rPr>
          <w:rFonts w:hint="eastAsia" w:ascii="宋体" w:hAnsi="宋体" w:eastAsia="宋体" w:cs="宋体"/>
          <w:b/>
          <w:color w:val="000000"/>
          <w:sz w:val="28"/>
          <w:highlight w:val="none"/>
        </w:rPr>
        <w:t> </w:t>
      </w:r>
    </w:p>
    <w:p w14:paraId="4CD6F386">
      <w:pPr>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lang w:val="en-US" w:eastAsia="zh-CN"/>
        </w:rPr>
        <w:br w:type="page" w:clear="all"/>
      </w:r>
    </w:p>
    <w:p w14:paraId="20206265">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五</w:t>
      </w:r>
      <w:r>
        <w:rPr>
          <w:rFonts w:hint="eastAsia" w:ascii="宋体" w:hAnsi="宋体" w:eastAsia="宋体" w:cs="宋体"/>
          <w:b/>
          <w:color w:val="000000"/>
          <w:sz w:val="28"/>
          <w:szCs w:val="28"/>
          <w:highlight w:val="none"/>
        </w:rPr>
        <w:t>、技术参数响应及偏离表</w:t>
      </w:r>
    </w:p>
    <w:p w14:paraId="55AF2593">
      <w:pPr>
        <w:pBdr>
          <w:top w:val="none" w:color="000000" w:sz="0" w:space="0"/>
          <w:left w:val="none" w:color="000000" w:sz="0" w:space="0"/>
          <w:bottom w:val="none" w:color="000000" w:sz="0" w:space="0"/>
          <w:right w:val="none" w:color="000000" w:sz="0" w:space="0"/>
        </w:pBdr>
        <w:spacing w:before="312" w:after="312"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供应商全称（公章）：</w:t>
      </w:r>
    </w:p>
    <w:p w14:paraId="61E033E0">
      <w:pPr>
        <w:pBdr>
          <w:top w:val="none" w:color="000000" w:sz="0" w:space="0"/>
          <w:left w:val="none" w:color="000000" w:sz="0" w:space="0"/>
          <w:bottom w:val="none" w:color="000000" w:sz="0" w:space="0"/>
          <w:right w:val="none" w:color="000000" w:sz="0" w:space="0"/>
        </w:pBdr>
        <w:spacing w:before="220" w:after="0" w:line="253" w:lineRule="atLeast"/>
        <w:ind w:right="0"/>
        <w:jc w:val="both"/>
        <w:rPr>
          <w:rFonts w:hint="eastAsia" w:ascii="宋体" w:hAnsi="宋体" w:eastAsia="宋体" w:cs="宋体"/>
          <w:highlight w:val="none"/>
        </w:rPr>
      </w:pPr>
      <w:r>
        <w:rPr>
          <w:rFonts w:hint="eastAsia" w:ascii="宋体" w:hAnsi="宋体" w:eastAsia="宋体" w:cs="宋体"/>
          <w:color w:val="000000"/>
          <w:sz w:val="22"/>
          <w:highlight w:val="none"/>
        </w:rPr>
        <w:t>项目编号：</w:t>
      </w:r>
    </w:p>
    <w:tbl>
      <w:tblPr>
        <w:tblStyle w:val="4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932"/>
        <w:gridCol w:w="1654"/>
        <w:gridCol w:w="1767"/>
        <w:gridCol w:w="1440"/>
        <w:gridCol w:w="1403"/>
        <w:gridCol w:w="1326"/>
      </w:tblGrid>
      <w:tr w14:paraId="49D39F1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932"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24FFED5">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序号</w:t>
            </w:r>
          </w:p>
        </w:tc>
        <w:tc>
          <w:tcPr>
            <w:tcW w:w="1654"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1D8A0B2F">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项目</w:t>
            </w:r>
          </w:p>
        </w:tc>
        <w:tc>
          <w:tcPr>
            <w:tcW w:w="1767"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7C6CC869">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磋商要求</w:t>
            </w:r>
          </w:p>
        </w:tc>
        <w:tc>
          <w:tcPr>
            <w:tcW w:w="144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601FBFD1">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磋商响应</w:t>
            </w:r>
          </w:p>
        </w:tc>
        <w:tc>
          <w:tcPr>
            <w:tcW w:w="1403"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31FE935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超出、符合或偏离</w:t>
            </w:r>
          </w:p>
        </w:tc>
        <w:tc>
          <w:tcPr>
            <w:tcW w:w="132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04EA9A2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原因或说明</w:t>
            </w:r>
          </w:p>
        </w:tc>
      </w:tr>
      <w:tr w14:paraId="6B4DBC1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1A6EC05C">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4C7E2101">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5F4AEB5F">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408C975A">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4B07902A">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A6433D1">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013AC82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6A5E0DE0">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25E8FE1">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6124A920">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403B9A4A">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32093076">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6BA9AAE">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61CBABE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25F0610D">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DFDCB10">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5047169">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DE68E85">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5A456DC">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6A579C20">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2B0C701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097C62B9">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3104622B">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A8BCD97">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5FD12A7">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F7F498D">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6B91059">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2F1D68D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6CD9EE2B">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8C3DE77">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0840E58">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57A193B1">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E022D2C">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592E6585">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70BD86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22A5E1BB">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3AFDFE1">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39DF62C4">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1C62419">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55424C6">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33999BC2">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759A2E5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54BD8906">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43DCFA7">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05507B5">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21E0D8B7">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579627B5">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3D35BA71">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27284C4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40" w:hRule="atLeast"/>
        </w:trPr>
        <w:tc>
          <w:tcPr>
            <w:tcW w:w="932"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top"/>
          </w:tcPr>
          <w:p w14:paraId="2EFE68CF">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654"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56B11A24">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767"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C5A4C18">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40"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486E9924">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403"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66C6830">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2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B014459">
            <w:pPr>
              <w:pBdr>
                <w:top w:val="none" w:color="000000" w:sz="0" w:space="0"/>
                <w:left w:val="none" w:color="000000" w:sz="0" w:space="0"/>
                <w:bottom w:val="none" w:color="000000" w:sz="0" w:space="0"/>
                <w:right w:val="none" w:color="000000" w:sz="0" w:space="0"/>
              </w:pBdr>
              <w:spacing w:before="220" w:after="20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bl>
    <w:p w14:paraId="71D0E5A3">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3A0573DE">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6EF0B6BC">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2D34D5D9">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注：1、按照项目需求详细填列。</w:t>
      </w:r>
    </w:p>
    <w:p w14:paraId="4520DE58">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2、行数不够，可自行添加。</w:t>
      </w:r>
    </w:p>
    <w:p w14:paraId="0B7D31F1">
      <w:pPr>
        <w:shd w:val="clear" w:color="auto"/>
        <w:rPr>
          <w:rFonts w:hint="eastAsia" w:ascii="宋体" w:hAnsi="宋体" w:eastAsia="宋体" w:cs="宋体"/>
          <w:highlight w:val="none"/>
        </w:rPr>
      </w:pPr>
      <w:r>
        <w:rPr>
          <w:rFonts w:hint="eastAsia" w:ascii="宋体" w:hAnsi="宋体" w:eastAsia="宋体" w:cs="宋体"/>
          <w:b/>
          <w:color w:val="000000"/>
          <w:sz w:val="28"/>
          <w:highlight w:val="none"/>
        </w:rPr>
        <w:br w:type="page" w:clear="all"/>
      </w:r>
    </w:p>
    <w:p w14:paraId="742FD1E5">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六</w:t>
      </w:r>
      <w:r>
        <w:rPr>
          <w:rFonts w:hint="eastAsia" w:ascii="宋体" w:hAnsi="宋体" w:eastAsia="宋体" w:cs="宋体"/>
          <w:b/>
          <w:color w:val="000000"/>
          <w:sz w:val="28"/>
          <w:szCs w:val="28"/>
          <w:highlight w:val="none"/>
        </w:rPr>
        <w:t>、商务条款响应及偏离表</w:t>
      </w:r>
    </w:p>
    <w:p w14:paraId="1AE90D1C">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146F9DBF">
      <w:pPr>
        <w:pBdr>
          <w:top w:val="none" w:color="000000" w:sz="0" w:space="0"/>
          <w:left w:val="none" w:color="000000" w:sz="0" w:space="0"/>
          <w:bottom w:val="none" w:color="000000" w:sz="0" w:space="0"/>
          <w:right w:val="none" w:color="000000" w:sz="0" w:space="0"/>
        </w:pBdr>
        <w:spacing w:before="220" w:after="312"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供应商全称（公章）：</w:t>
      </w:r>
    </w:p>
    <w:p w14:paraId="081F1D04">
      <w:pPr>
        <w:pBdr>
          <w:top w:val="none" w:color="000000" w:sz="0" w:space="0"/>
          <w:left w:val="none" w:color="000000" w:sz="0" w:space="0"/>
          <w:bottom w:val="none" w:color="000000" w:sz="0" w:space="0"/>
          <w:right w:val="none" w:color="000000" w:sz="0" w:space="0"/>
        </w:pBdr>
        <w:spacing w:before="220" w:after="312"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lang w:eastAsia="zh-CN"/>
        </w:rPr>
        <w:t>项目编号</w:t>
      </w:r>
      <w:r>
        <w:rPr>
          <w:rFonts w:hint="eastAsia" w:ascii="宋体" w:hAnsi="宋体" w:eastAsia="宋体" w:cs="宋体"/>
          <w:color w:val="000000"/>
          <w:sz w:val="22"/>
          <w:highlight w:val="none"/>
        </w:rPr>
        <w:t>：</w:t>
      </w:r>
    </w:p>
    <w:tbl>
      <w:tblPr>
        <w:tblStyle w:val="4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675"/>
        <w:gridCol w:w="1843"/>
        <w:gridCol w:w="2302"/>
        <w:gridCol w:w="1384"/>
        <w:gridCol w:w="2318"/>
      </w:tblGrid>
      <w:tr w14:paraId="3E4EF7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675"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AC3C7B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序号</w:t>
            </w:r>
          </w:p>
        </w:tc>
        <w:tc>
          <w:tcPr>
            <w:tcW w:w="1843"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462ECA33">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项目</w:t>
            </w:r>
          </w:p>
        </w:tc>
        <w:tc>
          <w:tcPr>
            <w:tcW w:w="2302"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5EA61C29">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响应要求</w:t>
            </w:r>
          </w:p>
        </w:tc>
        <w:tc>
          <w:tcPr>
            <w:tcW w:w="1384"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1947418E">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是否响应</w:t>
            </w:r>
          </w:p>
        </w:tc>
        <w:tc>
          <w:tcPr>
            <w:tcW w:w="2318"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6B68F471">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供应商的承诺或说明</w:t>
            </w:r>
          </w:p>
        </w:tc>
      </w:tr>
      <w:tr w14:paraId="1C229A4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85" w:hRule="atLeast"/>
        </w:trPr>
        <w:tc>
          <w:tcPr>
            <w:tcW w:w="67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FC01250">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p>
        </w:tc>
        <w:tc>
          <w:tcPr>
            <w:tcW w:w="1843"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9070E4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cs="宋体"/>
                <w:color w:val="000000"/>
                <w:sz w:val="21"/>
                <w:szCs w:val="21"/>
                <w:highlight w:val="none"/>
                <w:lang w:val="en-US" w:eastAsia="zh-CN"/>
              </w:rPr>
              <w:t>施工</w:t>
            </w:r>
            <w:r>
              <w:rPr>
                <w:rFonts w:hint="eastAsia" w:ascii="宋体" w:hAnsi="宋体" w:eastAsia="宋体" w:cs="宋体"/>
                <w:color w:val="000000"/>
                <w:sz w:val="21"/>
                <w:szCs w:val="21"/>
                <w:highlight w:val="none"/>
              </w:rPr>
              <w:t>期限</w:t>
            </w:r>
          </w:p>
        </w:tc>
        <w:tc>
          <w:tcPr>
            <w:tcW w:w="23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FA38B0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8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6DFF07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1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740CD91">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1F4F851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14" w:hRule="atLeast"/>
        </w:trPr>
        <w:tc>
          <w:tcPr>
            <w:tcW w:w="67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D187A4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p>
        </w:tc>
        <w:tc>
          <w:tcPr>
            <w:tcW w:w="1843"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B3AA15E">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cs="宋体"/>
                <w:color w:val="000000"/>
                <w:sz w:val="21"/>
                <w:szCs w:val="21"/>
                <w:highlight w:val="none"/>
                <w:lang w:val="en-US" w:eastAsia="zh-CN"/>
              </w:rPr>
              <w:t>施工</w:t>
            </w:r>
            <w:r>
              <w:rPr>
                <w:rFonts w:hint="eastAsia" w:ascii="宋体" w:hAnsi="宋体" w:eastAsia="宋体" w:cs="宋体"/>
                <w:color w:val="000000"/>
                <w:sz w:val="21"/>
                <w:szCs w:val="21"/>
                <w:highlight w:val="none"/>
              </w:rPr>
              <w:t>要求</w:t>
            </w:r>
          </w:p>
        </w:tc>
        <w:tc>
          <w:tcPr>
            <w:tcW w:w="23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2BD0F8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8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A87D71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1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3043261">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6E4EA85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112" w:hRule="atLeast"/>
        </w:trPr>
        <w:tc>
          <w:tcPr>
            <w:tcW w:w="67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31681B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p>
        </w:tc>
        <w:tc>
          <w:tcPr>
            <w:tcW w:w="1843"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3FB475F">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付款方式</w:t>
            </w:r>
          </w:p>
        </w:tc>
        <w:tc>
          <w:tcPr>
            <w:tcW w:w="23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F141A3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p w14:paraId="40DC4503">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8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267B90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1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5D7D64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3EF3E17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02" w:hRule="atLeast"/>
        </w:trPr>
        <w:tc>
          <w:tcPr>
            <w:tcW w:w="67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CC49F0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w:t>
            </w:r>
          </w:p>
        </w:tc>
        <w:tc>
          <w:tcPr>
            <w:tcW w:w="1843"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C30F143">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cs="宋体"/>
                <w:color w:val="000000"/>
                <w:sz w:val="21"/>
                <w:szCs w:val="21"/>
                <w:highlight w:val="none"/>
                <w:lang w:val="en-US" w:eastAsia="zh-CN"/>
              </w:rPr>
              <w:t>施工</w:t>
            </w:r>
            <w:r>
              <w:rPr>
                <w:rFonts w:hint="eastAsia" w:ascii="宋体" w:hAnsi="宋体" w:eastAsia="宋体" w:cs="宋体"/>
                <w:color w:val="000000"/>
                <w:sz w:val="21"/>
                <w:szCs w:val="21"/>
                <w:highlight w:val="none"/>
              </w:rPr>
              <w:t>地点</w:t>
            </w:r>
          </w:p>
        </w:tc>
        <w:tc>
          <w:tcPr>
            <w:tcW w:w="23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9617F9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8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EA02F3E">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1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CAB7CE9">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62CFEC5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44" w:hRule="atLeast"/>
        </w:trPr>
        <w:tc>
          <w:tcPr>
            <w:tcW w:w="67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BFCCDA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1843"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136721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磋商响应货币</w:t>
            </w:r>
          </w:p>
        </w:tc>
        <w:tc>
          <w:tcPr>
            <w:tcW w:w="23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A81CAE6">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p w14:paraId="09369C33">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8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A1E357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1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EAC819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5FFFD5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34" w:hRule="atLeast"/>
        </w:trPr>
        <w:tc>
          <w:tcPr>
            <w:tcW w:w="67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058244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w:t>
            </w:r>
          </w:p>
        </w:tc>
        <w:tc>
          <w:tcPr>
            <w:tcW w:w="1843"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8E29A8E">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lang w:eastAsia="zh-CN"/>
              </w:rPr>
            </w:pPr>
            <w:r>
              <w:rPr>
                <w:rFonts w:hint="eastAsia" w:ascii="宋体" w:hAnsi="宋体" w:cs="宋体"/>
                <w:color w:val="000000"/>
                <w:sz w:val="21"/>
                <w:szCs w:val="21"/>
                <w:highlight w:val="none"/>
                <w:lang w:val="en-US" w:eastAsia="zh-CN"/>
              </w:rPr>
              <w:t>其它</w:t>
            </w:r>
          </w:p>
        </w:tc>
        <w:tc>
          <w:tcPr>
            <w:tcW w:w="23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2A397C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8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74AB48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1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CAC897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0741904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33" w:hRule="atLeast"/>
        </w:trPr>
        <w:tc>
          <w:tcPr>
            <w:tcW w:w="675"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5479506">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w:t>
            </w:r>
          </w:p>
        </w:tc>
        <w:tc>
          <w:tcPr>
            <w:tcW w:w="1843"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CAB3275">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5CA42D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84"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7B793E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2318"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063F3F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bl>
    <w:p w14:paraId="12C18032">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350B8AA7">
      <w:pPr>
        <w:shd w:val="clear" w:color="auto"/>
        <w:rPr>
          <w:rFonts w:hint="eastAsia" w:ascii="宋体" w:hAnsi="宋体" w:eastAsia="宋体" w:cs="宋体"/>
          <w:highlight w:val="none"/>
        </w:rPr>
      </w:pPr>
      <w:r>
        <w:rPr>
          <w:rFonts w:hint="eastAsia" w:ascii="宋体" w:hAnsi="宋体" w:eastAsia="宋体" w:cs="宋体"/>
          <w:b/>
          <w:color w:val="000000"/>
          <w:sz w:val="28"/>
          <w:highlight w:val="none"/>
        </w:rPr>
        <w:br w:type="page" w:clear="all"/>
      </w:r>
    </w:p>
    <w:p w14:paraId="5A7CC246">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七</w:t>
      </w:r>
      <w:r>
        <w:rPr>
          <w:rFonts w:hint="eastAsia" w:ascii="宋体" w:hAnsi="宋体" w:eastAsia="宋体" w:cs="宋体"/>
          <w:b/>
          <w:color w:val="000000"/>
          <w:sz w:val="28"/>
          <w:szCs w:val="28"/>
          <w:highlight w:val="none"/>
        </w:rPr>
        <w:t>、拟投入人员一览表</w:t>
      </w:r>
    </w:p>
    <w:p w14:paraId="13000682">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tbl>
      <w:tblPr>
        <w:tblStyle w:val="44"/>
        <w:tblW w:w="0" w:type="auto"/>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210268F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E432160">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序号</w:t>
            </w:r>
          </w:p>
        </w:tc>
        <w:tc>
          <w:tcPr>
            <w:tcW w:w="13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72958DCE">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姓名</w:t>
            </w:r>
          </w:p>
        </w:tc>
        <w:tc>
          <w:tcPr>
            <w:tcW w:w="13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67BE637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性别</w:t>
            </w:r>
          </w:p>
        </w:tc>
        <w:tc>
          <w:tcPr>
            <w:tcW w:w="13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1F4E386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年龄</w:t>
            </w:r>
          </w:p>
        </w:tc>
        <w:tc>
          <w:tcPr>
            <w:tcW w:w="13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2A015F2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证书</w:t>
            </w:r>
          </w:p>
        </w:tc>
        <w:tc>
          <w:tcPr>
            <w:tcW w:w="13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291560F3">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职称</w:t>
            </w:r>
          </w:p>
        </w:tc>
        <w:tc>
          <w:tcPr>
            <w:tcW w:w="133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1E6F85C0">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岗位</w:t>
            </w:r>
          </w:p>
        </w:tc>
      </w:tr>
      <w:tr w14:paraId="2AE01F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5D3BFE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6F92E0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41344D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CB3BE4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6CC060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E27D73F">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6B47BB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531983A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A9A653F">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F42F39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0A4BAF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BC25F8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F8519B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4E9E225">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F42C5A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49A5098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7B504B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831A4C9">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4D905F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1C6403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6389DE7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3FFF1A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0630B0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4968B68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8AE45A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2EE673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872986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BFD3751">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69E317B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C070A5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4D76E7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29ABD6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5FB558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4453DAD">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2D32C5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8C2D72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75FCADA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D244D8F">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ACF83F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35B1FE1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DE9607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FDB87C6">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D2050D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871B9A6">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0552475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5819006">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2444FD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34DFEFD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38E7BD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6EFEA29">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D656699">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B4C8218">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57C1B28F">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83D70F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1A82067">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50FC307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B4810A0">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A16AE5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6903944">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68AAB10">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374D095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90EFAA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1FAF94D3">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r w14:paraId="0D7A30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10" w:hRule="atLeast"/>
          <w:jc w:val="center"/>
        </w:trPr>
        <w:tc>
          <w:tcPr>
            <w:tcW w:w="1336"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549005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FCE0742">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0BB6CA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41AB05B">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top"/>
          </w:tcPr>
          <w:p w14:paraId="1638CE8A">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884A33C">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c>
          <w:tcPr>
            <w:tcW w:w="133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43674D53">
            <w:pPr>
              <w:pBdr>
                <w:top w:val="none" w:color="000000" w:sz="0" w:space="0"/>
                <w:left w:val="none" w:color="000000" w:sz="0" w:space="0"/>
                <w:bottom w:val="none" w:color="000000" w:sz="0" w:space="0"/>
                <w:right w:val="none" w:color="000000" w:sz="0" w:space="0"/>
              </w:pBdr>
              <w:spacing w:before="220" w:after="0" w:line="360" w:lineRule="auto"/>
              <w:ind w:left="0" w:right="0" w:firstLine="0"/>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 </w:t>
            </w:r>
          </w:p>
        </w:tc>
      </w:tr>
    </w:tbl>
    <w:p w14:paraId="1064F067">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0332F465">
      <w:pPr>
        <w:pBdr>
          <w:top w:val="none" w:color="000000" w:sz="0" w:space="0"/>
          <w:left w:val="none" w:color="000000" w:sz="0" w:space="0"/>
          <w:bottom w:val="none" w:color="000000" w:sz="0" w:space="0"/>
          <w:right w:val="none" w:color="000000" w:sz="0" w:space="0"/>
        </w:pBdr>
        <w:spacing w:before="220" w:after="0" w:line="253" w:lineRule="atLeast"/>
        <w:ind w:left="0" w:right="0" w:firstLine="420"/>
        <w:rPr>
          <w:rFonts w:hint="eastAsia" w:ascii="宋体" w:hAnsi="宋体" w:eastAsia="宋体" w:cs="宋体"/>
          <w:highlight w:val="none"/>
        </w:rPr>
      </w:pPr>
      <w:r>
        <w:rPr>
          <w:rFonts w:hint="eastAsia" w:ascii="宋体" w:hAnsi="宋体" w:eastAsia="宋体" w:cs="宋体"/>
          <w:color w:val="000000"/>
          <w:sz w:val="22"/>
          <w:highlight w:val="none"/>
        </w:rPr>
        <w:t>供应商全称：（公章）</w:t>
      </w:r>
    </w:p>
    <w:p w14:paraId="75DAD393">
      <w:pPr>
        <w:pBdr>
          <w:top w:val="none" w:color="000000" w:sz="0" w:space="0"/>
          <w:left w:val="none" w:color="000000" w:sz="0" w:space="0"/>
          <w:bottom w:val="none" w:color="000000" w:sz="0" w:space="0"/>
          <w:right w:val="none" w:color="000000" w:sz="0" w:space="0"/>
        </w:pBdr>
        <w:spacing w:before="220" w:after="0" w:line="253" w:lineRule="atLeast"/>
        <w:ind w:left="0" w:right="0" w:firstLine="420"/>
        <w:rPr>
          <w:rFonts w:hint="eastAsia" w:ascii="宋体" w:hAnsi="宋体" w:eastAsia="宋体" w:cs="宋体"/>
          <w:highlight w:val="none"/>
        </w:rPr>
      </w:pPr>
      <w:r>
        <w:rPr>
          <w:rFonts w:hint="eastAsia" w:ascii="宋体" w:hAnsi="宋体" w:eastAsia="宋体" w:cs="宋体"/>
          <w:color w:val="000000"/>
          <w:sz w:val="22"/>
          <w:highlight w:val="none"/>
        </w:rPr>
        <w:t>日   期：</w:t>
      </w:r>
      <w:r>
        <w:rPr>
          <w:rFonts w:hint="eastAsia" w:ascii="宋体" w:hAnsi="宋体" w:eastAsia="宋体" w:cs="宋体"/>
          <w:color w:val="000000"/>
          <w:sz w:val="22"/>
          <w:highlight w:val="none"/>
          <w:lang w:val="en-US" w:eastAsia="zh-CN"/>
        </w:rPr>
        <w:t xml:space="preserve">    </w:t>
      </w:r>
      <w:r>
        <w:rPr>
          <w:rFonts w:hint="eastAsia" w:ascii="宋体" w:hAnsi="宋体" w:eastAsia="宋体" w:cs="宋体"/>
          <w:color w:val="000000"/>
          <w:sz w:val="22"/>
          <w:highlight w:val="none"/>
        </w:rPr>
        <w:t>年</w:t>
      </w:r>
      <w:r>
        <w:rPr>
          <w:rFonts w:hint="eastAsia" w:ascii="宋体" w:hAnsi="宋体" w:eastAsia="宋体" w:cs="宋体"/>
          <w:color w:val="000000"/>
          <w:sz w:val="22"/>
          <w:highlight w:val="none"/>
          <w:lang w:val="en-US" w:eastAsia="zh-CN"/>
        </w:rPr>
        <w:t xml:space="preserve">  </w:t>
      </w:r>
      <w:r>
        <w:rPr>
          <w:rFonts w:hint="eastAsia" w:ascii="宋体" w:hAnsi="宋体" w:eastAsia="宋体" w:cs="宋体"/>
          <w:color w:val="000000"/>
          <w:sz w:val="22"/>
          <w:highlight w:val="none"/>
        </w:rPr>
        <w:t>月</w:t>
      </w:r>
      <w:r>
        <w:rPr>
          <w:rFonts w:hint="eastAsia" w:ascii="宋体" w:hAnsi="宋体" w:eastAsia="宋体" w:cs="宋体"/>
          <w:color w:val="000000"/>
          <w:sz w:val="22"/>
          <w:highlight w:val="none"/>
          <w:lang w:val="en-US" w:eastAsia="zh-CN"/>
        </w:rPr>
        <w:t xml:space="preserve">   </w:t>
      </w:r>
      <w:r>
        <w:rPr>
          <w:rFonts w:hint="eastAsia" w:ascii="宋体" w:hAnsi="宋体" w:eastAsia="宋体" w:cs="宋体"/>
          <w:color w:val="000000"/>
          <w:sz w:val="22"/>
          <w:highlight w:val="none"/>
        </w:rPr>
        <w:t>日</w:t>
      </w:r>
    </w:p>
    <w:p w14:paraId="4A22B877">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both"/>
        <w:rPr>
          <w:rFonts w:hint="eastAsia" w:ascii="宋体" w:hAnsi="宋体" w:eastAsia="宋体" w:cs="宋体"/>
          <w:highlight w:val="none"/>
        </w:rPr>
      </w:pPr>
      <w:r>
        <w:rPr>
          <w:rFonts w:hint="eastAsia" w:ascii="宋体" w:hAnsi="宋体" w:eastAsia="宋体" w:cs="宋体"/>
          <w:color w:val="000000"/>
          <w:sz w:val="22"/>
          <w:highlight w:val="none"/>
        </w:rPr>
        <w:t> </w:t>
      </w:r>
    </w:p>
    <w:p w14:paraId="053B3487">
      <w:pPr>
        <w:shd w:val="clear" w:color="auto"/>
        <w:rPr>
          <w:rFonts w:hint="eastAsia" w:ascii="宋体" w:hAnsi="宋体" w:eastAsia="宋体" w:cs="宋体"/>
          <w:highlight w:val="none"/>
        </w:rPr>
      </w:pPr>
      <w:r>
        <w:rPr>
          <w:rFonts w:hint="eastAsia" w:ascii="宋体" w:hAnsi="宋体" w:eastAsia="宋体" w:cs="宋体"/>
          <w:b/>
          <w:color w:val="000000"/>
          <w:sz w:val="28"/>
          <w:highlight w:val="none"/>
        </w:rPr>
        <w:br w:type="page" w:clear="all"/>
      </w:r>
    </w:p>
    <w:p w14:paraId="1B9D70AC">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rPr>
        <w:t>八</w:t>
      </w:r>
      <w:r>
        <w:rPr>
          <w:rFonts w:hint="eastAsia" w:ascii="宋体" w:hAnsi="宋体" w:eastAsia="宋体" w:cs="宋体"/>
          <w:b/>
          <w:color w:val="000000"/>
          <w:sz w:val="28"/>
          <w:szCs w:val="28"/>
          <w:highlight w:val="none"/>
        </w:rPr>
        <w:t>、项目方案</w:t>
      </w:r>
    </w:p>
    <w:p w14:paraId="60854FC9">
      <w:pPr>
        <w:pBdr>
          <w:top w:val="none" w:color="000000" w:sz="0" w:space="0"/>
          <w:left w:val="none" w:color="000000" w:sz="0" w:space="0"/>
          <w:bottom w:val="none" w:color="000000" w:sz="0" w:space="0"/>
          <w:right w:val="none" w:color="000000" w:sz="0" w:space="0"/>
        </w:pBdr>
        <w:spacing w:before="220" w:after="0" w:line="253" w:lineRule="atLeast"/>
        <w:ind w:left="0" w:right="0" w:firstLine="420"/>
        <w:jc w:val="center"/>
        <w:rPr>
          <w:rFonts w:hint="eastAsia" w:ascii="宋体" w:hAnsi="宋体" w:eastAsia="宋体" w:cs="宋体"/>
          <w:highlight w:val="none"/>
        </w:rPr>
      </w:pPr>
      <w:r>
        <w:rPr>
          <w:rFonts w:hint="eastAsia" w:ascii="宋体" w:hAnsi="宋体" w:eastAsia="宋体" w:cs="宋体"/>
          <w:color w:val="000000"/>
          <w:sz w:val="22"/>
          <w:highlight w:val="none"/>
        </w:rPr>
        <w:t>（磋商文件中要求提供的资料及评标标准）</w:t>
      </w:r>
    </w:p>
    <w:p w14:paraId="415DC7C3">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068F88F8">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7345D724">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0BFE5DB3">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3A5ADDB1">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2355DD71">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b/>
          <w:color w:val="000000"/>
          <w:sz w:val="28"/>
          <w:highlight w:val="none"/>
        </w:rPr>
        <w:t> </w:t>
      </w:r>
    </w:p>
    <w:p w14:paraId="7D8B919C">
      <w:pPr>
        <w:shd w:val="clear" w:color="auto"/>
        <w:rPr>
          <w:rFonts w:hint="eastAsia" w:ascii="宋体" w:hAnsi="宋体" w:eastAsia="宋体" w:cs="宋体"/>
          <w:highlight w:val="none"/>
        </w:rPr>
      </w:pPr>
      <w:r>
        <w:rPr>
          <w:rFonts w:hint="eastAsia" w:ascii="宋体" w:hAnsi="宋体" w:eastAsia="宋体" w:cs="宋体"/>
          <w:b/>
          <w:color w:val="000000"/>
          <w:sz w:val="28"/>
          <w:highlight w:val="none"/>
        </w:rPr>
        <w:br w:type="page" w:clear="all"/>
      </w:r>
    </w:p>
    <w:p w14:paraId="353E2709">
      <w:pPr>
        <w:numPr>
          <w:ilvl w:val="0"/>
          <w:numId w:val="0"/>
        </w:numPr>
        <w:pBdr>
          <w:top w:val="none" w:color="000000" w:sz="0" w:space="0"/>
          <w:left w:val="none" w:color="000000" w:sz="0" w:space="0"/>
          <w:bottom w:val="none" w:color="000000" w:sz="0" w:space="0"/>
          <w:right w:val="none" w:color="000000" w:sz="0" w:space="0"/>
        </w:pBdr>
        <w:spacing w:before="312"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cs="宋体"/>
          <w:b/>
          <w:color w:val="000000"/>
          <w:sz w:val="28"/>
          <w:szCs w:val="28"/>
          <w:highlight w:val="none"/>
          <w:lang w:val="en-US" w:eastAsia="zh-CN" w:bidi="ar-SA"/>
        </w:rPr>
        <w:t>九</w:t>
      </w:r>
      <w:r>
        <w:rPr>
          <w:rFonts w:hint="eastAsia" w:ascii="宋体" w:hAnsi="宋体" w:eastAsia="宋体" w:cs="宋体"/>
          <w:b/>
          <w:color w:val="000000"/>
          <w:sz w:val="28"/>
          <w:szCs w:val="28"/>
          <w:highlight w:val="none"/>
          <w:lang w:val="en-US" w:eastAsia="zh-CN" w:bidi="ar-SA"/>
        </w:rPr>
        <w:t>、</w:t>
      </w:r>
      <w:r>
        <w:rPr>
          <w:rFonts w:hint="eastAsia" w:ascii="宋体" w:hAnsi="宋体" w:eastAsia="宋体" w:cs="宋体"/>
          <w:b/>
          <w:color w:val="000000"/>
          <w:sz w:val="28"/>
          <w:szCs w:val="28"/>
          <w:highlight w:val="none"/>
        </w:rPr>
        <w:t>主要标的信息（成交后将公示）</w:t>
      </w:r>
    </w:p>
    <w:p w14:paraId="3AB7D325">
      <w:pPr>
        <w:spacing w:line="240" w:lineRule="auto"/>
        <w:rPr>
          <w:rFonts w:hint="eastAsia" w:ascii="宋体" w:hAnsi="宋体" w:eastAsia="宋体" w:cs="宋体"/>
          <w:highlight w:val="none"/>
        </w:rPr>
      </w:pPr>
    </w:p>
    <w:p w14:paraId="66A1B774">
      <w:pPr>
        <w:spacing w:line="240" w:lineRule="auto"/>
        <w:rPr>
          <w:rFonts w:hint="eastAsia" w:ascii="宋体" w:hAnsi="宋体" w:eastAsia="宋体" w:cs="宋体"/>
          <w:highlight w:val="none"/>
        </w:rPr>
      </w:pPr>
      <w:r>
        <w:rPr>
          <w:rFonts w:hint="eastAsia" w:ascii="宋体" w:hAnsi="宋体" w:eastAsia="宋体" w:cs="宋体"/>
          <w:highlight w:val="none"/>
        </w:rPr>
        <w:t>供应商全称：</w:t>
      </w:r>
    </w:p>
    <w:p w14:paraId="59652B2C">
      <w:pPr>
        <w:spacing w:line="240" w:lineRule="auto"/>
        <w:rPr>
          <w:rFonts w:hint="eastAsia" w:ascii="宋体" w:hAnsi="宋体" w:eastAsia="宋体" w:cs="宋体"/>
          <w:highlight w:val="none"/>
        </w:rPr>
      </w:pPr>
    </w:p>
    <w:tbl>
      <w:tblPr>
        <w:tblStyle w:val="4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3313"/>
        <w:gridCol w:w="3313"/>
      </w:tblGrid>
      <w:tr w14:paraId="3A26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noWrap w:val="0"/>
            <w:vAlign w:val="center"/>
          </w:tcPr>
          <w:p w14:paraId="245655FD">
            <w:pPr>
              <w:spacing w:line="360" w:lineRule="auto"/>
              <w:jc w:val="center"/>
              <w:rPr>
                <w:rFonts w:hint="eastAsia" w:ascii="宋体" w:hAnsi="宋体" w:eastAsia="宋体" w:cs="宋体"/>
                <w:highlight w:val="none"/>
              </w:rPr>
            </w:pPr>
            <w:r>
              <w:rPr>
                <w:rFonts w:hint="eastAsia" w:ascii="宋体" w:hAnsi="宋体" w:eastAsia="宋体" w:cs="宋体"/>
                <w:highlight w:val="none"/>
              </w:rPr>
              <w:t>货物类</w:t>
            </w:r>
          </w:p>
        </w:tc>
        <w:tc>
          <w:tcPr>
            <w:tcW w:w="3313" w:type="dxa"/>
            <w:noWrap w:val="0"/>
            <w:vAlign w:val="center"/>
          </w:tcPr>
          <w:p w14:paraId="4E694C4C">
            <w:pPr>
              <w:spacing w:line="360" w:lineRule="auto"/>
              <w:jc w:val="center"/>
              <w:rPr>
                <w:rFonts w:hint="eastAsia" w:ascii="宋体" w:hAnsi="宋体" w:eastAsia="宋体" w:cs="宋体"/>
                <w:highlight w:val="none"/>
              </w:rPr>
            </w:pPr>
            <w:r>
              <w:rPr>
                <w:rFonts w:hint="eastAsia" w:ascii="宋体" w:hAnsi="宋体" w:eastAsia="宋体" w:cs="宋体"/>
                <w:highlight w:val="none"/>
              </w:rPr>
              <w:t>服务类</w:t>
            </w:r>
          </w:p>
        </w:tc>
        <w:tc>
          <w:tcPr>
            <w:tcW w:w="3313" w:type="dxa"/>
            <w:noWrap w:val="0"/>
            <w:vAlign w:val="center"/>
          </w:tcPr>
          <w:p w14:paraId="0EC50590">
            <w:pPr>
              <w:spacing w:line="360" w:lineRule="auto"/>
              <w:jc w:val="center"/>
              <w:rPr>
                <w:rFonts w:hint="eastAsia" w:ascii="宋体" w:hAnsi="宋体" w:eastAsia="宋体" w:cs="宋体"/>
                <w:highlight w:val="none"/>
              </w:rPr>
            </w:pPr>
            <w:r>
              <w:rPr>
                <w:rFonts w:hint="eastAsia" w:ascii="宋体" w:hAnsi="宋体" w:eastAsia="宋体" w:cs="宋体"/>
                <w:highlight w:val="none"/>
              </w:rPr>
              <w:t>工程类</w:t>
            </w:r>
          </w:p>
        </w:tc>
      </w:tr>
      <w:tr w14:paraId="47C3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2836" w:type="dxa"/>
            <w:noWrap w:val="0"/>
            <w:vAlign w:val="top"/>
          </w:tcPr>
          <w:p w14:paraId="06BC9C8A">
            <w:pPr>
              <w:spacing w:line="360" w:lineRule="auto"/>
              <w:rPr>
                <w:rFonts w:hint="eastAsia" w:ascii="宋体" w:hAnsi="宋体" w:eastAsia="宋体" w:cs="宋体"/>
                <w:highlight w:val="none"/>
              </w:rPr>
            </w:pPr>
            <w:r>
              <w:rPr>
                <w:rFonts w:hint="eastAsia" w:ascii="宋体" w:hAnsi="宋体" w:eastAsia="宋体" w:cs="宋体"/>
                <w:highlight w:val="none"/>
              </w:rPr>
              <w:t>名称：</w:t>
            </w:r>
          </w:p>
          <w:p w14:paraId="4D1B3374">
            <w:pPr>
              <w:spacing w:line="360" w:lineRule="auto"/>
              <w:rPr>
                <w:rFonts w:hint="eastAsia" w:ascii="宋体" w:hAnsi="宋体" w:eastAsia="宋体" w:cs="宋体"/>
                <w:highlight w:val="none"/>
              </w:rPr>
            </w:pPr>
            <w:r>
              <w:rPr>
                <w:rFonts w:hint="eastAsia" w:ascii="宋体" w:hAnsi="宋体" w:eastAsia="宋体" w:cs="宋体"/>
                <w:highlight w:val="none"/>
              </w:rPr>
              <w:t>品牌（如有）：</w:t>
            </w:r>
          </w:p>
          <w:p w14:paraId="440186DB">
            <w:pPr>
              <w:spacing w:line="360" w:lineRule="auto"/>
              <w:rPr>
                <w:rFonts w:hint="eastAsia" w:ascii="宋体" w:hAnsi="宋体" w:eastAsia="宋体" w:cs="宋体"/>
                <w:highlight w:val="none"/>
              </w:rPr>
            </w:pPr>
            <w:r>
              <w:rPr>
                <w:rFonts w:hint="eastAsia" w:ascii="宋体" w:hAnsi="宋体" w:eastAsia="宋体" w:cs="宋体"/>
                <w:highlight w:val="none"/>
              </w:rPr>
              <w:t>规格型号：</w:t>
            </w:r>
          </w:p>
          <w:p w14:paraId="4EB85D36">
            <w:pPr>
              <w:spacing w:line="360" w:lineRule="auto"/>
              <w:rPr>
                <w:rFonts w:hint="eastAsia" w:ascii="宋体" w:hAnsi="宋体" w:eastAsia="宋体" w:cs="宋体"/>
                <w:highlight w:val="none"/>
              </w:rPr>
            </w:pPr>
            <w:r>
              <w:rPr>
                <w:rFonts w:hint="eastAsia" w:ascii="宋体" w:hAnsi="宋体" w:eastAsia="宋体" w:cs="宋体"/>
                <w:highlight w:val="none"/>
              </w:rPr>
              <w:t>数量：</w:t>
            </w:r>
          </w:p>
          <w:p w14:paraId="4CFF57E3">
            <w:pPr>
              <w:spacing w:line="360" w:lineRule="auto"/>
              <w:rPr>
                <w:rFonts w:hint="eastAsia" w:ascii="宋体" w:hAnsi="宋体" w:eastAsia="宋体" w:cs="宋体"/>
                <w:highlight w:val="none"/>
              </w:rPr>
            </w:pPr>
            <w:r>
              <w:rPr>
                <w:rFonts w:hint="eastAsia" w:ascii="宋体" w:hAnsi="宋体" w:eastAsia="宋体" w:cs="宋体"/>
                <w:highlight w:val="none"/>
              </w:rPr>
              <w:t>单价：</w:t>
            </w:r>
          </w:p>
        </w:tc>
        <w:tc>
          <w:tcPr>
            <w:tcW w:w="3313" w:type="dxa"/>
            <w:noWrap w:val="0"/>
            <w:vAlign w:val="top"/>
          </w:tcPr>
          <w:p w14:paraId="76DB836F">
            <w:pPr>
              <w:spacing w:line="360" w:lineRule="auto"/>
              <w:rPr>
                <w:rFonts w:hint="eastAsia" w:ascii="宋体" w:hAnsi="宋体" w:eastAsia="宋体" w:cs="宋体"/>
                <w:highlight w:val="none"/>
              </w:rPr>
            </w:pPr>
            <w:r>
              <w:rPr>
                <w:rFonts w:hint="eastAsia" w:ascii="宋体" w:hAnsi="宋体" w:eastAsia="宋体" w:cs="宋体"/>
                <w:highlight w:val="none"/>
              </w:rPr>
              <w:t>名称：</w:t>
            </w:r>
          </w:p>
          <w:p w14:paraId="1413E7E4">
            <w:pPr>
              <w:spacing w:line="360" w:lineRule="auto"/>
              <w:rPr>
                <w:rFonts w:hint="eastAsia" w:ascii="宋体" w:hAnsi="宋体" w:eastAsia="宋体" w:cs="宋体"/>
                <w:highlight w:val="none"/>
              </w:rPr>
            </w:pPr>
            <w:r>
              <w:rPr>
                <w:rFonts w:hint="eastAsia" w:ascii="宋体" w:hAnsi="宋体" w:eastAsia="宋体" w:cs="宋体"/>
                <w:highlight w:val="none"/>
              </w:rPr>
              <w:t>服务范围：</w:t>
            </w:r>
          </w:p>
          <w:p w14:paraId="3002B6FF">
            <w:pPr>
              <w:spacing w:line="360" w:lineRule="auto"/>
              <w:rPr>
                <w:rFonts w:hint="eastAsia" w:ascii="宋体" w:hAnsi="宋体" w:eastAsia="宋体" w:cs="宋体"/>
                <w:highlight w:val="none"/>
                <w:u w:val="single"/>
              </w:rPr>
            </w:pPr>
            <w:r>
              <w:rPr>
                <w:rFonts w:hint="eastAsia" w:ascii="宋体" w:hAnsi="宋体" w:eastAsia="宋体" w:cs="宋体"/>
                <w:highlight w:val="none"/>
              </w:rPr>
              <w:t>服务要求：</w:t>
            </w:r>
          </w:p>
          <w:p w14:paraId="48BDC13B">
            <w:pPr>
              <w:spacing w:line="360" w:lineRule="auto"/>
              <w:rPr>
                <w:rFonts w:hint="eastAsia" w:ascii="宋体" w:hAnsi="宋体" w:eastAsia="宋体" w:cs="宋体"/>
                <w:highlight w:val="none"/>
                <w:u w:val="single"/>
              </w:rPr>
            </w:pPr>
            <w:r>
              <w:rPr>
                <w:rFonts w:hint="eastAsia" w:ascii="宋体" w:hAnsi="宋体" w:eastAsia="宋体" w:cs="宋体"/>
                <w:highlight w:val="none"/>
              </w:rPr>
              <w:t>服务时间：</w:t>
            </w:r>
          </w:p>
          <w:p w14:paraId="6FA09655">
            <w:pPr>
              <w:spacing w:line="360" w:lineRule="auto"/>
              <w:rPr>
                <w:rFonts w:hint="eastAsia" w:ascii="宋体" w:hAnsi="宋体" w:eastAsia="宋体" w:cs="宋体"/>
                <w:highlight w:val="none"/>
              </w:rPr>
            </w:pPr>
            <w:r>
              <w:rPr>
                <w:rFonts w:hint="eastAsia" w:ascii="宋体" w:hAnsi="宋体" w:eastAsia="宋体" w:cs="宋体"/>
                <w:highlight w:val="none"/>
              </w:rPr>
              <w:t>服务标准：</w:t>
            </w:r>
          </w:p>
        </w:tc>
        <w:tc>
          <w:tcPr>
            <w:tcW w:w="3313" w:type="dxa"/>
            <w:noWrap w:val="0"/>
            <w:vAlign w:val="top"/>
          </w:tcPr>
          <w:p w14:paraId="4D9A1D52">
            <w:pPr>
              <w:spacing w:line="360" w:lineRule="auto"/>
              <w:rPr>
                <w:rFonts w:hint="eastAsia" w:ascii="宋体" w:hAnsi="宋体" w:eastAsia="宋体" w:cs="宋体"/>
                <w:highlight w:val="none"/>
              </w:rPr>
            </w:pPr>
            <w:r>
              <w:rPr>
                <w:rFonts w:hint="eastAsia" w:ascii="宋体" w:hAnsi="宋体" w:eastAsia="宋体" w:cs="宋体"/>
                <w:highlight w:val="none"/>
              </w:rPr>
              <w:t>名称：</w:t>
            </w:r>
          </w:p>
          <w:p w14:paraId="55501408">
            <w:pPr>
              <w:spacing w:line="360" w:lineRule="auto"/>
              <w:rPr>
                <w:rFonts w:hint="eastAsia" w:ascii="宋体" w:hAnsi="宋体" w:eastAsia="宋体" w:cs="宋体"/>
                <w:highlight w:val="none"/>
              </w:rPr>
            </w:pPr>
            <w:r>
              <w:rPr>
                <w:rFonts w:hint="eastAsia" w:ascii="宋体" w:hAnsi="宋体" w:eastAsia="宋体" w:cs="宋体"/>
                <w:highlight w:val="none"/>
              </w:rPr>
              <w:t>施工范围：</w:t>
            </w:r>
          </w:p>
          <w:p w14:paraId="2035E978">
            <w:pPr>
              <w:spacing w:line="360" w:lineRule="auto"/>
              <w:rPr>
                <w:rFonts w:hint="eastAsia" w:ascii="宋体" w:hAnsi="宋体" w:eastAsia="宋体" w:cs="宋体"/>
                <w:highlight w:val="none"/>
              </w:rPr>
            </w:pPr>
            <w:r>
              <w:rPr>
                <w:rFonts w:hint="eastAsia" w:ascii="宋体" w:hAnsi="宋体" w:eastAsia="宋体" w:cs="宋体"/>
                <w:highlight w:val="none"/>
              </w:rPr>
              <w:t>施工工期：</w:t>
            </w:r>
          </w:p>
          <w:p w14:paraId="44EA1D83">
            <w:pPr>
              <w:spacing w:line="360" w:lineRule="auto"/>
              <w:rPr>
                <w:rFonts w:hint="eastAsia" w:ascii="宋体" w:hAnsi="宋体" w:eastAsia="宋体" w:cs="宋体"/>
                <w:highlight w:val="none"/>
              </w:rPr>
            </w:pPr>
            <w:r>
              <w:rPr>
                <w:rFonts w:hint="eastAsia" w:ascii="宋体" w:hAnsi="宋体" w:eastAsia="宋体" w:cs="宋体"/>
                <w:highlight w:val="none"/>
              </w:rPr>
              <w:t>项目经理：</w:t>
            </w:r>
          </w:p>
          <w:p w14:paraId="648572B9">
            <w:pPr>
              <w:spacing w:line="360" w:lineRule="auto"/>
              <w:rPr>
                <w:rFonts w:hint="eastAsia" w:ascii="宋体" w:hAnsi="宋体" w:eastAsia="宋体" w:cs="宋体"/>
                <w:highlight w:val="none"/>
              </w:rPr>
            </w:pPr>
            <w:r>
              <w:rPr>
                <w:rFonts w:hint="eastAsia" w:ascii="宋体" w:hAnsi="宋体" w:eastAsia="宋体" w:cs="宋体"/>
                <w:highlight w:val="none"/>
              </w:rPr>
              <w:t>执业证书信息：</w:t>
            </w:r>
          </w:p>
        </w:tc>
      </w:tr>
    </w:tbl>
    <w:p w14:paraId="373F7A96">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8"/>
          <w:highlight w:val="none"/>
        </w:rPr>
        <w:t> </w:t>
      </w:r>
    </w:p>
    <w:p w14:paraId="1B85C6B1">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8"/>
          <w:highlight w:val="none"/>
        </w:rPr>
        <w:t> </w:t>
      </w:r>
    </w:p>
    <w:p w14:paraId="7E1D5D0D">
      <w:pPr>
        <w:pBdr>
          <w:top w:val="none" w:color="000000" w:sz="0" w:space="0"/>
          <w:left w:val="none" w:color="000000" w:sz="0" w:space="0"/>
          <w:bottom w:val="none" w:color="000000" w:sz="0" w:space="0"/>
          <w:right w:val="none" w:color="000000" w:sz="0" w:space="0"/>
        </w:pBdr>
        <w:spacing w:before="220" w:after="0" w:line="253" w:lineRule="atLeast"/>
        <w:ind w:left="0" w:right="0" w:firstLine="0"/>
        <w:jc w:val="both"/>
        <w:rPr>
          <w:rFonts w:hint="eastAsia" w:ascii="宋体" w:hAnsi="宋体" w:eastAsia="宋体" w:cs="宋体"/>
          <w:highlight w:val="none"/>
        </w:rPr>
      </w:pPr>
      <w:r>
        <w:rPr>
          <w:rFonts w:hint="eastAsia" w:ascii="宋体" w:hAnsi="宋体" w:eastAsia="宋体" w:cs="宋体"/>
          <w:color w:val="000000"/>
          <w:sz w:val="28"/>
          <w:highlight w:val="none"/>
        </w:rPr>
        <w:t> </w:t>
      </w:r>
    </w:p>
    <w:p w14:paraId="68757971">
      <w:pPr>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br w:type="page" w:clear="all"/>
      </w:r>
    </w:p>
    <w:p w14:paraId="00CC0B8B">
      <w:pPr>
        <w:pBdr>
          <w:top w:val="none" w:color="000000" w:sz="0" w:space="0"/>
          <w:left w:val="none" w:color="000000" w:sz="0" w:space="0"/>
          <w:bottom w:val="none" w:color="000000" w:sz="0" w:space="0"/>
          <w:right w:val="none" w:color="000000" w:sz="0" w:space="0"/>
        </w:pBdr>
        <w:spacing w:before="220" w:after="0" w:line="253" w:lineRule="atLeast"/>
        <w:ind w:left="0" w:right="0" w:firstLine="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十、其</w:t>
      </w:r>
      <w:r>
        <w:rPr>
          <w:rFonts w:hint="eastAsia" w:ascii="宋体" w:hAnsi="宋体" w:cs="宋体"/>
          <w:b/>
          <w:color w:val="000000"/>
          <w:sz w:val="28"/>
          <w:szCs w:val="28"/>
          <w:highlight w:val="none"/>
          <w:lang w:val="en-US" w:eastAsia="zh-CN"/>
        </w:rPr>
        <w:t>它</w:t>
      </w:r>
      <w:r>
        <w:rPr>
          <w:rFonts w:hint="eastAsia" w:ascii="宋体" w:hAnsi="宋体" w:eastAsia="宋体" w:cs="宋体"/>
          <w:b/>
          <w:color w:val="000000"/>
          <w:sz w:val="28"/>
          <w:szCs w:val="28"/>
          <w:highlight w:val="none"/>
        </w:rPr>
        <w:t>...</w:t>
      </w:r>
    </w:p>
    <w:p w14:paraId="15EE8982">
      <w:pPr>
        <w:pBdr>
          <w:top w:val="none" w:color="000000" w:sz="0" w:space="0"/>
          <w:left w:val="none" w:color="000000" w:sz="0" w:space="0"/>
          <w:bottom w:val="none" w:color="000000" w:sz="0" w:space="0"/>
          <w:right w:val="none" w:color="000000" w:sz="0" w:space="0"/>
        </w:pBdr>
        <w:spacing w:before="220" w:after="200" w:line="253" w:lineRule="atLeast"/>
        <w:ind w:left="0" w:right="0" w:firstLine="0"/>
        <w:rPr>
          <w:rFonts w:hint="eastAsia" w:ascii="宋体" w:hAnsi="宋体" w:eastAsia="宋体" w:cs="宋体"/>
          <w:highlight w:val="none"/>
        </w:rPr>
      </w:pPr>
      <w:r>
        <w:rPr>
          <w:rFonts w:hint="eastAsia" w:ascii="宋体" w:hAnsi="宋体" w:eastAsia="宋体" w:cs="宋体"/>
          <w:color w:val="000000"/>
          <w:sz w:val="22"/>
          <w:highlight w:val="none"/>
        </w:rPr>
        <w:t> </w:t>
      </w:r>
    </w:p>
    <w:p w14:paraId="78DBABB5">
      <w:pPr>
        <w:pBdr>
          <w:top w:val="none" w:color="000000" w:sz="0" w:space="0"/>
          <w:left w:val="none" w:color="000000" w:sz="0" w:space="0"/>
          <w:bottom w:val="none" w:color="000000" w:sz="0" w:space="0"/>
          <w:right w:val="none" w:color="000000" w:sz="0" w:space="0"/>
        </w:pBdr>
        <w:spacing w:before="220" w:after="200" w:line="250" w:lineRule="atLeast"/>
        <w:ind w:left="0" w:right="0" w:firstLine="0"/>
        <w:rPr>
          <w:rFonts w:hint="eastAsia" w:ascii="宋体" w:hAnsi="宋体" w:eastAsia="宋体" w:cs="宋体"/>
          <w:highlight w:val="none"/>
        </w:rPr>
      </w:pPr>
      <w:r>
        <w:rPr>
          <w:rFonts w:hint="eastAsia" w:ascii="宋体" w:hAnsi="宋体" w:eastAsia="宋体" w:cs="宋体"/>
          <w:color w:val="000000"/>
          <w:sz w:val="22"/>
          <w:highlight w:val="none"/>
        </w:rPr>
        <w:t> </w:t>
      </w:r>
    </w:p>
    <w:p w14:paraId="47E91C6C">
      <w:pPr>
        <w:rPr>
          <w:rFonts w:hint="eastAsia" w:ascii="宋体" w:hAnsi="宋体" w:eastAsia="宋体" w:cs="宋体"/>
          <w:highlight w:val="none"/>
        </w:rPr>
      </w:pPr>
    </w:p>
    <w:p w14:paraId="5E40996C">
      <w:pPr>
        <w:spacing w:line="360" w:lineRule="auto"/>
        <w:ind w:firstLine="420"/>
        <w:rPr>
          <w:rFonts w:hint="eastAsia" w:ascii="宋体" w:hAnsi="宋体" w:eastAsia="宋体" w:cs="宋体"/>
          <w:color w:val="auto"/>
          <w:szCs w:val="21"/>
          <w:highlight w:val="none"/>
        </w:rPr>
      </w:pPr>
    </w:p>
    <w:p w14:paraId="6B931279">
      <w:pPr>
        <w:spacing w:line="360" w:lineRule="auto"/>
        <w:ind w:firstLine="420"/>
        <w:rPr>
          <w:rFonts w:hint="eastAsia" w:ascii="宋体" w:hAnsi="宋体" w:eastAsia="宋体" w:cs="宋体"/>
          <w:color w:val="auto"/>
          <w:szCs w:val="21"/>
          <w:highlight w:val="none"/>
          <w:lang w:val="en-US" w:eastAsia="zh-CN"/>
        </w:rPr>
      </w:pPr>
    </w:p>
    <w:sectPr>
      <w:pgSz w:w="11906" w:h="16838"/>
      <w:pgMar w:top="1440" w:right="1800" w:bottom="1440" w:left="1800"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16678F55">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4366F">
    <w:pPr>
      <w:pStyle w:val="28"/>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7AFA8">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KAHPxg8AgAAbwQAAA4AAAAAAAAAAQAgAAAAHwEAAGRycy9lMm9E&#10;b2MueG1sUEsFBgAAAAAGAAYAWQEAAM0FAAAAAA==&#10;">
              <v:fill on="f" focussize="0,0"/>
              <v:stroke on="f" weight="0.5pt"/>
              <v:imagedata o:title=""/>
              <o:lock v:ext="edit" aspectratio="f"/>
              <v:textbox inset="0mm,0mm,0mm,0mm" style="mso-fit-shape-to-text:t;">
                <w:txbxContent>
                  <w:p w14:paraId="7B17AFA8">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49DD">
    <w:pPr>
      <w:pStyle w:val="28"/>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76482">
                          <w:pPr>
                            <w:pStyle w:val="2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NpqzE8AgAAbwQAAA4AAAAAAAAAAQAgAAAAHwEAAGRycy9lMm9E&#10;b2MueG1sUEsFBgAAAAAGAAYAWQEAAM0FAAAAAA==&#10;">
              <v:fill on="f" focussize="0,0"/>
              <v:stroke on="f" weight="0.5pt"/>
              <v:imagedata o:title=""/>
              <o:lock v:ext="edit" aspectratio="f"/>
              <v:textbox inset="0mm,0mm,0mm,0mm" style="mso-fit-shape-to-text:t;">
                <w:txbxContent>
                  <w:p w14:paraId="07076482">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54DD">
    <w:pPr>
      <w:pStyle w:val="28"/>
      <w:tabs>
        <w:tab w:val="center" w:pos="4153"/>
        <w:tab w:val="right" w:pos="8306"/>
        <w:tab w:val="clear" w:pos="7143"/>
        <w:tab w:val="clear" w:pos="14287"/>
      </w:tabs>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6BB01">
                          <w:pPr>
                            <w:pStyle w:val="2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DiTCcpPQIAAG8EAAAOAAAAAAAAAAEAIAAAAB8BAABkcnMvZTJv&#10;RG9jLnhtbFBLBQYAAAAABgAGAFkBAADOBQAAAAA=&#10;">
              <v:fill on="f" focussize="0,0"/>
              <v:stroke on="f" weight="0.5pt"/>
              <v:imagedata o:title=""/>
              <o:lock v:ext="edit" aspectratio="f"/>
              <v:textbox inset="0mm,0mm,0mm,0mm" style="mso-fit-shape-to-text:t;">
                <w:txbxContent>
                  <w:p w14:paraId="5256BB01">
                    <w:pPr>
                      <w:pStyle w:val="2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A5E5">
    <w:pPr>
      <w:pStyle w:val="27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C123B">
                          <w:pPr>
                            <w:pStyle w:val="2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EsZs1c8AgAAbwQAAA4AAAAAAAAAAQAgAAAAHwEAAGRycy9lMm9E&#10;b2MueG1sUEsFBgAAAAAGAAYAWQEAAM0FAAAAAA==&#10;">
              <v:fill on="f" focussize="0,0"/>
              <v:stroke on="f" weight="0.5pt"/>
              <v:imagedata o:title=""/>
              <o:lock v:ext="edit" aspectratio="f"/>
              <v:textbox inset="0mm,0mm,0mm,0mm" style="mso-fit-shape-to-text:t;">
                <w:txbxContent>
                  <w:p w14:paraId="3E8C123B">
                    <w:pPr>
                      <w:pStyle w:val="28"/>
                    </w:pPr>
                    <w:r>
                      <w:fldChar w:fldCharType="begin"/>
                    </w:r>
                    <w:r>
                      <w:instrText xml:space="preserve"> PAGE  \* MERGEFORMAT </w:instrText>
                    </w:r>
                    <w:r>
                      <w:fldChar w:fldCharType="separate"/>
                    </w:r>
                    <w:r>
                      <w:t>40</w:t>
                    </w:r>
                    <w:r>
                      <w:fldChar w:fldCharType="end"/>
                    </w:r>
                  </w:p>
                </w:txbxContent>
              </v:textbox>
            </v:shape>
          </w:pict>
        </mc:Fallback>
      </mc:AlternateContent>
    </w:r>
  </w:p>
  <w:p w14:paraId="6E6F2D81">
    <w:pPr>
      <w:pStyle w:val="27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1A2E">
    <w:pPr>
      <w:pStyle w:val="30"/>
      <w:pBdr>
        <w:bottom w:val="none" w:color="auto" w:sz="0" w:space="0"/>
      </w:pBdr>
      <w:jc w:val="both"/>
      <w:rPr>
        <w:rFonts w:hint="eastAsia"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86C1">
    <w:pPr>
      <w:pStyle w:val="3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FFAC">
    <w:pPr>
      <w:pStyle w:val="3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733B2">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C6E1">
    <w:pPr>
      <w:pStyle w:val="30"/>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bullet"/>
      <w:pStyle w:val="61"/>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bullet"/>
      <w:pStyle w:val="58"/>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1"/>
      <w:numFmt w:val="decimal"/>
      <w:suff w:val="nothing"/>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1"/>
      <w:numFmt w:val="decimal"/>
      <w:suff w:val="nothing"/>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decimal"/>
      <w:suff w:val="nothing"/>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6A0E3B74"/>
    <w:multiLevelType w:val="singleLevel"/>
    <w:tmpl w:val="6A0E3B74"/>
    <w:lvl w:ilvl="0" w:tentative="0">
      <w:start w:val="4"/>
      <w:numFmt w:val="chineseCounting"/>
      <w:suff w:val="nothing"/>
      <w:lvlText w:val="%1、"/>
      <w:lvlJc w:val="left"/>
    </w:lvl>
  </w:abstractNum>
  <w:num w:numId="1">
    <w:abstractNumId w:val="2"/>
  </w:num>
  <w:num w:numId="2">
    <w:abstractNumId w:val="1"/>
  </w:num>
  <w:num w:numId="3">
    <w:abstractNumId w:val="7"/>
  </w:num>
  <w:num w:numId="4">
    <w:abstractNumId w:val="6"/>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40C1"/>
    <w:rsid w:val="00B40149"/>
    <w:rsid w:val="00C15FBB"/>
    <w:rsid w:val="011473B7"/>
    <w:rsid w:val="017C712D"/>
    <w:rsid w:val="01CC5EDA"/>
    <w:rsid w:val="024A7761"/>
    <w:rsid w:val="029606B3"/>
    <w:rsid w:val="02FD64B1"/>
    <w:rsid w:val="05616943"/>
    <w:rsid w:val="06446CAE"/>
    <w:rsid w:val="072D4D2F"/>
    <w:rsid w:val="07901E52"/>
    <w:rsid w:val="08FA3586"/>
    <w:rsid w:val="0931373A"/>
    <w:rsid w:val="0DAC366A"/>
    <w:rsid w:val="110F7B9B"/>
    <w:rsid w:val="11381354"/>
    <w:rsid w:val="166D0EE8"/>
    <w:rsid w:val="18723870"/>
    <w:rsid w:val="1AA77C94"/>
    <w:rsid w:val="1AC76DF0"/>
    <w:rsid w:val="1CBD3F2A"/>
    <w:rsid w:val="1CFA34AD"/>
    <w:rsid w:val="1D0426C3"/>
    <w:rsid w:val="1DF84206"/>
    <w:rsid w:val="1E4E3AB1"/>
    <w:rsid w:val="22B32C90"/>
    <w:rsid w:val="248B2785"/>
    <w:rsid w:val="275571BE"/>
    <w:rsid w:val="276E0D20"/>
    <w:rsid w:val="29376380"/>
    <w:rsid w:val="2A1D6C72"/>
    <w:rsid w:val="2CAC2F9C"/>
    <w:rsid w:val="2E1A3C2E"/>
    <w:rsid w:val="2E5C028C"/>
    <w:rsid w:val="2FB12379"/>
    <w:rsid w:val="37950157"/>
    <w:rsid w:val="39D54C2E"/>
    <w:rsid w:val="3A4B3398"/>
    <w:rsid w:val="3EC126EA"/>
    <w:rsid w:val="3EE36891"/>
    <w:rsid w:val="3EE4400B"/>
    <w:rsid w:val="3F8A1D59"/>
    <w:rsid w:val="41A835EA"/>
    <w:rsid w:val="46C27AEB"/>
    <w:rsid w:val="48CC1253"/>
    <w:rsid w:val="492C413F"/>
    <w:rsid w:val="4C7107E7"/>
    <w:rsid w:val="4DB87FE1"/>
    <w:rsid w:val="512E166A"/>
    <w:rsid w:val="519A27EF"/>
    <w:rsid w:val="526D1A50"/>
    <w:rsid w:val="5448683B"/>
    <w:rsid w:val="577E34BE"/>
    <w:rsid w:val="5A3D7F5A"/>
    <w:rsid w:val="5DCA244C"/>
    <w:rsid w:val="5E02245D"/>
    <w:rsid w:val="5F047669"/>
    <w:rsid w:val="5F8F77E3"/>
    <w:rsid w:val="5FA105AE"/>
    <w:rsid w:val="61630BEE"/>
    <w:rsid w:val="617611C7"/>
    <w:rsid w:val="62261575"/>
    <w:rsid w:val="628030DA"/>
    <w:rsid w:val="6494654B"/>
    <w:rsid w:val="66E06319"/>
    <w:rsid w:val="69507B03"/>
    <w:rsid w:val="69947D07"/>
    <w:rsid w:val="6BB02C64"/>
    <w:rsid w:val="6C484F4F"/>
    <w:rsid w:val="721D6B97"/>
    <w:rsid w:val="72677112"/>
    <w:rsid w:val="74AE517C"/>
    <w:rsid w:val="74B310ED"/>
    <w:rsid w:val="74F2304F"/>
    <w:rsid w:val="759108BC"/>
    <w:rsid w:val="775D7A36"/>
    <w:rsid w:val="78CE3C59"/>
    <w:rsid w:val="7C0A6A0D"/>
    <w:rsid w:val="7C456945"/>
    <w:rsid w:val="7CB2612E"/>
    <w:rsid w:val="7EA2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qFormat="1" w:unhideWhenUsed="0"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3">
    <w:name w:val="heading 1"/>
    <w:basedOn w:val="1"/>
    <w:next w:val="1"/>
    <w:link w:val="108"/>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10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10"/>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11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112"/>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113"/>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114"/>
    <w:unhideWhenUsed/>
    <w:qFormat/>
    <w:uiPriority w:val="9"/>
    <w:pPr>
      <w:keepNext/>
      <w:keepLines/>
      <w:spacing w:before="320" w:after="200"/>
      <w:outlineLvl w:val="6"/>
    </w:pPr>
    <w:rPr>
      <w:rFonts w:ascii="Arial" w:hAnsi="Arial" w:eastAsia="Arial" w:cs="Arial"/>
      <w:b/>
      <w:bCs/>
      <w:i/>
      <w:iCs/>
      <w:sz w:val="22"/>
    </w:rPr>
  </w:style>
  <w:style w:type="paragraph" w:styleId="10">
    <w:name w:val="heading 8"/>
    <w:basedOn w:val="1"/>
    <w:next w:val="1"/>
    <w:link w:val="115"/>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116"/>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 w:val="24"/>
    </w:rPr>
  </w:style>
  <w:style w:type="paragraph" w:styleId="12">
    <w:name w:val="toc 7"/>
    <w:basedOn w:val="1"/>
    <w:next w:val="1"/>
    <w:unhideWhenUsed/>
    <w:qFormat/>
    <w:uiPriority w:val="39"/>
    <w:pPr>
      <w:spacing w:after="57"/>
      <w:ind w:left="1701"/>
    </w:pPr>
  </w:style>
  <w:style w:type="paragraph" w:styleId="13">
    <w:name w:val="table of authorities"/>
    <w:basedOn w:val="1"/>
    <w:next w:val="1"/>
    <w:qFormat/>
    <w:uiPriority w:val="99"/>
    <w:pPr>
      <w:ind w:left="420"/>
    </w:pPr>
    <w:rPr>
      <w:rFonts w:ascii="Arial" w:hAnsi="Arial" w:eastAsia="Arial" w:cs="Arial"/>
      <w:color w:val="000000"/>
      <w:sz w:val="21"/>
      <w:szCs w:val="21"/>
      <w:lang w:eastAsia="en-US"/>
    </w:rPr>
  </w:style>
  <w:style w:type="paragraph" w:styleId="14">
    <w:name w:val="Normal Indent"/>
    <w:basedOn w:val="1"/>
    <w:qFormat/>
    <w:uiPriority w:val="0"/>
    <w:pPr>
      <w:spacing w:line="360" w:lineRule="atLeast"/>
      <w:ind w:firstLine="482"/>
    </w:pPr>
    <w:rPr>
      <w:sz w:val="24"/>
      <w:szCs w:val="20"/>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Body Text"/>
    <w:basedOn w:val="1"/>
    <w:next w:val="17"/>
    <w:qFormat/>
    <w:uiPriority w:val="0"/>
    <w:rPr>
      <w:rFonts w:ascii="楷体_GB2312" w:hAnsi="Arial" w:eastAsia="楷体_GB2312"/>
      <w:sz w:val="28"/>
      <w:szCs w:val="28"/>
    </w:rPr>
  </w:style>
  <w:style w:type="paragraph" w:styleId="17">
    <w:name w:val="Body Text 2"/>
    <w:basedOn w:val="1"/>
    <w:qFormat/>
    <w:uiPriority w:val="0"/>
    <w:pPr>
      <w:spacing w:after="120" w:line="480" w:lineRule="auto"/>
    </w:pPr>
  </w:style>
  <w:style w:type="paragraph" w:styleId="18">
    <w:name w:val="Body Text Indent"/>
    <w:basedOn w:val="1"/>
    <w:next w:val="19"/>
    <w:semiHidden/>
    <w:unhideWhenUsed/>
    <w:qFormat/>
    <w:uiPriority w:val="99"/>
    <w:pPr>
      <w:spacing w:after="120"/>
      <w:ind w:left="420"/>
    </w:pPr>
  </w:style>
  <w:style w:type="paragraph" w:customStyle="1" w:styleId="19">
    <w:name w:val="目录 51"/>
    <w:next w:val="1"/>
    <w:qFormat/>
    <w:uiPriority w:val="0"/>
    <w:pPr>
      <w:ind w:left="1275"/>
      <w:jc w:val="both"/>
    </w:pPr>
    <w:rPr>
      <w:rFonts w:hint="default" w:ascii="Times New Roman" w:hAnsi="Times New Roman" w:eastAsia="宋体" w:cs="Times New Roman"/>
      <w:sz w:val="21"/>
      <w:lang w:val="en-US" w:eastAsia="zh-CN" w:bidi="ar-SA"/>
    </w:rPr>
  </w:style>
  <w:style w:type="paragraph" w:styleId="20">
    <w:name w:val="Block Text"/>
    <w:basedOn w:val="1"/>
    <w:qFormat/>
    <w:uiPriority w:val="6"/>
    <w:pPr>
      <w:spacing w:after="160" w:line="259" w:lineRule="auto"/>
      <w:ind w:left="256" w:right="6" w:firstLine="624"/>
    </w:pPr>
    <w:rPr>
      <w:rFonts w:ascii="Times New Roman" w:hAnsi="Times New Roman" w:eastAsia="仿宋_GB2312" w:cs="Times New Roman"/>
      <w:sz w:val="28"/>
      <w:szCs w:val="20"/>
    </w:rPr>
  </w:style>
  <w:style w:type="paragraph" w:styleId="21">
    <w:name w:val="toc 5"/>
    <w:basedOn w:val="1"/>
    <w:next w:val="1"/>
    <w:unhideWhenUsed/>
    <w:qFormat/>
    <w:uiPriority w:val="39"/>
    <w:pPr>
      <w:spacing w:after="57"/>
      <w:ind w:left="1134"/>
    </w:pPr>
  </w:style>
  <w:style w:type="paragraph" w:styleId="22">
    <w:name w:val="toc 3"/>
    <w:basedOn w:val="1"/>
    <w:next w:val="1"/>
    <w:unhideWhenUsed/>
    <w:qFormat/>
    <w:uiPriority w:val="39"/>
    <w:pPr>
      <w:spacing w:after="57"/>
      <w:ind w:left="567"/>
    </w:pPr>
  </w:style>
  <w:style w:type="paragraph" w:styleId="23">
    <w:name w:val="Plain Text"/>
    <w:basedOn w:val="1"/>
    <w:qFormat/>
    <w:uiPriority w:val="0"/>
    <w:rPr>
      <w:rFonts w:ascii="宋体" w:hAnsi="Courier New"/>
      <w:sz w:val="20"/>
      <w:szCs w:val="21"/>
    </w:rPr>
  </w:style>
  <w:style w:type="paragraph" w:styleId="24">
    <w:name w:val="toc 8"/>
    <w:basedOn w:val="1"/>
    <w:next w:val="1"/>
    <w:unhideWhenUsed/>
    <w:qFormat/>
    <w:uiPriority w:val="39"/>
    <w:pPr>
      <w:spacing w:after="57"/>
      <w:ind w:left="1984"/>
    </w:pPr>
  </w:style>
  <w:style w:type="paragraph" w:styleId="25">
    <w:name w:val="Body Text Indent 2"/>
    <w:basedOn w:val="1"/>
    <w:qFormat/>
    <w:uiPriority w:val="99"/>
    <w:pPr>
      <w:spacing w:line="480" w:lineRule="exact"/>
      <w:ind w:firstLine="562"/>
    </w:pPr>
    <w:rPr>
      <w:rFonts w:ascii="楷体_GB2312" w:eastAsia="楷体_GB2312"/>
      <w:b/>
      <w:bCs/>
      <w:sz w:val="28"/>
      <w:szCs w:val="24"/>
    </w:rPr>
  </w:style>
  <w:style w:type="paragraph" w:styleId="26">
    <w:name w:val="endnote text"/>
    <w:basedOn w:val="1"/>
    <w:link w:val="254"/>
    <w:semiHidden/>
    <w:unhideWhenUsed/>
    <w:qFormat/>
    <w:uiPriority w:val="99"/>
    <w:rPr>
      <w:sz w:val="20"/>
    </w:rPr>
  </w:style>
  <w:style w:type="paragraph" w:styleId="27">
    <w:name w:val="Balloon Text"/>
    <w:basedOn w:val="1"/>
    <w:link w:val="312"/>
    <w:semiHidden/>
    <w:unhideWhenUsed/>
    <w:qFormat/>
    <w:uiPriority w:val="99"/>
    <w:rPr>
      <w:sz w:val="18"/>
      <w:szCs w:val="18"/>
    </w:rPr>
  </w:style>
  <w:style w:type="paragraph" w:styleId="28">
    <w:name w:val="footer"/>
    <w:basedOn w:val="1"/>
    <w:link w:val="127"/>
    <w:unhideWhenUsed/>
    <w:qFormat/>
    <w:uiPriority w:val="99"/>
    <w:pPr>
      <w:tabs>
        <w:tab w:val="center" w:pos="7143"/>
        <w:tab w:val="right" w:pos="14287"/>
      </w:tabs>
    </w:pPr>
  </w:style>
  <w:style w:type="paragraph" w:styleId="29">
    <w:name w:val="envelope return"/>
    <w:basedOn w:val="1"/>
    <w:unhideWhenUsed/>
    <w:qFormat/>
    <w:uiPriority w:val="99"/>
    <w:rPr>
      <w:rFonts w:ascii="Arial" w:hAnsi="Arial"/>
    </w:rPr>
  </w:style>
  <w:style w:type="paragraph" w:styleId="30">
    <w:name w:val="header"/>
    <w:basedOn w:val="1"/>
    <w:link w:val="125"/>
    <w:unhideWhenUsed/>
    <w:qFormat/>
    <w:uiPriority w:val="99"/>
    <w:pPr>
      <w:tabs>
        <w:tab w:val="center" w:pos="7143"/>
        <w:tab w:val="right" w:pos="14287"/>
      </w:tabs>
    </w:pPr>
  </w:style>
  <w:style w:type="paragraph" w:styleId="31">
    <w:name w:val="toc 1"/>
    <w:basedOn w:val="1"/>
    <w:next w:val="1"/>
    <w:unhideWhenUsed/>
    <w:qFormat/>
    <w:uiPriority w:val="39"/>
    <w:pPr>
      <w:spacing w:after="57"/>
    </w:pPr>
  </w:style>
  <w:style w:type="paragraph" w:styleId="32">
    <w:name w:val="toc 4"/>
    <w:basedOn w:val="1"/>
    <w:next w:val="1"/>
    <w:unhideWhenUsed/>
    <w:qFormat/>
    <w:uiPriority w:val="39"/>
    <w:pPr>
      <w:spacing w:after="57"/>
      <w:ind w:left="850"/>
    </w:pPr>
  </w:style>
  <w:style w:type="paragraph" w:styleId="33">
    <w:name w:val="Subtitle"/>
    <w:basedOn w:val="1"/>
    <w:next w:val="1"/>
    <w:link w:val="120"/>
    <w:qFormat/>
    <w:uiPriority w:val="11"/>
    <w:pPr>
      <w:spacing w:before="200" w:after="200"/>
    </w:pPr>
    <w:rPr>
      <w:sz w:val="24"/>
      <w:szCs w:val="24"/>
    </w:rPr>
  </w:style>
  <w:style w:type="paragraph" w:styleId="34">
    <w:name w:val="footnote text"/>
    <w:basedOn w:val="1"/>
    <w:link w:val="253"/>
    <w:semiHidden/>
    <w:unhideWhenUsed/>
    <w:qFormat/>
    <w:uiPriority w:val="99"/>
    <w:pPr>
      <w:spacing w:after="40"/>
    </w:pPr>
    <w:rPr>
      <w:sz w:val="18"/>
    </w:rPr>
  </w:style>
  <w:style w:type="paragraph" w:styleId="35">
    <w:name w:val="toc 6"/>
    <w:basedOn w:val="1"/>
    <w:next w:val="1"/>
    <w:unhideWhenUsed/>
    <w:qFormat/>
    <w:uiPriority w:val="39"/>
    <w:pPr>
      <w:spacing w:after="57"/>
      <w:ind w:left="1417"/>
    </w:pPr>
  </w:style>
  <w:style w:type="paragraph" w:styleId="36">
    <w:name w:val="table of figures"/>
    <w:basedOn w:val="1"/>
    <w:next w:val="1"/>
    <w:unhideWhenUsed/>
    <w:qFormat/>
    <w:uiPriority w:val="99"/>
  </w:style>
  <w:style w:type="paragraph" w:styleId="37">
    <w:name w:val="toc 2"/>
    <w:basedOn w:val="1"/>
    <w:next w:val="1"/>
    <w:unhideWhenUsed/>
    <w:qFormat/>
    <w:uiPriority w:val="39"/>
    <w:pPr>
      <w:spacing w:after="57"/>
      <w:ind w:left="283"/>
    </w:pPr>
  </w:style>
  <w:style w:type="paragraph" w:styleId="38">
    <w:name w:val="toc 9"/>
    <w:basedOn w:val="1"/>
    <w:next w:val="1"/>
    <w:unhideWhenUsed/>
    <w:qFormat/>
    <w:uiPriority w:val="39"/>
    <w:pPr>
      <w:spacing w:after="57"/>
      <w:ind w:left="2268"/>
    </w:p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hanging="1080"/>
    </w:pPr>
    <w:rPr>
      <w:rFonts w:ascii="Arial" w:hAnsi="Arial"/>
      <w:sz w:val="24"/>
    </w:rPr>
  </w:style>
  <w:style w:type="paragraph" w:styleId="40">
    <w:name w:val="Normal (Web)"/>
    <w:basedOn w:val="1"/>
    <w:qFormat/>
    <w:uiPriority w:val="0"/>
    <w:pPr>
      <w:widowControl/>
      <w:spacing w:before="100" w:beforeAutospacing="1" w:after="100" w:afterAutospacing="1"/>
      <w:jc w:val="left"/>
    </w:pPr>
    <w:rPr>
      <w:rFonts w:ascii="宋体" w:hAnsi="宋体" w:eastAsia="宋体" w:cs="Times New Roman"/>
      <w:sz w:val="24"/>
      <w:szCs w:val="24"/>
    </w:rPr>
  </w:style>
  <w:style w:type="paragraph" w:styleId="41">
    <w:name w:val="Title"/>
    <w:basedOn w:val="1"/>
    <w:next w:val="1"/>
    <w:link w:val="119"/>
    <w:qFormat/>
    <w:uiPriority w:val="10"/>
    <w:pPr>
      <w:spacing w:before="300" w:after="200"/>
      <w:contextualSpacing/>
    </w:pPr>
    <w:rPr>
      <w:sz w:val="48"/>
      <w:szCs w:val="48"/>
    </w:rPr>
  </w:style>
  <w:style w:type="paragraph" w:styleId="42">
    <w:name w:val="Body Text First Indent 2"/>
    <w:basedOn w:val="18"/>
    <w:semiHidden/>
    <w:unhideWhenUsed/>
    <w:qFormat/>
    <w:uiPriority w:val="99"/>
    <w:pPr>
      <w:ind w:firstLine="420"/>
    </w:pPr>
  </w:style>
  <w:style w:type="table" w:styleId="4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endnote reference"/>
    <w:semiHidden/>
    <w:unhideWhenUsed/>
    <w:qFormat/>
    <w:uiPriority w:val="99"/>
    <w:rPr>
      <w:vertAlign w:val="superscript"/>
    </w:rPr>
  </w:style>
  <w:style w:type="character" w:styleId="47">
    <w:name w:val="Hyperlink"/>
    <w:unhideWhenUsed/>
    <w:qFormat/>
    <w:uiPriority w:val="99"/>
    <w:rPr>
      <w:color w:val="0000FF" w:themeColor="hyperlink"/>
      <w:u w:val="single"/>
      <w14:textFill>
        <w14:solidFill>
          <w14:schemeClr w14:val="hlink"/>
        </w14:solidFill>
      </w14:textFill>
    </w:rPr>
  </w:style>
  <w:style w:type="character" w:styleId="48">
    <w:name w:val="footnote reference"/>
    <w:unhideWhenUsed/>
    <w:qFormat/>
    <w:uiPriority w:val="99"/>
    <w:rPr>
      <w:vertAlign w:val="superscript"/>
    </w:rPr>
  </w:style>
  <w:style w:type="paragraph" w:customStyle="1" w:styleId="49">
    <w:name w:val="正文文本缩进11"/>
    <w:basedOn w:val="1"/>
    <w:next w:val="1"/>
    <w:unhideWhenUsed/>
    <w:qFormat/>
    <w:uiPriority w:val="99"/>
    <w:pPr>
      <w:spacing w:line="400" w:lineRule="exact"/>
      <w:ind w:firstLine="540"/>
    </w:pPr>
    <w:rPr>
      <w:sz w:val="24"/>
    </w:rPr>
  </w:style>
  <w:style w:type="paragraph" w:customStyle="1" w:styleId="50">
    <w:name w:val="正文1"/>
    <w:basedOn w:val="1"/>
    <w:next w:val="51"/>
    <w:qFormat/>
    <w:uiPriority w:val="0"/>
    <w:pPr>
      <w:spacing w:line="360" w:lineRule="atLeast"/>
      <w:jc w:val="left"/>
    </w:pPr>
    <w:rPr>
      <w:rFonts w:ascii="宋体" w:hAnsi="Calibri"/>
      <w:sz w:val="24"/>
      <w:szCs w:val="20"/>
    </w:rPr>
  </w:style>
  <w:style w:type="paragraph" w:customStyle="1" w:styleId="51">
    <w:name w:val="标题 31"/>
    <w:basedOn w:val="1"/>
    <w:next w:val="50"/>
    <w:link w:val="264"/>
    <w:qFormat/>
    <w:uiPriority w:val="0"/>
    <w:pPr>
      <w:keepNext/>
      <w:keepLines/>
      <w:spacing w:before="260" w:after="260" w:line="416" w:lineRule="auto"/>
      <w:outlineLvl w:val="2"/>
    </w:pPr>
    <w:rPr>
      <w:rFonts w:ascii="Calibri" w:hAnsi="Calibri"/>
      <w:b/>
      <w:bCs/>
      <w:sz w:val="32"/>
      <w:szCs w:val="32"/>
    </w:rPr>
  </w:style>
  <w:style w:type="paragraph" w:customStyle="1" w:styleId="52">
    <w:name w:val="正文文本1"/>
    <w:basedOn w:val="50"/>
    <w:next w:val="53"/>
    <w:qFormat/>
    <w:uiPriority w:val="0"/>
    <w:pPr>
      <w:spacing w:after="120"/>
    </w:pPr>
    <w:rPr>
      <w:rFonts w:ascii="Times New Roman" w:hAnsi="Times New Roman"/>
      <w:lang w:eastAsia="en-US"/>
    </w:rPr>
  </w:style>
  <w:style w:type="paragraph" w:customStyle="1" w:styleId="53">
    <w:name w:val="一级条标题"/>
    <w:basedOn w:val="54"/>
    <w:next w:val="56"/>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54">
    <w:name w:val="章标题"/>
    <w:next w:val="55"/>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55">
    <w:name w:val="正文11"/>
    <w:next w:val="5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56">
    <w:name w:val="段"/>
    <w:basedOn w:val="50"/>
    <w:next w:val="55"/>
    <w:qFormat/>
    <w:uiPriority w:val="0"/>
    <w:pPr>
      <w:widowControl/>
      <w:ind w:firstLine="200"/>
    </w:pPr>
    <w:rPr>
      <w:rFonts w:hAnsi="Times New Roman"/>
      <w:sz w:val="20"/>
    </w:rPr>
  </w:style>
  <w:style w:type="paragraph" w:customStyle="1" w:styleId="57">
    <w:name w:val="正文文本11"/>
    <w:basedOn w:val="1"/>
    <w:qFormat/>
    <w:uiPriority w:val="0"/>
    <w:rPr>
      <w:rFonts w:ascii="楷体_GB2312" w:hAnsi="Arial" w:eastAsia="楷体_GB2312"/>
      <w:sz w:val="28"/>
      <w:szCs w:val="28"/>
    </w:rPr>
  </w:style>
  <w:style w:type="paragraph" w:customStyle="1" w:styleId="58">
    <w:name w:val="ListBullet21"/>
    <w:basedOn w:val="1"/>
    <w:qFormat/>
    <w:uiPriority w:val="0"/>
    <w:pPr>
      <w:numPr>
        <w:ilvl w:val="0"/>
        <w:numId w:val="1"/>
      </w:numPr>
    </w:pPr>
  </w:style>
  <w:style w:type="paragraph" w:customStyle="1" w:styleId="59">
    <w:name w:val="文本块1"/>
    <w:basedOn w:val="1"/>
    <w:unhideWhenUsed/>
    <w:qFormat/>
    <w:uiPriority w:val="99"/>
    <w:pPr>
      <w:spacing w:after="120"/>
      <w:ind w:left="1440" w:right="1440"/>
    </w:pPr>
  </w:style>
  <w:style w:type="paragraph" w:customStyle="1" w:styleId="60">
    <w:name w:val="TOC Heading"/>
    <w:unhideWhenUsed/>
    <w:qFormat/>
    <w:uiPriority w:val="39"/>
    <w:rPr>
      <w:rFonts w:hint="default" w:ascii="Times New Roman" w:hAnsi="Times New Roman" w:eastAsia="宋体" w:cs="Times New Roman"/>
    </w:rPr>
  </w:style>
  <w:style w:type="paragraph" w:customStyle="1" w:styleId="61">
    <w:name w:val="ListBullet2"/>
    <w:basedOn w:val="1"/>
    <w:qFormat/>
    <w:uiPriority w:val="0"/>
    <w:pPr>
      <w:numPr>
        <w:ilvl w:val="0"/>
        <w:numId w:val="2"/>
      </w:numPr>
    </w:pPr>
  </w:style>
  <w:style w:type="paragraph" w:customStyle="1" w:styleId="62">
    <w:name w:val="正文（缩进）"/>
    <w:basedOn w:val="63"/>
    <w:qFormat/>
    <w:uiPriority w:val="0"/>
    <w:pPr>
      <w:ind w:firstLine="480"/>
    </w:pPr>
  </w:style>
  <w:style w:type="paragraph" w:customStyle="1" w:styleId="63">
    <w:name w:val="正文_2_0"/>
    <w:next w:val="6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4">
    <w:name w:val="Char Char Char Char Char Char Char Char Char"/>
    <w:basedOn w:val="65"/>
    <w:next w:val="66"/>
    <w:qFormat/>
    <w:uiPriority w:val="99"/>
    <w:pPr>
      <w:ind w:left="360" w:firstLine="5784"/>
    </w:pPr>
  </w:style>
  <w:style w:type="paragraph" w:customStyle="1" w:styleId="65">
    <w:name w:val="正文_2"/>
    <w:qFormat/>
    <w:uiPriority w:val="0"/>
    <w:rPr>
      <w:rFonts w:hint="default" w:ascii="Times New Roman" w:hAnsi="Times New Roman" w:eastAsia="宋体" w:cs="Times New Roman"/>
      <w:lang w:val="en-US" w:eastAsia="zh-CN" w:bidi="ar-SA"/>
    </w:rPr>
  </w:style>
  <w:style w:type="paragraph" w:customStyle="1" w:styleId="66">
    <w:name w:val="正文文本 21"/>
    <w:basedOn w:val="1"/>
    <w:next w:val="67"/>
    <w:qFormat/>
    <w:uiPriority w:val="99"/>
    <w:pPr>
      <w:widowControl/>
      <w:ind w:left="720" w:firstLine="5680"/>
    </w:pPr>
  </w:style>
  <w:style w:type="paragraph" w:customStyle="1" w:styleId="67">
    <w:name w:val="默认段落字体 Para Char Char Char Char Char Char Char"/>
    <w:basedOn w:val="1"/>
    <w:next w:val="68"/>
    <w:qFormat/>
    <w:uiPriority w:val="99"/>
    <w:pPr>
      <w:ind w:firstLine="200"/>
    </w:pPr>
    <w:rPr>
      <w:rFonts w:cs="Arial"/>
    </w:rPr>
  </w:style>
  <w:style w:type="paragraph" w:customStyle="1" w:styleId="68">
    <w:name w:val="样式 首行缩进:  2 字符"/>
    <w:basedOn w:val="1"/>
    <w:next w:val="69"/>
    <w:qFormat/>
    <w:uiPriority w:val="99"/>
    <w:pPr>
      <w:spacing w:line="360" w:lineRule="auto"/>
      <w:ind w:left="480" w:firstLine="5856"/>
    </w:pPr>
  </w:style>
  <w:style w:type="paragraph" w:customStyle="1" w:styleId="69">
    <w:name w:val="样式 段后: 0.25 行"/>
    <w:basedOn w:val="1"/>
    <w:next w:val="70"/>
    <w:qFormat/>
    <w:uiPriority w:val="99"/>
    <w:pPr>
      <w:widowControl/>
      <w:spacing w:line="300" w:lineRule="auto"/>
      <w:ind w:left="420" w:firstLine="5796"/>
    </w:pPr>
  </w:style>
  <w:style w:type="paragraph" w:customStyle="1" w:styleId="70">
    <w:name w:val="正文 New New New New New New New New New New New New New New"/>
    <w:next w:val="38"/>
    <w:qFormat/>
    <w:uiPriority w:val="99"/>
    <w:pPr>
      <w:widowControl w:val="0"/>
      <w:ind w:firstLine="2048"/>
      <w:jc w:val="both"/>
    </w:pPr>
    <w:rPr>
      <w:rFonts w:hint="default" w:ascii="Calibri" w:hAnsi="Calibri" w:eastAsia="宋体" w:cs="Times New Roman"/>
      <w:lang w:val="en-US" w:eastAsia="zh-CN" w:bidi="ar-SA"/>
    </w:rPr>
  </w:style>
  <w:style w:type="character" w:customStyle="1" w:styleId="71">
    <w:name w:val="Heading 1 Char"/>
    <w:basedOn w:val="45"/>
    <w:qFormat/>
    <w:uiPriority w:val="9"/>
    <w:rPr>
      <w:rFonts w:ascii="Arial" w:hAnsi="Arial" w:eastAsia="Arial" w:cs="Arial"/>
      <w:sz w:val="40"/>
      <w:szCs w:val="40"/>
    </w:rPr>
  </w:style>
  <w:style w:type="character" w:customStyle="1" w:styleId="72">
    <w:name w:val="Heading 2 Char"/>
    <w:basedOn w:val="45"/>
    <w:qFormat/>
    <w:uiPriority w:val="9"/>
    <w:rPr>
      <w:rFonts w:ascii="Arial" w:hAnsi="Arial" w:eastAsia="Arial" w:cs="Arial"/>
      <w:sz w:val="34"/>
    </w:rPr>
  </w:style>
  <w:style w:type="character" w:customStyle="1" w:styleId="73">
    <w:name w:val="Heading 3 Char"/>
    <w:basedOn w:val="45"/>
    <w:qFormat/>
    <w:uiPriority w:val="9"/>
    <w:rPr>
      <w:rFonts w:ascii="Arial" w:hAnsi="Arial" w:eastAsia="Arial" w:cs="Arial"/>
      <w:sz w:val="30"/>
      <w:szCs w:val="30"/>
    </w:rPr>
  </w:style>
  <w:style w:type="character" w:customStyle="1" w:styleId="74">
    <w:name w:val="Heading 4 Char"/>
    <w:basedOn w:val="45"/>
    <w:qFormat/>
    <w:uiPriority w:val="9"/>
    <w:rPr>
      <w:rFonts w:ascii="Arial" w:hAnsi="Arial" w:eastAsia="Arial" w:cs="Arial"/>
      <w:b/>
      <w:bCs/>
      <w:sz w:val="26"/>
      <w:szCs w:val="26"/>
    </w:rPr>
  </w:style>
  <w:style w:type="character" w:customStyle="1" w:styleId="75">
    <w:name w:val="Heading 5 Char"/>
    <w:basedOn w:val="45"/>
    <w:qFormat/>
    <w:uiPriority w:val="9"/>
    <w:rPr>
      <w:rFonts w:ascii="Arial" w:hAnsi="Arial" w:eastAsia="Arial" w:cs="Arial"/>
      <w:b/>
      <w:bCs/>
      <w:sz w:val="24"/>
      <w:szCs w:val="24"/>
    </w:rPr>
  </w:style>
  <w:style w:type="character" w:customStyle="1" w:styleId="76">
    <w:name w:val="Heading 6 Char"/>
    <w:basedOn w:val="45"/>
    <w:qFormat/>
    <w:uiPriority w:val="9"/>
    <w:rPr>
      <w:rFonts w:ascii="Arial" w:hAnsi="Arial" w:eastAsia="Arial" w:cs="Arial"/>
      <w:b/>
      <w:bCs/>
      <w:sz w:val="22"/>
      <w:szCs w:val="22"/>
    </w:rPr>
  </w:style>
  <w:style w:type="character" w:customStyle="1" w:styleId="77">
    <w:name w:val="Heading 7 Char"/>
    <w:basedOn w:val="45"/>
    <w:qFormat/>
    <w:uiPriority w:val="9"/>
    <w:rPr>
      <w:rFonts w:ascii="Arial" w:hAnsi="Arial" w:eastAsia="Arial" w:cs="Arial"/>
      <w:b/>
      <w:bCs/>
      <w:i/>
      <w:iCs/>
      <w:sz w:val="22"/>
      <w:szCs w:val="22"/>
    </w:rPr>
  </w:style>
  <w:style w:type="character" w:customStyle="1" w:styleId="78">
    <w:name w:val="Heading 8 Char"/>
    <w:basedOn w:val="45"/>
    <w:qFormat/>
    <w:uiPriority w:val="9"/>
    <w:rPr>
      <w:rFonts w:ascii="Arial" w:hAnsi="Arial" w:eastAsia="Arial" w:cs="Arial"/>
      <w:i/>
      <w:iCs/>
      <w:sz w:val="22"/>
      <w:szCs w:val="22"/>
    </w:rPr>
  </w:style>
  <w:style w:type="character" w:customStyle="1" w:styleId="79">
    <w:name w:val="Heading 9 Char"/>
    <w:basedOn w:val="45"/>
    <w:qFormat/>
    <w:uiPriority w:val="9"/>
    <w:rPr>
      <w:rFonts w:ascii="Arial" w:hAnsi="Arial" w:eastAsia="Arial" w:cs="Arial"/>
      <w:i/>
      <w:iCs/>
      <w:sz w:val="21"/>
      <w:szCs w:val="21"/>
    </w:rPr>
  </w:style>
  <w:style w:type="character" w:customStyle="1" w:styleId="80">
    <w:name w:val="Title Char"/>
    <w:basedOn w:val="45"/>
    <w:qFormat/>
    <w:uiPriority w:val="10"/>
    <w:rPr>
      <w:sz w:val="48"/>
      <w:szCs w:val="48"/>
    </w:rPr>
  </w:style>
  <w:style w:type="character" w:customStyle="1" w:styleId="81">
    <w:name w:val="Subtitle Char"/>
    <w:basedOn w:val="45"/>
    <w:qFormat/>
    <w:uiPriority w:val="11"/>
    <w:rPr>
      <w:sz w:val="24"/>
      <w:szCs w:val="24"/>
    </w:rPr>
  </w:style>
  <w:style w:type="character" w:customStyle="1" w:styleId="82">
    <w:name w:val="Quote Char"/>
    <w:qFormat/>
    <w:uiPriority w:val="29"/>
    <w:rPr>
      <w:i/>
    </w:rPr>
  </w:style>
  <w:style w:type="character" w:customStyle="1" w:styleId="83">
    <w:name w:val="Intense Quote Char"/>
    <w:qFormat/>
    <w:uiPriority w:val="30"/>
    <w:rPr>
      <w:i/>
    </w:rPr>
  </w:style>
  <w:style w:type="character" w:customStyle="1" w:styleId="84">
    <w:name w:val="Header Char"/>
    <w:basedOn w:val="45"/>
    <w:qFormat/>
    <w:uiPriority w:val="99"/>
  </w:style>
  <w:style w:type="character" w:customStyle="1" w:styleId="85">
    <w:name w:val="Caption Char"/>
    <w:qFormat/>
    <w:uiPriority w:val="99"/>
  </w:style>
  <w:style w:type="table" w:customStyle="1" w:styleId="86">
    <w:name w:val="Plain Table 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7">
    <w:name w:val="Plain Table 2"/>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8">
    <w:name w:val="Plain Table 3"/>
    <w:basedOn w:val="4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9">
    <w:name w:val="Plain Table 4"/>
    <w:basedOn w:val="4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0">
    <w:name w:val="Plain Table 5"/>
    <w:basedOn w:val="4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91">
    <w:name w:val="Grid Table 1 Light"/>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2">
    <w:name w:val="Grid Table 2"/>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Grid Table 4"/>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5 Dark"/>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6 Colorful"/>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7 Colorful"/>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List Table 1 Light"/>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9">
    <w:name w:val="List Table 2"/>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0">
    <w:name w:val="List Table 3"/>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1">
    <w:name w:val="List Table 4"/>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2">
    <w:name w:val="List Table 5 Dark"/>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03">
    <w:name w:val="List Table 6 Colorful"/>
    <w:basedOn w:val="4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04">
    <w:name w:val="List Table 7 Colorful"/>
    <w:basedOn w:val="4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05">
    <w:name w:val="Footnote Text Char"/>
    <w:qFormat/>
    <w:uiPriority w:val="99"/>
    <w:rPr>
      <w:sz w:val="18"/>
    </w:rPr>
  </w:style>
  <w:style w:type="character" w:customStyle="1" w:styleId="106">
    <w:name w:val="Endnote Text Char"/>
    <w:qFormat/>
    <w:uiPriority w:val="99"/>
    <w:rPr>
      <w:sz w:val="20"/>
    </w:rPr>
  </w:style>
  <w:style w:type="paragraph" w:customStyle="1" w:styleId="107">
    <w:name w:val="TOC 标题1"/>
    <w:unhideWhenUsed/>
    <w:qFormat/>
    <w:uiPriority w:val="39"/>
    <w:rPr>
      <w:rFonts w:hint="default" w:ascii="Times New Roman" w:hAnsi="Times New Roman" w:eastAsia="宋体" w:cs="Times New Roman"/>
      <w:lang w:val="en-US" w:eastAsia="zh-CN" w:bidi="ar-SA"/>
    </w:rPr>
  </w:style>
  <w:style w:type="character" w:customStyle="1" w:styleId="108">
    <w:name w:val="标题 1 Char1"/>
    <w:link w:val="3"/>
    <w:qFormat/>
    <w:uiPriority w:val="9"/>
    <w:rPr>
      <w:rFonts w:ascii="Arial" w:hAnsi="Arial" w:eastAsia="Arial" w:cs="Arial"/>
      <w:sz w:val="40"/>
      <w:szCs w:val="40"/>
    </w:rPr>
  </w:style>
  <w:style w:type="character" w:customStyle="1" w:styleId="109">
    <w:name w:val="标题 2 Char1"/>
    <w:link w:val="4"/>
    <w:qFormat/>
    <w:uiPriority w:val="9"/>
    <w:rPr>
      <w:rFonts w:ascii="Arial" w:hAnsi="Arial" w:eastAsia="Arial" w:cs="Arial"/>
      <w:sz w:val="34"/>
    </w:rPr>
  </w:style>
  <w:style w:type="character" w:customStyle="1" w:styleId="110">
    <w:name w:val="标题 3 Char1"/>
    <w:link w:val="5"/>
    <w:qFormat/>
    <w:uiPriority w:val="9"/>
    <w:rPr>
      <w:rFonts w:ascii="Arial" w:hAnsi="Arial" w:eastAsia="Arial" w:cs="Arial"/>
      <w:sz w:val="30"/>
      <w:szCs w:val="30"/>
    </w:rPr>
  </w:style>
  <w:style w:type="character" w:customStyle="1" w:styleId="111">
    <w:name w:val="标题 4 Char1"/>
    <w:link w:val="6"/>
    <w:qFormat/>
    <w:uiPriority w:val="9"/>
    <w:rPr>
      <w:rFonts w:ascii="Arial" w:hAnsi="Arial" w:eastAsia="Arial" w:cs="Arial"/>
      <w:b/>
      <w:bCs/>
      <w:sz w:val="26"/>
      <w:szCs w:val="26"/>
    </w:rPr>
  </w:style>
  <w:style w:type="character" w:customStyle="1" w:styleId="112">
    <w:name w:val="标题 5 Char"/>
    <w:link w:val="7"/>
    <w:qFormat/>
    <w:uiPriority w:val="9"/>
    <w:rPr>
      <w:rFonts w:ascii="Arial" w:hAnsi="Arial" w:eastAsia="Arial" w:cs="Arial"/>
      <w:b/>
      <w:bCs/>
      <w:sz w:val="24"/>
      <w:szCs w:val="24"/>
    </w:rPr>
  </w:style>
  <w:style w:type="character" w:customStyle="1" w:styleId="113">
    <w:name w:val="标题 6 Char"/>
    <w:link w:val="8"/>
    <w:qFormat/>
    <w:uiPriority w:val="9"/>
    <w:rPr>
      <w:rFonts w:ascii="Arial" w:hAnsi="Arial" w:eastAsia="Arial" w:cs="Arial"/>
      <w:b/>
      <w:bCs/>
      <w:sz w:val="22"/>
      <w:szCs w:val="22"/>
    </w:rPr>
  </w:style>
  <w:style w:type="character" w:customStyle="1" w:styleId="114">
    <w:name w:val="标题 7 Char"/>
    <w:link w:val="9"/>
    <w:qFormat/>
    <w:uiPriority w:val="9"/>
    <w:rPr>
      <w:rFonts w:ascii="Arial" w:hAnsi="Arial" w:eastAsia="Arial" w:cs="Arial"/>
      <w:b/>
      <w:bCs/>
      <w:i/>
      <w:iCs/>
      <w:sz w:val="22"/>
      <w:szCs w:val="22"/>
    </w:rPr>
  </w:style>
  <w:style w:type="character" w:customStyle="1" w:styleId="115">
    <w:name w:val="标题 8 Char"/>
    <w:link w:val="10"/>
    <w:qFormat/>
    <w:uiPriority w:val="9"/>
    <w:rPr>
      <w:rFonts w:ascii="Arial" w:hAnsi="Arial" w:eastAsia="Arial" w:cs="Arial"/>
      <w:i/>
      <w:iCs/>
      <w:sz w:val="22"/>
      <w:szCs w:val="22"/>
    </w:rPr>
  </w:style>
  <w:style w:type="character" w:customStyle="1" w:styleId="116">
    <w:name w:val="标题 9 Char"/>
    <w:link w:val="11"/>
    <w:qFormat/>
    <w:uiPriority w:val="9"/>
    <w:rPr>
      <w:rFonts w:ascii="Arial" w:hAnsi="Arial" w:eastAsia="Arial" w:cs="Arial"/>
      <w:i/>
      <w:iCs/>
      <w:sz w:val="21"/>
      <w:szCs w:val="21"/>
    </w:rPr>
  </w:style>
  <w:style w:type="paragraph" w:styleId="117">
    <w:name w:val="List Paragraph"/>
    <w:basedOn w:val="1"/>
    <w:next w:val="1"/>
    <w:qFormat/>
    <w:uiPriority w:val="34"/>
    <w:pPr>
      <w:ind w:left="720"/>
      <w:contextualSpacing/>
    </w:pPr>
  </w:style>
  <w:style w:type="paragraph" w:styleId="118">
    <w:name w:val="No Spacing"/>
    <w:qFormat/>
    <w:uiPriority w:val="1"/>
    <w:rPr>
      <w:rFonts w:hint="default" w:ascii="Times New Roman" w:hAnsi="Times New Roman" w:eastAsia="宋体" w:cs="Times New Roman"/>
      <w:lang w:val="en-US" w:eastAsia="zh-CN" w:bidi="ar-SA"/>
    </w:rPr>
  </w:style>
  <w:style w:type="character" w:customStyle="1" w:styleId="119">
    <w:name w:val="标题 Char"/>
    <w:link w:val="41"/>
    <w:qFormat/>
    <w:uiPriority w:val="10"/>
    <w:rPr>
      <w:sz w:val="48"/>
      <w:szCs w:val="48"/>
    </w:rPr>
  </w:style>
  <w:style w:type="character" w:customStyle="1" w:styleId="120">
    <w:name w:val="副标题 Char"/>
    <w:link w:val="33"/>
    <w:qFormat/>
    <w:uiPriority w:val="11"/>
    <w:rPr>
      <w:sz w:val="24"/>
      <w:szCs w:val="24"/>
    </w:rPr>
  </w:style>
  <w:style w:type="paragraph" w:styleId="121">
    <w:name w:val="Quote"/>
    <w:basedOn w:val="1"/>
    <w:next w:val="1"/>
    <w:link w:val="122"/>
    <w:qFormat/>
    <w:uiPriority w:val="29"/>
    <w:pPr>
      <w:ind w:left="720" w:right="720"/>
    </w:pPr>
    <w:rPr>
      <w:i/>
    </w:rPr>
  </w:style>
  <w:style w:type="character" w:customStyle="1" w:styleId="122">
    <w:name w:val="引用 Char"/>
    <w:link w:val="121"/>
    <w:qFormat/>
    <w:uiPriority w:val="29"/>
    <w:rPr>
      <w:i/>
    </w:rPr>
  </w:style>
  <w:style w:type="paragraph" w:styleId="123">
    <w:name w:val="Intense Quote"/>
    <w:basedOn w:val="1"/>
    <w:next w:val="1"/>
    <w:link w:val="12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24">
    <w:name w:val="明显引用 Char"/>
    <w:link w:val="123"/>
    <w:qFormat/>
    <w:uiPriority w:val="30"/>
    <w:rPr>
      <w:i/>
    </w:rPr>
  </w:style>
  <w:style w:type="character" w:customStyle="1" w:styleId="125">
    <w:name w:val="页眉 Char2"/>
    <w:link w:val="30"/>
    <w:qFormat/>
    <w:uiPriority w:val="99"/>
  </w:style>
  <w:style w:type="character" w:customStyle="1" w:styleId="126">
    <w:name w:val="Footer Char"/>
    <w:qFormat/>
    <w:uiPriority w:val="99"/>
  </w:style>
  <w:style w:type="character" w:customStyle="1" w:styleId="127">
    <w:name w:val="页脚 Char2"/>
    <w:link w:val="28"/>
    <w:qFormat/>
    <w:uiPriority w:val="99"/>
  </w:style>
  <w:style w:type="table" w:customStyle="1" w:styleId="128">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29">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30">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31">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2">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3">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4">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35">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36">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37">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38">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39">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40">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41">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2">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43">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44">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45">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46">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47">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48">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9">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50">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51">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52">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53">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5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55">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56">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57">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58">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59">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60">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61">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62">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63">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64">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65">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66">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67">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68">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69">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71">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2">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73">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4">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75">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76">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7">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78">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9">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80">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1">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82">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83">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84">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85">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86">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87">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88">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89">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90">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91">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92">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93">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94">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95">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96">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97">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98">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99">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200">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0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02">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03">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04">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05">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06">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07">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08">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09">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10">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11">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12">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13">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14">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15">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16">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17">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18">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19">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20">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1">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2">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23">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24">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25">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26">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27">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8">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9">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30">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31">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32">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3">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34">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35">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36">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37">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38">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39">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40">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41">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42">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43">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44">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45">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46">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7">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48">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49">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50">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51">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52">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53">
    <w:name w:val="脚注文本 Char"/>
    <w:link w:val="34"/>
    <w:qFormat/>
    <w:uiPriority w:val="99"/>
    <w:rPr>
      <w:sz w:val="18"/>
    </w:rPr>
  </w:style>
  <w:style w:type="character" w:customStyle="1" w:styleId="254">
    <w:name w:val="尾注文本 Char"/>
    <w:link w:val="26"/>
    <w:qFormat/>
    <w:uiPriority w:val="99"/>
    <w:rPr>
      <w:sz w:val="20"/>
    </w:rPr>
  </w:style>
  <w:style w:type="paragraph" w:customStyle="1" w:styleId="255">
    <w:name w:val="TOC 标题11"/>
    <w:unhideWhenUsed/>
    <w:qFormat/>
    <w:uiPriority w:val="39"/>
    <w:rPr>
      <w:rFonts w:hint="default" w:ascii="Times New Roman" w:hAnsi="Times New Roman" w:eastAsia="宋体" w:cs="Times New Roman"/>
      <w:lang w:val="en-US" w:eastAsia="zh-CN" w:bidi="ar-SA"/>
    </w:rPr>
  </w:style>
  <w:style w:type="paragraph" w:customStyle="1" w:styleId="256">
    <w:name w:val="标题 11"/>
    <w:basedOn w:val="1"/>
    <w:next w:val="1"/>
    <w:link w:val="262"/>
    <w:qFormat/>
    <w:uiPriority w:val="0"/>
    <w:pPr>
      <w:keepNext/>
      <w:keepLines/>
      <w:spacing w:before="340" w:after="330" w:line="578" w:lineRule="auto"/>
      <w:outlineLvl w:val="0"/>
    </w:pPr>
    <w:rPr>
      <w:rFonts w:ascii="Calibri" w:hAnsi="Calibri"/>
      <w:b/>
      <w:bCs/>
      <w:sz w:val="44"/>
      <w:szCs w:val="44"/>
    </w:rPr>
  </w:style>
  <w:style w:type="paragraph" w:customStyle="1" w:styleId="257">
    <w:name w:val="标题 21"/>
    <w:basedOn w:val="1"/>
    <w:next w:val="258"/>
    <w:link w:val="263"/>
    <w:qFormat/>
    <w:uiPriority w:val="0"/>
    <w:pPr>
      <w:keepNext/>
      <w:keepLines/>
      <w:spacing w:before="260" w:after="260" w:line="416" w:lineRule="auto"/>
      <w:outlineLvl w:val="1"/>
    </w:pPr>
    <w:rPr>
      <w:rFonts w:ascii="Cambria" w:hAnsi="Cambria"/>
      <w:b/>
      <w:bCs/>
      <w:sz w:val="32"/>
      <w:szCs w:val="32"/>
    </w:rPr>
  </w:style>
  <w:style w:type="paragraph" w:customStyle="1" w:styleId="258">
    <w:name w:val="正文缩进1"/>
    <w:basedOn w:val="1"/>
    <w:qFormat/>
    <w:uiPriority w:val="0"/>
    <w:pPr>
      <w:ind w:firstLine="420"/>
    </w:pPr>
    <w:rPr>
      <w:rFonts w:ascii="Calibri" w:hAnsi="Calibri"/>
    </w:rPr>
  </w:style>
  <w:style w:type="paragraph" w:customStyle="1" w:styleId="259">
    <w:name w:val="标题 41"/>
    <w:basedOn w:val="1"/>
    <w:next w:val="258"/>
    <w:link w:val="265"/>
    <w:qFormat/>
    <w:uiPriority w:val="0"/>
    <w:pPr>
      <w:spacing w:before="280" w:after="290" w:line="377" w:lineRule="auto"/>
      <w:outlineLvl w:val="3"/>
    </w:pPr>
    <w:rPr>
      <w:rFonts w:ascii="Arial" w:hAnsi="Arial" w:eastAsia="黑体"/>
      <w:b/>
      <w:bCs/>
      <w:sz w:val="28"/>
      <w:szCs w:val="28"/>
    </w:rPr>
  </w:style>
  <w:style w:type="character" w:customStyle="1" w:styleId="260">
    <w:name w:val="默认段落字体1"/>
    <w:qFormat/>
    <w:uiPriority w:val="0"/>
    <w:rPr>
      <w:rFonts w:ascii="Times New Roman" w:hAnsi="Times New Roman" w:eastAsia="宋体" w:cs="Times New Roman"/>
    </w:rPr>
  </w:style>
  <w:style w:type="table" w:customStyle="1" w:styleId="261">
    <w:name w:val="普通表格1"/>
    <w:qFormat/>
    <w:uiPriority w:val="0"/>
    <w:tblPr>
      <w:tblCellMar>
        <w:top w:w="0" w:type="dxa"/>
        <w:left w:w="0" w:type="dxa"/>
        <w:bottom w:w="0" w:type="dxa"/>
        <w:right w:w="0" w:type="dxa"/>
      </w:tblCellMar>
    </w:tblPr>
  </w:style>
  <w:style w:type="character" w:customStyle="1" w:styleId="262">
    <w:name w:val="标题 1 Char"/>
    <w:link w:val="256"/>
    <w:qFormat/>
    <w:uiPriority w:val="0"/>
    <w:rPr>
      <w:rFonts w:ascii="Calibri" w:hAnsi="Calibri" w:eastAsia="宋体" w:cs="Times New Roman"/>
      <w:b/>
      <w:bCs/>
      <w:sz w:val="44"/>
      <w:szCs w:val="44"/>
    </w:rPr>
  </w:style>
  <w:style w:type="character" w:customStyle="1" w:styleId="263">
    <w:name w:val="标题 2 Char"/>
    <w:link w:val="257"/>
    <w:qFormat/>
    <w:uiPriority w:val="0"/>
    <w:rPr>
      <w:rFonts w:ascii="Cambria" w:hAnsi="Cambria" w:eastAsia="宋体" w:cs="Times New Roman"/>
      <w:b/>
      <w:bCs/>
      <w:sz w:val="32"/>
      <w:szCs w:val="32"/>
    </w:rPr>
  </w:style>
  <w:style w:type="character" w:customStyle="1" w:styleId="264">
    <w:name w:val="标题 3 Char"/>
    <w:link w:val="51"/>
    <w:qFormat/>
    <w:uiPriority w:val="0"/>
    <w:rPr>
      <w:rFonts w:ascii="Calibri" w:hAnsi="Calibri" w:eastAsia="宋体" w:cs="Times New Roman"/>
      <w:b/>
      <w:bCs/>
      <w:sz w:val="32"/>
      <w:szCs w:val="32"/>
    </w:rPr>
  </w:style>
  <w:style w:type="character" w:customStyle="1" w:styleId="265">
    <w:name w:val="标题 4 Char"/>
    <w:link w:val="259"/>
    <w:qFormat/>
    <w:uiPriority w:val="0"/>
    <w:rPr>
      <w:rFonts w:ascii="Arial" w:hAnsi="Arial" w:eastAsia="黑体" w:cs="Times New Roman"/>
      <w:b/>
      <w:bCs/>
      <w:sz w:val="28"/>
      <w:szCs w:val="28"/>
    </w:rPr>
  </w:style>
  <w:style w:type="paragraph" w:customStyle="1" w:styleId="266">
    <w:name w:val="文档结构图1"/>
    <w:basedOn w:val="1"/>
    <w:link w:val="267"/>
    <w:qFormat/>
    <w:uiPriority w:val="0"/>
    <w:rPr>
      <w:rFonts w:ascii="宋体"/>
      <w:sz w:val="18"/>
      <w:szCs w:val="18"/>
    </w:rPr>
  </w:style>
  <w:style w:type="character" w:customStyle="1" w:styleId="267">
    <w:name w:val="文档结构图 Char"/>
    <w:link w:val="266"/>
    <w:qFormat/>
    <w:uiPriority w:val="0"/>
    <w:rPr>
      <w:rFonts w:ascii="宋体" w:hAnsi="Times New Roman" w:eastAsia="宋体" w:cs="Times New Roman"/>
      <w:sz w:val="18"/>
      <w:szCs w:val="18"/>
    </w:rPr>
  </w:style>
  <w:style w:type="paragraph" w:customStyle="1" w:styleId="268">
    <w:name w:val="引文目录标题1"/>
    <w:basedOn w:val="1"/>
    <w:next w:val="1"/>
    <w:qFormat/>
    <w:uiPriority w:val="0"/>
    <w:pPr>
      <w:spacing w:before="120"/>
    </w:pPr>
    <w:rPr>
      <w:rFonts w:ascii="Cambria" w:hAnsi="Cambria"/>
      <w:sz w:val="24"/>
    </w:rPr>
  </w:style>
  <w:style w:type="paragraph" w:customStyle="1" w:styleId="269">
    <w:name w:val="批注文字1"/>
    <w:basedOn w:val="1"/>
    <w:qFormat/>
    <w:uiPriority w:val="0"/>
    <w:pPr>
      <w:jc w:val="left"/>
    </w:pPr>
  </w:style>
  <w:style w:type="paragraph" w:customStyle="1" w:styleId="270">
    <w:name w:val="正文文本缩进1"/>
    <w:basedOn w:val="1"/>
    <w:next w:val="55"/>
    <w:qFormat/>
    <w:uiPriority w:val="0"/>
    <w:pPr>
      <w:tabs>
        <w:tab w:val="left" w:pos="0"/>
        <w:tab w:val="left" w:pos="993"/>
        <w:tab w:val="left" w:pos="1134"/>
      </w:tabs>
      <w:spacing w:line="500" w:lineRule="exact"/>
      <w:ind w:firstLine="567"/>
    </w:pPr>
    <w:rPr>
      <w:rFonts w:ascii="宋体" w:hAnsi="Calibri"/>
      <w:sz w:val="28"/>
    </w:rPr>
  </w:style>
  <w:style w:type="paragraph" w:customStyle="1" w:styleId="271">
    <w:name w:val="正文首行缩进 21"/>
    <w:basedOn w:val="270"/>
    <w:next w:val="55"/>
    <w:qFormat/>
    <w:uiPriority w:val="0"/>
    <w:pPr>
      <w:ind w:firstLine="420"/>
    </w:pPr>
    <w:rPr>
      <w:rFonts w:ascii="Times New Roman" w:cs="宋体"/>
      <w:szCs w:val="21"/>
    </w:rPr>
  </w:style>
  <w:style w:type="paragraph" w:customStyle="1" w:styleId="272">
    <w:name w:val="寄信人地址1"/>
    <w:basedOn w:val="1"/>
    <w:qFormat/>
    <w:uiPriority w:val="0"/>
    <w:rPr>
      <w:rFonts w:ascii="Arial" w:hAnsi="Arial"/>
    </w:rPr>
  </w:style>
  <w:style w:type="paragraph" w:customStyle="1" w:styleId="273">
    <w:name w:val="纯文本1"/>
    <w:basedOn w:val="1"/>
    <w:link w:val="274"/>
    <w:qFormat/>
    <w:uiPriority w:val="0"/>
    <w:rPr>
      <w:rFonts w:ascii="宋体" w:hAnsi="Courier New"/>
      <w:sz w:val="20"/>
      <w:szCs w:val="20"/>
    </w:rPr>
  </w:style>
  <w:style w:type="character" w:customStyle="1" w:styleId="274">
    <w:name w:val="纯文本 Char"/>
    <w:link w:val="273"/>
    <w:qFormat/>
    <w:uiPriority w:val="0"/>
    <w:rPr>
      <w:rFonts w:ascii="宋体" w:hAnsi="Courier New" w:eastAsia="宋体" w:cs="Times New Roman"/>
    </w:rPr>
  </w:style>
  <w:style w:type="paragraph" w:customStyle="1" w:styleId="275">
    <w:name w:val="日期1"/>
    <w:basedOn w:val="1"/>
    <w:next w:val="1"/>
    <w:link w:val="276"/>
    <w:qFormat/>
    <w:uiPriority w:val="0"/>
    <w:rPr>
      <w:sz w:val="24"/>
      <w:szCs w:val="20"/>
    </w:rPr>
  </w:style>
  <w:style w:type="character" w:customStyle="1" w:styleId="276">
    <w:name w:val="日期 Char"/>
    <w:link w:val="275"/>
    <w:qFormat/>
    <w:uiPriority w:val="0"/>
    <w:rPr>
      <w:rFonts w:ascii="Times New Roman" w:hAnsi="Times New Roman" w:eastAsia="宋体" w:cs="Times New Roman"/>
      <w:sz w:val="24"/>
    </w:rPr>
  </w:style>
  <w:style w:type="paragraph" w:customStyle="1" w:styleId="277">
    <w:name w:val="批注框文本1"/>
    <w:basedOn w:val="1"/>
    <w:link w:val="278"/>
    <w:qFormat/>
    <w:uiPriority w:val="0"/>
    <w:rPr>
      <w:sz w:val="18"/>
      <w:szCs w:val="18"/>
    </w:rPr>
  </w:style>
  <w:style w:type="character" w:customStyle="1" w:styleId="278">
    <w:name w:val="批注框文本 Char"/>
    <w:link w:val="277"/>
    <w:qFormat/>
    <w:uiPriority w:val="0"/>
    <w:rPr>
      <w:rFonts w:ascii="Times New Roman" w:hAnsi="Times New Roman" w:eastAsia="宋体" w:cs="Times New Roman"/>
      <w:sz w:val="18"/>
      <w:szCs w:val="18"/>
    </w:rPr>
  </w:style>
  <w:style w:type="paragraph" w:customStyle="1" w:styleId="279">
    <w:name w:val="页脚1"/>
    <w:basedOn w:val="1"/>
    <w:link w:val="280"/>
    <w:qFormat/>
    <w:uiPriority w:val="0"/>
    <w:pPr>
      <w:tabs>
        <w:tab w:val="center" w:pos="4153"/>
        <w:tab w:val="right" w:pos="8306"/>
      </w:tabs>
      <w:jc w:val="left"/>
    </w:pPr>
    <w:rPr>
      <w:sz w:val="18"/>
      <w:szCs w:val="18"/>
    </w:rPr>
  </w:style>
  <w:style w:type="character" w:customStyle="1" w:styleId="280">
    <w:name w:val="页脚 Char"/>
    <w:link w:val="279"/>
    <w:qFormat/>
    <w:uiPriority w:val="0"/>
    <w:rPr>
      <w:rFonts w:ascii="Times New Roman" w:hAnsi="Times New Roman" w:eastAsia="宋体" w:cs="Times New Roman"/>
      <w:sz w:val="18"/>
      <w:szCs w:val="18"/>
    </w:rPr>
  </w:style>
  <w:style w:type="paragraph" w:customStyle="1" w:styleId="281">
    <w:name w:val="页眉1"/>
    <w:basedOn w:val="1"/>
    <w:link w:val="282"/>
    <w:qFormat/>
    <w:uiPriority w:val="0"/>
    <w:pPr>
      <w:pBdr>
        <w:bottom w:val="single" w:color="000000" w:sz="6" w:space="1"/>
      </w:pBdr>
      <w:tabs>
        <w:tab w:val="center" w:pos="4153"/>
        <w:tab w:val="right" w:pos="8306"/>
      </w:tabs>
      <w:jc w:val="center"/>
    </w:pPr>
    <w:rPr>
      <w:sz w:val="18"/>
      <w:szCs w:val="18"/>
    </w:rPr>
  </w:style>
  <w:style w:type="character" w:customStyle="1" w:styleId="282">
    <w:name w:val="页眉 Char"/>
    <w:link w:val="281"/>
    <w:qFormat/>
    <w:uiPriority w:val="0"/>
    <w:rPr>
      <w:rFonts w:ascii="Times New Roman" w:hAnsi="Times New Roman" w:eastAsia="宋体" w:cs="Times New Roman"/>
      <w:sz w:val="18"/>
      <w:szCs w:val="18"/>
    </w:rPr>
  </w:style>
  <w:style w:type="paragraph" w:customStyle="1" w:styleId="283">
    <w:name w:val="目录 11"/>
    <w:basedOn w:val="1"/>
    <w:next w:val="1"/>
    <w:qFormat/>
    <w:uiPriority w:val="0"/>
    <w:rPr>
      <w:rFonts w:ascii="Calibri" w:hAnsi="Calibri"/>
    </w:rPr>
  </w:style>
  <w:style w:type="paragraph" w:customStyle="1" w:styleId="284">
    <w:name w:val="目录 21"/>
    <w:basedOn w:val="1"/>
    <w:next w:val="1"/>
    <w:qFormat/>
    <w:uiPriority w:val="0"/>
    <w:pPr>
      <w:ind w:left="420"/>
    </w:pPr>
  </w:style>
  <w:style w:type="paragraph" w:customStyle="1" w:styleId="285">
    <w:name w:val="普通(网站)1"/>
    <w:basedOn w:val="1"/>
    <w:qFormat/>
    <w:uiPriority w:val="0"/>
    <w:pPr>
      <w:jc w:val="left"/>
    </w:pPr>
    <w:rPr>
      <w:rFonts w:ascii="Calibri" w:hAnsi="Calibri"/>
      <w:sz w:val="24"/>
      <w:szCs w:val="24"/>
    </w:rPr>
  </w:style>
  <w:style w:type="paragraph" w:customStyle="1" w:styleId="286">
    <w:name w:val="正文首行缩进1"/>
    <w:basedOn w:val="57"/>
    <w:next w:val="1"/>
    <w:qFormat/>
    <w:uiPriority w:val="0"/>
    <w:pPr>
      <w:ind w:firstLine="420"/>
    </w:pPr>
  </w:style>
  <w:style w:type="character" w:customStyle="1" w:styleId="287">
    <w:name w:val="要点1"/>
    <w:qFormat/>
    <w:uiPriority w:val="0"/>
    <w:rPr>
      <w:rFonts w:ascii="Times New Roman" w:hAnsi="Times New Roman" w:eastAsia="宋体" w:cs="Times New Roman"/>
      <w:b/>
    </w:rPr>
  </w:style>
  <w:style w:type="paragraph" w:customStyle="1" w:styleId="288">
    <w:name w:val="列出段落1"/>
    <w:basedOn w:val="1"/>
    <w:qFormat/>
    <w:uiPriority w:val="0"/>
    <w:pPr>
      <w:ind w:firstLine="420"/>
    </w:pPr>
  </w:style>
  <w:style w:type="paragraph" w:customStyle="1" w:styleId="289">
    <w:name w:val="普通正文"/>
    <w:basedOn w:val="50"/>
    <w:qFormat/>
    <w:uiPriority w:val="0"/>
    <w:pPr>
      <w:spacing w:before="120" w:after="120" w:line="360" w:lineRule="auto"/>
      <w:ind w:firstLine="480"/>
    </w:pPr>
    <w:rPr>
      <w:rFonts w:ascii="Arial" w:hAnsi="Arial"/>
      <w:szCs w:val="24"/>
    </w:rPr>
  </w:style>
  <w:style w:type="paragraph" w:customStyle="1" w:styleId="290">
    <w:name w:val="UserStyle_52"/>
    <w:basedOn w:val="1"/>
    <w:qFormat/>
    <w:uiPriority w:val="0"/>
    <w:pPr>
      <w:spacing w:line="240" w:lineRule="exact"/>
    </w:pPr>
    <w:rPr>
      <w:rFonts w:ascii="宋体" w:hAnsi="宋体"/>
      <w:lang w:val="zh-TW" w:eastAsia="zh-TW" w:bidi="zh-TW"/>
    </w:rPr>
  </w:style>
  <w:style w:type="character" w:customStyle="1" w:styleId="291">
    <w:name w:val="HtmlCite1"/>
    <w:qFormat/>
    <w:uiPriority w:val="0"/>
    <w:rPr>
      <w:rFonts w:ascii="Times New Roman" w:hAnsi="Times New Roman" w:eastAsia="宋体" w:cs="Times New Roman"/>
    </w:rPr>
  </w:style>
  <w:style w:type="paragraph" w:customStyle="1" w:styleId="292">
    <w:name w:val="Table Paragraph"/>
    <w:basedOn w:val="1"/>
    <w:qFormat/>
    <w:uiPriority w:val="0"/>
    <w:rPr>
      <w:rFonts w:ascii="宋体" w:hAnsi="宋体" w:cs="宋体"/>
      <w:sz w:val="22"/>
      <w:lang w:val="zh-CN" w:bidi="zh-CN"/>
    </w:rPr>
  </w:style>
  <w:style w:type="paragraph" w:customStyle="1" w:styleId="293">
    <w:name w:val="Char"/>
    <w:basedOn w:val="1"/>
    <w:qFormat/>
    <w:uiPriority w:val="0"/>
    <w:pPr>
      <w:tabs>
        <w:tab w:val="left" w:pos="360"/>
      </w:tabs>
      <w:ind w:firstLine="200"/>
    </w:pPr>
    <w:rPr>
      <w:sz w:val="28"/>
      <w:szCs w:val="30"/>
    </w:rPr>
  </w:style>
  <w:style w:type="character" w:customStyle="1" w:styleId="294">
    <w:name w:val="页脚 Char1"/>
    <w:qFormat/>
    <w:uiPriority w:val="0"/>
    <w:rPr>
      <w:rFonts w:ascii="Times New Roman" w:hAnsi="Times New Roman" w:eastAsia="宋体" w:cs="Times New Roman"/>
      <w:sz w:val="18"/>
      <w:szCs w:val="18"/>
    </w:rPr>
  </w:style>
  <w:style w:type="character" w:customStyle="1" w:styleId="295">
    <w:name w:val="日期 Char1"/>
    <w:qFormat/>
    <w:uiPriority w:val="0"/>
    <w:rPr>
      <w:rFonts w:ascii="Times New Roman" w:hAnsi="Times New Roman" w:eastAsia="宋体" w:cs="Times New Roman"/>
    </w:rPr>
  </w:style>
  <w:style w:type="character" w:customStyle="1" w:styleId="296">
    <w:name w:val="纯文本 Char1"/>
    <w:qFormat/>
    <w:uiPriority w:val="0"/>
    <w:rPr>
      <w:rFonts w:ascii="宋体" w:hAnsi="Courier New" w:eastAsia="宋体" w:cs="Courier New"/>
      <w:szCs w:val="21"/>
    </w:rPr>
  </w:style>
  <w:style w:type="character" w:customStyle="1" w:styleId="297">
    <w:name w:val="页眉 Char1"/>
    <w:qFormat/>
    <w:uiPriority w:val="0"/>
    <w:rPr>
      <w:rFonts w:ascii="Times New Roman" w:hAnsi="Times New Roman" w:eastAsia="宋体" w:cs="Times New Roman"/>
      <w:sz w:val="18"/>
      <w:szCs w:val="18"/>
    </w:rPr>
  </w:style>
  <w:style w:type="paragraph" w:customStyle="1" w:styleId="298">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299">
    <w:name w:val="正文空2格  1."/>
    <w:basedOn w:val="1"/>
    <w:qFormat/>
    <w:uiPriority w:val="0"/>
    <w:pPr>
      <w:ind w:firstLine="480"/>
    </w:pPr>
    <w:rPr>
      <w:rFonts w:cs="宋体"/>
      <w:sz w:val="28"/>
      <w:szCs w:val="20"/>
    </w:rPr>
  </w:style>
  <w:style w:type="paragraph" w:customStyle="1" w:styleId="300">
    <w:name w:val="Default"/>
    <w:qFormat/>
    <w:uiPriority w:val="0"/>
    <w:pPr>
      <w:widowControl w:val="0"/>
    </w:pPr>
    <w:rPr>
      <w:rFonts w:hint="default" w:ascii="仿宋" w:hAnsi="等线" w:eastAsia="仿宋" w:cs="仿宋"/>
      <w:color w:val="000000"/>
      <w:sz w:val="24"/>
      <w:szCs w:val="24"/>
      <w:lang w:val="en-US" w:eastAsia="zh-CN" w:bidi="ar-SA"/>
    </w:rPr>
  </w:style>
  <w:style w:type="paragraph" w:customStyle="1" w:styleId="301">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02">
    <w:name w:val="标题 1 Char Char Char"/>
    <w:qFormat/>
    <w:uiPriority w:val="0"/>
    <w:rPr>
      <w:rFonts w:eastAsia="宋体"/>
      <w:b/>
      <w:bCs/>
      <w:sz w:val="44"/>
      <w:szCs w:val="44"/>
      <w:lang w:val="en-US" w:eastAsia="zh-CN" w:bidi="ar-SA"/>
    </w:rPr>
  </w:style>
  <w:style w:type="paragraph" w:customStyle="1" w:styleId="303">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04">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05">
    <w:name w:val="正文_0_0"/>
    <w:basedOn w:val="306"/>
    <w:qFormat/>
    <w:uiPriority w:val="0"/>
    <w:rPr>
      <w:szCs w:val="21"/>
    </w:rPr>
  </w:style>
  <w:style w:type="paragraph" w:customStyle="1" w:styleId="306">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07">
    <w:name w:val="Normal_20"/>
    <w:link w:val="308"/>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08">
    <w:name w:val="Normal_20 Char"/>
    <w:link w:val="307"/>
    <w:qFormat/>
    <w:uiPriority w:val="0"/>
    <w:rPr>
      <w:rFonts w:ascii="Times New Roman" w:hAnsi="Times New Roman" w:eastAsia="Calibri" w:cs="Times New Roman"/>
      <w:sz w:val="22"/>
      <w:szCs w:val="22"/>
      <w:lang w:val="en-US" w:eastAsia="en-US" w:bidi="ar-SA"/>
    </w:rPr>
  </w:style>
  <w:style w:type="paragraph" w:customStyle="1" w:styleId="309">
    <w:name w:val="Body text|1"/>
    <w:basedOn w:val="1"/>
    <w:qFormat/>
    <w:uiPriority w:val="0"/>
    <w:pPr>
      <w:spacing w:after="220"/>
    </w:pPr>
    <w:rPr>
      <w:rFonts w:ascii="宋体" w:hAnsi="宋体" w:cs="宋体"/>
      <w:sz w:val="22"/>
      <w:lang w:val="zh-TW" w:eastAsia="zh-TW" w:bidi="zh-TW"/>
    </w:rPr>
  </w:style>
  <w:style w:type="character" w:customStyle="1" w:styleId="310">
    <w:name w:val="font21"/>
    <w:basedOn w:val="45"/>
    <w:qFormat/>
    <w:uiPriority w:val="0"/>
    <w:rPr>
      <w:rFonts w:hint="eastAsia" w:ascii="宋体" w:hAnsi="宋体" w:eastAsia="宋体" w:cs="宋体"/>
      <w:color w:val="000000"/>
      <w:sz w:val="20"/>
      <w:szCs w:val="20"/>
      <w:u w:val="none"/>
    </w:rPr>
  </w:style>
  <w:style w:type="character" w:customStyle="1" w:styleId="311">
    <w:name w:val="font31"/>
    <w:basedOn w:val="45"/>
    <w:qFormat/>
    <w:uiPriority w:val="0"/>
    <w:rPr>
      <w:rFonts w:hint="default" w:ascii="Times New Roman" w:hAnsi="Times New Roman" w:cs="Times New Roman"/>
      <w:color w:val="000000"/>
      <w:sz w:val="20"/>
      <w:szCs w:val="20"/>
      <w:u w:val="none"/>
    </w:rPr>
  </w:style>
  <w:style w:type="character" w:customStyle="1" w:styleId="312">
    <w:name w:val="批注框文本 Char1"/>
    <w:basedOn w:val="45"/>
    <w:link w:val="27"/>
    <w:semiHidden/>
    <w:qFormat/>
    <w:uiPriority w:val="99"/>
    <w:rPr>
      <w:sz w:val="18"/>
      <w:szCs w:val="18"/>
    </w:rPr>
  </w:style>
  <w:style w:type="paragraph" w:customStyle="1" w:styleId="313">
    <w:name w:val="样式 样式 二级标题 + 段前: 0.2 行 段后: 0.2 行 行距: 2 倍行距 + 段前: 0.2 行 段后: 0.2 行"/>
    <w:basedOn w:val="1"/>
    <w:qFormat/>
    <w:uiPriority w:val="0"/>
    <w:pPr>
      <w:keepNext/>
      <w:keepLines/>
      <w:spacing w:line="480" w:lineRule="auto"/>
      <w:ind w:firstLine="0"/>
      <w:outlineLvl w:val="1"/>
    </w:pPr>
    <w:rPr>
      <w:rFonts w:cs="宋体"/>
      <w:b/>
      <w:bCs/>
      <w:sz w:val="24"/>
      <w:szCs w:val="20"/>
    </w:rPr>
  </w:style>
  <w:style w:type="paragraph" w:customStyle="1" w:styleId="314">
    <w:name w:val="纯文本11"/>
    <w:basedOn w:val="1"/>
    <w:qFormat/>
    <w:uiPriority w:val="0"/>
    <w:rPr>
      <w:rFonts w:ascii="宋体" w:hAnsi="Courier New" w:eastAsia="宋体" w:cs="Times New Roman"/>
    </w:rPr>
  </w:style>
  <w:style w:type="paragraph" w:customStyle="1" w:styleId="315">
    <w:name w:val="二级目录"/>
    <w:next w:val="1"/>
    <w:qFormat/>
    <w:uiPriority w:val="0"/>
    <w:pPr>
      <w:tabs>
        <w:tab w:val="left" w:pos="720"/>
      </w:tabs>
      <w:ind w:left="720" w:hanging="720"/>
      <w:outlineLvl w:val="1"/>
    </w:pPr>
    <w:rPr>
      <w:rFonts w:hint="default" w:ascii="Times New Roman" w:hAnsi="Times New Roman" w:eastAsia="Times New Roman" w:cs="Times New Roman"/>
      <w:b/>
      <w:sz w:val="30"/>
      <w:szCs w:val="28"/>
      <w:lang w:val="en-US" w:eastAsia="zh-CN" w:bidi="ar-SA"/>
    </w:rPr>
  </w:style>
  <w:style w:type="paragraph" w:customStyle="1" w:styleId="316">
    <w:name w:val="0正文"/>
    <w:qFormat/>
    <w:uiPriority w:val="0"/>
    <w:pPr>
      <w:ind w:firstLine="200"/>
    </w:pPr>
    <w:rPr>
      <w:rFonts w:hint="default" w:ascii="Times New Roman" w:hAnsi="Times New Roman" w:eastAsia="宋体" w:cs="Times New Roman"/>
      <w:sz w:val="21"/>
      <w:szCs w:val="21"/>
      <w:lang w:val="en-US" w:eastAsia="zh-CN" w:bidi="ar-SA"/>
    </w:rPr>
  </w:style>
  <w:style w:type="character" w:customStyle="1" w:styleId="317">
    <w:name w:val="NormalCharacter"/>
    <w:semiHidden/>
    <w:qFormat/>
    <w:uiPriority w:val="0"/>
    <w:rPr>
      <w:sz w:val="21"/>
      <w:szCs w:val="24"/>
      <w:lang w:val="en-US" w:eastAsia="zh-CN" w:bidi="ar-SA"/>
    </w:rPr>
  </w:style>
  <w:style w:type="paragraph" w:customStyle="1" w:styleId="318">
    <w:name w:val="Char Char Char Char"/>
    <w:basedOn w:val="1"/>
    <w:qFormat/>
    <w:uiPriority w:val="0"/>
    <w:rPr>
      <w:rFonts w:ascii="Times New Roman" w:hAnsi="Times New Roman"/>
      <w:szCs w:val="20"/>
    </w:rPr>
  </w:style>
  <w:style w:type="character" w:customStyle="1" w:styleId="319">
    <w:name w:val="htd0"/>
    <w:basedOn w:val="45"/>
    <w:qFormat/>
    <w:uiPriority w:val="0"/>
  </w:style>
  <w:style w:type="paragraph" w:customStyle="1" w:styleId="320">
    <w:name w:val="Blockquote"/>
    <w:basedOn w:val="1"/>
    <w:qFormat/>
    <w:uiPriority w:val="0"/>
    <w:pPr>
      <w:spacing w:before="100" w:after="100"/>
      <w:ind w:left="360" w:right="36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18905</Words>
  <Characters>20257</Characters>
  <TotalTime>6</TotalTime>
  <ScaleCrop>false</ScaleCrop>
  <LinksUpToDate>false</LinksUpToDate>
  <CharactersWithSpaces>21318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(๑⃙⃘´༥</dc:creator>
  <cp:lastModifiedBy>Jisoo</cp:lastModifiedBy>
  <dcterms:modified xsi:type="dcterms:W3CDTF">2026-06-26T10:05:14Z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B0681C3E704240E49259D3F6E56B2C2F_13</vt:lpwstr>
  </property>
  <property fmtid="{D5CDD505-2E9C-101B-9397-08002B2CF9AE}" pid="4" name="KSOTemplateDocerSaveRecord">
    <vt:lpwstr>eyJoZGlkIjoiNTExZjIwYWYyOGNlMGQ5YzJmNzMwMmY2ZDk0NmRmY2EiLCJ1c2VySWQiOiI0NTE2OTY5MTYifQ==</vt:lpwstr>
  </property>
</Properties>
</file>