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b/>
          <w:bCs/>
          <w:color w:val="auto"/>
          <w:sz w:val="44"/>
          <w:szCs w:val="44"/>
          <w:highlight w:val="none"/>
        </w:rPr>
      </w:pPr>
      <w:r>
        <w:rPr>
          <w:rFonts w:ascii="宋体" w:hAnsi="宋体" w:cs="宋体"/>
          <w:b/>
          <w:bCs/>
          <w:color w:val="auto"/>
          <w:sz w:val="44"/>
          <w:szCs w:val="44"/>
          <w:highlight w:val="none"/>
        </w:rPr>
      </w:r>
      <w:r/>
    </w:p>
    <w:p>
      <w:pPr>
        <w:jc w:val="center"/>
        <w:rPr>
          <w:rFonts w:ascii="宋体" w:hAnsi="宋体" w:cs="宋体"/>
          <w:b/>
          <w:bCs/>
          <w:color w:val="auto"/>
          <w:sz w:val="44"/>
          <w:szCs w:val="44"/>
          <w:highlight w:val="none"/>
        </w:rPr>
      </w:pPr>
      <w:r>
        <w:rPr>
          <w:rFonts w:ascii="宋体" w:hAnsi="宋体" w:cs="宋体"/>
          <w:b/>
          <w:bCs/>
          <w:color w:val="auto"/>
          <w:sz w:val="44"/>
          <w:szCs w:val="44"/>
          <w:highlight w:val="none"/>
        </w:rPr>
      </w:r>
      <w:r/>
    </w:p>
    <w:p>
      <w:pPr>
        <w:jc w:val="center"/>
        <w:rPr>
          <w:rFonts w:hint="eastAsia" w:ascii="宋体" w:hAnsi="宋体" w:eastAsia="宋体" w:cs="宋体"/>
          <w:b/>
          <w:bCs/>
          <w:color w:val="auto"/>
          <w:sz w:val="44"/>
          <w:szCs w:val="44"/>
          <w:highlight w:val="none"/>
          <w:lang w:eastAsia="zh-CN"/>
        </w:rPr>
      </w:pPr>
      <w:r>
        <w:rPr>
          <w:rFonts w:hint="eastAsia" w:ascii="宋体" w:hAnsi="宋体" w:cs="宋体"/>
          <w:b/>
          <w:bCs/>
          <w:color w:val="auto"/>
          <w:sz w:val="44"/>
          <w:szCs w:val="44"/>
          <w:highlight w:val="none"/>
        </w:rPr>
        <w:t xml:space="preserve">南京鼓楼医院</w:t>
      </w:r>
      <w:r>
        <w:rPr>
          <w:rFonts w:hint="eastAsia" w:ascii="宋体" w:hAnsi="宋体" w:cs="宋体"/>
          <w:b/>
          <w:bCs/>
          <w:color w:val="auto"/>
          <w:sz w:val="44"/>
          <w:szCs w:val="44"/>
          <w:highlight w:val="none"/>
          <w:lang w:eastAsia="zh-CN"/>
        </w:rPr>
        <w:t xml:space="preserve">2026-2029年度网络维保服务项目</w:t>
      </w:r>
      <w:r/>
    </w:p>
    <w:p>
      <w:pPr>
        <w:pStyle w:val="851"/>
        <w:rPr>
          <w:color w:val="auto"/>
          <w:highlight w:val="none"/>
        </w:rPr>
      </w:pPr>
      <w:r>
        <w:rPr>
          <w:color w:val="auto"/>
          <w:highlight w:val="none"/>
        </w:rPr>
      </w:r>
      <w:r/>
    </w:p>
    <w:p>
      <w:pPr>
        <w:ind w:firstLine="2168"/>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2168"/>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2168"/>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项目编号：JSZC-320100-JSHY-G2026-0093 </w:t>
      </w:r>
      <w:r/>
    </w:p>
    <w:p>
      <w:pPr>
        <w:ind w:firstLine="2168"/>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代理机构识别号：1009-2641HOLLY40F</w:t>
      </w:r>
      <w:r/>
    </w:p>
    <w:p>
      <w:pPr>
        <w:ind w:firstLine="2168"/>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pStyle w:val="851"/>
        <w:rPr>
          <w:rFonts w:ascii="宋体" w:hAnsi="宋体" w:eastAsia="宋体" w:cs="宋体"/>
          <w:color w:val="auto"/>
          <w:highlight w:val="none"/>
        </w:rPr>
      </w:pPr>
      <w:r>
        <w:rPr>
          <w:rFonts w:ascii="宋体" w:hAnsi="宋体" w:eastAsia="宋体" w:cs="宋体"/>
          <w:color w:val="auto"/>
          <w:highlight w:val="none"/>
        </w:rPr>
      </w:r>
      <w:r/>
    </w:p>
    <w:p>
      <w:pPr>
        <w:pStyle w:val="851"/>
        <w:rPr>
          <w:rFonts w:ascii="宋体" w:hAnsi="宋体" w:eastAsia="宋体" w:cs="宋体"/>
          <w:color w:val="auto"/>
          <w:highlight w:val="none"/>
        </w:rPr>
      </w:pPr>
      <w:r>
        <w:rPr>
          <w:rFonts w:ascii="宋体" w:hAnsi="宋体" w:eastAsia="宋体" w:cs="宋体"/>
          <w:color w:val="auto"/>
          <w:highlight w:val="none"/>
        </w:rPr>
      </w:r>
      <w:r/>
    </w:p>
    <w:p>
      <w:pPr>
        <w:jc w:val="center"/>
        <w:rPr>
          <w:rFonts w:ascii="宋体" w:hAnsi="宋体" w:cs="宋体"/>
          <w:b/>
          <w:color w:val="auto"/>
          <w:sz w:val="18"/>
          <w:szCs w:val="18"/>
          <w:highlight w:val="none"/>
        </w:rPr>
      </w:pPr>
      <w:r>
        <w:rPr>
          <w:rFonts w:ascii="宋体" w:hAnsi="宋体" w:cs="宋体"/>
          <w:b/>
          <w:color w:val="auto"/>
          <w:sz w:val="18"/>
          <w:szCs w:val="18"/>
          <w:highlight w:val="none"/>
        </w:rPr>
      </w:r>
      <w:r/>
    </w:p>
    <w:p>
      <w:pPr>
        <w:jc w:val="center"/>
        <w:rPr>
          <w:rFonts w:ascii="宋体" w:hAnsi="宋体" w:cs="宋体"/>
          <w:b/>
          <w:color w:val="auto"/>
          <w:sz w:val="18"/>
          <w:szCs w:val="18"/>
          <w:highlight w:val="none"/>
        </w:rPr>
      </w:pPr>
      <w:r>
        <w:rPr>
          <w:rFonts w:ascii="宋体" w:hAnsi="宋体" w:cs="宋体"/>
          <w:b/>
          <w:color w:val="auto"/>
          <w:sz w:val="18"/>
          <w:szCs w:val="18"/>
          <w:highlight w:val="none"/>
        </w:rPr>
      </w:r>
      <w:r/>
    </w:p>
    <w:p>
      <w:pPr>
        <w:jc w:val="center"/>
        <w:rPr>
          <w:rFonts w:ascii="宋体" w:hAnsi="宋体" w:cs="宋体"/>
          <w:b/>
          <w:color w:val="auto"/>
          <w:sz w:val="18"/>
          <w:szCs w:val="18"/>
          <w:highlight w:val="none"/>
        </w:rPr>
      </w:pPr>
      <w:r>
        <w:rPr>
          <w:rFonts w:ascii="宋体" w:hAnsi="宋体" w:cs="宋体"/>
          <w:b/>
          <w:color w:val="auto"/>
          <w:sz w:val="18"/>
          <w:szCs w:val="18"/>
          <w:highlight w:val="none"/>
        </w:rPr>
      </w:r>
      <w:r/>
    </w:p>
    <w:p>
      <w:pPr>
        <w:jc w:val="center"/>
        <w:rPr>
          <w:rFonts w:ascii="宋体" w:hAnsi="宋体" w:cs="宋体"/>
          <w:b/>
          <w:color w:val="auto"/>
          <w:sz w:val="18"/>
          <w:szCs w:val="18"/>
          <w:highlight w:val="none"/>
        </w:rPr>
      </w:pPr>
      <w:r>
        <w:rPr>
          <w:rFonts w:ascii="宋体" w:hAnsi="宋体" w:cs="宋体"/>
          <w:b/>
          <w:color w:val="auto"/>
          <w:sz w:val="18"/>
          <w:szCs w:val="18"/>
          <w:highlight w:val="none"/>
        </w:rPr>
      </w:r>
      <w:r/>
    </w:p>
    <w:p>
      <w:pPr>
        <w:jc w:val="center"/>
        <w:rPr>
          <w:rFonts w:ascii="宋体" w:hAnsi="宋体" w:cs="宋体"/>
          <w:b/>
          <w:color w:val="auto"/>
          <w:sz w:val="18"/>
          <w:szCs w:val="18"/>
          <w:highlight w:val="none"/>
        </w:rPr>
      </w:pPr>
      <w:r>
        <w:rPr>
          <w:rFonts w:ascii="宋体" w:hAnsi="宋体" w:cs="宋体"/>
          <w:b/>
          <w:color w:val="auto"/>
          <w:sz w:val="18"/>
          <w:szCs w:val="18"/>
          <w:highlight w:val="none"/>
        </w:rPr>
      </w:r>
      <w:r/>
    </w:p>
    <w:p>
      <w:pPr>
        <w:jc w:val="center"/>
        <w:rPr>
          <w:rFonts w:ascii="宋体" w:hAnsi="宋体" w:cs="宋体"/>
          <w:color w:val="auto"/>
          <w:sz w:val="82"/>
          <w:szCs w:val="72"/>
          <w:highlight w:val="none"/>
        </w:rPr>
      </w:pPr>
      <w:r>
        <w:rPr>
          <w:rFonts w:hint="eastAsia" w:ascii="宋体" w:hAnsi="宋体" w:cs="宋体"/>
          <w:color w:val="auto"/>
          <w:sz w:val="82"/>
          <w:szCs w:val="72"/>
          <w:highlight w:val="none"/>
        </w:rPr>
        <w:t xml:space="preserve">招  标  文  件</w:t>
      </w:r>
      <w:r/>
    </w:p>
    <w:p>
      <w:pPr>
        <w:ind w:firstLine="1980"/>
        <w:jc w:val="left"/>
        <w:spacing w:line="500" w:lineRule="exact"/>
        <w:rPr>
          <w:rFonts w:ascii="宋体" w:hAnsi="宋体" w:cs="宋体"/>
          <w:color w:val="auto"/>
          <w:sz w:val="36"/>
          <w:szCs w:val="36"/>
          <w:highlight w:val="none"/>
        </w:rPr>
      </w:pPr>
      <w:r>
        <w:rPr>
          <w:rFonts w:ascii="宋体" w:hAnsi="宋体" w:cs="宋体"/>
          <w:color w:val="auto"/>
          <w:sz w:val="36"/>
          <w:szCs w:val="36"/>
          <w:highlight w:val="none"/>
        </w:rPr>
      </w:r>
      <w:r/>
    </w:p>
    <w:p>
      <w:pPr>
        <w:ind w:firstLine="1980"/>
        <w:jc w:val="left"/>
        <w:spacing w:line="500" w:lineRule="exact"/>
        <w:rPr>
          <w:rFonts w:ascii="宋体" w:hAnsi="宋体" w:cs="宋体"/>
          <w:color w:val="auto"/>
          <w:sz w:val="36"/>
          <w:szCs w:val="36"/>
          <w:highlight w:val="none"/>
        </w:rPr>
      </w:pPr>
      <w:r>
        <w:rPr>
          <w:rFonts w:ascii="宋体" w:hAnsi="宋体" w:cs="宋体"/>
          <w:color w:val="auto"/>
          <w:sz w:val="36"/>
          <w:szCs w:val="36"/>
          <w:highlight w:val="none"/>
        </w:rPr>
      </w:r>
      <w:r/>
    </w:p>
    <w:p>
      <w:pPr>
        <w:jc w:val="left"/>
        <w:spacing w:line="500" w:lineRule="exact"/>
        <w:rPr>
          <w:rFonts w:ascii="宋体" w:hAnsi="宋体" w:cs="宋体"/>
          <w:color w:val="auto"/>
          <w:sz w:val="36"/>
          <w:szCs w:val="36"/>
          <w:highlight w:val="none"/>
        </w:rPr>
      </w:pPr>
      <w:r>
        <w:rPr>
          <w:rFonts w:ascii="宋体" w:hAnsi="宋体" w:cs="宋体"/>
          <w:color w:val="auto"/>
          <w:sz w:val="36"/>
          <w:szCs w:val="36"/>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tbl>
      <w:tblPr>
        <w:tblStyle w:val="776"/>
        <w:tblW w:w="0" w:type="auto"/>
        <w:jc w:val="center"/>
        <w:tblLayout w:type="fixed"/>
        <w:tblCellMar>
          <w:left w:w="108" w:type="dxa"/>
          <w:top w:w="0" w:type="dxa"/>
          <w:right w:w="108" w:type="dxa"/>
          <w:bottom w:w="0" w:type="dxa"/>
        </w:tblCellMar>
        <w:tblLook w:val="04A0" w:firstRow="1" w:lastRow="0" w:firstColumn="1" w:lastColumn="0" w:noHBand="0" w:noVBand="1"/>
      </w:tblPr>
      <w:tblGrid>
        <w:gridCol w:w="2796"/>
        <w:gridCol w:w="5003"/>
      </w:tblGrid>
      <w:tr>
        <w:trPr>
          <w:jc w:val="center"/>
          <w:trHeight w:val="685"/>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采购人：</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南京鼓楼医院</w:t>
            </w:r>
            <w:r/>
          </w:p>
        </w:tc>
      </w:tr>
      <w:tr>
        <w:trPr>
          <w:jc w:val="center"/>
          <w:trHeight w:val="59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江苏弘业国际技术工程有限公司</w:t>
            </w:r>
            <w:r/>
          </w:p>
        </w:tc>
      </w:tr>
      <w:tr>
        <w:trPr>
          <w:jc w:val="center"/>
          <w:trHeight w:val="57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日  期：</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ascii="宋体" w:hAnsi="宋体" w:cs="宋体"/>
                <w:b/>
                <w:bCs/>
                <w:color w:val="auto"/>
                <w:sz w:val="32"/>
                <w:szCs w:val="32"/>
                <w:highlight w:val="none"/>
              </w:rPr>
            </w:pPr>
            <w:r/>
            <w:bookmarkStart w:id="0" w:name="EB011e21966a4746ceac4488705cfdd813"/>
            <w:r>
              <w:rPr>
                <w:rFonts w:hint="eastAsia" w:ascii="宋体" w:hAnsi="宋体" w:cs="宋体"/>
                <w:b/>
                <w:bCs/>
                <w:color w:val="auto"/>
                <w:sz w:val="32"/>
                <w:szCs w:val="32"/>
                <w:highlight w:val="none"/>
              </w:rPr>
              <w:t xml:space="preserve">2026年</w:t>
            </w:r>
            <w:r>
              <w:rPr>
                <w:rFonts w:hint="eastAsia" w:ascii="宋体" w:hAnsi="宋体" w:cs="宋体"/>
                <w:b/>
                <w:bCs/>
                <w:color w:val="auto"/>
                <w:sz w:val="32"/>
                <w:szCs w:val="32"/>
                <w:highlight w:val="none"/>
                <w:lang w:val="en-US" w:eastAsia="zh-CN"/>
              </w:rPr>
              <w:t xml:space="preserve">5</w:t>
            </w:r>
            <w:r>
              <w:rPr>
                <w:rFonts w:hint="eastAsia" w:ascii="宋体" w:hAnsi="宋体" w:cs="宋体"/>
                <w:b/>
                <w:bCs/>
                <w:color w:val="auto"/>
                <w:sz w:val="32"/>
                <w:szCs w:val="32"/>
                <w:highlight w:val="none"/>
              </w:rPr>
              <w:t xml:space="preserve">月</w:t>
            </w:r>
            <w:bookmarkEnd w:id="0"/>
            <w:r/>
            <w:r/>
          </w:p>
        </w:tc>
      </w:tr>
    </w:tbl>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hint="eastAsia" w:ascii="宋体" w:hAnsi="宋体" w:cs="宋体"/>
          <w:color w:val="auto"/>
          <w:highlight w:val="none"/>
        </w:rPr>
        <w:br w:type="page" w:clear="all"/>
      </w:r>
      <w:r/>
    </w:p>
    <w:p>
      <w:pPr>
        <w:pStyle w:val="851"/>
        <w:rPr>
          <w:rFonts w:ascii="宋体" w:hAnsi="宋体" w:eastAsia="宋体" w:cs="宋体"/>
          <w:color w:val="auto"/>
          <w:highlight w:val="none"/>
        </w:rPr>
      </w:pPr>
      <w:r>
        <w:rPr>
          <w:rFonts w:ascii="宋体" w:hAnsi="宋体" w:eastAsia="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pStyle w:val="851"/>
        <w:tabs>
          <w:tab w:val="left" w:pos="6527" w:leader="none"/>
        </w:tabs>
        <w:rPr>
          <w:rFonts w:ascii="宋体" w:hAnsi="宋体" w:eastAsia="宋体" w:cs="宋体"/>
          <w:color w:val="auto"/>
          <w:highlight w:val="none"/>
        </w:rPr>
      </w:pPr>
      <w:r/>
      <w:bookmarkStart w:id="1" w:name="EB06f4f849a067447382c5c19bd1747a07"/>
      <w:r>
        <w:rPr>
          <w:rFonts w:hint="eastAsia" w:ascii="宋体" w:hAnsi="宋体" w:eastAsia="宋体" w:cs="宋体"/>
          <w:color w:val="auto"/>
          <w:sz w:val="20"/>
          <w:highlight w:val="none"/>
        </w:rPr>
        <w:t xml:space="preserve"> </w:t>
      </w:r>
      <w:bookmarkEnd w:id="1"/>
      <w:r>
        <w:rPr>
          <w:rFonts w:hint="eastAsia" w:ascii="宋体" w:hAnsi="宋体" w:eastAsia="宋体" w:cs="宋体"/>
          <w:color w:val="auto"/>
          <w:highlight w:val="none"/>
        </w:rPr>
        <w:tab/>
      </w:r>
      <w:r/>
    </w:p>
    <w:p>
      <w:pPr>
        <w:jc w:val="center"/>
        <w:rPr>
          <w:rFonts w:ascii="宋体" w:hAnsi="宋体" w:cs="宋体"/>
          <w:b/>
          <w:bCs/>
          <w:color w:val="auto"/>
          <w:sz w:val="32"/>
          <w:szCs w:val="36"/>
          <w:highlight w:val="none"/>
        </w:rPr>
      </w:pPr>
      <w:r>
        <w:rPr>
          <w:rFonts w:hint="eastAsia" w:ascii="宋体" w:hAnsi="宋体" w:cs="宋体"/>
          <w:b/>
          <w:bCs/>
          <w:color w:val="auto"/>
          <w:sz w:val="32"/>
          <w:szCs w:val="36"/>
          <w:highlight w:val="none"/>
        </w:rPr>
        <w:t xml:space="preserve">目  录</w:t>
      </w:r>
      <w:r/>
    </w:p>
    <w:p>
      <w:pPr>
        <w:jc w:val="center"/>
        <w:rPr>
          <w:rFonts w:ascii="宋体" w:hAnsi="宋体" w:cs="宋体"/>
          <w:b/>
          <w:bCs/>
          <w:color w:val="auto"/>
          <w:sz w:val="24"/>
          <w:szCs w:val="28"/>
          <w:highlight w:val="none"/>
        </w:rPr>
      </w:pPr>
      <w:r>
        <w:rPr>
          <w:rFonts w:ascii="宋体" w:hAnsi="宋体" w:cs="宋体"/>
          <w:b/>
          <w:bCs/>
          <w:color w:val="auto"/>
          <w:sz w:val="24"/>
          <w:szCs w:val="28"/>
          <w:highlight w:val="none"/>
        </w:rPr>
      </w:r>
      <w:r/>
    </w:p>
    <w:sdt>
      <w:sdtPr>
        <w15:appearance w15:val="boundingBox"/>
        <w15:color w:val="dbdbdb"/>
        <w:id w:val="147468235"/>
        <w:docPartObj>
          <w:docPartGallery w:val="Table of Contents"/>
          <w:docPartUnique w:val="true"/>
        </w:docPartObj>
        <w:rPr>
          <w:rFonts w:ascii="宋体" w:hAnsi="宋体"/>
          <w:color w:val="auto"/>
          <w:highlight w:val="none"/>
        </w:rPr>
      </w:sdtPr>
      <w:sdtContent>
        <w:p>
          <w:pPr>
            <w:jc w:val="center"/>
            <w:rPr>
              <w:color w:val="auto"/>
              <w:highlight w:val="none"/>
            </w:rPr>
          </w:pPr>
          <w:r>
            <w:rPr>
              <w:color w:val="auto"/>
              <w:highlight w:val="none"/>
            </w:rPr>
          </w:r>
          <w:r/>
        </w:p>
        <w:p>
          <w:pPr>
            <w:pStyle w:val="793"/>
            <w:spacing w:line="400" w:lineRule="exact"/>
            <w:tabs>
              <w:tab w:val="right" w:pos="9740" w:leader="dot"/>
            </w:tabs>
            <w:rPr>
              <w:rFonts w:ascii="宋体" w:hAnsi="宋体" w:cs="宋体"/>
              <w:b/>
              <w:bCs/>
              <w:color w:val="auto"/>
              <w:sz w:val="24"/>
              <w:szCs w:val="36"/>
              <w:highlight w:val="none"/>
            </w:rPr>
          </w:pPr>
          <w:r>
            <w:rPr>
              <w:rFonts w:hint="eastAsia" w:ascii="宋体" w:hAnsi="宋体" w:cs="宋体"/>
              <w:b/>
              <w:bCs/>
              <w:color w:val="auto"/>
              <w:sz w:val="22"/>
              <w:szCs w:val="32"/>
              <w:highlight w:val="none"/>
            </w:rPr>
            <w:fldChar w:fldCharType="begin"/>
          </w:r>
          <w:r>
            <w:rPr>
              <w:rFonts w:hint="eastAsia" w:ascii="宋体" w:hAnsi="宋体" w:cs="宋体"/>
              <w:b/>
              <w:bCs/>
              <w:color w:val="auto"/>
              <w:sz w:val="22"/>
              <w:szCs w:val="32"/>
              <w:highlight w:val="none"/>
            </w:rPr>
            <w:instrText xml:space="preserve">TOC \o "1-1" \h \u </w:instrText>
          </w:r>
          <w:r>
            <w:rPr>
              <w:rFonts w:hint="eastAsia" w:ascii="宋体" w:hAnsi="宋体" w:cs="宋体"/>
              <w:b/>
              <w:bCs/>
              <w:color w:val="auto"/>
              <w:sz w:val="22"/>
              <w:szCs w:val="32"/>
              <w:highlight w:val="none"/>
            </w:rPr>
            <w:fldChar w:fldCharType="separate"/>
          </w:r>
          <w:r>
            <w:rPr>
              <w:color w:val="auto"/>
              <w:highlight w:val="none"/>
            </w:rPr>
            <w:fldChar w:fldCharType="begin"/>
          </w:r>
          <w:r>
            <w:rPr>
              <w:color w:val="auto"/>
              <w:highlight w:val="none"/>
            </w:rPr>
            <w:instrText xml:space="preserve"> HYPERLINK \l "_Toc32256" </w:instrText>
          </w:r>
          <w:r>
            <w:rPr>
              <w:color w:val="auto"/>
              <w:highlight w:val="none"/>
            </w:rPr>
            <w:fldChar w:fldCharType="separate"/>
          </w:r>
          <w:r>
            <w:rPr>
              <w:rFonts w:hint="eastAsia" w:ascii="宋体" w:hAnsi="宋体" w:cs="宋体"/>
              <w:b/>
              <w:bCs/>
              <w:color w:val="auto"/>
              <w:sz w:val="24"/>
              <w:szCs w:val="36"/>
              <w:highlight w:val="none"/>
            </w:rPr>
            <w:t xml:space="preserve">第一部分  招标公告</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_Toc32256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3"/>
            <w:spacing w:line="400" w:lineRule="exact"/>
            <w:tabs>
              <w:tab w:val="right" w:pos="9740" w:leader="dot"/>
            </w:tabs>
            <w:rPr>
              <w:rFonts w:ascii="宋体" w:hAnsi="宋体" w:cs="宋体"/>
              <w:b/>
              <w:bCs/>
              <w:color w:val="auto"/>
              <w:sz w:val="24"/>
              <w:szCs w:val="36"/>
              <w:highlight w:val="none"/>
            </w:rPr>
          </w:pPr>
          <w:r>
            <w:rPr>
              <w:color w:val="auto"/>
              <w:highlight w:val="none"/>
            </w:rPr>
            <w:fldChar w:fldCharType="begin"/>
          </w:r>
          <w:r>
            <w:rPr>
              <w:color w:val="auto"/>
              <w:highlight w:val="none"/>
            </w:rPr>
            <w:instrText xml:space="preserve"> HYPERLINK \l "_Toc10498" </w:instrText>
          </w:r>
          <w:r>
            <w:rPr>
              <w:color w:val="auto"/>
              <w:highlight w:val="none"/>
            </w:rPr>
            <w:fldChar w:fldCharType="separate"/>
          </w:r>
          <w:r>
            <w:rPr>
              <w:rFonts w:hint="eastAsia" w:ascii="宋体" w:hAnsi="宋体" w:cs="宋体"/>
              <w:b/>
              <w:bCs/>
              <w:color w:val="auto"/>
              <w:sz w:val="24"/>
              <w:szCs w:val="36"/>
              <w:highlight w:val="none"/>
            </w:rPr>
            <w:t xml:space="preserve">第二部分  投标人须知</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_Toc10498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7</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3"/>
            <w:spacing w:line="400" w:lineRule="exact"/>
            <w:tabs>
              <w:tab w:val="right" w:pos="9740" w:leader="dot"/>
            </w:tabs>
            <w:rPr>
              <w:rFonts w:ascii="宋体" w:hAnsi="宋体" w:cs="宋体"/>
              <w:b/>
              <w:bCs/>
              <w:color w:val="auto"/>
              <w:sz w:val="24"/>
              <w:szCs w:val="36"/>
              <w:highlight w:val="none"/>
            </w:rPr>
          </w:pPr>
          <w:r>
            <w:rPr>
              <w:color w:val="auto"/>
              <w:highlight w:val="none"/>
            </w:rPr>
            <w:fldChar w:fldCharType="begin"/>
          </w:r>
          <w:r>
            <w:rPr>
              <w:color w:val="auto"/>
              <w:highlight w:val="none"/>
            </w:rPr>
            <w:instrText xml:space="preserve"> HYPERLINK \l "_Toc28399" </w:instrText>
          </w:r>
          <w:r>
            <w:rPr>
              <w:color w:val="auto"/>
              <w:highlight w:val="none"/>
            </w:rPr>
            <w:fldChar w:fldCharType="separate"/>
          </w:r>
          <w:r>
            <w:rPr>
              <w:rFonts w:hint="eastAsia" w:ascii="宋体" w:hAnsi="宋体" w:cs="宋体"/>
              <w:b/>
              <w:bCs/>
              <w:color w:val="auto"/>
              <w:sz w:val="24"/>
              <w:szCs w:val="36"/>
              <w:highlight w:val="none"/>
            </w:rPr>
            <w:t xml:space="preserve">第三部分  评标方法和标准</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_Toc28399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25</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3"/>
            <w:spacing w:line="400" w:lineRule="exact"/>
            <w:tabs>
              <w:tab w:val="right" w:pos="9740" w:leader="dot"/>
            </w:tabs>
            <w:rPr>
              <w:rFonts w:ascii="宋体" w:hAnsi="宋体" w:cs="宋体"/>
              <w:b/>
              <w:bCs/>
              <w:color w:val="auto"/>
              <w:sz w:val="24"/>
              <w:szCs w:val="36"/>
              <w:highlight w:val="none"/>
            </w:rPr>
          </w:pPr>
          <w:r>
            <w:rPr>
              <w:color w:val="auto"/>
              <w:highlight w:val="none"/>
            </w:rPr>
            <w:fldChar w:fldCharType="begin"/>
          </w:r>
          <w:r>
            <w:rPr>
              <w:color w:val="auto"/>
              <w:highlight w:val="none"/>
            </w:rPr>
            <w:instrText xml:space="preserve"> HYPERLINK \l "_Toc8891" </w:instrText>
          </w:r>
          <w:r>
            <w:rPr>
              <w:color w:val="auto"/>
              <w:highlight w:val="none"/>
            </w:rPr>
            <w:fldChar w:fldCharType="separate"/>
          </w:r>
          <w:r>
            <w:rPr>
              <w:rFonts w:hint="eastAsia" w:ascii="宋体" w:hAnsi="宋体" w:cs="宋体"/>
              <w:b/>
              <w:bCs/>
              <w:color w:val="auto"/>
              <w:sz w:val="24"/>
              <w:szCs w:val="36"/>
              <w:highlight w:val="none"/>
            </w:rPr>
            <w:t xml:space="preserve">第四部分  采购需求</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_Toc8891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30</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3"/>
            <w:spacing w:line="400" w:lineRule="exact"/>
            <w:tabs>
              <w:tab w:val="right" w:pos="9740" w:leader="dot"/>
            </w:tabs>
            <w:rPr>
              <w:rFonts w:ascii="宋体" w:hAnsi="宋体" w:cs="宋体"/>
              <w:b/>
              <w:bCs/>
              <w:color w:val="auto"/>
              <w:sz w:val="24"/>
              <w:szCs w:val="36"/>
              <w:highlight w:val="none"/>
            </w:rPr>
          </w:pPr>
          <w:r>
            <w:rPr>
              <w:color w:val="auto"/>
              <w:highlight w:val="none"/>
            </w:rPr>
            <w:fldChar w:fldCharType="begin"/>
          </w:r>
          <w:r>
            <w:rPr>
              <w:color w:val="auto"/>
              <w:highlight w:val="none"/>
            </w:rPr>
            <w:instrText xml:space="preserve"> HYPERLINK \l "_Toc10059" </w:instrText>
          </w:r>
          <w:r>
            <w:rPr>
              <w:color w:val="auto"/>
              <w:highlight w:val="none"/>
            </w:rPr>
            <w:fldChar w:fldCharType="separate"/>
          </w:r>
          <w:r>
            <w:rPr>
              <w:rFonts w:hint="eastAsia" w:ascii="宋体" w:hAnsi="宋体" w:cs="宋体"/>
              <w:b/>
              <w:bCs/>
              <w:color w:val="auto"/>
              <w:sz w:val="24"/>
              <w:szCs w:val="36"/>
              <w:highlight w:val="none"/>
            </w:rPr>
            <w:t xml:space="preserve">第五部分  合同格式及条款</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_Toc10059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34</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3"/>
            <w:spacing w:line="400" w:lineRule="exact"/>
            <w:tabs>
              <w:tab w:val="right" w:pos="9740" w:leader="dot"/>
            </w:tabs>
            <w:rPr>
              <w:rFonts w:ascii="宋体" w:hAnsi="宋体" w:cs="宋体"/>
              <w:b/>
              <w:bCs/>
              <w:color w:val="auto"/>
              <w:sz w:val="24"/>
              <w:szCs w:val="36"/>
              <w:highlight w:val="none"/>
            </w:rPr>
          </w:pPr>
          <w:r>
            <w:rPr>
              <w:color w:val="auto"/>
              <w:highlight w:val="none"/>
            </w:rPr>
            <w:fldChar w:fldCharType="begin"/>
          </w:r>
          <w:r>
            <w:rPr>
              <w:color w:val="auto"/>
              <w:highlight w:val="none"/>
            </w:rPr>
            <w:instrText xml:space="preserve"> HYPERLINK \l "_Toc26546" </w:instrText>
          </w:r>
          <w:r>
            <w:rPr>
              <w:color w:val="auto"/>
              <w:highlight w:val="none"/>
            </w:rPr>
            <w:fldChar w:fldCharType="separate"/>
          </w:r>
          <w:r>
            <w:rPr>
              <w:rFonts w:hint="eastAsia" w:ascii="宋体" w:hAnsi="宋体" w:cs="宋体"/>
              <w:b/>
              <w:bCs/>
              <w:color w:val="auto"/>
              <w:sz w:val="24"/>
              <w:szCs w:val="36"/>
              <w:highlight w:val="none"/>
            </w:rPr>
            <w:t xml:space="preserve">第六部分  投标文件格式</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_Toc26546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41</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3"/>
            <w:spacing w:line="400" w:lineRule="exact"/>
            <w:tabs>
              <w:tab w:val="right" w:pos="9740" w:leader="dot"/>
            </w:tabs>
            <w:rPr>
              <w:rFonts w:ascii="宋体" w:hAnsi="宋体" w:cs="宋体"/>
              <w:b/>
              <w:bCs/>
              <w:color w:val="auto"/>
              <w:sz w:val="22"/>
              <w:szCs w:val="32"/>
              <w:highlight w:val="none"/>
            </w:rPr>
          </w:pPr>
          <w:r>
            <w:rPr>
              <w:color w:val="auto"/>
              <w:highlight w:val="none"/>
            </w:rPr>
            <w:fldChar w:fldCharType="begin"/>
          </w:r>
          <w:r>
            <w:rPr>
              <w:color w:val="auto"/>
              <w:highlight w:val="none"/>
            </w:rPr>
            <w:instrText xml:space="preserve"> HYPERLINK \l "_Toc3075" </w:instrText>
          </w:r>
          <w:r>
            <w:rPr>
              <w:color w:val="auto"/>
              <w:highlight w:val="none"/>
            </w:rPr>
            <w:fldChar w:fldCharType="separate"/>
          </w:r>
          <w:r>
            <w:rPr>
              <w:rFonts w:hint="eastAsia" w:ascii="宋体" w:hAnsi="宋体" w:cs="宋体"/>
              <w:b/>
              <w:bCs/>
              <w:color w:val="auto"/>
              <w:sz w:val="24"/>
              <w:szCs w:val="36"/>
              <w:highlight w:val="none"/>
            </w:rPr>
            <w:t xml:space="preserve">第七部分  特别提醒</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_Toc3075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67</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3"/>
            <w:jc w:val="center"/>
            <w:spacing w:line="400" w:lineRule="exact"/>
            <w:tabs>
              <w:tab w:val="right" w:pos="9740" w:leader="dot"/>
            </w:tabs>
            <w:rPr>
              <w:rFonts w:ascii="宋体" w:hAnsi="宋体" w:cs="宋体"/>
              <w:bCs/>
              <w:color w:val="auto"/>
              <w:szCs w:val="28"/>
              <w:highlight w:val="none"/>
            </w:rPr>
          </w:pPr>
          <w:r>
            <w:rPr>
              <w:rFonts w:hint="eastAsia" w:ascii="宋体" w:hAnsi="宋体" w:cs="宋体"/>
              <w:b/>
              <w:bCs/>
              <w:color w:val="auto"/>
              <w:sz w:val="22"/>
              <w:szCs w:val="32"/>
              <w:highlight w:val="none"/>
            </w:rPr>
            <w:fldChar w:fldCharType="end"/>
          </w:r>
          <w:r/>
        </w:p>
      </w:sdtContent>
    </w:sdt>
    <w:p>
      <w:pPr>
        <w:jc w:val="center"/>
        <w:rPr>
          <w:rFonts w:ascii="宋体" w:hAnsi="宋体" w:cs="宋体"/>
          <w:bCs/>
          <w:color w:val="auto"/>
          <w:szCs w:val="28"/>
          <w:highlight w:val="none"/>
        </w:rPr>
      </w:pPr>
      <w:r>
        <w:rPr>
          <w:rFonts w:ascii="宋体" w:hAnsi="宋体" w:cs="宋体"/>
          <w:bCs/>
          <w:color w:val="auto"/>
          <w:szCs w:val="28"/>
          <w:highlight w:val="none"/>
        </w:rPr>
      </w:r>
      <w:r/>
    </w:p>
    <w:p>
      <w:pPr>
        <w:jc w:val="left"/>
        <w:tabs>
          <w:tab w:val="left" w:pos="1445" w:leader="none"/>
        </w:tabs>
        <w:rPr>
          <w:rFonts w:ascii="宋体" w:hAnsi="宋体" w:cs="宋体"/>
          <w:b/>
          <w:bCs/>
          <w:color w:val="auto"/>
          <w:sz w:val="24"/>
          <w:szCs w:val="28"/>
          <w:highlight w:val="none"/>
        </w:rPr>
      </w:pPr>
      <w:r>
        <w:rPr>
          <w:rFonts w:hint="eastAsia" w:ascii="宋体" w:hAnsi="宋体" w:cs="宋体"/>
          <w:b/>
          <w:bCs/>
          <w:color w:val="auto"/>
          <w:sz w:val="24"/>
          <w:szCs w:val="28"/>
          <w:highlight w:val="none"/>
        </w:rPr>
        <w:tab/>
      </w:r>
      <w:r/>
    </w:p>
    <w:p>
      <w:pPr>
        <w:jc w:val="center"/>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keepLines/>
        <w:keepNext/>
        <w:pageBreakBefore/>
        <w:rPr>
          <w:rStyle w:val="852"/>
          <w:color w:val="auto"/>
          <w:sz w:val="32"/>
          <w:highlight w:val="none"/>
        </w:rPr>
        <w:outlineLvl w:val="0"/>
      </w:pPr>
      <w:r/>
      <w:bookmarkStart w:id="2" w:name="_Toc32256"/>
      <w:r/>
      <w:bookmarkStart w:id="3" w:name="_Toc514054470"/>
      <w:r/>
      <w:bookmarkStart w:id="4" w:name="_Toc27317"/>
      <w:r>
        <w:rPr>
          <w:rStyle w:val="852"/>
          <w:rFonts w:hint="eastAsia"/>
          <w:color w:val="auto"/>
          <w:highlight w:val="none"/>
        </w:rPr>
        <w:t xml:space="preserve">第一部分  招标公告</w:t>
      </w:r>
      <w:bookmarkEnd w:id="2"/>
      <w:r/>
      <w:bookmarkEnd w:id="3"/>
      <w:r/>
      <w:bookmarkEnd w:id="4"/>
      <w:r/>
      <w:r/>
    </w:p>
    <w:tbl>
      <w:tblPr>
        <w:tblStyle w:val="776"/>
        <w:tblW w:w="9241" w:type="dxa"/>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1"/>
      </w:tblGrid>
      <w:tr>
        <w:trPr>
          <w:trHeight w:val="1137"/>
        </w:trPr>
        <w:tc>
          <w:tcPr>
            <w:tcW w:w="9241" w:type="dxa"/>
            <w:textDirection w:val="lrTb"/>
            <w:noWrap w:val="false"/>
          </w:tcPr>
          <w:p>
            <w:pPr>
              <w:spacing w:line="48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项目概况</w:t>
            </w:r>
            <w:r/>
          </w:p>
          <w:p>
            <w:pPr>
              <w:ind w:firstLine="24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南京鼓楼医院</w:t>
            </w:r>
            <w:r>
              <w:rPr>
                <w:rFonts w:hint="eastAsia" w:ascii="宋体" w:hAnsi="宋体" w:cs="宋体"/>
                <w:color w:val="auto"/>
                <w:sz w:val="24"/>
                <w:szCs w:val="24"/>
                <w:highlight w:val="none"/>
                <w:lang w:eastAsia="zh-CN"/>
              </w:rPr>
              <w:t xml:space="preserve">2026-2029年度网络维保服务项目</w:t>
            </w:r>
            <w:r>
              <w:rPr>
                <w:rFonts w:hint="eastAsia" w:ascii="宋体" w:hAnsi="宋体" w:cs="宋体"/>
                <w:color w:val="auto"/>
                <w:sz w:val="24"/>
                <w:szCs w:val="24"/>
                <w:highlight w:val="none"/>
              </w:rPr>
              <w:t xml:space="preserve">的潜在投标人应在</w:t>
            </w:r>
            <w:r>
              <w:rPr>
                <w:rFonts w:hint="eastAsia" w:ascii="宋体" w:hAnsi="宋体" w:cs="宋体"/>
                <w:color w:val="auto"/>
                <w:sz w:val="24"/>
                <w:highlight w:val="none"/>
                <w:u w:val="single"/>
              </w:rPr>
              <w:t xml:space="preserve">“江苏政府采购网苏采云系统”</w:t>
            </w:r>
            <w:r>
              <w:rPr>
                <w:rFonts w:hint="eastAsia" w:ascii="宋体" w:hAnsi="宋体" w:cs="宋体"/>
                <w:color w:val="auto"/>
                <w:sz w:val="24"/>
                <w:szCs w:val="24"/>
                <w:highlight w:val="none"/>
              </w:rPr>
              <w:t xml:space="preserve">获取招标文件，并于2026年</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日1</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rPr>
              <w:t xml:space="preserve">点</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rPr>
              <w:t xml:space="preserve">0分（北京时间）前递交投标文件。</w:t>
            </w:r>
            <w:r/>
          </w:p>
        </w:tc>
      </w:tr>
    </w:tbl>
    <w:p>
      <w:pPr>
        <w:pStyle w:val="1222"/>
        <w:ind w:firstLine="480"/>
        <w:spacing w:line="312" w:lineRule="auto"/>
        <w:tabs>
          <w:tab w:val="left" w:pos="1134" w:leader="none"/>
          <w:tab w:val="left" w:pos="5612" w:leader="none"/>
        </w:tabs>
        <w:rPr>
          <w:rFonts w:ascii="宋体" w:hAnsi="宋体" w:cs="宋体"/>
          <w:color w:val="auto"/>
          <w:sz w:val="24"/>
          <w:szCs w:val="24"/>
          <w:highlight w:val="none"/>
        </w:rPr>
        <w:outlineLvl w:val="1"/>
      </w:pPr>
      <w:r/>
      <w:bookmarkStart w:id="5" w:name="_Toc2298"/>
      <w:r/>
      <w:bookmarkStart w:id="6" w:name="_Toc29050"/>
      <w:r/>
      <w:bookmarkStart w:id="7" w:name="_Toc7588"/>
      <w:r>
        <w:rPr>
          <w:rFonts w:hint="eastAsia" w:ascii="宋体" w:hAnsi="宋体" w:cs="宋体"/>
          <w:b/>
          <w:bCs/>
          <w:color w:val="auto"/>
          <w:sz w:val="24"/>
          <w:szCs w:val="24"/>
          <w:highlight w:val="none"/>
        </w:rPr>
        <w:t xml:space="preserve">一、项目基本情况</w:t>
      </w:r>
      <w:bookmarkEnd w:id="5"/>
      <w:r/>
      <w:bookmarkEnd w:id="6"/>
      <w:r/>
      <w:bookmarkEnd w:id="7"/>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tab/>
      </w:r>
      <w:r/>
    </w:p>
    <w:p>
      <w:pPr>
        <w:pStyle w:val="1222"/>
        <w:ind w:firstLine="960"/>
        <w:spacing w:line="312" w:lineRule="auto"/>
        <w:tabs>
          <w:tab w:val="left" w:pos="1134"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项目编号：JSZC-320100-JSHY-G2026-0093  </w:t>
      </w:r>
      <w:r/>
    </w:p>
    <w:p>
      <w:pPr>
        <w:pStyle w:val="1222"/>
        <w:ind w:firstLine="960"/>
        <w:spacing w:line="312" w:lineRule="auto"/>
        <w:tabs>
          <w:tab w:val="left" w:pos="1134" w:leader="none"/>
        </w:tabs>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项目名称：南京鼓楼医院</w:t>
      </w:r>
      <w:r>
        <w:rPr>
          <w:rFonts w:hint="eastAsia" w:ascii="宋体" w:hAnsi="宋体" w:cs="宋体"/>
          <w:color w:val="auto"/>
          <w:sz w:val="24"/>
          <w:szCs w:val="24"/>
          <w:highlight w:val="none"/>
          <w:lang w:eastAsia="zh-CN"/>
        </w:rPr>
        <w:t xml:space="preserve">2026-2029年度网络维保服务项目</w:t>
      </w:r>
      <w:r/>
    </w:p>
    <w:p>
      <w:pPr>
        <w:pStyle w:val="1222"/>
        <w:ind w:firstLine="960"/>
        <w:spacing w:line="312" w:lineRule="auto"/>
        <w:tabs>
          <w:tab w:val="left" w:pos="1134"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预算金额：117万元（三年）</w:t>
      </w:r>
      <w:r/>
    </w:p>
    <w:p>
      <w:pPr>
        <w:pStyle w:val="1222"/>
        <w:ind w:firstLine="960"/>
        <w:spacing w:line="312" w:lineRule="auto"/>
        <w:tabs>
          <w:tab w:val="left" w:pos="1134"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最高限价：</w:t>
      </w:r>
      <w:bookmarkStart w:id="8" w:name="OLE_LINK30"/>
      <w:r>
        <w:rPr>
          <w:rFonts w:hint="eastAsia" w:ascii="宋体" w:hAnsi="宋体" w:cs="宋体"/>
          <w:color w:val="auto"/>
          <w:sz w:val="24"/>
          <w:szCs w:val="24"/>
          <w:highlight w:val="none"/>
        </w:rPr>
        <w:t xml:space="preserve">人民币111万元（三年）。</w:t>
      </w:r>
      <w:bookmarkEnd w:id="8"/>
      <w:r/>
      <w:r/>
    </w:p>
    <w:p>
      <w:pPr>
        <w:pStyle w:val="1222"/>
        <w:ind w:firstLine="960"/>
        <w:spacing w:line="312" w:lineRule="auto"/>
        <w:tabs>
          <w:tab w:val="left" w:pos="1134"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采购需求:</w:t>
      </w:r>
      <w:r>
        <w:rPr>
          <w:rFonts w:hint="eastAsia"/>
          <w:color w:val="auto"/>
          <w:highlight w:val="none"/>
        </w:rPr>
        <w:t xml:space="preserve"> </w:t>
      </w:r>
      <w:r>
        <w:rPr>
          <w:rFonts w:hint="eastAsia" w:ascii="宋体" w:hAnsi="宋体" w:cs="宋体"/>
          <w:color w:val="auto"/>
          <w:sz w:val="24"/>
          <w:szCs w:val="24"/>
          <w:highlight w:val="none"/>
        </w:rPr>
        <w:t xml:space="preserve">详见招标文件。</w:t>
      </w:r>
      <w:r/>
    </w:p>
    <w:p>
      <w:pPr>
        <w:pStyle w:val="1222"/>
        <w:ind w:firstLine="960"/>
        <w:spacing w:line="312" w:lineRule="auto"/>
        <w:tabs>
          <w:tab w:val="left" w:pos="1134"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合同履行期限：详见招标文件</w:t>
      </w:r>
      <w:r/>
    </w:p>
    <w:p>
      <w:pPr>
        <w:pStyle w:val="1222"/>
        <w:ind w:firstLine="960"/>
        <w:spacing w:line="312" w:lineRule="auto"/>
        <w:tabs>
          <w:tab w:val="left" w:pos="1134" w:leader="none"/>
        </w:tabs>
        <w:rPr>
          <w:rFonts w:ascii="宋体" w:hAnsi="宋体" w:cs="宋体"/>
          <w:color w:val="auto"/>
          <w:sz w:val="24"/>
          <w:szCs w:val="24"/>
          <w:highlight w:val="none"/>
        </w:rPr>
      </w:pPr>
      <w:r/>
      <w:bookmarkStart w:id="9" w:name="_Toc3038"/>
      <w:r>
        <w:rPr>
          <w:rFonts w:hint="eastAsia" w:ascii="宋体" w:hAnsi="宋体" w:cs="宋体"/>
          <w:color w:val="auto"/>
          <w:sz w:val="24"/>
          <w:szCs w:val="24"/>
          <w:highlight w:val="none"/>
        </w:rPr>
        <w:t xml:space="preserve">本项目（是/否）接受联合体投标：否</w:t>
      </w:r>
      <w:r/>
    </w:p>
    <w:p>
      <w:pPr>
        <w:pStyle w:val="1222"/>
        <w:ind w:left="567" w:firstLine="0"/>
        <w:spacing w:line="312" w:lineRule="auto"/>
        <w:tabs>
          <w:tab w:val="left" w:pos="1134" w:leader="none"/>
        </w:tabs>
        <w:rPr>
          <w:rFonts w:ascii="宋体" w:hAnsi="宋体" w:cs="宋体"/>
          <w:b/>
          <w:bCs/>
          <w:color w:val="auto"/>
          <w:sz w:val="24"/>
          <w:szCs w:val="24"/>
          <w:highlight w:val="none"/>
        </w:rPr>
        <w:outlineLvl w:val="1"/>
      </w:pPr>
      <w:r/>
      <w:bookmarkStart w:id="10" w:name="_Toc16192"/>
      <w:r/>
      <w:bookmarkStart w:id="11" w:name="_Toc8033"/>
      <w:r>
        <w:rPr>
          <w:rFonts w:hint="eastAsia" w:ascii="宋体" w:hAnsi="宋体" w:cs="宋体"/>
          <w:b/>
          <w:bCs/>
          <w:color w:val="auto"/>
          <w:sz w:val="24"/>
          <w:szCs w:val="24"/>
          <w:highlight w:val="none"/>
        </w:rPr>
        <w:t xml:space="preserve">二、申请人的资格要求：</w:t>
      </w:r>
      <w:bookmarkEnd w:id="9"/>
      <w:r/>
      <w:bookmarkEnd w:id="10"/>
      <w:r/>
      <w:bookmarkEnd w:id="11"/>
      <w:r/>
      <w:r/>
    </w:p>
    <w:p>
      <w:pPr>
        <w:ind w:firstLine="480"/>
        <w:spacing w:line="360" w:lineRule="auto"/>
        <w:rPr>
          <w:rFonts w:hAnsi="宋体" w:cs="Arial"/>
          <w:color w:val="auto"/>
          <w:sz w:val="24"/>
          <w:szCs w:val="24"/>
          <w:highlight w:val="none"/>
        </w:rPr>
        <w:outlineLvl w:val="2"/>
      </w:pPr>
      <w:r>
        <w:rPr>
          <w:rFonts w:hint="eastAsia" w:hAnsi="宋体" w:cs="Arial"/>
          <w:color w:val="auto"/>
          <w:sz w:val="24"/>
          <w:szCs w:val="24"/>
          <w:highlight w:val="none"/>
        </w:rPr>
        <w:t xml:space="preserve">（一）满足《中华人民共和国政府采购法》第二十二条规定；</w:t>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1.</w:t>
      </w:r>
      <w:bookmarkStart w:id="12" w:name="OLE_LINK17"/>
      <w:r>
        <w:rPr>
          <w:rFonts w:hint="eastAsia" w:ascii="宋体" w:hAnsi="宋体"/>
          <w:color w:val="auto"/>
          <w:sz w:val="24"/>
          <w:szCs w:val="24"/>
          <w:highlight w:val="none"/>
        </w:rPr>
        <w:t xml:space="preserve">具有独立承担民事责任的能力（法人或者其他组织的营业执照等证明文件，自然人的身份证明）。</w:t>
      </w:r>
      <w:bookmarkEnd w:id="12"/>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2.</w:t>
      </w:r>
      <w:bookmarkStart w:id="13" w:name="OLE_LINK6"/>
      <w:r/>
      <w:bookmarkStart w:id="14" w:name="OLE_LINK18"/>
      <w:r>
        <w:rPr>
          <w:rFonts w:hint="eastAsia" w:ascii="宋体" w:hAnsi="宋体"/>
          <w:color w:val="auto"/>
          <w:sz w:val="24"/>
          <w:szCs w:val="24"/>
          <w:highlight w:val="none"/>
        </w:rPr>
        <w:t xml:space="preserve">具有良好的商业信誉和健全的财务会计制度（提供2024年度或2025年度财务报告，至少包含资产负债表、利润表；或投标截止时间前六个月内银行出具的资信证明；成立不满一年无须提供）</w:t>
      </w:r>
      <w:bookmarkEnd w:id="13"/>
      <w:r>
        <w:rPr>
          <w:rFonts w:hint="eastAsia" w:ascii="宋体" w:hAnsi="宋体"/>
          <w:color w:val="auto"/>
          <w:sz w:val="24"/>
          <w:szCs w:val="24"/>
          <w:highlight w:val="none"/>
        </w:rPr>
        <w:t xml:space="preserve">。</w:t>
      </w:r>
      <w:bookmarkEnd w:id="14"/>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3.</w:t>
      </w:r>
      <w:bookmarkStart w:id="15" w:name="OLE_LINK7"/>
      <w:r/>
      <w:bookmarkStart w:id="16" w:name="OLE_LINK19"/>
      <w:r>
        <w:rPr>
          <w:rFonts w:hint="eastAsia" w:ascii="宋体" w:hAnsi="宋体"/>
          <w:color w:val="auto"/>
          <w:sz w:val="24"/>
          <w:szCs w:val="24"/>
          <w:highlight w:val="none"/>
        </w:rPr>
        <w:t xml:space="preserve">具有履行合同所必需的设备和专业技术能力（提供书面声明）</w:t>
      </w:r>
      <w:bookmarkEnd w:id="15"/>
      <w:r>
        <w:rPr>
          <w:rFonts w:hint="eastAsia" w:ascii="宋体" w:hAnsi="宋体"/>
          <w:color w:val="auto"/>
          <w:sz w:val="24"/>
          <w:szCs w:val="24"/>
          <w:highlight w:val="none"/>
        </w:rPr>
        <w:t xml:space="preserve">。</w:t>
      </w:r>
      <w:bookmarkEnd w:id="16"/>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4.</w:t>
      </w:r>
      <w:bookmarkStart w:id="17" w:name="OLE_LINK8"/>
      <w:r/>
      <w:bookmarkStart w:id="18" w:name="OLE_LINK20"/>
      <w:r>
        <w:rPr>
          <w:rFonts w:hint="eastAsia" w:ascii="宋体" w:hAnsi="宋体"/>
          <w:color w:val="auto"/>
          <w:sz w:val="24"/>
          <w:szCs w:val="24"/>
          <w:highlight w:val="none"/>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bookmarkEnd w:id="17"/>
      <w:r>
        <w:rPr>
          <w:rFonts w:hint="eastAsia" w:ascii="宋体" w:hAnsi="宋体"/>
          <w:color w:val="auto"/>
          <w:sz w:val="24"/>
          <w:szCs w:val="24"/>
          <w:highlight w:val="none"/>
        </w:rPr>
        <w:t xml:space="preserve">。</w:t>
      </w:r>
      <w:bookmarkEnd w:id="18"/>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5.</w:t>
      </w:r>
      <w:bookmarkStart w:id="19" w:name="OLE_LINK11"/>
      <w:r/>
      <w:bookmarkStart w:id="20" w:name="OLE_LINK21"/>
      <w:r>
        <w:rPr>
          <w:rFonts w:hint="eastAsia" w:ascii="宋体" w:hAnsi="宋体"/>
          <w:color w:val="auto"/>
          <w:sz w:val="24"/>
          <w:szCs w:val="24"/>
          <w:highlight w:val="none"/>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19"/>
      <w:r>
        <w:rPr>
          <w:rFonts w:hint="eastAsia" w:ascii="宋体" w:hAnsi="宋体"/>
          <w:color w:val="auto"/>
          <w:sz w:val="24"/>
          <w:szCs w:val="24"/>
          <w:highlight w:val="none"/>
        </w:rPr>
        <w:t xml:space="preserve">。</w:t>
      </w:r>
      <w:bookmarkEnd w:id="20"/>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6.</w:t>
      </w:r>
      <w:bookmarkStart w:id="21" w:name="OLE_LINK22"/>
      <w:r>
        <w:rPr>
          <w:rFonts w:hint="eastAsia" w:ascii="宋体" w:hAnsi="宋体"/>
          <w:color w:val="auto"/>
          <w:sz w:val="24"/>
          <w:szCs w:val="24"/>
          <w:highlight w:val="none"/>
        </w:rPr>
        <w:t xml:space="preserve">法律、行政法规规定的其他条件。</w:t>
      </w:r>
      <w:bookmarkEnd w:id="21"/>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7.南京市政府采购供应商信用记录表暨信用承诺书。</w:t>
      </w:r>
      <w:r/>
    </w:p>
    <w:p>
      <w:pPr>
        <w:pStyle w:val="851"/>
        <w:ind w:right="476" w:firstLine="720"/>
        <w:spacing w:before="1" w:line="406" w:lineRule="auto"/>
        <w:rPr>
          <w:rFonts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（二）落实政府采购政策满足的资格要求：</w:t>
      </w:r>
      <w:r/>
    </w:p>
    <w:p>
      <w:pPr>
        <w:pStyle w:val="1258"/>
        <w:ind w:left="709" w:firstLine="480"/>
        <w:spacing w:line="329" w:lineRule="auto"/>
        <w:rPr>
          <w:rFonts w:ascii="宋体" w:hAnsi="宋体" w:cs="宋体"/>
          <w:color w:val="auto"/>
          <w:sz w:val="24"/>
          <w:szCs w:val="24"/>
          <w:highlight w:val="none"/>
        </w:rPr>
        <w:outlineLvl w:val="2"/>
      </w:pPr>
      <w:r>
        <w:rPr>
          <w:rFonts w:hint="eastAsia" w:ascii="宋体" w:hAnsi="宋体" w:cs="宋体"/>
          <w:color w:val="auto"/>
          <w:sz w:val="24"/>
          <w:szCs w:val="24"/>
          <w:highlight w:val="none"/>
        </w:rPr>
        <w:t xml:space="preserve">本项目为非预留份额的采购项目，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p>
    <w:p>
      <w:pPr>
        <w:pStyle w:val="1258"/>
        <w:ind w:left="709" w:firstLine="0"/>
        <w:spacing w:line="329" w:lineRule="auto"/>
        <w:rPr>
          <w:rFonts w:ascii="宋体" w:hAnsi="宋体" w:cs="宋体"/>
          <w:color w:val="auto"/>
          <w:sz w:val="24"/>
          <w:szCs w:val="24"/>
          <w:highlight w:val="none"/>
        </w:rPr>
        <w:outlineLvl w:val="2"/>
      </w:pPr>
      <w:r>
        <w:rPr>
          <w:rFonts w:hint="eastAsia" w:ascii="宋体" w:hAnsi="宋体" w:cs="宋体"/>
          <w:color w:val="auto"/>
          <w:sz w:val="24"/>
          <w:szCs w:val="24"/>
          <w:highlight w:val="none"/>
        </w:rPr>
        <w:t xml:space="preserve">（三）本项目的特定资格要求：</w:t>
      </w:r>
      <w:r/>
    </w:p>
    <w:p>
      <w:pPr>
        <w:ind w:left="1134"/>
        <w:spacing w:line="329" w:lineRule="auto"/>
        <w:rPr>
          <w:rFonts w:ascii="宋体" w:hAnsi="宋体"/>
          <w:color w:val="auto"/>
          <w:sz w:val="24"/>
          <w:szCs w:val="24"/>
          <w:highlight w:val="none"/>
        </w:rPr>
      </w:pPr>
      <w:r/>
      <w:bookmarkStart w:id="22" w:name="OLE_LINK28"/>
      <w:r>
        <w:rPr>
          <w:rFonts w:hint="eastAsia" w:ascii="宋体" w:hAnsi="宋体"/>
          <w:color w:val="auto"/>
          <w:sz w:val="24"/>
          <w:szCs w:val="24"/>
          <w:highlight w:val="none"/>
        </w:rPr>
        <w:t xml:space="preserve">1.拒绝下述供应商参加本次采购活动的情形：</w:t>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1.1.供应商单位负责人为同一人或者存在直接控股、管理关系的不同供应商，不得参加同一合同项下的政府采购活动。</w:t>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1.2.凡为采购项目提供整体设计、规范编制或者项目管理、监理、检测等服务的供应商，不得再参加本项目的采购活动。</w:t>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1.3.拒绝列入失信被执行人、重大税收违法案件当事人名单、政府采购严重违法失信行为记录名单的供应商参与政府采购活动。</w:t>
      </w:r>
      <w:bookmarkEnd w:id="22"/>
      <w:r/>
      <w:r/>
    </w:p>
    <w:p>
      <w:pPr>
        <w:pStyle w:val="1258"/>
        <w:spacing w:line="360" w:lineRule="auto"/>
        <w:rPr>
          <w:rFonts w:ascii="宋体" w:hAnsi="宋体" w:cs="宋体"/>
          <w:b/>
          <w:bCs/>
          <w:color w:val="auto"/>
          <w:sz w:val="24"/>
          <w:szCs w:val="24"/>
          <w:highlight w:val="none"/>
        </w:rPr>
        <w:outlineLvl w:val="1"/>
      </w:pPr>
      <w:r/>
      <w:bookmarkStart w:id="23" w:name="_Toc13339"/>
      <w:r/>
      <w:bookmarkStart w:id="24" w:name="_Toc26697"/>
      <w:r/>
      <w:bookmarkStart w:id="25" w:name="_Toc1979"/>
      <w:r>
        <w:rPr>
          <w:rFonts w:hint="eastAsia" w:ascii="宋体" w:hAnsi="宋体" w:cs="宋体"/>
          <w:b/>
          <w:bCs/>
          <w:color w:val="auto"/>
          <w:sz w:val="24"/>
          <w:szCs w:val="24"/>
          <w:highlight w:val="none"/>
        </w:rPr>
        <w:t xml:space="preserve">三、获取招标文件</w:t>
      </w:r>
      <w:bookmarkEnd w:id="23"/>
      <w:r/>
      <w:bookmarkEnd w:id="24"/>
      <w:r/>
      <w:bookmarkEnd w:id="25"/>
      <w:r/>
      <w:r/>
    </w:p>
    <w:p>
      <w:pPr>
        <w:pStyle w:val="1258"/>
        <w:ind w:left="84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1、时间：自公告发布之日起5个工作日。</w:t>
      </w:r>
      <w:r/>
    </w:p>
    <w:p>
      <w:pPr>
        <w:ind w:firstLine="1262"/>
        <w:spacing w:line="360" w:lineRule="auto"/>
        <w:rPr>
          <w:rFonts w:ascii="宋体" w:hAnsi="宋体" w:cs="宋体"/>
          <w:color w:val="auto"/>
          <w:sz w:val="24"/>
          <w:highlight w:val="none"/>
        </w:rPr>
      </w:pPr>
      <w:r>
        <w:rPr>
          <w:rFonts w:hint="eastAsia" w:ascii="宋体" w:hAnsi="宋体" w:cs="宋体"/>
          <w:color w:val="auto"/>
          <w:sz w:val="24"/>
          <w:szCs w:val="24"/>
          <w:highlight w:val="none"/>
        </w:rPr>
        <w:t xml:space="preserve">2、地点：</w:t>
      </w:r>
      <w:r>
        <w:rPr>
          <w:rFonts w:hint="eastAsia" w:ascii="宋体" w:hAnsi="宋体" w:cs="宋体"/>
          <w:color w:val="auto"/>
          <w:sz w:val="24"/>
          <w:highlight w:val="none"/>
        </w:rPr>
        <w:t xml:space="preserve">“江苏政府采购网苏采云系统”</w:t>
      </w:r>
      <w:r/>
    </w:p>
    <w:p>
      <w:pPr>
        <w:ind w:firstLine="126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3、方式：本项目采用网上注册登记方式免费获取。</w:t>
      </w:r>
      <w:r/>
    </w:p>
    <w:p>
      <w:pPr>
        <w:pStyle w:val="1222"/>
        <w:ind w:left="709" w:firstLine="0"/>
        <w:spacing w:line="360" w:lineRule="auto"/>
        <w:tabs>
          <w:tab w:val="left" w:pos="1134" w:leader="none"/>
        </w:tabs>
        <w:rPr>
          <w:rFonts w:ascii="宋体" w:hAnsi="宋体" w:cs="宋体"/>
          <w:b/>
          <w:bCs/>
          <w:color w:val="auto"/>
          <w:sz w:val="24"/>
          <w:szCs w:val="24"/>
          <w:highlight w:val="none"/>
        </w:rPr>
        <w:outlineLvl w:val="1"/>
      </w:pPr>
      <w:r/>
      <w:bookmarkStart w:id="26" w:name="_Toc12587"/>
      <w:r/>
      <w:bookmarkStart w:id="27" w:name="_Toc28083"/>
      <w:r/>
      <w:bookmarkStart w:id="28" w:name="_Toc2291"/>
      <w:r>
        <w:rPr>
          <w:rFonts w:hint="eastAsia" w:ascii="宋体" w:hAnsi="宋体" w:cs="宋体"/>
          <w:b/>
          <w:bCs/>
          <w:color w:val="auto"/>
          <w:sz w:val="24"/>
          <w:szCs w:val="24"/>
          <w:highlight w:val="none"/>
        </w:rPr>
        <w:t xml:space="preserve">四、提交投标文件截止时间、开标时间和地点</w:t>
      </w:r>
      <w:bookmarkEnd w:id="26"/>
      <w:r/>
      <w:bookmarkEnd w:id="27"/>
      <w:r/>
      <w:bookmarkEnd w:id="28"/>
      <w:r/>
      <w:r/>
    </w:p>
    <w:p>
      <w:pPr>
        <w:pStyle w:val="1222"/>
        <w:ind w:left="1134" w:firstLine="0"/>
        <w:spacing w:line="360" w:lineRule="auto"/>
        <w:tabs>
          <w:tab w:val="left" w:pos="1134" w:leader="none"/>
        </w:tabs>
        <w:rPr>
          <w:rFonts w:ascii="宋体" w:hAnsi="宋体" w:cs="宋体"/>
          <w:color w:val="auto"/>
          <w:sz w:val="24"/>
          <w:szCs w:val="24"/>
          <w:highlight w:val="none"/>
        </w:rPr>
      </w:pPr>
      <w:r>
        <w:rPr>
          <w:rFonts w:hint="eastAsia" w:ascii="宋体" w:hAnsi="宋体" w:cs="宋体"/>
          <w:bCs/>
          <w:color w:val="auto"/>
          <w:sz w:val="24"/>
          <w:szCs w:val="20"/>
          <w:highlight w:val="none"/>
        </w:rPr>
        <w:t xml:space="preserve">投标文件截止时间及开标时间：</w:t>
      </w:r>
      <w:r>
        <w:rPr>
          <w:rFonts w:hint="eastAsia" w:ascii="宋体" w:hAnsi="宋体" w:cs="宋体"/>
          <w:color w:val="auto"/>
          <w:sz w:val="24"/>
          <w:szCs w:val="24"/>
          <w:highlight w:val="none"/>
        </w:rPr>
        <w:t xml:space="preserve">2026年</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日1</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rPr>
        <w:t xml:space="preserve">点</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rPr>
        <w:t xml:space="preserve">0分（北京时间）</w:t>
      </w:r>
      <w:r/>
    </w:p>
    <w:p>
      <w:pPr>
        <w:pStyle w:val="1222"/>
        <w:ind w:left="1134" w:firstLine="0"/>
        <w:spacing w:line="360" w:lineRule="auto"/>
        <w:tabs>
          <w:tab w:val="left" w:pos="1134"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地点：</w:t>
      </w:r>
      <w:r>
        <w:rPr>
          <w:rFonts w:hint="eastAsia" w:ascii="宋体" w:hAnsi="宋体" w:cs="宋体"/>
          <w:color w:val="auto"/>
          <w:sz w:val="24"/>
          <w:highlight w:val="none"/>
        </w:rPr>
        <w:t xml:space="preserve">“苏采云”政府采购交易系统网上开标大厅。</w:t>
      </w:r>
      <w:r/>
    </w:p>
    <w:p>
      <w:pPr>
        <w:pStyle w:val="1222"/>
        <w:ind w:left="708" w:firstLine="0"/>
        <w:spacing w:line="312" w:lineRule="auto"/>
        <w:tabs>
          <w:tab w:val="left" w:pos="1134" w:leader="none"/>
        </w:tabs>
        <w:rPr>
          <w:rFonts w:ascii="宋体" w:hAnsi="宋体" w:cs="宋体"/>
          <w:b/>
          <w:bCs/>
          <w:color w:val="auto"/>
          <w:sz w:val="24"/>
          <w:szCs w:val="24"/>
          <w:highlight w:val="none"/>
        </w:rPr>
        <w:outlineLvl w:val="1"/>
      </w:pPr>
      <w:r/>
      <w:bookmarkStart w:id="29" w:name="_Toc19411"/>
      <w:r/>
      <w:bookmarkStart w:id="30" w:name="_Toc5544"/>
      <w:r/>
      <w:bookmarkStart w:id="31" w:name="_Toc8288"/>
      <w:r>
        <w:rPr>
          <w:rFonts w:hint="eastAsia" w:ascii="宋体" w:hAnsi="宋体" w:cs="宋体"/>
          <w:b/>
          <w:bCs/>
          <w:color w:val="auto"/>
          <w:sz w:val="24"/>
          <w:szCs w:val="24"/>
          <w:highlight w:val="none"/>
        </w:rPr>
        <w:t xml:space="preserve">五、公告期限</w:t>
      </w:r>
      <w:bookmarkEnd w:id="29"/>
      <w:r/>
      <w:bookmarkEnd w:id="30"/>
      <w:r/>
      <w:bookmarkEnd w:id="31"/>
      <w:r/>
      <w:r/>
    </w:p>
    <w:p>
      <w:pPr>
        <w:pStyle w:val="1222"/>
        <w:ind w:firstLine="1200"/>
        <w:spacing w:line="312" w:lineRule="auto"/>
        <w:tabs>
          <w:tab w:val="left" w:pos="1276"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pStyle w:val="1222"/>
        <w:numPr>
          <w:ilvl w:val="0"/>
          <w:numId w:val="5"/>
        </w:numPr>
        <w:ind w:left="709" w:firstLine="0"/>
        <w:spacing w:line="360" w:lineRule="exact"/>
        <w:tabs>
          <w:tab w:val="left" w:pos="1134" w:leader="none"/>
        </w:tabs>
        <w:rPr>
          <w:rFonts w:ascii="宋体" w:hAnsi="宋体" w:cs="宋体"/>
          <w:b/>
          <w:bCs/>
          <w:color w:val="auto"/>
          <w:sz w:val="24"/>
          <w:szCs w:val="24"/>
          <w:highlight w:val="none"/>
        </w:rPr>
        <w:outlineLvl w:val="1"/>
      </w:pPr>
      <w:r/>
      <w:bookmarkStart w:id="32" w:name="_Toc12830"/>
      <w:r/>
      <w:bookmarkStart w:id="33" w:name="_Toc15265"/>
      <w:r/>
      <w:bookmarkStart w:id="34" w:name="_Toc12845"/>
      <w:r>
        <w:rPr>
          <w:rFonts w:hint="eastAsia" w:ascii="宋体" w:hAnsi="宋体" w:cs="宋体"/>
          <w:b/>
          <w:bCs/>
          <w:color w:val="auto"/>
          <w:sz w:val="24"/>
          <w:szCs w:val="24"/>
          <w:highlight w:val="none"/>
        </w:rPr>
        <w:t xml:space="preserve">其他补充事宜</w:t>
      </w:r>
      <w:bookmarkEnd w:id="32"/>
      <w:r/>
      <w:bookmarkEnd w:id="33"/>
      <w:r/>
      <w:bookmarkEnd w:id="34"/>
      <w:r/>
      <w:r/>
    </w:p>
    <w:p>
      <w:pPr>
        <w:ind w:firstLine="964"/>
        <w:spacing w:line="360" w:lineRule="auto"/>
        <w:rPr>
          <w:rFonts w:ascii="宋体" w:hAnsi="宋体" w:cs="宋体"/>
          <w:b/>
          <w:color w:val="auto"/>
          <w:sz w:val="24"/>
          <w:szCs w:val="24"/>
          <w:highlight w:val="none"/>
        </w:rPr>
      </w:pPr>
      <w:r/>
      <w:bookmarkStart w:id="35" w:name="_Toc10479"/>
      <w:r>
        <w:rPr>
          <w:rFonts w:hint="eastAsia" w:ascii="宋体" w:hAnsi="宋体" w:cs="宋体"/>
          <w:b/>
          <w:color w:val="auto"/>
          <w:sz w:val="24"/>
          <w:szCs w:val="24"/>
          <w:highlight w:val="none"/>
        </w:rPr>
        <w:t xml:space="preserve">1、潜在供应商访问政府采购管理交易系统（苏采云）的网络地址和方法：</w:t>
      </w:r>
      <w:r/>
    </w:p>
    <w:p>
      <w:pPr>
        <w:ind w:left="218" w:firstLine="379"/>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218" w:firstLine="379"/>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（2）“CA数字证书”的获取：供应商需办理CA锁，“苏采云”系统目前仅支持“苏采云”系统下的政务CA，省内各地区办理的“苏采云”系统下的政务CA全省通用。</w:t>
      </w:r>
      <w:r/>
    </w:p>
    <w:p>
      <w:pPr>
        <w:ind w:left="218" w:firstLine="379"/>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（3）“CA数字证书”的办理材料以及供应商操作手册详见：http://jsxcmm.com/help/gys.html。</w:t>
      </w:r>
      <w:r/>
    </w:p>
    <w:p>
      <w:pPr>
        <w:ind w:left="218" w:firstLine="379"/>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（4）潜在供应商访问“苏采云”系统的网络地址和方法：“苏采云”系统的网址：http://jszfcg.jsczt.cn/jszc/login。</w:t>
      </w:r>
      <w:r/>
    </w:p>
    <w:p>
      <w:pPr>
        <w:ind w:left="218" w:firstLine="379"/>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（5）采购文件（后缀名为“.kedt”）、供应商操作手册及政府采购客户端工具也可通过“苏采云”系统--已报名项目--报名详情页面内相应链接进行下载。</w:t>
      </w:r>
      <w:r/>
    </w:p>
    <w:p>
      <w:pPr>
        <w:ind w:left="218" w:firstLine="379"/>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（6）招标代理机构（采购代理机构）将数据电文形式的采购文件加载至“苏采云”系统，供潜在供应商下载或者查阅。    </w:t>
      </w:r>
      <w:r/>
    </w:p>
    <w:p>
      <w:pPr>
        <w:ind w:left="218" w:firstLine="379"/>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（7）苏采云系统使用谷歌浏览器参与不见面开标。</w:t>
      </w:r>
      <w:r/>
    </w:p>
    <w:p>
      <w:pPr>
        <w:ind w:firstLine="723"/>
        <w:spacing w:line="360" w:lineRule="auto"/>
        <w:rPr>
          <w:rFonts w:ascii="宋体" w:hAnsi="宋体" w:cs="宋体"/>
          <w:bCs/>
          <w:color w:val="auto"/>
          <w:sz w:val="24"/>
          <w:szCs w:val="24"/>
          <w:highlight w:val="none"/>
        </w:rPr>
      </w:pPr>
      <w:r>
        <w:rPr>
          <w:rFonts w:hint="eastAsia" w:ascii="宋体" w:hAnsi="宋体" w:cs="宋体"/>
          <w:b/>
          <w:color w:val="auto"/>
          <w:sz w:val="24"/>
          <w:szCs w:val="24"/>
          <w:highlight w:val="none"/>
        </w:rPr>
        <w:t xml:space="preserve">2、信用承诺：</w:t>
      </w:r>
      <w:r>
        <w:rPr>
          <w:rFonts w:hint="eastAsia" w:ascii="宋体" w:hAnsi="宋体" w:cs="宋体"/>
          <w:bCs/>
          <w:color w:val="auto"/>
          <w:sz w:val="24"/>
          <w:szCs w:val="24"/>
          <w:highlight w:val="none"/>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w:t>
      </w:r>
      <w:r>
        <w:rPr>
          <w:color w:val="auto"/>
          <w:highlight w:val="none"/>
        </w:rPr>
        <w:fldChar w:fldCharType="begin"/>
      </w:r>
      <w:r>
        <w:rPr>
          <w:color w:val="auto"/>
          <w:highlight w:val="none"/>
        </w:rPr>
        <w:instrText xml:space="preserve"> HYPERLINK "https://njgc.jfh.com/）‘南京市政府采购供应商诚信档案’系统链接打开系统页面（http://180.101.238.212:8280/hodeframe2018_cxda/index.action;j</w:instrText>
      </w:r>
      <w:r>
        <w:rPr>
          <w:color w:val="auto"/>
          <w:highlight w:val="none"/>
        </w:rPr>
        <w:instrText xml:space="preserve">sessionid=769BA9C8E1729422E7173B991C8EC1E5）登录（未注册的供应商应先点击‘供应商注册点这里’并按" \o "https://njgc.jfh.com/）‘南京市政府采购供应商诚信档案’系统链接打开系统页面（http://180.101.238.212:8280/hodeframe2018_cxda/index.action;jsessionid=769BA9C8E1729422E7173B991C8EC1E5）登录（未注册的供应商应先点击‘供应商注册点这里’并按" </w:instrText>
      </w:r>
      <w:r>
        <w:rPr>
          <w:color w:val="auto"/>
          <w:highlight w:val="none"/>
        </w:rPr>
        <w:fldChar w:fldCharType="separate"/>
      </w:r>
      <w:r>
        <w:rPr>
          <w:rFonts w:hint="eastAsia" w:ascii="宋体" w:hAnsi="宋体" w:cs="宋体"/>
          <w:bCs/>
          <w:color w:val="auto"/>
          <w:sz w:val="24"/>
          <w:szCs w:val="24"/>
          <w:highlight w:val="none"/>
        </w:rPr>
        <w:t xml:space="preserve">https://njgc.jfh.com/）‘南京市政府采购供应商诚信档案’系统链接打开系统页面（http://180.101.238.212:8280/hodeframe2018_cxda/index.action;jsessionid=769BA9C8E1729422E7173B991C8EC1E5）登录（未注册的供应商应先点击‘供应商注册点这里’并按</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 要求完成注册），然后在“信用记录”模块页面点击“信用记录打印”下载本单位《南京市政府采购供应商信用记录表暨信用承诺书》，由法人签字并盖单位公章，装订在投标中。</w:t>
      </w:r>
      <w:r/>
    </w:p>
    <w:p>
      <w:pPr>
        <w:ind w:firstLine="964"/>
        <w:spacing w:line="360" w:lineRule="auto"/>
        <w:rPr>
          <w:rFonts w:ascii="宋体" w:hAnsi="宋体" w:cs="宋体"/>
          <w:b/>
          <w:color w:val="auto"/>
          <w:sz w:val="24"/>
          <w:szCs w:val="24"/>
          <w:highlight w:val="none"/>
        </w:rPr>
      </w:pPr>
      <w:r>
        <w:rPr>
          <w:rFonts w:hint="eastAsia" w:ascii="宋体" w:hAnsi="宋体" w:cs="宋体"/>
          <w:bCs/>
          <w:color w:val="auto"/>
          <w:sz w:val="24"/>
          <w:szCs w:val="24"/>
          <w:highlight w:val="none"/>
        </w:rPr>
        <w:t xml:space="preserve">在政府采购资格审查环节，供应商只需提供书面《南京市政府采购供应商信用记录表暨信用承诺书》，即可替代以下证明材料：</w:t>
      </w:r>
      <w:r>
        <w:rPr>
          <w:rFonts w:hint="eastAsia" w:ascii="宋体" w:hAnsi="宋体" w:cs="宋体"/>
          <w:b/>
          <w:color w:val="auto"/>
          <w:sz w:val="24"/>
          <w:szCs w:val="24"/>
          <w:highlight w:val="none"/>
        </w:rPr>
        <w:t xml:space="preserve"> </w:t>
      </w:r>
      <w:r/>
    </w:p>
    <w:p>
      <w:pPr>
        <w:ind w:firstLine="964"/>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（1）符合国家相关规定的财务状况报告； </w:t>
      </w:r>
      <w:r/>
    </w:p>
    <w:p>
      <w:pPr>
        <w:ind w:firstLine="964"/>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（2）依法缴纳税收的证明材料； </w:t>
      </w:r>
      <w:r/>
    </w:p>
    <w:p>
      <w:pPr>
        <w:ind w:firstLine="964"/>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（3）依法缴纳社会保障资金的证明材料； </w:t>
      </w:r>
      <w:r/>
    </w:p>
    <w:p>
      <w:pPr>
        <w:ind w:firstLine="964"/>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（4）具备履行政府采购合同所必需的设备和专业技术能力的证明材料； </w:t>
      </w:r>
      <w:r/>
    </w:p>
    <w:p>
      <w:pPr>
        <w:ind w:firstLine="964"/>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（5）参加政府采购活动前三年内在经营活动中没有重大违法记录的证明材料； </w:t>
      </w:r>
      <w:r/>
    </w:p>
    <w:p>
      <w:pPr>
        <w:ind w:firstLine="964"/>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（6）未被列入失信被执行人、重大税收违法失信主体、政府采购严重违法失信行为记录名单的证明材料。 </w:t>
      </w:r>
      <w:r/>
    </w:p>
    <w:p>
      <w:pPr>
        <w:ind w:firstLine="964"/>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供应商对信用承诺内容的真实性、合法性、有效性负责。如作出虚假信用承诺，视同为“提供虚假材料谋取中标、成交”的违法行为。</w:t>
      </w:r>
      <w:r/>
    </w:p>
    <w:p>
      <w:pPr>
        <w:ind w:firstLine="723"/>
        <w:spacing w:line="360" w:lineRule="auto"/>
        <w:rPr>
          <w:rFonts w:ascii="宋体" w:hAnsi="宋体" w:cs="宋体"/>
          <w:b/>
          <w:bCs/>
          <w:color w:val="auto"/>
          <w:sz w:val="24"/>
          <w:szCs w:val="24"/>
          <w:highlight w:val="none"/>
        </w:rPr>
      </w:pPr>
      <w:r>
        <w:rPr>
          <w:rFonts w:hint="eastAsia" w:ascii="宋体" w:hAnsi="宋体" w:cs="宋体"/>
          <w:b/>
          <w:color w:val="auto"/>
          <w:sz w:val="24"/>
          <w:szCs w:val="24"/>
          <w:highlight w:val="none"/>
        </w:rPr>
        <w:t xml:space="preserve">3.有关本次采购的事项若存在变动或修改，敬请及时关注“江苏政府采购网”发布的信息。</w:t>
      </w:r>
      <w:r/>
    </w:p>
    <w:p>
      <w:pPr>
        <w:pStyle w:val="1222"/>
        <w:ind w:left="709" w:firstLine="0"/>
        <w:spacing w:line="360" w:lineRule="auto"/>
        <w:tabs>
          <w:tab w:val="left" w:pos="1134" w:leader="none"/>
        </w:tabs>
        <w:rPr>
          <w:rFonts w:ascii="宋体" w:hAnsi="宋体" w:cs="宋体"/>
          <w:b/>
          <w:bCs/>
          <w:color w:val="auto"/>
          <w:sz w:val="24"/>
          <w:szCs w:val="24"/>
          <w:highlight w:val="none"/>
        </w:rPr>
        <w:outlineLvl w:val="1"/>
      </w:pPr>
      <w:r/>
      <w:bookmarkStart w:id="36" w:name="_Toc24284"/>
      <w:r/>
      <w:bookmarkStart w:id="37" w:name="_Toc26301"/>
      <w:r>
        <w:rPr>
          <w:rFonts w:hint="eastAsia" w:ascii="宋体" w:hAnsi="宋体" w:cs="宋体"/>
          <w:b/>
          <w:bCs/>
          <w:color w:val="auto"/>
          <w:sz w:val="24"/>
          <w:szCs w:val="24"/>
          <w:highlight w:val="none"/>
        </w:rPr>
        <w:t xml:space="preserve">七、对本次招标提出询问，请按以下方式联系。</w:t>
      </w:r>
      <w:bookmarkEnd w:id="35"/>
      <w:r/>
      <w:bookmarkEnd w:id="36"/>
      <w:r/>
      <w:bookmarkEnd w:id="37"/>
      <w:r/>
      <w:r/>
    </w:p>
    <w:p>
      <w:pPr>
        <w:pStyle w:val="1040"/>
        <w:ind w:firstLine="720"/>
        <w:spacing w:before="0" w:beforeAutospacing="0" w:after="0" w:afterAutospacing="0" w:line="360" w:lineRule="auto"/>
        <w:rPr>
          <w:rFonts w:hAnsi="宋体" w:cs="宋体"/>
          <w:color w:val="auto"/>
          <w:szCs w:val="24"/>
          <w:highlight w:val="none"/>
        </w:rPr>
        <w:outlineLvl w:val="1"/>
      </w:pPr>
      <w:r/>
      <w:bookmarkStart w:id="38" w:name="_Toc5336"/>
      <w:r/>
      <w:bookmarkStart w:id="39" w:name="_Toc11624"/>
      <w:r/>
      <w:bookmarkStart w:id="40" w:name="_Toc25617"/>
      <w:r>
        <w:rPr>
          <w:rFonts w:hint="eastAsia" w:hAnsi="宋体" w:cs="宋体"/>
          <w:color w:val="auto"/>
          <w:szCs w:val="24"/>
          <w:highlight w:val="none"/>
        </w:rPr>
        <w:t xml:space="preserve">1.采购人信息</w:t>
      </w:r>
      <w:bookmarkEnd w:id="38"/>
      <w:r/>
      <w:r/>
    </w:p>
    <w:p>
      <w:pPr>
        <w:pStyle w:val="1040"/>
        <w:ind w:firstLine="720"/>
        <w:spacing w:before="0" w:beforeAutospacing="0" w:after="0" w:afterAutospacing="0" w:line="360" w:lineRule="auto"/>
        <w:rPr>
          <w:rFonts w:hAnsi="宋体" w:cs="宋体"/>
          <w:color w:val="auto"/>
          <w:szCs w:val="24"/>
          <w:highlight w:val="none"/>
        </w:rPr>
        <w:outlineLvl w:val="1"/>
      </w:pPr>
      <w:r/>
      <w:bookmarkStart w:id="41" w:name="_Toc18962"/>
      <w:r>
        <w:rPr>
          <w:rFonts w:hint="eastAsia" w:hAnsi="宋体" w:cs="宋体"/>
          <w:color w:val="auto"/>
          <w:szCs w:val="24"/>
          <w:highlight w:val="none"/>
        </w:rPr>
        <w:t xml:space="preserve">名称：</w:t>
      </w:r>
      <w:bookmarkEnd w:id="41"/>
      <w:r>
        <w:rPr>
          <w:rFonts w:hint="eastAsia" w:hAnsi="宋体" w:cs="宋体"/>
          <w:color w:val="auto"/>
          <w:szCs w:val="24"/>
          <w:highlight w:val="none"/>
        </w:rPr>
        <w:t xml:space="preserve">南京鼓楼医院</w:t>
      </w:r>
      <w:r/>
    </w:p>
    <w:p>
      <w:pPr>
        <w:pStyle w:val="1040"/>
        <w:ind w:firstLine="720"/>
        <w:spacing w:before="0" w:beforeAutospacing="0" w:after="0" w:afterAutospacing="0" w:line="360" w:lineRule="auto"/>
        <w:rPr>
          <w:rFonts w:hAnsi="宋体" w:cs="宋体"/>
          <w:color w:val="auto"/>
          <w:szCs w:val="24"/>
          <w:highlight w:val="none"/>
        </w:rPr>
        <w:outlineLvl w:val="1"/>
      </w:pPr>
      <w:r/>
      <w:bookmarkStart w:id="42" w:name="_Toc17137"/>
      <w:r>
        <w:rPr>
          <w:rFonts w:hint="eastAsia" w:hAnsi="宋体" w:cs="宋体"/>
          <w:color w:val="auto"/>
          <w:szCs w:val="24"/>
          <w:highlight w:val="none"/>
        </w:rPr>
        <w:t xml:space="preserve">地址：</w:t>
      </w:r>
      <w:bookmarkEnd w:id="42"/>
      <w:r>
        <w:rPr>
          <w:rFonts w:hint="eastAsia" w:hAnsi="宋体" w:cs="宋体"/>
          <w:color w:val="auto"/>
          <w:szCs w:val="24"/>
          <w:highlight w:val="none"/>
        </w:rPr>
        <w:t xml:space="preserve">江苏省南京市鼓楼区中山路321号</w:t>
      </w:r>
      <w:r/>
    </w:p>
    <w:p>
      <w:pPr>
        <w:pStyle w:val="1040"/>
        <w:ind w:firstLine="720"/>
        <w:spacing w:before="0" w:beforeAutospacing="0" w:after="0" w:afterAutospacing="0" w:line="360" w:lineRule="auto"/>
        <w:rPr>
          <w:rFonts w:hAnsi="宋体" w:cs="宋体"/>
          <w:color w:val="auto"/>
          <w:szCs w:val="24"/>
          <w:highlight w:val="none"/>
        </w:rPr>
        <w:outlineLvl w:val="1"/>
      </w:pPr>
      <w:r/>
      <w:bookmarkStart w:id="43" w:name="_Toc18720"/>
      <w:r>
        <w:rPr>
          <w:rFonts w:hint="eastAsia" w:hAnsi="宋体" w:cs="宋体"/>
          <w:color w:val="auto"/>
          <w:szCs w:val="24"/>
          <w:highlight w:val="none"/>
        </w:rPr>
        <w:t xml:space="preserve">联系方式：</w:t>
      </w:r>
      <w:bookmarkEnd w:id="43"/>
      <w:r>
        <w:rPr>
          <w:rFonts w:hint="eastAsia" w:hAnsi="宋体" w:cs="宋体"/>
          <w:color w:val="auto"/>
          <w:szCs w:val="24"/>
          <w:highlight w:val="none"/>
        </w:rPr>
        <w:t xml:space="preserve">025-83105006</w:t>
      </w:r>
      <w:r/>
    </w:p>
    <w:p>
      <w:pPr>
        <w:pStyle w:val="1040"/>
        <w:ind w:firstLine="720"/>
        <w:spacing w:before="0" w:beforeAutospacing="0" w:after="0" w:afterAutospacing="0" w:line="360" w:lineRule="auto"/>
        <w:rPr>
          <w:rFonts w:hAnsi="宋体" w:cs="宋体"/>
          <w:color w:val="auto"/>
          <w:szCs w:val="24"/>
          <w:highlight w:val="none"/>
        </w:rPr>
        <w:outlineLvl w:val="1"/>
      </w:pPr>
      <w:r/>
      <w:bookmarkStart w:id="44" w:name="_Toc29917"/>
      <w:r>
        <w:rPr>
          <w:rFonts w:hint="eastAsia" w:hAnsi="宋体" w:cs="宋体"/>
          <w:color w:val="auto"/>
          <w:szCs w:val="24"/>
          <w:highlight w:val="none"/>
        </w:rPr>
        <w:t xml:space="preserve">2.采购代理机构信息</w:t>
      </w:r>
      <w:bookmarkEnd w:id="39"/>
      <w:r/>
      <w:bookmarkEnd w:id="44"/>
      <w:r/>
      <w:r/>
    </w:p>
    <w:p>
      <w:pPr>
        <w:pStyle w:val="1040"/>
        <w:ind w:firstLine="720"/>
        <w:spacing w:before="0" w:beforeAutospacing="0" w:after="0" w:afterAutospacing="0" w:line="312" w:lineRule="auto"/>
        <w:rPr>
          <w:rFonts w:hAnsi="宋体" w:cs="宋体"/>
          <w:color w:val="auto"/>
          <w:szCs w:val="24"/>
          <w:highlight w:val="none"/>
        </w:rPr>
        <w:outlineLvl w:val="1"/>
      </w:pPr>
      <w:r/>
      <w:bookmarkStart w:id="45" w:name="_Toc6514"/>
      <w:r/>
      <w:bookmarkStart w:id="46" w:name="_Toc17590"/>
      <w:r>
        <w:rPr>
          <w:rFonts w:hint="eastAsia" w:hAnsi="宋体" w:cs="宋体"/>
          <w:color w:val="auto"/>
          <w:szCs w:val="24"/>
          <w:highlight w:val="none"/>
        </w:rPr>
        <w:t xml:space="preserve">名称：江苏弘业国际技术工程有限公司</w:t>
      </w:r>
      <w:bookmarkEnd w:id="45"/>
      <w:r/>
      <w:bookmarkEnd w:id="46"/>
      <w:r/>
      <w:r/>
    </w:p>
    <w:p>
      <w:pPr>
        <w:pStyle w:val="1040"/>
        <w:ind w:firstLine="720"/>
        <w:spacing w:before="0" w:beforeAutospacing="0" w:after="0" w:afterAutospacing="0" w:line="312" w:lineRule="auto"/>
        <w:rPr>
          <w:rFonts w:hAnsi="宋体" w:cs="宋体"/>
          <w:color w:val="auto"/>
          <w:szCs w:val="24"/>
          <w:highlight w:val="none"/>
        </w:rPr>
        <w:outlineLvl w:val="1"/>
      </w:pPr>
      <w:r/>
      <w:bookmarkStart w:id="47" w:name="_Toc8777"/>
      <w:r/>
      <w:bookmarkStart w:id="48" w:name="_Toc29228"/>
      <w:r>
        <w:rPr>
          <w:rFonts w:hint="eastAsia" w:hAnsi="宋体" w:cs="宋体"/>
          <w:color w:val="auto"/>
          <w:szCs w:val="24"/>
          <w:highlight w:val="none"/>
        </w:rPr>
        <w:t xml:space="preserve">地址：南京市中华路50号弘业大厦10楼</w:t>
      </w:r>
      <w:bookmarkEnd w:id="47"/>
      <w:r/>
      <w:bookmarkEnd w:id="48"/>
      <w:r/>
      <w:r/>
    </w:p>
    <w:p>
      <w:pPr>
        <w:pStyle w:val="1040"/>
        <w:ind w:firstLine="720"/>
        <w:spacing w:before="0" w:beforeAutospacing="0" w:after="0" w:afterAutospacing="0" w:line="312" w:lineRule="auto"/>
        <w:rPr>
          <w:rFonts w:hAnsi="宋体" w:cs="宋体"/>
          <w:color w:val="auto"/>
          <w:szCs w:val="24"/>
          <w:highlight w:val="none"/>
        </w:rPr>
        <w:outlineLvl w:val="1"/>
      </w:pPr>
      <w:r/>
      <w:bookmarkStart w:id="49" w:name="_Toc30931"/>
      <w:r/>
      <w:bookmarkStart w:id="50" w:name="_Toc4151"/>
      <w:r>
        <w:rPr>
          <w:rFonts w:hint="eastAsia" w:hAnsi="宋体" w:cs="宋体"/>
          <w:color w:val="auto"/>
          <w:szCs w:val="24"/>
          <w:highlight w:val="none"/>
        </w:rPr>
        <w:t xml:space="preserve">联系方式：</w:t>
      </w:r>
      <w:bookmarkEnd w:id="49"/>
      <w:r/>
      <w:bookmarkEnd w:id="50"/>
      <w:r>
        <w:rPr>
          <w:rFonts w:hint="eastAsia" w:hAnsi="宋体" w:cs="宋体"/>
          <w:bCs/>
          <w:color w:val="auto"/>
          <w:szCs w:val="21"/>
          <w:highlight w:val="none"/>
          <w:lang w:val="zh-CN"/>
        </w:rPr>
        <w:t xml:space="preserve">025-52278371</w:t>
      </w:r>
      <w:r>
        <w:rPr>
          <w:rFonts w:hint="eastAsia" w:hAnsi="宋体" w:cs="宋体"/>
          <w:color w:val="auto"/>
          <w:szCs w:val="24"/>
          <w:highlight w:val="none"/>
        </w:rPr>
        <w:t xml:space="preserve"> </w:t>
      </w:r>
      <w:r/>
    </w:p>
    <w:p>
      <w:pPr>
        <w:pStyle w:val="1040"/>
        <w:ind w:firstLine="720"/>
        <w:spacing w:before="0" w:beforeAutospacing="0" w:after="0" w:afterAutospacing="0" w:line="312" w:lineRule="auto"/>
        <w:rPr>
          <w:rFonts w:hAnsi="宋体" w:cs="宋体"/>
          <w:color w:val="auto"/>
          <w:szCs w:val="24"/>
          <w:highlight w:val="none"/>
        </w:rPr>
        <w:outlineLvl w:val="1"/>
      </w:pPr>
      <w:r/>
      <w:bookmarkStart w:id="51" w:name="_Toc2685"/>
      <w:r/>
      <w:bookmarkStart w:id="52" w:name="_Toc23093"/>
      <w:r>
        <w:rPr>
          <w:rFonts w:hint="eastAsia" w:hAnsi="宋体" w:cs="宋体"/>
          <w:color w:val="auto"/>
          <w:szCs w:val="24"/>
          <w:highlight w:val="none"/>
        </w:rPr>
        <w:t xml:space="preserve">传  真：025-5227876</w:t>
      </w:r>
      <w:bookmarkEnd w:id="51"/>
      <w:r/>
      <w:bookmarkEnd w:id="52"/>
      <w:r>
        <w:rPr>
          <w:rFonts w:hint="eastAsia" w:hAnsi="宋体" w:cs="宋体"/>
          <w:color w:val="auto"/>
          <w:szCs w:val="24"/>
          <w:highlight w:val="none"/>
        </w:rPr>
        <w:t xml:space="preserve">1</w:t>
      </w:r>
      <w:r/>
    </w:p>
    <w:p>
      <w:pPr>
        <w:pStyle w:val="1040"/>
        <w:ind w:firstLine="720"/>
        <w:spacing w:before="0" w:beforeAutospacing="0" w:after="0" w:afterAutospacing="0" w:line="312" w:lineRule="auto"/>
        <w:rPr>
          <w:rFonts w:hAnsi="宋体" w:cs="宋体"/>
          <w:color w:val="auto"/>
          <w:szCs w:val="24"/>
          <w:highlight w:val="none"/>
        </w:rPr>
        <w:outlineLvl w:val="1"/>
      </w:pPr>
      <w:r/>
      <w:bookmarkStart w:id="53" w:name="_Toc21139"/>
      <w:r/>
      <w:bookmarkStart w:id="54" w:name="_Toc4597"/>
      <w:r>
        <w:rPr>
          <w:rFonts w:hint="eastAsia" w:hAnsi="宋体" w:cs="宋体"/>
          <w:color w:val="auto"/>
          <w:szCs w:val="24"/>
          <w:highlight w:val="none"/>
        </w:rPr>
        <w:t xml:space="preserve">3.项目联系方式</w:t>
      </w:r>
      <w:bookmarkEnd w:id="53"/>
      <w:r/>
      <w:bookmarkEnd w:id="54"/>
      <w:r/>
      <w:r/>
    </w:p>
    <w:p>
      <w:pPr>
        <w:pStyle w:val="1040"/>
        <w:ind w:firstLine="720"/>
        <w:spacing w:before="0" w:beforeAutospacing="0" w:after="0" w:afterAutospacing="0" w:line="312" w:lineRule="auto"/>
        <w:rPr>
          <w:rFonts w:hAnsi="宋体" w:cs="宋体"/>
          <w:color w:val="auto"/>
          <w:szCs w:val="24"/>
          <w:highlight w:val="none"/>
        </w:rPr>
        <w:outlineLvl w:val="1"/>
      </w:pPr>
      <w:r/>
      <w:bookmarkStart w:id="55" w:name="_Toc18816"/>
      <w:r/>
      <w:bookmarkStart w:id="56" w:name="_Toc23478"/>
      <w:r>
        <w:rPr>
          <w:rFonts w:hint="eastAsia" w:hAnsi="宋体" w:cs="宋体"/>
          <w:color w:val="auto"/>
          <w:szCs w:val="24"/>
          <w:highlight w:val="none"/>
        </w:rPr>
        <w:t xml:space="preserve">项目联系人：</w:t>
      </w:r>
      <w:bookmarkEnd w:id="55"/>
      <w:r/>
      <w:bookmarkEnd w:id="56"/>
      <w:r>
        <w:rPr>
          <w:rFonts w:hint="eastAsia" w:hAnsi="宋体" w:cs="宋体"/>
          <w:color w:val="auto"/>
          <w:szCs w:val="24"/>
          <w:highlight w:val="none"/>
          <w:lang w:val="zh-CN"/>
        </w:rPr>
        <w:t xml:space="preserve">宋瞰尘、戴婷</w:t>
      </w:r>
      <w:r/>
    </w:p>
    <w:p>
      <w:pPr>
        <w:pStyle w:val="1040"/>
        <w:ind w:firstLine="720"/>
        <w:spacing w:before="0" w:beforeAutospacing="0" w:after="0" w:afterAutospacing="0" w:line="312" w:lineRule="auto"/>
        <w:rPr>
          <w:rFonts w:hAnsi="宋体" w:cs="宋体"/>
          <w:color w:val="auto"/>
          <w:szCs w:val="24"/>
          <w:highlight w:val="none"/>
        </w:rPr>
        <w:outlineLvl w:val="1"/>
      </w:pPr>
      <w:r/>
      <w:bookmarkStart w:id="57" w:name="_Toc13399"/>
      <w:r/>
      <w:bookmarkStart w:id="58" w:name="_Toc12073"/>
      <w:r>
        <w:rPr>
          <w:rFonts w:hint="eastAsia" w:hAnsi="宋体" w:cs="宋体"/>
          <w:color w:val="auto"/>
          <w:szCs w:val="24"/>
          <w:highlight w:val="none"/>
        </w:rPr>
        <w:t xml:space="preserve">电话：</w:t>
      </w:r>
      <w:bookmarkEnd w:id="40"/>
      <w:r/>
      <w:bookmarkEnd w:id="57"/>
      <w:r/>
      <w:bookmarkEnd w:id="58"/>
      <w:r>
        <w:rPr>
          <w:rFonts w:hint="eastAsia" w:hAnsi="宋体" w:cs="宋体"/>
          <w:bCs/>
          <w:color w:val="auto"/>
          <w:szCs w:val="21"/>
          <w:highlight w:val="none"/>
          <w:lang w:val="zh-CN"/>
        </w:rPr>
        <w:t xml:space="preserve">025-52278371</w:t>
      </w:r>
      <w:r/>
    </w:p>
    <w:p>
      <w:pPr>
        <w:pStyle w:val="851"/>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1045"/>
        <w:ind w:left="420" w:firstLine="480"/>
        <w:rPr>
          <w:rFonts w:ascii="宋体" w:hAnsi="宋体" w:eastAsia="宋体" w:cs="宋体"/>
          <w:color w:val="auto"/>
          <w:highlight w:val="none"/>
        </w:rPr>
      </w:pPr>
      <w:r>
        <w:rPr>
          <w:rFonts w:ascii="宋体" w:hAnsi="宋体" w:eastAsia="宋体" w:cs="宋体"/>
          <w:color w:val="auto"/>
          <w:highlight w:val="none"/>
        </w:rPr>
      </w:r>
      <w:r/>
    </w:p>
    <w:p>
      <w:pPr>
        <w:pStyle w:val="766"/>
        <w:jc w:val="both"/>
        <w:rPr>
          <w:color w:val="auto"/>
          <w:highlight w:val="none"/>
        </w:rPr>
      </w:pPr>
      <w:r>
        <w:rPr>
          <w:rFonts w:hint="eastAsia"/>
          <w:color w:val="auto"/>
          <w:highlight w:val="none"/>
        </w:rPr>
        <w:br w:type="page" w:clear="all"/>
      </w:r>
      <w:bookmarkStart w:id="59" w:name="_Toc7212"/>
      <w:r>
        <w:rPr>
          <w:rFonts w:hint="eastAsia" w:eastAsia="宋体"/>
          <w:color w:val="auto"/>
          <w:highlight w:val="none"/>
        </w:rPr>
        <w:t xml:space="preserve">            </w:t>
      </w:r>
      <w:bookmarkStart w:id="60" w:name="_Toc10498"/>
      <w:r>
        <w:rPr>
          <w:rFonts w:hint="eastAsia"/>
          <w:color w:val="auto"/>
          <w:highlight w:val="none"/>
        </w:rPr>
        <w:t xml:space="preserve">第二部分  投标人须知</w:t>
      </w:r>
      <w:bookmarkEnd w:id="59"/>
      <w:r/>
      <w:bookmarkEnd w:id="60"/>
      <w:r/>
      <w:r/>
    </w:p>
    <w:p>
      <w:pPr>
        <w:pStyle w:val="976"/>
        <w:jc w:val="center"/>
        <w:keepLines w:val="0"/>
        <w:keepNext w:val="0"/>
        <w:spacing w:before="0" w:after="0" w:line="240" w:lineRule="auto"/>
        <w:rPr>
          <w:rFonts w:ascii="宋体" w:hAnsi="宋体" w:eastAsia="宋体" w:cs="宋体"/>
          <w:color w:val="auto"/>
          <w:highlight w:val="none"/>
        </w:rPr>
      </w:pPr>
      <w:r/>
      <w:bookmarkStart w:id="61" w:name="_Toc17705"/>
      <w:r/>
      <w:bookmarkStart w:id="62" w:name="_Toc17216"/>
      <w:r/>
      <w:bookmarkStart w:id="63" w:name="_Toc514054471"/>
      <w:r/>
      <w:bookmarkStart w:id="64" w:name="_Toc10216"/>
      <w:r>
        <w:rPr>
          <w:rFonts w:hint="eastAsia" w:ascii="宋体" w:hAnsi="宋体" w:eastAsia="宋体" w:cs="宋体"/>
          <w:color w:val="auto"/>
          <w:highlight w:val="none"/>
        </w:rPr>
        <w:t xml:space="preserve">投标人须知前附表</w:t>
      </w:r>
      <w:bookmarkEnd w:id="61"/>
      <w:r/>
      <w:bookmarkEnd w:id="62"/>
      <w:r/>
      <w:bookmarkEnd w:id="63"/>
      <w:r/>
      <w:bookmarkEnd w:id="64"/>
      <w:r/>
      <w:r/>
    </w:p>
    <w:tbl>
      <w:tblPr>
        <w:tblStyle w:val="776"/>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519"/>
        <w:gridCol w:w="6297"/>
      </w:tblGrid>
      <w:tr>
        <w:trPr>
          <w:trHeight w:val="90"/>
        </w:trPr>
        <w:tc>
          <w:tcPr>
            <w:tcW w:w="1043" w:type="dxa"/>
            <w:vAlign w:val="center"/>
            <w:textDirection w:val="lrTb"/>
            <w:noWrap w:val="false"/>
          </w:tcPr>
          <w:p>
            <w:pPr>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2519" w:type="dxa"/>
            <w:vAlign w:val="center"/>
            <w:textDirection w:val="lrTb"/>
            <w:noWrap w:val="false"/>
          </w:tcPr>
          <w:p>
            <w:pPr>
              <w:jc w:val="center"/>
              <w:rPr>
                <w:rFonts w:ascii="宋体" w:hAnsi="宋体" w:cs="宋体"/>
                <w:b/>
                <w:color w:val="auto"/>
                <w:sz w:val="24"/>
                <w:szCs w:val="24"/>
                <w:highlight w:val="none"/>
              </w:rPr>
            </w:pPr>
            <w:r>
              <w:rPr>
                <w:rFonts w:hint="eastAsia" w:ascii="宋体" w:hAnsi="宋体" w:cs="宋体"/>
                <w:b/>
                <w:color w:val="auto"/>
                <w:sz w:val="24"/>
                <w:szCs w:val="24"/>
                <w:highlight w:val="none"/>
              </w:rPr>
              <w:t xml:space="preserve">内容</w:t>
            </w:r>
            <w:r/>
          </w:p>
        </w:tc>
        <w:tc>
          <w:tcPr>
            <w:tcW w:w="6297" w:type="dxa"/>
            <w:vAlign w:val="center"/>
            <w:textDirection w:val="lrTb"/>
            <w:noWrap w:val="false"/>
          </w:tcPr>
          <w:p>
            <w:pPr>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说明及要求</w:t>
            </w:r>
            <w:r/>
          </w:p>
        </w:tc>
      </w:tr>
      <w:tr>
        <w:trPr>
          <w:trHeight w:val="638"/>
        </w:trPr>
        <w:tc>
          <w:tcPr>
            <w:tcW w:w="104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519"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特别说明</w:t>
            </w:r>
            <w:r/>
          </w:p>
        </w:tc>
        <w:tc>
          <w:tcPr>
            <w:tcW w:w="6297" w:type="dxa"/>
            <w:vAlign w:val="center"/>
            <w:textDirection w:val="lrTb"/>
            <w:noWrap w:val="false"/>
          </w:tcPr>
          <w:p>
            <w:pPr>
              <w:rPr>
                <w:rFonts w:ascii="宋体" w:hAnsi="宋体" w:cs="宋体"/>
                <w:color w:val="auto"/>
                <w:sz w:val="24"/>
                <w:szCs w:val="24"/>
                <w:highlight w:val="none"/>
              </w:rPr>
            </w:pPr>
            <w:r>
              <w:rPr>
                <w:rFonts w:hint="eastAsia" w:ascii="宋体" w:hAnsi="宋体" w:cs="宋体"/>
                <w:b/>
                <w:bCs/>
                <w:color w:val="auto"/>
                <w:sz w:val="24"/>
                <w:szCs w:val="24"/>
                <w:highlight w:val="none"/>
              </w:rPr>
              <w:t xml:space="preserve">若有内容与投标人须知前附表内容不一致时，以投标人须知前附表为准。</w:t>
            </w:r>
            <w:r/>
          </w:p>
        </w:tc>
      </w:tr>
      <w:tr>
        <w:trPr>
          <w:trHeight w:val="90"/>
        </w:trPr>
        <w:tc>
          <w:tcPr>
            <w:tcW w:w="104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2519"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投标保证金</w:t>
            </w:r>
            <w:r/>
          </w:p>
        </w:tc>
        <w:tc>
          <w:tcPr>
            <w:tcW w:w="6297"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本项目不收取投标保证金</w:t>
            </w:r>
            <w:r/>
          </w:p>
        </w:tc>
      </w:tr>
      <w:tr>
        <w:trPr>
          <w:trHeight w:val="90"/>
        </w:trPr>
        <w:tc>
          <w:tcPr>
            <w:tcW w:w="104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2519"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6297" w:type="dxa"/>
            <w:vAlign w:val="center"/>
            <w:textDirection w:val="lrTb"/>
            <w:noWrap w:val="false"/>
          </w:tcPr>
          <w:p>
            <w:pPr>
              <w:widowControl/>
              <w:rPr>
                <w:rFonts w:ascii="宋体" w:hAnsi="宋体" w:cs="宋体"/>
                <w:color w:val="auto"/>
                <w:sz w:val="24"/>
                <w:szCs w:val="24"/>
                <w:highlight w:val="none"/>
              </w:rPr>
            </w:pPr>
            <w:r/>
            <w:bookmarkStart w:id="65" w:name="EBd40b5fb42f2944a3b45e579ce3941f02"/>
            <w:r>
              <w:rPr>
                <w:rFonts w:hint="eastAsia" w:ascii="宋体" w:hAnsi="宋体" w:cs="宋体"/>
                <w:color w:val="auto"/>
                <w:sz w:val="24"/>
                <w:szCs w:val="24"/>
                <w:highlight w:val="none"/>
              </w:rPr>
              <w:t xml:space="preserve">90</w:t>
            </w:r>
            <w:bookmarkEnd w:id="65"/>
            <w:r>
              <w:rPr>
                <w:rFonts w:hint="eastAsia" w:ascii="宋体" w:hAnsi="宋体" w:cs="宋体"/>
                <w:color w:val="auto"/>
                <w:sz w:val="24"/>
                <w:szCs w:val="24"/>
                <w:highlight w:val="none"/>
              </w:rPr>
              <w:t xml:space="preserve">日（从提交投标文件截止之日起算）</w:t>
            </w:r>
            <w:r/>
          </w:p>
        </w:tc>
      </w:tr>
      <w:tr>
        <w:trPr>
          <w:trHeight w:val="90"/>
        </w:trPr>
        <w:tc>
          <w:tcPr>
            <w:tcW w:w="104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2519"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评标办法</w:t>
            </w:r>
            <w:r/>
          </w:p>
        </w:tc>
        <w:tc>
          <w:tcPr>
            <w:tcW w:w="6297" w:type="dxa"/>
            <w:vAlign w:val="center"/>
            <w:textDirection w:val="lrTb"/>
            <w:noWrap w:val="false"/>
          </w:tcPr>
          <w:p>
            <w:pP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综合评分法</w:t>
            </w:r>
            <w:r/>
          </w:p>
          <w:p>
            <w:pP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具体评标办法详见招标文件第三部分。</w:t>
            </w:r>
            <w:r/>
          </w:p>
          <w:p>
            <w:pP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评标委员会按照招标文件规定的评标办法和标准，确定各投标人经评审后的得分，并按得分由高到低进行排序。</w:t>
            </w:r>
            <w:r/>
          </w:p>
        </w:tc>
      </w:tr>
      <w:tr>
        <w:trPr>
          <w:trHeight w:val="90"/>
        </w:trPr>
        <w:tc>
          <w:tcPr>
            <w:tcW w:w="104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2519"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中标通知书领取</w:t>
            </w:r>
            <w:r/>
          </w:p>
        </w:tc>
        <w:tc>
          <w:tcPr>
            <w:tcW w:w="6297" w:type="dxa"/>
            <w:vAlign w:val="center"/>
            <w:textDirection w:val="lrTb"/>
            <w:noWrap w:val="false"/>
          </w:tcPr>
          <w:p>
            <w:pP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领取地址：南京市中华路50号弘业大厦10楼</w:t>
            </w:r>
            <w:r/>
          </w:p>
          <w:p>
            <w:pP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需提供材料：中标服务费缴纳截图</w:t>
            </w:r>
            <w:r/>
          </w:p>
        </w:tc>
      </w:tr>
      <w:tr>
        <w:trPr>
          <w:trHeight w:val="90"/>
        </w:trPr>
        <w:tc>
          <w:tcPr>
            <w:tcW w:w="104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2519"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中标服务费的收取</w:t>
            </w:r>
            <w:r/>
          </w:p>
        </w:tc>
        <w:tc>
          <w:tcPr>
            <w:tcW w:w="6297" w:type="dxa"/>
            <w:vAlign w:val="center"/>
            <w:textDirection w:val="lrTb"/>
            <w:noWrap w:val="false"/>
          </w:tcPr>
          <w:p>
            <w:pP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本项目中标服务费参照发改价格[2011]534号</w:t>
            </w:r>
            <w:r>
              <w:rPr>
                <w:rFonts w:hint="eastAsia" w:ascii="宋体" w:hAnsi="宋体" w:cs="宋体"/>
                <w:color w:val="auto"/>
                <w:sz w:val="24"/>
                <w:highlight w:val="none"/>
              </w:rPr>
              <w:t xml:space="preserve">文的35%收取</w:t>
            </w:r>
            <w:r>
              <w:rPr>
                <w:rFonts w:hint="eastAsia" w:ascii="宋体" w:hAnsi="宋体" w:cs="宋体"/>
                <w:color w:val="auto"/>
                <w:sz w:val="24"/>
                <w:szCs w:val="24"/>
                <w:highlight w:val="none"/>
              </w:rPr>
              <w:t xml:space="preserve">，中标人应在领取中标通知书前缴纳。</w:t>
            </w:r>
            <w:r/>
          </w:p>
          <w:p>
            <w:pPr>
              <w:widowControl/>
              <w:rPr>
                <w:rFonts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账户信息：</w:t>
            </w:r>
            <w:r/>
          </w:p>
          <w:p>
            <w:pPr>
              <w:widowControl/>
              <w:rPr>
                <w:rFonts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户    名：江苏弘业国际技术工程有限公司</w:t>
            </w:r>
            <w:r/>
          </w:p>
          <w:p>
            <w:pPr>
              <w:widowControl/>
              <w:rPr>
                <w:rFonts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开户银行：中国银行南京市中华路支行   </w:t>
            </w:r>
            <w:r/>
          </w:p>
          <w:p>
            <w:pPr>
              <w:widowControl/>
              <w:rPr>
                <w:rFonts w:ascii="宋体" w:hAnsi="宋体" w:cs="宋体"/>
                <w:color w:val="auto"/>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账    号：527460884999</w:t>
            </w:r>
            <w:r/>
          </w:p>
        </w:tc>
      </w:tr>
      <w:tr>
        <w:trPr>
          <w:trHeight w:val="405"/>
        </w:trPr>
        <w:tc>
          <w:tcPr>
            <w:tcW w:w="104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2519"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履约保证金</w:t>
            </w:r>
            <w:r/>
          </w:p>
        </w:tc>
        <w:tc>
          <w:tcPr>
            <w:tcW w:w="6297" w:type="dxa"/>
            <w:vAlign w:val="center"/>
            <w:textDirection w:val="lrTb"/>
            <w:noWrap w:val="false"/>
          </w:tcPr>
          <w:p>
            <w:pPr>
              <w:rPr>
                <w:rFonts w:ascii="宋体" w:hAnsi="宋体" w:cs="宋体"/>
                <w:color w:val="auto"/>
                <w:highlight w:val="none"/>
              </w:rPr>
            </w:pPr>
            <w:r>
              <w:rPr>
                <w:rFonts w:hint="eastAsia" w:ascii="宋体" w:hAnsi="宋体" w:cs="宋体"/>
                <w:color w:val="auto"/>
                <w:sz w:val="24"/>
                <w:szCs w:val="24"/>
                <w:highlight w:val="none"/>
              </w:rPr>
              <w:t xml:space="preserve">本项目不适用。</w:t>
            </w:r>
            <w:r/>
          </w:p>
        </w:tc>
      </w:tr>
      <w:tr>
        <w:trPr>
          <w:trHeight w:val="518"/>
        </w:trPr>
        <w:tc>
          <w:tcPr>
            <w:tcW w:w="1043" w:type="dxa"/>
            <w:vAlign w:val="center"/>
            <w:textDirection w:val="lrTb"/>
            <w:noWrap w:val="false"/>
          </w:tcPr>
          <w:p>
            <w:pPr>
              <w:jc w:val="center"/>
              <w:rPr>
                <w:rFonts w:ascii="宋体" w:hAnsi="宋体" w:cs="宋体"/>
                <w:color w:val="auto"/>
                <w:sz w:val="24"/>
                <w:szCs w:val="24"/>
                <w:highlight w:val="none"/>
              </w:rPr>
            </w:pPr>
            <w:r/>
            <w:bookmarkStart w:id="66" w:name="_Toc25522"/>
            <w:r/>
            <w:bookmarkStart w:id="67" w:name="_Toc514054472"/>
            <w:r>
              <w:rPr>
                <w:rFonts w:hint="eastAsia" w:ascii="宋体" w:hAnsi="宋体" w:cs="宋体"/>
                <w:color w:val="auto"/>
                <w:sz w:val="24"/>
                <w:szCs w:val="24"/>
                <w:highlight w:val="none"/>
              </w:rPr>
              <w:t xml:space="preserve">8</w:t>
            </w:r>
            <w:r/>
          </w:p>
        </w:tc>
        <w:tc>
          <w:tcPr>
            <w:tcW w:w="2519"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采购标的所属行业</w:t>
            </w:r>
            <w:r/>
          </w:p>
        </w:tc>
        <w:tc>
          <w:tcPr>
            <w:tcW w:w="6297"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本项目采购标的对应的行业主要为</w:t>
            </w:r>
            <w:r>
              <w:rPr>
                <w:rFonts w:hint="eastAsia" w:ascii="宋体" w:hAnsi="宋体" w:cs="宋体"/>
                <w:color w:val="auto"/>
                <w:sz w:val="24"/>
                <w:szCs w:val="24"/>
                <w:highlight w:val="none"/>
                <w:u w:val="single"/>
              </w:rPr>
              <w:t xml:space="preserve">软件和信息技术服务业</w:t>
            </w:r>
            <w:r>
              <w:rPr>
                <w:rFonts w:hint="eastAsia" w:ascii="宋体" w:hAnsi="宋体" w:cs="宋体"/>
                <w:color w:val="auto"/>
                <w:sz w:val="24"/>
                <w:szCs w:val="24"/>
                <w:highlight w:val="none"/>
              </w:rPr>
              <w:t xml:space="preserve">。</w:t>
            </w:r>
            <w:r/>
          </w:p>
        </w:tc>
      </w:tr>
    </w:tbl>
    <w:p>
      <w:pPr>
        <w:pStyle w:val="1378"/>
        <w:rPr>
          <w:rFonts w:ascii="宋体" w:hAnsi="宋体" w:eastAsia="宋体" w:cs="宋体"/>
          <w:color w:val="auto"/>
          <w:highlight w:val="none"/>
        </w:rPr>
        <w:outlineLvl w:val="1"/>
      </w:pPr>
      <w:r/>
      <w:bookmarkStart w:id="68" w:name="_Toc20458"/>
      <w:r/>
      <w:bookmarkStart w:id="69" w:name="_Toc22298"/>
      <w:r>
        <w:rPr>
          <w:rFonts w:hint="eastAsia" w:ascii="宋体" w:hAnsi="宋体" w:eastAsia="宋体" w:cs="宋体"/>
          <w:color w:val="auto"/>
          <w:highlight w:val="none"/>
        </w:rPr>
        <w:t xml:space="preserve">一、总 则</w:t>
      </w:r>
      <w:bookmarkEnd w:id="66"/>
      <w:r/>
      <w:bookmarkEnd w:id="67"/>
      <w:r/>
      <w:bookmarkEnd w:id="68"/>
      <w:r/>
      <w:bookmarkEnd w:id="69"/>
      <w:r/>
      <w:r/>
    </w:p>
    <w:p>
      <w:pPr>
        <w:ind w:firstLine="482"/>
        <w:spacing w:line="500" w:lineRule="exact"/>
        <w:rPr>
          <w:rFonts w:ascii="宋体" w:hAnsi="宋体" w:cs="宋体"/>
          <w:b/>
          <w:color w:val="auto"/>
          <w:sz w:val="24"/>
          <w:highlight w:val="none"/>
        </w:rPr>
        <w:outlineLvl w:val="2"/>
      </w:pPr>
      <w:r>
        <w:rPr>
          <w:rFonts w:hint="eastAsia" w:ascii="宋体" w:hAnsi="宋体" w:cs="宋体"/>
          <w:b/>
          <w:color w:val="auto"/>
          <w:sz w:val="24"/>
          <w:highlight w:val="none"/>
        </w:rPr>
        <w:t xml:space="preserve">1、招标方式</w:t>
      </w:r>
      <w:r/>
    </w:p>
    <w:p>
      <w:pPr>
        <w:pStyle w:val="1005"/>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本次招标采取公开招标方式。</w:t>
      </w:r>
      <w:r/>
    </w:p>
    <w:p>
      <w:pPr>
        <w:ind w:firstLine="482"/>
        <w:spacing w:line="500" w:lineRule="exact"/>
        <w:rPr>
          <w:rFonts w:ascii="宋体" w:hAnsi="宋体" w:cs="宋体"/>
          <w:b/>
          <w:color w:val="auto"/>
          <w:sz w:val="24"/>
          <w:highlight w:val="none"/>
        </w:rPr>
        <w:outlineLvl w:val="2"/>
      </w:pPr>
      <w:r>
        <w:rPr>
          <w:rFonts w:hint="eastAsia" w:ascii="宋体" w:hAnsi="宋体" w:cs="宋体"/>
          <w:b/>
          <w:color w:val="auto"/>
          <w:sz w:val="24"/>
          <w:highlight w:val="none"/>
        </w:rPr>
        <w:t xml:space="preserve">2、合格的投标人</w:t>
      </w:r>
      <w:r/>
    </w:p>
    <w:p>
      <w:pPr>
        <w:ind w:firstLine="480"/>
        <w:spacing w:line="500" w:lineRule="exact"/>
        <w:rPr>
          <w:rFonts w:ascii="宋体" w:hAnsi="宋体" w:cs="宋体"/>
          <w:color w:val="auto"/>
          <w:sz w:val="24"/>
          <w:highlight w:val="none"/>
          <w:shd w:val="clear" w:color="auto" w:fill="ffc000"/>
        </w:rPr>
      </w:pPr>
      <w:r>
        <w:rPr>
          <w:rFonts w:hint="eastAsia" w:ascii="宋体" w:hAnsi="宋体" w:cs="宋体"/>
          <w:color w:val="auto"/>
          <w:sz w:val="24"/>
          <w:highlight w:val="none"/>
        </w:rPr>
        <w:t xml:space="preserve">2.1合格的投标人必须是有能力按照本招标文件规定的要求提供货物和相关服务，且具有独立承担民事等法律责任的法人或其它经济组织等。</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2.2合格的投标人必须符合招标文件第一部分《招标公告》第二条及须知前附表相关规定，且具备独立完成本项目的能力，中标后不允许分包、转包。</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2.3合格的投标人应遵守《中华人民共和国政府采购法》、《中华人民共和国政府采购法实施条例》、《政府采购货物和服务招标投标管理办法》等法律、行政法规、部门规章和规范性文件。</w:t>
      </w:r>
      <w:r/>
    </w:p>
    <w:p>
      <w:pPr>
        <w:ind w:firstLine="482"/>
        <w:spacing w:line="500" w:lineRule="exact"/>
        <w:rPr>
          <w:rFonts w:ascii="宋体" w:hAnsi="宋体" w:cs="宋体"/>
          <w:b/>
          <w:color w:val="auto"/>
          <w:sz w:val="24"/>
          <w:highlight w:val="none"/>
        </w:rPr>
        <w:outlineLvl w:val="2"/>
      </w:pPr>
      <w:r>
        <w:rPr>
          <w:rFonts w:hint="eastAsia" w:ascii="宋体" w:hAnsi="宋体" w:cs="宋体"/>
          <w:b/>
          <w:color w:val="auto"/>
          <w:sz w:val="24"/>
          <w:highlight w:val="none"/>
        </w:rPr>
        <w:t xml:space="preserve">3、适用法律</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本次招标及由本次招标产生的合同受中华人民共和国的相关法律、法规制约和保护。</w:t>
      </w:r>
      <w:r/>
    </w:p>
    <w:p>
      <w:pPr>
        <w:ind w:firstLine="482"/>
        <w:spacing w:line="500" w:lineRule="exact"/>
        <w:rPr>
          <w:rFonts w:ascii="宋体" w:hAnsi="宋体" w:cs="宋体"/>
          <w:b/>
          <w:color w:val="auto"/>
          <w:sz w:val="24"/>
          <w:highlight w:val="none"/>
        </w:rPr>
        <w:outlineLvl w:val="2"/>
      </w:pPr>
      <w:r>
        <w:rPr>
          <w:rFonts w:hint="eastAsia" w:ascii="宋体" w:hAnsi="宋体" w:cs="宋体"/>
          <w:b/>
          <w:color w:val="auto"/>
          <w:sz w:val="24"/>
          <w:highlight w:val="none"/>
        </w:rPr>
        <w:t xml:space="preserve">4、投标费用</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投标人应自行承担所有参加投标有关的费用。</w:t>
      </w:r>
      <w:r/>
    </w:p>
    <w:p>
      <w:pPr>
        <w:ind w:firstLine="482"/>
        <w:spacing w:line="500" w:lineRule="exact"/>
        <w:rPr>
          <w:rFonts w:ascii="宋体" w:hAnsi="宋体" w:cs="宋体"/>
          <w:b/>
          <w:color w:val="auto"/>
          <w:sz w:val="24"/>
          <w:highlight w:val="none"/>
        </w:rPr>
        <w:outlineLvl w:val="2"/>
      </w:pPr>
      <w:r>
        <w:rPr>
          <w:rFonts w:hint="eastAsia" w:ascii="宋体" w:hAnsi="宋体" w:cs="宋体"/>
          <w:b/>
          <w:color w:val="auto"/>
          <w:sz w:val="24"/>
          <w:highlight w:val="none"/>
        </w:rPr>
        <w:t xml:space="preserve">5、招标文件的约束力</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投标人一旦参加本项目投标，即被认为接受了本招标文件的所有条件和规定。</w:t>
      </w:r>
      <w:r/>
    </w:p>
    <w:p>
      <w:pPr>
        <w:ind w:firstLine="482"/>
        <w:spacing w:line="500" w:lineRule="exact"/>
        <w:rPr>
          <w:rFonts w:ascii="宋体" w:hAnsi="宋体" w:cs="宋体"/>
          <w:b/>
          <w:color w:val="auto"/>
          <w:sz w:val="24"/>
          <w:highlight w:val="none"/>
        </w:rPr>
        <w:outlineLvl w:val="2"/>
      </w:pPr>
      <w:r>
        <w:rPr>
          <w:rFonts w:hint="eastAsia" w:ascii="宋体" w:hAnsi="宋体" w:cs="宋体"/>
          <w:b/>
          <w:color w:val="auto"/>
          <w:sz w:val="24"/>
          <w:highlight w:val="none"/>
        </w:rPr>
        <w:t xml:space="preserve">6、相同品牌产品投标</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6.1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6.3、非单一产品采购项目，采购人确定核心产品，并在招标文件中载明。多家投标人提供的核心产品品牌全部相同的，按前两款规定处理。</w:t>
      </w:r>
      <w:r/>
    </w:p>
    <w:p>
      <w:pPr>
        <w:pStyle w:val="1378"/>
        <w:rPr>
          <w:rFonts w:ascii="宋体" w:hAnsi="宋体" w:eastAsia="宋体" w:cs="宋体"/>
          <w:color w:val="auto"/>
          <w:highlight w:val="none"/>
        </w:rPr>
        <w:outlineLvl w:val="1"/>
      </w:pPr>
      <w:r/>
      <w:bookmarkStart w:id="70" w:name="_Toc17916"/>
      <w:r/>
      <w:bookmarkStart w:id="71" w:name="_Toc514054473"/>
      <w:r/>
      <w:bookmarkStart w:id="72" w:name="_Toc30610"/>
      <w:r/>
      <w:bookmarkStart w:id="73" w:name="_Toc21335"/>
      <w:r>
        <w:rPr>
          <w:rFonts w:hint="eastAsia" w:ascii="宋体" w:hAnsi="宋体" w:eastAsia="宋体" w:cs="宋体"/>
          <w:color w:val="auto"/>
          <w:highlight w:val="none"/>
        </w:rPr>
        <w:t xml:space="preserve">二、招标文件</w:t>
      </w:r>
      <w:bookmarkEnd w:id="70"/>
      <w:r/>
      <w:bookmarkEnd w:id="71"/>
      <w:r/>
      <w:bookmarkEnd w:id="72"/>
      <w:r/>
      <w:bookmarkEnd w:id="73"/>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7、招标文件构成</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第一部分：招标公告；</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第二部分：投标人须知； </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第三部分：评标方法和标准；</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第四部分：采购需求；</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第五部分：合同格式及条款；</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第六部分：投标文件格式。</w:t>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8、招标文件的澄清</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任何要求对招标文件澄清的投标人，均应在法律法规规定的时间内提出，采购代理机构对规定时间内收到的澄清要求予以答复，答复不包括问题的来源。</w:t>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9、招标文件的修改</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9.1在投标文件接收截止日期15日前，采购代理机构可以更正公告或补充文件的形式对招标文件进行修改。</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9.2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 </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9.3为使投标人有充分的时间对招标文件的修改部分进行分析、研究，采购代理机构有权推迟投标文件接收截止日期和开标日期，并将此变更通知所有已获取招标文件的投标人。</w:t>
      </w:r>
      <w:r/>
    </w:p>
    <w:p>
      <w:pPr>
        <w:ind w:firstLine="480"/>
        <w:spacing w:line="500" w:lineRule="exact"/>
        <w:rPr>
          <w:rFonts w:ascii="宋体" w:hAnsi="宋体" w:cs="宋体"/>
          <w:color w:val="auto"/>
          <w:highlight w:val="none"/>
        </w:rPr>
      </w:pPr>
      <w:r>
        <w:rPr>
          <w:rFonts w:hint="eastAsia" w:ascii="宋体" w:hAnsi="宋体" w:cs="宋体"/>
          <w:color w:val="auto"/>
          <w:sz w:val="24"/>
          <w:highlight w:val="none"/>
        </w:rPr>
        <w:t xml:space="preserve">9.4采购代理机构发出的所有补充、修改和变更文件均作为招标文件的组成部分，与招标文件具有同等法律效力。 </w:t>
      </w:r>
      <w:bookmarkStart w:id="74" w:name="EB453bde7f4ddc418fae2aad9fbcd82554"/>
      <w:r>
        <w:rPr>
          <w:rFonts w:hint="eastAsia" w:ascii="宋体" w:hAnsi="宋体" w:cs="宋体"/>
          <w:color w:val="auto"/>
          <w:sz w:val="20"/>
          <w:highlight w:val="none"/>
        </w:rPr>
        <w:t xml:space="preserve"> </w:t>
      </w:r>
      <w:bookmarkEnd w:id="74"/>
      <w:r/>
      <w:bookmarkStart w:id="75" w:name="EBec71fc1696a240c4b620fe1e00b2ce58"/>
      <w:r>
        <w:rPr>
          <w:rFonts w:hint="eastAsia" w:ascii="宋体" w:hAnsi="宋体" w:cs="宋体"/>
          <w:color w:val="auto"/>
          <w:sz w:val="20"/>
          <w:highlight w:val="none"/>
        </w:rPr>
        <w:t xml:space="preserve"> </w:t>
      </w:r>
      <w:bookmarkEnd w:id="75"/>
      <w:r/>
      <w:r/>
    </w:p>
    <w:p>
      <w:pPr>
        <w:pStyle w:val="1378"/>
        <w:rPr>
          <w:rFonts w:ascii="宋体" w:hAnsi="宋体" w:eastAsia="宋体" w:cs="宋体"/>
          <w:color w:val="auto"/>
          <w:highlight w:val="none"/>
        </w:rPr>
        <w:outlineLvl w:val="1"/>
      </w:pPr>
      <w:r/>
      <w:bookmarkStart w:id="76" w:name="_Toc514054474"/>
      <w:r/>
      <w:bookmarkStart w:id="77" w:name="_Toc26908"/>
      <w:r/>
      <w:bookmarkStart w:id="78" w:name="_Toc26871"/>
      <w:r/>
      <w:bookmarkStart w:id="79" w:name="_Toc20227"/>
      <w:r>
        <w:rPr>
          <w:rFonts w:hint="eastAsia" w:ascii="宋体" w:hAnsi="宋体" w:eastAsia="宋体" w:cs="宋体"/>
          <w:color w:val="auto"/>
          <w:highlight w:val="none"/>
        </w:rPr>
        <w:t xml:space="preserve">三、投标文件的编制</w:t>
      </w:r>
      <w:bookmarkEnd w:id="76"/>
      <w:r/>
      <w:bookmarkEnd w:id="77"/>
      <w:r/>
      <w:bookmarkEnd w:id="78"/>
      <w:r/>
      <w:bookmarkEnd w:id="79"/>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10、投标文件的编制要求</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10.2投标文件应当对招标文件有关交货期、投标有效期、质量要求、技术标准和要求、招标范围、付款方式等实质性内容作出响应。</w:t>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11、投标文件构成</w:t>
      </w:r>
      <w:r/>
    </w:p>
    <w:p>
      <w:pPr>
        <w:ind w:firstLine="480"/>
        <w:spacing w:line="50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11.1资格证明文件；</w:t>
      </w:r>
      <w:r/>
    </w:p>
    <w:p>
      <w:pPr>
        <w:ind w:firstLine="480"/>
        <w:spacing w:line="50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11.1.1具有独立承担民事责任的能力（法人或者其他组织的营业执照等证明文件，自然人的身份证明）；</w:t>
      </w:r>
      <w:r/>
    </w:p>
    <w:p>
      <w:pPr>
        <w:ind w:firstLine="480"/>
        <w:spacing w:line="50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11.1.2 具有良好的商业信誉和健全的财务会计制度（提供2024年度或2025年度财务报告，至少包含资产负债表、利润表；或投标截止时间前六个月内银行出具的资信证明；成立不满一年无须提供）；</w:t>
      </w:r>
      <w:r/>
    </w:p>
    <w:p>
      <w:pPr>
        <w:ind w:firstLine="480"/>
        <w:spacing w:line="50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11.1.3具有履行合同所必需的设备和专业技术能力（提供书面声明）；</w:t>
      </w:r>
      <w:r/>
    </w:p>
    <w:p>
      <w:pPr>
        <w:ind w:firstLine="480"/>
        <w:spacing w:line="50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11.1.4 有依法缴纳税收和社会保障资金的良好记录（参加本次政府采购活动前6个月内至少一个月缴纳税收及缴纳社会保障资金的证明材料，投标人依法享受缓缴、免缴税收、社会保障资金的，需提供证明材料）；</w:t>
      </w:r>
      <w:r/>
    </w:p>
    <w:p>
      <w:pPr>
        <w:ind w:firstLine="480"/>
        <w:spacing w:line="50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11.1.5 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p>
    <w:p>
      <w:pPr>
        <w:ind w:firstLine="480"/>
        <w:spacing w:line="50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11.1.6法律、行政法规规定的其他条件；</w:t>
      </w:r>
      <w:r/>
    </w:p>
    <w:p>
      <w:pPr>
        <w:ind w:firstLine="480"/>
        <w:spacing w:line="50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11.1.7拒绝下述供应商参加本次采购活动的情形：</w:t>
      </w:r>
      <w:r/>
    </w:p>
    <w:p>
      <w:pPr>
        <w:ind w:firstLine="480"/>
        <w:spacing w:line="50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11.1.7.1 供应商单位负责人为同一人或者存在直接控股、管理关系的不同供应商，不得参加同一合同项下的政府采购活动。</w:t>
      </w:r>
      <w:r/>
    </w:p>
    <w:p>
      <w:pPr>
        <w:ind w:firstLine="480"/>
        <w:spacing w:line="50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11.1.7.2 凡为采购项目提供整体设计、规范编制或者项目管理、监理、检测等服务的供应商，不得再参加本项目的采购活动。</w:t>
      </w:r>
      <w:r/>
    </w:p>
    <w:p>
      <w:pPr>
        <w:ind w:firstLine="480"/>
        <w:spacing w:line="50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11.1.7.3 拒绝列入失信被执行人、重大税收违法案件当事人名单、政府采购严重违法失信行为记录名单的供应商参与政府采购活动。</w:t>
      </w:r>
      <w:r/>
    </w:p>
    <w:p>
      <w:pPr>
        <w:ind w:firstLine="480"/>
        <w:spacing w:line="50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11.2投标函；</w:t>
      </w:r>
      <w:r/>
    </w:p>
    <w:p>
      <w:pPr>
        <w:ind w:firstLine="480"/>
        <w:spacing w:line="500" w:lineRule="exact"/>
        <w:rPr>
          <w:rFonts w:ascii="宋体" w:hAnsi="宋体" w:cs="宋体"/>
          <w:color w:val="auto"/>
          <w:sz w:val="24"/>
          <w:highlight w:val="none"/>
        </w:rPr>
      </w:pPr>
      <w:r>
        <w:rPr>
          <w:rFonts w:hint="eastAsia" w:ascii="宋体" w:hAnsi="宋体" w:cs="宋体"/>
          <w:bCs/>
          <w:color w:val="auto"/>
          <w:sz w:val="24"/>
          <w:szCs w:val="24"/>
          <w:highlight w:val="none"/>
        </w:rPr>
        <w:t xml:space="preserve">11.3</w:t>
      </w:r>
      <w:r>
        <w:rPr>
          <w:rFonts w:hint="eastAsia" w:ascii="宋体" w:hAnsi="宋体" w:cs="宋体"/>
          <w:color w:val="auto"/>
          <w:sz w:val="24"/>
          <w:highlight w:val="none"/>
        </w:rPr>
        <w:t xml:space="preserve">报价文件</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11.3.1开标一览表；</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11.3.2明细报价表。</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11.4技术文件</w:t>
      </w:r>
      <w:r/>
    </w:p>
    <w:p>
      <w:pPr>
        <w:ind w:firstLine="480"/>
        <w:spacing w:line="500" w:lineRule="exact"/>
        <w:rPr>
          <w:rFonts w:ascii="宋体" w:hAnsi="宋体" w:cs="宋体"/>
          <w:color w:val="auto"/>
          <w:sz w:val="24"/>
          <w:highlight w:val="none"/>
        </w:rPr>
      </w:pPr>
      <w:r/>
      <w:bookmarkStart w:id="80" w:name="EB7f6b24a996964930b08d6b290b36e3fd"/>
      <w:r>
        <w:rPr>
          <w:rFonts w:hint="eastAsia" w:ascii="宋体" w:hAnsi="宋体" w:cs="宋体"/>
          <w:color w:val="auto"/>
          <w:sz w:val="24"/>
          <w:highlight w:val="none"/>
        </w:rPr>
        <w:t xml:space="preserve">11.4.1技术响应偏差表</w:t>
      </w:r>
      <w:bookmarkEnd w:id="80"/>
      <w:r>
        <w:rPr>
          <w:rFonts w:hint="eastAsia" w:ascii="宋体" w:hAnsi="宋体" w:cs="宋体"/>
          <w:color w:val="auto"/>
          <w:sz w:val="24"/>
          <w:highlight w:val="none"/>
        </w:rPr>
        <w:t xml:space="preserve">。</w:t>
      </w:r>
      <w:r/>
    </w:p>
    <w:p>
      <w:pPr>
        <w:ind w:firstLine="480"/>
        <w:spacing w:line="500" w:lineRule="exact"/>
        <w:rPr>
          <w:rFonts w:ascii="宋体" w:hAnsi="宋体" w:cs="宋体"/>
          <w:bCs/>
          <w:color w:val="auto"/>
          <w:sz w:val="24"/>
          <w:szCs w:val="24"/>
          <w:highlight w:val="none"/>
        </w:rPr>
      </w:pPr>
      <w:r>
        <w:rPr>
          <w:rFonts w:hint="eastAsia" w:ascii="宋体" w:hAnsi="宋体" w:cs="宋体"/>
          <w:color w:val="auto"/>
          <w:sz w:val="24"/>
          <w:highlight w:val="none"/>
        </w:rPr>
        <w:t xml:space="preserve">11.4.2</w:t>
      </w:r>
      <w:r>
        <w:rPr>
          <w:rFonts w:hint="eastAsia" w:ascii="宋体" w:hAnsi="宋体" w:cs="宋体"/>
          <w:bCs/>
          <w:color w:val="auto"/>
          <w:sz w:val="24"/>
          <w:szCs w:val="24"/>
          <w:highlight w:val="none"/>
        </w:rPr>
        <w:t xml:space="preserve">其他技术文件（根据评分点自行提供）</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11.5商务文件</w:t>
      </w:r>
      <w:r/>
    </w:p>
    <w:p>
      <w:pPr>
        <w:ind w:firstLine="480"/>
        <w:spacing w:line="500" w:lineRule="exact"/>
        <w:rPr>
          <w:rFonts w:ascii="宋体" w:hAnsi="宋体" w:cs="宋体"/>
          <w:color w:val="auto"/>
          <w:sz w:val="24"/>
          <w:highlight w:val="none"/>
        </w:rPr>
      </w:pPr>
      <w:r/>
      <w:bookmarkStart w:id="81" w:name="EBdc2c24f6358343e896cd43bd6621a619"/>
      <w:r>
        <w:rPr>
          <w:rFonts w:hint="eastAsia" w:ascii="宋体" w:hAnsi="宋体" w:cs="宋体"/>
          <w:color w:val="auto"/>
          <w:sz w:val="24"/>
          <w:highlight w:val="none"/>
        </w:rPr>
        <w:t xml:space="preserve">11.5.1商务响应偏差表；</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11.5.2投标人承担类似项目业绩一览表</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11.5.3其他商务文件</w:t>
      </w:r>
      <w:r>
        <w:rPr>
          <w:rFonts w:hint="eastAsia" w:ascii="宋体" w:hAnsi="宋体" w:cs="宋体"/>
          <w:bCs/>
          <w:color w:val="auto"/>
          <w:sz w:val="24"/>
          <w:szCs w:val="24"/>
          <w:highlight w:val="none"/>
        </w:rPr>
        <w:t xml:space="preserve">（根据评分点自行提供）</w:t>
      </w:r>
      <w:r>
        <w:rPr>
          <w:rFonts w:hint="eastAsia" w:ascii="宋体" w:hAnsi="宋体" w:cs="宋体"/>
          <w:color w:val="auto"/>
          <w:sz w:val="24"/>
          <w:highlight w:val="none"/>
        </w:rPr>
        <w:t xml:space="preserve">。</w:t>
      </w:r>
      <w:bookmarkEnd w:id="81"/>
      <w:r/>
      <w:r/>
    </w:p>
    <w:p>
      <w:pPr>
        <w:numPr>
          <w:ilvl w:val="0"/>
          <w:numId w:val="6"/>
        </w:num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投标文件构成资料为非中文时应提供中文译版，并以中文为准，否则可视为未提供；</w:t>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13、投标报价</w:t>
      </w:r>
      <w:r/>
    </w:p>
    <w:p>
      <w:pPr>
        <w:ind w:firstLine="480"/>
        <w:spacing w:line="500" w:lineRule="exact"/>
        <w:rPr>
          <w:rFonts w:ascii="宋体" w:hAnsi="宋体" w:cs="宋体"/>
          <w:color w:val="auto"/>
          <w:sz w:val="24"/>
          <w:highlight w:val="none"/>
          <w:shd w:val="clear" w:color="auto" w:fill="ffc000"/>
        </w:rPr>
      </w:pPr>
      <w:r>
        <w:rPr>
          <w:rFonts w:hint="eastAsia" w:ascii="宋体" w:hAnsi="宋体" w:cs="宋体"/>
          <w:color w:val="auto"/>
          <w:sz w:val="24"/>
          <w:highlight w:val="none"/>
        </w:rPr>
        <w:t xml:space="preserve">13.1本项目不接受备选的投标方案或有选择的报价，只允许有一个报价。投标报价内容包括：</w:t>
      </w:r>
      <w:bookmarkStart w:id="82" w:name="EB54dd097a55df4796bd5f9b6bdf2ddc40"/>
      <w:r>
        <w:rPr>
          <w:rFonts w:hint="eastAsia" w:ascii="宋体" w:hAnsi="宋体" w:cs="宋体"/>
          <w:color w:val="auto"/>
          <w:sz w:val="24"/>
          <w:highlight w:val="none"/>
        </w:rPr>
        <w:t xml:space="preserve">人工费（工资、社保、公积金、制服、福利费、高温费）、管理服务费、税金以及交付使用过程中涉及到的其他一切费用（加班费在服务过程中根据实际产生的另行结算）。</w:t>
      </w:r>
      <w:bookmarkEnd w:id="82"/>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13.3报价注意事项：</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13.3.1价格一律以人民币计算；</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13.3.2投标人报价时应充分考虑所有可能影响到报价的因素，一旦评标结束最终中标，如发生漏、缺、少项，都将被认为是中标人的报价让利行为，损失自负。</w:t>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14、投标保证金</w:t>
      </w:r>
      <w:r/>
    </w:p>
    <w:p>
      <w:pPr>
        <w:ind w:firstLine="480"/>
        <w:spacing w:line="500" w:lineRule="exact"/>
        <w:rPr>
          <w:rFonts w:ascii="宋体" w:hAnsi="宋体" w:cs="宋体"/>
          <w:bCs/>
          <w:color w:val="auto"/>
          <w:sz w:val="24"/>
          <w:highlight w:val="none"/>
        </w:rPr>
      </w:pPr>
      <w:r>
        <w:rPr>
          <w:rFonts w:hint="eastAsia" w:ascii="宋体" w:hAnsi="宋体" w:cs="宋体"/>
          <w:bCs/>
          <w:color w:val="auto"/>
          <w:sz w:val="24"/>
          <w:highlight w:val="none"/>
        </w:rPr>
        <w:t xml:space="preserve">本项目不收取投标保证金。</w:t>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15.招标代理服务费</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15.1招标代理服务费按发改价格【2011】534号文的35%收取，由中标供应商支付给采购代理机构，应在领取成交通知书前缴纳。</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账户信息：</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户名：江苏弘业国际技术工程有限公司</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开户银行：中国银行南京市中华路支行</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账号：527460884999</w:t>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16、投标有效期</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16.1在投标人须知前附表规定的投标有效期内，投标人不得要求撤销或者修改其投标文件。 </w:t>
      </w:r>
      <w:r/>
    </w:p>
    <w:p>
      <w:pPr>
        <w:ind w:firstLine="480"/>
        <w:spacing w:line="500" w:lineRule="exact"/>
        <w:rPr>
          <w:rFonts w:ascii="宋体" w:hAnsi="宋体" w:cs="宋体"/>
          <w:color w:val="auto"/>
          <w:highlight w:val="none"/>
        </w:rPr>
      </w:pPr>
      <w:r>
        <w:rPr>
          <w:rFonts w:hint="eastAsia" w:ascii="宋体" w:hAnsi="宋体" w:cs="宋体"/>
          <w:color w:val="auto"/>
          <w:sz w:val="24"/>
          <w:highlight w:val="none"/>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rPr>
          <w:rFonts w:hint="eastAsia" w:ascii="宋体" w:hAnsi="宋体" w:cs="宋体"/>
          <w:color w:val="auto"/>
          <w:sz w:val="20"/>
          <w:highlight w:val="none"/>
        </w:rPr>
        <w:t xml:space="preserve">   </w:t>
      </w:r>
      <w:bookmarkStart w:id="83" w:name="EB12ed6b870f334fa092f7ed1f9a9dbab8"/>
      <w:r>
        <w:rPr>
          <w:rFonts w:hint="eastAsia" w:ascii="宋体" w:hAnsi="宋体" w:cs="宋体"/>
          <w:color w:val="auto"/>
          <w:sz w:val="20"/>
          <w:highlight w:val="none"/>
        </w:rPr>
        <w:t xml:space="preserve"> </w:t>
      </w:r>
      <w:bookmarkEnd w:id="83"/>
      <w:r/>
      <w:bookmarkStart w:id="84" w:name="EB5d36e8077cc64e309c0c0f0cd8a6f496"/>
      <w:r>
        <w:rPr>
          <w:rFonts w:hint="eastAsia" w:ascii="宋体" w:hAnsi="宋体" w:cs="宋体"/>
          <w:color w:val="auto"/>
          <w:sz w:val="20"/>
          <w:highlight w:val="none"/>
        </w:rPr>
        <w:t xml:space="preserve"> </w:t>
      </w:r>
      <w:bookmarkEnd w:id="84"/>
      <w:r/>
      <w:r/>
    </w:p>
    <w:p>
      <w:pPr>
        <w:pStyle w:val="1378"/>
        <w:rPr>
          <w:rFonts w:ascii="宋体" w:hAnsi="宋体" w:eastAsia="宋体" w:cs="宋体"/>
          <w:color w:val="auto"/>
          <w:highlight w:val="none"/>
        </w:rPr>
        <w:outlineLvl w:val="1"/>
      </w:pPr>
      <w:r/>
      <w:bookmarkStart w:id="85" w:name="_Toc26211"/>
      <w:r/>
      <w:bookmarkStart w:id="86" w:name="_Toc514054475"/>
      <w:r/>
      <w:bookmarkStart w:id="87" w:name="_Toc5409"/>
      <w:r/>
      <w:bookmarkStart w:id="88" w:name="_Toc9292"/>
      <w:r>
        <w:rPr>
          <w:rFonts w:hint="eastAsia" w:ascii="宋体" w:hAnsi="宋体" w:eastAsia="宋体" w:cs="宋体"/>
          <w:color w:val="auto"/>
          <w:highlight w:val="none"/>
        </w:rPr>
        <w:t xml:space="preserve">四、投标文件的提交</w:t>
      </w:r>
      <w:bookmarkEnd w:id="85"/>
      <w:r/>
      <w:bookmarkEnd w:id="86"/>
      <w:r/>
      <w:bookmarkEnd w:id="87"/>
      <w:r/>
      <w:bookmarkEnd w:id="88"/>
      <w:r/>
      <w:r/>
    </w:p>
    <w:p>
      <w:pPr>
        <w:ind w:firstLine="482"/>
        <w:spacing w:line="500" w:lineRule="exact"/>
        <w:rPr>
          <w:rFonts w:ascii="宋体" w:hAnsi="宋体" w:cs="宋体"/>
          <w:b/>
          <w:color w:val="auto"/>
          <w:sz w:val="24"/>
          <w:highlight w:val="none"/>
        </w:rPr>
        <w:outlineLvl w:val="2"/>
      </w:pPr>
      <w:r/>
      <w:bookmarkStart w:id="89" w:name="_Toc514054476"/>
      <w:r/>
      <w:bookmarkStart w:id="90" w:name="_Toc11452"/>
      <w:r>
        <w:rPr>
          <w:rFonts w:hint="eastAsia" w:ascii="宋体" w:hAnsi="宋体" w:cs="宋体"/>
          <w:b/>
          <w:color w:val="auto"/>
          <w:sz w:val="24"/>
          <w:highlight w:val="none"/>
        </w:rPr>
        <w:t xml:space="preserve">17.1、投标文件的提交</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17.1.1 电子投标文件的递交</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投标人应当按照《操作手册》规定，在投标截止时间前制作并上传电子投标文件。</w:t>
      </w:r>
      <w:bookmarkStart w:id="91" w:name="_Toc20823298"/>
      <w:r/>
      <w:bookmarkEnd w:id="91"/>
      <w:r/>
      <w:bookmarkStart w:id="92" w:name="_Toc16938542"/>
      <w:r/>
      <w:bookmarkEnd w:id="92"/>
      <w:r/>
      <w:r/>
    </w:p>
    <w:p>
      <w:pPr>
        <w:ind w:firstLine="482"/>
        <w:spacing w:line="500" w:lineRule="exact"/>
        <w:rPr>
          <w:rFonts w:ascii="宋体" w:hAnsi="宋体" w:cs="宋体"/>
          <w:b/>
          <w:color w:val="auto"/>
          <w:sz w:val="24"/>
          <w:highlight w:val="none"/>
        </w:rPr>
        <w:outlineLvl w:val="2"/>
      </w:pPr>
      <w:r>
        <w:rPr>
          <w:rFonts w:hint="eastAsia" w:ascii="宋体" w:hAnsi="宋体" w:cs="宋体"/>
          <w:b/>
          <w:color w:val="auto"/>
          <w:sz w:val="24"/>
          <w:highlight w:val="none"/>
        </w:rPr>
        <w:t xml:space="preserve">17.2、投标截止时间</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17.2.1投标人上传电子投标文件的时间不得迟于招标公告中规定的投标截止时间。</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投标人应充分考虑到网络环境、网络带宽等风险因素，如因投标人自身原因造成的电子投标文件上传不成功的按照本招标文件第二部分第18.1.2条 规定做无效投标处理。</w:t>
      </w:r>
      <w:r/>
    </w:p>
    <w:p>
      <w:pPr>
        <w:ind w:firstLine="480"/>
        <w:spacing w:line="520" w:lineRule="exact"/>
        <w:rPr>
          <w:rFonts w:ascii="宋体" w:hAnsi="宋体" w:cs="宋体"/>
          <w:color w:val="auto"/>
          <w:highlight w:val="none"/>
        </w:rPr>
      </w:pPr>
      <w:r>
        <w:rPr>
          <w:rFonts w:hint="eastAsia" w:ascii="宋体" w:hAnsi="宋体" w:cs="宋体"/>
          <w:color w:val="auto"/>
          <w:sz w:val="24"/>
          <w:highlight w:val="none"/>
        </w:rPr>
        <w:t xml:space="preserve">17.2.2采购代理机构可以按照规定，通过修改招标文件酌情延长投标截止时间，在此情况下，投标人的所有权利和义务以及投标人受制的截止时间均应以延长后新的截止时间为准。</w:t>
      </w:r>
      <w:r/>
    </w:p>
    <w:p>
      <w:pPr>
        <w:ind w:firstLine="482"/>
        <w:spacing w:line="500" w:lineRule="exact"/>
        <w:rPr>
          <w:rFonts w:ascii="宋体" w:hAnsi="宋体" w:cs="宋体"/>
          <w:b/>
          <w:color w:val="auto"/>
          <w:sz w:val="24"/>
          <w:highlight w:val="none"/>
        </w:rPr>
        <w:outlineLvl w:val="2"/>
      </w:pPr>
      <w:r>
        <w:rPr>
          <w:rFonts w:hint="eastAsia" w:ascii="宋体" w:hAnsi="宋体" w:cs="宋体"/>
          <w:b/>
          <w:color w:val="auto"/>
          <w:sz w:val="24"/>
          <w:highlight w:val="none"/>
        </w:rPr>
        <w:t xml:space="preserve">17.3、投标文件被拒绝接收的情形</w:t>
      </w:r>
      <w:r/>
    </w:p>
    <w:p>
      <w:pPr>
        <w:ind w:firstLine="480"/>
        <w:spacing w:line="520" w:lineRule="exact"/>
        <w:rPr>
          <w:rFonts w:ascii="宋体" w:hAnsi="宋体" w:cs="宋体"/>
          <w:color w:val="auto"/>
          <w:sz w:val="20"/>
          <w:highlight w:val="none"/>
        </w:rPr>
      </w:pPr>
      <w:r>
        <w:rPr>
          <w:rFonts w:hint="eastAsia" w:ascii="宋体" w:hAnsi="宋体" w:cs="宋体"/>
          <w:color w:val="auto"/>
          <w:sz w:val="24"/>
          <w:highlight w:val="none"/>
        </w:rPr>
        <w:t xml:space="preserve">17.3.1</w:t>
      </w:r>
      <w:bookmarkStart w:id="93" w:name="EB200c38d7a1c345f29b604b38d510a951"/>
      <w:r>
        <w:rPr>
          <w:rFonts w:hint="eastAsia" w:ascii="宋体" w:hAnsi="宋体" w:cs="宋体"/>
          <w:color w:val="auto"/>
          <w:sz w:val="24"/>
          <w:highlight w:val="none"/>
        </w:rPr>
        <w:t xml:space="preserve">采购代理机构拒绝接收在其规定的投标截止时间后上传的任何投标文件。</w:t>
      </w:r>
      <w:r>
        <w:rPr>
          <w:rFonts w:hint="eastAsia" w:ascii="宋体" w:hAnsi="宋体" w:cs="宋体"/>
          <w:color w:val="auto"/>
          <w:sz w:val="20"/>
          <w:highlight w:val="none"/>
        </w:rPr>
        <w:t xml:space="preserve"> </w:t>
      </w:r>
      <w:bookmarkEnd w:id="93"/>
      <w:r/>
      <w:r/>
    </w:p>
    <w:p>
      <w:pPr>
        <w:ind w:firstLine="480"/>
        <w:spacing w:line="520" w:lineRule="exact"/>
        <w:rPr>
          <w:rFonts w:ascii="宋体" w:hAnsi="宋体" w:cs="宋体"/>
          <w:b/>
          <w:bCs/>
          <w:color w:val="auto"/>
          <w:sz w:val="24"/>
          <w:highlight w:val="none"/>
        </w:rPr>
        <w:outlineLvl w:val="2"/>
      </w:pPr>
      <w:r/>
      <w:bookmarkStart w:id="94" w:name="_Toc513029228"/>
      <w:r/>
      <w:bookmarkStart w:id="95" w:name="_Toc20823300"/>
      <w:r/>
      <w:bookmarkStart w:id="96" w:name="_Toc16938544"/>
      <w:r>
        <w:rPr>
          <w:rFonts w:hint="eastAsia" w:ascii="宋体" w:hAnsi="宋体" w:cs="宋体"/>
          <w:b/>
          <w:bCs/>
          <w:color w:val="auto"/>
          <w:sz w:val="24"/>
          <w:highlight w:val="none"/>
        </w:rPr>
        <w:t xml:space="preserve">17.4、投标文件的撤回和修改</w:t>
      </w:r>
      <w:bookmarkEnd w:id="94"/>
      <w:r/>
      <w:bookmarkEnd w:id="95"/>
      <w:r/>
      <w:bookmarkEnd w:id="96"/>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17.4.1投标文件的撤回</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17.4.1.1电子投标文件的撤回</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投标人可在投标截止时间前，撤回其电子投标文件，具体操作方法见《操作手册》。</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17.4.1.2投标人撤回电子投标文件，则认为其不再参与本项目投标活动。</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17.4.2 投标文件的修改</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17.4.2.1投标人可在投标截止时间前，对其电子投标文件进行修改，具体操作方法见《操作手册》。</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17.4.2.2在投标截止时间之后，投标人不得对其电子投标文件作任何修改。</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17.4.3在投标截止时间至招标文件中规定的投标有效期满之间的这段时间内，投标人不得撤回其投标。</w:t>
      </w:r>
      <w:r/>
    </w:p>
    <w:p>
      <w:pPr>
        <w:pStyle w:val="1378"/>
        <w:rPr>
          <w:rFonts w:ascii="宋体" w:hAnsi="宋体" w:eastAsia="宋体" w:cs="宋体"/>
          <w:color w:val="auto"/>
          <w:highlight w:val="none"/>
        </w:rPr>
        <w:outlineLvl w:val="1"/>
      </w:pPr>
      <w:r/>
      <w:bookmarkStart w:id="97" w:name="_Toc30306"/>
      <w:r/>
      <w:bookmarkStart w:id="98" w:name="_Toc27625"/>
      <w:r>
        <w:rPr>
          <w:rFonts w:hint="eastAsia" w:ascii="宋体" w:hAnsi="宋体" w:eastAsia="宋体" w:cs="宋体"/>
          <w:color w:val="auto"/>
          <w:highlight w:val="none"/>
        </w:rPr>
        <w:t xml:space="preserve">五、无效标、投标被拒绝、串通投标认定条款</w:t>
      </w:r>
      <w:bookmarkEnd w:id="89"/>
      <w:r/>
      <w:bookmarkEnd w:id="90"/>
      <w:r/>
      <w:bookmarkEnd w:id="97"/>
      <w:r/>
      <w:bookmarkEnd w:id="98"/>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18、以下情形将视为无效投标</w:t>
      </w:r>
      <w:bookmarkStart w:id="99" w:name="EB94942e5430df4fb8a077f3cf7667f212"/>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18.1.1投标人在苏采云系统规定的时间内未成功解密电子投标文件的。</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18.1.2投标人未按照招标文件要求上传电子投标文件的。</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18.1.3同一投标人提交两个（含两个）以上不同的投标报价的。</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18.1.4投标人不具备招标文件中规定资格要求的（以文字表明的实质性要求和标注“★”的内容均为实质性要求）。</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18.1.5投标人的报价超过了采购预算或最高限价的。</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18.1.6未通过符合性审查的。</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18.1.7不符合招标文件中规定的实质性要求和条件的。</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18.1.9投标文件含有采购人不能接受的附加条件的。</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18.1.11本项目采购产品如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18.1.12投标人所投标产品不符合招标文件中所列国家强制性标准的；</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18.1.13投标文件未按照招标文件要求加盖公章的。</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18.1.14投标文件含有采购人不能接受的附加条件的；</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18.1.15投标人有本招标文件规定的恶意串通投标情形的；</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18.1.16其它评标委员会认为有必要取消的投标；</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18.1.17其他法律、法规及本招标文件规定的属无效投标的情形。</w:t>
      </w:r>
      <w:bookmarkEnd w:id="99"/>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19、以下情形投标将被拒绝</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19.1符合专业条件的供应商或者对招标文件作实质响应的供应商不足三家的（20条规定情形除外）；</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19.2出现影响采购公正的违法、违规行为的；</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19.3因重大变故，采购任务取消的。</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19.4评标委员会认定招标文件存在歧义、重大缺陷导致评审工作无法进行。</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19.5因苏采云系统故障原因造成开标不成功的。</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19.6投标截止时间结束后参加投标的供应商不足三家的处理：</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19.7如出现投标截止时间结束后参加投标的供应商或者在评标期间对招标文件做出实质响应的供应商不足三家情况，按政府采购相关规定执行。</w:t>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20、投标人不足三家情形处理</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21、凡有以下情形者，一经查实，取消中标候选人资格条款</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21.1提供虚假材料谋取中标的；</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21.2采取不正当手段诋毁、排挤其他投标人的；</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21.3与采购人、其他投标人或者采购代理机构恶意串通的；</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21.4向采购人、采购代理机构行贿或者提供其他不正当利益的；</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21.5未在规定时间内与采购人签订采购合同的；</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21.6法律、法规规定的其它情况。</w:t>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22、恶意串通投标的情形</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22.1供应商直接或间接从采购人或采购代理机构处获得其他供应商的投标情况，并修改其投标文件；</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22.2评审活动开始前供应商直接或间接从采购人或采购代理机构处获得评标委员会组成人员情况；</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22.3供应商接受采购人或采购代理机构授意撤换、修改投标文件；</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22.4供应商之间协商投标报价、技术方案等投标文件实质性内容；</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22.5属于同一集团、协会、商会等组织成员的供应商按照该组织要求协同投标；</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22.6供应商之间事先约定由某一特定供应商中标、成交；</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22.7供应商之间商定部分供应商放弃投标或者放弃中标、成交；</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22.8供应商与采购人或采购代理机构之间、供应商相互之间为谋求特定供应商中标成交或者排斥其他供应商的其他串通行为；</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22.9不同投标人的投标文件由同一单位或者个人编制；</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22.10不同投标人委托同一单位或者个人办理投标事宜；</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22.11不同投标人的投标文件载明的项目管理成员或者联系人员为同一人；</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22.12不同投标人的投标文件异常一致或者投标报价呈规律性差异；</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22.13不同投标人的投标文件相互混装；</w:t>
      </w:r>
      <w:r/>
    </w:p>
    <w:p>
      <w:pPr>
        <w:pStyle w:val="1378"/>
        <w:rPr>
          <w:rFonts w:ascii="宋体" w:hAnsi="宋体" w:eastAsia="宋体" w:cs="宋体"/>
          <w:color w:val="auto"/>
          <w:highlight w:val="none"/>
        </w:rPr>
        <w:outlineLvl w:val="1"/>
      </w:pPr>
      <w:r/>
      <w:bookmarkStart w:id="100" w:name="_Toc29013"/>
      <w:r/>
      <w:bookmarkStart w:id="101" w:name="_Toc11517"/>
      <w:r/>
      <w:bookmarkStart w:id="102" w:name="_Toc514054477"/>
      <w:r/>
      <w:bookmarkStart w:id="103" w:name="_Toc13553"/>
      <w:r>
        <w:rPr>
          <w:rFonts w:hint="eastAsia" w:ascii="宋体" w:hAnsi="宋体" w:eastAsia="宋体" w:cs="宋体"/>
          <w:color w:val="auto"/>
          <w:highlight w:val="none"/>
        </w:rPr>
        <w:t xml:space="preserve">六、开标、资格审查、评标程序</w:t>
      </w:r>
      <w:bookmarkEnd w:id="100"/>
      <w:r/>
      <w:bookmarkEnd w:id="101"/>
      <w:r/>
      <w:bookmarkEnd w:id="102"/>
      <w:r/>
      <w:bookmarkEnd w:id="103"/>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23、开标会议</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23.1采购代理机构将在招标公告中规定的时间和地点组织公开开标。投标人应当按照《操作手册》规定，参加开标活动和在苏采云系统规定的时间内对投标文件进行解密。</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23.2开标仪式由采购代理机构组织。苏采云系统将自动对项目进行开标，并宣布各投标人名称和投标价格。</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23.3投标人在开标过程中涉及到的投标文件解密、开标结果确认等工作，应按照《操作手册》规定执行。</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23.4投标人如果对开标过程和开标记录有疑义，应当根据《操作手册》规定提出，如苏采云系统中《开标记录表》宣布后规定时间内未提出的，视同认可开标结果。</w:t>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24、资格审查</w:t>
      </w:r>
      <w:r/>
    </w:p>
    <w:p>
      <w:pPr>
        <w:ind w:firstLine="480"/>
        <w:spacing w:line="500" w:lineRule="exact"/>
        <w:rPr>
          <w:rFonts w:ascii="宋体" w:hAnsi="宋体" w:cs="宋体"/>
          <w:color w:val="auto"/>
          <w:sz w:val="24"/>
          <w:highlight w:val="none"/>
        </w:rPr>
      </w:pPr>
      <w:r/>
      <w:bookmarkStart w:id="104" w:name="EBa9c0a2c9e523494487594c65b2a92370"/>
      <w:r>
        <w:rPr>
          <w:rFonts w:hint="eastAsia" w:ascii="宋体" w:hAnsi="宋体" w:cs="宋体"/>
          <w:color w:val="auto"/>
          <w:sz w:val="24"/>
          <w:highlight w:val="none"/>
        </w:rPr>
        <w:t xml:space="preserve">开标结束后，采购人或经采购人委托的采购代理机构依法据招标文件规定对投标人的资格证明文件等进行审查。</w:t>
      </w:r>
      <w:bookmarkEnd w:id="104"/>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25、评标委员会</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采购人应根据本项目的特点依法组建评标委员会。评标委员会负责具体评标事务，对资格审查合格的投标人进行评标，并独立履行相关职责。</w:t>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26、评标原则</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“公平、公正、客观、择优”为评标的基本原则，评标委员会将根据这一原则，公正、平等地对待各投标人。</w:t>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27、评标过程的保密与公正</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27.1凡是与审查、澄清、评价和比较投标的有关资料以及授标建议等，采购人、评委、采购代理机构均不得向投标人或与评标无关的其他人员透露。</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27.2在评标过程中，投标人不得以任何行为影响评标过程，否则其投标文件将被作为无效投标文件。</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27.3采购代理机构和评标委员会不向未中标的投标人解释未中标原因，也不公布评标过程中的相关细节。</w:t>
      </w:r>
      <w:r/>
    </w:p>
    <w:p>
      <w:pPr>
        <w:ind w:firstLine="480"/>
        <w:spacing w:line="520" w:lineRule="exact"/>
        <w:rPr>
          <w:rFonts w:ascii="宋体" w:hAnsi="宋体" w:cs="宋体"/>
          <w:color w:val="auto"/>
          <w:highlight w:val="none"/>
        </w:rPr>
      </w:pPr>
      <w:r>
        <w:rPr>
          <w:rFonts w:hint="eastAsia" w:ascii="宋体" w:hAnsi="宋体" w:cs="宋体"/>
          <w:color w:val="auto"/>
          <w:sz w:val="24"/>
          <w:highlight w:val="none"/>
        </w:rPr>
        <w:t xml:space="preserve">27.4采用综合评分法的项目，未中标的投标人可于中标结果公告期限届满之日起通过苏采云系统查看自己的评审得分及排序情况。</w:t>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28、评标程序</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105" w:name="EB48e5ba2667fe4390bf237677a47020dd"/>
      <w:r>
        <w:rPr>
          <w:rFonts w:hint="eastAsia" w:ascii="宋体" w:hAnsi="宋体" w:cs="宋体"/>
          <w:color w:val="auto"/>
          <w:sz w:val="24"/>
          <w:highlight w:val="none"/>
        </w:rPr>
        <w:t xml:space="preserve">所谓重大偏离是指投标人投标文件中所述设备质量、技术规格、数量、交货期和服务等明显不能满足招标文件要求。</w:t>
      </w:r>
      <w:bookmarkEnd w:id="105"/>
      <w:r>
        <w:rPr>
          <w:rFonts w:hint="eastAsia" w:ascii="宋体" w:hAnsi="宋体" w:cs="宋体"/>
          <w:color w:val="auto"/>
          <w:sz w:val="24"/>
          <w:highlight w:val="none"/>
        </w:rPr>
        <w:t xml:space="preserve">重大偏离的认定须经评标委员会三分之二以上同意。</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28.2澄清有关问题。</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评标委员会并非对每个投标人都做澄清要求。</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28.2.3接到评委会澄清、说明和补正要求的投标人如未按规定做出澄清、说明和补正，其风险由投标人自行承担。</w:t>
      </w:r>
      <w:r/>
    </w:p>
    <w:p>
      <w:pPr>
        <w:ind w:firstLine="600"/>
        <w:spacing w:line="500" w:lineRule="exact"/>
        <w:rPr>
          <w:rFonts w:ascii="宋体" w:hAnsi="宋体" w:cs="宋体"/>
          <w:color w:val="auto"/>
          <w:sz w:val="24"/>
          <w:highlight w:val="none"/>
        </w:rPr>
      </w:pPr>
      <w:r>
        <w:rPr>
          <w:rFonts w:hint="eastAsia" w:ascii="宋体" w:hAnsi="宋体" w:cs="宋体"/>
          <w:color w:val="auto"/>
          <w:sz w:val="24"/>
          <w:highlight w:val="none"/>
        </w:rPr>
        <w:t xml:space="preserve">28.2.4投标文件报价出现前后不一致的，除招标文件另有规定外，按照下列规定修正：</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①投标文件中开标一览表（报价表）内容与投标文件中相应内容不一致的，以开标一览表（报价表）为准；</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②大写金额和小写金额不一致的，以大写金额为准；</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③单价金额小数点或者百分比有明显错位的，以开标一览表的总价为准，并修改单价；</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④总价金额与按单价汇总金额不一致的，以单价金额计算结果为准。</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同时出现两种以上不一致的，按照前款规定的顺序修正。修正后的报价，经投标人确认后产生约束力，投标人不确认的，其投标无效。</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28.4比较。评标委员会将按招标文件中规定的评标方法和标准，对符合性检查合格的投标文件进行商务和技术评比。</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28.5推荐中标候选人。评标委员会按照招标文件中规定的评标方法和标准推荐中标候选人。</w:t>
      </w:r>
      <w:bookmarkStart w:id="106" w:name="EB66024636071342209da8bda483232040"/>
      <w:r>
        <w:rPr>
          <w:rFonts w:hint="eastAsia" w:ascii="宋体" w:hAnsi="宋体" w:cs="宋体"/>
          <w:color w:val="auto"/>
          <w:sz w:val="24"/>
          <w:highlight w:val="none"/>
        </w:rPr>
        <w:t xml:space="preserve"> </w:t>
      </w:r>
      <w:bookmarkEnd w:id="106"/>
      <w:r/>
      <w:r/>
    </w:p>
    <w:p>
      <w:pPr>
        <w:numPr>
          <w:ilvl w:val="0"/>
          <w:numId w:val="7"/>
        </w:numPr>
        <w:ind w:firstLine="482"/>
        <w:spacing w:line="500" w:lineRule="exact"/>
        <w:rPr>
          <w:rFonts w:ascii="宋体" w:hAnsi="宋体" w:cs="宋体"/>
          <w:b/>
          <w:bCs/>
          <w:color w:val="auto"/>
          <w:sz w:val="24"/>
          <w:highlight w:val="none"/>
        </w:rPr>
      </w:pPr>
      <w:r/>
      <w:bookmarkStart w:id="107" w:name="EBf6bd108017b14bde8ec3ea4804c87c27"/>
      <w:r>
        <w:rPr>
          <w:rFonts w:hint="eastAsia" w:ascii="宋体" w:hAnsi="宋体" w:cs="宋体"/>
          <w:b/>
          <w:bCs/>
          <w:color w:val="auto"/>
          <w:sz w:val="24"/>
          <w:highlight w:val="none"/>
        </w:rPr>
        <w:t xml:space="preserve">政府采购政策功能落实</w:t>
      </w:r>
      <w:r/>
    </w:p>
    <w:p>
      <w:pPr>
        <w:ind w:firstLine="480"/>
        <w:spacing w:line="500" w:lineRule="exact"/>
        <w:rPr>
          <w:rFonts w:ascii="宋体" w:hAnsi="宋体" w:cs="宋体"/>
          <w:color w:val="auto"/>
          <w:sz w:val="24"/>
          <w:szCs w:val="24"/>
          <w:highlight w:val="none"/>
        </w:rPr>
      </w:pPr>
      <w:r/>
      <w:bookmarkStart w:id="108" w:name="EBd9bc59d5f2ed4fb8a64ee2e373d8cc72"/>
      <w:r/>
      <w:bookmarkStart w:id="109" w:name="_Toc23173"/>
      <w:r/>
      <w:bookmarkStart w:id="110" w:name="_Toc81493168"/>
      <w:r/>
      <w:bookmarkStart w:id="111" w:name="_Toc9744"/>
      <w:r/>
      <w:bookmarkStart w:id="112" w:name="_Toc514054478"/>
      <w:r/>
      <w:bookmarkStart w:id="113" w:name="_Toc5167"/>
      <w:r>
        <w:rPr>
          <w:rFonts w:hint="eastAsia" w:ascii="宋体" w:hAnsi="宋体" w:cs="宋体"/>
          <w:color w:val="auto"/>
          <w:sz w:val="24"/>
          <w:szCs w:val="24"/>
          <w:highlight w:val="none"/>
        </w:rPr>
        <w:t xml:space="preserve">29.1 政府采购促进中小企业发展，在政府采购活动中，供应商提供的货物、工程或者服务符合下列情形的，享受中小企业扶持政策：</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（1）在货物采购项目中，货物由中小企业制造，即货物由中小企业生产且使用该中小企业商号或者注册商标；</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（2）在工程采购项目中，工程由中小企业承建，即工程施工单位为中小企业；</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（3）在服务采购项目中，服务由中小企业承接，即提供服务的人员为中小企业依照《中华人民共和国劳动合同法》订立劳动合同的从业人员。</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在货物采购项目中，供应商提供的货物既有中小企业制造货物，也有大型企业制造货物的，不享受中小企业扶持政策。</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中小企业供应商参加政府采购活动，应当出具《中小企业声明函》（格式见后附件），否则不得享受相关中小企业扶持政策。</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中小企业，是指在中华人民共和国境内依法设立，依据国务院批准的中小企业划分标准（详见《关于印发中小企业划型标准规定的通知》</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29.5 提供的产品属于信息安全产品的，供应商应当选择经国家认证的信息安全产品投标，并提供由中国信息安全认证中心按国家标准认证颁发的有效认证证书复印件。</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29.6 提供的产品属于政府强制采购节能产品的，供应商应当选择依据国家标准中二级能效（水效）指标认证的节能产品投标，并提供有效的节能产品认证证书复印件。</w:t>
      </w:r>
      <w:bookmarkEnd w:id="108"/>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29.7提供的产品属于环境标志产品的,供应商应当选择依据相关标准的最新版本认证的环境标志产品投标,并提供有效的环境标志产品认证证书复印件。 </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29.8进口产品政策</w:t>
      </w:r>
      <w:r/>
    </w:p>
    <w:p>
      <w:pPr>
        <w:ind w:firstLine="24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24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（2）允许进口产品参加的，满足需求的国内产品可以参加。</w:t>
      </w:r>
      <w:r/>
    </w:p>
    <w:p>
      <w:pPr>
        <w:ind w:firstLine="24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（3）允许进口产品参加的，优先采购向我国企业转让技术、与我国企业签订消化吸收再创新方案的供应商的进口产品。</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29.9落实政府采购《商品包装政府采购需求标准(试行)》、《快递包装政府采购需求标准（试行）》（财办库〔2020〕123号〕、《绿色数据中心政府采购需求标准（试行）》（财库〔2023]7号）等需求标准。</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 29.10落实政府采购《绿色建筑和绿色建材政府采购需求标准》（财库〔2022〕35号文）和《政府采购支持绿色建材促进建筑品质提升政策项目实施指南》（财办库〔2023〕52号）文件标准。</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29.11 支持乡村产业振兴管理：落实《关于运用政府采购政策支持乡村产业振兴的通知》（财库〔2021〕19号）有关要求。</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29.12涉及</w:t>
      </w:r>
      <w:r>
        <w:rPr>
          <w:rFonts w:hint="eastAsia" w:ascii="宋体" w:hAnsi="宋体" w:cs="宋体"/>
          <w:color w:val="auto"/>
          <w:sz w:val="24"/>
          <w:szCs w:val="24"/>
          <w:highlight w:val="none"/>
        </w:rPr>
        <w:t xml:space="preserve">数据中心相关设备、运维服务的，应按照《关于印发〈绿色数据中心政府采购需求标准（试行）的通知》（财办库〔2023〕7号）、《江苏省财政厅关于加强政府绿色采购有关事项的通知》（苏财购〔2023〕65号）等文件执行。中标/成交供应商应提高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29.13采购产品中涉及涂料、胶黏剂、油墨、清洗剂等挥发性有机物产品的，属于强制性标准的，供应商应当提供符合国家和江苏省相关VOCs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29.14创新产品采购</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优先采购各级政府部门公开发布的有效期内的创新产品、首台套等《目录》内的创新产品。创新产品自进入《目录》起2年内视同具备相应销售业绩。</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29.15 网络产品、市场准入类产品采购</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29.15.1本项目</w:t>
      </w:r>
      <w:r>
        <w:rPr>
          <w:rFonts w:hint="eastAsia" w:ascii="宋体" w:hAnsi="宋体" w:cs="宋体"/>
          <w:color w:val="auto"/>
          <w:sz w:val="24"/>
          <w:szCs w:val="24"/>
          <w:highlight w:val="none"/>
        </w:rPr>
        <w:t xml:space="preserve">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网络关键设备和网络安全专用产品目录〉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29.15.2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29.16落实《关于在全省政府采购领域推行电子履约保函（保险）的通知》（苏财购〔2023〕150号）。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29.17根据财库〔2026〕2号文件，评审委员会启动异常低价投标审查的情形和具体要求，包括：</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（一）1.投标报价低于全部通过符合性审查供应商投标报价平均值50%的，即投标报价&lt;全部通过符合性审查供应商投标报价平均值×50%；</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2.投标报价低于通过符合性审查的次低报价供应商投标报价50%的，即投标报价&lt;通过符合性审查的次低报价供应商投标报价×50%；</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3.投标报价低于采购项目最高限价45%的，即投标报价&lt;采购项目最高限价×45%；</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4.评审委员会基于专业判断，认为供应商报价过低，有可能影响产品质量或者不能诚信履约的其他情形。</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二）评审委员会启动异常低价投标审查后，属于前述第1项至第4项情形的，相关供应商应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29.18未按要求提供相关材料的，不享受相关政策。</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29.19在本项目政府采购活动过程中，如果所执行的标准有更新的，按照最新标准执行。</w:t>
      </w:r>
      <w:r/>
    </w:p>
    <w:p>
      <w:pPr>
        <w:pStyle w:val="1378"/>
        <w:rPr>
          <w:rFonts w:ascii="宋体" w:hAnsi="宋体" w:eastAsia="宋体" w:cs="宋体"/>
          <w:color w:val="auto"/>
          <w:highlight w:val="none"/>
        </w:rPr>
        <w:outlineLvl w:val="1"/>
      </w:pPr>
      <w:r>
        <w:rPr>
          <w:rFonts w:hint="eastAsia" w:ascii="宋体" w:hAnsi="宋体" w:eastAsia="宋体" w:cs="宋体"/>
          <w:color w:val="auto"/>
          <w:highlight w:val="none"/>
        </w:rPr>
        <w:t xml:space="preserve">七、中标及合同签订</w:t>
      </w:r>
      <w:bookmarkEnd w:id="109"/>
      <w:r/>
      <w:bookmarkEnd w:id="110"/>
      <w:r/>
      <w:bookmarkEnd w:id="111"/>
      <w:r/>
      <w:bookmarkEnd w:id="112"/>
      <w:r/>
      <w:bookmarkEnd w:id="113"/>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30、标后审查</w:t>
      </w:r>
      <w:r/>
    </w:p>
    <w:p>
      <w:pPr>
        <w:ind w:firstLine="480"/>
        <w:spacing w:line="500" w:lineRule="exact"/>
        <w:rPr>
          <w:rFonts w:ascii="宋体" w:hAnsi="宋体" w:cs="宋体"/>
          <w:color w:val="auto"/>
          <w:sz w:val="24"/>
          <w:highlight w:val="none"/>
        </w:rPr>
      </w:pPr>
      <w:r/>
      <w:bookmarkStart w:id="114" w:name="EB17cdacdfdd1244abbb73389fe0bfffe7"/>
      <w:r>
        <w:rPr>
          <w:rFonts w:hint="eastAsia" w:ascii="宋体" w:hAnsi="宋体" w:cs="宋体"/>
          <w:color w:val="auto"/>
          <w:sz w:val="24"/>
          <w:highlight w:val="none"/>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114"/>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31、确定中标人</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31.1采购人应当自收到评标报告之日起5个工作日内，在评标报告确定的中标候选人名单中按顺序确定中标人。中标候选人并列的，由采购人在相关部门监督下通过随机抽取的方式确定。</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31.2 在中标结果公告届满之前，中标人被列为失信被执行人的，取消其中标资格，并重新确定中标人。</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31.3采购人不得通过对样品进行检测、对供应商进行考察等方式改变评审结果。</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31.4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32、中标通知书</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32.1中标结果在财政部门指定信息媒体上发布公告，招标代理机构将向中标人发出中标通知书。</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32.2中标人应及时到招标代理机构领取中标通知书，中标通知书是签订合同的依据和组成部分。</w:t>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33、签订合同</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33.1中标人与采购人应当在中标通知书发出之日起30日内签订采购合同，并将合同送采购代理机构登记。招标文件、中标人的投标文件以及评标过程中有关澄清文件均作为合同附件。</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33.2中标人无正当理由未在规定时间内与采购人签订合同的，采购人有权建议取消其中标资格，监管部门将对其依法处理。</w:t>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34、履约保证金</w:t>
      </w:r>
      <w:r/>
    </w:p>
    <w:p>
      <w:pPr>
        <w:ind w:firstLine="480"/>
        <w:rPr>
          <w:rFonts w:ascii="宋体" w:hAnsi="宋体" w:cs="宋体"/>
          <w:color w:val="auto"/>
          <w:sz w:val="24"/>
          <w:szCs w:val="24"/>
          <w:highlight w:val="none"/>
        </w:rPr>
      </w:pPr>
      <w:r/>
      <w:bookmarkStart w:id="115" w:name="EB3094b551b51c42ca93e0255d679fb06f"/>
      <w:r>
        <w:rPr>
          <w:rFonts w:hint="eastAsia" w:ascii="宋体" w:hAnsi="宋体" w:cs="宋体"/>
          <w:color w:val="auto"/>
          <w:sz w:val="24"/>
          <w:szCs w:val="24"/>
          <w:highlight w:val="none"/>
        </w:rPr>
        <w:t xml:space="preserve">见前附表。 </w:t>
      </w:r>
      <w:bookmarkEnd w:id="115"/>
      <w:r/>
      <w:bookmarkStart w:id="116" w:name="EB0d6067c6e00d44b1ad5603550c455e87"/>
      <w:r>
        <w:rPr>
          <w:rFonts w:hint="eastAsia" w:ascii="宋体" w:hAnsi="宋体" w:cs="宋体"/>
          <w:color w:val="auto"/>
          <w:sz w:val="24"/>
          <w:szCs w:val="24"/>
          <w:highlight w:val="none"/>
        </w:rPr>
        <w:t xml:space="preserve"> </w:t>
      </w:r>
      <w:bookmarkEnd w:id="116"/>
      <w:r/>
      <w:r/>
    </w:p>
    <w:p>
      <w:pPr>
        <w:pStyle w:val="1378"/>
        <w:rPr>
          <w:rFonts w:ascii="宋体" w:hAnsi="宋体" w:eastAsia="宋体" w:cs="宋体"/>
          <w:color w:val="auto"/>
          <w:highlight w:val="none"/>
        </w:rPr>
        <w:outlineLvl w:val="1"/>
      </w:pPr>
      <w:r/>
      <w:bookmarkStart w:id="117" w:name="_Toc14752"/>
      <w:r/>
      <w:bookmarkStart w:id="118" w:name="_Toc514054479"/>
      <w:r/>
      <w:bookmarkStart w:id="119" w:name="_Toc81493169"/>
      <w:r/>
      <w:bookmarkStart w:id="120" w:name="_Toc31894"/>
      <w:r/>
      <w:bookmarkStart w:id="121" w:name="_Toc25599"/>
      <w:r>
        <w:rPr>
          <w:rFonts w:hint="eastAsia" w:ascii="宋体" w:hAnsi="宋体" w:eastAsia="宋体" w:cs="宋体"/>
          <w:color w:val="auto"/>
          <w:highlight w:val="none"/>
        </w:rPr>
        <w:t xml:space="preserve">八、验收及付款</w:t>
      </w:r>
      <w:bookmarkEnd w:id="117"/>
      <w:r/>
      <w:bookmarkEnd w:id="118"/>
      <w:r/>
      <w:bookmarkEnd w:id="119"/>
      <w:r/>
      <w:bookmarkEnd w:id="120"/>
      <w:r/>
      <w:bookmarkEnd w:id="121"/>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35、验收</w:t>
      </w:r>
      <w:r/>
    </w:p>
    <w:p>
      <w:pPr>
        <w:ind w:firstLine="480"/>
        <w:spacing w:line="500" w:lineRule="exact"/>
        <w:rPr>
          <w:rFonts w:ascii="宋体" w:hAnsi="宋体" w:cs="宋体"/>
          <w:color w:val="auto"/>
          <w:sz w:val="24"/>
          <w:highlight w:val="none"/>
        </w:rPr>
      </w:pPr>
      <w:r/>
      <w:bookmarkStart w:id="122" w:name="EBbbb2492ed6b84c9193a6bb6f72a512f3"/>
      <w:r>
        <w:rPr>
          <w:rFonts w:hint="eastAsia" w:ascii="宋体" w:hAnsi="宋体" w:cs="宋体"/>
          <w:color w:val="auto"/>
          <w:sz w:val="24"/>
          <w:highlight w:val="none"/>
        </w:rPr>
        <w:t xml:space="preserve">35.1由采购人组织验收，中标人配合。</w:t>
      </w:r>
      <w:bookmarkEnd w:id="122"/>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36、付款</w:t>
      </w:r>
      <w:r/>
    </w:p>
    <w:p>
      <w:pPr>
        <w:ind w:firstLine="480"/>
        <w:spacing w:line="500" w:lineRule="exact"/>
        <w:rPr>
          <w:rFonts w:ascii="宋体" w:hAnsi="宋体" w:cs="宋体"/>
          <w:color w:val="auto"/>
          <w:sz w:val="24"/>
          <w:highlight w:val="none"/>
        </w:rPr>
      </w:pPr>
      <w:r/>
      <w:bookmarkStart w:id="123" w:name="EBf0da31fab3a04ad0893de83144a87b34"/>
      <w:r>
        <w:rPr>
          <w:rFonts w:hint="eastAsia" w:ascii="宋体" w:hAnsi="宋体" w:cs="宋体"/>
          <w:color w:val="auto"/>
          <w:sz w:val="24"/>
          <w:highlight w:val="none"/>
        </w:rPr>
        <w:t xml:space="preserve">36.1</w:t>
      </w:r>
      <w:bookmarkEnd w:id="123"/>
      <w:r>
        <w:rPr>
          <w:rFonts w:hint="eastAsia" w:ascii="宋体" w:hAnsi="宋体" w:cs="宋体"/>
          <w:color w:val="auto"/>
          <w:sz w:val="24"/>
          <w:highlight w:val="none"/>
        </w:rPr>
        <w:t xml:space="preserve"> 采购人按招标文件要求办理采购款支付手续。</w:t>
      </w:r>
      <w:r/>
    </w:p>
    <w:p>
      <w:pPr>
        <w:pStyle w:val="1378"/>
        <w:rPr>
          <w:rFonts w:ascii="宋体" w:hAnsi="宋体" w:eastAsia="宋体" w:cs="宋体"/>
          <w:color w:val="auto"/>
          <w:highlight w:val="none"/>
        </w:rPr>
        <w:outlineLvl w:val="1"/>
      </w:pPr>
      <w:r/>
      <w:bookmarkStart w:id="124" w:name="_Toc31322"/>
      <w:r/>
      <w:bookmarkStart w:id="125" w:name="_Toc514054480"/>
      <w:r/>
      <w:bookmarkStart w:id="126" w:name="_Toc26939"/>
      <w:r/>
      <w:bookmarkStart w:id="127" w:name="_Toc10945"/>
      <w:r/>
      <w:bookmarkStart w:id="128" w:name="_Toc81493170"/>
      <w:r>
        <w:rPr>
          <w:rFonts w:hint="eastAsia" w:ascii="宋体" w:hAnsi="宋体" w:eastAsia="宋体" w:cs="宋体"/>
          <w:color w:val="auto"/>
          <w:highlight w:val="none"/>
        </w:rPr>
        <w:t xml:space="preserve">九、质疑与投诉</w:t>
      </w:r>
      <w:bookmarkEnd w:id="124"/>
      <w:r/>
      <w:bookmarkEnd w:id="125"/>
      <w:r/>
      <w:bookmarkEnd w:id="126"/>
      <w:r/>
      <w:bookmarkEnd w:id="127"/>
      <w:r/>
      <w:bookmarkEnd w:id="128"/>
      <w:r/>
      <w:r/>
    </w:p>
    <w:p>
      <w:pPr>
        <w:ind w:firstLine="422"/>
        <w:spacing w:line="500" w:lineRule="exact"/>
        <w:rPr>
          <w:rFonts w:ascii="宋体" w:hAnsi="宋体" w:cs="宋体"/>
          <w:b/>
          <w:color w:val="auto"/>
          <w:highlight w:val="none"/>
        </w:rPr>
      </w:pPr>
      <w:r>
        <w:rPr>
          <w:rFonts w:hint="eastAsia" w:ascii="宋体" w:hAnsi="宋体" w:cs="宋体"/>
          <w:b/>
          <w:color w:val="auto"/>
          <w:highlight w:val="none"/>
        </w:rPr>
        <w:t xml:space="preserve">37、质疑与投诉</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37.2供应商应知其权益受到损害之日，是指：</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（1）对本项目采购文件提出质疑的，采购文件公告期限届满之日；</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（2）对本项目采购过程提出质疑的，为各采购程序环节结束之日；</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（3）对本项目中标或者成交结果提出质疑的，为中标或者成交结果公告期限届满之日。</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37.4供应商提出质疑应当提交质疑函和必要的证明材料。质疑函的必备内容：</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（1）供应商的姓名或者名称、地址、邮编、联系人及联系电话；</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（2）质疑项目的名称、编号；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（3）具体、明确的质疑事项和质疑事项相关的请求；</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（4）事实依据；</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（5）必要的法律依据；</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（6）提出质疑的日期；</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（7）供应商为自然人的，由本人签字；供应商为法人或者其他组织的，应当由法定代表人、主要负责人，或者其授权代表签字或者盖章，并加盖公章。</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37.5以联合体形式参加政府采购活动的，其质疑应当由组成联合体的所有供应商共同提出。</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37.7采购人、采购代理机构在收到质疑函后7个工作日内作出答复，并以书面形式通知质疑供应商和其他有关供应商，但质疑答复的内容不涉及商业秘密。</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37.8质疑供应商对采购人、采购代理机构的答复不满意，或者采购人、采购代理机构未在规定时间内作出答复的，可以在答复期满后15个工作日内向同级财政部门提起投诉。</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37.9供应商捏造事实、提供虚假材料或者以非法手段取得证明材料进行投诉的，由财政部门列入不良行为记录名单，禁止其1至3年内参加政府采购活动。 </w:t>
      </w:r>
      <w:bookmarkEnd w:id="107"/>
      <w:r/>
      <w:r/>
    </w:p>
    <w:p>
      <w:pPr>
        <w:pStyle w:val="1378"/>
        <w:rPr>
          <w:rFonts w:ascii="宋体" w:hAnsi="宋体" w:eastAsia="宋体" w:cs="宋体"/>
          <w:color w:val="auto"/>
          <w:highlight w:val="none"/>
        </w:rPr>
        <w:outlineLvl w:val="1"/>
      </w:pPr>
      <w:r/>
      <w:bookmarkStart w:id="129" w:name="_Toc32340"/>
      <w:r/>
      <w:bookmarkStart w:id="130" w:name="_Toc20823314"/>
      <w:r/>
      <w:bookmarkStart w:id="131" w:name="_Toc513029242"/>
      <w:r/>
      <w:bookmarkStart w:id="132" w:name="_Toc26968"/>
      <w:r/>
      <w:bookmarkStart w:id="133" w:name="_Toc479757207"/>
      <w:r/>
      <w:bookmarkStart w:id="134" w:name="_Toc120614221"/>
      <w:r/>
      <w:bookmarkStart w:id="135" w:name="_Toc16938558"/>
      <w:r>
        <w:rPr>
          <w:rFonts w:hint="eastAsia" w:ascii="宋体" w:hAnsi="宋体" w:eastAsia="宋体" w:cs="宋体"/>
          <w:color w:val="auto"/>
          <w:highlight w:val="none"/>
        </w:rPr>
        <w:t xml:space="preserve">十、政府采购履约资金扶持政策</w:t>
      </w:r>
      <w:bookmarkEnd w:id="129"/>
      <w:r/>
      <w:bookmarkEnd w:id="130"/>
      <w:r/>
      <w:bookmarkEnd w:id="131"/>
      <w:r/>
      <w:bookmarkEnd w:id="132"/>
      <w:r/>
      <w:bookmarkEnd w:id="133"/>
      <w:r/>
      <w:bookmarkEnd w:id="134"/>
      <w:r/>
      <w:bookmarkEnd w:id="135"/>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中标人可凭政府采购合同办理融资贷款，详情请见江苏政府采购网“政采贷”专栏。</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 </w:t>
      </w:r>
      <w:r/>
    </w:p>
    <w:p>
      <w:pPr>
        <w:pStyle w:val="766"/>
        <w:rPr>
          <w:color w:val="auto"/>
          <w:highlight w:val="none"/>
        </w:rPr>
      </w:pPr>
      <w:r>
        <w:rPr>
          <w:rFonts w:hint="eastAsia"/>
          <w:color w:val="auto"/>
          <w:highlight w:val="none"/>
        </w:rPr>
        <w:br w:type="page" w:clear="all"/>
      </w:r>
      <w:bookmarkStart w:id="136" w:name="_Toc2112"/>
      <w:r/>
      <w:bookmarkStart w:id="137" w:name="_Toc28399"/>
      <w:r>
        <w:rPr>
          <w:rFonts w:hint="eastAsia"/>
          <w:color w:val="auto"/>
          <w:highlight w:val="none"/>
        </w:rPr>
        <w:t xml:space="preserve">第三部分  评标方法和标准</w:t>
      </w:r>
      <w:bookmarkEnd w:id="136"/>
      <w:r/>
      <w:bookmarkEnd w:id="137"/>
      <w:r/>
      <w:r/>
    </w:p>
    <w:p>
      <w:pPr>
        <w:ind w:firstLine="643"/>
        <w:spacing w:before="156" w:after="156"/>
        <w:rPr>
          <w:rFonts w:ascii="宋体" w:hAnsi="宋体" w:cs="宋体"/>
          <w:b/>
          <w:color w:val="auto"/>
          <w:sz w:val="32"/>
          <w:szCs w:val="32"/>
          <w:highlight w:val="none"/>
        </w:rPr>
        <w:outlineLvl w:val="1"/>
      </w:pPr>
      <w:r/>
      <w:bookmarkStart w:id="138" w:name="_Toc24217_WPSOffice_Level2"/>
      <w:r/>
      <w:bookmarkStart w:id="139" w:name="_Toc4647"/>
      <w:r/>
      <w:bookmarkStart w:id="140" w:name="_Toc17445"/>
      <w:r/>
      <w:bookmarkStart w:id="141" w:name="_Toc12296"/>
      <w:r>
        <w:rPr>
          <w:rFonts w:hint="eastAsia" w:ascii="宋体" w:hAnsi="宋体" w:cs="宋体"/>
          <w:b/>
          <w:color w:val="auto"/>
          <w:sz w:val="32"/>
          <w:szCs w:val="32"/>
          <w:highlight w:val="none"/>
        </w:rPr>
        <w:t xml:space="preserve">一、资格审查</w:t>
      </w:r>
      <w:bookmarkEnd w:id="138"/>
      <w:r/>
      <w:bookmarkEnd w:id="139"/>
      <w:r/>
      <w:bookmarkEnd w:id="140"/>
      <w:r/>
      <w:bookmarkEnd w:id="141"/>
      <w:r/>
      <w:r/>
    </w:p>
    <w:p>
      <w:pPr>
        <w:ind w:firstLine="420"/>
        <w:rPr>
          <w:rFonts w:ascii="宋体" w:hAnsi="宋体" w:cs="宋体"/>
          <w:color w:val="auto"/>
          <w:sz w:val="24"/>
          <w:highlight w:val="none"/>
        </w:rPr>
      </w:pPr>
      <w:r>
        <w:rPr>
          <w:rFonts w:hint="eastAsia" w:ascii="宋体" w:hAnsi="宋体" w:cs="宋体"/>
          <w:color w:val="auto"/>
          <w:sz w:val="24"/>
          <w:highlight w:val="none"/>
        </w:rPr>
        <w:t xml:space="preserve">采购人按照下列指标对各投标人的资格进行审查，未通过审查的为无效标，不参与评标。</w:t>
      </w:r>
      <w:r/>
    </w:p>
    <w:tbl>
      <w:tblPr>
        <w:tblStyle w:val="776"/>
        <w:tblW w:w="0" w:type="auto"/>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28"/>
        <w:gridCol w:w="4335"/>
      </w:tblGrid>
      <w:tr>
        <w:trPr/>
        <w:tc>
          <w:tcPr>
            <w:tcW w:w="4828"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资格审查因素</w:t>
            </w:r>
            <w:r/>
          </w:p>
        </w:tc>
        <w:tc>
          <w:tcPr>
            <w:tcW w:w="4335"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审查标准</w:t>
            </w:r>
            <w:r/>
          </w:p>
        </w:tc>
      </w:tr>
      <w:tr>
        <w:trPr>
          <w:trHeight w:val="288"/>
        </w:trPr>
        <w:tc>
          <w:tcPr>
            <w:tcW w:w="4828" w:type="dxa"/>
            <w:vAlign w:val="center"/>
            <w:textDirection w:val="lrTb"/>
            <w:noWrap w:val="false"/>
          </w:tcPr>
          <w:p>
            <w:pPr>
              <w:jc w:val="left"/>
              <w:rPr>
                <w:rFonts w:ascii="宋体" w:hAnsi="宋体" w:cs="宋体"/>
                <w:color w:val="auto"/>
                <w:highlight w:val="none"/>
              </w:rPr>
            </w:pPr>
            <w:r>
              <w:rPr>
                <w:rFonts w:hint="eastAsia" w:ascii="宋体" w:hAnsi="宋体" w:cs="宋体"/>
                <w:bCs/>
                <w:color w:val="auto"/>
                <w:highlight w:val="none"/>
              </w:rPr>
              <w:t xml:space="preserve">具有独立承担民事责任的能力</w:t>
            </w:r>
            <w:r/>
          </w:p>
        </w:tc>
        <w:tc>
          <w:tcPr>
            <w:tcW w:w="4335" w:type="dxa"/>
            <w:vAlign w:val="center"/>
            <w:vMerge w:val="restart"/>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符合招标文件第11条“投标文件构成”的要求</w:t>
            </w:r>
            <w:r/>
          </w:p>
        </w:tc>
      </w:tr>
      <w:tr>
        <w:trPr/>
        <w:tc>
          <w:tcPr>
            <w:tcW w:w="4828" w:type="dxa"/>
            <w:vAlign w:val="center"/>
            <w:textDirection w:val="lrTb"/>
            <w:noWrap w:val="false"/>
          </w:tcPr>
          <w:p>
            <w:pPr>
              <w:jc w:val="left"/>
              <w:rPr>
                <w:rFonts w:ascii="宋体" w:hAnsi="宋体" w:cs="宋体"/>
                <w:color w:val="auto"/>
                <w:highlight w:val="none"/>
              </w:rPr>
            </w:pPr>
            <w:r>
              <w:rPr>
                <w:rFonts w:hint="eastAsia" w:ascii="宋体" w:hAnsi="宋体" w:cs="宋体"/>
                <w:bCs/>
                <w:color w:val="auto"/>
                <w:highlight w:val="none"/>
              </w:rPr>
              <w:t xml:space="preserve">具有良好的商业信誉和健全的财务会计制度</w:t>
            </w:r>
            <w:r/>
          </w:p>
        </w:tc>
        <w:tc>
          <w:tcPr>
            <w:tcW w:w="4335" w:type="dxa"/>
            <w:vAlign w:val="center"/>
            <w:vMerge w:val="continue"/>
            <w:textDirection w:val="lrTb"/>
            <w:noWrap w:val="false"/>
          </w:tcPr>
          <w:p>
            <w:pPr>
              <w:jc w:val="left"/>
              <w:rPr>
                <w:rFonts w:ascii="宋体" w:hAnsi="宋体" w:cs="宋体"/>
                <w:color w:val="auto"/>
                <w:highlight w:val="none"/>
              </w:rPr>
            </w:pPr>
            <w:r>
              <w:rPr>
                <w:rFonts w:ascii="宋体" w:hAnsi="宋体" w:cs="宋体"/>
                <w:color w:val="auto"/>
                <w:highlight w:val="none"/>
              </w:rPr>
            </w:r>
            <w:r/>
          </w:p>
        </w:tc>
      </w:tr>
      <w:tr>
        <w:trPr/>
        <w:tc>
          <w:tcPr>
            <w:tcW w:w="4828" w:type="dxa"/>
            <w:vAlign w:val="center"/>
            <w:textDirection w:val="lrTb"/>
            <w:noWrap w:val="false"/>
          </w:tcPr>
          <w:p>
            <w:pPr>
              <w:jc w:val="left"/>
              <w:rPr>
                <w:rFonts w:ascii="宋体" w:hAnsi="宋体" w:cs="宋体"/>
                <w:color w:val="auto"/>
                <w:highlight w:val="none"/>
              </w:rPr>
            </w:pPr>
            <w:r>
              <w:rPr>
                <w:rFonts w:hint="eastAsia" w:ascii="宋体" w:hAnsi="宋体" w:cs="宋体"/>
                <w:bCs/>
                <w:color w:val="auto"/>
                <w:highlight w:val="none"/>
              </w:rPr>
              <w:t xml:space="preserve">具有履行合同所必需的设备和专业技术能力</w:t>
            </w:r>
            <w:r/>
          </w:p>
        </w:tc>
        <w:tc>
          <w:tcPr>
            <w:tcW w:w="4335" w:type="dxa"/>
            <w:vAlign w:val="center"/>
            <w:vMerge w:val="continue"/>
            <w:textDirection w:val="lrTb"/>
            <w:noWrap w:val="false"/>
          </w:tcPr>
          <w:p>
            <w:pPr>
              <w:jc w:val="left"/>
              <w:rPr>
                <w:rFonts w:ascii="宋体" w:hAnsi="宋体" w:cs="宋体"/>
                <w:color w:val="auto"/>
                <w:highlight w:val="none"/>
              </w:rPr>
            </w:pPr>
            <w:r>
              <w:rPr>
                <w:rFonts w:ascii="宋体" w:hAnsi="宋体" w:cs="宋体"/>
                <w:color w:val="auto"/>
                <w:highlight w:val="none"/>
              </w:rPr>
            </w:r>
            <w:r/>
          </w:p>
        </w:tc>
      </w:tr>
      <w:tr>
        <w:trPr/>
        <w:tc>
          <w:tcPr>
            <w:tcW w:w="4828" w:type="dxa"/>
            <w:vAlign w:val="center"/>
            <w:textDirection w:val="lrTb"/>
            <w:noWrap w:val="false"/>
          </w:tcPr>
          <w:p>
            <w:pPr>
              <w:jc w:val="left"/>
              <w:rPr>
                <w:rFonts w:ascii="宋体" w:hAnsi="宋体" w:cs="宋体"/>
                <w:color w:val="auto"/>
                <w:highlight w:val="none"/>
              </w:rPr>
            </w:pPr>
            <w:r>
              <w:rPr>
                <w:rFonts w:hint="eastAsia" w:ascii="宋体" w:hAnsi="宋体" w:cs="宋体"/>
                <w:bCs/>
                <w:color w:val="auto"/>
                <w:highlight w:val="none"/>
              </w:rPr>
              <w:t xml:space="preserve">有依法缴纳税收和社会保障资金的良好记录</w:t>
            </w:r>
            <w:r/>
          </w:p>
        </w:tc>
        <w:tc>
          <w:tcPr>
            <w:tcW w:w="4335" w:type="dxa"/>
            <w:vAlign w:val="center"/>
            <w:vMerge w:val="continue"/>
            <w:textDirection w:val="lrTb"/>
            <w:noWrap w:val="false"/>
          </w:tcPr>
          <w:p>
            <w:pPr>
              <w:jc w:val="left"/>
              <w:rPr>
                <w:rFonts w:ascii="宋体" w:hAnsi="宋体" w:cs="宋体"/>
                <w:color w:val="auto"/>
                <w:highlight w:val="none"/>
              </w:rPr>
            </w:pPr>
            <w:r>
              <w:rPr>
                <w:rFonts w:ascii="宋体" w:hAnsi="宋体" w:cs="宋体"/>
                <w:color w:val="auto"/>
                <w:highlight w:val="none"/>
              </w:rPr>
            </w:r>
            <w:r/>
          </w:p>
        </w:tc>
      </w:tr>
      <w:tr>
        <w:trPr>
          <w:trHeight w:val="90"/>
        </w:trPr>
        <w:tc>
          <w:tcPr>
            <w:tcW w:w="4828"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无重大违法行为声明</w:t>
            </w:r>
            <w:r/>
          </w:p>
        </w:tc>
        <w:tc>
          <w:tcPr>
            <w:tcW w:w="4335" w:type="dxa"/>
            <w:vAlign w:val="center"/>
            <w:vMerge w:val="continue"/>
            <w:textDirection w:val="lrTb"/>
            <w:noWrap w:val="false"/>
          </w:tcPr>
          <w:p>
            <w:pPr>
              <w:jc w:val="left"/>
              <w:rPr>
                <w:rFonts w:ascii="宋体" w:hAnsi="宋体" w:cs="宋体"/>
                <w:color w:val="auto"/>
                <w:highlight w:val="none"/>
              </w:rPr>
            </w:pPr>
            <w:r>
              <w:rPr>
                <w:rFonts w:ascii="宋体" w:hAnsi="宋体" w:cs="宋体"/>
                <w:color w:val="auto"/>
                <w:highlight w:val="none"/>
              </w:rPr>
            </w:r>
            <w:r/>
          </w:p>
        </w:tc>
      </w:tr>
      <w:tr>
        <w:trPr>
          <w:trHeight w:val="287"/>
        </w:trPr>
        <w:tc>
          <w:tcPr>
            <w:tcW w:w="4828"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法律、行政法规规定的其他条件</w:t>
            </w:r>
            <w:r/>
          </w:p>
        </w:tc>
        <w:tc>
          <w:tcPr>
            <w:tcW w:w="4335" w:type="dxa"/>
            <w:vAlign w:val="center"/>
            <w:vMerge w:val="continue"/>
            <w:textDirection w:val="lrTb"/>
            <w:noWrap w:val="false"/>
          </w:tcPr>
          <w:p>
            <w:pPr>
              <w:jc w:val="left"/>
              <w:rPr>
                <w:rFonts w:ascii="宋体" w:hAnsi="宋体" w:cs="宋体"/>
                <w:color w:val="auto"/>
                <w:highlight w:val="none"/>
              </w:rPr>
            </w:pPr>
            <w:r>
              <w:rPr>
                <w:rFonts w:ascii="宋体" w:hAnsi="宋体" w:cs="宋体"/>
                <w:color w:val="auto"/>
                <w:highlight w:val="none"/>
              </w:rPr>
            </w:r>
            <w:r/>
          </w:p>
        </w:tc>
      </w:tr>
      <w:tr>
        <w:trPr>
          <w:trHeight w:val="287"/>
        </w:trPr>
        <w:tc>
          <w:tcPr>
            <w:tcW w:w="4828" w:type="dxa"/>
            <w:vAlign w:val="center"/>
            <w:textDirection w:val="lrTb"/>
            <w:noWrap w:val="false"/>
          </w:tcPr>
          <w:p>
            <w:pPr>
              <w:jc w:val="left"/>
              <w:rPr>
                <w:rFonts w:ascii="宋体" w:hAnsi="宋体" w:cs="宋体"/>
                <w:color w:val="auto"/>
                <w:highlight w:val="none"/>
              </w:rPr>
            </w:pPr>
            <w:r>
              <w:rPr>
                <w:rFonts w:hint="eastAsia"/>
                <w:color w:val="auto"/>
                <w:highlight w:val="none"/>
              </w:rPr>
              <w:t xml:space="preserve">南京市政府采购供应商信用记录表暨信用承诺书</w:t>
            </w:r>
            <w:r/>
          </w:p>
        </w:tc>
        <w:tc>
          <w:tcPr>
            <w:tcW w:w="4335" w:type="dxa"/>
            <w:vAlign w:val="center"/>
            <w:vMerge w:val="continue"/>
            <w:textDirection w:val="lrTb"/>
            <w:noWrap w:val="false"/>
          </w:tcPr>
          <w:p>
            <w:pPr>
              <w:jc w:val="left"/>
              <w:rPr>
                <w:rFonts w:ascii="宋体" w:hAnsi="宋体" w:cs="宋体"/>
                <w:color w:val="auto"/>
                <w:highlight w:val="none"/>
              </w:rPr>
            </w:pPr>
            <w:r>
              <w:rPr>
                <w:rFonts w:ascii="宋体" w:hAnsi="宋体" w:cs="宋体"/>
                <w:color w:val="auto"/>
                <w:highlight w:val="none"/>
              </w:rPr>
            </w:r>
            <w:r/>
          </w:p>
        </w:tc>
      </w:tr>
      <w:tr>
        <w:trPr/>
        <w:tc>
          <w:tcPr>
            <w:tcW w:w="4828"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符合联合体规定</w:t>
            </w:r>
            <w:r/>
          </w:p>
        </w:tc>
        <w:tc>
          <w:tcPr>
            <w:tcW w:w="4335"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符合招标文件规定</w:t>
            </w:r>
            <w:r/>
          </w:p>
        </w:tc>
      </w:tr>
      <w:tr>
        <w:trPr/>
        <w:tc>
          <w:tcPr>
            <w:tcW w:w="4828"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特定资格要求（如有）</w:t>
            </w:r>
            <w:r/>
          </w:p>
        </w:tc>
        <w:tc>
          <w:tcPr>
            <w:tcW w:w="4335"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符合招标文件规定</w:t>
            </w:r>
            <w:r/>
          </w:p>
        </w:tc>
      </w:tr>
    </w:tbl>
    <w:p>
      <w:pPr>
        <w:ind w:firstLine="643"/>
        <w:spacing w:before="156" w:after="156"/>
        <w:rPr>
          <w:rFonts w:ascii="宋体" w:hAnsi="宋体" w:cs="宋体"/>
          <w:b/>
          <w:color w:val="auto"/>
          <w:sz w:val="32"/>
          <w:szCs w:val="32"/>
          <w:highlight w:val="none"/>
        </w:rPr>
        <w:outlineLvl w:val="1"/>
      </w:pPr>
      <w:r/>
      <w:bookmarkStart w:id="142" w:name="_Toc18818"/>
      <w:r/>
      <w:bookmarkStart w:id="143" w:name="_Toc17529"/>
      <w:r>
        <w:rPr>
          <w:rFonts w:hint="eastAsia" w:ascii="宋体" w:hAnsi="宋体" w:cs="宋体"/>
          <w:b/>
          <w:color w:val="auto"/>
          <w:sz w:val="32"/>
          <w:szCs w:val="32"/>
          <w:highlight w:val="none"/>
        </w:rPr>
        <w:t xml:space="preserve">二、符合性审查</w:t>
      </w:r>
      <w:bookmarkEnd w:id="142"/>
      <w:r/>
      <w:bookmarkEnd w:id="143"/>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符合性审查是指依据招标文件的规定，从商务和技术角度对投标文件的有效性和完整性进行审查，以确定是否对招标文件的实质性要求做出响应。</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未通过审查的为无效标，不再参与评审。</w:t>
      </w:r>
      <w:r/>
    </w:p>
    <w:tbl>
      <w:tblPr>
        <w:tblStyle w:val="776"/>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49"/>
        <w:gridCol w:w="4323"/>
      </w:tblGrid>
      <w:tr>
        <w:trPr/>
        <w:tc>
          <w:tcPr>
            <w:tcW w:w="4849"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符合性审查因素</w:t>
            </w:r>
            <w:r/>
          </w:p>
        </w:tc>
        <w:tc>
          <w:tcPr>
            <w:tcW w:w="4323"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审查标准</w:t>
            </w:r>
            <w:r/>
          </w:p>
        </w:tc>
      </w:tr>
      <w:tr>
        <w:trPr>
          <w:trHeight w:val="90"/>
        </w:trPr>
        <w:tc>
          <w:tcPr>
            <w:tcW w:w="4849"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投标函</w:t>
            </w:r>
            <w:r/>
          </w:p>
        </w:tc>
        <w:tc>
          <w:tcPr>
            <w:tcW w:w="4323"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符合招标文件的要求</w:t>
            </w:r>
            <w:r/>
          </w:p>
        </w:tc>
      </w:tr>
      <w:tr>
        <w:trPr>
          <w:trHeight w:val="287"/>
        </w:trPr>
        <w:tc>
          <w:tcPr>
            <w:tcW w:w="4849" w:type="dxa"/>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法定代表人身份证明或授权委托书</w:t>
            </w:r>
            <w:r/>
          </w:p>
          <w:p>
            <w:pPr>
              <w:rPr>
                <w:rFonts w:ascii="宋体" w:hAnsi="宋体" w:cs="宋体"/>
                <w:color w:val="auto"/>
                <w:highlight w:val="none"/>
              </w:rPr>
            </w:pPr>
            <w:r>
              <w:rPr>
                <w:rFonts w:hint="eastAsia" w:ascii="宋体" w:hAnsi="宋体" w:cs="宋体"/>
                <w:color w:val="auto"/>
                <w:highlight w:val="none"/>
              </w:rPr>
              <w:t xml:space="preserve">【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tc>
        <w:tc>
          <w:tcPr>
            <w:tcW w:w="4323"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符合招标文件的要求</w:t>
            </w:r>
            <w:r/>
          </w:p>
        </w:tc>
      </w:tr>
      <w:tr>
        <w:trPr>
          <w:trHeight w:val="287"/>
        </w:trPr>
        <w:tc>
          <w:tcPr>
            <w:tcW w:w="4849"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签署和盖章符合要求</w:t>
            </w:r>
            <w:r/>
          </w:p>
        </w:tc>
        <w:tc>
          <w:tcPr>
            <w:tcW w:w="4323"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符合招标文件规定</w:t>
            </w:r>
            <w:r/>
          </w:p>
        </w:tc>
      </w:tr>
      <w:tr>
        <w:trPr/>
        <w:tc>
          <w:tcPr>
            <w:tcW w:w="4849"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开标一览表及投标报价 </w:t>
            </w:r>
            <w:r/>
          </w:p>
        </w:tc>
        <w:tc>
          <w:tcPr>
            <w:tcW w:w="4323"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格式、填写要求符合招标文件规定（报价未超过预算或最高限价）</w:t>
            </w:r>
            <w:r/>
          </w:p>
        </w:tc>
      </w:tr>
      <w:tr>
        <w:trPr/>
        <w:tc>
          <w:tcPr>
            <w:tcW w:w="4849"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投标文件对招标文件的实质性条款的响应性</w:t>
            </w:r>
            <w:r/>
          </w:p>
        </w:tc>
        <w:tc>
          <w:tcPr>
            <w:tcW w:w="4323"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符合招标文件规定</w:t>
            </w:r>
            <w:r/>
          </w:p>
        </w:tc>
      </w:tr>
    </w:tbl>
    <w:p>
      <w:pPr>
        <w:rPr>
          <w:rFonts w:ascii="宋体" w:hAnsi="宋体" w:cs="宋体"/>
          <w:b/>
          <w:color w:val="auto"/>
          <w:sz w:val="32"/>
          <w:szCs w:val="32"/>
          <w:highlight w:val="none"/>
        </w:rPr>
        <w:outlineLvl w:val="1"/>
      </w:pPr>
      <w:r>
        <w:rPr>
          <w:rFonts w:hint="eastAsia" w:ascii="宋体" w:hAnsi="宋体" w:cs="宋体"/>
          <w:color w:val="auto"/>
          <w:sz w:val="20"/>
          <w:highlight w:val="none"/>
        </w:rPr>
        <w:t xml:space="preserve">  </w:t>
      </w:r>
      <w:bookmarkStart w:id="144" w:name="_Toc11959"/>
      <w:r>
        <w:rPr>
          <w:rFonts w:hint="eastAsia" w:ascii="宋体" w:hAnsi="宋体" w:cs="宋体"/>
          <w:color w:val="auto"/>
          <w:sz w:val="20"/>
          <w:highlight w:val="none"/>
        </w:rPr>
        <w:t xml:space="preserve">   </w:t>
      </w:r>
      <w:bookmarkStart w:id="145" w:name="_Toc17823"/>
      <w:r/>
      <w:bookmarkStart w:id="146" w:name="_Toc3702"/>
      <w:r>
        <w:rPr>
          <w:rFonts w:hint="eastAsia" w:ascii="宋体" w:hAnsi="宋体" w:cs="宋体"/>
          <w:b/>
          <w:color w:val="auto"/>
          <w:sz w:val="32"/>
          <w:szCs w:val="32"/>
          <w:highlight w:val="none"/>
        </w:rPr>
        <w:t xml:space="preserve">三、评分办法—综合评分法</w:t>
      </w:r>
      <w:bookmarkEnd w:id="144"/>
      <w:r/>
      <w:bookmarkEnd w:id="145"/>
      <w:r/>
      <w:bookmarkEnd w:id="146"/>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服务方案得分高优先；评分、报价、方案得分均相同时，由评标委员会通过抽签方式排序。 </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评标委员会根据评审后投标人排序推荐中标候选人。投标文件满足招标文件全部实质性要求，且评审后排序第一的投标人为第一中标候选人，依次类推。</w:t>
      </w:r>
      <w:r/>
    </w:p>
    <w:p>
      <w:pPr>
        <w:ind w:firstLine="420"/>
        <w:spacing w:line="360" w:lineRule="auto"/>
        <w:rPr>
          <w:rFonts w:ascii="宋体" w:hAnsi="宋体" w:cs="宋体"/>
          <w:color w:val="auto"/>
          <w:sz w:val="20"/>
          <w:highlight w:val="none"/>
        </w:rPr>
      </w:pPr>
      <w:r>
        <w:rPr>
          <w:rFonts w:hint="eastAsia" w:ascii="宋体" w:hAnsi="宋体" w:cs="宋体"/>
          <w:color w:val="auto"/>
          <w:sz w:val="24"/>
          <w:highlight w:val="none"/>
        </w:rPr>
        <w:t xml:space="preserve">综合评分保留至小数点后两位。</w:t>
      </w:r>
      <w:r>
        <w:rPr>
          <w:rFonts w:hint="eastAsia" w:ascii="宋体" w:hAnsi="宋体" w:cs="宋体"/>
          <w:color w:val="auto"/>
          <w:highlight w:val="none"/>
        </w:rPr>
        <w:t xml:space="preserve"> </w:t>
      </w:r>
      <w:r>
        <w:rPr>
          <w:rFonts w:hint="eastAsia" w:ascii="宋体" w:hAnsi="宋体" w:cs="宋体"/>
          <w:color w:val="auto"/>
          <w:sz w:val="20"/>
          <w:highlight w:val="none"/>
        </w:rPr>
        <w:t xml:space="preserve"> </w:t>
      </w:r>
      <w:r/>
    </w:p>
    <w:p>
      <w:pPr>
        <w:ind w:firstLine="420"/>
        <w:spacing w:line="360" w:lineRule="auto"/>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4"/>
          <w:highlight w:val="none"/>
        </w:rPr>
      </w:pPr>
      <w:r>
        <w:rPr>
          <w:rFonts w:hint="eastAsia" w:ascii="宋体" w:hAnsi="宋体" w:cs="宋体"/>
          <w:color w:val="auto"/>
          <w:sz w:val="20"/>
          <w:highlight w:val="none"/>
        </w:rPr>
        <w:t xml:space="preserve"> </w:t>
      </w:r>
      <w:r>
        <w:rPr>
          <w:rFonts w:hint="eastAsia" w:ascii="宋体" w:hAnsi="宋体" w:cs="宋体"/>
          <w:color w:val="auto"/>
          <w:sz w:val="24"/>
          <w:highlight w:val="none"/>
        </w:rPr>
        <w:t xml:space="preserve">2、详细评审。评标委员会按照招标文件规定的评分标准，对各投标文件进行详细评审打分。评标委员会组长对各评审专家的打分情况进行复核无误后汇总，形成评审报告。</w:t>
      </w:r>
      <w:r/>
    </w:p>
    <w:tbl>
      <w:tblPr>
        <w:tblStyle w:val="776"/>
        <w:tblW w:w="103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701"/>
        <w:gridCol w:w="6946"/>
        <w:gridCol w:w="992"/>
      </w:tblGrid>
      <w:tr>
        <w:trPr>
          <w:trHeight w:val="280"/>
        </w:trPr>
        <w:tc>
          <w:tcPr>
            <w:tcW w:w="704" w:type="dxa"/>
            <w:vAlign w:val="center"/>
            <w:textDirection w:val="lrTb"/>
            <w:noWrap w:val="false"/>
          </w:tcPr>
          <w:p>
            <w:pPr>
              <w:jc w:val="center"/>
              <w:rPr>
                <w:b/>
                <w:bCs/>
                <w:color w:val="auto"/>
                <w:sz w:val="24"/>
                <w:szCs w:val="24"/>
                <w:highlight w:val="none"/>
              </w:rPr>
            </w:pPr>
            <w:r/>
            <w:bookmarkStart w:id="147" w:name="_Toc514054481"/>
            <w:r>
              <w:rPr>
                <w:rFonts w:hint="eastAsia"/>
                <w:b/>
                <w:bCs/>
                <w:color w:val="auto"/>
                <w:sz w:val="24"/>
                <w:szCs w:val="24"/>
                <w:highlight w:val="none"/>
              </w:rPr>
              <w:t xml:space="preserve">序号</w:t>
            </w:r>
            <w:r/>
          </w:p>
        </w:tc>
        <w:tc>
          <w:tcPr>
            <w:tcW w:w="1701" w:type="dxa"/>
            <w:vAlign w:val="center"/>
            <w:textDirection w:val="lrTb"/>
            <w:noWrap w:val="false"/>
          </w:tcPr>
          <w:p>
            <w:pPr>
              <w:jc w:val="center"/>
              <w:rPr>
                <w:b/>
                <w:bCs/>
                <w:color w:val="auto"/>
                <w:sz w:val="24"/>
                <w:szCs w:val="24"/>
                <w:highlight w:val="none"/>
              </w:rPr>
            </w:pPr>
            <w:r>
              <w:rPr>
                <w:rFonts w:hint="eastAsia"/>
                <w:b/>
                <w:bCs/>
                <w:color w:val="auto"/>
                <w:sz w:val="24"/>
                <w:szCs w:val="24"/>
                <w:highlight w:val="none"/>
              </w:rPr>
              <w:t xml:space="preserve">评审因素</w:t>
            </w:r>
            <w:r/>
          </w:p>
        </w:tc>
        <w:tc>
          <w:tcPr>
            <w:tcW w:w="6946" w:type="dxa"/>
            <w:vAlign w:val="center"/>
            <w:textDirection w:val="lrTb"/>
            <w:noWrap w:val="false"/>
          </w:tcPr>
          <w:p>
            <w:pPr>
              <w:jc w:val="center"/>
              <w:rPr>
                <w:b/>
                <w:bCs/>
                <w:color w:val="auto"/>
                <w:sz w:val="24"/>
                <w:szCs w:val="24"/>
                <w:highlight w:val="none"/>
              </w:rPr>
            </w:pPr>
            <w:r>
              <w:rPr>
                <w:rFonts w:hint="eastAsia"/>
                <w:b/>
                <w:bCs/>
                <w:color w:val="auto"/>
                <w:sz w:val="24"/>
                <w:szCs w:val="24"/>
                <w:highlight w:val="none"/>
              </w:rPr>
              <w:t xml:space="preserve">评审细则</w:t>
            </w:r>
            <w:r/>
          </w:p>
        </w:tc>
        <w:tc>
          <w:tcPr>
            <w:tcW w:w="992" w:type="dxa"/>
            <w:vAlign w:val="center"/>
            <w:textDirection w:val="lrTb"/>
            <w:noWrap w:val="false"/>
          </w:tcPr>
          <w:p>
            <w:pPr>
              <w:jc w:val="center"/>
              <w:rPr>
                <w:b/>
                <w:bCs/>
                <w:color w:val="auto"/>
                <w:sz w:val="24"/>
                <w:szCs w:val="24"/>
                <w:highlight w:val="none"/>
              </w:rPr>
            </w:pPr>
            <w:r>
              <w:rPr>
                <w:rFonts w:hint="eastAsia"/>
                <w:b/>
                <w:bCs/>
                <w:color w:val="auto"/>
                <w:sz w:val="24"/>
                <w:szCs w:val="24"/>
                <w:highlight w:val="none"/>
              </w:rPr>
              <w:t xml:space="preserve">分值</w:t>
            </w:r>
            <w:r/>
          </w:p>
        </w:tc>
      </w:tr>
      <w:tr>
        <w:trPr>
          <w:trHeight w:val="280"/>
        </w:trPr>
        <w:tc>
          <w:tcPr>
            <w:gridSpan w:val="4"/>
            <w:tcW w:w="10343" w:type="dxa"/>
            <w:vAlign w:val="center"/>
            <w:textDirection w:val="lrTb"/>
            <w:noWrap w:val="false"/>
          </w:tcPr>
          <w:p>
            <w:pPr>
              <w:rPr>
                <w:b/>
                <w:bCs/>
                <w:color w:val="auto"/>
                <w:sz w:val="24"/>
                <w:szCs w:val="24"/>
                <w:highlight w:val="none"/>
              </w:rPr>
            </w:pPr>
            <w:r>
              <w:rPr>
                <w:rFonts w:hint="eastAsia"/>
                <w:b/>
                <w:bCs/>
                <w:color w:val="auto"/>
                <w:sz w:val="24"/>
                <w:szCs w:val="24"/>
                <w:highlight w:val="none"/>
              </w:rPr>
              <w:t xml:space="preserve">1.价格</w:t>
            </w:r>
            <w:r/>
          </w:p>
        </w:tc>
      </w:tr>
      <w:tr>
        <w:trPr>
          <w:trHeight w:val="777"/>
        </w:trPr>
        <w:tc>
          <w:tcPr>
            <w:tcW w:w="704" w:type="dxa"/>
            <w:vAlign w:val="center"/>
            <w:textDirection w:val="lrTb"/>
            <w:noWrap w:val="false"/>
          </w:tcPr>
          <w:p>
            <w:pPr>
              <w:rPr>
                <w:color w:val="auto"/>
                <w:sz w:val="24"/>
                <w:szCs w:val="24"/>
                <w:highlight w:val="none"/>
              </w:rPr>
            </w:pPr>
            <w:r>
              <w:rPr>
                <w:rFonts w:hint="eastAsia"/>
                <w:color w:val="auto"/>
                <w:sz w:val="24"/>
                <w:szCs w:val="24"/>
                <w:highlight w:val="none"/>
              </w:rPr>
              <w:t xml:space="preserve">1.1</w:t>
            </w:r>
            <w:r/>
          </w:p>
        </w:tc>
        <w:tc>
          <w:tcPr>
            <w:tcW w:w="1701"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价格</w:t>
            </w:r>
            <w:r/>
          </w:p>
        </w:tc>
        <w:tc>
          <w:tcPr>
            <w:tcW w:w="6946" w:type="dxa"/>
            <w:vAlign w:val="center"/>
            <w:textDirection w:val="lrTb"/>
            <w:noWrap w:val="false"/>
          </w:tcPr>
          <w:p>
            <w:pPr>
              <w:rPr>
                <w:color w:val="auto"/>
                <w:sz w:val="24"/>
                <w:szCs w:val="24"/>
                <w:highlight w:val="none"/>
              </w:rPr>
            </w:pPr>
            <w:r>
              <w:rPr>
                <w:rFonts w:hint="eastAsia"/>
                <w:color w:val="auto"/>
                <w:sz w:val="24"/>
                <w:szCs w:val="24"/>
                <w:highlight w:val="none"/>
              </w:rPr>
              <w:t xml:space="preserve">采用低价优先法计算，即满足磋商文件要求且投标价格最低的投标报价为评标基准价，其价格分为满分。其他供应商的价格分统一按照下列公式计算：投标报价得分=(评标基准价/投标报价)×</w:t>
            </w:r>
            <w:r>
              <w:rPr>
                <w:color w:val="auto"/>
                <w:sz w:val="24"/>
                <w:szCs w:val="24"/>
                <w:highlight w:val="none"/>
              </w:rPr>
              <w:t xml:space="preserve">25</w:t>
            </w:r>
            <w:r/>
          </w:p>
        </w:tc>
        <w:tc>
          <w:tcPr>
            <w:tcW w:w="992" w:type="dxa"/>
            <w:vAlign w:val="center"/>
            <w:textDirection w:val="lrTb"/>
            <w:noWrap w:val="false"/>
          </w:tcPr>
          <w:p>
            <w:pPr>
              <w:jc w:val="center"/>
              <w:rPr>
                <w:color w:val="auto"/>
                <w:sz w:val="24"/>
                <w:szCs w:val="24"/>
                <w:highlight w:val="none"/>
              </w:rPr>
            </w:pPr>
            <w:r>
              <w:rPr>
                <w:color w:val="auto"/>
                <w:sz w:val="24"/>
                <w:szCs w:val="24"/>
                <w:highlight w:val="none"/>
              </w:rPr>
              <w:t xml:space="preserve">25</w:t>
            </w:r>
            <w:r/>
          </w:p>
        </w:tc>
      </w:tr>
      <w:tr>
        <w:trPr>
          <w:trHeight w:val="280"/>
        </w:trPr>
        <w:tc>
          <w:tcPr>
            <w:gridSpan w:val="4"/>
            <w:tcW w:w="10343" w:type="dxa"/>
            <w:vAlign w:val="center"/>
            <w:textDirection w:val="lrTb"/>
            <w:noWrap w:val="false"/>
          </w:tcPr>
          <w:p>
            <w:pPr>
              <w:rPr>
                <w:b/>
                <w:bCs/>
                <w:color w:val="auto"/>
                <w:sz w:val="24"/>
                <w:szCs w:val="24"/>
                <w:highlight w:val="none"/>
              </w:rPr>
            </w:pPr>
            <w:r>
              <w:rPr>
                <w:rFonts w:hint="eastAsia"/>
                <w:b/>
                <w:bCs/>
                <w:color w:val="auto"/>
                <w:sz w:val="24"/>
                <w:szCs w:val="24"/>
                <w:highlight w:val="none"/>
              </w:rPr>
              <w:t xml:space="preserve">2.技术</w:t>
            </w:r>
            <w:r/>
          </w:p>
        </w:tc>
      </w:tr>
      <w:tr>
        <w:trPr>
          <w:trHeight w:val="911"/>
        </w:trPr>
        <w:tc>
          <w:tcPr>
            <w:tcW w:w="704" w:type="dxa"/>
            <w:vAlign w:val="center"/>
            <w:textDirection w:val="lrTb"/>
            <w:noWrap w:val="false"/>
          </w:tcPr>
          <w:p>
            <w:pPr>
              <w:rPr>
                <w:color w:val="auto"/>
                <w:sz w:val="24"/>
                <w:szCs w:val="24"/>
                <w:highlight w:val="none"/>
              </w:rPr>
            </w:pPr>
            <w:r>
              <w:rPr>
                <w:rFonts w:hint="eastAsia"/>
                <w:color w:val="auto"/>
                <w:sz w:val="24"/>
                <w:szCs w:val="24"/>
                <w:highlight w:val="none"/>
              </w:rPr>
              <w:t xml:space="preserve">2.1</w:t>
            </w:r>
            <w:r/>
          </w:p>
        </w:tc>
        <w:tc>
          <w:tcPr>
            <w:tcW w:w="1701"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需求分析</w:t>
            </w:r>
            <w:r/>
          </w:p>
        </w:tc>
        <w:tc>
          <w:tcPr>
            <w:tcW w:w="6946" w:type="dxa"/>
            <w:textDirection w:val="lrTb"/>
            <w:noWrap w:val="false"/>
          </w:tcPr>
          <w:p>
            <w:pPr>
              <w:rPr>
                <w:rFonts w:cs="Arial"/>
                <w:color w:val="auto"/>
                <w:sz w:val="24"/>
                <w:szCs w:val="24"/>
                <w:highlight w:val="none"/>
              </w:rPr>
            </w:pPr>
            <w:r>
              <w:rPr>
                <w:rFonts w:hint="eastAsia" w:cs="Arial"/>
                <w:color w:val="auto"/>
                <w:sz w:val="24"/>
                <w:szCs w:val="24"/>
                <w:highlight w:val="none"/>
              </w:rPr>
              <w:t xml:space="preserve">供应商根据采购文件，提供需求分析报告。</w:t>
            </w:r>
            <w:r/>
          </w:p>
          <w:p>
            <w:pPr>
              <w:rPr>
                <w:rFonts w:cs="Arial"/>
                <w:color w:val="auto"/>
                <w:sz w:val="24"/>
                <w:szCs w:val="24"/>
                <w:highlight w:val="none"/>
              </w:rPr>
            </w:pPr>
            <w:r>
              <w:rPr>
                <w:rFonts w:hint="eastAsia" w:cs="Arial"/>
                <w:color w:val="auto"/>
                <w:sz w:val="24"/>
                <w:szCs w:val="24"/>
                <w:highlight w:val="none"/>
              </w:rPr>
              <w:t xml:space="preserve">需求分析报告对采购人保修维护需求认识和理解充分，对核心系统总体架构，现有系统拓扑、系统部署、端口使用、相关配置等理解深入，结合现状，对于维保服务重点、难点具有明确合理的应对措施的，得</w:t>
            </w:r>
            <w:r>
              <w:rPr>
                <w:rFonts w:cs="Arial"/>
                <w:color w:val="auto"/>
                <w:sz w:val="24"/>
                <w:szCs w:val="24"/>
                <w:highlight w:val="none"/>
              </w:rPr>
              <w:t xml:space="preserve">9</w:t>
            </w:r>
            <w:r>
              <w:rPr>
                <w:rFonts w:hint="eastAsia" w:cs="Arial"/>
                <w:color w:val="auto"/>
                <w:sz w:val="24"/>
                <w:szCs w:val="24"/>
                <w:highlight w:val="none"/>
              </w:rPr>
              <w:t xml:space="preserve">分。</w:t>
            </w:r>
            <w:r/>
          </w:p>
          <w:p>
            <w:pPr>
              <w:rPr>
                <w:rFonts w:cs="Arial"/>
                <w:color w:val="auto"/>
                <w:sz w:val="24"/>
                <w:szCs w:val="24"/>
                <w:highlight w:val="none"/>
              </w:rPr>
            </w:pPr>
            <w:r>
              <w:rPr>
                <w:rFonts w:hint="eastAsia" w:cs="Arial"/>
                <w:color w:val="auto"/>
                <w:sz w:val="24"/>
                <w:szCs w:val="24"/>
                <w:highlight w:val="none"/>
              </w:rPr>
              <w:t xml:space="preserve">需求分析报告对采购人保修维护需求认识和理解较充分，对核心系统总体架构，现有系统拓扑、系统部署、端口使用、相关配置等理解不够细致，未完全结合现状，对于维保服务重点、难点考虑不够全面的，得</w:t>
            </w:r>
            <w:r>
              <w:rPr>
                <w:rFonts w:cs="Arial"/>
                <w:color w:val="auto"/>
                <w:sz w:val="24"/>
                <w:szCs w:val="24"/>
                <w:highlight w:val="none"/>
              </w:rPr>
              <w:t xml:space="preserve">6</w:t>
            </w:r>
            <w:r>
              <w:rPr>
                <w:rFonts w:hint="eastAsia" w:cs="Arial"/>
                <w:color w:val="auto"/>
                <w:sz w:val="24"/>
                <w:szCs w:val="24"/>
                <w:highlight w:val="none"/>
              </w:rPr>
              <w:t xml:space="preserve">分。</w:t>
            </w:r>
            <w:r/>
          </w:p>
          <w:p>
            <w:pPr>
              <w:rPr>
                <w:rFonts w:cs="Arial"/>
                <w:color w:val="auto"/>
                <w:sz w:val="24"/>
                <w:szCs w:val="24"/>
                <w:highlight w:val="none"/>
              </w:rPr>
            </w:pPr>
            <w:r>
              <w:rPr>
                <w:rFonts w:hint="eastAsia" w:cs="Arial"/>
                <w:color w:val="auto"/>
                <w:sz w:val="24"/>
                <w:szCs w:val="24"/>
                <w:highlight w:val="none"/>
              </w:rPr>
              <w:t xml:space="preserve">需求分析报告对采购人保修维护需求认识和理解一般，对核心系统总体架构，现有系统拓扑、系系统部署、端口使用、相关配置等理解浅显，对于维保服务重点、难点考虑一般的，得</w:t>
            </w:r>
            <w:r>
              <w:rPr>
                <w:rFonts w:cs="Arial"/>
                <w:color w:val="auto"/>
                <w:sz w:val="24"/>
                <w:szCs w:val="24"/>
                <w:highlight w:val="none"/>
              </w:rPr>
              <w:t xml:space="preserve">3</w:t>
            </w:r>
            <w:r>
              <w:rPr>
                <w:rFonts w:hint="eastAsia" w:cs="Arial"/>
                <w:color w:val="auto"/>
                <w:sz w:val="24"/>
                <w:szCs w:val="24"/>
                <w:highlight w:val="none"/>
              </w:rPr>
              <w:t xml:space="preserve">分。</w:t>
            </w:r>
            <w:r/>
          </w:p>
          <w:p>
            <w:pPr>
              <w:pStyle w:val="784"/>
              <w:ind w:firstLine="0"/>
              <w:spacing w:line="240" w:lineRule="auto"/>
              <w:rPr>
                <w:rFonts w:cs="Arial"/>
                <w:color w:val="auto"/>
                <w:sz w:val="24"/>
                <w:szCs w:val="24"/>
                <w:highlight w:val="none"/>
              </w:rPr>
            </w:pPr>
            <w:r>
              <w:rPr>
                <w:rFonts w:hint="eastAsia" w:cs="Arial"/>
                <w:color w:val="auto"/>
                <w:sz w:val="24"/>
                <w:szCs w:val="24"/>
                <w:highlight w:val="none"/>
                <w:lang w:val="en-US" w:bidi="ar-SA"/>
              </w:rPr>
              <w:t xml:space="preserve">未提供需求分析报告或需求报告与运维需要严重不符的，得</w:t>
            </w:r>
            <w:r>
              <w:rPr>
                <w:rFonts w:cs="Arial"/>
                <w:color w:val="auto"/>
                <w:sz w:val="24"/>
                <w:szCs w:val="24"/>
                <w:highlight w:val="none"/>
                <w:lang w:val="en-US" w:bidi="ar-SA"/>
              </w:rPr>
              <w:t xml:space="preserve">0</w:t>
            </w:r>
            <w:r>
              <w:rPr>
                <w:rFonts w:hint="eastAsia" w:cs="Arial"/>
                <w:color w:val="auto"/>
                <w:sz w:val="24"/>
                <w:szCs w:val="24"/>
                <w:highlight w:val="none"/>
                <w:lang w:val="en-US" w:bidi="ar-SA"/>
              </w:rPr>
              <w:t xml:space="preserve">分。</w:t>
            </w:r>
            <w:r/>
          </w:p>
        </w:tc>
        <w:tc>
          <w:tcPr>
            <w:tcW w:w="992" w:type="dxa"/>
            <w:vAlign w:val="center"/>
            <w:textDirection w:val="lrTb"/>
            <w:noWrap w:val="false"/>
          </w:tcPr>
          <w:p>
            <w:pPr>
              <w:jc w:val="center"/>
              <w:rPr>
                <w:color w:val="auto"/>
                <w:sz w:val="24"/>
                <w:szCs w:val="24"/>
                <w:highlight w:val="none"/>
              </w:rPr>
            </w:pPr>
            <w:r>
              <w:rPr>
                <w:color w:val="auto"/>
                <w:sz w:val="24"/>
                <w:szCs w:val="24"/>
                <w:highlight w:val="none"/>
              </w:rPr>
              <w:t xml:space="preserve">9</w:t>
            </w:r>
            <w:r/>
          </w:p>
        </w:tc>
      </w:tr>
      <w:tr>
        <w:trPr>
          <w:trHeight w:val="911"/>
        </w:trPr>
        <w:tc>
          <w:tcPr>
            <w:tcW w:w="704" w:type="dxa"/>
            <w:vAlign w:val="center"/>
            <w:textDirection w:val="lrTb"/>
            <w:noWrap w:val="false"/>
          </w:tcPr>
          <w:p>
            <w:pPr>
              <w:rPr>
                <w:color w:val="auto"/>
                <w:sz w:val="24"/>
                <w:szCs w:val="24"/>
                <w:highlight w:val="none"/>
              </w:rPr>
            </w:pPr>
            <w:r>
              <w:rPr>
                <w:rFonts w:hint="eastAsia"/>
                <w:color w:val="auto"/>
                <w:sz w:val="24"/>
                <w:szCs w:val="24"/>
                <w:highlight w:val="none"/>
              </w:rPr>
              <w:t xml:space="preserve">2.2</w:t>
            </w:r>
            <w:r/>
          </w:p>
        </w:tc>
        <w:tc>
          <w:tcPr>
            <w:tcW w:w="1701"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系统维护</w:t>
            </w:r>
            <w:r/>
          </w:p>
        </w:tc>
        <w:tc>
          <w:tcPr>
            <w:tcW w:w="6946" w:type="dxa"/>
            <w:vAlign w:val="center"/>
            <w:textDirection w:val="lrTb"/>
            <w:noWrap w:val="false"/>
          </w:tcPr>
          <w:p>
            <w:pPr>
              <w:rPr>
                <w:rFonts w:cs="Arial"/>
                <w:color w:val="auto"/>
                <w:sz w:val="24"/>
                <w:szCs w:val="24"/>
                <w:highlight w:val="none"/>
              </w:rPr>
            </w:pPr>
            <w:r>
              <w:rPr>
                <w:rFonts w:hint="eastAsia" w:cs="Arial"/>
                <w:color w:val="auto"/>
                <w:sz w:val="24"/>
                <w:szCs w:val="24"/>
                <w:highlight w:val="none"/>
              </w:rPr>
              <w:t xml:space="preserve">供应商根据采购文件，提供系统维护方案。</w:t>
            </w:r>
            <w:r/>
          </w:p>
          <w:p>
            <w:pPr>
              <w:rPr>
                <w:rFonts w:cs="Arial"/>
                <w:color w:val="auto"/>
                <w:sz w:val="24"/>
                <w:szCs w:val="24"/>
                <w:highlight w:val="none"/>
              </w:rPr>
            </w:pPr>
            <w:r>
              <w:rPr>
                <w:rFonts w:hint="eastAsia" w:cs="Arial"/>
                <w:color w:val="auto"/>
                <w:sz w:val="24"/>
                <w:szCs w:val="24"/>
                <w:highlight w:val="none"/>
              </w:rPr>
              <w:t xml:space="preserve">系统维护方案科学全面，</w:t>
            </w:r>
            <w:r>
              <w:rPr>
                <w:rFonts w:hint="eastAsia"/>
                <w:color w:val="auto"/>
                <w:spacing w:val="-2"/>
                <w:sz w:val="24"/>
                <w:szCs w:val="24"/>
                <w:highlight w:val="none"/>
              </w:rPr>
              <w:t xml:space="preserve">包含本次</w:t>
            </w:r>
            <w:r>
              <w:rPr>
                <w:color w:val="auto"/>
                <w:spacing w:val="-2"/>
                <w:sz w:val="24"/>
                <w:szCs w:val="24"/>
                <w:highlight w:val="none"/>
              </w:rPr>
              <w:t xml:space="preserve">项目所含</w:t>
            </w:r>
            <w:r>
              <w:rPr>
                <w:rFonts w:hint="eastAsia"/>
                <w:color w:val="auto"/>
                <w:spacing w:val="-2"/>
                <w:sz w:val="24"/>
                <w:szCs w:val="24"/>
                <w:highlight w:val="none"/>
              </w:rPr>
              <w:t xml:space="preserve">内外网、设备网等</w:t>
            </w:r>
            <w:r>
              <w:rPr>
                <w:color w:val="auto"/>
                <w:spacing w:val="-2"/>
                <w:sz w:val="24"/>
                <w:szCs w:val="24"/>
                <w:highlight w:val="none"/>
              </w:rPr>
              <w:t xml:space="preserve">网络</w:t>
            </w:r>
            <w:r>
              <w:rPr>
                <w:rFonts w:hint="eastAsia"/>
                <w:color w:val="auto"/>
                <w:spacing w:val="-2"/>
                <w:sz w:val="24"/>
                <w:szCs w:val="24"/>
                <w:highlight w:val="none"/>
              </w:rPr>
              <w:t xml:space="preserve">交换机、无线控制器、综合布线等硬件</w:t>
            </w:r>
            <w:r>
              <w:rPr>
                <w:color w:val="auto"/>
                <w:spacing w:val="-2"/>
                <w:sz w:val="24"/>
                <w:szCs w:val="24"/>
                <w:highlight w:val="none"/>
              </w:rPr>
              <w:t xml:space="preserve">设备</w:t>
            </w:r>
            <w:r>
              <w:rPr>
                <w:rFonts w:hint="eastAsia" w:cs="Arial"/>
                <w:color w:val="auto"/>
                <w:sz w:val="24"/>
                <w:szCs w:val="24"/>
                <w:highlight w:val="none"/>
              </w:rPr>
              <w:t xml:space="preserve">的日常巡检，技术支持，故障处理等维保内容，方案科学、合理、全面的，得</w:t>
            </w:r>
            <w:r>
              <w:rPr>
                <w:rFonts w:cs="Arial"/>
                <w:color w:val="auto"/>
                <w:sz w:val="24"/>
                <w:szCs w:val="24"/>
                <w:highlight w:val="none"/>
              </w:rPr>
              <w:t xml:space="preserve">9</w:t>
            </w:r>
            <w:r>
              <w:rPr>
                <w:rFonts w:hint="eastAsia" w:cs="Arial"/>
                <w:color w:val="auto"/>
                <w:sz w:val="24"/>
                <w:szCs w:val="24"/>
                <w:highlight w:val="none"/>
              </w:rPr>
              <w:t xml:space="preserve">分</w:t>
            </w:r>
            <w:r/>
          </w:p>
          <w:p>
            <w:pPr>
              <w:rPr>
                <w:rFonts w:cs="Arial"/>
                <w:color w:val="auto"/>
                <w:sz w:val="24"/>
                <w:szCs w:val="24"/>
                <w:highlight w:val="none"/>
              </w:rPr>
            </w:pPr>
            <w:r>
              <w:rPr>
                <w:rFonts w:hint="eastAsia" w:cs="Arial"/>
                <w:color w:val="auto"/>
                <w:sz w:val="24"/>
                <w:szCs w:val="24"/>
                <w:highlight w:val="none"/>
              </w:rPr>
              <w:t xml:space="preserve">系统维护</w:t>
            </w:r>
            <w:r>
              <w:rPr>
                <w:rFonts w:cs="Arial"/>
                <w:color w:val="auto"/>
                <w:sz w:val="24"/>
                <w:szCs w:val="24"/>
                <w:highlight w:val="none"/>
              </w:rPr>
              <w:t xml:space="preserve">方案</w:t>
            </w:r>
            <w:r>
              <w:rPr>
                <w:rFonts w:hint="eastAsia" w:cs="Arial"/>
                <w:color w:val="auto"/>
                <w:sz w:val="24"/>
                <w:szCs w:val="24"/>
                <w:highlight w:val="none"/>
              </w:rPr>
              <w:t xml:space="preserve">较全面，技术支持，故障处理等维保内容，方案较科学、较合理、较全面的，得</w:t>
            </w:r>
            <w:r>
              <w:rPr>
                <w:rFonts w:cs="Arial"/>
                <w:color w:val="auto"/>
                <w:sz w:val="24"/>
                <w:szCs w:val="24"/>
                <w:highlight w:val="none"/>
              </w:rPr>
              <w:t xml:space="preserve">6</w:t>
            </w:r>
            <w:r>
              <w:rPr>
                <w:rFonts w:hint="eastAsia" w:cs="Arial"/>
                <w:color w:val="auto"/>
                <w:sz w:val="24"/>
                <w:szCs w:val="24"/>
                <w:highlight w:val="none"/>
              </w:rPr>
              <w:t xml:space="preserve">分</w:t>
            </w:r>
            <w:r/>
          </w:p>
          <w:p>
            <w:pPr>
              <w:rPr>
                <w:rFonts w:cs="Arial"/>
                <w:color w:val="auto"/>
                <w:sz w:val="24"/>
                <w:szCs w:val="24"/>
                <w:highlight w:val="none"/>
              </w:rPr>
            </w:pPr>
            <w:r>
              <w:rPr>
                <w:rFonts w:hint="eastAsia" w:cs="Arial"/>
                <w:color w:val="auto"/>
                <w:sz w:val="24"/>
                <w:szCs w:val="24"/>
                <w:highlight w:val="none"/>
              </w:rPr>
              <w:t xml:space="preserve">系统维护方案不全，维保内容缺失，科学性、合理性较差的，得</w:t>
            </w:r>
            <w:r>
              <w:rPr>
                <w:rFonts w:cs="Arial"/>
                <w:color w:val="auto"/>
                <w:sz w:val="24"/>
                <w:szCs w:val="24"/>
                <w:highlight w:val="none"/>
              </w:rPr>
              <w:t xml:space="preserve">3</w:t>
            </w:r>
            <w:r>
              <w:rPr>
                <w:rFonts w:hint="eastAsia" w:cs="Arial"/>
                <w:color w:val="auto"/>
                <w:sz w:val="24"/>
                <w:szCs w:val="24"/>
                <w:highlight w:val="none"/>
              </w:rPr>
              <w:t xml:space="preserve">分</w:t>
            </w:r>
            <w:r/>
          </w:p>
          <w:p>
            <w:pPr>
              <w:rPr>
                <w:color w:val="auto"/>
                <w:sz w:val="24"/>
                <w:szCs w:val="24"/>
                <w:highlight w:val="none"/>
              </w:rPr>
            </w:pPr>
            <w:r>
              <w:rPr>
                <w:rFonts w:hint="eastAsia" w:cs="Arial"/>
                <w:color w:val="auto"/>
                <w:sz w:val="24"/>
                <w:szCs w:val="24"/>
                <w:highlight w:val="none"/>
              </w:rPr>
              <w:t xml:space="preserve">未提供系统维护方案或方案与项目需求严重不符的，本项得0分。</w:t>
            </w:r>
            <w:r/>
          </w:p>
        </w:tc>
        <w:tc>
          <w:tcPr>
            <w:tcW w:w="992" w:type="dxa"/>
            <w:vAlign w:val="center"/>
            <w:textDirection w:val="lrTb"/>
            <w:noWrap w:val="false"/>
          </w:tcPr>
          <w:p>
            <w:pPr>
              <w:jc w:val="center"/>
              <w:rPr>
                <w:color w:val="auto"/>
                <w:sz w:val="24"/>
                <w:szCs w:val="24"/>
                <w:highlight w:val="none"/>
              </w:rPr>
            </w:pPr>
            <w:r>
              <w:rPr>
                <w:color w:val="auto"/>
                <w:sz w:val="24"/>
                <w:szCs w:val="24"/>
                <w:highlight w:val="none"/>
              </w:rPr>
              <w:t xml:space="preserve">9</w:t>
            </w:r>
            <w:r/>
          </w:p>
        </w:tc>
      </w:tr>
      <w:tr>
        <w:trPr>
          <w:trHeight w:val="280"/>
        </w:trPr>
        <w:tc>
          <w:tcPr>
            <w:tcW w:w="704" w:type="dxa"/>
            <w:vAlign w:val="center"/>
            <w:textDirection w:val="lrTb"/>
            <w:noWrap w:val="false"/>
          </w:tcPr>
          <w:p>
            <w:pPr>
              <w:rPr>
                <w:color w:val="auto"/>
                <w:sz w:val="24"/>
                <w:szCs w:val="24"/>
                <w:highlight w:val="none"/>
              </w:rPr>
            </w:pPr>
            <w:r>
              <w:rPr>
                <w:rFonts w:hint="eastAsia"/>
                <w:color w:val="auto"/>
                <w:sz w:val="24"/>
                <w:szCs w:val="24"/>
                <w:highlight w:val="none"/>
              </w:rPr>
              <w:t xml:space="preserve">2.3</w:t>
            </w:r>
            <w:r/>
          </w:p>
        </w:tc>
        <w:tc>
          <w:tcPr>
            <w:tcW w:w="1701"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系统优化</w:t>
            </w:r>
            <w:r/>
          </w:p>
        </w:tc>
        <w:tc>
          <w:tcPr>
            <w:tcW w:w="6946" w:type="dxa"/>
            <w:vAlign w:val="center"/>
            <w:textDirection w:val="lrTb"/>
            <w:noWrap w:val="false"/>
          </w:tcPr>
          <w:p>
            <w:pPr>
              <w:rPr>
                <w:color w:val="auto"/>
                <w:spacing w:val="-2"/>
                <w:sz w:val="24"/>
                <w:szCs w:val="24"/>
                <w:highlight w:val="none"/>
              </w:rPr>
            </w:pPr>
            <w:r>
              <w:rPr>
                <w:rFonts w:hint="eastAsia"/>
                <w:color w:val="auto"/>
                <w:spacing w:val="-2"/>
                <w:sz w:val="24"/>
                <w:szCs w:val="24"/>
                <w:highlight w:val="none"/>
              </w:rPr>
              <w:t xml:space="preserve">供应商根据采购文件，</w:t>
            </w:r>
            <w:r>
              <w:rPr>
                <w:color w:val="auto"/>
                <w:spacing w:val="-2"/>
                <w:sz w:val="24"/>
                <w:szCs w:val="24"/>
                <w:highlight w:val="none"/>
              </w:rPr>
              <w:t xml:space="preserve">提供</w:t>
            </w:r>
            <w:r>
              <w:rPr>
                <w:rFonts w:hint="eastAsia"/>
                <w:color w:val="auto"/>
                <w:spacing w:val="-2"/>
                <w:sz w:val="24"/>
                <w:szCs w:val="24"/>
                <w:highlight w:val="none"/>
              </w:rPr>
              <w:t xml:space="preserve">针对现有网络架构、网络配置、网络策略等优化实施方案。</w:t>
            </w:r>
            <w:r/>
          </w:p>
          <w:p>
            <w:pPr>
              <w:rPr>
                <w:color w:val="auto"/>
                <w:spacing w:val="-2"/>
                <w:sz w:val="24"/>
                <w:szCs w:val="24"/>
                <w:highlight w:val="none"/>
              </w:rPr>
            </w:pPr>
            <w:r>
              <w:rPr>
                <w:rFonts w:hint="eastAsia"/>
                <w:color w:val="auto"/>
                <w:spacing w:val="-2"/>
                <w:sz w:val="24"/>
                <w:szCs w:val="24"/>
                <w:highlight w:val="none"/>
              </w:rPr>
              <w:t xml:space="preserve">优化方案内容</w:t>
            </w:r>
            <w:r>
              <w:rPr>
                <w:color w:val="auto"/>
                <w:spacing w:val="-2"/>
                <w:sz w:val="24"/>
                <w:szCs w:val="24"/>
                <w:highlight w:val="none"/>
              </w:rPr>
              <w:t xml:space="preserve">合理</w:t>
            </w:r>
            <w:r>
              <w:rPr>
                <w:rFonts w:hint="eastAsia"/>
                <w:color w:val="auto"/>
                <w:spacing w:val="-2"/>
                <w:sz w:val="24"/>
                <w:szCs w:val="24"/>
                <w:highlight w:val="none"/>
              </w:rPr>
              <w:t xml:space="preserve">、切合</w:t>
            </w:r>
            <w:r>
              <w:rPr>
                <w:color w:val="auto"/>
                <w:spacing w:val="-2"/>
                <w:sz w:val="24"/>
                <w:szCs w:val="24"/>
                <w:highlight w:val="none"/>
              </w:rPr>
              <w:t xml:space="preserve">实际需要</w:t>
            </w:r>
            <w:r>
              <w:rPr>
                <w:rFonts w:hint="eastAsia"/>
                <w:color w:val="auto"/>
                <w:spacing w:val="-2"/>
                <w:sz w:val="24"/>
                <w:szCs w:val="24"/>
                <w:highlight w:val="none"/>
              </w:rPr>
              <w:t xml:space="preserve">、</w:t>
            </w:r>
            <w:r>
              <w:rPr>
                <w:color w:val="auto"/>
                <w:spacing w:val="-2"/>
                <w:sz w:val="24"/>
                <w:szCs w:val="24"/>
                <w:highlight w:val="none"/>
              </w:rPr>
              <w:t xml:space="preserve">可操作性强</w:t>
            </w:r>
            <w:r>
              <w:rPr>
                <w:rFonts w:hint="eastAsia"/>
                <w:color w:val="auto"/>
                <w:spacing w:val="-2"/>
                <w:sz w:val="24"/>
                <w:szCs w:val="24"/>
                <w:highlight w:val="none"/>
              </w:rPr>
              <w:t xml:space="preserve">的，</w:t>
            </w:r>
            <w:r>
              <w:rPr>
                <w:color w:val="auto"/>
                <w:spacing w:val="-2"/>
                <w:sz w:val="24"/>
                <w:szCs w:val="24"/>
                <w:highlight w:val="none"/>
              </w:rPr>
              <w:t xml:space="preserve">得9</w:t>
            </w:r>
            <w:r>
              <w:rPr>
                <w:rFonts w:hint="eastAsia"/>
                <w:color w:val="auto"/>
                <w:spacing w:val="-2"/>
                <w:sz w:val="24"/>
                <w:szCs w:val="24"/>
                <w:highlight w:val="none"/>
              </w:rPr>
              <w:t xml:space="preserve">分</w:t>
            </w:r>
            <w:r>
              <w:rPr>
                <w:color w:val="auto"/>
                <w:spacing w:val="-2"/>
                <w:sz w:val="24"/>
                <w:szCs w:val="24"/>
                <w:highlight w:val="none"/>
              </w:rPr>
              <w:t xml:space="preserve">。</w:t>
            </w:r>
            <w:r/>
          </w:p>
          <w:p>
            <w:pPr>
              <w:pStyle w:val="784"/>
              <w:ind w:firstLine="0"/>
              <w:spacing w:line="240" w:lineRule="auto"/>
              <w:rPr>
                <w:color w:val="auto"/>
                <w:spacing w:val="-2"/>
                <w:sz w:val="24"/>
                <w:szCs w:val="24"/>
                <w:highlight w:val="none"/>
                <w:lang w:val="en-US" w:bidi="ar-SA"/>
              </w:rPr>
            </w:pPr>
            <w:r>
              <w:rPr>
                <w:rFonts w:hint="eastAsia"/>
                <w:color w:val="auto"/>
                <w:spacing w:val="-2"/>
                <w:sz w:val="24"/>
                <w:szCs w:val="24"/>
                <w:highlight w:val="none"/>
                <w:lang w:val="en-US" w:bidi="ar-SA"/>
              </w:rPr>
              <w:t xml:space="preserve">优化方案内容较</w:t>
            </w:r>
            <w:r>
              <w:rPr>
                <w:color w:val="auto"/>
                <w:spacing w:val="-2"/>
                <w:sz w:val="24"/>
                <w:szCs w:val="24"/>
                <w:highlight w:val="none"/>
                <w:lang w:val="en-US" w:bidi="ar-SA"/>
              </w:rPr>
              <w:t xml:space="preserve">合理</w:t>
            </w:r>
            <w:r>
              <w:rPr>
                <w:rFonts w:hint="eastAsia"/>
                <w:color w:val="auto"/>
                <w:spacing w:val="-2"/>
                <w:sz w:val="24"/>
                <w:szCs w:val="24"/>
                <w:highlight w:val="none"/>
                <w:lang w:val="en-US" w:bidi="ar-SA"/>
              </w:rPr>
              <w:t xml:space="preserve">、较</w:t>
            </w:r>
            <w:r>
              <w:rPr>
                <w:color w:val="auto"/>
                <w:spacing w:val="-2"/>
                <w:sz w:val="24"/>
                <w:szCs w:val="24"/>
                <w:highlight w:val="none"/>
                <w:lang w:val="en-US" w:bidi="ar-SA"/>
              </w:rPr>
              <w:t xml:space="preserve">切合</w:t>
            </w:r>
            <w:r>
              <w:rPr>
                <w:rFonts w:hint="eastAsia"/>
                <w:color w:val="auto"/>
                <w:spacing w:val="-2"/>
                <w:sz w:val="24"/>
                <w:szCs w:val="24"/>
                <w:highlight w:val="none"/>
                <w:lang w:val="en-US" w:bidi="ar-SA"/>
              </w:rPr>
              <w:t xml:space="preserve">需要、具有较好</w:t>
            </w:r>
            <w:r>
              <w:rPr>
                <w:color w:val="auto"/>
                <w:spacing w:val="-2"/>
                <w:sz w:val="24"/>
                <w:szCs w:val="24"/>
                <w:highlight w:val="none"/>
                <w:lang w:val="en-US" w:bidi="ar-SA"/>
              </w:rPr>
              <w:t xml:space="preserve">操作性</w:t>
            </w:r>
            <w:r>
              <w:rPr>
                <w:rFonts w:hint="eastAsia"/>
                <w:color w:val="auto"/>
                <w:spacing w:val="-2"/>
                <w:sz w:val="24"/>
                <w:szCs w:val="24"/>
                <w:highlight w:val="none"/>
                <w:lang w:val="en-US" w:bidi="ar-SA"/>
              </w:rPr>
              <w:t xml:space="preserve">的，得</w:t>
            </w:r>
            <w:r>
              <w:rPr>
                <w:color w:val="auto"/>
                <w:spacing w:val="-2"/>
                <w:sz w:val="24"/>
                <w:szCs w:val="24"/>
                <w:highlight w:val="none"/>
                <w:lang w:val="en-US" w:bidi="ar-SA"/>
              </w:rPr>
              <w:t xml:space="preserve">6</w:t>
            </w:r>
            <w:r>
              <w:rPr>
                <w:rFonts w:hint="eastAsia"/>
                <w:color w:val="auto"/>
                <w:spacing w:val="-2"/>
                <w:sz w:val="24"/>
                <w:szCs w:val="24"/>
                <w:highlight w:val="none"/>
                <w:lang w:val="en-US" w:bidi="ar-SA"/>
              </w:rPr>
              <w:t xml:space="preserve">分</w:t>
            </w:r>
            <w:r/>
          </w:p>
          <w:p>
            <w:pPr>
              <w:pStyle w:val="784"/>
              <w:ind w:firstLine="0"/>
              <w:spacing w:line="240" w:lineRule="auto"/>
              <w:rPr>
                <w:color w:val="auto"/>
                <w:spacing w:val="-2"/>
                <w:sz w:val="24"/>
                <w:szCs w:val="24"/>
                <w:highlight w:val="none"/>
                <w:lang w:val="en-US" w:bidi="ar-SA"/>
              </w:rPr>
            </w:pPr>
            <w:r>
              <w:rPr>
                <w:rFonts w:hint="eastAsia"/>
                <w:color w:val="auto"/>
                <w:spacing w:val="-2"/>
                <w:sz w:val="24"/>
                <w:szCs w:val="24"/>
                <w:highlight w:val="none"/>
                <w:lang w:val="en-US" w:bidi="ar-SA"/>
              </w:rPr>
              <w:t xml:space="preserve">优化方案内容不全、</w:t>
            </w:r>
            <w:r>
              <w:rPr>
                <w:color w:val="auto"/>
                <w:spacing w:val="-2"/>
                <w:sz w:val="24"/>
                <w:szCs w:val="24"/>
                <w:highlight w:val="none"/>
                <w:lang w:val="en-US" w:bidi="ar-SA"/>
              </w:rPr>
              <w:t xml:space="preserve">操作性</w:t>
            </w:r>
            <w:r>
              <w:rPr>
                <w:rFonts w:hint="eastAsia"/>
                <w:color w:val="auto"/>
                <w:spacing w:val="-2"/>
                <w:sz w:val="24"/>
                <w:szCs w:val="24"/>
                <w:highlight w:val="none"/>
                <w:lang w:val="en-US" w:bidi="ar-SA"/>
              </w:rPr>
              <w:t xml:space="preserve">差的，得</w:t>
            </w:r>
            <w:r>
              <w:rPr>
                <w:color w:val="auto"/>
                <w:spacing w:val="-2"/>
                <w:sz w:val="24"/>
                <w:szCs w:val="24"/>
                <w:highlight w:val="none"/>
                <w:lang w:val="en-US" w:bidi="ar-SA"/>
              </w:rPr>
              <w:t xml:space="preserve">3</w:t>
            </w:r>
            <w:r>
              <w:rPr>
                <w:rFonts w:hint="eastAsia"/>
                <w:color w:val="auto"/>
                <w:spacing w:val="-2"/>
                <w:sz w:val="24"/>
                <w:szCs w:val="24"/>
                <w:highlight w:val="none"/>
                <w:lang w:val="en-US" w:bidi="ar-SA"/>
              </w:rPr>
              <w:t xml:space="preserve">分</w:t>
            </w:r>
            <w:r/>
          </w:p>
          <w:p>
            <w:pPr>
              <w:rPr>
                <w:color w:val="auto"/>
                <w:sz w:val="24"/>
                <w:szCs w:val="24"/>
                <w:highlight w:val="none"/>
              </w:rPr>
            </w:pPr>
            <w:r>
              <w:rPr>
                <w:rFonts w:hint="eastAsia"/>
                <w:color w:val="auto"/>
                <w:spacing w:val="-2"/>
                <w:sz w:val="24"/>
                <w:szCs w:val="24"/>
                <w:highlight w:val="none"/>
              </w:rPr>
              <w:t xml:space="preserve">未提供实施方案或方案与项目严重不符的，本项得0分。</w:t>
            </w:r>
            <w:r/>
          </w:p>
        </w:tc>
        <w:tc>
          <w:tcPr>
            <w:tcW w:w="992" w:type="dxa"/>
            <w:vAlign w:val="center"/>
            <w:textDirection w:val="lrTb"/>
            <w:noWrap w:val="false"/>
          </w:tcPr>
          <w:p>
            <w:pPr>
              <w:jc w:val="center"/>
              <w:rPr>
                <w:color w:val="auto"/>
                <w:sz w:val="24"/>
                <w:szCs w:val="24"/>
                <w:highlight w:val="none"/>
              </w:rPr>
            </w:pPr>
            <w:r>
              <w:rPr>
                <w:color w:val="auto"/>
                <w:sz w:val="24"/>
                <w:szCs w:val="24"/>
                <w:highlight w:val="none"/>
              </w:rPr>
              <w:t xml:space="preserve">9</w:t>
            </w:r>
            <w:r/>
          </w:p>
        </w:tc>
      </w:tr>
      <w:tr>
        <w:trPr>
          <w:trHeight w:val="280"/>
        </w:trPr>
        <w:tc>
          <w:tcPr>
            <w:tcW w:w="704" w:type="dxa"/>
            <w:vAlign w:val="center"/>
            <w:textDirection w:val="lrTb"/>
            <w:noWrap w:val="false"/>
          </w:tcPr>
          <w:p>
            <w:pPr>
              <w:rPr>
                <w:color w:val="auto"/>
                <w:sz w:val="24"/>
                <w:szCs w:val="24"/>
                <w:highlight w:val="none"/>
              </w:rPr>
            </w:pPr>
            <w:r>
              <w:rPr>
                <w:rFonts w:hint="eastAsia"/>
                <w:color w:val="auto"/>
                <w:sz w:val="24"/>
                <w:szCs w:val="24"/>
                <w:highlight w:val="none"/>
              </w:rPr>
              <w:t xml:space="preserve">2.</w:t>
            </w:r>
            <w:r>
              <w:rPr>
                <w:color w:val="auto"/>
                <w:sz w:val="24"/>
                <w:szCs w:val="24"/>
                <w:highlight w:val="none"/>
              </w:rPr>
              <w:t xml:space="preserve">4</w:t>
            </w:r>
            <w:r/>
          </w:p>
        </w:tc>
        <w:tc>
          <w:tcPr>
            <w:tcW w:w="1701"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应急预案</w:t>
            </w:r>
            <w:r/>
          </w:p>
        </w:tc>
        <w:tc>
          <w:tcPr>
            <w:tcW w:w="6946" w:type="dxa"/>
            <w:vAlign w:val="center"/>
            <w:textDirection w:val="lrTb"/>
            <w:noWrap w:val="false"/>
          </w:tcPr>
          <w:p>
            <w:pPr>
              <w:rPr>
                <w:color w:val="auto"/>
                <w:spacing w:val="-2"/>
                <w:sz w:val="24"/>
                <w:szCs w:val="24"/>
                <w:highlight w:val="none"/>
              </w:rPr>
            </w:pPr>
            <w:r>
              <w:rPr>
                <w:rFonts w:hint="eastAsia"/>
                <w:color w:val="auto"/>
                <w:spacing w:val="-2"/>
                <w:sz w:val="24"/>
                <w:szCs w:val="24"/>
                <w:highlight w:val="none"/>
              </w:rPr>
              <w:t xml:space="preserve">供应商根据采购文件，提供相关应急预案。</w:t>
            </w:r>
            <w:r/>
          </w:p>
          <w:p>
            <w:pPr>
              <w:rPr>
                <w:color w:val="auto"/>
                <w:spacing w:val="-2"/>
                <w:sz w:val="24"/>
                <w:szCs w:val="24"/>
                <w:highlight w:val="none"/>
              </w:rPr>
            </w:pPr>
            <w:r>
              <w:rPr>
                <w:rFonts w:hint="eastAsia"/>
                <w:color w:val="auto"/>
                <w:spacing w:val="-2"/>
                <w:sz w:val="24"/>
                <w:szCs w:val="24"/>
                <w:highlight w:val="none"/>
              </w:rPr>
              <w:t xml:space="preserve">提供的应急预案需能根据不同场景（包括汇聚交换机和无线控制器系统故障、硬件系统故障、网络链路故障、安全事件、灾难性事件等不同场景）出具相应的应急措施内容，应急预案细化全面，操作性强，清晰合理的，得</w:t>
            </w:r>
            <w:r>
              <w:rPr>
                <w:color w:val="auto"/>
                <w:spacing w:val="-2"/>
                <w:sz w:val="24"/>
                <w:szCs w:val="24"/>
                <w:highlight w:val="none"/>
              </w:rPr>
              <w:t xml:space="preserve">9分</w:t>
            </w:r>
            <w:r>
              <w:rPr>
                <w:rFonts w:hint="eastAsia"/>
                <w:color w:val="auto"/>
                <w:spacing w:val="-2"/>
                <w:sz w:val="24"/>
                <w:szCs w:val="24"/>
                <w:highlight w:val="none"/>
              </w:rPr>
              <w:t xml:space="preserve">。</w:t>
            </w:r>
            <w:r/>
          </w:p>
          <w:p>
            <w:pPr>
              <w:rPr>
                <w:color w:val="auto"/>
                <w:spacing w:val="-2"/>
                <w:sz w:val="24"/>
                <w:szCs w:val="24"/>
                <w:highlight w:val="none"/>
              </w:rPr>
            </w:pPr>
            <w:r>
              <w:rPr>
                <w:rFonts w:hint="eastAsia"/>
                <w:color w:val="auto"/>
                <w:spacing w:val="-2"/>
                <w:sz w:val="24"/>
                <w:szCs w:val="24"/>
                <w:highlight w:val="none"/>
              </w:rPr>
              <w:t xml:space="preserve">应急预案较全面，操作性较强，较清晰合理的，得</w:t>
            </w:r>
            <w:r>
              <w:rPr>
                <w:color w:val="auto"/>
                <w:spacing w:val="-2"/>
                <w:sz w:val="24"/>
                <w:szCs w:val="24"/>
                <w:highlight w:val="none"/>
              </w:rPr>
              <w:t xml:space="preserve">6分</w:t>
            </w:r>
            <w:r>
              <w:rPr>
                <w:rFonts w:hint="eastAsia"/>
                <w:color w:val="auto"/>
                <w:spacing w:val="-2"/>
                <w:sz w:val="24"/>
                <w:szCs w:val="24"/>
                <w:highlight w:val="none"/>
              </w:rPr>
              <w:t xml:space="preserve">。</w:t>
            </w:r>
            <w:r/>
          </w:p>
          <w:p>
            <w:pPr>
              <w:rPr>
                <w:color w:val="auto"/>
                <w:spacing w:val="-2"/>
                <w:sz w:val="24"/>
                <w:szCs w:val="24"/>
                <w:highlight w:val="none"/>
              </w:rPr>
            </w:pPr>
            <w:r>
              <w:rPr>
                <w:rFonts w:hint="eastAsia"/>
                <w:color w:val="auto"/>
                <w:spacing w:val="-2"/>
                <w:sz w:val="24"/>
                <w:szCs w:val="24"/>
                <w:highlight w:val="none"/>
              </w:rPr>
              <w:t xml:space="preserve">应急预案较不全，操作性较差，不够清晰合理的，得</w:t>
            </w:r>
            <w:r>
              <w:rPr>
                <w:color w:val="auto"/>
                <w:spacing w:val="-2"/>
                <w:sz w:val="24"/>
                <w:szCs w:val="24"/>
                <w:highlight w:val="none"/>
              </w:rPr>
              <w:t xml:space="preserve">3分</w:t>
            </w:r>
            <w:r>
              <w:rPr>
                <w:rFonts w:hint="eastAsia"/>
                <w:color w:val="auto"/>
                <w:spacing w:val="-2"/>
                <w:sz w:val="24"/>
                <w:szCs w:val="24"/>
                <w:highlight w:val="none"/>
              </w:rPr>
              <w:t xml:space="preserve">。</w:t>
            </w:r>
            <w:r/>
          </w:p>
          <w:p>
            <w:pPr>
              <w:rPr>
                <w:color w:val="auto"/>
                <w:sz w:val="24"/>
                <w:szCs w:val="24"/>
                <w:highlight w:val="none"/>
              </w:rPr>
            </w:pPr>
            <w:r>
              <w:rPr>
                <w:rFonts w:hint="eastAsia"/>
                <w:color w:val="auto"/>
                <w:spacing w:val="-2"/>
                <w:sz w:val="24"/>
                <w:szCs w:val="24"/>
                <w:highlight w:val="none"/>
              </w:rPr>
              <w:t xml:space="preserve">未提供应急预案或预案与项目严重不符的，本项的</w:t>
            </w:r>
            <w:r>
              <w:rPr>
                <w:color w:val="auto"/>
                <w:spacing w:val="-2"/>
                <w:sz w:val="24"/>
                <w:szCs w:val="24"/>
                <w:highlight w:val="none"/>
              </w:rPr>
              <w:t xml:space="preserve">0分</w:t>
            </w:r>
            <w:r>
              <w:rPr>
                <w:rFonts w:hint="eastAsia"/>
                <w:color w:val="auto"/>
                <w:spacing w:val="-2"/>
                <w:sz w:val="24"/>
                <w:szCs w:val="24"/>
                <w:highlight w:val="none"/>
              </w:rPr>
              <w:t xml:space="preserve">。</w:t>
            </w:r>
            <w:r/>
          </w:p>
        </w:tc>
        <w:tc>
          <w:tcPr>
            <w:tcW w:w="992" w:type="dxa"/>
            <w:vAlign w:val="center"/>
            <w:textDirection w:val="lrTb"/>
            <w:noWrap w:val="false"/>
          </w:tcPr>
          <w:p>
            <w:pPr>
              <w:jc w:val="center"/>
              <w:rPr>
                <w:color w:val="auto"/>
                <w:sz w:val="24"/>
                <w:szCs w:val="24"/>
                <w:highlight w:val="none"/>
              </w:rPr>
            </w:pPr>
            <w:r>
              <w:rPr>
                <w:color w:val="auto"/>
                <w:sz w:val="24"/>
                <w:szCs w:val="24"/>
                <w:highlight w:val="none"/>
              </w:rPr>
              <w:t xml:space="preserve">9</w:t>
            </w:r>
            <w:r/>
          </w:p>
        </w:tc>
      </w:tr>
      <w:tr>
        <w:trPr>
          <w:trHeight w:val="280"/>
        </w:trPr>
        <w:tc>
          <w:tcPr>
            <w:tcW w:w="704" w:type="dxa"/>
            <w:vAlign w:val="center"/>
            <w:textDirection w:val="lrTb"/>
            <w:noWrap w:val="false"/>
          </w:tcPr>
          <w:p>
            <w:pPr>
              <w:rPr>
                <w:color w:val="auto"/>
                <w:sz w:val="24"/>
                <w:szCs w:val="24"/>
                <w:highlight w:val="none"/>
              </w:rPr>
            </w:pPr>
            <w:r>
              <w:rPr>
                <w:rFonts w:hint="eastAsia"/>
                <w:color w:val="auto"/>
                <w:sz w:val="24"/>
                <w:szCs w:val="24"/>
                <w:highlight w:val="none"/>
              </w:rPr>
              <w:t xml:space="preserve">2.</w:t>
            </w:r>
            <w:r>
              <w:rPr>
                <w:color w:val="auto"/>
                <w:sz w:val="24"/>
                <w:szCs w:val="24"/>
                <w:highlight w:val="none"/>
              </w:rPr>
              <w:t xml:space="preserve">5</w:t>
            </w:r>
            <w:r/>
          </w:p>
        </w:tc>
        <w:tc>
          <w:tcPr>
            <w:tcW w:w="1701"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维保体系规范</w:t>
            </w:r>
            <w:r/>
          </w:p>
        </w:tc>
        <w:tc>
          <w:tcPr>
            <w:tcW w:w="6946" w:type="dxa"/>
            <w:vAlign w:val="center"/>
            <w:textDirection w:val="lrTb"/>
            <w:noWrap w:val="false"/>
          </w:tcPr>
          <w:p>
            <w:pPr>
              <w:rPr>
                <w:color w:val="auto"/>
                <w:spacing w:val="-2"/>
                <w:sz w:val="24"/>
                <w:szCs w:val="24"/>
                <w:highlight w:val="none"/>
              </w:rPr>
            </w:pPr>
            <w:r>
              <w:rPr>
                <w:rFonts w:hint="eastAsia" w:cs="Arial"/>
                <w:color w:val="auto"/>
                <w:sz w:val="24"/>
                <w:szCs w:val="24"/>
                <w:highlight w:val="none"/>
              </w:rPr>
              <w:t xml:space="preserve">供应商根据采购文件，提供总体实施方案。</w:t>
            </w:r>
            <w:r/>
          </w:p>
          <w:p>
            <w:pPr>
              <w:rPr>
                <w:color w:val="auto"/>
                <w:spacing w:val="-2"/>
                <w:sz w:val="24"/>
                <w:szCs w:val="24"/>
                <w:highlight w:val="none"/>
              </w:rPr>
            </w:pPr>
            <w:r>
              <w:rPr>
                <w:rFonts w:hint="eastAsia"/>
                <w:color w:val="auto"/>
                <w:spacing w:val="-2"/>
                <w:sz w:val="24"/>
                <w:szCs w:val="24"/>
                <w:highlight w:val="none"/>
              </w:rPr>
              <w:t xml:space="preserve">具有合理的维保体系和实施流程规范，包含维护保养管理制度、日常巡检服务流程图、设备故障报修维修流程、系统软件升级流程、硬件更换操作规范、维护文档管理等的，得</w:t>
            </w:r>
            <w:r>
              <w:rPr>
                <w:color w:val="auto"/>
                <w:spacing w:val="-2"/>
                <w:sz w:val="24"/>
                <w:szCs w:val="24"/>
                <w:highlight w:val="none"/>
              </w:rPr>
              <w:t xml:space="preserve">9分</w:t>
            </w:r>
            <w:r/>
          </w:p>
          <w:p>
            <w:pPr>
              <w:rPr>
                <w:color w:val="auto"/>
                <w:spacing w:val="-2"/>
                <w:sz w:val="24"/>
                <w:szCs w:val="24"/>
                <w:highlight w:val="none"/>
              </w:rPr>
            </w:pPr>
            <w:r>
              <w:rPr>
                <w:rFonts w:hint="eastAsia"/>
                <w:color w:val="auto"/>
                <w:spacing w:val="-2"/>
                <w:sz w:val="24"/>
                <w:szCs w:val="24"/>
                <w:highlight w:val="none"/>
              </w:rPr>
              <w:t xml:space="preserve">具有较合理的维保体系和实施流程规范，包含维护保养管理制度、日常巡检服务流程图、设备故障报修维修流程、系统软件升级流程、硬件更换操作规范、维护文档管理等的，得</w:t>
            </w:r>
            <w:r>
              <w:rPr>
                <w:color w:val="auto"/>
                <w:spacing w:val="-2"/>
                <w:sz w:val="24"/>
                <w:szCs w:val="24"/>
                <w:highlight w:val="none"/>
              </w:rPr>
              <w:t xml:space="preserve">6分</w:t>
            </w:r>
            <w:r/>
          </w:p>
          <w:p>
            <w:pPr>
              <w:rPr>
                <w:color w:val="auto"/>
                <w:spacing w:val="-2"/>
                <w:sz w:val="24"/>
                <w:szCs w:val="24"/>
                <w:highlight w:val="none"/>
              </w:rPr>
            </w:pPr>
            <w:r>
              <w:rPr>
                <w:rFonts w:hint="eastAsia"/>
                <w:color w:val="auto"/>
                <w:spacing w:val="-2"/>
                <w:sz w:val="24"/>
                <w:szCs w:val="24"/>
                <w:highlight w:val="none"/>
              </w:rPr>
              <w:t xml:space="preserve">方案不全面，维保体系和实施流程规范一般的，得</w:t>
            </w:r>
            <w:r>
              <w:rPr>
                <w:color w:val="auto"/>
                <w:spacing w:val="-2"/>
                <w:sz w:val="24"/>
                <w:szCs w:val="24"/>
                <w:highlight w:val="none"/>
              </w:rPr>
              <w:t xml:space="preserve">3分</w:t>
            </w:r>
            <w:r/>
          </w:p>
          <w:p>
            <w:pPr>
              <w:rPr>
                <w:color w:val="auto"/>
                <w:sz w:val="24"/>
                <w:szCs w:val="24"/>
                <w:highlight w:val="none"/>
              </w:rPr>
            </w:pPr>
            <w:r>
              <w:rPr>
                <w:rFonts w:hint="eastAsia"/>
                <w:color w:val="auto"/>
                <w:spacing w:val="-2"/>
                <w:sz w:val="24"/>
                <w:szCs w:val="24"/>
                <w:highlight w:val="none"/>
              </w:rPr>
              <w:t xml:space="preserve">未提供总体实施方案或方案与项目严重不符，本项得</w:t>
            </w:r>
            <w:r>
              <w:rPr>
                <w:color w:val="auto"/>
                <w:spacing w:val="-2"/>
                <w:sz w:val="24"/>
                <w:szCs w:val="24"/>
                <w:highlight w:val="none"/>
              </w:rPr>
              <w:t xml:space="preserve">0分。</w:t>
            </w:r>
            <w:r/>
          </w:p>
        </w:tc>
        <w:tc>
          <w:tcPr>
            <w:tcW w:w="992" w:type="dxa"/>
            <w:vAlign w:val="center"/>
            <w:textDirection w:val="lrTb"/>
            <w:noWrap w:val="false"/>
          </w:tcPr>
          <w:p>
            <w:pPr>
              <w:jc w:val="center"/>
              <w:rPr>
                <w:color w:val="auto"/>
                <w:sz w:val="24"/>
                <w:szCs w:val="24"/>
                <w:highlight w:val="none"/>
              </w:rPr>
            </w:pPr>
            <w:r>
              <w:rPr>
                <w:color w:val="auto"/>
                <w:sz w:val="24"/>
                <w:szCs w:val="24"/>
                <w:highlight w:val="none"/>
              </w:rPr>
              <w:t xml:space="preserve">9</w:t>
            </w:r>
            <w:r/>
          </w:p>
        </w:tc>
      </w:tr>
      <w:tr>
        <w:trPr>
          <w:trHeight w:val="50"/>
        </w:trPr>
        <w:tc>
          <w:tcPr>
            <w:gridSpan w:val="4"/>
            <w:tcW w:w="10343" w:type="dxa"/>
            <w:vAlign w:val="center"/>
            <w:textDirection w:val="lrTb"/>
            <w:noWrap w:val="false"/>
          </w:tcPr>
          <w:p>
            <w:pPr>
              <w:rPr>
                <w:b/>
                <w:bCs/>
                <w:color w:val="auto"/>
                <w:sz w:val="24"/>
                <w:szCs w:val="24"/>
                <w:highlight w:val="none"/>
              </w:rPr>
            </w:pPr>
            <w:r>
              <w:rPr>
                <w:rFonts w:hint="eastAsia"/>
                <w:b/>
                <w:bCs/>
                <w:color w:val="auto"/>
                <w:sz w:val="24"/>
                <w:szCs w:val="24"/>
                <w:highlight w:val="none"/>
              </w:rPr>
              <w:t xml:space="preserve">3.服务</w:t>
            </w:r>
            <w:r/>
          </w:p>
        </w:tc>
      </w:tr>
      <w:tr>
        <w:trPr>
          <w:trHeight w:val="312"/>
        </w:trPr>
        <w:tc>
          <w:tcPr>
            <w:tcW w:w="704" w:type="dxa"/>
            <w:vAlign w:val="center"/>
            <w:textDirection w:val="lrTb"/>
            <w:noWrap w:val="false"/>
          </w:tcPr>
          <w:p>
            <w:pPr>
              <w:rPr>
                <w:color w:val="auto"/>
                <w:sz w:val="24"/>
                <w:szCs w:val="24"/>
                <w:highlight w:val="none"/>
              </w:rPr>
            </w:pPr>
            <w:r>
              <w:rPr>
                <w:rFonts w:hint="eastAsia"/>
                <w:color w:val="auto"/>
                <w:sz w:val="24"/>
                <w:szCs w:val="24"/>
                <w:highlight w:val="none"/>
              </w:rPr>
              <w:t xml:space="preserve">3.1</w:t>
            </w:r>
            <w:r/>
          </w:p>
        </w:tc>
        <w:tc>
          <w:tcPr>
            <w:tcW w:w="1701"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售后服务方案</w:t>
            </w:r>
            <w:r/>
          </w:p>
        </w:tc>
        <w:tc>
          <w:tcPr>
            <w:tcW w:w="6946" w:type="dxa"/>
            <w:vAlign w:val="center"/>
            <w:textDirection w:val="lrTb"/>
            <w:noWrap w:val="false"/>
          </w:tcPr>
          <w:p>
            <w:pPr>
              <w:rPr>
                <w:color w:val="auto"/>
                <w:sz w:val="24"/>
                <w:szCs w:val="24"/>
                <w:highlight w:val="none"/>
              </w:rPr>
            </w:pPr>
            <w:r>
              <w:rPr>
                <w:rFonts w:hint="eastAsia"/>
                <w:color w:val="auto"/>
                <w:sz w:val="24"/>
                <w:szCs w:val="24"/>
                <w:highlight w:val="none"/>
              </w:rPr>
              <w:t xml:space="preserve">售后服务方案全面合理，服务流程及内容具体，响应时间迅速，服务人员齐备的，得5分。</w:t>
            </w:r>
            <w:r/>
          </w:p>
          <w:p>
            <w:pPr>
              <w:rPr>
                <w:color w:val="auto"/>
                <w:sz w:val="24"/>
                <w:szCs w:val="24"/>
                <w:highlight w:val="none"/>
              </w:rPr>
            </w:pPr>
            <w:r>
              <w:rPr>
                <w:rFonts w:hint="eastAsia"/>
                <w:color w:val="auto"/>
                <w:sz w:val="24"/>
                <w:szCs w:val="24"/>
                <w:highlight w:val="none"/>
              </w:rPr>
              <w:t xml:space="preserve">售后服务方案较全面，服务流程及内容、响应时间较为迅速、服务人员匹配基本满足需求的，得</w:t>
            </w:r>
            <w:r>
              <w:rPr>
                <w:color w:val="auto"/>
                <w:sz w:val="24"/>
                <w:szCs w:val="24"/>
                <w:highlight w:val="none"/>
              </w:rPr>
              <w:t xml:space="preserve">3</w:t>
            </w:r>
            <w:r>
              <w:rPr>
                <w:rFonts w:hint="eastAsia"/>
                <w:color w:val="auto"/>
                <w:sz w:val="24"/>
                <w:szCs w:val="24"/>
                <w:highlight w:val="none"/>
              </w:rPr>
              <w:t xml:space="preserve">分。</w:t>
            </w:r>
            <w:r/>
          </w:p>
          <w:p>
            <w:pPr>
              <w:rPr>
                <w:color w:val="auto"/>
                <w:sz w:val="24"/>
                <w:szCs w:val="24"/>
                <w:highlight w:val="none"/>
              </w:rPr>
            </w:pPr>
            <w:r>
              <w:rPr>
                <w:rFonts w:hint="eastAsia"/>
                <w:color w:val="auto"/>
                <w:sz w:val="24"/>
                <w:szCs w:val="24"/>
                <w:highlight w:val="none"/>
              </w:rPr>
              <w:t xml:space="preserve">售后服务方案较片面，服务流程及内容空洞或欠缺，响应时间缓慢，服务人员匹配欠缺的，得0分。</w:t>
            </w:r>
            <w:r/>
          </w:p>
        </w:tc>
        <w:tc>
          <w:tcPr>
            <w:tcW w:w="992"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5</w:t>
            </w:r>
            <w:r/>
          </w:p>
        </w:tc>
      </w:tr>
      <w:tr>
        <w:trPr>
          <w:trHeight w:val="312"/>
        </w:trPr>
        <w:tc>
          <w:tcPr>
            <w:tcW w:w="704" w:type="dxa"/>
            <w:vAlign w:val="center"/>
            <w:textDirection w:val="lrTb"/>
            <w:noWrap w:val="false"/>
          </w:tcPr>
          <w:p>
            <w:pPr>
              <w:rPr>
                <w:color w:val="auto"/>
                <w:sz w:val="24"/>
                <w:szCs w:val="24"/>
                <w:highlight w:val="none"/>
              </w:rPr>
            </w:pPr>
            <w:r>
              <w:rPr>
                <w:rFonts w:hint="eastAsia"/>
                <w:color w:val="auto"/>
                <w:sz w:val="24"/>
                <w:szCs w:val="24"/>
                <w:highlight w:val="none"/>
              </w:rPr>
              <w:t xml:space="preserve">3.2</w:t>
            </w:r>
            <w:r/>
          </w:p>
        </w:tc>
        <w:tc>
          <w:tcPr>
            <w:tcW w:w="1701"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服务人员</w:t>
            </w:r>
            <w:r/>
          </w:p>
        </w:tc>
        <w:tc>
          <w:tcPr>
            <w:tcW w:w="6946" w:type="dxa"/>
            <w:vAlign w:val="center"/>
            <w:textDirection w:val="lrTb"/>
            <w:noWrap w:val="false"/>
          </w:tcPr>
          <w:p>
            <w:pPr>
              <w:rPr>
                <w:color w:val="auto"/>
                <w:sz w:val="24"/>
                <w:szCs w:val="24"/>
                <w:highlight w:val="none"/>
              </w:rPr>
            </w:pPr>
            <w:r>
              <w:rPr>
                <w:color w:val="auto"/>
                <w:sz w:val="24"/>
                <w:szCs w:val="24"/>
                <w:highlight w:val="none"/>
              </w:rPr>
              <w:t xml:space="preserve">投标人拟投入本项目的</w:t>
            </w:r>
            <w:r>
              <w:rPr>
                <w:rFonts w:hint="eastAsia"/>
                <w:color w:val="auto"/>
                <w:sz w:val="24"/>
                <w:szCs w:val="24"/>
                <w:highlight w:val="none"/>
              </w:rPr>
              <w:t xml:space="preserve">项目经理</w:t>
            </w:r>
            <w:r>
              <w:rPr>
                <w:color w:val="auto"/>
                <w:sz w:val="24"/>
                <w:szCs w:val="24"/>
                <w:highlight w:val="none"/>
              </w:rPr>
              <w:t xml:space="preserve">具有工信部教育考试中心颁发的高级信息安全管理工程师、高级网络运维工程师证书的，高级网络安全系统评测师的每提供1个得2分，最高得6分，</w:t>
            </w:r>
            <w:r>
              <w:rPr>
                <w:rFonts w:hint="eastAsia"/>
                <w:color w:val="auto"/>
                <w:sz w:val="24"/>
                <w:szCs w:val="24"/>
                <w:highlight w:val="none"/>
              </w:rPr>
              <w:t xml:space="preserve">最低得0分。</w:t>
            </w:r>
            <w:r/>
          </w:p>
          <w:p>
            <w:pPr>
              <w:rPr>
                <w:color w:val="auto"/>
                <w:sz w:val="24"/>
                <w:szCs w:val="24"/>
                <w:highlight w:val="none"/>
              </w:rPr>
            </w:pPr>
            <w:r>
              <w:rPr>
                <w:rFonts w:hint="eastAsia"/>
                <w:color w:val="auto"/>
                <w:sz w:val="24"/>
                <w:szCs w:val="24"/>
                <w:highlight w:val="none"/>
              </w:rPr>
              <w:t xml:space="preserve">投</w:t>
            </w:r>
            <w:r>
              <w:rPr>
                <w:color w:val="auto"/>
                <w:sz w:val="24"/>
                <w:szCs w:val="24"/>
                <w:highlight w:val="none"/>
              </w:rPr>
              <w:t xml:space="preserve">标人拟投入本项目</w:t>
            </w:r>
            <w:r>
              <w:rPr>
                <w:rFonts w:hint="eastAsia"/>
                <w:color w:val="auto"/>
                <w:sz w:val="24"/>
                <w:szCs w:val="24"/>
                <w:highlight w:val="none"/>
              </w:rPr>
              <w:t xml:space="preserve">的日常远程支撑团队</w:t>
            </w:r>
            <w:r>
              <w:rPr>
                <w:color w:val="auto"/>
                <w:sz w:val="24"/>
                <w:szCs w:val="24"/>
                <w:highlight w:val="none"/>
              </w:rPr>
              <w:t xml:space="preserve">成员具有CISP证书</w:t>
            </w:r>
            <w:bookmarkStart w:id="148" w:name="OLE_LINK5"/>
            <w:r>
              <w:rPr>
                <w:rFonts w:hint="eastAsia"/>
                <w:color w:val="auto"/>
                <w:sz w:val="24"/>
                <w:szCs w:val="24"/>
                <w:highlight w:val="none"/>
              </w:rPr>
              <w:t xml:space="preserve">，每提供1个得2分，最高得4分，最低得0分。</w:t>
            </w:r>
            <w:r/>
          </w:p>
          <w:p>
            <w:pPr>
              <w:rPr>
                <w:color w:val="auto"/>
                <w:sz w:val="24"/>
                <w:szCs w:val="24"/>
                <w:highlight w:val="none"/>
              </w:rPr>
            </w:pPr>
            <w:r>
              <w:rPr>
                <w:color w:val="auto"/>
                <w:sz w:val="24"/>
                <w:szCs w:val="24"/>
                <w:highlight w:val="none"/>
              </w:rPr>
              <w:t xml:space="preserve">投标人拟投入本项目</w:t>
            </w:r>
            <w:r>
              <w:rPr>
                <w:rFonts w:hint="eastAsia"/>
                <w:color w:val="auto"/>
                <w:sz w:val="24"/>
                <w:szCs w:val="24"/>
                <w:highlight w:val="none"/>
              </w:rPr>
              <w:t xml:space="preserve">的日常远程支撑团队</w:t>
            </w:r>
            <w:r>
              <w:rPr>
                <w:color w:val="auto"/>
                <w:sz w:val="24"/>
                <w:szCs w:val="24"/>
                <w:highlight w:val="none"/>
              </w:rPr>
              <w:t xml:space="preserve">成员</w:t>
            </w:r>
            <w:r>
              <w:rPr>
                <w:rFonts w:hint="eastAsia"/>
                <w:color w:val="auto"/>
                <w:sz w:val="24"/>
                <w:szCs w:val="24"/>
                <w:highlight w:val="none"/>
              </w:rPr>
              <w:t xml:space="preserve">具有华为HCIE-Routing&amp;Switching或新华三H3CIE-Routing&amp;Switching认证的，每提供1个得2分，最高得4分，最低得0分。</w:t>
            </w:r>
            <w:bookmarkEnd w:id="148"/>
            <w:r/>
            <w:r/>
          </w:p>
          <w:p>
            <w:pPr>
              <w:rPr>
                <w:color w:val="auto"/>
                <w:sz w:val="24"/>
                <w:szCs w:val="24"/>
                <w:highlight w:val="none"/>
              </w:rPr>
            </w:pPr>
            <w:r>
              <w:rPr>
                <w:color w:val="auto"/>
                <w:sz w:val="24"/>
                <w:szCs w:val="24"/>
                <w:highlight w:val="none"/>
              </w:rPr>
              <w:t xml:space="preserve">（注：</w:t>
            </w:r>
            <w:r>
              <w:rPr>
                <w:rFonts w:hint="eastAsia"/>
                <w:color w:val="auto"/>
                <w:sz w:val="24"/>
                <w:szCs w:val="24"/>
                <w:highlight w:val="none"/>
              </w:rPr>
              <w:t xml:space="preserve">一</w:t>
            </w:r>
            <w:r>
              <w:rPr>
                <w:color w:val="auto"/>
                <w:sz w:val="24"/>
                <w:szCs w:val="24"/>
                <w:highlight w:val="none"/>
              </w:rPr>
              <w:t xml:space="preserve">人多证或一证多人均不重复得分）。</w:t>
            </w:r>
            <w:r/>
          </w:p>
          <w:p>
            <w:pPr>
              <w:rPr>
                <w:color w:val="auto"/>
                <w:sz w:val="24"/>
                <w:szCs w:val="24"/>
                <w:highlight w:val="none"/>
              </w:rPr>
            </w:pPr>
            <w:r>
              <w:rPr>
                <w:color w:val="auto"/>
                <w:sz w:val="24"/>
                <w:szCs w:val="24"/>
                <w:highlight w:val="none"/>
              </w:rPr>
              <w:t xml:space="preserve">提供人员证书及投标人为其缴纳的响应截止时间前六个月内</w:t>
            </w:r>
            <w:r>
              <w:rPr>
                <w:rFonts w:hint="eastAsia"/>
                <w:color w:val="auto"/>
                <w:sz w:val="24"/>
                <w:szCs w:val="24"/>
                <w:highlight w:val="none"/>
              </w:rPr>
              <w:t xml:space="preserve">任意</w:t>
            </w:r>
            <w:r>
              <w:rPr>
                <w:color w:val="auto"/>
                <w:sz w:val="24"/>
                <w:szCs w:val="24"/>
                <w:highlight w:val="none"/>
              </w:rPr>
              <w:t xml:space="preserve">一个月（2025年</w:t>
            </w:r>
            <w:r>
              <w:rPr>
                <w:rFonts w:hint="eastAsia"/>
                <w:color w:val="auto"/>
                <w:sz w:val="24"/>
                <w:szCs w:val="24"/>
                <w:highlight w:val="none"/>
              </w:rPr>
              <w:t xml:space="preserve">09</w:t>
            </w:r>
            <w:r>
              <w:rPr>
                <w:color w:val="auto"/>
                <w:sz w:val="24"/>
                <w:szCs w:val="24"/>
                <w:highlight w:val="none"/>
              </w:rPr>
              <w:t xml:space="preserve">月（含）以来）社会保障资金的凭据加盖公章，证明材料缺项或未提供的不得分。</w:t>
            </w:r>
            <w:r/>
          </w:p>
        </w:tc>
        <w:tc>
          <w:tcPr>
            <w:tcW w:w="992"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14</w:t>
            </w:r>
            <w:r/>
          </w:p>
        </w:tc>
      </w:tr>
      <w:tr>
        <w:trPr>
          <w:trHeight w:val="280"/>
        </w:trPr>
        <w:tc>
          <w:tcPr>
            <w:gridSpan w:val="4"/>
            <w:tcW w:w="10343" w:type="dxa"/>
            <w:vAlign w:val="center"/>
            <w:textDirection w:val="lrTb"/>
            <w:noWrap w:val="false"/>
          </w:tcPr>
          <w:p>
            <w:pPr>
              <w:rPr>
                <w:b/>
                <w:bCs/>
                <w:color w:val="auto"/>
                <w:sz w:val="24"/>
                <w:szCs w:val="24"/>
                <w:highlight w:val="none"/>
              </w:rPr>
            </w:pPr>
            <w:r>
              <w:rPr>
                <w:rFonts w:hint="eastAsia"/>
                <w:b/>
                <w:bCs/>
                <w:color w:val="auto"/>
                <w:sz w:val="24"/>
                <w:szCs w:val="24"/>
                <w:highlight w:val="none"/>
              </w:rPr>
              <w:t xml:space="preserve">4.业绩</w:t>
            </w:r>
            <w:r/>
          </w:p>
        </w:tc>
      </w:tr>
      <w:tr>
        <w:trPr>
          <w:trHeight w:val="1089"/>
        </w:trPr>
        <w:tc>
          <w:tcPr>
            <w:tcW w:w="704" w:type="dxa"/>
            <w:vAlign w:val="center"/>
            <w:textDirection w:val="lrTb"/>
            <w:noWrap w:val="false"/>
          </w:tcPr>
          <w:p>
            <w:pPr>
              <w:rPr>
                <w:color w:val="auto"/>
                <w:sz w:val="24"/>
                <w:szCs w:val="24"/>
                <w:highlight w:val="none"/>
              </w:rPr>
            </w:pPr>
            <w:r>
              <w:rPr>
                <w:rFonts w:hint="eastAsia"/>
                <w:color w:val="auto"/>
                <w:sz w:val="24"/>
                <w:szCs w:val="24"/>
                <w:highlight w:val="none"/>
              </w:rPr>
              <w:t xml:space="preserve">4</w:t>
            </w:r>
            <w:r/>
          </w:p>
        </w:tc>
        <w:tc>
          <w:tcPr>
            <w:tcW w:w="1701"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业绩</w:t>
            </w:r>
            <w:r/>
          </w:p>
        </w:tc>
        <w:tc>
          <w:tcPr>
            <w:tcW w:w="6946" w:type="dxa"/>
            <w:vAlign w:val="center"/>
            <w:textDirection w:val="lrTb"/>
            <w:noWrap w:val="false"/>
          </w:tcPr>
          <w:p>
            <w:pPr>
              <w:rPr>
                <w:color w:val="auto"/>
                <w:sz w:val="24"/>
                <w:szCs w:val="24"/>
                <w:highlight w:val="none"/>
              </w:rPr>
            </w:pPr>
            <w:r>
              <w:rPr>
                <w:rFonts w:hint="eastAsia"/>
                <w:color w:val="auto"/>
                <w:sz w:val="24"/>
                <w:szCs w:val="24"/>
                <w:highlight w:val="none"/>
              </w:rPr>
              <w:t xml:space="preserve">供应商提供自2</w:t>
            </w:r>
            <w:r>
              <w:rPr>
                <w:color w:val="auto"/>
                <w:sz w:val="24"/>
                <w:szCs w:val="24"/>
                <w:highlight w:val="none"/>
              </w:rPr>
              <w:t xml:space="preserve">023年</w:t>
            </w:r>
            <w:r>
              <w:rPr>
                <w:rFonts w:hint="eastAsia"/>
                <w:color w:val="auto"/>
                <w:sz w:val="24"/>
                <w:szCs w:val="24"/>
                <w:highlight w:val="none"/>
              </w:rPr>
              <w:t xml:space="preserve">1月</w:t>
            </w:r>
            <w:r>
              <w:rPr>
                <w:color w:val="auto"/>
                <w:sz w:val="24"/>
                <w:szCs w:val="24"/>
                <w:highlight w:val="none"/>
              </w:rPr>
              <w:t xml:space="preserve">以来</w:t>
            </w:r>
            <w:r>
              <w:rPr>
                <w:rFonts w:hint="eastAsia"/>
                <w:color w:val="auto"/>
                <w:sz w:val="24"/>
                <w:szCs w:val="24"/>
                <w:highlight w:val="none"/>
              </w:rPr>
              <w:t xml:space="preserve">完成类似本项目维保项目的案例</w:t>
            </w:r>
            <w:r>
              <w:rPr>
                <w:color w:val="auto"/>
                <w:sz w:val="24"/>
                <w:szCs w:val="24"/>
                <w:highlight w:val="none"/>
              </w:rPr>
              <w:t xml:space="preserve">，</w:t>
            </w:r>
            <w:r>
              <w:rPr>
                <w:rFonts w:hint="eastAsia"/>
                <w:color w:val="auto"/>
                <w:sz w:val="24"/>
                <w:szCs w:val="24"/>
                <w:highlight w:val="none"/>
              </w:rPr>
              <w:t xml:space="preserve">每</w:t>
            </w:r>
            <w:r>
              <w:rPr>
                <w:color w:val="auto"/>
                <w:sz w:val="24"/>
                <w:szCs w:val="24"/>
                <w:highlight w:val="none"/>
              </w:rPr>
              <w:t xml:space="preserve">提供一个得1</w:t>
            </w:r>
            <w:r>
              <w:rPr>
                <w:rFonts w:hint="eastAsia"/>
                <w:color w:val="auto"/>
                <w:sz w:val="24"/>
                <w:szCs w:val="24"/>
                <w:highlight w:val="none"/>
              </w:rPr>
              <w:t xml:space="preserve">分</w:t>
            </w:r>
            <w:r>
              <w:rPr>
                <w:color w:val="auto"/>
                <w:sz w:val="24"/>
                <w:szCs w:val="24"/>
                <w:highlight w:val="none"/>
              </w:rPr>
              <w:t xml:space="preserve">，最高得2分</w:t>
            </w:r>
            <w:r>
              <w:rPr>
                <w:rFonts w:hint="eastAsia"/>
                <w:color w:val="auto"/>
                <w:sz w:val="24"/>
                <w:szCs w:val="24"/>
                <w:highlight w:val="none"/>
              </w:rPr>
              <w:t xml:space="preserve">。</w:t>
            </w:r>
            <w:r>
              <w:rPr>
                <w:color w:val="auto"/>
                <w:sz w:val="24"/>
                <w:szCs w:val="24"/>
                <w:highlight w:val="none"/>
              </w:rPr>
              <w:t xml:space="preserve">（</w:t>
            </w:r>
            <w:r>
              <w:rPr>
                <w:rFonts w:hint="eastAsia"/>
                <w:color w:val="auto"/>
                <w:sz w:val="24"/>
                <w:szCs w:val="24"/>
                <w:highlight w:val="none"/>
              </w:rPr>
              <w:t xml:space="preserve">提供合同复印件加盖公章，合同须能反映项目名称、主要标的物，签订时间和签章清晰可见</w:t>
            </w:r>
            <w:r>
              <w:rPr>
                <w:color w:val="auto"/>
                <w:sz w:val="24"/>
                <w:szCs w:val="24"/>
                <w:highlight w:val="none"/>
              </w:rPr>
              <w:t xml:space="preserve">）</w:t>
            </w:r>
            <w:r/>
          </w:p>
        </w:tc>
        <w:tc>
          <w:tcPr>
            <w:tcW w:w="992" w:type="dxa"/>
            <w:vAlign w:val="center"/>
            <w:textDirection w:val="lrTb"/>
            <w:noWrap w:val="false"/>
          </w:tcPr>
          <w:p>
            <w:pPr>
              <w:jc w:val="center"/>
              <w:rPr>
                <w:color w:val="auto"/>
                <w:sz w:val="24"/>
                <w:szCs w:val="24"/>
                <w:highlight w:val="none"/>
              </w:rPr>
            </w:pPr>
            <w:r>
              <w:rPr>
                <w:color w:val="auto"/>
                <w:sz w:val="24"/>
                <w:szCs w:val="24"/>
                <w:highlight w:val="none"/>
              </w:rPr>
              <w:t xml:space="preserve">2</w:t>
            </w:r>
            <w:r/>
          </w:p>
        </w:tc>
      </w:tr>
      <w:tr>
        <w:trPr>
          <w:trHeight w:val="280"/>
        </w:trPr>
        <w:tc>
          <w:tcPr>
            <w:gridSpan w:val="4"/>
            <w:tcW w:w="10343" w:type="dxa"/>
            <w:vAlign w:val="center"/>
            <w:textDirection w:val="lrTb"/>
            <w:noWrap w:val="false"/>
          </w:tcPr>
          <w:p>
            <w:pPr>
              <w:rPr>
                <w:b/>
                <w:bCs/>
                <w:color w:val="auto"/>
                <w:sz w:val="24"/>
                <w:szCs w:val="24"/>
                <w:highlight w:val="none"/>
              </w:rPr>
            </w:pPr>
            <w:r>
              <w:rPr>
                <w:rFonts w:hint="eastAsia"/>
                <w:b/>
                <w:bCs/>
                <w:color w:val="auto"/>
                <w:sz w:val="24"/>
                <w:szCs w:val="24"/>
                <w:highlight w:val="none"/>
              </w:rPr>
              <w:t xml:space="preserve">5.供应商履约能力</w:t>
            </w:r>
            <w:r/>
          </w:p>
        </w:tc>
      </w:tr>
      <w:tr>
        <w:trPr>
          <w:trHeight w:val="800"/>
        </w:trPr>
        <w:tc>
          <w:tcPr>
            <w:tcW w:w="704" w:type="dxa"/>
            <w:vAlign w:val="center"/>
            <w:textDirection w:val="lrTb"/>
            <w:noWrap w:val="false"/>
          </w:tcPr>
          <w:p>
            <w:pPr>
              <w:rPr>
                <w:color w:val="auto"/>
                <w:sz w:val="24"/>
                <w:szCs w:val="24"/>
                <w:highlight w:val="none"/>
              </w:rPr>
            </w:pPr>
            <w:r>
              <w:rPr>
                <w:rFonts w:hint="eastAsia"/>
                <w:color w:val="auto"/>
                <w:sz w:val="24"/>
                <w:szCs w:val="24"/>
                <w:highlight w:val="none"/>
              </w:rPr>
              <w:t xml:space="preserve">5.1</w:t>
            </w:r>
            <w:r/>
          </w:p>
        </w:tc>
        <w:tc>
          <w:tcPr>
            <w:tcW w:w="1701"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体系认证</w:t>
            </w:r>
            <w:r/>
          </w:p>
        </w:tc>
        <w:tc>
          <w:tcPr>
            <w:tcW w:w="6946" w:type="dxa"/>
            <w:vAlign w:val="center"/>
            <w:textDirection w:val="lrTb"/>
            <w:noWrap w:val="false"/>
          </w:tcPr>
          <w:p>
            <w:pPr>
              <w:rPr>
                <w:bCs/>
                <w:color w:val="auto"/>
                <w:sz w:val="24"/>
                <w:szCs w:val="24"/>
                <w:highlight w:val="none"/>
              </w:rPr>
            </w:pPr>
            <w:r>
              <w:rPr>
                <w:rFonts w:hint="eastAsia"/>
                <w:bCs/>
                <w:color w:val="auto"/>
                <w:sz w:val="24"/>
                <w:szCs w:val="24"/>
                <w:highlight w:val="none"/>
              </w:rPr>
              <w:t xml:space="preserve">投标人</w:t>
            </w:r>
            <w:r>
              <w:rPr>
                <w:rFonts w:hint="eastAsia"/>
                <w:color w:val="auto"/>
                <w:sz w:val="24"/>
                <w:szCs w:val="24"/>
                <w:highlight w:val="none"/>
              </w:rPr>
              <w:t xml:space="preserve">提供有效期内</w:t>
            </w:r>
            <w:r>
              <w:rPr>
                <w:rFonts w:hint="eastAsia"/>
                <w:bCs/>
                <w:color w:val="auto"/>
                <w:sz w:val="24"/>
                <w:szCs w:val="24"/>
                <w:highlight w:val="none"/>
              </w:rPr>
              <w:t xml:space="preserve">ISO20000 信息技术服务管理体系认证证书，得2分；</w:t>
            </w:r>
            <w:r/>
          </w:p>
          <w:p>
            <w:pPr>
              <w:rPr>
                <w:bCs/>
                <w:color w:val="auto"/>
                <w:sz w:val="24"/>
                <w:szCs w:val="24"/>
                <w:highlight w:val="none"/>
              </w:rPr>
            </w:pPr>
            <w:r>
              <w:rPr>
                <w:rFonts w:hint="eastAsia"/>
                <w:bCs/>
                <w:color w:val="auto"/>
                <w:sz w:val="24"/>
                <w:szCs w:val="24"/>
                <w:highlight w:val="none"/>
              </w:rPr>
              <w:t xml:space="preserve">投标人</w:t>
            </w:r>
            <w:r>
              <w:rPr>
                <w:rFonts w:hint="eastAsia"/>
                <w:color w:val="auto"/>
                <w:sz w:val="24"/>
                <w:szCs w:val="24"/>
                <w:highlight w:val="none"/>
              </w:rPr>
              <w:t xml:space="preserve">提供有效期内</w:t>
            </w:r>
            <w:r>
              <w:rPr>
                <w:rFonts w:hint="eastAsia"/>
                <w:bCs/>
                <w:color w:val="auto"/>
                <w:sz w:val="24"/>
                <w:szCs w:val="24"/>
                <w:highlight w:val="none"/>
              </w:rPr>
              <w:t xml:space="preserve">ISO27001 信息安全管理体系认证证书，得2分；</w:t>
            </w:r>
            <w:r/>
          </w:p>
          <w:p>
            <w:pPr>
              <w:rPr>
                <w:color w:val="auto"/>
                <w:sz w:val="24"/>
                <w:szCs w:val="24"/>
                <w:highlight w:val="none"/>
              </w:rPr>
            </w:pPr>
            <w:r>
              <w:rPr>
                <w:rFonts w:hint="eastAsia"/>
                <w:b/>
                <w:bCs/>
                <w:color w:val="auto"/>
                <w:sz w:val="24"/>
                <w:szCs w:val="24"/>
                <w:highlight w:val="none"/>
              </w:rPr>
              <w:t xml:space="preserve">（投标时提供上述有效期内证书复印件加盖公章，未提供不得分）。</w:t>
            </w:r>
            <w:r/>
          </w:p>
        </w:tc>
        <w:tc>
          <w:tcPr>
            <w:tcW w:w="992" w:type="dxa"/>
            <w:vAlign w:val="center"/>
            <w:textDirection w:val="lrTb"/>
            <w:noWrap w:val="false"/>
          </w:tcPr>
          <w:p>
            <w:pPr>
              <w:jc w:val="center"/>
              <w:rPr>
                <w:color w:val="auto"/>
                <w:sz w:val="24"/>
                <w:szCs w:val="24"/>
                <w:highlight w:val="none"/>
              </w:rPr>
            </w:pPr>
            <w:r>
              <w:rPr>
                <w:color w:val="auto"/>
                <w:sz w:val="24"/>
                <w:szCs w:val="24"/>
                <w:highlight w:val="none"/>
              </w:rPr>
              <w:t xml:space="preserve">4</w:t>
            </w:r>
            <w:r/>
          </w:p>
        </w:tc>
      </w:tr>
      <w:tr>
        <w:trPr>
          <w:trHeight w:val="787"/>
        </w:trPr>
        <w:tc>
          <w:tcPr>
            <w:tcW w:w="704" w:type="dxa"/>
            <w:vAlign w:val="center"/>
            <w:textDirection w:val="lrTb"/>
            <w:noWrap w:val="false"/>
          </w:tcPr>
          <w:p>
            <w:pPr>
              <w:rPr>
                <w:color w:val="auto"/>
                <w:sz w:val="24"/>
                <w:szCs w:val="24"/>
                <w:highlight w:val="none"/>
              </w:rPr>
            </w:pPr>
            <w:r>
              <w:rPr>
                <w:rFonts w:hint="eastAsia"/>
                <w:color w:val="auto"/>
                <w:sz w:val="24"/>
                <w:szCs w:val="24"/>
                <w:highlight w:val="none"/>
              </w:rPr>
              <w:t xml:space="preserve">5.2</w:t>
            </w:r>
            <w:r/>
          </w:p>
        </w:tc>
        <w:tc>
          <w:tcPr>
            <w:tcW w:w="1701"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履约能力</w:t>
            </w:r>
            <w:r/>
          </w:p>
        </w:tc>
        <w:tc>
          <w:tcPr>
            <w:tcW w:w="6946" w:type="dxa"/>
            <w:vAlign w:val="center"/>
            <w:textDirection w:val="lrTb"/>
            <w:noWrap w:val="false"/>
          </w:tcPr>
          <w:p>
            <w:pPr>
              <w:rPr>
                <w:color w:val="auto"/>
                <w:sz w:val="24"/>
                <w:szCs w:val="24"/>
                <w:highlight w:val="none"/>
              </w:rPr>
            </w:pPr>
            <w:r>
              <w:rPr>
                <w:color w:val="auto"/>
                <w:sz w:val="24"/>
                <w:szCs w:val="24"/>
                <w:highlight w:val="none"/>
              </w:rPr>
              <w:t xml:space="preserve">投标人具备运维管理类、网络质量分析类、应用性能监测类、安全监测类、性能调优类的软件著作权证书，每提供一类得</w:t>
            </w:r>
            <w:r>
              <w:rPr>
                <w:rFonts w:hint="eastAsia"/>
                <w:color w:val="auto"/>
                <w:sz w:val="24"/>
                <w:szCs w:val="24"/>
                <w:highlight w:val="none"/>
              </w:rPr>
              <w:t xml:space="preserve">1</w:t>
            </w:r>
            <w:r>
              <w:rPr>
                <w:color w:val="auto"/>
                <w:sz w:val="24"/>
                <w:szCs w:val="24"/>
                <w:highlight w:val="none"/>
              </w:rPr>
              <w:t xml:space="preserve">分，最高得</w:t>
            </w:r>
            <w:r>
              <w:rPr>
                <w:rFonts w:hint="eastAsia"/>
                <w:color w:val="auto"/>
                <w:sz w:val="24"/>
                <w:szCs w:val="24"/>
                <w:highlight w:val="none"/>
              </w:rPr>
              <w:t xml:space="preserve">5</w:t>
            </w:r>
            <w:r>
              <w:rPr>
                <w:color w:val="auto"/>
                <w:sz w:val="24"/>
                <w:szCs w:val="24"/>
                <w:highlight w:val="none"/>
              </w:rPr>
              <w:t xml:space="preserve">分，未提供不得分（提供软件著作权证书）。</w:t>
            </w:r>
            <w:r/>
          </w:p>
          <w:p>
            <w:pPr>
              <w:rPr>
                <w:color w:val="auto"/>
                <w:sz w:val="24"/>
                <w:szCs w:val="24"/>
                <w:highlight w:val="none"/>
              </w:rPr>
            </w:pPr>
            <w:r>
              <w:rPr>
                <w:color w:val="auto"/>
                <w:sz w:val="24"/>
                <w:szCs w:val="24"/>
                <w:highlight w:val="none"/>
              </w:rPr>
              <w:t xml:space="preserve">备注：所提供证书“软件名称”与评分标准给定名称不同时，应提供符合上述要求的内容（功能）说明及关键信息，否则不予认可。</w:t>
            </w:r>
            <w:r/>
          </w:p>
        </w:tc>
        <w:tc>
          <w:tcPr>
            <w:tcW w:w="992"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5</w:t>
            </w:r>
            <w:r/>
          </w:p>
        </w:tc>
      </w:tr>
      <w:tr>
        <w:trPr>
          <w:trHeight w:val="557"/>
        </w:trPr>
        <w:tc>
          <w:tcPr>
            <w:gridSpan w:val="3"/>
            <w:tcW w:w="9351"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合计：</w:t>
            </w:r>
            <w:r/>
          </w:p>
        </w:tc>
        <w:tc>
          <w:tcPr>
            <w:tcW w:w="992"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100</w:t>
            </w:r>
            <w:r/>
          </w:p>
        </w:tc>
      </w:tr>
    </w:tbl>
    <w:p>
      <w:pPr>
        <w:ind w:right="-10"/>
        <w:spacing w:line="360" w:lineRule="auto"/>
        <w:rPr>
          <w:rFonts w:ascii="宋体" w:hAnsi="宋体"/>
          <w:color w:val="auto"/>
          <w:sz w:val="4"/>
          <w:szCs w:val="2"/>
          <w:highlight w:val="none"/>
        </w:rPr>
      </w:pPr>
      <w:r>
        <w:rPr>
          <w:rFonts w:ascii="宋体" w:hAnsi="宋体"/>
          <w:color w:val="auto"/>
          <w:sz w:val="4"/>
          <w:szCs w:val="2"/>
          <w:highlight w:val="none"/>
        </w:rPr>
      </w:r>
      <w:r/>
    </w:p>
    <w:p>
      <w:pPr>
        <w:ind w:right="-10" w:firstLine="80"/>
        <w:spacing w:line="360" w:lineRule="auto"/>
        <w:rPr>
          <w:rFonts w:ascii="宋体" w:hAnsi="宋体"/>
          <w:color w:val="auto"/>
          <w:sz w:val="4"/>
          <w:szCs w:val="2"/>
          <w:highlight w:val="none"/>
        </w:rPr>
      </w:pPr>
      <w:r>
        <w:rPr>
          <w:rFonts w:ascii="宋体" w:hAnsi="宋体"/>
          <w:color w:val="auto"/>
          <w:sz w:val="4"/>
          <w:szCs w:val="2"/>
          <w:highlight w:val="none"/>
        </w:rPr>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说明：</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（1）小微企业的价格扣除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（1.2）价格扣除比例或者价格分加分比例对小型企业和微型企业同等对待，不作区分。</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（2）监狱和戒毒企业的价格扣除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（2.1）本项目对监狱和戒毒企业（简称监狱企业），给予10%的价格扣除，用扣除后的价格参与评审。</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（2.2）监狱企业需提供由省级以上监狱管理局、戒毒管理局（含新疆生产建设兵团）出具的属于监狱企业的证明文件。</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（2.3）监狱企业标准请参照《关于政府采购支持监狱企业发展有关问题的通知》（财库[2014]68号）。</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（3）残疾人福利性单位的价格扣除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（3.1）本项目对残疾人福利性单位，给予10%的价格扣除，用扣除后的价格参与评审。</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（3.2）残疾人福利单位需按照招标文件的要求提供《残疾人福利性单位声明函》。</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（3.3）残疾人福利单位标准请参照《关于促进残疾人就业政府采购政策的通知》（财库〔2017〕141号）。</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（4）监狱企业、残疾人福利单位属于小型、微型企业的，不重复享受政策。</w:t>
      </w:r>
      <w:r/>
    </w:p>
    <w:p>
      <w:pPr>
        <w:ind w:firstLine="420"/>
        <w:spacing w:line="360" w:lineRule="auto"/>
        <w:rPr>
          <w:rFonts w:ascii="宋体" w:hAnsi="宋体" w:cs="宋体"/>
          <w:color w:val="auto"/>
          <w:sz w:val="24"/>
          <w:szCs w:val="24"/>
          <w:highlight w:val="none"/>
        </w:rPr>
      </w:pPr>
      <w:r>
        <w:rPr>
          <w:rFonts w:hint="eastAsia" w:ascii="宋体" w:hAnsi="宋体"/>
          <w:color w:val="auto"/>
          <w:sz w:val="24"/>
          <w:szCs w:val="24"/>
          <w:highlight w:val="none"/>
        </w:rPr>
        <w:t xml:space="preserve">（5）</w:t>
      </w:r>
      <w:r>
        <w:rPr>
          <w:rFonts w:ascii="宋体" w:hAnsi="宋体" w:cs="宋体"/>
          <w:color w:val="auto"/>
          <w:sz w:val="24"/>
          <w:szCs w:val="24"/>
          <w:highlight w:val="none"/>
        </w:rPr>
        <w:t xml:space="preserve">节能环保产品价格扣除</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（1）对投标产品属于《节能产品政府采购清单》或《环境标志产品政府采购清单》的，在评审时给予5%的价格扣除，用扣除后的价格参与评审。若同一产品同时符合节能和环保要求，不重复扣除。</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（2）投标人须提供：</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① 国家认可的节能/环境标志产品认证证书；</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② 产品在最新政府采购清单中的截图或官方查询结果。</w:t>
      </w:r>
      <w:r/>
    </w:p>
    <w:p>
      <w:pPr>
        <w:ind w:left="719" w:right="-10" w:hanging="24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w:t>
      </w:r>
      <w:r>
        <w:rPr>
          <w:rFonts w:hint="eastAsia" w:ascii="宋体" w:hAnsi="宋体"/>
          <w:b/>
          <w:bCs/>
          <w:color w:val="auto"/>
          <w:sz w:val="24"/>
          <w:szCs w:val="24"/>
          <w:highlight w:val="none"/>
        </w:rPr>
        <w:t xml:space="preserve">所有认证、证明和业绩均以复印件加盖公章作为依据（文件中明确要求原件的除外），原件标后备查</w:t>
      </w:r>
      <w:r>
        <w:rPr>
          <w:rFonts w:hint="eastAsia" w:ascii="宋体" w:hAnsi="宋体"/>
          <w:color w:val="auto"/>
          <w:sz w:val="24"/>
          <w:szCs w:val="24"/>
          <w:highlight w:val="none"/>
        </w:rPr>
        <w:t xml:space="preserve">。</w:t>
      </w:r>
      <w:r/>
    </w:p>
    <w:p>
      <w:pPr>
        <w:ind w:right="-1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3、评标结果。</w:t>
      </w:r>
      <w:r>
        <w:rPr>
          <w:rFonts w:hint="eastAsia" w:ascii="宋体" w:hAnsi="宋体"/>
          <w:color w:val="auto"/>
          <w:sz w:val="24"/>
          <w:szCs w:val="24"/>
          <w:highlight w:val="none"/>
        </w:rPr>
        <w:t xml:space="preserve">评标委员会按照本办法规定推荐中标候选人，并形成评标报告。</w:t>
      </w:r>
      <w:r/>
    </w:p>
    <w:p>
      <w:pPr>
        <w:rPr>
          <w:rStyle w:val="852"/>
          <w:b w:val="0"/>
          <w:color w:val="auto"/>
          <w:highlight w:val="none"/>
        </w:rPr>
        <w:outlineLvl w:val="0"/>
      </w:pPr>
      <w:r>
        <w:rPr>
          <w:b w:val="0"/>
          <w:color w:val="auto"/>
          <w:highlight w:val="none"/>
        </w:rPr>
      </w:r>
      <w:r/>
    </w:p>
    <w:p>
      <w:pPr>
        <w:jc w:val="center"/>
        <w:rPr>
          <w:rStyle w:val="852"/>
          <w:b w:val="0"/>
          <w:color w:val="auto"/>
          <w:highlight w:val="none"/>
        </w:rPr>
        <w:outlineLvl w:val="0"/>
      </w:pPr>
      <w:r>
        <w:rPr>
          <w:b w:val="0"/>
          <w:color w:val="auto"/>
          <w:highlight w:val="none"/>
        </w:rPr>
      </w:r>
      <w:r/>
    </w:p>
    <w:p>
      <w:pPr>
        <w:pStyle w:val="812"/>
        <w:rPr>
          <w:rStyle w:val="852"/>
          <w:b w:val="0"/>
          <w:color w:val="auto"/>
          <w:highlight w:val="none"/>
        </w:rPr>
      </w:pPr>
      <w:r>
        <w:rPr>
          <w:b w:val="0"/>
          <w:color w:val="auto"/>
          <w:highlight w:val="none"/>
        </w:rPr>
      </w:r>
      <w:r/>
    </w:p>
    <w:p>
      <w:pPr>
        <w:pStyle w:val="812"/>
        <w:ind w:firstLine="0"/>
        <w:rPr>
          <w:rStyle w:val="852"/>
          <w:b w:val="0"/>
          <w:color w:val="auto"/>
          <w:highlight w:val="none"/>
        </w:rPr>
      </w:pPr>
      <w:r>
        <w:rPr>
          <w:b w:val="0"/>
          <w:color w:val="auto"/>
          <w:highlight w:val="none"/>
        </w:rPr>
      </w:r>
      <w:r/>
    </w:p>
    <w:p>
      <w:pPr>
        <w:rPr>
          <w:rStyle w:val="852"/>
          <w:b w:val="0"/>
          <w:color w:val="auto"/>
          <w:highlight w:val="none"/>
        </w:rPr>
      </w:pPr>
      <w:r/>
      <w:bookmarkStart w:id="149" w:name="_Toc8891"/>
      <w:r/>
      <w:bookmarkStart w:id="150" w:name="_Toc23169"/>
      <w:r>
        <w:rPr>
          <w:rStyle w:val="852"/>
          <w:rFonts w:hint="eastAsia"/>
          <w:b w:val="0"/>
          <w:color w:val="auto"/>
          <w:highlight w:val="none"/>
        </w:rPr>
        <w:br w:type="page" w:clear="all"/>
      </w:r>
      <w:r/>
    </w:p>
    <w:p>
      <w:pPr>
        <w:numPr>
          <w:ilvl w:val="0"/>
          <w:numId w:val="8"/>
        </w:numPr>
        <w:rPr>
          <w:rStyle w:val="852"/>
          <w:b w:val="0"/>
          <w:color w:val="auto"/>
          <w:highlight w:val="none"/>
        </w:rPr>
        <w:outlineLvl w:val="0"/>
      </w:pPr>
      <w:r>
        <w:rPr>
          <w:rStyle w:val="852"/>
          <w:rFonts w:hint="eastAsia"/>
          <w:b w:val="0"/>
          <w:color w:val="auto"/>
          <w:highlight w:val="none"/>
        </w:rPr>
        <w:t xml:space="preserve">采购需求</w:t>
      </w:r>
      <w:bookmarkEnd w:id="147"/>
      <w:r/>
      <w:bookmarkEnd w:id="149"/>
      <w:r/>
      <w:bookmarkEnd w:id="150"/>
      <w:r/>
      <w:bookmarkStart w:id="151" w:name="_Toc514054482"/>
      <w:r/>
      <w:r/>
    </w:p>
    <w:p>
      <w:pPr>
        <w:jc w:val="left"/>
        <w:spacing w:line="276" w:lineRule="auto"/>
        <w:widowControl/>
        <w:tabs>
          <w:tab w:val="left" w:pos="720" w:leader="none"/>
        </w:tabs>
        <w:rPr>
          <w:rFonts w:ascii="宋体" w:hAnsi="宋体" w:cs="宋体"/>
          <w:b/>
          <w:bCs/>
          <w:color w:val="auto"/>
          <w:sz w:val="24"/>
          <w:szCs w:val="24"/>
          <w:highlight w:val="none"/>
        </w:rPr>
        <w:outlineLvl w:val="1"/>
      </w:pPr>
      <w:r/>
      <w:bookmarkStart w:id="152" w:name="_Toc311"/>
      <w:r/>
      <w:bookmarkStart w:id="153" w:name="_Toc32119"/>
      <w:r/>
      <w:r/>
    </w:p>
    <w:p>
      <w:pPr>
        <w:spacing w:line="360" w:lineRule="auto"/>
        <w:rPr>
          <w:b/>
          <w:bCs/>
          <w:color w:val="auto"/>
          <w:sz w:val="28"/>
          <w:szCs w:val="32"/>
          <w:highlight w:val="none"/>
        </w:rPr>
        <w:outlineLvl w:val="1"/>
      </w:pPr>
      <w:r>
        <w:rPr>
          <w:rFonts w:hint="eastAsia"/>
          <w:b/>
          <w:bCs/>
          <w:color w:val="auto"/>
          <w:sz w:val="28"/>
          <w:szCs w:val="32"/>
          <w:highlight w:val="none"/>
        </w:rPr>
        <w:t xml:space="preserve">一、项目概况</w:t>
      </w:r>
      <w:r/>
    </w:p>
    <w:p>
      <w:pPr>
        <w:spacing w:line="360" w:lineRule="auto"/>
        <w:rPr>
          <w:color w:val="auto"/>
          <w:sz w:val="24"/>
          <w:szCs w:val="24"/>
          <w:highlight w:val="none"/>
        </w:rPr>
      </w:pPr>
      <w:r>
        <w:rPr>
          <w:color w:val="auto"/>
          <w:sz w:val="22"/>
          <w:highlight w:val="none"/>
        </w:rPr>
        <w:tab/>
      </w:r>
      <w:r>
        <w:rPr>
          <w:rFonts w:hint="eastAsia"/>
          <w:color w:val="auto"/>
          <w:sz w:val="24"/>
          <w:szCs w:val="24"/>
          <w:highlight w:val="none"/>
        </w:rPr>
        <w:t xml:space="preserve">南</w:t>
      </w:r>
      <w:r>
        <w:rPr>
          <w:rFonts w:hint="eastAsia"/>
          <w:color w:val="auto"/>
          <w:sz w:val="24"/>
          <w:szCs w:val="24"/>
          <w:highlight w:val="none"/>
          <w:lang w:val="zh-TW"/>
        </w:rPr>
        <w:t xml:space="preserve">京鼓楼医院信息化网络资源主要包含1、2、3、5号楼和南扩楼和北院网络等</w:t>
      </w:r>
      <w:r>
        <w:rPr>
          <w:rFonts w:hint="eastAsia"/>
          <w:color w:val="auto"/>
          <w:sz w:val="24"/>
          <w:szCs w:val="24"/>
          <w:highlight w:val="none"/>
        </w:rPr>
        <w:t xml:space="preserve">机房</w:t>
      </w:r>
      <w:r>
        <w:rPr>
          <w:color w:val="auto"/>
          <w:sz w:val="24"/>
          <w:szCs w:val="24"/>
          <w:highlight w:val="none"/>
          <w:lang w:val="zh-TW"/>
        </w:rPr>
        <w:t xml:space="preserve">相关软硬</w:t>
      </w:r>
      <w:r>
        <w:rPr>
          <w:rFonts w:hint="eastAsia"/>
          <w:color w:val="auto"/>
          <w:sz w:val="24"/>
          <w:szCs w:val="24"/>
          <w:highlight w:val="none"/>
          <w:lang w:val="zh-TW"/>
        </w:rPr>
        <w:t xml:space="preserve">件</w:t>
      </w:r>
      <w:r>
        <w:rPr>
          <w:color w:val="auto"/>
          <w:sz w:val="24"/>
          <w:szCs w:val="24"/>
          <w:highlight w:val="none"/>
          <w:lang w:val="zh-TW" w:eastAsia="zh-TW"/>
        </w:rPr>
        <w:t xml:space="preserve">设备</w:t>
      </w:r>
      <w:r>
        <w:rPr>
          <w:rFonts w:hint="eastAsia"/>
          <w:color w:val="auto"/>
          <w:sz w:val="24"/>
          <w:szCs w:val="24"/>
          <w:highlight w:val="none"/>
          <w:lang w:val="zh-TW"/>
        </w:rPr>
        <w:t xml:space="preserve">设施</w:t>
      </w:r>
      <w:r>
        <w:rPr>
          <w:rFonts w:hint="eastAsia"/>
          <w:color w:val="auto"/>
          <w:sz w:val="24"/>
          <w:szCs w:val="24"/>
          <w:highlight w:val="none"/>
        </w:rPr>
        <w:t xml:space="preserve">和</w:t>
      </w:r>
      <w:r>
        <w:rPr>
          <w:color w:val="auto"/>
          <w:sz w:val="24"/>
          <w:szCs w:val="24"/>
          <w:highlight w:val="none"/>
          <w:lang w:val="zh-TW"/>
        </w:rPr>
        <w:t xml:space="preserve">环境，</w:t>
      </w:r>
      <w:r>
        <w:rPr>
          <w:rFonts w:hint="eastAsia"/>
          <w:color w:val="auto"/>
          <w:sz w:val="24"/>
          <w:szCs w:val="24"/>
          <w:highlight w:val="none"/>
          <w:lang w:val="zh-TW"/>
        </w:rPr>
        <w:t xml:space="preserve">以及网络综合布线系统</w:t>
      </w:r>
      <w:r>
        <w:rPr>
          <w:color w:val="auto"/>
          <w:sz w:val="24"/>
          <w:szCs w:val="24"/>
          <w:highlight w:val="none"/>
          <w:lang w:val="zh-TW"/>
        </w:rPr>
        <w:t xml:space="preserve">。</w:t>
      </w:r>
      <w:r>
        <w:rPr>
          <w:rFonts w:hint="eastAsia"/>
          <w:color w:val="auto"/>
          <w:sz w:val="24"/>
          <w:szCs w:val="24"/>
          <w:highlight w:val="none"/>
          <w:lang w:val="zh-TW"/>
        </w:rPr>
        <w:t xml:space="preserve">网络资源作为承载南京南京鼓楼医院业务系统的基础设施，软</w:t>
      </w:r>
      <w:r>
        <w:rPr>
          <w:color w:val="auto"/>
          <w:sz w:val="24"/>
          <w:szCs w:val="24"/>
          <w:highlight w:val="none"/>
          <w:lang w:val="zh-TW"/>
        </w:rPr>
        <w:t xml:space="preserve">硬件</w:t>
      </w:r>
      <w:r>
        <w:rPr>
          <w:rFonts w:hint="eastAsia"/>
          <w:color w:val="auto"/>
          <w:sz w:val="24"/>
          <w:szCs w:val="24"/>
          <w:highlight w:val="none"/>
          <w:lang w:val="zh-TW"/>
        </w:rPr>
        <w:t xml:space="preserve">系统稳定、高效、持续运行直接关系到医院</w:t>
      </w:r>
      <w:r>
        <w:rPr>
          <w:color w:val="auto"/>
          <w:sz w:val="24"/>
          <w:szCs w:val="24"/>
          <w:highlight w:val="none"/>
          <w:lang w:val="zh-TW"/>
        </w:rPr>
        <w:t xml:space="preserve">业务的正常流转</w:t>
      </w:r>
      <w:r>
        <w:rPr>
          <w:rFonts w:hint="eastAsia"/>
          <w:color w:val="auto"/>
          <w:sz w:val="24"/>
          <w:szCs w:val="24"/>
          <w:highlight w:val="none"/>
          <w:lang w:val="zh-TW"/>
        </w:rPr>
        <w:t xml:space="preserve">，专业的运维服务显得越来越重要。现上述软硬件系统</w:t>
      </w:r>
      <w:r>
        <w:rPr>
          <w:rFonts w:hint="eastAsia"/>
          <w:color w:val="auto"/>
          <w:sz w:val="24"/>
          <w:szCs w:val="24"/>
          <w:highlight w:val="none"/>
          <w:lang w:val="zh-TW" w:eastAsia="zh-TW"/>
        </w:rPr>
        <w:t xml:space="preserve">运维已到期，需要新购一年的</w:t>
      </w:r>
      <w:r>
        <w:rPr>
          <w:rFonts w:hint="eastAsia"/>
          <w:color w:val="auto"/>
          <w:sz w:val="24"/>
          <w:szCs w:val="24"/>
          <w:highlight w:val="none"/>
          <w:lang w:val="zh-TW"/>
        </w:rPr>
        <w:t xml:space="preserve">技术维护</w:t>
      </w:r>
      <w:r>
        <w:rPr>
          <w:rFonts w:hint="eastAsia"/>
          <w:color w:val="auto"/>
          <w:sz w:val="24"/>
          <w:szCs w:val="24"/>
          <w:highlight w:val="none"/>
          <w:lang w:val="zh-TW" w:eastAsia="zh-TW"/>
        </w:rPr>
        <w:t xml:space="preserve">服务，以保</w:t>
      </w:r>
      <w:r>
        <w:rPr>
          <w:rFonts w:hint="eastAsia"/>
          <w:color w:val="auto"/>
          <w:sz w:val="24"/>
          <w:szCs w:val="24"/>
          <w:highlight w:val="none"/>
          <w:lang w:val="zh-TW"/>
        </w:rPr>
        <w:t xml:space="preserve">障南京鼓楼医院息化</w:t>
      </w:r>
      <w:r>
        <w:rPr>
          <w:rFonts w:hint="eastAsia"/>
          <w:color w:val="auto"/>
          <w:sz w:val="24"/>
          <w:szCs w:val="24"/>
          <w:highlight w:val="none"/>
          <w:lang w:val="zh-TW" w:eastAsia="zh-TW"/>
        </w:rPr>
        <w:t xml:space="preserve">系统的正常运行</w:t>
      </w:r>
      <w:r>
        <w:rPr>
          <w:rFonts w:hint="eastAsia"/>
          <w:color w:val="auto"/>
          <w:sz w:val="24"/>
          <w:szCs w:val="24"/>
          <w:highlight w:val="none"/>
          <w:lang w:val="zh-TW"/>
        </w:rPr>
        <w:t xml:space="preserve">。</w:t>
      </w:r>
      <w:r/>
    </w:p>
    <w:p>
      <w:pPr>
        <w:spacing w:line="360" w:lineRule="auto"/>
        <w:rPr>
          <w:b/>
          <w:bCs/>
          <w:color w:val="auto"/>
          <w:sz w:val="28"/>
          <w:szCs w:val="32"/>
          <w:highlight w:val="none"/>
        </w:rPr>
        <w:outlineLvl w:val="1"/>
      </w:pPr>
      <w:r>
        <w:rPr>
          <w:rFonts w:hint="eastAsia"/>
          <w:b/>
          <w:bCs/>
          <w:color w:val="auto"/>
          <w:sz w:val="28"/>
          <w:szCs w:val="32"/>
          <w:highlight w:val="none"/>
        </w:rPr>
        <w:t xml:space="preserve">二、项目需求清单</w:t>
      </w:r>
      <w:r/>
    </w:p>
    <w:tbl>
      <w:tblPr>
        <w:tblStyle w:val="776"/>
        <w:tblW w:w="8784" w:type="dxa"/>
        <w:jc w:val="center"/>
        <w:tblLayout w:type="fixed"/>
        <w:tblCellMar>
          <w:left w:w="108" w:type="dxa"/>
          <w:top w:w="0" w:type="dxa"/>
          <w:right w:w="108" w:type="dxa"/>
          <w:bottom w:w="0" w:type="dxa"/>
        </w:tblCellMar>
        <w:tblLook w:val="04A0" w:firstRow="1" w:lastRow="0" w:firstColumn="1" w:lastColumn="0" w:noHBand="0" w:noVBand="1"/>
      </w:tblPr>
      <w:tblGrid>
        <w:gridCol w:w="704"/>
        <w:gridCol w:w="3119"/>
        <w:gridCol w:w="850"/>
        <w:gridCol w:w="709"/>
        <w:gridCol w:w="2745"/>
        <w:gridCol w:w="657"/>
      </w:tblGrid>
      <w:tr>
        <w:trPr>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cstheme="minorBidi"/>
                <w:b/>
                <w:bCs/>
                <w:color w:val="auto"/>
                <w:sz w:val="24"/>
                <w:szCs w:val="24"/>
                <w:highlight w:val="none"/>
              </w:rPr>
            </w:pPr>
            <w:r>
              <w:rPr>
                <w:rFonts w:hint="eastAsia" w:cstheme="minorBidi"/>
                <w:b/>
                <w:bCs/>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jc w:val="center"/>
              <w:spacing w:line="360" w:lineRule="auto"/>
              <w:rPr>
                <w:rFonts w:cstheme="minorBidi"/>
                <w:b/>
                <w:bCs/>
                <w:color w:val="auto"/>
                <w:sz w:val="24"/>
                <w:szCs w:val="24"/>
                <w:highlight w:val="none"/>
              </w:rPr>
            </w:pPr>
            <w:r>
              <w:rPr>
                <w:rFonts w:hint="eastAsia" w:cstheme="minorBidi"/>
                <w:b/>
                <w:bCs/>
                <w:color w:val="auto"/>
                <w:sz w:val="24"/>
                <w:szCs w:val="24"/>
                <w:highlight w:val="none"/>
              </w:rPr>
              <w:t xml:space="preserve">标的名称</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cstheme="minorBidi"/>
                <w:b/>
                <w:bCs/>
                <w:color w:val="auto"/>
                <w:sz w:val="24"/>
                <w:szCs w:val="24"/>
                <w:highlight w:val="none"/>
              </w:rPr>
            </w:pPr>
            <w:r>
              <w:rPr>
                <w:rFonts w:hint="eastAsia" w:cstheme="minorBidi"/>
                <w:b/>
                <w:bCs/>
                <w:color w:val="auto"/>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cstheme="minorBidi"/>
                <w:b/>
                <w:bCs/>
                <w:color w:val="auto"/>
                <w:sz w:val="24"/>
                <w:szCs w:val="24"/>
                <w:highlight w:val="none"/>
              </w:rPr>
            </w:pPr>
            <w:r>
              <w:rPr>
                <w:rFonts w:hint="eastAsia" w:cstheme="minorBidi"/>
                <w:b/>
                <w:bCs/>
                <w:color w:val="auto"/>
                <w:sz w:val="24"/>
                <w:szCs w:val="24"/>
                <w:highlight w:val="none"/>
              </w:rPr>
              <w:t xml:space="preserve">单位</w:t>
            </w:r>
            <w:r/>
          </w:p>
        </w:tc>
        <w:tc>
          <w:tcPr>
            <w:tcBorders>
              <w:top w:val="single" w:color="auto" w:sz="4" w:space="0"/>
              <w:left w:val="single" w:color="auto" w:sz="4" w:space="0"/>
              <w:bottom w:val="single" w:color="auto" w:sz="4" w:space="0"/>
              <w:right w:val="single" w:color="auto" w:sz="4" w:space="0"/>
            </w:tcBorders>
            <w:tcW w:w="2745" w:type="dxa"/>
            <w:vAlign w:val="center"/>
            <w:textDirection w:val="lrTb"/>
            <w:noWrap w:val="false"/>
          </w:tcPr>
          <w:p>
            <w:pPr>
              <w:jc w:val="center"/>
              <w:spacing w:line="360" w:lineRule="auto"/>
              <w:rPr>
                <w:rFonts w:cstheme="minorBidi"/>
                <w:b/>
                <w:bCs/>
                <w:color w:val="auto"/>
                <w:sz w:val="24"/>
                <w:szCs w:val="24"/>
                <w:highlight w:val="none"/>
              </w:rPr>
            </w:pPr>
            <w:r>
              <w:rPr>
                <w:rFonts w:hint="eastAsia" w:cstheme="minorBidi"/>
                <w:b/>
                <w:bCs/>
                <w:color w:val="auto"/>
                <w:sz w:val="24"/>
                <w:szCs w:val="24"/>
                <w:highlight w:val="none"/>
              </w:rPr>
              <w:t xml:space="preserve">采购标的所属行业</w:t>
            </w:r>
            <w:r/>
          </w:p>
        </w:tc>
        <w:tc>
          <w:tcPr>
            <w:tcBorders>
              <w:top w:val="single" w:color="auto" w:sz="4" w:space="0"/>
              <w:left w:val="single" w:color="auto" w:sz="4" w:space="0"/>
              <w:bottom w:val="single" w:color="auto" w:sz="4" w:space="0"/>
              <w:right w:val="single" w:color="auto" w:sz="4" w:space="0"/>
            </w:tcBorders>
            <w:tcW w:w="657" w:type="dxa"/>
            <w:textDirection w:val="lrTb"/>
            <w:noWrap w:val="false"/>
          </w:tcPr>
          <w:p>
            <w:pPr>
              <w:jc w:val="center"/>
              <w:spacing w:line="360" w:lineRule="auto"/>
              <w:rPr>
                <w:rFonts w:cstheme="minorBidi"/>
                <w:b/>
                <w:bCs/>
                <w:color w:val="auto"/>
                <w:sz w:val="24"/>
                <w:szCs w:val="24"/>
                <w:highlight w:val="none"/>
              </w:rPr>
            </w:pPr>
            <w:r>
              <w:rPr>
                <w:rFonts w:hint="eastAsia" w:cstheme="minorBidi"/>
                <w:b/>
                <w:bCs/>
                <w:color w:val="auto"/>
                <w:sz w:val="24"/>
                <w:szCs w:val="24"/>
                <w:highlight w:val="none"/>
              </w:rPr>
              <w:t xml:space="preserve">属性</w:t>
            </w:r>
            <w:r/>
          </w:p>
        </w:tc>
      </w:tr>
      <w:tr>
        <w:trPr>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cstheme="minorBidi"/>
                <w:color w:val="auto"/>
                <w:sz w:val="24"/>
                <w:szCs w:val="24"/>
                <w:highlight w:val="none"/>
              </w:rPr>
            </w:pPr>
            <w:r>
              <w:rPr>
                <w:rFonts w:hint="eastAsia" w:cstheme="minorBidi"/>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jc w:val="center"/>
              <w:spacing w:line="360" w:lineRule="auto"/>
              <w:rPr>
                <w:rFonts w:cstheme="minorBidi"/>
                <w:color w:val="auto"/>
                <w:sz w:val="24"/>
                <w:szCs w:val="24"/>
                <w:highlight w:val="none"/>
              </w:rPr>
            </w:pPr>
            <w:r>
              <w:rPr>
                <w:rFonts w:hint="eastAsia" w:cstheme="minorBidi"/>
                <w:color w:val="auto"/>
                <w:sz w:val="24"/>
                <w:szCs w:val="24"/>
                <w:highlight w:val="none"/>
              </w:rPr>
              <w:t xml:space="preserve">2026</w:t>
            </w:r>
            <w:r>
              <w:rPr>
                <w:rFonts w:cstheme="minorBidi"/>
                <w:color w:val="auto"/>
                <w:sz w:val="24"/>
                <w:szCs w:val="24"/>
                <w:highlight w:val="none"/>
              </w:rPr>
              <w:t xml:space="preserve">-2029</w:t>
            </w:r>
            <w:bookmarkStart w:id="275" w:name="_GoBack"/>
            <w:r>
              <w:rPr>
                <w:rFonts w:hint="eastAsia" w:cstheme="minorBidi"/>
                <w:color w:val="auto"/>
                <w:sz w:val="24"/>
                <w:szCs w:val="24"/>
                <w:highlight w:val="none"/>
              </w:rPr>
              <w:t xml:space="preserve">年度网络及设备维保服务</w:t>
            </w:r>
            <w:bookmarkEnd w:id="275"/>
            <w:r>
              <w:rPr>
                <w:rFonts w:cstheme="minorBidi"/>
                <w:color w:val="auto"/>
                <w:sz w:val="24"/>
                <w:szCs w:val="24"/>
                <w:highlight w:val="none"/>
              </w:rPr>
              <w:t xml:space="preserve">(</w:t>
            </w:r>
            <w:r>
              <w:rPr>
                <w:rFonts w:hint="eastAsia" w:cstheme="minorBidi"/>
                <w:color w:val="auto"/>
                <w:sz w:val="24"/>
                <w:szCs w:val="24"/>
                <w:highlight w:val="none"/>
              </w:rPr>
              <w:t xml:space="preserve">三年</w:t>
            </w:r>
            <w:r>
              <w:rPr>
                <w:rFonts w:cstheme="minorBidi"/>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cstheme="minorBidi"/>
                <w:color w:val="auto"/>
                <w:sz w:val="24"/>
                <w:szCs w:val="24"/>
                <w:highlight w:val="none"/>
              </w:rPr>
            </w:pPr>
            <w:r>
              <w:rPr>
                <w:rFonts w:hint="eastAsia" w:cstheme="minorBidi"/>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cstheme="minorBidi"/>
                <w:color w:val="auto"/>
                <w:sz w:val="24"/>
                <w:szCs w:val="24"/>
                <w:highlight w:val="none"/>
              </w:rPr>
            </w:pPr>
            <w:r>
              <w:rPr>
                <w:rFonts w:hint="eastAsia" w:cstheme="minorBidi"/>
                <w:color w:val="auto"/>
                <w:sz w:val="24"/>
                <w:szCs w:val="24"/>
                <w:highlight w:val="none"/>
              </w:rPr>
              <w:t xml:space="preserve">项</w:t>
            </w:r>
            <w:r/>
          </w:p>
        </w:tc>
        <w:tc>
          <w:tcPr>
            <w:tcBorders>
              <w:top w:val="single" w:color="auto" w:sz="4" w:space="0"/>
              <w:left w:val="single" w:color="auto" w:sz="4" w:space="0"/>
              <w:bottom w:val="single" w:color="auto" w:sz="4" w:space="0"/>
              <w:right w:val="single" w:color="auto" w:sz="4" w:space="0"/>
            </w:tcBorders>
            <w:tcW w:w="2745" w:type="dxa"/>
            <w:vAlign w:val="center"/>
            <w:textDirection w:val="lrTb"/>
            <w:noWrap w:val="false"/>
          </w:tcPr>
          <w:p>
            <w:pPr>
              <w:jc w:val="center"/>
              <w:spacing w:line="360" w:lineRule="auto"/>
              <w:rPr>
                <w:rFonts w:cstheme="minorBidi"/>
                <w:color w:val="auto"/>
                <w:sz w:val="24"/>
                <w:szCs w:val="24"/>
                <w:highlight w:val="none"/>
              </w:rPr>
            </w:pPr>
            <w:r>
              <w:rPr>
                <w:rFonts w:hint="eastAsia" w:cstheme="minorBidi"/>
                <w:color w:val="auto"/>
                <w:sz w:val="24"/>
                <w:szCs w:val="24"/>
                <w:highlight w:val="none"/>
              </w:rPr>
              <w:t xml:space="preserve">软件和信息技术服务业</w:t>
            </w:r>
            <w:r/>
          </w:p>
        </w:tc>
        <w:tc>
          <w:tcPr>
            <w:tcBorders>
              <w:top w:val="single" w:color="auto" w:sz="4" w:space="0"/>
              <w:left w:val="single" w:color="auto" w:sz="4" w:space="0"/>
              <w:bottom w:val="single" w:color="auto" w:sz="4" w:space="0"/>
              <w:right w:val="single" w:color="auto" w:sz="4" w:space="0"/>
            </w:tcBorders>
            <w:tcW w:w="657" w:type="dxa"/>
            <w:vAlign w:val="center"/>
            <w:textDirection w:val="lrTb"/>
            <w:noWrap w:val="false"/>
          </w:tcPr>
          <w:p>
            <w:pPr>
              <w:jc w:val="center"/>
              <w:spacing w:line="360" w:lineRule="auto"/>
              <w:rPr>
                <w:rFonts w:cstheme="minorBidi"/>
                <w:color w:val="auto"/>
                <w:sz w:val="24"/>
                <w:szCs w:val="24"/>
                <w:highlight w:val="none"/>
              </w:rPr>
            </w:pPr>
            <w:r>
              <w:rPr>
                <w:rFonts w:hint="eastAsia" w:cstheme="minorBidi"/>
                <w:color w:val="auto"/>
                <w:sz w:val="24"/>
                <w:szCs w:val="24"/>
                <w:highlight w:val="none"/>
              </w:rPr>
              <w:t xml:space="preserve">服务</w:t>
            </w:r>
            <w:r/>
          </w:p>
        </w:tc>
      </w:tr>
    </w:tbl>
    <w:p>
      <w:pPr>
        <w:spacing w:before="120" w:line="360" w:lineRule="auto"/>
        <w:rPr>
          <w:b/>
          <w:bCs/>
          <w:color w:val="auto"/>
          <w:sz w:val="28"/>
          <w:szCs w:val="32"/>
          <w:highlight w:val="none"/>
        </w:rPr>
        <w:outlineLvl w:val="1"/>
      </w:pPr>
      <w:r>
        <w:rPr>
          <w:rFonts w:hint="eastAsia"/>
          <w:b/>
          <w:bCs/>
          <w:color w:val="auto"/>
          <w:sz w:val="28"/>
          <w:szCs w:val="32"/>
          <w:highlight w:val="none"/>
        </w:rPr>
        <w:t xml:space="preserve">三、技术部分要求</w:t>
      </w:r>
      <w:r/>
    </w:p>
    <w:p>
      <w:pPr>
        <w:spacing w:before="120" w:line="360" w:lineRule="auto"/>
        <w:rPr>
          <w:b/>
          <w:color w:val="auto"/>
          <w:sz w:val="24"/>
          <w:szCs w:val="24"/>
          <w:highlight w:val="none"/>
        </w:rPr>
      </w:pPr>
      <w:r>
        <w:rPr>
          <w:rFonts w:hint="eastAsia"/>
          <w:b/>
          <w:color w:val="auto"/>
          <w:sz w:val="24"/>
          <w:szCs w:val="24"/>
          <w:highlight w:val="none"/>
        </w:rPr>
        <w:t xml:space="preserve">维保</w:t>
      </w:r>
      <w:r>
        <w:rPr>
          <w:b/>
          <w:color w:val="auto"/>
          <w:sz w:val="24"/>
          <w:szCs w:val="24"/>
          <w:highlight w:val="none"/>
        </w:rPr>
        <w:t xml:space="preserve">清单</w:t>
      </w:r>
      <w:r>
        <w:rPr>
          <w:rFonts w:hint="eastAsia"/>
          <w:b/>
          <w:color w:val="auto"/>
          <w:sz w:val="24"/>
          <w:szCs w:val="24"/>
          <w:highlight w:val="none"/>
        </w:rPr>
        <w:t xml:space="preserve">：</w:t>
      </w:r>
      <w:r/>
    </w:p>
    <w:p>
      <w:pPr>
        <w:rPr>
          <w:b/>
          <w:color w:val="auto"/>
          <w:sz w:val="24"/>
          <w:szCs w:val="24"/>
          <w:highlight w:val="none"/>
        </w:rPr>
      </w:pPr>
      <w:r>
        <w:rPr>
          <w:b/>
          <w:color w:val="auto"/>
          <w:sz w:val="24"/>
          <w:szCs w:val="24"/>
          <w:highlight w:val="none"/>
        </w:rPr>
        <w:t xml:space="preserve">1</w:t>
      </w:r>
      <w:r>
        <w:rPr>
          <w:rFonts w:hint="eastAsia"/>
          <w:b/>
          <w:color w:val="auto"/>
          <w:sz w:val="24"/>
          <w:szCs w:val="24"/>
          <w:highlight w:val="none"/>
        </w:rPr>
        <w:t xml:space="preserve">、</w:t>
      </w:r>
      <w:r>
        <w:rPr>
          <w:rFonts w:hint="eastAsia"/>
          <w:b/>
          <w:bCs/>
          <w:color w:val="auto"/>
          <w:sz w:val="24"/>
          <w:szCs w:val="24"/>
          <w:highlight w:val="none"/>
        </w:rPr>
        <w:t xml:space="preserve">设备续保维修服务</w:t>
      </w:r>
      <w:r/>
    </w:p>
    <w:tbl>
      <w:tblPr>
        <w:tblStyle w:val="1047"/>
        <w:tblW w:w="102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9"/>
        <w:gridCol w:w="867"/>
        <w:gridCol w:w="8505"/>
      </w:tblGrid>
      <w:tr>
        <w:trPr>
          <w:jc w:val="center"/>
          <w:trHeight w:val="416"/>
        </w:trPr>
        <w:tc>
          <w:tcPr>
            <w:tcW w:w="829" w:type="dxa"/>
            <w:vAlign w:val="center"/>
            <w:textDirection w:val="lrTb"/>
            <w:noWrap w:val="false"/>
          </w:tcPr>
          <w:p>
            <w:pPr>
              <w:rPr>
                <w:b/>
                <w:color w:val="auto"/>
                <w:sz w:val="24"/>
                <w:szCs w:val="24"/>
                <w:highlight w:val="none"/>
              </w:rPr>
            </w:pPr>
            <w:r>
              <w:rPr>
                <w:rFonts w:hint="eastAsia"/>
                <w:b/>
                <w:color w:val="auto"/>
                <w:sz w:val="24"/>
                <w:szCs w:val="24"/>
                <w:highlight w:val="none"/>
              </w:rPr>
              <w:t xml:space="preserve">序号</w:t>
            </w:r>
            <w:r/>
          </w:p>
        </w:tc>
        <w:tc>
          <w:tcPr>
            <w:tcW w:w="867" w:type="dxa"/>
            <w:vAlign w:val="center"/>
            <w:textDirection w:val="lrTb"/>
            <w:noWrap w:val="false"/>
          </w:tcPr>
          <w:p>
            <w:pPr>
              <w:rPr>
                <w:b/>
                <w:color w:val="auto"/>
                <w:sz w:val="24"/>
                <w:szCs w:val="24"/>
                <w:highlight w:val="none"/>
              </w:rPr>
            </w:pPr>
            <w:r>
              <w:rPr>
                <w:b/>
                <w:color w:val="auto"/>
                <w:sz w:val="24"/>
                <w:szCs w:val="24"/>
                <w:highlight w:val="none"/>
              </w:rPr>
              <w:t xml:space="preserve">指标项</w:t>
            </w:r>
            <w:r/>
          </w:p>
        </w:tc>
        <w:tc>
          <w:tcPr>
            <w:tcW w:w="8505" w:type="dxa"/>
            <w:vAlign w:val="center"/>
            <w:textDirection w:val="lrTb"/>
            <w:noWrap w:val="false"/>
          </w:tcPr>
          <w:p>
            <w:pPr>
              <w:rPr>
                <w:b/>
                <w:color w:val="auto"/>
                <w:sz w:val="24"/>
                <w:szCs w:val="24"/>
                <w:highlight w:val="none"/>
              </w:rPr>
            </w:pPr>
            <w:r>
              <w:rPr>
                <w:rFonts w:hint="eastAsia"/>
                <w:b/>
                <w:color w:val="auto"/>
                <w:sz w:val="24"/>
                <w:szCs w:val="24"/>
                <w:highlight w:val="none"/>
              </w:rPr>
              <w:t xml:space="preserve">指标</w:t>
            </w:r>
            <w:r>
              <w:rPr>
                <w:b/>
                <w:color w:val="auto"/>
                <w:sz w:val="24"/>
                <w:szCs w:val="24"/>
                <w:highlight w:val="none"/>
              </w:rPr>
              <w:t xml:space="preserve">要求</w:t>
            </w:r>
            <w:r/>
          </w:p>
        </w:tc>
      </w:tr>
      <w:tr>
        <w:trPr>
          <w:jc w:val="center"/>
          <w:trHeight w:val="584"/>
        </w:trPr>
        <w:tc>
          <w:tcPr>
            <w:tcW w:w="829" w:type="dxa"/>
            <w:textDirection w:val="lrTb"/>
            <w:noWrap w:val="false"/>
          </w:tcPr>
          <w:p>
            <w:pPr>
              <w:rPr>
                <w:color w:val="auto"/>
                <w:sz w:val="24"/>
                <w:szCs w:val="24"/>
                <w:highlight w:val="none"/>
              </w:rPr>
            </w:pPr>
            <w:r>
              <w:rPr>
                <w:rFonts w:hint="eastAsia"/>
                <w:color w:val="auto"/>
                <w:sz w:val="24"/>
                <w:szCs w:val="24"/>
                <w:highlight w:val="none"/>
              </w:rPr>
              <w:t xml:space="preserve">1</w:t>
            </w:r>
            <w:r/>
          </w:p>
        </w:tc>
        <w:tc>
          <w:tcPr>
            <w:tcW w:w="867" w:type="dxa"/>
            <w:vAlign w:val="center"/>
            <w:textDirection w:val="lrTb"/>
            <w:noWrap w:val="false"/>
          </w:tcPr>
          <w:p>
            <w:pPr>
              <w:rPr>
                <w:color w:val="auto"/>
                <w:sz w:val="24"/>
                <w:szCs w:val="24"/>
                <w:highlight w:val="none"/>
              </w:rPr>
            </w:pPr>
            <w:r>
              <w:rPr>
                <w:rFonts w:ascii="Wingdings" w:hAnsi="Wingdings" w:eastAsia="Wingdings" w:cs="Wingdings"/>
                <w:color w:val="auto"/>
                <w:sz w:val="24"/>
                <w:szCs w:val="24"/>
                <w:highlight w:val="none"/>
              </w:rPr>
              <w:t xml:space="preserve">«</w:t>
            </w:r>
            <w:r>
              <w:rPr>
                <w:rFonts w:hint="eastAsia"/>
                <w:color w:val="auto"/>
                <w:sz w:val="24"/>
                <w:szCs w:val="24"/>
                <w:highlight w:val="none"/>
              </w:rPr>
              <w:t xml:space="preserve">实质性</w:t>
            </w:r>
            <w:r>
              <w:rPr>
                <w:color w:val="auto"/>
                <w:sz w:val="24"/>
                <w:szCs w:val="24"/>
                <w:highlight w:val="none"/>
              </w:rPr>
              <w:t xml:space="preserve">要求</w:t>
            </w:r>
            <w:r/>
          </w:p>
        </w:tc>
        <w:tc>
          <w:tcPr>
            <w:tcW w:w="8505" w:type="dxa"/>
            <w:vAlign w:val="center"/>
            <w:textDirection w:val="lrTb"/>
            <w:noWrap w:val="false"/>
          </w:tcPr>
          <w:p>
            <w:pPr>
              <w:rPr>
                <w:b/>
                <w:color w:val="auto"/>
                <w:sz w:val="24"/>
                <w:szCs w:val="24"/>
                <w:highlight w:val="none"/>
              </w:rPr>
            </w:pPr>
            <w:r>
              <w:rPr>
                <w:rFonts w:hint="eastAsia"/>
                <w:b/>
                <w:color w:val="auto"/>
                <w:sz w:val="24"/>
                <w:szCs w:val="24"/>
                <w:highlight w:val="none"/>
              </w:rPr>
              <w:t xml:space="preserve">一、服务内容</w:t>
            </w:r>
            <w:r/>
          </w:p>
          <w:p>
            <w:pPr>
              <w:rPr>
                <w:color w:val="auto"/>
                <w:sz w:val="24"/>
                <w:szCs w:val="24"/>
                <w:highlight w:val="none"/>
              </w:rPr>
            </w:pPr>
            <w:r>
              <w:rPr>
                <w:rFonts w:hint="eastAsia"/>
                <w:color w:val="auto"/>
                <w:sz w:val="24"/>
                <w:szCs w:val="24"/>
                <w:highlight w:val="none"/>
              </w:rPr>
              <w:t xml:space="preserve">针对鼓楼医院（含北院）内网、外网、无线网、设备网网络设备技术支持服务，弱电线路维护等。</w:t>
            </w:r>
            <w:r/>
          </w:p>
          <w:p>
            <w:pPr>
              <w:rPr>
                <w:b/>
                <w:color w:val="auto"/>
                <w:sz w:val="24"/>
                <w:szCs w:val="24"/>
                <w:highlight w:val="none"/>
              </w:rPr>
            </w:pPr>
            <w:r>
              <w:rPr>
                <w:rFonts w:hint="eastAsia"/>
                <w:b/>
                <w:color w:val="auto"/>
                <w:sz w:val="24"/>
                <w:szCs w:val="24"/>
                <w:highlight w:val="none"/>
              </w:rPr>
              <w:t xml:space="preserve">二、服务对象</w:t>
            </w:r>
            <w:r/>
          </w:p>
          <w:p>
            <w:pPr>
              <w:rPr>
                <w:color w:val="auto"/>
                <w:sz w:val="24"/>
                <w:szCs w:val="24"/>
                <w:highlight w:val="none"/>
              </w:rPr>
            </w:pPr>
            <w:r>
              <w:rPr>
                <w:rFonts w:hint="eastAsia"/>
                <w:b/>
                <w:color w:val="auto"/>
                <w:sz w:val="24"/>
                <w:szCs w:val="24"/>
                <w:highlight w:val="none"/>
              </w:rPr>
              <w:t xml:space="preserve">1、鼓楼医院本部的内外网网络设备</w:t>
            </w:r>
            <w:r/>
          </w:p>
          <w:p>
            <w:pPr>
              <w:rPr>
                <w:color w:val="auto"/>
                <w:sz w:val="24"/>
                <w:szCs w:val="24"/>
                <w:highlight w:val="none"/>
              </w:rPr>
            </w:pPr>
            <w:r>
              <w:rPr>
                <w:rFonts w:hint="eastAsia"/>
                <w:b/>
                <w:bCs/>
                <w:color w:val="auto"/>
                <w:sz w:val="24"/>
                <w:szCs w:val="24"/>
                <w:highlight w:val="none"/>
              </w:rPr>
              <w:t xml:space="preserve">内网汇聚交换机：</w:t>
            </w:r>
            <w:r>
              <w:rPr>
                <w:color w:val="auto"/>
                <w:sz w:val="24"/>
                <w:szCs w:val="24"/>
                <w:highlight w:val="none"/>
              </w:rPr>
              <w:t xml:space="preserve">一号楼4台CISCO C6800,二号楼(2台CISC0 C9407，2台华为CE12804和2台CISCOC4507)，五号楼2台CISCO C4500</w:t>
            </w:r>
            <w:r>
              <w:rPr>
                <w:rFonts w:hint="eastAsia"/>
                <w:color w:val="auto"/>
                <w:sz w:val="24"/>
                <w:szCs w:val="24"/>
                <w:highlight w:val="none"/>
              </w:rPr>
              <w:t xml:space="preserve">。</w:t>
            </w:r>
            <w:r/>
          </w:p>
          <w:p>
            <w:pPr>
              <w:rPr>
                <w:color w:val="auto"/>
                <w:sz w:val="24"/>
                <w:szCs w:val="24"/>
                <w:highlight w:val="none"/>
              </w:rPr>
            </w:pPr>
            <w:r>
              <w:rPr>
                <w:rFonts w:hint="eastAsia"/>
                <w:b/>
                <w:bCs/>
                <w:color w:val="auto"/>
                <w:sz w:val="24"/>
                <w:szCs w:val="24"/>
                <w:highlight w:val="none"/>
              </w:rPr>
              <w:t xml:space="preserve">外网汇聚交换机：</w:t>
            </w:r>
            <w:r>
              <w:rPr>
                <w:color w:val="auto"/>
                <w:sz w:val="24"/>
                <w:szCs w:val="24"/>
                <w:highlight w:val="none"/>
              </w:rPr>
              <w:t xml:space="preserve">一号楼2台CISC0C4500，二号楼1台CISC0C4500、1台Cisco C9500，三号楼2台CISCO C3750,五号楼2台CISCO C3750;</w:t>
            </w:r>
            <w:r/>
          </w:p>
          <w:p>
            <w:pPr>
              <w:rPr>
                <w:color w:val="auto"/>
                <w:sz w:val="24"/>
                <w:szCs w:val="24"/>
                <w:highlight w:val="none"/>
              </w:rPr>
            </w:pPr>
            <w:r>
              <w:rPr>
                <w:rFonts w:hint="eastAsia"/>
                <w:b/>
                <w:bCs/>
                <w:color w:val="auto"/>
                <w:sz w:val="24"/>
                <w:szCs w:val="24"/>
                <w:highlight w:val="none"/>
              </w:rPr>
              <w:t xml:space="preserve">接入交换机：</w:t>
            </w:r>
            <w:r>
              <w:rPr>
                <w:rFonts w:hint="eastAsia"/>
                <w:color w:val="auto"/>
                <w:sz w:val="24"/>
                <w:szCs w:val="24"/>
                <w:highlight w:val="none"/>
              </w:rPr>
              <w:t xml:space="preserve">内网</w:t>
            </w:r>
            <w:r>
              <w:rPr>
                <w:color w:val="auto"/>
                <w:sz w:val="24"/>
                <w:szCs w:val="24"/>
                <w:highlight w:val="none"/>
              </w:rPr>
              <w:t xml:space="preserve">519</w:t>
            </w:r>
            <w:r>
              <w:rPr>
                <w:rFonts w:hint="eastAsia"/>
                <w:color w:val="auto"/>
                <w:sz w:val="24"/>
                <w:szCs w:val="24"/>
                <w:highlight w:val="none"/>
              </w:rPr>
              <w:t xml:space="preserve">台和外网1</w:t>
            </w:r>
            <w:r>
              <w:rPr>
                <w:color w:val="auto"/>
                <w:sz w:val="24"/>
                <w:szCs w:val="24"/>
                <w:highlight w:val="none"/>
              </w:rPr>
              <w:t xml:space="preserve">86</w:t>
            </w:r>
            <w:r>
              <w:rPr>
                <w:rFonts w:hint="eastAsia"/>
                <w:color w:val="auto"/>
                <w:sz w:val="24"/>
                <w:szCs w:val="24"/>
                <w:highlight w:val="none"/>
              </w:rPr>
              <w:t xml:space="preserve">台（以华为S</w:t>
            </w:r>
            <w:r>
              <w:rPr>
                <w:color w:val="auto"/>
                <w:sz w:val="24"/>
                <w:szCs w:val="24"/>
                <w:highlight w:val="none"/>
              </w:rPr>
              <w:t xml:space="preserve">5735</w:t>
            </w:r>
            <w:r>
              <w:rPr>
                <w:rFonts w:hint="eastAsia"/>
                <w:color w:val="auto"/>
                <w:sz w:val="24"/>
                <w:szCs w:val="24"/>
                <w:highlight w:val="none"/>
              </w:rPr>
              <w:t xml:space="preserve">为主）。</w:t>
            </w:r>
            <w:r/>
          </w:p>
          <w:p>
            <w:pPr>
              <w:rPr>
                <w:color w:val="auto"/>
                <w:sz w:val="24"/>
                <w:szCs w:val="24"/>
                <w:highlight w:val="none"/>
              </w:rPr>
            </w:pPr>
            <w:r>
              <w:rPr>
                <w:rFonts w:hint="eastAsia"/>
                <w:b/>
                <w:color w:val="auto"/>
                <w:sz w:val="24"/>
                <w:szCs w:val="24"/>
                <w:highlight w:val="none"/>
              </w:rPr>
              <w:t xml:space="preserve">无线网：</w:t>
            </w:r>
            <w:r>
              <w:rPr>
                <w:color w:val="auto"/>
                <w:sz w:val="24"/>
                <w:szCs w:val="24"/>
                <w:highlight w:val="none"/>
              </w:rPr>
              <w:t xml:space="preserve">南扩楼、一号楼、二号楼、三号楼、四号楼ap在线数量为1681台(ARUBA:150，华为:1338，思科:193)，1台核心Cico8540无线控制器,1台ARUBA724无线控制器，2台华为AirEngine9700-M1无线控制器</w:t>
            </w:r>
            <w:r>
              <w:rPr>
                <w:rFonts w:hint="eastAsia"/>
                <w:color w:val="auto"/>
                <w:sz w:val="24"/>
                <w:szCs w:val="24"/>
                <w:highlight w:val="none"/>
              </w:rPr>
              <w:t xml:space="preserve">；</w:t>
            </w:r>
            <w:r/>
          </w:p>
          <w:p>
            <w:pPr>
              <w:rPr>
                <w:color w:val="auto"/>
                <w:sz w:val="24"/>
                <w:szCs w:val="24"/>
                <w:highlight w:val="none"/>
              </w:rPr>
            </w:pPr>
            <w:r>
              <w:rPr>
                <w:rFonts w:hint="eastAsia"/>
                <w:b/>
                <w:color w:val="auto"/>
                <w:sz w:val="24"/>
                <w:szCs w:val="24"/>
                <w:highlight w:val="none"/>
              </w:rPr>
              <w:t xml:space="preserve">设备网：</w:t>
            </w:r>
            <w:r>
              <w:rPr>
                <w:color w:val="auto"/>
                <w:sz w:val="24"/>
                <w:szCs w:val="24"/>
                <w:highlight w:val="none"/>
              </w:rPr>
              <w:t xml:space="preserve">2台CISC0 Nexus 9000，1号楼2台CISC0 C3750G，2号楼2台Cisco C9500，3号楼1台汇聚Cisco 3750G-12S、1台5号楼汇聚Cisco 3750G-12S及接入50台Cisco2900系列及华为s5735系列交换机。</w:t>
            </w:r>
            <w:r/>
          </w:p>
          <w:p>
            <w:pPr>
              <w:rPr>
                <w:color w:val="auto"/>
                <w:sz w:val="24"/>
                <w:szCs w:val="24"/>
                <w:highlight w:val="none"/>
              </w:rPr>
            </w:pPr>
            <w:r>
              <w:rPr>
                <w:b/>
                <w:color w:val="auto"/>
                <w:sz w:val="24"/>
                <w:szCs w:val="24"/>
                <w:highlight w:val="none"/>
              </w:rPr>
              <w:t xml:space="preserve">2</w:t>
            </w:r>
            <w:r>
              <w:rPr>
                <w:rFonts w:hint="eastAsia"/>
                <w:b/>
                <w:color w:val="auto"/>
                <w:sz w:val="24"/>
                <w:szCs w:val="24"/>
                <w:highlight w:val="none"/>
              </w:rPr>
              <w:t xml:space="preserve">、鼓楼医院北院的内外网网络设备</w:t>
            </w:r>
            <w:r/>
          </w:p>
          <w:p>
            <w:pPr>
              <w:rPr>
                <w:color w:val="auto"/>
                <w:sz w:val="24"/>
                <w:szCs w:val="24"/>
                <w:highlight w:val="none"/>
              </w:rPr>
            </w:pPr>
            <w:r>
              <w:rPr>
                <w:rFonts w:hint="eastAsia"/>
                <w:b/>
                <w:bCs/>
                <w:color w:val="auto"/>
                <w:sz w:val="24"/>
                <w:szCs w:val="24"/>
                <w:highlight w:val="none"/>
              </w:rPr>
              <w:t xml:space="preserve">内网汇聚交换机：</w:t>
            </w:r>
            <w:r>
              <w:rPr>
                <w:rFonts w:hint="eastAsia"/>
                <w:color w:val="auto"/>
                <w:sz w:val="24"/>
                <w:szCs w:val="24"/>
                <w:highlight w:val="none"/>
              </w:rPr>
              <w:t xml:space="preserve">4台C</w:t>
            </w:r>
            <w:r>
              <w:rPr>
                <w:color w:val="auto"/>
                <w:sz w:val="24"/>
                <w:szCs w:val="24"/>
                <w:highlight w:val="none"/>
              </w:rPr>
              <w:t xml:space="preserve">ISCO C9500-40X-A</w:t>
            </w:r>
            <w:r/>
          </w:p>
          <w:p>
            <w:pPr>
              <w:rPr>
                <w:color w:val="auto"/>
                <w:sz w:val="24"/>
                <w:szCs w:val="24"/>
                <w:highlight w:val="none"/>
              </w:rPr>
            </w:pPr>
            <w:r>
              <w:rPr>
                <w:rFonts w:hint="eastAsia"/>
                <w:b/>
                <w:bCs/>
                <w:color w:val="auto"/>
                <w:sz w:val="24"/>
                <w:szCs w:val="24"/>
                <w:highlight w:val="none"/>
              </w:rPr>
              <w:t xml:space="preserve">内网接入交换机：</w:t>
            </w:r>
            <w:r>
              <w:rPr>
                <w:rFonts w:hint="eastAsia"/>
                <w:color w:val="auto"/>
                <w:sz w:val="24"/>
                <w:szCs w:val="24"/>
                <w:highlight w:val="none"/>
              </w:rPr>
              <w:t xml:space="preserve">4</w:t>
            </w:r>
            <w:r>
              <w:rPr>
                <w:color w:val="auto"/>
                <w:sz w:val="24"/>
                <w:szCs w:val="24"/>
                <w:highlight w:val="none"/>
              </w:rPr>
              <w:t xml:space="preserve">0</w:t>
            </w:r>
            <w:r>
              <w:rPr>
                <w:rFonts w:hint="eastAsia"/>
                <w:color w:val="auto"/>
                <w:sz w:val="24"/>
                <w:szCs w:val="24"/>
                <w:highlight w:val="none"/>
              </w:rPr>
              <w:t xml:space="preserve">台C</w:t>
            </w:r>
            <w:r>
              <w:rPr>
                <w:color w:val="auto"/>
                <w:sz w:val="24"/>
                <w:szCs w:val="24"/>
                <w:highlight w:val="none"/>
              </w:rPr>
              <w:t xml:space="preserve">ISCO C9300-48T-E</w:t>
            </w:r>
            <w:r>
              <w:rPr>
                <w:rFonts w:hint="eastAsia"/>
                <w:color w:val="auto"/>
                <w:sz w:val="24"/>
                <w:szCs w:val="24"/>
                <w:highlight w:val="none"/>
              </w:rPr>
              <w:t xml:space="preserve">、9台</w:t>
            </w:r>
            <w:r>
              <w:rPr>
                <w:color w:val="auto"/>
                <w:sz w:val="24"/>
                <w:szCs w:val="24"/>
                <w:highlight w:val="none"/>
              </w:rPr>
              <w:t xml:space="preserve">CISCO C9300-24T-E</w:t>
            </w:r>
            <w:r/>
          </w:p>
          <w:p>
            <w:pPr>
              <w:rPr>
                <w:color w:val="auto"/>
                <w:sz w:val="24"/>
                <w:szCs w:val="24"/>
                <w:highlight w:val="none"/>
              </w:rPr>
            </w:pPr>
            <w:r>
              <w:rPr>
                <w:rFonts w:hint="eastAsia"/>
                <w:b/>
                <w:bCs/>
                <w:color w:val="auto"/>
                <w:sz w:val="24"/>
                <w:szCs w:val="24"/>
                <w:highlight w:val="none"/>
              </w:rPr>
              <w:t xml:space="preserve">S</w:t>
            </w:r>
            <w:r>
              <w:rPr>
                <w:b/>
                <w:bCs/>
                <w:color w:val="auto"/>
                <w:sz w:val="24"/>
                <w:szCs w:val="24"/>
                <w:highlight w:val="none"/>
              </w:rPr>
              <w:t xml:space="preserve">DN</w:t>
            </w:r>
            <w:r>
              <w:rPr>
                <w:rFonts w:hint="eastAsia"/>
                <w:b/>
                <w:bCs/>
                <w:color w:val="auto"/>
                <w:sz w:val="24"/>
                <w:szCs w:val="24"/>
                <w:highlight w:val="none"/>
              </w:rPr>
              <w:t xml:space="preserve">控制器：</w:t>
            </w:r>
            <w:r>
              <w:rPr>
                <w:rFonts w:hint="eastAsia"/>
                <w:color w:val="auto"/>
                <w:sz w:val="24"/>
                <w:szCs w:val="24"/>
                <w:highlight w:val="none"/>
              </w:rPr>
              <w:t xml:space="preserve">1台C</w:t>
            </w:r>
            <w:r>
              <w:rPr>
                <w:color w:val="auto"/>
                <w:sz w:val="24"/>
                <w:szCs w:val="24"/>
                <w:highlight w:val="none"/>
              </w:rPr>
              <w:t xml:space="preserve">ISCO DN1-HW-APL</w:t>
            </w:r>
            <w:r/>
          </w:p>
          <w:p>
            <w:pPr>
              <w:rPr>
                <w:color w:val="auto"/>
                <w:sz w:val="24"/>
                <w:szCs w:val="24"/>
                <w:highlight w:val="none"/>
              </w:rPr>
            </w:pPr>
            <w:r>
              <w:rPr>
                <w:rFonts w:hint="eastAsia"/>
                <w:b/>
                <w:bCs/>
                <w:color w:val="auto"/>
                <w:sz w:val="24"/>
                <w:szCs w:val="24"/>
                <w:highlight w:val="none"/>
              </w:rPr>
              <w:t xml:space="preserve">设备网汇聚交换机：</w:t>
            </w:r>
            <w:r>
              <w:rPr>
                <w:rFonts w:hint="eastAsia"/>
                <w:color w:val="auto"/>
                <w:sz w:val="24"/>
                <w:szCs w:val="24"/>
                <w:highlight w:val="none"/>
              </w:rPr>
              <w:t xml:space="preserve">2台C</w:t>
            </w:r>
            <w:r>
              <w:rPr>
                <w:color w:val="auto"/>
                <w:sz w:val="24"/>
                <w:szCs w:val="24"/>
                <w:highlight w:val="none"/>
              </w:rPr>
              <w:t xml:space="preserve">ISCO WS-C3850-24S-S</w:t>
            </w:r>
            <w:r/>
          </w:p>
          <w:p>
            <w:pPr>
              <w:rPr>
                <w:color w:val="auto"/>
                <w:sz w:val="24"/>
                <w:szCs w:val="24"/>
                <w:highlight w:val="none"/>
              </w:rPr>
            </w:pPr>
            <w:r>
              <w:rPr>
                <w:rFonts w:hint="eastAsia"/>
                <w:b/>
                <w:bCs/>
                <w:color w:val="auto"/>
                <w:sz w:val="24"/>
                <w:szCs w:val="24"/>
                <w:highlight w:val="none"/>
              </w:rPr>
              <w:t xml:space="preserve">设备网接入交换机：</w:t>
            </w:r>
            <w:r>
              <w:rPr>
                <w:rFonts w:hint="eastAsia"/>
                <w:color w:val="auto"/>
                <w:sz w:val="24"/>
                <w:szCs w:val="24"/>
                <w:highlight w:val="none"/>
              </w:rPr>
              <w:t xml:space="preserve">5台C</w:t>
            </w:r>
            <w:r>
              <w:rPr>
                <w:color w:val="auto"/>
                <w:sz w:val="24"/>
                <w:szCs w:val="24"/>
                <w:highlight w:val="none"/>
              </w:rPr>
              <w:t xml:space="preserve">ISCO WS-C2960X-48TS-L</w:t>
            </w:r>
            <w:r>
              <w:rPr>
                <w:rFonts w:hint="eastAsia"/>
                <w:color w:val="auto"/>
                <w:sz w:val="24"/>
                <w:szCs w:val="24"/>
                <w:highlight w:val="none"/>
              </w:rPr>
              <w:t xml:space="preserve">、3台C</w:t>
            </w:r>
            <w:r>
              <w:rPr>
                <w:color w:val="auto"/>
                <w:sz w:val="24"/>
                <w:szCs w:val="24"/>
                <w:highlight w:val="none"/>
              </w:rPr>
              <w:t xml:space="preserve">ISCO WS-C2960X-24TS-L</w:t>
            </w:r>
            <w:r/>
          </w:p>
          <w:p>
            <w:pPr>
              <w:rPr>
                <w:color w:val="auto"/>
                <w:sz w:val="24"/>
                <w:szCs w:val="24"/>
                <w:highlight w:val="none"/>
              </w:rPr>
            </w:pPr>
            <w:r>
              <w:rPr>
                <w:rFonts w:hint="eastAsia"/>
                <w:b/>
                <w:bCs/>
                <w:color w:val="auto"/>
                <w:sz w:val="24"/>
                <w:szCs w:val="24"/>
                <w:highlight w:val="none"/>
              </w:rPr>
              <w:t xml:space="preserve">外网汇聚交换机：</w:t>
            </w:r>
            <w:r>
              <w:rPr>
                <w:rFonts w:hint="eastAsia"/>
                <w:color w:val="auto"/>
                <w:sz w:val="24"/>
                <w:szCs w:val="24"/>
                <w:highlight w:val="none"/>
              </w:rPr>
              <w:t xml:space="preserve">2台C</w:t>
            </w:r>
            <w:r>
              <w:rPr>
                <w:color w:val="auto"/>
                <w:sz w:val="24"/>
                <w:szCs w:val="24"/>
                <w:highlight w:val="none"/>
              </w:rPr>
              <w:t xml:space="preserve">ISCO WS-C4506-E </w:t>
            </w:r>
            <w:r/>
          </w:p>
          <w:p>
            <w:pPr>
              <w:rPr>
                <w:color w:val="auto"/>
                <w:sz w:val="24"/>
                <w:szCs w:val="24"/>
                <w:highlight w:val="none"/>
              </w:rPr>
            </w:pPr>
            <w:r>
              <w:rPr>
                <w:rFonts w:hint="eastAsia"/>
                <w:b/>
                <w:bCs/>
                <w:color w:val="auto"/>
                <w:sz w:val="24"/>
                <w:szCs w:val="24"/>
                <w:highlight w:val="none"/>
              </w:rPr>
              <w:t xml:space="preserve">外网接入交换机</w:t>
            </w:r>
            <w:r>
              <w:rPr>
                <w:rFonts w:hint="eastAsia"/>
                <w:color w:val="auto"/>
                <w:sz w:val="24"/>
                <w:szCs w:val="24"/>
                <w:highlight w:val="none"/>
              </w:rPr>
              <w:t xml:space="preserve">：1</w:t>
            </w:r>
            <w:r>
              <w:rPr>
                <w:color w:val="auto"/>
                <w:sz w:val="24"/>
                <w:szCs w:val="24"/>
                <w:highlight w:val="none"/>
              </w:rPr>
              <w:t xml:space="preserve">6</w:t>
            </w:r>
            <w:r>
              <w:rPr>
                <w:rFonts w:hint="eastAsia"/>
                <w:color w:val="auto"/>
                <w:sz w:val="24"/>
                <w:szCs w:val="24"/>
                <w:highlight w:val="none"/>
              </w:rPr>
              <w:t xml:space="preserve">台</w:t>
            </w:r>
            <w:r>
              <w:rPr>
                <w:color w:val="auto"/>
                <w:sz w:val="24"/>
                <w:szCs w:val="24"/>
                <w:highlight w:val="none"/>
              </w:rPr>
              <w:t xml:space="preserve">CISCO WS-C2960L-24PS-AP</w:t>
            </w:r>
            <w:r/>
          </w:p>
          <w:p>
            <w:pPr>
              <w:rPr>
                <w:color w:val="auto"/>
                <w:sz w:val="24"/>
                <w:szCs w:val="24"/>
                <w:highlight w:val="none"/>
              </w:rPr>
            </w:pPr>
            <w:r>
              <w:rPr>
                <w:rFonts w:hint="eastAsia"/>
                <w:b/>
                <w:bCs/>
                <w:color w:val="auto"/>
                <w:sz w:val="24"/>
                <w:szCs w:val="24"/>
                <w:highlight w:val="none"/>
              </w:rPr>
              <w:t xml:space="preserve">无线控制器：</w:t>
            </w:r>
            <w:r>
              <w:rPr>
                <w:rFonts w:hint="eastAsia"/>
                <w:color w:val="auto"/>
                <w:sz w:val="24"/>
                <w:szCs w:val="24"/>
                <w:highlight w:val="none"/>
              </w:rPr>
              <w:t xml:space="preserve">1台C</w:t>
            </w:r>
            <w:r>
              <w:rPr>
                <w:color w:val="auto"/>
                <w:sz w:val="24"/>
                <w:szCs w:val="24"/>
                <w:highlight w:val="none"/>
              </w:rPr>
              <w:t xml:space="preserve">ISCO AIR-CT5520-K9</w:t>
            </w:r>
            <w:r/>
          </w:p>
          <w:p>
            <w:pPr>
              <w:rPr>
                <w:color w:val="auto"/>
                <w:sz w:val="24"/>
                <w:szCs w:val="24"/>
                <w:highlight w:val="none"/>
              </w:rPr>
            </w:pPr>
            <w:r>
              <w:rPr>
                <w:rFonts w:hint="eastAsia"/>
                <w:b/>
                <w:bCs/>
                <w:color w:val="auto"/>
                <w:sz w:val="24"/>
                <w:szCs w:val="24"/>
                <w:highlight w:val="none"/>
              </w:rPr>
              <w:t xml:space="preserve">无线A</w:t>
            </w:r>
            <w:r>
              <w:rPr>
                <w:b/>
                <w:bCs/>
                <w:color w:val="auto"/>
                <w:sz w:val="24"/>
                <w:szCs w:val="24"/>
                <w:highlight w:val="none"/>
              </w:rPr>
              <w:t xml:space="preserve">P</w:t>
            </w:r>
            <w:r>
              <w:rPr>
                <w:rFonts w:hint="eastAsia"/>
                <w:b/>
                <w:bCs/>
                <w:color w:val="auto"/>
                <w:sz w:val="24"/>
                <w:szCs w:val="24"/>
                <w:highlight w:val="none"/>
              </w:rPr>
              <w:t xml:space="preserve">（高密）：</w:t>
            </w:r>
            <w:r>
              <w:rPr>
                <w:rFonts w:hint="eastAsia"/>
                <w:color w:val="auto"/>
                <w:sz w:val="24"/>
                <w:szCs w:val="24"/>
                <w:highlight w:val="none"/>
              </w:rPr>
              <w:t xml:space="preserve">1</w:t>
            </w:r>
            <w:r>
              <w:rPr>
                <w:color w:val="auto"/>
                <w:sz w:val="24"/>
                <w:szCs w:val="24"/>
                <w:highlight w:val="none"/>
              </w:rPr>
              <w:t xml:space="preserve">07</w:t>
            </w:r>
            <w:r>
              <w:rPr>
                <w:rFonts w:hint="eastAsia"/>
                <w:color w:val="auto"/>
                <w:sz w:val="24"/>
                <w:szCs w:val="24"/>
                <w:highlight w:val="none"/>
              </w:rPr>
              <w:t xml:space="preserve">台 </w:t>
            </w:r>
            <w:r>
              <w:rPr>
                <w:color w:val="auto"/>
                <w:sz w:val="24"/>
                <w:szCs w:val="24"/>
                <w:highlight w:val="none"/>
              </w:rPr>
              <w:t xml:space="preserve">CISCO AIR-AP3802I-H-K9 </w:t>
            </w:r>
            <w:r/>
          </w:p>
          <w:p>
            <w:pPr>
              <w:rPr>
                <w:color w:val="auto"/>
                <w:sz w:val="24"/>
                <w:szCs w:val="24"/>
                <w:highlight w:val="none"/>
              </w:rPr>
            </w:pPr>
            <w:r>
              <w:rPr>
                <w:rFonts w:hint="eastAsia"/>
                <w:b/>
                <w:bCs/>
                <w:color w:val="auto"/>
                <w:sz w:val="24"/>
                <w:szCs w:val="24"/>
                <w:highlight w:val="none"/>
              </w:rPr>
              <w:t xml:space="preserve">无线A</w:t>
            </w:r>
            <w:r>
              <w:rPr>
                <w:b/>
                <w:bCs/>
                <w:color w:val="auto"/>
                <w:sz w:val="24"/>
                <w:szCs w:val="24"/>
                <w:highlight w:val="none"/>
              </w:rPr>
              <w:t xml:space="preserve">P</w:t>
            </w:r>
            <w:r>
              <w:rPr>
                <w:rFonts w:hint="eastAsia"/>
                <w:b/>
                <w:bCs/>
                <w:color w:val="auto"/>
                <w:sz w:val="24"/>
                <w:szCs w:val="24"/>
                <w:highlight w:val="none"/>
              </w:rPr>
              <w:t xml:space="preserve">（普通）：</w:t>
            </w:r>
            <w:r>
              <w:rPr>
                <w:rFonts w:hint="eastAsia"/>
                <w:color w:val="auto"/>
                <w:sz w:val="24"/>
                <w:szCs w:val="24"/>
                <w:highlight w:val="none"/>
              </w:rPr>
              <w:t xml:space="preserve">1</w:t>
            </w:r>
            <w:r>
              <w:rPr>
                <w:color w:val="auto"/>
                <w:sz w:val="24"/>
                <w:szCs w:val="24"/>
                <w:highlight w:val="none"/>
              </w:rPr>
              <w:t xml:space="preserve">0</w:t>
            </w:r>
            <w:r>
              <w:rPr>
                <w:rFonts w:hint="eastAsia"/>
                <w:color w:val="auto"/>
                <w:sz w:val="24"/>
                <w:szCs w:val="24"/>
                <w:highlight w:val="none"/>
              </w:rPr>
              <w:t xml:space="preserve">台C</w:t>
            </w:r>
            <w:r>
              <w:rPr>
                <w:color w:val="auto"/>
                <w:sz w:val="24"/>
                <w:szCs w:val="24"/>
                <w:highlight w:val="none"/>
              </w:rPr>
              <w:t xml:space="preserve">ISCO AIR-AP1832I-H-K9</w:t>
            </w:r>
            <w:r/>
          </w:p>
          <w:p>
            <w:pPr>
              <w:rPr>
                <w:color w:val="auto"/>
                <w:sz w:val="24"/>
                <w:szCs w:val="24"/>
                <w:highlight w:val="none"/>
              </w:rPr>
            </w:pPr>
            <w:r>
              <w:rPr>
                <w:rFonts w:hint="eastAsia"/>
                <w:b/>
                <w:bCs/>
                <w:color w:val="auto"/>
                <w:sz w:val="24"/>
                <w:szCs w:val="24"/>
                <w:highlight w:val="none"/>
              </w:rPr>
              <w:t xml:space="preserve">无线A</w:t>
            </w:r>
            <w:r>
              <w:rPr>
                <w:b/>
                <w:bCs/>
                <w:color w:val="auto"/>
                <w:sz w:val="24"/>
                <w:szCs w:val="24"/>
                <w:highlight w:val="none"/>
              </w:rPr>
              <w:t xml:space="preserve">P</w:t>
            </w:r>
            <w:r>
              <w:rPr>
                <w:rFonts w:hint="eastAsia"/>
                <w:b/>
                <w:bCs/>
                <w:color w:val="auto"/>
                <w:sz w:val="24"/>
                <w:szCs w:val="24"/>
                <w:highlight w:val="none"/>
              </w:rPr>
              <w:t xml:space="preserve">（面板）：</w:t>
            </w:r>
            <w:r>
              <w:rPr>
                <w:rFonts w:hint="eastAsia"/>
                <w:color w:val="auto"/>
                <w:sz w:val="24"/>
                <w:szCs w:val="24"/>
                <w:highlight w:val="none"/>
              </w:rPr>
              <w:t xml:space="preserve">1</w:t>
            </w:r>
            <w:r>
              <w:rPr>
                <w:color w:val="auto"/>
                <w:sz w:val="24"/>
                <w:szCs w:val="24"/>
                <w:highlight w:val="none"/>
              </w:rPr>
              <w:t xml:space="preserve">1</w:t>
            </w:r>
            <w:r>
              <w:rPr>
                <w:rFonts w:hint="eastAsia"/>
                <w:color w:val="auto"/>
                <w:sz w:val="24"/>
                <w:szCs w:val="24"/>
                <w:highlight w:val="none"/>
              </w:rPr>
              <w:t xml:space="preserve">台C</w:t>
            </w:r>
            <w:r>
              <w:rPr>
                <w:color w:val="auto"/>
                <w:sz w:val="24"/>
                <w:szCs w:val="24"/>
                <w:highlight w:val="none"/>
              </w:rPr>
              <w:t xml:space="preserve">ISCO AIR-AP1815W-H-K9</w:t>
            </w:r>
            <w:r/>
          </w:p>
          <w:p>
            <w:pPr>
              <w:rPr>
                <w:color w:val="auto"/>
                <w:sz w:val="24"/>
                <w:szCs w:val="24"/>
                <w:highlight w:val="none"/>
              </w:rPr>
            </w:pPr>
            <w:r>
              <w:rPr>
                <w:color w:val="auto"/>
                <w:sz w:val="24"/>
                <w:szCs w:val="24"/>
                <w:highlight w:val="none"/>
              </w:rPr>
            </w:r>
            <w:r/>
          </w:p>
          <w:p>
            <w:pPr>
              <w:rPr>
                <w:b/>
                <w:color w:val="auto"/>
                <w:sz w:val="24"/>
                <w:szCs w:val="24"/>
                <w:highlight w:val="none"/>
              </w:rPr>
            </w:pPr>
            <w:r>
              <w:rPr>
                <w:rFonts w:hint="eastAsia"/>
                <w:b/>
                <w:color w:val="auto"/>
                <w:sz w:val="24"/>
                <w:szCs w:val="24"/>
                <w:highlight w:val="none"/>
              </w:rPr>
              <w:t xml:space="preserve">三、服务工作内容</w:t>
            </w:r>
            <w:r/>
          </w:p>
          <w:p>
            <w:pPr>
              <w:rPr>
                <w:color w:val="auto"/>
                <w:sz w:val="24"/>
                <w:szCs w:val="24"/>
                <w:highlight w:val="none"/>
              </w:rPr>
            </w:pPr>
            <w:r>
              <w:rPr>
                <w:rFonts w:hint="eastAsia"/>
                <w:color w:val="auto"/>
                <w:sz w:val="24"/>
                <w:szCs w:val="24"/>
                <w:highlight w:val="none"/>
              </w:rPr>
              <w:t xml:space="preserve">1、供应商维护人员主要负责对“服务对象”进行日常巡检维护，涉及的硬件和软件故障要及时定位、</w:t>
            </w:r>
            <w:r>
              <w:rPr>
                <w:color w:val="auto"/>
                <w:sz w:val="24"/>
                <w:szCs w:val="24"/>
                <w:highlight w:val="none"/>
              </w:rPr>
              <w:t xml:space="preserve">技术支持，</w:t>
            </w:r>
            <w:r>
              <w:rPr>
                <w:rFonts w:hint="eastAsia"/>
                <w:color w:val="auto"/>
                <w:sz w:val="24"/>
                <w:szCs w:val="24"/>
                <w:highlight w:val="none"/>
              </w:rPr>
              <w:t xml:space="preserve">性能</w:t>
            </w:r>
            <w:r>
              <w:rPr>
                <w:color w:val="auto"/>
                <w:sz w:val="24"/>
                <w:szCs w:val="24"/>
                <w:highlight w:val="none"/>
              </w:rPr>
              <w:t xml:space="preserve">调整，</w:t>
            </w:r>
            <w:r>
              <w:rPr>
                <w:rFonts w:hint="eastAsia"/>
                <w:color w:val="auto"/>
                <w:sz w:val="24"/>
                <w:szCs w:val="24"/>
                <w:highlight w:val="none"/>
              </w:rPr>
              <w:t xml:space="preserve">服务具体工作主要包括（但不限于上述要求）：</w:t>
            </w:r>
            <w:r/>
          </w:p>
          <w:p>
            <w:pPr>
              <w:rPr>
                <w:color w:val="auto"/>
                <w:sz w:val="24"/>
                <w:szCs w:val="24"/>
                <w:highlight w:val="none"/>
              </w:rPr>
            </w:pPr>
            <w:r>
              <w:rPr>
                <w:rFonts w:hint="eastAsia"/>
                <w:color w:val="auto"/>
                <w:sz w:val="24"/>
                <w:szCs w:val="24"/>
                <w:highlight w:val="none"/>
              </w:rPr>
              <w:t xml:space="preserve">2、全院范围内的网络综合布线系统。包含三套独立物理网布线：内网，</w:t>
            </w:r>
            <w:r>
              <w:rPr>
                <w:color w:val="auto"/>
                <w:sz w:val="24"/>
                <w:szCs w:val="24"/>
                <w:highlight w:val="none"/>
              </w:rPr>
              <w:t xml:space="preserve">外网，设备网</w:t>
            </w:r>
            <w:r>
              <w:rPr>
                <w:rFonts w:hint="eastAsia"/>
                <w:color w:val="auto"/>
                <w:sz w:val="24"/>
                <w:szCs w:val="24"/>
                <w:highlight w:val="none"/>
              </w:rPr>
              <w:t xml:space="preserve">。</w:t>
            </w:r>
            <w:r/>
          </w:p>
          <w:p>
            <w:pPr>
              <w:rPr>
                <w:color w:val="auto"/>
                <w:sz w:val="24"/>
                <w:szCs w:val="24"/>
                <w:highlight w:val="none"/>
              </w:rPr>
            </w:pPr>
            <w:r>
              <w:rPr>
                <w:rFonts w:hint="eastAsia"/>
                <w:color w:val="auto"/>
                <w:sz w:val="24"/>
                <w:szCs w:val="24"/>
                <w:highlight w:val="none"/>
              </w:rPr>
              <w:t xml:space="preserve">3、工作内容包括网络、电话系统弱电点位/线路故障排查及处理，随时响应院方弱电点位新增、维修需求等。</w:t>
            </w:r>
            <w:r/>
          </w:p>
          <w:p>
            <w:pPr>
              <w:rPr>
                <w:b/>
                <w:color w:val="auto"/>
                <w:sz w:val="24"/>
                <w:szCs w:val="24"/>
                <w:highlight w:val="none"/>
              </w:rPr>
            </w:pPr>
            <w:r>
              <w:rPr>
                <w:rFonts w:hint="eastAsia"/>
                <w:b/>
                <w:color w:val="auto"/>
                <w:sz w:val="24"/>
                <w:szCs w:val="24"/>
                <w:highlight w:val="none"/>
              </w:rPr>
              <w:t xml:space="preserve">四、人员驻场要求</w:t>
            </w:r>
            <w:r/>
          </w:p>
          <w:p>
            <w:pPr>
              <w:rPr>
                <w:color w:val="auto"/>
                <w:sz w:val="24"/>
                <w:szCs w:val="24"/>
                <w:highlight w:val="none"/>
              </w:rPr>
            </w:pPr>
            <w:r>
              <w:rPr>
                <w:rFonts w:hint="eastAsia"/>
                <w:color w:val="auto"/>
                <w:sz w:val="24"/>
                <w:szCs w:val="24"/>
                <w:highlight w:val="none"/>
              </w:rPr>
              <w:t xml:space="preserve">1、需提供不少于三名驻场工程师（需要进行日常的综合布线和网络设备的安装、调试、巡检、优化等工作工），协助随时排查网络设备或线路故障，协调备件替换及调试、配置工作，在不影响院方使用情况下，配合院方要求调整工作时间完成工作内容。</w:t>
            </w:r>
            <w:r/>
          </w:p>
        </w:tc>
      </w:tr>
      <w:tr>
        <w:trPr>
          <w:jc w:val="center"/>
          <w:trHeight w:val="584"/>
        </w:trPr>
        <w:tc>
          <w:tcPr>
            <w:tcW w:w="829" w:type="dxa"/>
            <w:textDirection w:val="lrTb"/>
            <w:noWrap w:val="false"/>
          </w:tcPr>
          <w:p>
            <w:pPr>
              <w:rPr>
                <w:color w:val="auto"/>
                <w:sz w:val="24"/>
                <w:szCs w:val="24"/>
                <w:highlight w:val="none"/>
              </w:rPr>
            </w:pPr>
            <w:r>
              <w:rPr>
                <w:color w:val="auto"/>
                <w:sz w:val="24"/>
                <w:szCs w:val="24"/>
                <w:highlight w:val="none"/>
              </w:rPr>
            </w:r>
            <w:r/>
          </w:p>
        </w:tc>
        <w:tc>
          <w:tcPr>
            <w:tcW w:w="867" w:type="dxa"/>
            <w:vAlign w:val="center"/>
            <w:textDirection w:val="lrTb"/>
            <w:noWrap w:val="false"/>
          </w:tcPr>
          <w:p>
            <w:pPr>
              <w:rPr>
                <w:color w:val="auto"/>
                <w:sz w:val="24"/>
                <w:szCs w:val="24"/>
                <w:highlight w:val="none"/>
              </w:rPr>
            </w:pPr>
            <w:r>
              <w:rPr>
                <w:color w:val="auto"/>
                <w:sz w:val="24"/>
                <w:szCs w:val="24"/>
                <w:highlight w:val="none"/>
              </w:rPr>
            </w:r>
            <w:r/>
          </w:p>
        </w:tc>
        <w:tc>
          <w:tcPr>
            <w:tcW w:w="8505" w:type="dxa"/>
            <w:vAlign w:val="center"/>
            <w:textDirection w:val="lrTb"/>
            <w:noWrap w:val="false"/>
          </w:tcPr>
          <w:p>
            <w:pPr>
              <w:rPr>
                <w:b/>
                <w:color w:val="auto"/>
                <w:sz w:val="24"/>
                <w:szCs w:val="24"/>
                <w:highlight w:val="none"/>
              </w:rPr>
            </w:pPr>
            <w:r>
              <w:rPr>
                <w:b/>
                <w:color w:val="auto"/>
                <w:sz w:val="24"/>
                <w:szCs w:val="24"/>
                <w:highlight w:val="none"/>
              </w:rPr>
            </w:r>
            <w:r/>
          </w:p>
        </w:tc>
      </w:tr>
    </w:tbl>
    <w:p>
      <w:pPr>
        <w:spacing w:before="120" w:line="360" w:lineRule="auto"/>
        <w:shd w:val="clear" w:color="auto" w:fill="ffffff"/>
        <w:rPr>
          <w:b/>
          <w:bCs/>
          <w:color w:val="auto"/>
          <w:sz w:val="24"/>
          <w:szCs w:val="24"/>
          <w:highlight w:val="none"/>
        </w:rPr>
      </w:pPr>
      <w:r>
        <w:rPr>
          <w:rFonts w:hint="eastAsia"/>
          <w:b/>
          <w:bCs/>
          <w:color w:val="auto"/>
          <w:sz w:val="24"/>
          <w:szCs w:val="24"/>
          <w:highlight w:val="none"/>
        </w:rPr>
        <w:t xml:space="preserve">运维服务要求：</w:t>
      </w:r>
      <w:r/>
    </w:p>
    <w:p>
      <w:pPr>
        <w:ind w:firstLine="482"/>
        <w:spacing w:line="360" w:lineRule="auto"/>
        <w:rPr>
          <w:b/>
          <w:color w:val="auto"/>
          <w:sz w:val="24"/>
          <w:szCs w:val="24"/>
          <w:highlight w:val="none"/>
        </w:rPr>
      </w:pPr>
      <w:r>
        <w:rPr>
          <w:rFonts w:hint="eastAsia"/>
          <w:b/>
          <w:color w:val="auto"/>
          <w:sz w:val="24"/>
          <w:szCs w:val="24"/>
          <w:highlight w:val="none"/>
        </w:rPr>
        <w:t xml:space="preserve">（一）设备维保要求：</w:t>
      </w:r>
      <w:r/>
    </w:p>
    <w:p>
      <w:pPr>
        <w:ind w:firstLine="480"/>
        <w:spacing w:line="360" w:lineRule="auto"/>
        <w:rPr>
          <w:color w:val="auto"/>
          <w:sz w:val="24"/>
          <w:szCs w:val="24"/>
          <w:highlight w:val="none"/>
        </w:rPr>
      </w:pPr>
      <w:r>
        <w:rPr>
          <w:rFonts w:hint="eastAsia"/>
          <w:color w:val="auto"/>
          <w:sz w:val="24"/>
          <w:szCs w:val="24"/>
          <w:highlight w:val="none"/>
        </w:rPr>
        <w:t xml:space="preserve">（1）工程师常驻用户现场，对维保设备（各类有线网络设备、无线网络设备、无线控制器等）进行例行健康检查，提交报告；</w:t>
      </w:r>
      <w:r/>
    </w:p>
    <w:p>
      <w:pPr>
        <w:ind w:left="360" w:firstLine="480"/>
        <w:spacing w:line="360" w:lineRule="auto"/>
        <w:rPr>
          <w:color w:val="auto"/>
          <w:sz w:val="24"/>
          <w:szCs w:val="24"/>
          <w:highlight w:val="none"/>
        </w:rPr>
      </w:pPr>
      <w:r>
        <w:rPr>
          <w:rFonts w:hint="eastAsia"/>
          <w:color w:val="auto"/>
          <w:sz w:val="24"/>
          <w:szCs w:val="24"/>
          <w:highlight w:val="none"/>
        </w:rPr>
        <w:t xml:space="preserve">①实施状态现场查检、故障</w:t>
      </w:r>
      <w:r>
        <w:rPr>
          <w:color w:val="auto"/>
          <w:sz w:val="24"/>
          <w:szCs w:val="24"/>
          <w:highlight w:val="none"/>
        </w:rPr>
        <w:t xml:space="preserve">告警诊断，</w:t>
      </w:r>
      <w:r>
        <w:rPr>
          <w:rFonts w:hint="eastAsia"/>
          <w:color w:val="auto"/>
          <w:sz w:val="24"/>
          <w:szCs w:val="24"/>
          <w:highlight w:val="none"/>
        </w:rPr>
        <w:t xml:space="preserve">发现问题立即解决。</w:t>
      </w:r>
      <w:r/>
    </w:p>
    <w:p>
      <w:pPr>
        <w:ind w:left="360" w:firstLine="480"/>
        <w:spacing w:line="360" w:lineRule="auto"/>
        <w:rPr>
          <w:color w:val="auto"/>
          <w:sz w:val="24"/>
          <w:szCs w:val="24"/>
          <w:highlight w:val="none"/>
        </w:rPr>
      </w:pPr>
      <w:r>
        <w:rPr>
          <w:rFonts w:hint="eastAsia"/>
          <w:color w:val="auto"/>
          <w:sz w:val="24"/>
          <w:szCs w:val="24"/>
          <w:highlight w:val="none"/>
        </w:rPr>
        <w:t xml:space="preserve">②实施设备定期系统和固件升级、故障预判、日志分析。</w:t>
      </w:r>
      <w:r/>
    </w:p>
    <w:p>
      <w:pPr>
        <w:ind w:left="360" w:firstLine="120"/>
        <w:spacing w:line="360" w:lineRule="auto"/>
        <w:rPr>
          <w:color w:val="auto"/>
          <w:sz w:val="24"/>
          <w:szCs w:val="24"/>
          <w:highlight w:val="none"/>
        </w:rPr>
      </w:pPr>
      <w:r>
        <w:rPr>
          <w:rFonts w:hint="eastAsia"/>
          <w:color w:val="auto"/>
          <w:sz w:val="24"/>
          <w:szCs w:val="24"/>
          <w:highlight w:val="none"/>
        </w:rPr>
        <w:t xml:space="preserve">（</w:t>
      </w:r>
      <w:r>
        <w:rPr>
          <w:color w:val="auto"/>
          <w:sz w:val="24"/>
          <w:szCs w:val="24"/>
          <w:highlight w:val="none"/>
        </w:rPr>
        <w:t xml:space="preserve">2</w:t>
      </w:r>
      <w:r>
        <w:rPr>
          <w:rFonts w:hint="eastAsia"/>
          <w:color w:val="auto"/>
          <w:sz w:val="24"/>
          <w:szCs w:val="24"/>
          <w:highlight w:val="none"/>
        </w:rPr>
        <w:t xml:space="preserve">）负责招标要求设备的故障点定位及原因判断；系统中设备损坏后的配合维修（硬件更换需提交院方审核确认）；系统线缆检查和维护；系统改造升级的建议；日常系统设备的维护、巡检等。</w:t>
      </w:r>
      <w:r/>
    </w:p>
    <w:p>
      <w:pPr>
        <w:ind w:firstLine="480"/>
        <w:spacing w:line="360" w:lineRule="auto"/>
        <w:rPr>
          <w:b/>
          <w:color w:val="auto"/>
          <w:sz w:val="24"/>
          <w:szCs w:val="24"/>
          <w:highlight w:val="none"/>
        </w:rPr>
      </w:pPr>
      <w:r>
        <w:rPr>
          <w:rFonts w:hint="eastAsia"/>
          <w:color w:val="auto"/>
          <w:sz w:val="24"/>
          <w:szCs w:val="24"/>
          <w:highlight w:val="none"/>
        </w:rPr>
        <w:t xml:space="preserve"> </w:t>
      </w:r>
      <w:r>
        <w:rPr>
          <w:rFonts w:hint="eastAsia"/>
          <w:b/>
          <w:color w:val="auto"/>
          <w:sz w:val="24"/>
          <w:szCs w:val="24"/>
          <w:highlight w:val="none"/>
        </w:rPr>
        <w:t xml:space="preserve">（二）故障处理要求：</w:t>
      </w:r>
      <w:r/>
    </w:p>
    <w:p>
      <w:pPr>
        <w:ind w:firstLine="480"/>
        <w:spacing w:line="360" w:lineRule="auto"/>
        <w:rPr>
          <w:color w:val="auto"/>
          <w:sz w:val="24"/>
          <w:szCs w:val="24"/>
          <w:highlight w:val="none"/>
        </w:rPr>
      </w:pPr>
      <w:r>
        <w:rPr>
          <w:rFonts w:hint="eastAsia"/>
          <w:color w:val="auto"/>
          <w:sz w:val="24"/>
          <w:szCs w:val="24"/>
          <w:highlight w:val="none"/>
        </w:rPr>
        <w:t xml:space="preserve">（</w:t>
      </w:r>
      <w:r>
        <w:rPr>
          <w:color w:val="auto"/>
          <w:sz w:val="24"/>
          <w:szCs w:val="24"/>
          <w:highlight w:val="none"/>
        </w:rPr>
        <w:t xml:space="preserve">1</w:t>
      </w:r>
      <w:r>
        <w:rPr>
          <w:rFonts w:hint="eastAsia"/>
          <w:color w:val="auto"/>
          <w:sz w:val="24"/>
          <w:szCs w:val="24"/>
          <w:highlight w:val="none"/>
        </w:rPr>
        <w:t xml:space="preserve">）对于采购人系统的突发运行故障均提供7×24小时响应</w:t>
      </w:r>
      <w:r>
        <w:rPr>
          <w:color w:val="auto"/>
          <w:sz w:val="24"/>
          <w:szCs w:val="24"/>
          <w:highlight w:val="none"/>
        </w:rPr>
        <w:t xml:space="preserve">及</w:t>
      </w:r>
      <w:r>
        <w:rPr>
          <w:rFonts w:hint="eastAsia"/>
          <w:color w:val="auto"/>
          <w:sz w:val="24"/>
          <w:szCs w:val="24"/>
          <w:highlight w:val="none"/>
        </w:rPr>
        <w:t xml:space="preserve">现场技术支持服务；</w:t>
      </w:r>
      <w:r/>
    </w:p>
    <w:p>
      <w:pPr>
        <w:ind w:firstLine="480"/>
        <w:spacing w:line="360" w:lineRule="auto"/>
        <w:rPr>
          <w:color w:val="auto"/>
          <w:sz w:val="24"/>
          <w:szCs w:val="24"/>
          <w:highlight w:val="none"/>
        </w:rPr>
      </w:pPr>
      <w:r>
        <w:rPr>
          <w:rFonts w:hint="eastAsia"/>
          <w:color w:val="auto"/>
          <w:sz w:val="24"/>
          <w:szCs w:val="24"/>
          <w:highlight w:val="none"/>
        </w:rPr>
        <w:t xml:space="preserve">（</w:t>
      </w:r>
      <w:r>
        <w:rPr>
          <w:color w:val="auto"/>
          <w:sz w:val="24"/>
          <w:szCs w:val="24"/>
          <w:highlight w:val="none"/>
        </w:rPr>
        <w:t xml:space="preserve">2</w:t>
      </w:r>
      <w:r>
        <w:rPr>
          <w:rFonts w:hint="eastAsia"/>
          <w:color w:val="auto"/>
          <w:sz w:val="24"/>
          <w:szCs w:val="24"/>
          <w:highlight w:val="none"/>
        </w:rPr>
        <w:t xml:space="preserve">）工作时间故障响应时间不超过1</w:t>
      </w:r>
      <w:r>
        <w:rPr>
          <w:color w:val="auto"/>
          <w:sz w:val="24"/>
          <w:szCs w:val="24"/>
          <w:highlight w:val="none"/>
        </w:rPr>
        <w:t xml:space="preserve">0</w:t>
      </w:r>
      <w:r>
        <w:rPr>
          <w:rFonts w:hint="eastAsia"/>
          <w:color w:val="auto"/>
          <w:sz w:val="24"/>
          <w:szCs w:val="24"/>
          <w:highlight w:val="none"/>
        </w:rPr>
        <w:t xml:space="preserve">分钟，非工作</w:t>
      </w:r>
      <w:r>
        <w:rPr>
          <w:color w:val="auto"/>
          <w:sz w:val="24"/>
          <w:szCs w:val="24"/>
          <w:highlight w:val="none"/>
        </w:rPr>
        <w:t xml:space="preserve">时间</w:t>
      </w:r>
      <w:r>
        <w:rPr>
          <w:rFonts w:hint="eastAsia"/>
          <w:color w:val="auto"/>
          <w:sz w:val="24"/>
          <w:szCs w:val="24"/>
          <w:highlight w:val="none"/>
        </w:rPr>
        <w:t xml:space="preserve">故障响应后</w:t>
      </w:r>
      <w:r>
        <w:rPr>
          <w:color w:val="auto"/>
          <w:sz w:val="24"/>
          <w:szCs w:val="24"/>
          <w:highlight w:val="none"/>
        </w:rPr>
        <w:t xml:space="preserve">2</w:t>
      </w:r>
      <w:r>
        <w:rPr>
          <w:rFonts w:hint="eastAsia"/>
          <w:color w:val="auto"/>
          <w:sz w:val="24"/>
          <w:szCs w:val="24"/>
          <w:highlight w:val="none"/>
        </w:rPr>
        <w:t xml:space="preserve">小时内工程师到达现场。</w:t>
      </w:r>
      <w:r/>
    </w:p>
    <w:p>
      <w:pPr>
        <w:ind w:firstLine="482"/>
        <w:spacing w:line="360" w:lineRule="auto"/>
        <w:rPr>
          <w:b/>
          <w:color w:val="auto"/>
          <w:sz w:val="24"/>
          <w:szCs w:val="24"/>
          <w:highlight w:val="none"/>
        </w:rPr>
      </w:pPr>
      <w:r>
        <w:rPr>
          <w:rFonts w:hint="eastAsia"/>
          <w:b/>
          <w:color w:val="auto"/>
          <w:sz w:val="24"/>
          <w:szCs w:val="24"/>
          <w:highlight w:val="none"/>
        </w:rPr>
        <w:t xml:space="preserve">（三）文档要求：</w:t>
      </w:r>
      <w:r/>
    </w:p>
    <w:p>
      <w:pPr>
        <w:ind w:firstLine="480"/>
        <w:spacing w:line="360" w:lineRule="auto"/>
        <w:rPr>
          <w:color w:val="auto"/>
          <w:sz w:val="24"/>
          <w:szCs w:val="24"/>
          <w:highlight w:val="none"/>
        </w:rPr>
      </w:pPr>
      <w:r>
        <w:rPr>
          <w:rFonts w:hint="eastAsia"/>
          <w:color w:val="auto"/>
          <w:sz w:val="24"/>
          <w:szCs w:val="24"/>
          <w:highlight w:val="none"/>
        </w:rPr>
        <w:t xml:space="preserve">（1）供应商应根据用户的软硬件系统实际情况，在运维初期制定整体运维方案；为维保软硬件建立相应维护档案，记录其详细配置及使用情况；每次系统调整后，及时更新配置变动情况。</w:t>
      </w:r>
      <w:r/>
    </w:p>
    <w:p>
      <w:pPr>
        <w:ind w:firstLine="480"/>
        <w:spacing w:line="360" w:lineRule="auto"/>
        <w:rPr>
          <w:color w:val="auto"/>
          <w:sz w:val="24"/>
          <w:szCs w:val="24"/>
          <w:highlight w:val="none"/>
        </w:rPr>
      </w:pPr>
      <w:r>
        <w:rPr>
          <w:rFonts w:hint="eastAsia"/>
          <w:color w:val="auto"/>
          <w:sz w:val="24"/>
          <w:szCs w:val="24"/>
          <w:highlight w:val="none"/>
        </w:rPr>
        <w:t xml:space="preserve">（2）供应商应在每次故障处理时填写服务记录表，记录故障的现象、原因和处理过程，并在故障解除后五个工作日内提供故障处理报告。</w:t>
      </w:r>
      <w:r/>
    </w:p>
    <w:p>
      <w:pPr>
        <w:ind w:firstLine="482"/>
        <w:spacing w:line="360" w:lineRule="auto"/>
        <w:rPr>
          <w:b/>
          <w:bCs/>
          <w:color w:val="auto"/>
          <w:sz w:val="24"/>
          <w:szCs w:val="24"/>
          <w:highlight w:val="none"/>
        </w:rPr>
      </w:pPr>
      <w:r>
        <w:rPr>
          <w:rFonts w:hint="eastAsia"/>
          <w:b/>
          <w:bCs/>
          <w:color w:val="auto"/>
          <w:sz w:val="24"/>
          <w:szCs w:val="24"/>
          <w:highlight w:val="none"/>
        </w:rPr>
        <w:t xml:space="preserve">（四）重大时期保障</w:t>
      </w:r>
      <w:r/>
    </w:p>
    <w:p>
      <w:pPr>
        <w:ind w:firstLine="480"/>
        <w:spacing w:line="360" w:lineRule="auto"/>
        <w:rPr>
          <w:color w:val="auto"/>
          <w:sz w:val="24"/>
          <w:szCs w:val="24"/>
          <w:highlight w:val="none"/>
        </w:rPr>
      </w:pPr>
      <w:r>
        <w:rPr>
          <w:rFonts w:hint="eastAsia"/>
          <w:color w:val="auto"/>
          <w:sz w:val="24"/>
          <w:szCs w:val="24"/>
          <w:highlight w:val="none"/>
        </w:rPr>
        <w:t xml:space="preserve">重大时期和节假日等，如果采购人有系统升级或维护需求，应及时响应并提供现场2</w:t>
      </w:r>
      <w:r>
        <w:rPr>
          <w:color w:val="auto"/>
          <w:sz w:val="24"/>
          <w:szCs w:val="24"/>
          <w:highlight w:val="none"/>
        </w:rPr>
        <w:t xml:space="preserve">4</w:t>
      </w:r>
      <w:r>
        <w:rPr>
          <w:rFonts w:hint="eastAsia"/>
          <w:color w:val="auto"/>
          <w:sz w:val="24"/>
          <w:szCs w:val="24"/>
          <w:highlight w:val="none"/>
        </w:rPr>
        <w:t xml:space="preserve">小时保障服务。</w:t>
      </w:r>
      <w:r/>
    </w:p>
    <w:p>
      <w:pPr>
        <w:ind w:firstLine="482"/>
        <w:spacing w:line="360" w:lineRule="auto"/>
        <w:rPr>
          <w:b/>
          <w:bCs/>
          <w:color w:val="auto"/>
          <w:sz w:val="24"/>
          <w:szCs w:val="24"/>
          <w:highlight w:val="none"/>
        </w:rPr>
      </w:pPr>
      <w:r>
        <w:rPr>
          <w:rFonts w:hint="eastAsia"/>
          <w:b/>
          <w:bCs/>
          <w:color w:val="auto"/>
          <w:sz w:val="24"/>
          <w:szCs w:val="24"/>
          <w:highlight w:val="none"/>
        </w:rPr>
        <w:t xml:space="preserve">（五）现场培训</w:t>
      </w:r>
      <w:r/>
    </w:p>
    <w:p>
      <w:pPr>
        <w:ind w:firstLine="480"/>
        <w:spacing w:line="360" w:lineRule="auto"/>
        <w:rPr>
          <w:color w:val="auto"/>
          <w:sz w:val="24"/>
          <w:szCs w:val="24"/>
          <w:highlight w:val="none"/>
        </w:rPr>
      </w:pPr>
      <w:r>
        <w:rPr>
          <w:rFonts w:hint="eastAsia"/>
          <w:color w:val="auto"/>
          <w:sz w:val="24"/>
          <w:szCs w:val="24"/>
          <w:highlight w:val="none"/>
        </w:rPr>
        <w:t xml:space="preserve">供应商工程师为用户方工程师进行现场技术培训，包括日常操作、简单维护和处理等；供应商应就服务过程中的问题与用户方进行沟通，在解决问题的同时，提高用户方工作人员的技术能力。</w:t>
      </w:r>
      <w:r/>
    </w:p>
    <w:p>
      <w:pPr>
        <w:spacing w:line="360" w:lineRule="auto"/>
        <w:rPr>
          <w:b/>
          <w:bCs/>
          <w:color w:val="auto"/>
          <w:sz w:val="24"/>
          <w:szCs w:val="24"/>
          <w:highlight w:val="none"/>
        </w:rPr>
        <w:outlineLvl w:val="1"/>
      </w:pPr>
      <w:r>
        <w:rPr>
          <w:rFonts w:hint="eastAsia"/>
          <w:b/>
          <w:bCs/>
          <w:color w:val="auto"/>
          <w:sz w:val="24"/>
          <w:szCs w:val="24"/>
          <w:highlight w:val="none"/>
        </w:rPr>
        <w:t xml:space="preserve">四、商务部分要求</w:t>
      </w:r>
      <w:r/>
    </w:p>
    <w:p>
      <w:pPr>
        <w:ind w:firstLine="420"/>
        <w:spacing w:line="360" w:lineRule="auto"/>
        <w:rPr>
          <w:color w:val="auto"/>
          <w:sz w:val="24"/>
          <w:szCs w:val="24"/>
          <w:highlight w:val="none"/>
        </w:rPr>
      </w:pPr>
      <w:r>
        <w:rPr>
          <w:rFonts w:hint="eastAsia"/>
          <w:b/>
          <w:color w:val="auto"/>
          <w:sz w:val="24"/>
          <w:szCs w:val="24"/>
          <w:highlight w:val="none"/>
        </w:rPr>
        <w:t xml:space="preserve">1、服务周期</w:t>
      </w:r>
      <w:r>
        <w:rPr>
          <w:rFonts w:hint="eastAsia"/>
          <w:color w:val="auto"/>
          <w:sz w:val="24"/>
          <w:szCs w:val="24"/>
          <w:highlight w:val="none"/>
        </w:rPr>
        <w:t xml:space="preserve">：自中标结果公示结束之日后三年。</w:t>
      </w:r>
      <w:r/>
    </w:p>
    <w:p>
      <w:pPr>
        <w:ind w:firstLine="420"/>
        <w:spacing w:line="360" w:lineRule="auto"/>
        <w:rPr>
          <w:b/>
          <w:color w:val="auto"/>
          <w:sz w:val="24"/>
          <w:szCs w:val="24"/>
          <w:highlight w:val="none"/>
        </w:rPr>
      </w:pPr>
      <w:r>
        <w:rPr>
          <w:b/>
          <w:color w:val="auto"/>
          <w:sz w:val="24"/>
          <w:szCs w:val="24"/>
          <w:highlight w:val="none"/>
        </w:rPr>
        <w:t xml:space="preserve">2</w:t>
      </w:r>
      <w:r>
        <w:rPr>
          <w:rFonts w:hint="eastAsia"/>
          <w:b/>
          <w:color w:val="auto"/>
          <w:sz w:val="24"/>
          <w:szCs w:val="24"/>
          <w:highlight w:val="none"/>
        </w:rPr>
        <w:t xml:space="preserve">、服务保障和自罚承诺</w:t>
      </w:r>
      <w:r/>
    </w:p>
    <w:p>
      <w:pPr>
        <w:ind w:firstLine="420"/>
        <w:spacing w:line="360" w:lineRule="auto"/>
        <w:rPr>
          <w:color w:val="auto"/>
          <w:sz w:val="24"/>
          <w:szCs w:val="24"/>
          <w:highlight w:val="none"/>
        </w:rPr>
      </w:pPr>
      <w:r>
        <w:rPr>
          <w:color w:val="auto"/>
          <w:sz w:val="24"/>
          <w:szCs w:val="24"/>
          <w:highlight w:val="none"/>
        </w:rPr>
        <w:t xml:space="preserve">2</w:t>
      </w:r>
      <w:r>
        <w:rPr>
          <w:rFonts w:hint="eastAsia"/>
          <w:color w:val="auto"/>
          <w:sz w:val="24"/>
          <w:szCs w:val="24"/>
          <w:highlight w:val="none"/>
        </w:rPr>
        <w:t xml:space="preserve">.1</w:t>
      </w:r>
      <w:r>
        <w:rPr>
          <w:color w:val="auto"/>
          <w:sz w:val="24"/>
          <w:szCs w:val="24"/>
          <w:highlight w:val="none"/>
        </w:rPr>
        <w:t xml:space="preserve"> </w:t>
      </w:r>
      <w:r>
        <w:rPr>
          <w:rFonts w:hint="eastAsia"/>
          <w:color w:val="auto"/>
          <w:sz w:val="24"/>
          <w:szCs w:val="24"/>
          <w:highlight w:val="none"/>
        </w:rPr>
        <w:t xml:space="preserve">供应商应对照磋商文件要求，书面说明已对采购人的需求做出了实质性的响应，或申明与需求的偏差和例外。</w:t>
      </w:r>
      <w:r/>
    </w:p>
    <w:p>
      <w:pPr>
        <w:ind w:firstLine="420"/>
        <w:spacing w:line="360" w:lineRule="auto"/>
        <w:rPr>
          <w:color w:val="auto"/>
          <w:sz w:val="24"/>
          <w:szCs w:val="24"/>
          <w:highlight w:val="none"/>
        </w:rPr>
      </w:pPr>
      <w:r>
        <w:rPr>
          <w:color w:val="auto"/>
          <w:sz w:val="24"/>
          <w:szCs w:val="24"/>
          <w:highlight w:val="none"/>
        </w:rPr>
        <w:t xml:space="preserve">2</w:t>
      </w:r>
      <w:r>
        <w:rPr>
          <w:rFonts w:hint="eastAsia"/>
          <w:color w:val="auto"/>
          <w:sz w:val="24"/>
          <w:szCs w:val="24"/>
          <w:highlight w:val="none"/>
        </w:rPr>
        <w:t xml:space="preserve">.2</w:t>
      </w:r>
      <w:r>
        <w:rPr>
          <w:color w:val="auto"/>
          <w:sz w:val="24"/>
          <w:szCs w:val="24"/>
          <w:highlight w:val="none"/>
        </w:rPr>
        <w:t xml:space="preserve"> </w:t>
      </w:r>
      <w:r>
        <w:rPr>
          <w:rFonts w:hint="eastAsia"/>
          <w:color w:val="auto"/>
          <w:sz w:val="24"/>
          <w:szCs w:val="24"/>
          <w:highlight w:val="none"/>
        </w:rPr>
        <w:t xml:space="preserve">如果发生因供应商安全措施不力造成的事故责任、或者其他工作失误，由此所产生的一切责任由供应商承担。</w:t>
      </w:r>
      <w:r/>
    </w:p>
    <w:p>
      <w:pPr>
        <w:ind w:firstLine="420"/>
        <w:spacing w:line="360" w:lineRule="auto"/>
        <w:rPr>
          <w:color w:val="auto"/>
          <w:sz w:val="24"/>
          <w:szCs w:val="24"/>
          <w:highlight w:val="none"/>
        </w:rPr>
      </w:pPr>
      <w:r>
        <w:rPr>
          <w:color w:val="auto"/>
          <w:sz w:val="24"/>
          <w:szCs w:val="24"/>
          <w:highlight w:val="none"/>
        </w:rPr>
        <w:t xml:space="preserve">2</w:t>
      </w:r>
      <w:r>
        <w:rPr>
          <w:rFonts w:hint="eastAsia"/>
          <w:color w:val="auto"/>
          <w:sz w:val="24"/>
          <w:szCs w:val="24"/>
          <w:highlight w:val="none"/>
        </w:rPr>
        <w:t xml:space="preserve">.3</w:t>
      </w:r>
      <w:r>
        <w:rPr>
          <w:color w:val="auto"/>
          <w:sz w:val="24"/>
          <w:szCs w:val="24"/>
          <w:highlight w:val="none"/>
        </w:rPr>
        <w:t xml:space="preserve"> </w:t>
      </w:r>
      <w:r>
        <w:rPr>
          <w:rFonts w:hint="eastAsia"/>
          <w:color w:val="auto"/>
          <w:sz w:val="24"/>
          <w:szCs w:val="24"/>
          <w:highlight w:val="none"/>
        </w:rPr>
        <w:t xml:space="preserve">如因供应商投入人员过少原因，造成无法在承诺工期内完成服务，由此产生的一切责任由供应商承担。</w:t>
      </w:r>
      <w:r/>
    </w:p>
    <w:p>
      <w:pPr>
        <w:ind w:firstLine="420"/>
        <w:spacing w:line="360" w:lineRule="auto"/>
        <w:rPr>
          <w:b/>
          <w:color w:val="auto"/>
          <w:sz w:val="24"/>
          <w:szCs w:val="24"/>
          <w:highlight w:val="none"/>
        </w:rPr>
      </w:pPr>
      <w:r>
        <w:rPr>
          <w:b/>
          <w:color w:val="auto"/>
          <w:sz w:val="24"/>
          <w:szCs w:val="24"/>
          <w:highlight w:val="none"/>
        </w:rPr>
        <w:t xml:space="preserve">3</w:t>
      </w:r>
      <w:r>
        <w:rPr>
          <w:rFonts w:hint="eastAsia"/>
          <w:b/>
          <w:color w:val="auto"/>
          <w:sz w:val="24"/>
          <w:szCs w:val="24"/>
          <w:highlight w:val="none"/>
        </w:rPr>
        <w:t xml:space="preserve">、报价说明</w:t>
      </w:r>
      <w:r/>
    </w:p>
    <w:p>
      <w:pPr>
        <w:ind w:firstLine="420"/>
        <w:spacing w:line="360" w:lineRule="auto"/>
        <w:rPr>
          <w:color w:val="auto"/>
          <w:sz w:val="24"/>
          <w:szCs w:val="24"/>
          <w:highlight w:val="none"/>
        </w:rPr>
      </w:pPr>
      <w:r>
        <w:rPr>
          <w:color w:val="auto"/>
          <w:sz w:val="24"/>
          <w:szCs w:val="24"/>
          <w:highlight w:val="none"/>
        </w:rPr>
        <w:t xml:space="preserve">3</w:t>
      </w:r>
      <w:r>
        <w:rPr>
          <w:rFonts w:hint="eastAsia"/>
          <w:color w:val="auto"/>
          <w:sz w:val="24"/>
          <w:szCs w:val="24"/>
          <w:highlight w:val="none"/>
        </w:rPr>
        <w:t xml:space="preserve">.1</w:t>
      </w:r>
      <w:r>
        <w:rPr>
          <w:color w:val="auto"/>
          <w:sz w:val="24"/>
          <w:szCs w:val="24"/>
          <w:highlight w:val="none"/>
        </w:rPr>
        <w:t xml:space="preserve"> </w:t>
      </w:r>
      <w:r>
        <w:rPr>
          <w:rFonts w:hint="eastAsia"/>
          <w:color w:val="auto"/>
          <w:sz w:val="24"/>
          <w:szCs w:val="24"/>
          <w:highlight w:val="none"/>
        </w:rPr>
        <w:t xml:space="preserve">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20"/>
        <w:spacing w:line="360" w:lineRule="auto"/>
        <w:rPr>
          <w:color w:val="auto"/>
          <w:sz w:val="24"/>
          <w:szCs w:val="24"/>
          <w:highlight w:val="none"/>
        </w:rPr>
      </w:pPr>
      <w:r>
        <w:rPr>
          <w:color w:val="auto"/>
          <w:sz w:val="24"/>
          <w:szCs w:val="24"/>
          <w:highlight w:val="none"/>
        </w:rPr>
        <w:t xml:space="preserve">3</w:t>
      </w:r>
      <w:r>
        <w:rPr>
          <w:rFonts w:hint="eastAsia"/>
          <w:color w:val="auto"/>
          <w:sz w:val="24"/>
          <w:szCs w:val="24"/>
          <w:highlight w:val="none"/>
        </w:rPr>
        <w:t xml:space="preserve">.2</w:t>
      </w:r>
      <w:r>
        <w:rPr>
          <w:color w:val="auto"/>
          <w:sz w:val="24"/>
          <w:szCs w:val="24"/>
          <w:highlight w:val="none"/>
        </w:rPr>
        <w:t xml:space="preserve"> </w:t>
      </w:r>
      <w:r>
        <w:rPr>
          <w:rFonts w:hint="eastAsia"/>
          <w:color w:val="auto"/>
          <w:sz w:val="24"/>
          <w:szCs w:val="24"/>
          <w:highlight w:val="none"/>
        </w:rPr>
        <w:t xml:space="preserve">供应商的任何错漏、优惠、竞争性报价不得作为减轻责任、减少服务、增加收费、降低服务质量的理由。</w:t>
      </w:r>
      <w:r/>
    </w:p>
    <w:p>
      <w:pPr>
        <w:ind w:firstLine="420"/>
        <w:spacing w:line="360" w:lineRule="auto"/>
        <w:rPr>
          <w:color w:val="auto"/>
          <w:sz w:val="24"/>
          <w:szCs w:val="24"/>
          <w:highlight w:val="none"/>
        </w:rPr>
      </w:pPr>
      <w:r>
        <w:rPr>
          <w:color w:val="auto"/>
          <w:sz w:val="24"/>
          <w:szCs w:val="24"/>
          <w:highlight w:val="none"/>
        </w:rPr>
        <w:t xml:space="preserve">3</w:t>
      </w:r>
      <w:r>
        <w:rPr>
          <w:rFonts w:hint="eastAsia"/>
          <w:color w:val="auto"/>
          <w:sz w:val="24"/>
          <w:szCs w:val="24"/>
          <w:highlight w:val="none"/>
        </w:rPr>
        <w:t xml:space="preserve">.3</w:t>
      </w:r>
      <w:r>
        <w:rPr>
          <w:color w:val="auto"/>
          <w:sz w:val="24"/>
          <w:szCs w:val="24"/>
          <w:highlight w:val="none"/>
        </w:rPr>
        <w:t xml:space="preserve"> </w:t>
      </w:r>
      <w:r>
        <w:rPr>
          <w:rFonts w:hint="eastAsia"/>
          <w:color w:val="auto"/>
          <w:sz w:val="24"/>
          <w:szCs w:val="24"/>
          <w:highlight w:val="none"/>
        </w:rPr>
        <w:t xml:space="preserve">供应商报价除包含采购文件中列明的项目外还应包括保障服务正常运行应当具有的物资和服务，对服务正常运行应当具有的物资和服务理解不一致的以采购人理解为准。</w:t>
      </w:r>
      <w:r/>
    </w:p>
    <w:p>
      <w:pPr>
        <w:spacing w:line="360" w:lineRule="auto"/>
        <w:rPr>
          <w:b/>
          <w:color w:val="auto"/>
          <w:sz w:val="24"/>
          <w:szCs w:val="24"/>
          <w:highlight w:val="none"/>
        </w:rPr>
      </w:pPr>
      <w:r>
        <w:rPr>
          <w:b/>
          <w:color w:val="auto"/>
          <w:sz w:val="24"/>
          <w:szCs w:val="24"/>
          <w:highlight w:val="none"/>
        </w:rPr>
        <w:t xml:space="preserve">4</w:t>
      </w:r>
      <w:r>
        <w:rPr>
          <w:rFonts w:hint="eastAsia"/>
          <w:b/>
          <w:color w:val="auto"/>
          <w:sz w:val="24"/>
          <w:szCs w:val="24"/>
          <w:highlight w:val="none"/>
        </w:rPr>
        <w:t xml:space="preserve">、付款条件</w:t>
      </w:r>
      <w:r/>
    </w:p>
    <w:p>
      <w:pPr>
        <w:ind w:firstLine="420"/>
        <w:spacing w:line="360" w:lineRule="auto"/>
        <w:rPr>
          <w:b/>
          <w:color w:val="auto"/>
          <w:sz w:val="24"/>
          <w:szCs w:val="24"/>
          <w:highlight w:val="none"/>
        </w:rPr>
      </w:pPr>
      <w:r>
        <w:rPr>
          <w:rFonts w:hint="eastAsia"/>
          <w:b/>
          <w:color w:val="auto"/>
          <w:sz w:val="24"/>
          <w:szCs w:val="24"/>
          <w:highlight w:val="none"/>
          <w:lang w:val="ja-JP" w:eastAsia="ja-JP"/>
        </w:rPr>
        <w:t xml:space="preserve">付款方式：合同签订后，</w:t>
      </w:r>
      <w:r>
        <w:rPr>
          <w:rFonts w:hint="eastAsia"/>
          <w:b/>
          <w:color w:val="auto"/>
          <w:sz w:val="24"/>
          <w:szCs w:val="24"/>
          <w:highlight w:val="none"/>
          <w:lang w:val="ja-JP"/>
        </w:rPr>
        <w:t xml:space="preserve">年</w:t>
      </w:r>
      <w:r>
        <w:rPr>
          <w:rFonts w:hint="eastAsia"/>
          <w:b/>
          <w:color w:val="auto"/>
          <w:sz w:val="24"/>
          <w:szCs w:val="24"/>
          <w:highlight w:val="none"/>
          <w:lang w:val="ja-JP" w:eastAsia="ja-JP"/>
        </w:rPr>
        <w:t xml:space="preserve">服务履行半年</w:t>
      </w:r>
      <w:r>
        <w:rPr>
          <w:rFonts w:hint="eastAsia"/>
          <w:b/>
          <w:color w:val="auto"/>
          <w:sz w:val="24"/>
          <w:szCs w:val="24"/>
          <w:highlight w:val="none"/>
          <w:lang w:val="ja-JP"/>
        </w:rPr>
        <w:t xml:space="preserve">，</w:t>
      </w:r>
      <w:r>
        <w:rPr>
          <w:rFonts w:hint="eastAsia"/>
          <w:b/>
          <w:color w:val="auto"/>
          <w:sz w:val="24"/>
          <w:szCs w:val="24"/>
          <w:highlight w:val="none"/>
          <w:lang w:val="ja-JP" w:eastAsia="ja-JP"/>
        </w:rPr>
        <w:t xml:space="preserve">经</w:t>
      </w:r>
      <w:r>
        <w:rPr>
          <w:rFonts w:hint="eastAsia"/>
          <w:b/>
          <w:color w:val="auto"/>
          <w:sz w:val="24"/>
          <w:szCs w:val="24"/>
          <w:highlight w:val="none"/>
          <w:lang w:val="ja-JP"/>
        </w:rPr>
        <w:t xml:space="preserve">甲方项目负责人</w:t>
      </w:r>
      <w:r>
        <w:rPr>
          <w:rFonts w:hint="eastAsia"/>
          <w:b/>
          <w:color w:val="auto"/>
          <w:sz w:val="24"/>
          <w:szCs w:val="24"/>
          <w:highlight w:val="none"/>
          <w:lang w:val="ja-JP" w:eastAsia="ja-JP"/>
        </w:rPr>
        <w:t xml:space="preserve">确认服务合格</w:t>
      </w:r>
      <w:r>
        <w:rPr>
          <w:rFonts w:hint="eastAsia"/>
          <w:b/>
          <w:color w:val="auto"/>
          <w:sz w:val="24"/>
          <w:szCs w:val="24"/>
          <w:highlight w:val="none"/>
          <w:lang w:val="ja-JP"/>
        </w:rPr>
        <w:t xml:space="preserve">后</w:t>
      </w:r>
      <w:r>
        <w:rPr>
          <w:rFonts w:hint="eastAsia"/>
          <w:b/>
          <w:color w:val="auto"/>
          <w:sz w:val="24"/>
          <w:szCs w:val="24"/>
          <w:highlight w:val="none"/>
          <w:lang w:val="ja-JP" w:eastAsia="ja-JP"/>
        </w:rPr>
        <w:t xml:space="preserve">支付</w:t>
      </w:r>
      <w:r>
        <w:rPr>
          <w:rFonts w:hint="eastAsia"/>
          <w:b/>
          <w:color w:val="auto"/>
          <w:sz w:val="24"/>
          <w:szCs w:val="24"/>
          <w:highlight w:val="none"/>
          <w:lang w:val="ja-JP"/>
        </w:rPr>
        <w:t xml:space="preserve">年服务</w:t>
      </w:r>
      <w:r>
        <w:rPr>
          <w:rFonts w:hint="eastAsia"/>
          <w:b/>
          <w:color w:val="auto"/>
          <w:sz w:val="24"/>
          <w:szCs w:val="24"/>
          <w:highlight w:val="none"/>
          <w:lang w:val="ja-JP" w:eastAsia="ja-JP"/>
        </w:rPr>
        <w:t xml:space="preserve">的</w:t>
      </w:r>
      <w:r>
        <w:rPr>
          <w:b/>
          <w:color w:val="auto"/>
          <w:sz w:val="24"/>
          <w:szCs w:val="24"/>
          <w:highlight w:val="none"/>
          <w:lang w:val="ja-JP" w:eastAsia="ja-JP"/>
        </w:rPr>
        <w:t xml:space="preserve">50%；服务期满</w:t>
      </w:r>
      <w:r>
        <w:rPr>
          <w:rFonts w:hint="eastAsia"/>
          <w:b/>
          <w:color w:val="auto"/>
          <w:sz w:val="24"/>
          <w:szCs w:val="24"/>
          <w:highlight w:val="none"/>
          <w:lang w:val="ja-JP"/>
        </w:rPr>
        <w:t xml:space="preserve">一年</w:t>
      </w:r>
      <w:r>
        <w:rPr>
          <w:b/>
          <w:color w:val="auto"/>
          <w:sz w:val="24"/>
          <w:szCs w:val="24"/>
          <w:highlight w:val="none"/>
          <w:lang w:val="ja-JP" w:eastAsia="ja-JP"/>
        </w:rPr>
        <w:t xml:space="preserve">并经</w:t>
      </w:r>
      <w:r>
        <w:rPr>
          <w:rFonts w:hint="eastAsia"/>
          <w:b/>
          <w:color w:val="auto"/>
          <w:sz w:val="24"/>
          <w:szCs w:val="24"/>
          <w:highlight w:val="none"/>
          <w:lang w:val="ja-JP"/>
        </w:rPr>
        <w:t xml:space="preserve">甲方项目负责人确认服务</w:t>
      </w:r>
      <w:r>
        <w:rPr>
          <w:b/>
          <w:color w:val="auto"/>
          <w:sz w:val="24"/>
          <w:szCs w:val="24"/>
          <w:highlight w:val="none"/>
          <w:lang w:val="ja-JP" w:eastAsia="ja-JP"/>
        </w:rPr>
        <w:t xml:space="preserve">合格后，</w:t>
      </w:r>
      <w:r>
        <w:rPr>
          <w:rFonts w:hint="eastAsia"/>
          <w:b/>
          <w:color w:val="auto"/>
          <w:sz w:val="24"/>
          <w:szCs w:val="24"/>
          <w:highlight w:val="none"/>
          <w:lang w:val="ja-JP"/>
        </w:rPr>
        <w:t xml:space="preserve">甲方</w:t>
      </w:r>
      <w:r>
        <w:rPr>
          <w:b/>
          <w:color w:val="auto"/>
          <w:sz w:val="24"/>
          <w:szCs w:val="24"/>
          <w:highlight w:val="none"/>
          <w:lang w:val="ja-JP" w:eastAsia="ja-JP"/>
        </w:rPr>
        <w:t xml:space="preserve">支付剩余</w:t>
      </w:r>
      <w:r>
        <w:rPr>
          <w:rFonts w:hint="eastAsia"/>
          <w:b/>
          <w:color w:val="auto"/>
          <w:sz w:val="24"/>
          <w:szCs w:val="24"/>
          <w:highlight w:val="none"/>
          <w:lang w:val="ja-JP"/>
        </w:rPr>
        <w:t xml:space="preserve">年服务</w:t>
      </w:r>
      <w:r>
        <w:rPr>
          <w:b/>
          <w:color w:val="auto"/>
          <w:sz w:val="24"/>
          <w:szCs w:val="24"/>
          <w:highlight w:val="none"/>
          <w:lang w:val="ja-JP" w:eastAsia="ja-JP"/>
        </w:rPr>
        <w:t xml:space="preserve">合同款。</w:t>
      </w:r>
      <w:r>
        <w:rPr>
          <w:rFonts w:hint="eastAsia"/>
          <w:b/>
          <w:color w:val="auto"/>
          <w:sz w:val="24"/>
          <w:szCs w:val="24"/>
          <w:highlight w:val="none"/>
          <w:lang w:val="ja-JP"/>
        </w:rPr>
        <w:t xml:space="preserve">其他年度与此一致，</w:t>
      </w:r>
      <w:r>
        <w:rPr>
          <w:rFonts w:hint="eastAsia"/>
          <w:b/>
          <w:color w:val="auto"/>
          <w:sz w:val="24"/>
          <w:szCs w:val="24"/>
          <w:highlight w:val="none"/>
        </w:rPr>
        <w:t xml:space="preserve">且</w:t>
      </w:r>
      <w:r>
        <w:rPr>
          <w:rFonts w:hint="eastAsia"/>
          <w:b/>
          <w:color w:val="auto"/>
          <w:sz w:val="24"/>
          <w:szCs w:val="24"/>
          <w:highlight w:val="none"/>
          <w:lang w:val="ja-JP"/>
        </w:rPr>
        <w:t xml:space="preserve">甲方确定</w:t>
      </w:r>
      <w:r>
        <w:rPr>
          <w:rFonts w:hint="eastAsia"/>
          <w:b/>
          <w:color w:val="auto"/>
          <w:sz w:val="24"/>
          <w:szCs w:val="24"/>
          <w:highlight w:val="none"/>
        </w:rPr>
        <w:t xml:space="preserve">下一年度</w:t>
      </w:r>
      <w:r>
        <w:rPr>
          <w:rFonts w:hint="eastAsia"/>
          <w:b/>
          <w:color w:val="auto"/>
          <w:sz w:val="24"/>
          <w:szCs w:val="24"/>
          <w:highlight w:val="none"/>
          <w:lang w:val="ja-JP"/>
        </w:rPr>
        <w:t xml:space="preserve">预算后，方可执行合同。</w:t>
      </w:r>
      <w:r/>
    </w:p>
    <w:p>
      <w:pPr>
        <w:spacing w:line="360" w:lineRule="auto"/>
        <w:rPr>
          <w:b/>
          <w:color w:val="auto"/>
          <w:sz w:val="24"/>
          <w:szCs w:val="24"/>
          <w:highlight w:val="none"/>
        </w:rPr>
      </w:pPr>
      <w:r>
        <w:rPr>
          <w:rFonts w:hint="eastAsia"/>
          <w:b/>
          <w:color w:val="auto"/>
          <w:sz w:val="24"/>
          <w:szCs w:val="24"/>
          <w:highlight w:val="none"/>
        </w:rPr>
        <w:t xml:space="preserve">备注：</w:t>
      </w:r>
      <w:r/>
    </w:p>
    <w:p>
      <w:pPr>
        <w:pStyle w:val="1209"/>
        <w:numPr>
          <w:ilvl w:val="0"/>
          <w:numId w:val="9"/>
        </w:numPr>
        <w:spacing w:line="360" w:lineRule="auto"/>
        <w:rPr>
          <w:b/>
          <w:color w:val="auto"/>
          <w:sz w:val="24"/>
          <w:szCs w:val="24"/>
          <w:highlight w:val="none"/>
        </w:rPr>
      </w:pPr>
      <w:r>
        <w:rPr>
          <w:rFonts w:hint="eastAsia"/>
          <w:b/>
          <w:color w:val="auto"/>
          <w:sz w:val="24"/>
          <w:szCs w:val="24"/>
          <w:highlight w:val="none"/>
        </w:rPr>
        <w:t xml:space="preserve">本章有带星号（“★”）的内容及商务部分要求均为实质性要求，不允许负偏离，否则作为无效报价。采购文件中要求的产品品牌或型号，是采购人根据项目所要实现的功能及考量后推荐的品牌或型号，供应商可以采用其他品牌的产品进行投标，但是，所有功能必须能满足采购项目整体性能的实现。</w:t>
      </w:r>
      <w:r/>
    </w:p>
    <w:p>
      <w:pPr>
        <w:ind w:firstLine="420"/>
        <w:spacing w:line="360" w:lineRule="auto"/>
        <w:rPr>
          <w:color w:val="auto"/>
          <w:sz w:val="24"/>
          <w:szCs w:val="24"/>
          <w:highlight w:val="none"/>
        </w:rPr>
      </w:pPr>
      <w:r>
        <w:rPr>
          <w:color w:val="auto"/>
          <w:sz w:val="24"/>
          <w:szCs w:val="24"/>
          <w:highlight w:val="none"/>
        </w:rPr>
      </w:r>
      <w:r/>
    </w:p>
    <w:p>
      <w:pPr>
        <w:ind w:right="-10"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b/>
          <w:color w:val="auto"/>
          <w:sz w:val="24"/>
          <w:szCs w:val="24"/>
          <w:highlight w:val="none"/>
        </w:rPr>
      </w:pPr>
      <w:r>
        <w:rPr>
          <w:rFonts w:ascii="宋体" w:hAnsi="宋体" w:cs="宋体"/>
          <w:b/>
          <w:color w:val="auto"/>
          <w:sz w:val="24"/>
          <w:szCs w:val="24"/>
          <w:highlight w:val="none"/>
        </w:rPr>
      </w:r>
      <w:r/>
    </w:p>
    <w:p>
      <w:pPr>
        <w:ind w:firstLine="482"/>
        <w:rPr>
          <w:rFonts w:ascii="宋体" w:hAnsi="宋体" w:cs="宋体"/>
          <w:b/>
          <w:color w:val="auto"/>
          <w:sz w:val="24"/>
          <w:szCs w:val="24"/>
          <w:highlight w:val="none"/>
        </w:rPr>
      </w:pPr>
      <w:r>
        <w:rPr>
          <w:rFonts w:ascii="宋体" w:hAnsi="宋体" w:cs="宋体"/>
          <w:b/>
          <w:color w:val="auto"/>
          <w:sz w:val="24"/>
          <w:szCs w:val="24"/>
          <w:highlight w:val="none"/>
        </w:rPr>
      </w:r>
      <w:r/>
    </w:p>
    <w:p>
      <w:pPr>
        <w:ind w:firstLine="482"/>
        <w:rPr>
          <w:rFonts w:ascii="宋体" w:hAnsi="宋体" w:cs="宋体"/>
          <w:b/>
          <w:color w:val="auto"/>
          <w:sz w:val="24"/>
          <w:szCs w:val="24"/>
          <w:highlight w:val="none"/>
        </w:rPr>
      </w:pPr>
      <w:r>
        <w:rPr>
          <w:rFonts w:ascii="宋体" w:hAnsi="宋体" w:cs="宋体"/>
          <w:b/>
          <w:color w:val="auto"/>
          <w:sz w:val="24"/>
          <w:szCs w:val="24"/>
          <w:highlight w:val="none"/>
        </w:rPr>
      </w:r>
      <w:r/>
    </w:p>
    <w:p>
      <w:pPr>
        <w:ind w:firstLine="482"/>
        <w:rPr>
          <w:rFonts w:ascii="宋体" w:hAnsi="宋体" w:cs="宋体"/>
          <w:b/>
          <w:color w:val="auto"/>
          <w:sz w:val="24"/>
          <w:szCs w:val="24"/>
          <w:highlight w:val="none"/>
        </w:rPr>
      </w:pPr>
      <w:r>
        <w:rPr>
          <w:rFonts w:ascii="宋体" w:hAnsi="宋体" w:cs="宋体"/>
          <w:b/>
          <w:color w:val="auto"/>
          <w:sz w:val="24"/>
          <w:szCs w:val="24"/>
          <w:highlight w:val="none"/>
        </w:rPr>
      </w:r>
      <w:r/>
    </w:p>
    <w:p>
      <w:pPr>
        <w:jc w:val="left"/>
        <w:spacing w:line="276" w:lineRule="auto"/>
        <w:widowControl/>
        <w:tabs>
          <w:tab w:val="left" w:pos="720" w:leader="none"/>
        </w:tabs>
        <w:rPr>
          <w:rFonts w:asciiTheme="majorEastAsia" w:hAnsiTheme="majorEastAsia" w:eastAsiaTheme="majorEastAsia" w:cstheme="majorEastAsia"/>
          <w:b/>
          <w:bCs/>
          <w:color w:val="auto"/>
          <w:sz w:val="24"/>
          <w:szCs w:val="24"/>
          <w:highlight w:val="none"/>
        </w:rPr>
        <w:outlineLvl w:val="1"/>
      </w:pPr>
      <w:r>
        <w:rPr>
          <w:rFonts w:asciiTheme="majorEastAsia" w:hAnsiTheme="majorEastAsia" w:eastAsiaTheme="majorEastAsia" w:cstheme="majorEastAsia"/>
          <w:b/>
          <w:bCs/>
          <w:color w:val="auto"/>
          <w:sz w:val="24"/>
          <w:szCs w:val="24"/>
          <w:highlight w:val="none"/>
        </w:rPr>
      </w:r>
      <w:r/>
    </w:p>
    <w:p>
      <w:pPr>
        <w:jc w:val="left"/>
        <w:spacing w:line="276" w:lineRule="auto"/>
        <w:widowControl/>
        <w:tabs>
          <w:tab w:val="left" w:pos="720" w:leader="none"/>
        </w:tabs>
        <w:rPr>
          <w:rFonts w:asciiTheme="majorEastAsia" w:hAnsiTheme="majorEastAsia" w:eastAsiaTheme="majorEastAsia" w:cstheme="majorEastAsia"/>
          <w:b/>
          <w:bCs/>
          <w:color w:val="auto"/>
          <w:sz w:val="24"/>
          <w:szCs w:val="24"/>
          <w:highlight w:val="none"/>
        </w:rPr>
        <w:outlineLvl w:val="1"/>
      </w:pPr>
      <w:r>
        <w:rPr>
          <w:rFonts w:asciiTheme="majorEastAsia" w:hAnsiTheme="majorEastAsia" w:eastAsiaTheme="majorEastAsia" w:cstheme="majorEastAsia"/>
          <w:b/>
          <w:bCs/>
          <w:color w:val="auto"/>
          <w:sz w:val="24"/>
          <w:szCs w:val="24"/>
          <w:highlight w:val="none"/>
        </w:rPr>
      </w:r>
      <w:r/>
    </w:p>
    <w:p>
      <w:pPr>
        <w:jc w:val="left"/>
        <w:spacing w:line="276" w:lineRule="auto"/>
        <w:widowControl/>
        <w:tabs>
          <w:tab w:val="left" w:pos="720" w:leader="none"/>
        </w:tabs>
        <w:rPr>
          <w:rFonts w:asciiTheme="majorEastAsia" w:hAnsiTheme="majorEastAsia" w:eastAsiaTheme="majorEastAsia" w:cstheme="majorEastAsia"/>
          <w:b/>
          <w:bCs/>
          <w:color w:val="auto"/>
          <w:sz w:val="24"/>
          <w:szCs w:val="24"/>
          <w:highlight w:val="none"/>
        </w:rPr>
        <w:outlineLvl w:val="1"/>
      </w:pPr>
      <w:r>
        <w:rPr>
          <w:rFonts w:asciiTheme="majorEastAsia" w:hAnsiTheme="majorEastAsia" w:eastAsiaTheme="majorEastAsia" w:cstheme="majorEastAsia"/>
          <w:b/>
          <w:bCs/>
          <w:color w:val="auto"/>
          <w:sz w:val="24"/>
          <w:szCs w:val="24"/>
          <w:highlight w:val="none"/>
        </w:rPr>
      </w:r>
      <w:r/>
    </w:p>
    <w:p>
      <w:pPr>
        <w:jc w:val="left"/>
        <w:spacing w:line="276" w:lineRule="auto"/>
        <w:widowControl/>
        <w:tabs>
          <w:tab w:val="left" w:pos="720" w:leader="none"/>
        </w:tabs>
        <w:rPr>
          <w:rFonts w:asciiTheme="majorEastAsia" w:hAnsiTheme="majorEastAsia" w:eastAsiaTheme="majorEastAsia" w:cstheme="majorEastAsia"/>
          <w:b/>
          <w:bCs/>
          <w:color w:val="auto"/>
          <w:sz w:val="24"/>
          <w:szCs w:val="24"/>
          <w:highlight w:val="none"/>
        </w:rPr>
        <w:outlineLvl w:val="1"/>
      </w:pPr>
      <w:r>
        <w:rPr>
          <w:rFonts w:asciiTheme="majorEastAsia" w:hAnsiTheme="majorEastAsia" w:eastAsiaTheme="majorEastAsia" w:cstheme="majorEastAsia"/>
          <w:b/>
          <w:bCs/>
          <w:color w:val="auto"/>
          <w:sz w:val="24"/>
          <w:szCs w:val="24"/>
          <w:highlight w:val="none"/>
        </w:rPr>
      </w:r>
      <w:r/>
    </w:p>
    <w:p>
      <w:pPr>
        <w:jc w:val="left"/>
        <w:spacing w:line="276" w:lineRule="auto"/>
        <w:widowControl/>
        <w:tabs>
          <w:tab w:val="left" w:pos="720" w:leader="none"/>
        </w:tabs>
        <w:rPr>
          <w:rFonts w:asciiTheme="majorEastAsia" w:hAnsiTheme="majorEastAsia" w:eastAsiaTheme="majorEastAsia" w:cstheme="majorEastAsia"/>
          <w:b/>
          <w:bCs/>
          <w:color w:val="auto"/>
          <w:sz w:val="24"/>
          <w:szCs w:val="24"/>
          <w:highlight w:val="none"/>
        </w:rPr>
        <w:outlineLvl w:val="1"/>
      </w:pPr>
      <w:r>
        <w:rPr>
          <w:rFonts w:asciiTheme="majorEastAsia" w:hAnsiTheme="majorEastAsia" w:eastAsiaTheme="majorEastAsia" w:cstheme="majorEastAsia"/>
          <w:b/>
          <w:bCs/>
          <w:color w:val="auto"/>
          <w:sz w:val="24"/>
          <w:szCs w:val="24"/>
          <w:highlight w:val="none"/>
        </w:rPr>
      </w:r>
      <w:r/>
    </w:p>
    <w:p>
      <w:pPr>
        <w:jc w:val="left"/>
        <w:spacing w:line="276" w:lineRule="auto"/>
        <w:widowControl/>
        <w:tabs>
          <w:tab w:val="left" w:pos="720" w:leader="none"/>
        </w:tabs>
        <w:rPr>
          <w:rFonts w:asciiTheme="majorEastAsia" w:hAnsiTheme="majorEastAsia" w:eastAsiaTheme="majorEastAsia" w:cstheme="majorEastAsia"/>
          <w:b/>
          <w:bCs/>
          <w:color w:val="auto"/>
          <w:sz w:val="24"/>
          <w:szCs w:val="24"/>
          <w:highlight w:val="none"/>
        </w:rPr>
        <w:outlineLvl w:val="1"/>
      </w:pPr>
      <w:r>
        <w:rPr>
          <w:rFonts w:asciiTheme="majorEastAsia" w:hAnsiTheme="majorEastAsia" w:eastAsiaTheme="majorEastAsia" w:cstheme="majorEastAsia"/>
          <w:b/>
          <w:bCs/>
          <w:color w:val="auto"/>
          <w:sz w:val="24"/>
          <w:szCs w:val="24"/>
          <w:highlight w:val="none"/>
        </w:rPr>
      </w:r>
      <w:r/>
    </w:p>
    <w:p>
      <w:pPr>
        <w:jc w:val="left"/>
        <w:spacing w:line="276" w:lineRule="auto"/>
        <w:widowControl/>
        <w:tabs>
          <w:tab w:val="left" w:pos="720" w:leader="none"/>
        </w:tabs>
        <w:rPr>
          <w:rFonts w:asciiTheme="majorEastAsia" w:hAnsiTheme="majorEastAsia" w:eastAsiaTheme="majorEastAsia" w:cstheme="majorEastAsia"/>
          <w:b/>
          <w:bCs/>
          <w:color w:val="auto"/>
          <w:sz w:val="24"/>
          <w:szCs w:val="24"/>
          <w:highlight w:val="none"/>
        </w:rPr>
        <w:outlineLvl w:val="1"/>
      </w:pPr>
      <w:r>
        <w:rPr>
          <w:rFonts w:asciiTheme="majorEastAsia" w:hAnsiTheme="majorEastAsia" w:eastAsiaTheme="majorEastAsia" w:cstheme="majorEastAsia"/>
          <w:b/>
          <w:bCs/>
          <w:color w:val="auto"/>
          <w:sz w:val="24"/>
          <w:szCs w:val="24"/>
          <w:highlight w:val="none"/>
        </w:rPr>
      </w:r>
      <w:r/>
    </w:p>
    <w:p>
      <w:pPr>
        <w:jc w:val="left"/>
        <w:spacing w:line="276" w:lineRule="auto"/>
        <w:widowControl/>
        <w:tabs>
          <w:tab w:val="left" w:pos="720" w:leader="none"/>
        </w:tabs>
        <w:rPr>
          <w:rFonts w:asciiTheme="majorEastAsia" w:hAnsiTheme="majorEastAsia" w:eastAsiaTheme="majorEastAsia" w:cstheme="majorEastAsia"/>
          <w:b/>
          <w:bCs/>
          <w:color w:val="auto"/>
          <w:sz w:val="24"/>
          <w:szCs w:val="24"/>
          <w:highlight w:val="none"/>
        </w:rPr>
        <w:outlineLvl w:val="1"/>
      </w:pPr>
      <w:r>
        <w:rPr>
          <w:rFonts w:asciiTheme="majorEastAsia" w:hAnsiTheme="majorEastAsia" w:eastAsiaTheme="majorEastAsia" w:cstheme="majorEastAsia"/>
          <w:b/>
          <w:bCs/>
          <w:color w:val="auto"/>
          <w:sz w:val="24"/>
          <w:szCs w:val="24"/>
          <w:highlight w:val="none"/>
        </w:rPr>
      </w:r>
      <w:r/>
    </w:p>
    <w:p>
      <w:pPr>
        <w:jc w:val="left"/>
        <w:spacing w:line="276" w:lineRule="auto"/>
        <w:widowControl/>
        <w:tabs>
          <w:tab w:val="left" w:pos="720" w:leader="none"/>
        </w:tabs>
        <w:rPr>
          <w:rFonts w:asciiTheme="majorEastAsia" w:hAnsiTheme="majorEastAsia" w:eastAsiaTheme="majorEastAsia" w:cstheme="majorEastAsia"/>
          <w:b/>
          <w:bCs/>
          <w:color w:val="auto"/>
          <w:sz w:val="24"/>
          <w:szCs w:val="24"/>
          <w:highlight w:val="none"/>
        </w:rPr>
        <w:outlineLvl w:val="1"/>
      </w:pPr>
      <w:r>
        <w:rPr>
          <w:rFonts w:asciiTheme="majorEastAsia" w:hAnsiTheme="majorEastAsia" w:eastAsiaTheme="majorEastAsia" w:cstheme="majorEastAsia"/>
          <w:b/>
          <w:bCs/>
          <w:color w:val="auto"/>
          <w:sz w:val="24"/>
          <w:szCs w:val="24"/>
          <w:highlight w:val="none"/>
        </w:rPr>
      </w:r>
      <w:r/>
    </w:p>
    <w:p>
      <w:pPr>
        <w:jc w:val="left"/>
        <w:spacing w:line="276" w:lineRule="auto"/>
        <w:widowControl/>
        <w:tabs>
          <w:tab w:val="left" w:pos="720" w:leader="none"/>
        </w:tabs>
        <w:rPr>
          <w:rFonts w:asciiTheme="majorEastAsia" w:hAnsiTheme="majorEastAsia" w:eastAsiaTheme="majorEastAsia" w:cstheme="majorEastAsia"/>
          <w:b/>
          <w:bCs/>
          <w:color w:val="auto"/>
          <w:sz w:val="24"/>
          <w:szCs w:val="24"/>
          <w:highlight w:val="none"/>
        </w:rPr>
        <w:outlineLvl w:val="1"/>
      </w:pPr>
      <w:r>
        <w:rPr>
          <w:rFonts w:asciiTheme="majorEastAsia" w:hAnsiTheme="majorEastAsia" w:eastAsiaTheme="majorEastAsia" w:cstheme="majorEastAsia"/>
          <w:b/>
          <w:bCs/>
          <w:color w:val="auto"/>
          <w:sz w:val="24"/>
          <w:szCs w:val="24"/>
          <w:highlight w:val="none"/>
        </w:rPr>
      </w:r>
      <w:r/>
    </w:p>
    <w:p>
      <w:pPr>
        <w:jc w:val="left"/>
        <w:spacing w:line="276" w:lineRule="auto"/>
        <w:widowControl/>
        <w:tabs>
          <w:tab w:val="left" w:pos="720" w:leader="none"/>
        </w:tabs>
        <w:rPr>
          <w:rFonts w:asciiTheme="majorEastAsia" w:hAnsiTheme="majorEastAsia" w:eastAsiaTheme="majorEastAsia" w:cstheme="majorEastAsia"/>
          <w:b/>
          <w:bCs/>
          <w:color w:val="auto"/>
          <w:sz w:val="24"/>
          <w:szCs w:val="24"/>
          <w:highlight w:val="none"/>
        </w:rPr>
        <w:outlineLvl w:val="1"/>
      </w:pPr>
      <w:r>
        <w:rPr>
          <w:rFonts w:asciiTheme="majorEastAsia" w:hAnsiTheme="majorEastAsia" w:eastAsiaTheme="majorEastAsia" w:cstheme="majorEastAsia"/>
          <w:b/>
          <w:bCs/>
          <w:color w:val="auto"/>
          <w:sz w:val="24"/>
          <w:szCs w:val="24"/>
          <w:highlight w:val="none"/>
        </w:rPr>
      </w:r>
      <w:r/>
    </w:p>
    <w:p>
      <w:pPr>
        <w:jc w:val="left"/>
        <w:spacing w:line="276" w:lineRule="auto"/>
        <w:widowControl/>
        <w:tabs>
          <w:tab w:val="left" w:pos="720" w:leader="none"/>
        </w:tabs>
        <w:rPr>
          <w:rFonts w:asciiTheme="majorEastAsia" w:hAnsiTheme="majorEastAsia" w:eastAsiaTheme="majorEastAsia" w:cstheme="majorEastAsia"/>
          <w:b/>
          <w:bCs/>
          <w:color w:val="auto"/>
          <w:sz w:val="24"/>
          <w:szCs w:val="24"/>
          <w:highlight w:val="none"/>
        </w:rPr>
        <w:outlineLvl w:val="1"/>
      </w:pPr>
      <w:r>
        <w:rPr>
          <w:rFonts w:asciiTheme="majorEastAsia" w:hAnsiTheme="majorEastAsia" w:eastAsiaTheme="majorEastAsia" w:cstheme="majorEastAsia"/>
          <w:b/>
          <w:bCs/>
          <w:color w:val="auto"/>
          <w:sz w:val="24"/>
          <w:szCs w:val="24"/>
          <w:highlight w:val="none"/>
        </w:rPr>
      </w:r>
      <w:bookmarkEnd w:id="152"/>
      <w:r/>
      <w:bookmarkEnd w:id="153"/>
      <w:r/>
      <w:r/>
    </w:p>
    <w:p>
      <w:pPr>
        <w:pStyle w:val="766"/>
        <w:rPr>
          <w:color w:val="auto"/>
          <w:highlight w:val="none"/>
        </w:rPr>
      </w:pPr>
      <w:r>
        <w:rPr>
          <w:rFonts w:hint="eastAsia"/>
          <w:color w:val="auto"/>
          <w:highlight w:val="none"/>
        </w:rPr>
        <w:t xml:space="preserve"> </w:t>
      </w:r>
      <w:bookmarkStart w:id="154" w:name="_Toc10059"/>
      <w:r>
        <w:rPr>
          <w:rFonts w:hint="eastAsia" w:eastAsia="宋体"/>
          <w:color w:val="auto"/>
          <w:highlight w:val="none"/>
        </w:rPr>
        <w:t xml:space="preserve">第五部分 </w:t>
      </w:r>
      <w:r>
        <w:rPr>
          <w:rFonts w:hint="eastAsia"/>
          <w:color w:val="auto"/>
          <w:highlight w:val="none"/>
        </w:rPr>
        <w:t xml:space="preserve">合同格式及条款</w:t>
      </w:r>
      <w:bookmarkEnd w:id="151"/>
      <w:r/>
      <w:bookmarkEnd w:id="154"/>
      <w:r/>
      <w:r/>
    </w:p>
    <w:p>
      <w:pPr>
        <w:spacing w:line="360" w:lineRule="auto"/>
        <w:rPr>
          <w:color w:val="auto"/>
          <w:sz w:val="24"/>
          <w:szCs w:val="24"/>
          <w:highlight w:val="none"/>
        </w:rPr>
      </w:pPr>
      <w:r>
        <w:rPr>
          <w:rFonts w:hint="eastAsia"/>
          <w:color w:val="auto"/>
          <w:sz w:val="24"/>
          <w:szCs w:val="24"/>
          <w:highlight w:val="none"/>
        </w:rPr>
        <w:t xml:space="preserve">服务合同</w:t>
      </w:r>
      <w:r/>
    </w:p>
    <w:p>
      <w:pPr>
        <w:spacing w:line="360" w:lineRule="auto"/>
        <w:rPr>
          <w:color w:val="auto"/>
          <w:sz w:val="24"/>
          <w:szCs w:val="24"/>
          <w:highlight w:val="none"/>
        </w:rPr>
      </w:pPr>
      <w:r>
        <w:rPr>
          <w:rFonts w:hint="eastAsia"/>
          <w:color w:val="auto"/>
          <w:sz w:val="24"/>
          <w:szCs w:val="24"/>
          <w:highlight w:val="none"/>
        </w:rPr>
        <w:t xml:space="preserve">甲方：南京鼓楼医院</w:t>
      </w:r>
      <w:r/>
    </w:p>
    <w:p>
      <w:pPr>
        <w:spacing w:line="360" w:lineRule="auto"/>
        <w:rPr>
          <w:color w:val="auto"/>
          <w:sz w:val="24"/>
          <w:szCs w:val="24"/>
          <w:highlight w:val="none"/>
        </w:rPr>
      </w:pPr>
      <w:r>
        <w:rPr>
          <w:rFonts w:hint="eastAsia"/>
          <w:color w:val="auto"/>
          <w:sz w:val="24"/>
          <w:szCs w:val="24"/>
          <w:highlight w:val="none"/>
        </w:rPr>
        <w:t xml:space="preserve">乙方：</w:t>
      </w:r>
      <w:r/>
    </w:p>
    <w:p>
      <w:pPr>
        <w:spacing w:line="360" w:lineRule="auto"/>
        <w:rPr>
          <w:color w:val="auto"/>
          <w:sz w:val="24"/>
          <w:szCs w:val="24"/>
          <w:highlight w:val="none"/>
        </w:rPr>
      </w:pPr>
      <w:r>
        <w:rPr>
          <w:rFonts w:hint="eastAsia"/>
          <w:color w:val="auto"/>
          <w:sz w:val="24"/>
          <w:szCs w:val="24"/>
          <w:highlight w:val="none"/>
        </w:rPr>
        <w:t xml:space="preserve">南京鼓楼医院（甲方）和（乙方）根据《中华人民共和国政府采购法》、《中华人民共和国民法典》等法律法规的规定，经年月日公开招标，</w:t>
      </w:r>
      <w:r>
        <w:rPr>
          <w:rFonts w:hint="eastAsia" w:ascii="仿宋_GB2312" w:cs="宋体"/>
          <w:color w:val="auto"/>
          <w:sz w:val="24"/>
          <w:szCs w:val="24"/>
          <w:highlight w:val="none"/>
        </w:rPr>
        <w:t xml:space="preserve">为甲方</w:t>
      </w:r>
      <w:r>
        <w:rPr>
          <w:rFonts w:ascii="仿宋_GB2312" w:cs="宋体"/>
          <w:color w:val="auto"/>
          <w:sz w:val="24"/>
          <w:szCs w:val="24"/>
          <w:highlight w:val="none"/>
          <w:u w:val="single"/>
        </w:rPr>
        <w:t xml:space="preserve">（科室）</w:t>
      </w:r>
      <w:r>
        <w:rPr>
          <w:rFonts w:ascii="仿宋_GB2312" w:cs="宋体"/>
          <w:color w:val="auto"/>
          <w:sz w:val="24"/>
          <w:szCs w:val="24"/>
          <w:highlight w:val="none"/>
        </w:rPr>
        <w:t xml:space="preserve">采购以下服务</w:t>
      </w:r>
      <w:r>
        <w:rPr>
          <w:rFonts w:hint="eastAsia" w:ascii="仿宋_GB2312" w:cs="宋体"/>
          <w:color w:val="auto"/>
          <w:sz w:val="24"/>
          <w:szCs w:val="24"/>
          <w:highlight w:val="none"/>
        </w:rPr>
        <w:t xml:space="preserve">，</w:t>
      </w:r>
      <w:r>
        <w:rPr>
          <w:rFonts w:hint="eastAsia"/>
          <w:color w:val="auto"/>
          <w:sz w:val="24"/>
          <w:szCs w:val="24"/>
          <w:highlight w:val="none"/>
        </w:rPr>
        <w:t xml:space="preserve">甲乙双方按照友好协商签订本合同。</w:t>
      </w:r>
      <w:r/>
    </w:p>
    <w:p>
      <w:pPr>
        <w:spacing w:line="360" w:lineRule="auto"/>
        <w:rPr>
          <w:color w:val="auto"/>
          <w:sz w:val="24"/>
          <w:szCs w:val="24"/>
          <w:highlight w:val="none"/>
        </w:rPr>
      </w:pPr>
      <w:r>
        <w:rPr>
          <w:color w:val="auto"/>
          <w:sz w:val="24"/>
          <w:szCs w:val="24"/>
          <w:highlight w:val="none"/>
        </w:rPr>
        <w:t xml:space="preserve">一、</w:t>
      </w:r>
      <w:r>
        <w:rPr>
          <w:rFonts w:hint="eastAsia"/>
          <w:color w:val="auto"/>
          <w:sz w:val="24"/>
          <w:szCs w:val="24"/>
          <w:highlight w:val="none"/>
        </w:rPr>
        <w:t xml:space="preserve">采购清单见下表：</w:t>
      </w:r>
      <w:r/>
    </w:p>
    <w:tbl>
      <w:tblPr>
        <w:tblStyle w:val="776"/>
        <w:tblW w:w="918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99"/>
        <w:gridCol w:w="893"/>
        <w:gridCol w:w="893"/>
        <w:gridCol w:w="1403"/>
        <w:gridCol w:w="1404"/>
        <w:gridCol w:w="3191"/>
      </w:tblGrid>
      <w:tr>
        <w:trPr>
          <w:trHeight w:val="225"/>
        </w:trPr>
        <w:tc>
          <w:tcPr>
            <w:tcW w:w="1399" w:type="dxa"/>
            <w:vAlign w:val="center"/>
            <w:textDirection w:val="lrTb"/>
            <w:noWrap w:val="false"/>
          </w:tcPr>
          <w:p>
            <w:pPr>
              <w:spacing w:line="360" w:lineRule="auto"/>
              <w:rPr>
                <w:color w:val="auto"/>
                <w:sz w:val="24"/>
                <w:szCs w:val="24"/>
                <w:highlight w:val="none"/>
              </w:rPr>
            </w:pPr>
            <w:r>
              <w:rPr>
                <w:rFonts w:hint="eastAsia"/>
                <w:color w:val="auto"/>
                <w:sz w:val="24"/>
                <w:szCs w:val="24"/>
                <w:highlight w:val="none"/>
              </w:rPr>
              <w:t xml:space="preserve">名称</w:t>
            </w:r>
            <w:r/>
          </w:p>
        </w:tc>
        <w:tc>
          <w:tcPr>
            <w:tcW w:w="893" w:type="dxa"/>
            <w:vAlign w:val="center"/>
            <w:textDirection w:val="lrTb"/>
            <w:noWrap w:val="false"/>
          </w:tcPr>
          <w:p>
            <w:pPr>
              <w:spacing w:line="360" w:lineRule="auto"/>
              <w:rPr>
                <w:color w:val="auto"/>
                <w:sz w:val="24"/>
                <w:szCs w:val="24"/>
                <w:highlight w:val="none"/>
              </w:rPr>
            </w:pPr>
            <w:r>
              <w:rPr>
                <w:rFonts w:hint="eastAsia"/>
                <w:color w:val="auto"/>
                <w:sz w:val="24"/>
                <w:szCs w:val="24"/>
                <w:highlight w:val="none"/>
              </w:rPr>
              <w:t xml:space="preserve">数量</w:t>
            </w:r>
            <w:r/>
          </w:p>
        </w:tc>
        <w:tc>
          <w:tcPr>
            <w:tcW w:w="893" w:type="dxa"/>
            <w:vAlign w:val="center"/>
            <w:textDirection w:val="lrTb"/>
            <w:noWrap w:val="false"/>
          </w:tcPr>
          <w:p>
            <w:pPr>
              <w:spacing w:line="360" w:lineRule="auto"/>
              <w:rPr>
                <w:color w:val="auto"/>
                <w:sz w:val="24"/>
                <w:szCs w:val="24"/>
                <w:highlight w:val="none"/>
              </w:rPr>
            </w:pPr>
            <w:r>
              <w:rPr>
                <w:rFonts w:hint="eastAsia"/>
                <w:color w:val="auto"/>
                <w:sz w:val="24"/>
                <w:szCs w:val="24"/>
                <w:highlight w:val="none"/>
              </w:rPr>
              <w:t xml:space="preserve">单位</w:t>
            </w:r>
            <w:r/>
          </w:p>
        </w:tc>
        <w:tc>
          <w:tcPr>
            <w:tcW w:w="1403" w:type="dxa"/>
            <w:vAlign w:val="center"/>
            <w:textDirection w:val="lrTb"/>
            <w:noWrap w:val="false"/>
          </w:tcPr>
          <w:p>
            <w:pPr>
              <w:spacing w:line="360" w:lineRule="auto"/>
              <w:rPr>
                <w:color w:val="auto"/>
                <w:sz w:val="24"/>
                <w:szCs w:val="24"/>
                <w:highlight w:val="none"/>
              </w:rPr>
            </w:pPr>
            <w:r>
              <w:rPr>
                <w:rFonts w:hint="eastAsia"/>
                <w:color w:val="auto"/>
                <w:sz w:val="24"/>
                <w:szCs w:val="24"/>
                <w:highlight w:val="none"/>
              </w:rPr>
              <w:t xml:space="preserve">单价（元）</w:t>
            </w:r>
            <w:r/>
          </w:p>
        </w:tc>
        <w:tc>
          <w:tcPr>
            <w:tcW w:w="1404" w:type="dxa"/>
            <w:vAlign w:val="center"/>
            <w:textDirection w:val="lrTb"/>
            <w:noWrap w:val="false"/>
          </w:tcPr>
          <w:p>
            <w:pPr>
              <w:spacing w:line="360" w:lineRule="auto"/>
              <w:rPr>
                <w:color w:val="auto"/>
                <w:sz w:val="24"/>
                <w:szCs w:val="24"/>
                <w:highlight w:val="none"/>
              </w:rPr>
            </w:pPr>
            <w:r>
              <w:rPr>
                <w:rFonts w:hint="eastAsia"/>
                <w:color w:val="auto"/>
                <w:sz w:val="24"/>
                <w:szCs w:val="24"/>
                <w:highlight w:val="none"/>
              </w:rPr>
              <w:t xml:space="preserve">合计（元）</w:t>
            </w:r>
            <w:r/>
          </w:p>
        </w:tc>
        <w:tc>
          <w:tcPr>
            <w:tcW w:w="3189" w:type="dxa"/>
            <w:vAlign w:val="center"/>
            <w:textDirection w:val="lrTb"/>
            <w:noWrap w:val="false"/>
          </w:tcPr>
          <w:p>
            <w:pPr>
              <w:spacing w:line="360" w:lineRule="auto"/>
              <w:rPr>
                <w:color w:val="auto"/>
                <w:sz w:val="24"/>
                <w:szCs w:val="24"/>
                <w:highlight w:val="none"/>
              </w:rPr>
            </w:pPr>
            <w:r>
              <w:rPr>
                <w:rFonts w:hint="eastAsia"/>
                <w:color w:val="auto"/>
                <w:sz w:val="24"/>
                <w:szCs w:val="24"/>
                <w:highlight w:val="none"/>
              </w:rPr>
              <w:t xml:space="preserve">备注</w:t>
            </w:r>
            <w:r/>
          </w:p>
        </w:tc>
      </w:tr>
      <w:tr>
        <w:trPr>
          <w:trHeight w:val="225"/>
        </w:trPr>
        <w:tc>
          <w:tcPr>
            <w:tcW w:w="1399" w:type="dxa"/>
            <w:vAlign w:val="center"/>
            <w:textDirection w:val="lrTb"/>
            <w:noWrap w:val="false"/>
          </w:tcPr>
          <w:p>
            <w:pPr>
              <w:spacing w:line="360" w:lineRule="auto"/>
              <w:rPr>
                <w:color w:val="auto"/>
                <w:sz w:val="24"/>
                <w:szCs w:val="24"/>
                <w:highlight w:val="none"/>
              </w:rPr>
            </w:pPr>
            <w:r>
              <w:rPr>
                <w:color w:val="auto"/>
                <w:sz w:val="24"/>
                <w:szCs w:val="24"/>
                <w:highlight w:val="none"/>
              </w:rPr>
            </w:r>
            <w:r/>
          </w:p>
        </w:tc>
        <w:tc>
          <w:tcPr>
            <w:tcW w:w="893" w:type="dxa"/>
            <w:vAlign w:val="center"/>
            <w:textDirection w:val="lrTb"/>
            <w:noWrap w:val="false"/>
          </w:tcPr>
          <w:p>
            <w:pPr>
              <w:spacing w:line="360" w:lineRule="auto"/>
              <w:rPr>
                <w:color w:val="auto"/>
                <w:sz w:val="24"/>
                <w:szCs w:val="24"/>
                <w:highlight w:val="none"/>
              </w:rPr>
            </w:pPr>
            <w:r>
              <w:rPr>
                <w:color w:val="auto"/>
                <w:sz w:val="24"/>
                <w:szCs w:val="24"/>
                <w:highlight w:val="none"/>
              </w:rPr>
            </w:r>
            <w:r/>
          </w:p>
        </w:tc>
        <w:tc>
          <w:tcPr>
            <w:tcW w:w="893" w:type="dxa"/>
            <w:vAlign w:val="center"/>
            <w:textDirection w:val="lrTb"/>
            <w:noWrap w:val="false"/>
          </w:tcPr>
          <w:p>
            <w:pPr>
              <w:spacing w:line="360" w:lineRule="auto"/>
              <w:rPr>
                <w:color w:val="auto"/>
                <w:sz w:val="24"/>
                <w:szCs w:val="24"/>
                <w:highlight w:val="none"/>
              </w:rPr>
            </w:pPr>
            <w:r>
              <w:rPr>
                <w:color w:val="auto"/>
                <w:sz w:val="24"/>
                <w:szCs w:val="24"/>
                <w:highlight w:val="none"/>
              </w:rPr>
            </w:r>
            <w:r/>
          </w:p>
        </w:tc>
        <w:tc>
          <w:tcPr>
            <w:tcW w:w="1403" w:type="dxa"/>
            <w:vAlign w:val="center"/>
            <w:textDirection w:val="lrTb"/>
            <w:noWrap w:val="false"/>
          </w:tcPr>
          <w:p>
            <w:pPr>
              <w:spacing w:line="360" w:lineRule="auto"/>
              <w:rPr>
                <w:color w:val="auto"/>
                <w:sz w:val="24"/>
                <w:szCs w:val="24"/>
                <w:highlight w:val="none"/>
              </w:rPr>
            </w:pPr>
            <w:r>
              <w:rPr>
                <w:color w:val="auto"/>
                <w:sz w:val="24"/>
                <w:szCs w:val="24"/>
                <w:highlight w:val="none"/>
              </w:rPr>
            </w:r>
            <w:r/>
          </w:p>
        </w:tc>
        <w:tc>
          <w:tcPr>
            <w:tcW w:w="1404" w:type="dxa"/>
            <w:vAlign w:val="center"/>
            <w:textDirection w:val="lrTb"/>
            <w:noWrap w:val="false"/>
          </w:tcPr>
          <w:p>
            <w:pPr>
              <w:spacing w:line="360" w:lineRule="auto"/>
              <w:rPr>
                <w:color w:val="auto"/>
                <w:sz w:val="24"/>
                <w:szCs w:val="24"/>
                <w:highlight w:val="none"/>
              </w:rPr>
            </w:pPr>
            <w:r>
              <w:rPr>
                <w:color w:val="auto"/>
                <w:sz w:val="24"/>
                <w:szCs w:val="24"/>
                <w:highlight w:val="none"/>
              </w:rPr>
            </w:r>
            <w:r/>
          </w:p>
        </w:tc>
        <w:tc>
          <w:tcPr>
            <w:tcW w:w="3189" w:type="dxa"/>
            <w:vAlign w:val="center"/>
            <w:vMerge w:val="restart"/>
            <w:textDirection w:val="lrTb"/>
            <w:noWrap w:val="false"/>
          </w:tcPr>
          <w:p>
            <w:pPr>
              <w:spacing w:line="360" w:lineRule="auto"/>
              <w:rPr>
                <w:color w:val="auto"/>
                <w:sz w:val="24"/>
                <w:szCs w:val="24"/>
                <w:highlight w:val="none"/>
              </w:rPr>
            </w:pPr>
            <w:r>
              <w:rPr>
                <w:rFonts w:hint="eastAsia"/>
                <w:color w:val="auto"/>
                <w:sz w:val="24"/>
                <w:szCs w:val="24"/>
                <w:highlight w:val="none"/>
              </w:rPr>
              <w:t xml:space="preserve">详细服务要求详见附件</w:t>
            </w:r>
            <w:r>
              <w:rPr>
                <w:color w:val="auto"/>
                <w:sz w:val="24"/>
                <w:szCs w:val="24"/>
                <w:highlight w:val="none"/>
              </w:rPr>
              <w:t xml:space="preserve">2</w:t>
            </w:r>
            <w:r>
              <w:rPr>
                <w:rFonts w:hint="eastAsia"/>
                <w:color w:val="auto"/>
                <w:sz w:val="24"/>
                <w:szCs w:val="24"/>
                <w:highlight w:val="none"/>
              </w:rPr>
              <w:t xml:space="preserve">《服务要求与服务标准》</w:t>
            </w:r>
            <w:r/>
          </w:p>
        </w:tc>
      </w:tr>
      <w:tr>
        <w:trPr>
          <w:trHeight w:val="225"/>
        </w:trPr>
        <w:tc>
          <w:tcPr>
            <w:tcW w:w="1399" w:type="dxa"/>
            <w:vAlign w:val="center"/>
            <w:textDirection w:val="lrTb"/>
            <w:noWrap w:val="false"/>
          </w:tcPr>
          <w:p>
            <w:pPr>
              <w:spacing w:line="360" w:lineRule="auto"/>
              <w:rPr>
                <w:color w:val="auto"/>
                <w:sz w:val="24"/>
                <w:szCs w:val="24"/>
                <w:highlight w:val="none"/>
              </w:rPr>
            </w:pPr>
            <w:r>
              <w:rPr>
                <w:color w:val="auto"/>
                <w:sz w:val="24"/>
                <w:szCs w:val="24"/>
                <w:highlight w:val="none"/>
              </w:rPr>
            </w:r>
            <w:r/>
          </w:p>
        </w:tc>
        <w:tc>
          <w:tcPr>
            <w:tcW w:w="893" w:type="dxa"/>
            <w:vAlign w:val="center"/>
            <w:textDirection w:val="lrTb"/>
            <w:noWrap w:val="false"/>
          </w:tcPr>
          <w:p>
            <w:pPr>
              <w:spacing w:line="360" w:lineRule="auto"/>
              <w:rPr>
                <w:color w:val="auto"/>
                <w:sz w:val="24"/>
                <w:szCs w:val="24"/>
                <w:highlight w:val="none"/>
              </w:rPr>
            </w:pPr>
            <w:r>
              <w:rPr>
                <w:color w:val="auto"/>
                <w:sz w:val="24"/>
                <w:szCs w:val="24"/>
                <w:highlight w:val="none"/>
              </w:rPr>
            </w:r>
            <w:r/>
          </w:p>
        </w:tc>
        <w:tc>
          <w:tcPr>
            <w:tcW w:w="893" w:type="dxa"/>
            <w:vAlign w:val="center"/>
            <w:textDirection w:val="lrTb"/>
            <w:noWrap w:val="false"/>
          </w:tcPr>
          <w:p>
            <w:pPr>
              <w:spacing w:line="360" w:lineRule="auto"/>
              <w:rPr>
                <w:color w:val="auto"/>
                <w:sz w:val="24"/>
                <w:szCs w:val="24"/>
                <w:highlight w:val="none"/>
              </w:rPr>
            </w:pPr>
            <w:r>
              <w:rPr>
                <w:color w:val="auto"/>
                <w:sz w:val="24"/>
                <w:szCs w:val="24"/>
                <w:highlight w:val="none"/>
              </w:rPr>
            </w:r>
            <w:r/>
          </w:p>
        </w:tc>
        <w:tc>
          <w:tcPr>
            <w:tcW w:w="1403" w:type="dxa"/>
            <w:vAlign w:val="center"/>
            <w:textDirection w:val="lrTb"/>
            <w:noWrap w:val="false"/>
          </w:tcPr>
          <w:p>
            <w:pPr>
              <w:spacing w:line="360" w:lineRule="auto"/>
              <w:rPr>
                <w:color w:val="auto"/>
                <w:sz w:val="24"/>
                <w:szCs w:val="24"/>
                <w:highlight w:val="none"/>
              </w:rPr>
            </w:pPr>
            <w:r>
              <w:rPr>
                <w:color w:val="auto"/>
                <w:sz w:val="24"/>
                <w:szCs w:val="24"/>
                <w:highlight w:val="none"/>
              </w:rPr>
            </w:r>
            <w:r/>
          </w:p>
        </w:tc>
        <w:tc>
          <w:tcPr>
            <w:tcW w:w="1404" w:type="dxa"/>
            <w:vAlign w:val="center"/>
            <w:textDirection w:val="lrTb"/>
            <w:noWrap w:val="false"/>
          </w:tcPr>
          <w:p>
            <w:pPr>
              <w:spacing w:line="360" w:lineRule="auto"/>
              <w:rPr>
                <w:color w:val="auto"/>
                <w:sz w:val="24"/>
                <w:szCs w:val="24"/>
                <w:highlight w:val="none"/>
              </w:rPr>
            </w:pPr>
            <w:r>
              <w:rPr>
                <w:color w:val="auto"/>
                <w:sz w:val="24"/>
                <w:szCs w:val="24"/>
                <w:highlight w:val="none"/>
              </w:rPr>
            </w:r>
            <w:r/>
          </w:p>
        </w:tc>
        <w:tc>
          <w:tcPr>
            <w:tcW w:w="3189" w:type="dxa"/>
            <w:vAlign w:val="center"/>
            <w:vMerge w:val="continue"/>
            <w:textDirection w:val="lrTb"/>
            <w:noWrap w:val="false"/>
          </w:tcPr>
          <w:p>
            <w:pPr>
              <w:spacing w:line="360" w:lineRule="auto"/>
              <w:rPr>
                <w:color w:val="auto"/>
                <w:sz w:val="24"/>
                <w:szCs w:val="24"/>
                <w:highlight w:val="none"/>
              </w:rPr>
            </w:pPr>
            <w:r>
              <w:rPr>
                <w:color w:val="auto"/>
                <w:sz w:val="24"/>
                <w:szCs w:val="24"/>
                <w:highlight w:val="none"/>
              </w:rPr>
            </w:r>
            <w:r/>
          </w:p>
        </w:tc>
      </w:tr>
      <w:tr>
        <w:trPr>
          <w:trHeight w:val="315"/>
        </w:trPr>
        <w:tc>
          <w:tcPr>
            <w:gridSpan w:val="6"/>
            <w:tcW w:w="9183" w:type="dxa"/>
            <w:textDirection w:val="lrTb"/>
            <w:noWrap w:val="false"/>
          </w:tcPr>
          <w:p>
            <w:pPr>
              <w:spacing w:line="360" w:lineRule="auto"/>
              <w:rPr>
                <w:color w:val="auto"/>
                <w:sz w:val="24"/>
                <w:szCs w:val="24"/>
                <w:highlight w:val="none"/>
              </w:rPr>
            </w:pPr>
            <w:r>
              <w:rPr>
                <w:rFonts w:hint="eastAsia"/>
                <w:color w:val="auto"/>
                <w:sz w:val="24"/>
                <w:szCs w:val="24"/>
                <w:highlight w:val="none"/>
              </w:rPr>
              <w:t xml:space="preserve">总金额：小写：</w:t>
            </w:r>
            <w:r/>
          </w:p>
        </w:tc>
      </w:tr>
    </w:tbl>
    <w:p>
      <w:pPr>
        <w:spacing w:line="360" w:lineRule="auto"/>
        <w:rPr>
          <w:color w:val="auto"/>
          <w:sz w:val="24"/>
          <w:szCs w:val="24"/>
          <w:highlight w:val="none"/>
        </w:rPr>
      </w:pPr>
      <w:r>
        <w:rPr>
          <w:rFonts w:hint="eastAsia"/>
          <w:color w:val="auto"/>
          <w:sz w:val="24"/>
          <w:szCs w:val="24"/>
          <w:highlight w:val="none"/>
        </w:rPr>
        <w:t xml:space="preserve">备注：以上价格含实施服务、保险、人工、安装、材料、税费等所有费用。本合同履行期间合同总价款不变。</w:t>
      </w:r>
      <w:r/>
    </w:p>
    <w:p>
      <w:pPr>
        <w:spacing w:line="360" w:lineRule="auto"/>
        <w:rPr>
          <w:color w:val="auto"/>
          <w:sz w:val="24"/>
          <w:szCs w:val="24"/>
          <w:highlight w:val="none"/>
        </w:rPr>
      </w:pPr>
      <w:r>
        <w:rPr>
          <w:rFonts w:hint="eastAsia"/>
          <w:color w:val="auto"/>
          <w:sz w:val="24"/>
          <w:szCs w:val="24"/>
          <w:highlight w:val="none"/>
        </w:rPr>
        <w:t xml:space="preserve">二、付款方式：</w:t>
      </w:r>
      <w:r/>
    </w:p>
    <w:p>
      <w:pPr>
        <w:spacing w:line="360" w:lineRule="auto"/>
        <w:rPr>
          <w:color w:val="auto"/>
          <w:sz w:val="24"/>
          <w:szCs w:val="24"/>
          <w:highlight w:val="none"/>
        </w:rPr>
      </w:pPr>
      <w:r>
        <w:rPr>
          <w:rFonts w:hint="eastAsia"/>
          <w:color w:val="auto"/>
          <w:sz w:val="24"/>
          <w:szCs w:val="24"/>
          <w:highlight w:val="none"/>
        </w:rPr>
        <w:t xml:space="preserve">1.合同总额：元，大写整。</w:t>
      </w:r>
      <w:r/>
    </w:p>
    <w:p>
      <w:pPr>
        <w:ind w:firstLine="420"/>
        <w:spacing w:line="360" w:lineRule="auto"/>
        <w:rPr>
          <w:b/>
          <w:color w:val="auto"/>
          <w:sz w:val="24"/>
          <w:szCs w:val="24"/>
          <w:highlight w:val="none"/>
          <w:lang w:val="ja-JP" w:eastAsia="ja-JP"/>
        </w:rPr>
      </w:pPr>
      <w:r>
        <w:rPr>
          <w:rFonts w:hint="eastAsia" w:ascii="宋体" w:hAnsi="宋体"/>
          <w:b/>
          <w:color w:val="auto"/>
          <w:sz w:val="24"/>
          <w:szCs w:val="24"/>
          <w:highlight w:val="none"/>
        </w:rPr>
        <w:t xml:space="preserve">2.付款方式：</w:t>
      </w:r>
      <w:r/>
    </w:p>
    <w:p>
      <w:pPr>
        <w:ind w:firstLine="420"/>
        <w:spacing w:line="360" w:lineRule="auto"/>
        <w:rPr>
          <w:b/>
          <w:color w:val="auto"/>
          <w:sz w:val="24"/>
          <w:szCs w:val="24"/>
          <w:highlight w:val="none"/>
        </w:rPr>
      </w:pPr>
      <w:r>
        <w:rPr>
          <w:rFonts w:hint="eastAsia"/>
          <w:b/>
          <w:color w:val="auto"/>
          <w:sz w:val="24"/>
          <w:szCs w:val="24"/>
          <w:highlight w:val="none"/>
          <w:lang w:val="ja-JP" w:eastAsia="ja-JP"/>
        </w:rPr>
        <w:t xml:space="preserve">合同签订后，</w:t>
      </w:r>
      <w:r>
        <w:rPr>
          <w:rFonts w:hint="eastAsia"/>
          <w:b/>
          <w:color w:val="auto"/>
          <w:sz w:val="24"/>
          <w:szCs w:val="24"/>
          <w:highlight w:val="none"/>
          <w:lang w:val="ja-JP"/>
        </w:rPr>
        <w:t xml:space="preserve">年</w:t>
      </w:r>
      <w:r>
        <w:rPr>
          <w:rFonts w:hint="eastAsia"/>
          <w:b/>
          <w:color w:val="auto"/>
          <w:sz w:val="24"/>
          <w:szCs w:val="24"/>
          <w:highlight w:val="none"/>
          <w:lang w:val="ja-JP" w:eastAsia="ja-JP"/>
        </w:rPr>
        <w:t xml:space="preserve">服务履行半年</w:t>
      </w:r>
      <w:r>
        <w:rPr>
          <w:rFonts w:hint="eastAsia"/>
          <w:b/>
          <w:color w:val="auto"/>
          <w:sz w:val="24"/>
          <w:szCs w:val="24"/>
          <w:highlight w:val="none"/>
          <w:lang w:val="ja-JP"/>
        </w:rPr>
        <w:t xml:space="preserve">，</w:t>
      </w:r>
      <w:r>
        <w:rPr>
          <w:rFonts w:hint="eastAsia"/>
          <w:b/>
          <w:color w:val="auto"/>
          <w:sz w:val="24"/>
          <w:szCs w:val="24"/>
          <w:highlight w:val="none"/>
          <w:lang w:val="ja-JP" w:eastAsia="ja-JP"/>
        </w:rPr>
        <w:t xml:space="preserve">经</w:t>
      </w:r>
      <w:r>
        <w:rPr>
          <w:rFonts w:hint="eastAsia"/>
          <w:b/>
          <w:color w:val="auto"/>
          <w:sz w:val="24"/>
          <w:szCs w:val="24"/>
          <w:highlight w:val="none"/>
          <w:lang w:val="ja-JP"/>
        </w:rPr>
        <w:t xml:space="preserve">甲方项目负责人</w:t>
      </w:r>
      <w:r>
        <w:rPr>
          <w:rFonts w:hint="eastAsia"/>
          <w:b/>
          <w:color w:val="auto"/>
          <w:sz w:val="24"/>
          <w:szCs w:val="24"/>
          <w:highlight w:val="none"/>
          <w:lang w:val="ja-JP" w:eastAsia="ja-JP"/>
        </w:rPr>
        <w:t xml:space="preserve">确认服务合格</w:t>
      </w:r>
      <w:r>
        <w:rPr>
          <w:rFonts w:hint="eastAsia"/>
          <w:b/>
          <w:color w:val="auto"/>
          <w:sz w:val="24"/>
          <w:szCs w:val="24"/>
          <w:highlight w:val="none"/>
          <w:lang w:val="ja-JP"/>
        </w:rPr>
        <w:t xml:space="preserve">后</w:t>
      </w:r>
      <w:r>
        <w:rPr>
          <w:rFonts w:hint="eastAsia"/>
          <w:b/>
          <w:color w:val="auto"/>
          <w:sz w:val="24"/>
          <w:szCs w:val="24"/>
          <w:highlight w:val="none"/>
          <w:lang w:val="ja-JP" w:eastAsia="ja-JP"/>
        </w:rPr>
        <w:t xml:space="preserve">支付</w:t>
      </w:r>
      <w:r>
        <w:rPr>
          <w:rFonts w:hint="eastAsia"/>
          <w:b/>
          <w:color w:val="auto"/>
          <w:sz w:val="24"/>
          <w:szCs w:val="24"/>
          <w:highlight w:val="none"/>
          <w:lang w:val="ja-JP"/>
        </w:rPr>
        <w:t xml:space="preserve">年服务</w:t>
      </w:r>
      <w:r>
        <w:rPr>
          <w:rFonts w:hint="eastAsia"/>
          <w:b/>
          <w:color w:val="auto"/>
          <w:sz w:val="24"/>
          <w:szCs w:val="24"/>
          <w:highlight w:val="none"/>
          <w:lang w:val="ja-JP" w:eastAsia="ja-JP"/>
        </w:rPr>
        <w:t xml:space="preserve">的</w:t>
      </w:r>
      <w:r>
        <w:rPr>
          <w:b/>
          <w:color w:val="auto"/>
          <w:sz w:val="24"/>
          <w:szCs w:val="24"/>
          <w:highlight w:val="none"/>
          <w:lang w:val="ja-JP" w:eastAsia="ja-JP"/>
        </w:rPr>
        <w:t xml:space="preserve">50%；服务期满</w:t>
      </w:r>
      <w:r>
        <w:rPr>
          <w:rFonts w:hint="eastAsia"/>
          <w:b/>
          <w:color w:val="auto"/>
          <w:sz w:val="24"/>
          <w:szCs w:val="24"/>
          <w:highlight w:val="none"/>
          <w:lang w:val="ja-JP"/>
        </w:rPr>
        <w:t xml:space="preserve">一年</w:t>
      </w:r>
      <w:r>
        <w:rPr>
          <w:b/>
          <w:color w:val="auto"/>
          <w:sz w:val="24"/>
          <w:szCs w:val="24"/>
          <w:highlight w:val="none"/>
          <w:lang w:val="ja-JP" w:eastAsia="ja-JP"/>
        </w:rPr>
        <w:t xml:space="preserve">并经</w:t>
      </w:r>
      <w:r>
        <w:rPr>
          <w:rFonts w:hint="eastAsia"/>
          <w:b/>
          <w:color w:val="auto"/>
          <w:sz w:val="24"/>
          <w:szCs w:val="24"/>
          <w:highlight w:val="none"/>
          <w:lang w:val="ja-JP"/>
        </w:rPr>
        <w:t xml:space="preserve">甲方项目负责人确认服务</w:t>
      </w:r>
      <w:r>
        <w:rPr>
          <w:b/>
          <w:color w:val="auto"/>
          <w:sz w:val="24"/>
          <w:szCs w:val="24"/>
          <w:highlight w:val="none"/>
          <w:lang w:val="ja-JP" w:eastAsia="ja-JP"/>
        </w:rPr>
        <w:t xml:space="preserve">合格后，</w:t>
      </w:r>
      <w:r>
        <w:rPr>
          <w:rFonts w:hint="eastAsia"/>
          <w:b/>
          <w:color w:val="auto"/>
          <w:sz w:val="24"/>
          <w:szCs w:val="24"/>
          <w:highlight w:val="none"/>
          <w:lang w:val="ja-JP"/>
        </w:rPr>
        <w:t xml:space="preserve">甲方</w:t>
      </w:r>
      <w:r>
        <w:rPr>
          <w:b/>
          <w:color w:val="auto"/>
          <w:sz w:val="24"/>
          <w:szCs w:val="24"/>
          <w:highlight w:val="none"/>
          <w:lang w:val="ja-JP" w:eastAsia="ja-JP"/>
        </w:rPr>
        <w:t xml:space="preserve">支付剩余</w:t>
      </w:r>
      <w:r>
        <w:rPr>
          <w:rFonts w:hint="eastAsia"/>
          <w:b/>
          <w:color w:val="auto"/>
          <w:sz w:val="24"/>
          <w:szCs w:val="24"/>
          <w:highlight w:val="none"/>
          <w:lang w:val="ja-JP"/>
        </w:rPr>
        <w:t xml:space="preserve">年服务</w:t>
      </w:r>
      <w:r>
        <w:rPr>
          <w:b/>
          <w:color w:val="auto"/>
          <w:sz w:val="24"/>
          <w:szCs w:val="24"/>
          <w:highlight w:val="none"/>
          <w:lang w:val="ja-JP" w:eastAsia="ja-JP"/>
        </w:rPr>
        <w:t xml:space="preserve">合同款。</w:t>
      </w:r>
      <w:r>
        <w:rPr>
          <w:rFonts w:hint="eastAsia"/>
          <w:b/>
          <w:color w:val="auto"/>
          <w:sz w:val="24"/>
          <w:szCs w:val="24"/>
          <w:highlight w:val="none"/>
          <w:lang w:val="ja-JP"/>
        </w:rPr>
        <w:t xml:space="preserve">其他年度与此一致，</w:t>
      </w:r>
      <w:r>
        <w:rPr>
          <w:rFonts w:hint="eastAsia"/>
          <w:b/>
          <w:color w:val="auto"/>
          <w:sz w:val="24"/>
          <w:szCs w:val="24"/>
          <w:highlight w:val="none"/>
        </w:rPr>
        <w:t xml:space="preserve">且</w:t>
      </w:r>
      <w:r>
        <w:rPr>
          <w:rFonts w:hint="eastAsia"/>
          <w:b/>
          <w:color w:val="auto"/>
          <w:sz w:val="24"/>
          <w:szCs w:val="24"/>
          <w:highlight w:val="none"/>
          <w:lang w:val="ja-JP"/>
        </w:rPr>
        <w:t xml:space="preserve">甲方确定</w:t>
      </w:r>
      <w:r>
        <w:rPr>
          <w:rFonts w:hint="eastAsia"/>
          <w:b/>
          <w:color w:val="auto"/>
          <w:sz w:val="24"/>
          <w:szCs w:val="24"/>
          <w:highlight w:val="none"/>
        </w:rPr>
        <w:t xml:space="preserve">下一年度</w:t>
      </w:r>
      <w:r>
        <w:rPr>
          <w:rFonts w:hint="eastAsia"/>
          <w:b/>
          <w:color w:val="auto"/>
          <w:sz w:val="24"/>
          <w:szCs w:val="24"/>
          <w:highlight w:val="none"/>
          <w:lang w:val="ja-JP"/>
        </w:rPr>
        <w:t xml:space="preserve">预算后，方可执行合同。</w:t>
      </w:r>
      <w:r/>
    </w:p>
    <w:p>
      <w:pPr>
        <w:spacing w:line="360" w:lineRule="auto"/>
        <w:rPr>
          <w:color w:val="auto"/>
          <w:sz w:val="24"/>
          <w:szCs w:val="24"/>
          <w:highlight w:val="none"/>
        </w:rPr>
      </w:pPr>
      <w:r>
        <w:rPr>
          <w:color w:val="auto"/>
          <w:sz w:val="24"/>
          <w:szCs w:val="24"/>
          <w:highlight w:val="none"/>
        </w:rPr>
        <w:t xml:space="preserve">3.</w:t>
      </w:r>
      <w:r>
        <w:rPr>
          <w:rFonts w:hint="eastAsia"/>
          <w:color w:val="auto"/>
          <w:sz w:val="24"/>
          <w:szCs w:val="24"/>
          <w:highlight w:val="none"/>
        </w:rPr>
        <w:t xml:space="preserve">结算时，乙方须开具合法有效票据，以当面或信函方式送达至甲方，发票不得由第三方代开，如乙方未提供合法有效票据的，甲方有权拒绝支付上述款项，由此产生的损失由乙方承担，与甲方无关。</w:t>
      </w:r>
      <w:r/>
    </w:p>
    <w:p>
      <w:pPr>
        <w:spacing w:line="360" w:lineRule="auto"/>
        <w:rPr>
          <w:bCs/>
          <w:color w:val="auto"/>
          <w:sz w:val="24"/>
          <w:szCs w:val="24"/>
          <w:highlight w:val="none"/>
        </w:rPr>
      </w:pPr>
      <w:r>
        <w:rPr>
          <w:bCs/>
          <w:color w:val="auto"/>
          <w:sz w:val="24"/>
          <w:szCs w:val="24"/>
          <w:highlight w:val="none"/>
        </w:rPr>
        <w:t xml:space="preserve">4.</w:t>
      </w:r>
      <w:r>
        <w:rPr>
          <w:rFonts w:hint="eastAsia"/>
          <w:bCs/>
          <w:color w:val="auto"/>
          <w:sz w:val="24"/>
          <w:szCs w:val="24"/>
          <w:highlight w:val="none"/>
        </w:rPr>
        <w:t xml:space="preserve">特别提醒条款：</w:t>
      </w:r>
      <w:r>
        <w:rPr>
          <w:rFonts w:hint="eastAsia"/>
          <w:color w:val="auto"/>
          <w:sz w:val="24"/>
          <w:szCs w:val="24"/>
          <w:highlight w:val="none"/>
        </w:rPr>
        <w:t xml:space="preserve">发票上所列品名与型号必须与合同所列品名与型号完全一致，否则由此引起的一切责任由乙方负责。</w:t>
      </w:r>
      <w:r/>
    </w:p>
    <w:p>
      <w:pPr>
        <w:spacing w:line="360" w:lineRule="auto"/>
        <w:rPr>
          <w:color w:val="auto"/>
          <w:sz w:val="24"/>
          <w:szCs w:val="24"/>
          <w:highlight w:val="none"/>
        </w:rPr>
      </w:pPr>
      <w:r>
        <w:rPr>
          <w:rFonts w:hint="eastAsia"/>
          <w:color w:val="auto"/>
          <w:sz w:val="24"/>
          <w:szCs w:val="24"/>
          <w:highlight w:val="none"/>
        </w:rPr>
        <w:t xml:space="preserve">三、履行方式</w:t>
      </w:r>
      <w:r/>
    </w:p>
    <w:p>
      <w:pPr>
        <w:spacing w:line="360" w:lineRule="auto"/>
        <w:rPr>
          <w:color w:val="auto"/>
          <w:sz w:val="24"/>
          <w:szCs w:val="24"/>
          <w:highlight w:val="none"/>
        </w:rPr>
      </w:pPr>
      <w:r>
        <w:rPr>
          <w:b/>
          <w:bCs/>
          <w:color w:val="auto"/>
          <w:sz w:val="24"/>
          <w:szCs w:val="24"/>
          <w:highlight w:val="none"/>
        </w:rPr>
        <w:t xml:space="preserve">1.</w:t>
      </w:r>
      <w:r>
        <w:rPr>
          <w:rFonts w:hint="eastAsia"/>
          <w:color w:val="auto"/>
          <w:sz w:val="24"/>
          <w:szCs w:val="24"/>
          <w:highlight w:val="none"/>
        </w:rPr>
        <w:t xml:space="preserve">预计合同履行完毕时间：</w:t>
      </w:r>
      <w:r>
        <w:rPr>
          <w:rFonts w:hint="eastAsia"/>
          <w:color w:val="auto"/>
          <w:sz w:val="24"/>
          <w:szCs w:val="24"/>
          <w:highlight w:val="none"/>
          <w:u w:val="single"/>
        </w:rPr>
        <w:t xml:space="preserve"> XXXX </w:t>
      </w:r>
      <w:r>
        <w:rPr>
          <w:rFonts w:hint="eastAsia"/>
          <w:color w:val="auto"/>
          <w:sz w:val="24"/>
          <w:szCs w:val="24"/>
          <w:highlight w:val="none"/>
        </w:rPr>
        <w:t xml:space="preserve">年</w:t>
      </w:r>
      <w:r>
        <w:rPr>
          <w:rFonts w:hint="eastAsia"/>
          <w:color w:val="auto"/>
          <w:sz w:val="24"/>
          <w:szCs w:val="24"/>
          <w:highlight w:val="none"/>
          <w:u w:val="single"/>
        </w:rPr>
        <w:t xml:space="preserve">XX </w:t>
      </w:r>
      <w:r>
        <w:rPr>
          <w:rFonts w:hint="eastAsia"/>
          <w:color w:val="auto"/>
          <w:sz w:val="24"/>
          <w:szCs w:val="24"/>
          <w:highlight w:val="none"/>
        </w:rPr>
        <w:t xml:space="preserve">月</w:t>
      </w:r>
      <w:r>
        <w:rPr>
          <w:rFonts w:hint="eastAsia"/>
          <w:color w:val="auto"/>
          <w:sz w:val="24"/>
          <w:szCs w:val="24"/>
          <w:highlight w:val="none"/>
          <w:u w:val="single"/>
        </w:rPr>
        <w:t xml:space="preserve"> XX </w:t>
      </w:r>
      <w:r>
        <w:rPr>
          <w:rFonts w:hint="eastAsia"/>
          <w:color w:val="auto"/>
          <w:sz w:val="24"/>
          <w:szCs w:val="24"/>
          <w:highlight w:val="none"/>
        </w:rPr>
        <w:t xml:space="preserve">日前。履行地点：甲方指定地点。</w:t>
      </w:r>
      <w:r/>
    </w:p>
    <w:p>
      <w:pPr>
        <w:spacing w:line="360" w:lineRule="auto"/>
        <w:rPr>
          <w:color w:val="auto"/>
          <w:sz w:val="24"/>
          <w:szCs w:val="24"/>
          <w:highlight w:val="none"/>
        </w:rPr>
      </w:pPr>
      <w:r>
        <w:rPr>
          <w:rFonts w:hint="eastAsia"/>
          <w:color w:val="auto"/>
          <w:sz w:val="24"/>
          <w:szCs w:val="24"/>
          <w:highlight w:val="none"/>
        </w:rPr>
        <w:t xml:space="preserve">四、保证条款</w:t>
      </w:r>
      <w:r/>
    </w:p>
    <w:p>
      <w:pPr>
        <w:spacing w:line="360" w:lineRule="auto"/>
        <w:rPr>
          <w:color w:val="auto"/>
          <w:sz w:val="24"/>
          <w:szCs w:val="24"/>
          <w:highlight w:val="none"/>
        </w:rPr>
      </w:pPr>
      <w:r>
        <w:rPr>
          <w:rFonts w:hint="eastAsia"/>
          <w:b/>
          <w:color w:val="auto"/>
          <w:sz w:val="24"/>
          <w:szCs w:val="24"/>
          <w:highlight w:val="none"/>
        </w:rPr>
        <w:t xml:space="preserve">1</w:t>
      </w:r>
      <w:r>
        <w:rPr>
          <w:b/>
          <w:color w:val="auto"/>
          <w:sz w:val="24"/>
          <w:szCs w:val="24"/>
          <w:highlight w:val="none"/>
        </w:rPr>
        <w:t xml:space="preserve">.</w:t>
      </w:r>
      <w:r>
        <w:rPr>
          <w:rFonts w:hint="eastAsia"/>
          <w:color w:val="auto"/>
          <w:sz w:val="24"/>
          <w:szCs w:val="24"/>
          <w:highlight w:val="none"/>
        </w:rPr>
        <w:t xml:space="preserve">乙方保证向甲方提供的产品（服务）满足中国国家标准及相关行业标准。</w:t>
      </w:r>
      <w:r/>
    </w:p>
    <w:p>
      <w:pPr>
        <w:spacing w:line="360" w:lineRule="auto"/>
        <w:rPr>
          <w:color w:val="auto"/>
          <w:sz w:val="24"/>
          <w:szCs w:val="24"/>
          <w:highlight w:val="none"/>
        </w:rPr>
      </w:pPr>
      <w:r>
        <w:rPr>
          <w:b/>
          <w:color w:val="auto"/>
          <w:sz w:val="24"/>
          <w:szCs w:val="24"/>
          <w:highlight w:val="none"/>
        </w:rPr>
        <w:t xml:space="preserve">2.</w:t>
      </w:r>
      <w:r>
        <w:rPr>
          <w:rFonts w:hint="eastAsia"/>
          <w:color w:val="auto"/>
          <w:sz w:val="24"/>
          <w:szCs w:val="24"/>
          <w:highlight w:val="none"/>
        </w:rPr>
        <w:t xml:space="preserve">乙方须保证所供产品（服务）质量合格，不得弄虚作假、不得提供假冒伪劣或任意提供合同外产品。</w:t>
      </w:r>
      <w:r/>
    </w:p>
    <w:p>
      <w:pPr>
        <w:spacing w:line="360" w:lineRule="auto"/>
        <w:rPr>
          <w:color w:val="auto"/>
          <w:sz w:val="24"/>
          <w:szCs w:val="24"/>
          <w:highlight w:val="none"/>
        </w:rPr>
      </w:pPr>
      <w:r>
        <w:rPr>
          <w:b/>
          <w:color w:val="auto"/>
          <w:sz w:val="24"/>
          <w:szCs w:val="24"/>
          <w:highlight w:val="none"/>
        </w:rPr>
        <w:t xml:space="preserve">3.</w:t>
      </w:r>
      <w:r>
        <w:rPr>
          <w:rFonts w:hint="eastAsia"/>
          <w:color w:val="auto"/>
          <w:sz w:val="24"/>
          <w:szCs w:val="24"/>
          <w:highlight w:val="none"/>
        </w:rPr>
        <w:t xml:space="preserve">乙方承诺此次服务所涉工作不影响甲方现有的业务系统，整个项目的部署和实施要求业务不能中断，并保证数据和应用的安全性和及时性，一旦出现任何数据丢失或业务宕机，所有后果由乙方负责。</w:t>
      </w:r>
      <w:r/>
    </w:p>
    <w:p>
      <w:pPr>
        <w:spacing w:line="360" w:lineRule="auto"/>
        <w:rPr>
          <w:color w:val="auto"/>
          <w:sz w:val="24"/>
          <w:szCs w:val="24"/>
          <w:highlight w:val="none"/>
        </w:rPr>
      </w:pPr>
      <w:r>
        <w:rPr>
          <w:color w:val="auto"/>
          <w:sz w:val="24"/>
          <w:szCs w:val="24"/>
          <w:highlight w:val="none"/>
        </w:rPr>
        <w:t xml:space="preserve">4.</w:t>
      </w:r>
      <w:r>
        <w:rPr>
          <w:rFonts w:hint="eastAsia"/>
          <w:color w:val="auto"/>
          <w:sz w:val="24"/>
          <w:szCs w:val="24"/>
          <w:highlight w:val="none"/>
        </w:rPr>
        <w:t xml:space="preserve">乙方保证提供的商品或服务在本合同签订之前不存在任何法律纠纷与权利瑕疵，乙方具有对所提供产品或服务的完整的处分权，且乙方在向甲方提供该商品或服务以及其中的任何一部分时，不侵犯任何的专利权、商标权、工业设计权或其他知识产权，如收到来自第三方的侵权诉讼或索赔，所有责任及由此造成的损失由乙方承担。</w:t>
      </w:r>
      <w:r/>
    </w:p>
    <w:p>
      <w:pPr>
        <w:spacing w:line="360" w:lineRule="auto"/>
        <w:rPr>
          <w:color w:val="auto"/>
          <w:sz w:val="24"/>
          <w:szCs w:val="24"/>
          <w:highlight w:val="none"/>
        </w:rPr>
      </w:pPr>
      <w:r/>
      <w:bookmarkStart w:id="155" w:name="_Hlk100931092"/>
      <w:r>
        <w:rPr>
          <w:color w:val="auto"/>
          <w:sz w:val="24"/>
          <w:szCs w:val="24"/>
          <w:highlight w:val="none"/>
        </w:rPr>
        <w:t xml:space="preserve">5.</w:t>
      </w:r>
      <w:r>
        <w:rPr>
          <w:rFonts w:hint="eastAsia"/>
          <w:color w:val="auto"/>
          <w:sz w:val="24"/>
          <w:szCs w:val="24"/>
          <w:highlight w:val="none"/>
        </w:rPr>
        <w:t xml:space="preserve">乙方保证本协议的签订或履行不违反以乙方为一方或约束乙方自身的任何重大合同或协议，否则由此引起的一切责任由乙方负责。</w:t>
      </w:r>
      <w:bookmarkEnd w:id="155"/>
      <w:r/>
      <w:r/>
    </w:p>
    <w:p>
      <w:pPr>
        <w:spacing w:line="360" w:lineRule="auto"/>
        <w:rPr>
          <w:color w:val="auto"/>
          <w:sz w:val="24"/>
          <w:szCs w:val="24"/>
          <w:highlight w:val="none"/>
        </w:rPr>
      </w:pPr>
      <w:r>
        <w:rPr>
          <w:rFonts w:hint="eastAsia"/>
          <w:color w:val="auto"/>
          <w:sz w:val="24"/>
          <w:szCs w:val="24"/>
          <w:highlight w:val="none"/>
        </w:rPr>
        <w:t xml:space="preserve">五、验收条款</w:t>
      </w:r>
      <w:r/>
    </w:p>
    <w:p>
      <w:pPr>
        <w:spacing w:line="360" w:lineRule="auto"/>
        <w:rPr>
          <w:color w:val="auto"/>
          <w:sz w:val="24"/>
          <w:szCs w:val="24"/>
          <w:highlight w:val="none"/>
        </w:rPr>
      </w:pPr>
      <w:r>
        <w:rPr>
          <w:color w:val="auto"/>
          <w:sz w:val="24"/>
          <w:szCs w:val="24"/>
          <w:highlight w:val="none"/>
        </w:rPr>
        <w:t xml:space="preserve">1.</w:t>
      </w:r>
      <w:r>
        <w:rPr>
          <w:rFonts w:hint="eastAsia"/>
          <w:color w:val="auto"/>
          <w:sz w:val="24"/>
          <w:szCs w:val="24"/>
          <w:highlight w:val="none"/>
        </w:rPr>
        <w:t xml:space="preserve">（每一期）服务完成时，请乙方至少提前三天通知甲方联系人，以便甲方安排好相关验收工作。在验收时乙方应向甲方提供相应技术资料。验收时，乙方代表必须到达现场，由乙方配合甲方完成验收工作，甲方验收合格后，甲乙双方办理交接手续。如未按上述规定执行，造成的一切后果全部由乙方承担。</w:t>
      </w:r>
      <w:r/>
    </w:p>
    <w:p>
      <w:pPr>
        <w:spacing w:line="360" w:lineRule="auto"/>
        <w:rPr>
          <w:color w:val="auto"/>
          <w:sz w:val="24"/>
          <w:szCs w:val="24"/>
          <w:highlight w:val="none"/>
        </w:rPr>
      </w:pPr>
      <w:r>
        <w:rPr>
          <w:b/>
          <w:color w:val="auto"/>
          <w:sz w:val="24"/>
          <w:szCs w:val="24"/>
          <w:highlight w:val="none"/>
        </w:rPr>
        <w:t xml:space="preserve">2.</w:t>
      </w:r>
      <w:r>
        <w:rPr>
          <w:rFonts w:hint="eastAsia"/>
          <w:color w:val="auto"/>
          <w:sz w:val="24"/>
          <w:szCs w:val="24"/>
          <w:highlight w:val="none"/>
        </w:rPr>
        <w:t xml:space="preserve">乙方所供服务如验收不合格，根据甲方的要求，乙方必须无条件按甲方要求重新提供服务，由此引起的一切损失由乙方承担。</w:t>
      </w:r>
      <w:r/>
    </w:p>
    <w:p>
      <w:pPr>
        <w:spacing w:line="360" w:lineRule="auto"/>
        <w:rPr>
          <w:color w:val="auto"/>
          <w:sz w:val="24"/>
          <w:szCs w:val="24"/>
          <w:highlight w:val="none"/>
        </w:rPr>
      </w:pPr>
      <w:r>
        <w:rPr>
          <w:rFonts w:hint="eastAsia"/>
          <w:color w:val="auto"/>
          <w:sz w:val="24"/>
          <w:szCs w:val="24"/>
          <w:highlight w:val="none"/>
        </w:rPr>
        <w:t xml:space="preserve">六、风险承担条款</w:t>
      </w:r>
      <w:r/>
    </w:p>
    <w:p>
      <w:pPr>
        <w:spacing w:line="360" w:lineRule="auto"/>
        <w:rPr>
          <w:color w:val="auto"/>
          <w:sz w:val="24"/>
          <w:szCs w:val="24"/>
          <w:highlight w:val="none"/>
        </w:rPr>
      </w:pPr>
      <w:r>
        <w:rPr>
          <w:rFonts w:hint="eastAsia"/>
          <w:color w:val="auto"/>
          <w:sz w:val="24"/>
          <w:szCs w:val="24"/>
          <w:highlight w:val="none"/>
        </w:rPr>
        <w:t xml:space="preserve">1</w:t>
      </w:r>
      <w:r>
        <w:rPr>
          <w:color w:val="auto"/>
          <w:sz w:val="24"/>
          <w:szCs w:val="24"/>
          <w:highlight w:val="none"/>
        </w:rPr>
        <w:t xml:space="preserve">.</w:t>
      </w:r>
      <w:r>
        <w:rPr>
          <w:rFonts w:hint="eastAsia"/>
          <w:color w:val="auto"/>
          <w:sz w:val="24"/>
          <w:szCs w:val="24"/>
          <w:highlight w:val="none"/>
        </w:rPr>
        <w:t xml:space="preserve">在本合同履行中，因出现在现有技术水平和条件下难以克服的技术困难，导致服务提供失败或部分失败，并造成一方或双方损失的，双方按如下约定承担风险损失：完全因乙方原因造成损失的，乙方退还甲方已支付的所有款项；双方原因造成损失的，按各自过错共同承担相应责任；其他原因造成损失的，由双方另行协商。</w:t>
      </w:r>
      <w:r/>
    </w:p>
    <w:p>
      <w:pPr>
        <w:spacing w:line="360" w:lineRule="auto"/>
        <w:rPr>
          <w:color w:val="auto"/>
          <w:sz w:val="24"/>
          <w:szCs w:val="24"/>
          <w:highlight w:val="none"/>
        </w:rPr>
      </w:pPr>
      <w:r>
        <w:rPr>
          <w:rFonts w:hint="eastAsia"/>
          <w:color w:val="auto"/>
          <w:sz w:val="24"/>
          <w:szCs w:val="24"/>
          <w:highlight w:val="none"/>
        </w:rPr>
        <w:t xml:space="preserve">2</w:t>
      </w:r>
      <w:r>
        <w:rPr>
          <w:color w:val="auto"/>
          <w:sz w:val="24"/>
          <w:szCs w:val="24"/>
          <w:highlight w:val="none"/>
        </w:rPr>
        <w:t xml:space="preserve">.</w:t>
      </w:r>
      <w:r>
        <w:rPr>
          <w:rFonts w:hint="eastAsia"/>
          <w:color w:val="auto"/>
          <w:sz w:val="24"/>
          <w:szCs w:val="24"/>
          <w:highlight w:val="none"/>
        </w:rPr>
        <w:t xml:space="preserve">双方确定，本合同项目的技术风险按以下方式认定。认定技术风险的基本内容应当包括技术风险的存在、范围、程度及损失大小等。认定技术风险的基本条件是：</w:t>
      </w:r>
      <w:r/>
    </w:p>
    <w:p>
      <w:pPr>
        <w:spacing w:line="360" w:lineRule="auto"/>
        <w:rPr>
          <w:color w:val="auto"/>
          <w:sz w:val="24"/>
          <w:szCs w:val="24"/>
          <w:highlight w:val="none"/>
        </w:rPr>
      </w:pPr>
      <w:r>
        <w:rPr>
          <w:rFonts w:hint="eastAsia"/>
          <w:color w:val="auto"/>
          <w:sz w:val="24"/>
          <w:szCs w:val="24"/>
          <w:highlight w:val="none"/>
        </w:rPr>
        <w:t xml:space="preserve">（1）本合同项目在现有技术水平条件下具有足够的难度；</w:t>
      </w:r>
      <w:r/>
    </w:p>
    <w:p>
      <w:pPr>
        <w:spacing w:line="360" w:lineRule="auto"/>
        <w:rPr>
          <w:color w:val="auto"/>
          <w:sz w:val="24"/>
          <w:szCs w:val="24"/>
          <w:highlight w:val="none"/>
        </w:rPr>
      </w:pPr>
      <w:r>
        <w:rPr>
          <w:rFonts w:hint="eastAsia"/>
          <w:color w:val="auto"/>
          <w:sz w:val="24"/>
          <w:szCs w:val="24"/>
          <w:highlight w:val="none"/>
        </w:rPr>
        <w:t xml:space="preserve">（2）乙方在主观上无过错且经认定研究开发失败为合理的失败。</w:t>
      </w:r>
      <w:r/>
    </w:p>
    <w:p>
      <w:pPr>
        <w:spacing w:line="360" w:lineRule="auto"/>
        <w:rPr>
          <w:color w:val="auto"/>
          <w:sz w:val="24"/>
          <w:szCs w:val="24"/>
          <w:highlight w:val="none"/>
        </w:rPr>
      </w:pPr>
      <w:r>
        <w:rPr>
          <w:rFonts w:hint="eastAsia"/>
          <w:color w:val="auto"/>
          <w:sz w:val="24"/>
          <w:szCs w:val="24"/>
          <w:highlight w:val="none"/>
        </w:rPr>
        <w:t xml:space="preserve">一方发现技术风险存在并有可能致使服务提供失败或部分失败的情形时，应当在［</w:t>
      </w:r>
      <w:r>
        <w:rPr>
          <w:color w:val="auto"/>
          <w:sz w:val="24"/>
          <w:szCs w:val="24"/>
          <w:highlight w:val="none"/>
        </w:rPr>
        <w:t xml:space="preserve">10</w:t>
      </w:r>
      <w:r>
        <w:rPr>
          <w:rFonts w:hint="eastAsia"/>
          <w:color w:val="auto"/>
          <w:sz w:val="24"/>
          <w:szCs w:val="24"/>
          <w:highlight w:val="none"/>
        </w:rPr>
        <w:t xml:space="preserve">］日内通知另一方并采取适当措施减少损失。逾期未通知并未采取适当措施而致使损失扩大的，应当就扩大的损失承担赔偿责任。</w:t>
      </w:r>
      <w:r/>
    </w:p>
    <w:p>
      <w:pPr>
        <w:spacing w:line="360" w:lineRule="auto"/>
        <w:rPr>
          <w:color w:val="auto"/>
          <w:sz w:val="24"/>
          <w:szCs w:val="24"/>
          <w:highlight w:val="none"/>
        </w:rPr>
      </w:pPr>
      <w:r>
        <w:rPr>
          <w:rFonts w:hint="eastAsia"/>
          <w:color w:val="auto"/>
          <w:sz w:val="24"/>
          <w:szCs w:val="24"/>
          <w:highlight w:val="none"/>
        </w:rPr>
        <w:t xml:space="preserve">七、服务条款</w:t>
      </w:r>
      <w:r/>
    </w:p>
    <w:p>
      <w:pPr>
        <w:spacing w:line="360" w:lineRule="auto"/>
        <w:rPr>
          <w:color w:val="auto"/>
          <w:sz w:val="24"/>
          <w:szCs w:val="24"/>
          <w:highlight w:val="none"/>
        </w:rPr>
      </w:pPr>
      <w:r>
        <w:rPr>
          <w:color w:val="auto"/>
          <w:sz w:val="24"/>
          <w:szCs w:val="24"/>
          <w:highlight w:val="none"/>
        </w:rPr>
        <w:t xml:space="preserve">1.</w:t>
      </w:r>
      <w:r>
        <w:rPr>
          <w:rFonts w:hint="eastAsia"/>
          <w:color w:val="auto"/>
          <w:sz w:val="24"/>
          <w:szCs w:val="24"/>
          <w:highlight w:val="none"/>
        </w:rPr>
        <w:t xml:space="preserve">乙方向甲方提供系统的技术培训和支持。</w:t>
      </w:r>
      <w:r/>
    </w:p>
    <w:p>
      <w:pPr>
        <w:spacing w:line="360" w:lineRule="auto"/>
        <w:rPr>
          <w:color w:val="auto"/>
          <w:sz w:val="24"/>
          <w:szCs w:val="24"/>
          <w:highlight w:val="none"/>
        </w:rPr>
      </w:pPr>
      <w:r>
        <w:rPr>
          <w:color w:val="auto"/>
          <w:sz w:val="24"/>
          <w:szCs w:val="24"/>
          <w:highlight w:val="none"/>
        </w:rPr>
        <w:t xml:space="preserve">2.</w:t>
      </w:r>
      <w:r>
        <w:rPr>
          <w:rFonts w:hint="eastAsia"/>
          <w:color w:val="auto"/>
          <w:sz w:val="24"/>
          <w:szCs w:val="24"/>
          <w:highlight w:val="none"/>
        </w:rPr>
        <w:t xml:space="preserve">乙方所提供服务的产品与甲方的所有系统、集成平台免费无缝集成。该系统能免费与甲方集成平台对接，以及免费与甲方各院区该软件系统间、该系统与其他系统的对接，免费配合甲方以后的所有过级、评级改造需求。</w:t>
      </w:r>
      <w:r/>
    </w:p>
    <w:p>
      <w:pPr>
        <w:spacing w:line="360" w:lineRule="auto"/>
        <w:rPr>
          <w:color w:val="auto"/>
          <w:sz w:val="24"/>
          <w:szCs w:val="24"/>
          <w:highlight w:val="none"/>
        </w:rPr>
      </w:pPr>
      <w:r>
        <w:rPr>
          <w:color w:val="auto"/>
          <w:sz w:val="24"/>
          <w:szCs w:val="24"/>
          <w:highlight w:val="none"/>
        </w:rPr>
        <w:t xml:space="preserve">3.</w:t>
      </w:r>
      <w:r>
        <w:rPr>
          <w:rFonts w:hint="eastAsia"/>
          <w:color w:val="auto"/>
          <w:sz w:val="24"/>
          <w:szCs w:val="24"/>
          <w:highlight w:val="none"/>
        </w:rPr>
        <w:t xml:space="preserve">乙方提供服务的产品免费开放软、硬件接口，无站点限制，即无条件配合甲方增加软件工作站点、无条件配合甲方接入新的硬件设备、无条件配合甲方的其他软件完成与本平台（系统）对接，并保证所涉系统正常运行，上述配合工作均含在本次合同价款中。</w:t>
      </w:r>
      <w:r/>
    </w:p>
    <w:p>
      <w:pPr>
        <w:spacing w:line="360" w:lineRule="auto"/>
        <w:rPr>
          <w:color w:val="auto"/>
          <w:sz w:val="24"/>
          <w:szCs w:val="24"/>
          <w:highlight w:val="none"/>
        </w:rPr>
      </w:pPr>
      <w:r>
        <w:rPr>
          <w:rFonts w:hint="eastAsia"/>
          <w:color w:val="auto"/>
          <w:sz w:val="24"/>
          <w:szCs w:val="24"/>
          <w:highlight w:val="none"/>
        </w:rPr>
        <w:t xml:space="preserve">八、各方的权利与义务</w:t>
      </w:r>
      <w:r/>
    </w:p>
    <w:p>
      <w:pPr>
        <w:spacing w:line="360" w:lineRule="auto"/>
        <w:rPr>
          <w:color w:val="auto"/>
          <w:sz w:val="24"/>
          <w:szCs w:val="24"/>
          <w:highlight w:val="none"/>
        </w:rPr>
      </w:pPr>
      <w:r>
        <w:rPr>
          <w:rFonts w:hint="eastAsia"/>
          <w:color w:val="auto"/>
          <w:sz w:val="24"/>
          <w:szCs w:val="24"/>
          <w:highlight w:val="none"/>
        </w:rPr>
        <w:t xml:space="preserve">（一）甲方权利义务</w:t>
      </w:r>
      <w:r/>
    </w:p>
    <w:p>
      <w:pPr>
        <w:spacing w:line="360" w:lineRule="auto"/>
        <w:rPr>
          <w:color w:val="auto"/>
          <w:sz w:val="24"/>
          <w:szCs w:val="24"/>
          <w:highlight w:val="none"/>
        </w:rPr>
      </w:pPr>
      <w:r>
        <w:rPr>
          <w:rFonts w:hint="eastAsia"/>
          <w:color w:val="auto"/>
          <w:sz w:val="24"/>
          <w:szCs w:val="24"/>
          <w:highlight w:val="none"/>
        </w:rPr>
        <w:t xml:space="preserve">1.负责按本合同约定方式向乙方支付采购费用。</w:t>
      </w:r>
      <w:r/>
    </w:p>
    <w:p>
      <w:pPr>
        <w:spacing w:line="360" w:lineRule="auto"/>
        <w:rPr>
          <w:color w:val="auto"/>
          <w:sz w:val="24"/>
          <w:szCs w:val="24"/>
          <w:highlight w:val="none"/>
        </w:rPr>
      </w:pPr>
      <w:r>
        <w:rPr>
          <w:rFonts w:hint="eastAsia"/>
          <w:color w:val="auto"/>
          <w:sz w:val="24"/>
          <w:szCs w:val="24"/>
          <w:highlight w:val="none"/>
        </w:rPr>
        <w:t xml:space="preserve">2.享有本合同中采购设备（物资）的所有权和系统的永久使用权。</w:t>
      </w:r>
      <w:r/>
    </w:p>
    <w:p>
      <w:pPr>
        <w:spacing w:line="360" w:lineRule="auto"/>
        <w:rPr>
          <w:color w:val="auto"/>
          <w:sz w:val="24"/>
          <w:szCs w:val="24"/>
          <w:highlight w:val="none"/>
        </w:rPr>
      </w:pPr>
      <w:r>
        <w:rPr>
          <w:rFonts w:hint="eastAsia"/>
          <w:color w:val="auto"/>
          <w:sz w:val="24"/>
          <w:szCs w:val="24"/>
          <w:highlight w:val="none"/>
        </w:rPr>
        <w:t xml:space="preserve">3.甲方有义务组织相关人员及时收货、验货并与乙方共同签署接收单、验收报告、合格证书等相关单据。</w:t>
      </w:r>
      <w:r/>
    </w:p>
    <w:p>
      <w:pPr>
        <w:spacing w:line="360" w:lineRule="auto"/>
        <w:rPr>
          <w:color w:val="auto"/>
          <w:sz w:val="24"/>
          <w:szCs w:val="24"/>
          <w:highlight w:val="none"/>
        </w:rPr>
      </w:pPr>
      <w:r>
        <w:rPr>
          <w:rFonts w:hint="eastAsia"/>
          <w:color w:val="auto"/>
          <w:sz w:val="24"/>
          <w:szCs w:val="24"/>
          <w:highlight w:val="none"/>
        </w:rPr>
        <w:t xml:space="preserve">4.甲方提供必要的业务人员和技术人员配合需求分析、软件开发、系统测试、系统上线工作。</w:t>
      </w:r>
      <w:r/>
    </w:p>
    <w:p>
      <w:pPr>
        <w:spacing w:line="360" w:lineRule="auto"/>
        <w:rPr>
          <w:color w:val="auto"/>
          <w:sz w:val="24"/>
          <w:szCs w:val="24"/>
          <w:highlight w:val="none"/>
        </w:rPr>
      </w:pPr>
      <w:r>
        <w:rPr>
          <w:rFonts w:hint="eastAsia"/>
          <w:color w:val="auto"/>
          <w:sz w:val="24"/>
          <w:szCs w:val="24"/>
          <w:highlight w:val="none"/>
        </w:rPr>
        <w:t xml:space="preserve">（二）乙方权利义务</w:t>
      </w:r>
      <w:r/>
    </w:p>
    <w:p>
      <w:pPr>
        <w:spacing w:line="360" w:lineRule="auto"/>
        <w:rPr>
          <w:color w:val="auto"/>
          <w:sz w:val="24"/>
          <w:szCs w:val="24"/>
          <w:highlight w:val="none"/>
        </w:rPr>
      </w:pPr>
      <w:r>
        <w:rPr>
          <w:rFonts w:hint="eastAsia"/>
          <w:color w:val="auto"/>
          <w:sz w:val="24"/>
          <w:szCs w:val="24"/>
          <w:highlight w:val="none"/>
        </w:rPr>
        <w:t xml:space="preserve">1.负责并自行承担采购过程中的所有报价风险。本合同一经签订，乙方任何原因导致的报价漏项、缺项等的后果均由乙方自行承担。</w:t>
      </w:r>
      <w:r/>
    </w:p>
    <w:p>
      <w:pPr>
        <w:spacing w:line="360" w:lineRule="auto"/>
        <w:rPr>
          <w:color w:val="auto"/>
          <w:sz w:val="24"/>
          <w:szCs w:val="24"/>
          <w:highlight w:val="none"/>
        </w:rPr>
      </w:pPr>
      <w:r>
        <w:rPr>
          <w:rFonts w:hint="eastAsia"/>
          <w:color w:val="auto"/>
          <w:sz w:val="24"/>
          <w:szCs w:val="24"/>
          <w:highlight w:val="none"/>
        </w:rPr>
        <w:t xml:space="preserve">2.乙方有责任在项目实施过程中向甲方提供完整的相关实施文档及技术资料，包括但不限于《用户手册》、《项目实施计划》、《培训手册》等。</w:t>
      </w:r>
      <w:r/>
    </w:p>
    <w:p>
      <w:pPr>
        <w:spacing w:line="360" w:lineRule="auto"/>
        <w:rPr>
          <w:color w:val="auto"/>
          <w:sz w:val="24"/>
          <w:szCs w:val="24"/>
          <w:highlight w:val="none"/>
        </w:rPr>
      </w:pPr>
      <w:r>
        <w:rPr>
          <w:rFonts w:hint="eastAsia"/>
          <w:color w:val="auto"/>
          <w:sz w:val="24"/>
          <w:szCs w:val="24"/>
          <w:highlight w:val="none"/>
        </w:rPr>
        <w:t xml:space="preserve">3</w:t>
      </w:r>
      <w:r>
        <w:rPr>
          <w:color w:val="auto"/>
          <w:sz w:val="24"/>
          <w:szCs w:val="24"/>
          <w:highlight w:val="none"/>
        </w:rPr>
        <w:t xml:space="preserve">.</w:t>
      </w:r>
      <w:r>
        <w:rPr>
          <w:rFonts w:hint="eastAsia"/>
          <w:color w:val="auto"/>
          <w:sz w:val="24"/>
          <w:szCs w:val="24"/>
          <w:highlight w:val="none"/>
        </w:rPr>
        <w:t xml:space="preserve">服从甲方的规章制度和现场管理，并按照合同要求办理相关产品（服务）验收手续，在验收时提供相应技术资料。本合同采购产品（服务）未办理验收交接手续前，相关资产的风险由乙方承担。</w:t>
      </w:r>
      <w:r/>
    </w:p>
    <w:p>
      <w:pPr>
        <w:spacing w:line="360" w:lineRule="auto"/>
        <w:rPr>
          <w:color w:val="auto"/>
          <w:sz w:val="24"/>
          <w:szCs w:val="24"/>
          <w:highlight w:val="none"/>
        </w:rPr>
      </w:pPr>
      <w:r>
        <w:rPr>
          <w:rFonts w:hint="eastAsia"/>
          <w:color w:val="auto"/>
          <w:sz w:val="24"/>
          <w:szCs w:val="24"/>
          <w:highlight w:val="none"/>
        </w:rPr>
        <w:t xml:space="preserve">4</w:t>
      </w:r>
      <w:r>
        <w:rPr>
          <w:color w:val="auto"/>
          <w:sz w:val="24"/>
          <w:szCs w:val="24"/>
          <w:highlight w:val="none"/>
        </w:rPr>
        <w:t xml:space="preserve">.</w:t>
      </w:r>
      <w:r>
        <w:rPr>
          <w:rFonts w:hint="eastAsia"/>
          <w:color w:val="auto"/>
          <w:sz w:val="24"/>
          <w:szCs w:val="24"/>
          <w:highlight w:val="none"/>
        </w:rPr>
        <w:t xml:space="preserve">完善安全质量保证措施，乙方自行承担其履行合同过程产生的所有费用和造成任何财产和人身损失。</w:t>
      </w:r>
      <w:r/>
    </w:p>
    <w:p>
      <w:pPr>
        <w:spacing w:line="360" w:lineRule="auto"/>
        <w:rPr>
          <w:color w:val="auto"/>
          <w:sz w:val="24"/>
          <w:szCs w:val="24"/>
          <w:highlight w:val="none"/>
        </w:rPr>
      </w:pPr>
      <w:r>
        <w:rPr>
          <w:rFonts w:hint="eastAsia"/>
          <w:color w:val="auto"/>
          <w:sz w:val="24"/>
          <w:szCs w:val="24"/>
          <w:highlight w:val="none"/>
        </w:rPr>
        <w:t xml:space="preserve">5</w:t>
      </w:r>
      <w:r>
        <w:rPr>
          <w:color w:val="auto"/>
          <w:sz w:val="24"/>
          <w:szCs w:val="24"/>
          <w:highlight w:val="none"/>
        </w:rPr>
        <w:t xml:space="preserve">.</w:t>
      </w:r>
      <w:r>
        <w:rPr>
          <w:rFonts w:hint="eastAsia"/>
          <w:color w:val="auto"/>
          <w:sz w:val="24"/>
          <w:szCs w:val="24"/>
          <w:highlight w:val="none"/>
        </w:rPr>
        <w:t xml:space="preserve">如本合同涉及乙方需对甲方现场进行改造，乙方须做好现场已完工程的保护工作。如乙方保护措施不到位，造成甲方任何财产损失的，乙方负责照价赔偿。</w:t>
      </w:r>
      <w:r/>
    </w:p>
    <w:p>
      <w:pPr>
        <w:spacing w:line="360" w:lineRule="auto"/>
        <w:rPr>
          <w:color w:val="auto"/>
          <w:sz w:val="24"/>
          <w:szCs w:val="24"/>
          <w:highlight w:val="none"/>
        </w:rPr>
      </w:pPr>
      <w:r>
        <w:rPr>
          <w:rFonts w:hint="eastAsia"/>
          <w:color w:val="auto"/>
          <w:sz w:val="24"/>
          <w:szCs w:val="24"/>
          <w:highlight w:val="none"/>
        </w:rPr>
        <w:t xml:space="preserve">6</w:t>
      </w:r>
      <w:r>
        <w:rPr>
          <w:color w:val="auto"/>
          <w:sz w:val="24"/>
          <w:szCs w:val="24"/>
          <w:highlight w:val="none"/>
        </w:rPr>
        <w:t xml:space="preserve">.</w:t>
      </w:r>
      <w:r>
        <w:rPr>
          <w:rFonts w:hint="eastAsia"/>
          <w:color w:val="auto"/>
          <w:sz w:val="24"/>
          <w:szCs w:val="24"/>
          <w:highlight w:val="none"/>
        </w:rPr>
        <w:t xml:space="preserve">乙方及乙方所有员工必须履行安全责任义务，按规范流程提供商品或服务。如因乙方及其员工安全责任或义务履行不到位，引起甲方或合同外任何第三方人身伤害、机器损毁以及财产损失等损害，由乙方承担一切后果及责任（包括但不限于赔偿责任及由此对甲方、合同外其他方造成的影响等）。</w:t>
      </w:r>
      <w:r/>
    </w:p>
    <w:p>
      <w:pPr>
        <w:spacing w:line="360" w:lineRule="auto"/>
        <w:rPr>
          <w:color w:val="auto"/>
          <w:sz w:val="24"/>
          <w:szCs w:val="24"/>
          <w:highlight w:val="none"/>
        </w:rPr>
      </w:pPr>
      <w:r>
        <w:rPr>
          <w:color w:val="auto"/>
          <w:sz w:val="24"/>
          <w:szCs w:val="24"/>
          <w:highlight w:val="none"/>
        </w:rPr>
        <w:t xml:space="preserve">7.</w:t>
      </w:r>
      <w:bookmarkStart w:id="156" w:name="_Hlk100935567"/>
      <w:r>
        <w:rPr>
          <w:rFonts w:hint="eastAsia"/>
          <w:color w:val="auto"/>
          <w:sz w:val="24"/>
          <w:szCs w:val="24"/>
          <w:highlight w:val="none"/>
        </w:rPr>
        <w:t xml:space="preserve">乙方向甲方提供系统的技术培训、技术支持与本合同约定下的维保服务。</w:t>
      </w:r>
      <w:bookmarkEnd w:id="156"/>
      <w:r/>
      <w:r/>
    </w:p>
    <w:p>
      <w:pPr>
        <w:spacing w:line="360" w:lineRule="auto"/>
        <w:rPr>
          <w:color w:val="auto"/>
          <w:sz w:val="24"/>
          <w:szCs w:val="24"/>
          <w:highlight w:val="none"/>
        </w:rPr>
      </w:pPr>
      <w:r>
        <w:rPr>
          <w:color w:val="auto"/>
          <w:sz w:val="24"/>
          <w:szCs w:val="24"/>
          <w:highlight w:val="none"/>
        </w:rPr>
        <w:t xml:space="preserve">8.</w:t>
      </w:r>
      <w:r>
        <w:rPr>
          <w:rFonts w:hint="eastAsia"/>
          <w:color w:val="auto"/>
          <w:sz w:val="24"/>
          <w:szCs w:val="24"/>
          <w:highlight w:val="none"/>
        </w:rPr>
        <w:t xml:space="preserve">乙方不得向任何合同外其他方转让、委托、出让、分包、抵押或以其他任何方式处置其在本协议项目下的所有或任何权利或义务。乙方违反本条款规定做出的转让、委托、出让、分包、抵押或以其他任何方式处置行为均无效且无法律效力。</w:t>
      </w:r>
      <w:r/>
    </w:p>
    <w:p>
      <w:pPr>
        <w:spacing w:line="360" w:lineRule="auto"/>
        <w:rPr>
          <w:color w:val="auto"/>
          <w:sz w:val="24"/>
          <w:szCs w:val="24"/>
          <w:highlight w:val="none"/>
        </w:rPr>
      </w:pPr>
      <w:r>
        <w:rPr>
          <w:color w:val="auto"/>
          <w:sz w:val="24"/>
          <w:szCs w:val="24"/>
          <w:highlight w:val="none"/>
        </w:rPr>
        <w:t xml:space="preserve">9.</w:t>
      </w:r>
      <w:r>
        <w:rPr>
          <w:rFonts w:hint="eastAsia"/>
          <w:color w:val="auto"/>
          <w:sz w:val="24"/>
          <w:szCs w:val="24"/>
          <w:highlight w:val="none"/>
        </w:rPr>
        <w:t xml:space="preserve">乙方承诺该项目实施阶段现场人数。</w:t>
      </w:r>
      <w:r/>
    </w:p>
    <w:p>
      <w:pPr>
        <w:spacing w:line="360" w:lineRule="auto"/>
        <w:rPr>
          <w:color w:val="auto"/>
          <w:sz w:val="24"/>
          <w:szCs w:val="24"/>
          <w:highlight w:val="none"/>
        </w:rPr>
      </w:pPr>
      <w:r>
        <w:rPr>
          <w:rFonts w:hint="eastAsia"/>
          <w:color w:val="auto"/>
          <w:sz w:val="24"/>
          <w:szCs w:val="24"/>
          <w:highlight w:val="none"/>
        </w:rPr>
        <w:t xml:space="preserve">九、违约事项</w:t>
      </w:r>
      <w:r/>
    </w:p>
    <w:p>
      <w:pPr>
        <w:ind w:left="480"/>
        <w:spacing w:after="120" w:line="360" w:lineRule="auto"/>
        <w:rPr>
          <w:color w:val="auto"/>
          <w:sz w:val="24"/>
          <w:szCs w:val="24"/>
          <w:highlight w:val="none"/>
        </w:rPr>
      </w:pPr>
      <w:r>
        <w:rPr>
          <w:color w:val="auto"/>
          <w:sz w:val="24"/>
          <w:szCs w:val="24"/>
          <w:highlight w:val="none"/>
        </w:rPr>
        <w:t xml:space="preserve">1.自本协议（合同）生效之日起，各方应严格依约履行。若任何一方违反本协议（合同）规定的，应赔偿由此给其他方造成的损失。</w:t>
      </w:r>
      <w:r/>
    </w:p>
    <w:p>
      <w:pPr>
        <w:ind w:left="480"/>
        <w:spacing w:after="120" w:line="360" w:lineRule="auto"/>
        <w:rPr>
          <w:color w:val="auto"/>
          <w:sz w:val="24"/>
          <w:szCs w:val="24"/>
          <w:highlight w:val="none"/>
        </w:rPr>
      </w:pPr>
      <w:r>
        <w:rPr>
          <w:color w:val="auto"/>
          <w:sz w:val="24"/>
          <w:szCs w:val="24"/>
          <w:highlight w:val="none"/>
        </w:rPr>
        <w:t xml:space="preserve">2.乙方未按协议（合同）规定的质量、技术等标准要求履行协议（合同）（包括但不限于交货、安装、调试、保修、服务），甲方有权拒收，要求乙方进行退货、更换、重做等，同时乙方应按照甲方要求无条件进行整改，直至验收合格。如果乙方在甲方要求的时间内拒绝整改或经两次整改仍未能验收合格，甲方有权委托协议（合同）外其他方采取补救措施或单方直接解除本协议（合同），因此造成的损失和费用由乙方承担。</w:t>
      </w:r>
      <w:r/>
    </w:p>
    <w:p>
      <w:pPr>
        <w:ind w:left="480"/>
        <w:spacing w:after="120" w:line="360" w:lineRule="auto"/>
        <w:rPr>
          <w:color w:val="auto"/>
          <w:sz w:val="24"/>
          <w:szCs w:val="24"/>
          <w:highlight w:val="none"/>
        </w:rPr>
      </w:pPr>
      <w:r>
        <w:rPr>
          <w:color w:val="auto"/>
          <w:sz w:val="24"/>
          <w:szCs w:val="24"/>
          <w:highlight w:val="none"/>
        </w:rPr>
        <w:t xml:space="preserve">3.乙方提供假冒伪劣产品的，乙方按该批次所购商品或服务金额的10倍向甲方支付违约金。</w:t>
      </w:r>
      <w:r/>
    </w:p>
    <w:p>
      <w:pPr>
        <w:ind w:left="480"/>
        <w:spacing w:after="120" w:line="360" w:lineRule="auto"/>
        <w:rPr>
          <w:color w:val="auto"/>
          <w:sz w:val="24"/>
          <w:szCs w:val="24"/>
          <w:highlight w:val="none"/>
        </w:rPr>
      </w:pPr>
      <w:r>
        <w:rPr>
          <w:color w:val="auto"/>
          <w:sz w:val="24"/>
          <w:szCs w:val="24"/>
          <w:highlight w:val="none"/>
        </w:rPr>
        <w:t xml:space="preserve">4.乙方不能按协议（合同）规定的时间提供合格货物、完成安装并验收合格或提供保修等服务时，每逾期一天，甲方有权要求乙方按照商品或服务总金额的1%承担违约责任；如果逾期超过10日的，甲方有权单方直接解除本协议（合同）。</w:t>
      </w:r>
      <w:r/>
    </w:p>
    <w:p>
      <w:pPr>
        <w:spacing w:line="360" w:lineRule="auto"/>
        <w:rPr>
          <w:color w:val="auto"/>
          <w:sz w:val="24"/>
          <w:szCs w:val="24"/>
          <w:highlight w:val="none"/>
        </w:rPr>
      </w:pPr>
      <w:r>
        <w:rPr>
          <w:color w:val="auto"/>
          <w:sz w:val="24"/>
          <w:szCs w:val="24"/>
          <w:highlight w:val="none"/>
        </w:rPr>
        <w:t xml:space="preserve">5.</w:t>
      </w:r>
      <w:r>
        <w:rPr>
          <w:rFonts w:hint="eastAsia"/>
          <w:color w:val="auto"/>
          <w:sz w:val="24"/>
          <w:szCs w:val="24"/>
          <w:highlight w:val="none"/>
        </w:rPr>
        <w:t xml:space="preserve">如乙方的违约行为致使任何第三方（包括但不限于任何人身财产权利）权利被侵害，第三方向甲方索偿后，甲方有权向乙方追偿，并加收合同总金额的</w:t>
      </w:r>
      <w:r>
        <w:rPr>
          <w:color w:val="auto"/>
          <w:sz w:val="24"/>
          <w:szCs w:val="24"/>
          <w:highlight w:val="none"/>
        </w:rPr>
        <w:t xml:space="preserve">30%</w:t>
      </w:r>
      <w:r>
        <w:rPr>
          <w:rFonts w:hint="eastAsia"/>
          <w:color w:val="auto"/>
          <w:sz w:val="24"/>
          <w:szCs w:val="24"/>
          <w:highlight w:val="none"/>
        </w:rPr>
        <w:t xml:space="preserve">的违约金。</w:t>
      </w:r>
      <w:r/>
    </w:p>
    <w:p>
      <w:pPr>
        <w:spacing w:line="360" w:lineRule="auto"/>
        <w:rPr>
          <w:color w:val="auto"/>
          <w:sz w:val="24"/>
          <w:szCs w:val="24"/>
          <w:highlight w:val="none"/>
        </w:rPr>
      </w:pPr>
      <w:r>
        <w:rPr>
          <w:color w:val="auto"/>
          <w:sz w:val="24"/>
          <w:szCs w:val="24"/>
          <w:highlight w:val="none"/>
        </w:rPr>
        <w:t xml:space="preserve">6.</w:t>
      </w:r>
      <w:r>
        <w:rPr>
          <w:rFonts w:hint="eastAsia"/>
          <w:color w:val="auto"/>
          <w:sz w:val="24"/>
          <w:szCs w:val="24"/>
          <w:highlight w:val="none"/>
        </w:rPr>
        <w:t xml:space="preserve">如乙方或乙方提供维护的工程技术人员，未经甲方同意或未按甲方要求擅自修改本合同信息系统的数据文件，给甲方造成损失，应按合同总额的30%计算向甲方支付违约金。</w:t>
      </w:r>
      <w:r/>
    </w:p>
    <w:p>
      <w:pPr>
        <w:ind w:left="480"/>
        <w:spacing w:after="120" w:line="360" w:lineRule="auto"/>
        <w:rPr>
          <w:color w:val="auto"/>
          <w:sz w:val="24"/>
          <w:szCs w:val="24"/>
          <w:highlight w:val="none"/>
        </w:rPr>
      </w:pPr>
      <w:r>
        <w:rPr>
          <w:color w:val="auto"/>
          <w:sz w:val="24"/>
          <w:szCs w:val="24"/>
          <w:highlight w:val="none"/>
        </w:rPr>
        <w:t xml:space="preserve">7.乙方有下列情形之一的，甲方有权单方直接解除协议（合同）：①未经甲方书面同意，将本协议（合同）约定权利义务转让给第三方；②协议（合同）履行过程中出现侵犯他人合法权益的事项，包括但不限于知识产权、人身财产权益等；③未履行协议（合同）信息保密和使用约定的；④未履行本协议（合同）约定其他义务的，或单方面无故终止协议（合同）的，经委托人催告后 7 日内，仍未整改的。</w:t>
      </w:r>
      <w:r/>
    </w:p>
    <w:p>
      <w:pPr>
        <w:ind w:left="480"/>
        <w:spacing w:after="120" w:line="360" w:lineRule="auto"/>
        <w:rPr>
          <w:color w:val="auto"/>
          <w:sz w:val="24"/>
          <w:szCs w:val="24"/>
          <w:highlight w:val="none"/>
        </w:rPr>
      </w:pPr>
      <w:r>
        <w:rPr>
          <w:color w:val="auto"/>
          <w:sz w:val="24"/>
          <w:szCs w:val="24"/>
          <w:highlight w:val="none"/>
        </w:rPr>
        <w:t xml:space="preserve">8.乙方出现违约行为并承担违约责任时，甲方有权从应支付给乙方的协议（合同）款项中直接扣除违约金、赔偿金等所有违约责任费用；协议（合同）款项不足以扣除的，乙方应在收到甲方通知后的7日内予以补足。</w:t>
      </w:r>
      <w:r/>
    </w:p>
    <w:p>
      <w:pPr>
        <w:ind w:left="480"/>
        <w:spacing w:after="120" w:line="360" w:lineRule="auto"/>
        <w:rPr>
          <w:color w:val="auto"/>
          <w:sz w:val="24"/>
          <w:szCs w:val="24"/>
          <w:highlight w:val="none"/>
        </w:rPr>
      </w:pPr>
      <w:r>
        <w:rPr>
          <w:color w:val="auto"/>
          <w:sz w:val="24"/>
          <w:szCs w:val="24"/>
          <w:highlight w:val="none"/>
        </w:rPr>
        <w:t xml:space="preserve">9.以上各项</w:t>
      </w:r>
      <w:bookmarkStart w:id="157" w:name="_Hlk100152518"/>
      <w:r>
        <w:rPr>
          <w:color w:val="auto"/>
          <w:sz w:val="24"/>
          <w:szCs w:val="24"/>
          <w:highlight w:val="none"/>
        </w:rPr>
        <w:t xml:space="preserve">违约事项相互独立，各项违约金可叠加给付，支付违约金</w:t>
      </w:r>
      <w:bookmarkEnd w:id="157"/>
      <w:r>
        <w:rPr>
          <w:color w:val="auto"/>
          <w:sz w:val="24"/>
          <w:szCs w:val="24"/>
          <w:highlight w:val="none"/>
        </w:rPr>
        <w:t xml:space="preserve">并不影响乙方继续履行本协议的其他各项义务</w:t>
      </w:r>
      <w:bookmarkStart w:id="158" w:name="_Hlk100152532"/>
      <w:r>
        <w:rPr>
          <w:color w:val="auto"/>
          <w:sz w:val="24"/>
          <w:szCs w:val="24"/>
          <w:highlight w:val="none"/>
        </w:rPr>
        <w:t xml:space="preserve">（包括但不限于在甲方要求下继续履行本协议、赔偿损失等义务）</w:t>
      </w:r>
      <w:bookmarkEnd w:id="158"/>
      <w:r>
        <w:rPr>
          <w:color w:val="auto"/>
          <w:sz w:val="24"/>
          <w:szCs w:val="24"/>
          <w:highlight w:val="none"/>
        </w:rPr>
        <w:t xml:space="preserve">。</w:t>
      </w:r>
      <w:r/>
    </w:p>
    <w:p>
      <w:pPr>
        <w:ind w:left="480"/>
        <w:spacing w:after="120" w:line="360" w:lineRule="auto"/>
        <w:rPr>
          <w:color w:val="auto"/>
          <w:sz w:val="24"/>
          <w:szCs w:val="24"/>
          <w:highlight w:val="none"/>
        </w:rPr>
      </w:pPr>
      <w:r>
        <w:rPr>
          <w:color w:val="auto"/>
          <w:sz w:val="24"/>
          <w:szCs w:val="24"/>
          <w:highlight w:val="none"/>
        </w:rPr>
        <w:t xml:space="preserve">10.因乙方上述违约行为给甲方造成损失（包括甲方所有直接和间接损失），如果违约金不足以补偿该损失部分的，甲方有权继续要求乙方赔偿甲方所有实际损失。</w:t>
      </w:r>
      <w:r/>
    </w:p>
    <w:p>
      <w:pPr>
        <w:ind w:left="480"/>
        <w:spacing w:after="120" w:line="360" w:lineRule="auto"/>
        <w:rPr>
          <w:color w:val="auto"/>
          <w:sz w:val="24"/>
          <w:szCs w:val="24"/>
          <w:highlight w:val="none"/>
        </w:rPr>
      </w:pPr>
      <w:r>
        <w:rPr>
          <w:color w:val="auto"/>
          <w:sz w:val="24"/>
          <w:szCs w:val="24"/>
          <w:highlight w:val="none"/>
        </w:rPr>
        <w:t xml:space="preserve">11.乙方若违反本协议第十条均视为对本协议的重大违约，甲方有权随时书面通知乙方立即解除本合同。</w:t>
      </w:r>
      <w:r/>
    </w:p>
    <w:p>
      <w:pPr>
        <w:ind w:left="480"/>
        <w:spacing w:after="120" w:line="360" w:lineRule="auto"/>
        <w:rPr>
          <w:color w:val="auto"/>
          <w:sz w:val="24"/>
          <w:szCs w:val="24"/>
          <w:highlight w:val="none"/>
        </w:rPr>
      </w:pPr>
      <w:r>
        <w:rPr>
          <w:color w:val="auto"/>
          <w:sz w:val="24"/>
          <w:szCs w:val="24"/>
          <w:highlight w:val="none"/>
        </w:rPr>
        <w:t xml:space="preserve">12.甲方依法或依据本协议（合同）约定解除本协议（合同）的，乙方应将甲方已经支付的款项全额退回，并按照产品（服务）总金额的30%向甲方支付违约金，并承担相应的违约责任。如乙方支付的违约金不足以弥补由此给甲方造成的损失，乙方须继续履行赔偿责任，承担并支付一切费用，包括但不限于行政罚金、侵权及人身损害赔偿金、调查费、诉讼费、保全费、鉴定费、律师费、赔偿费等。</w:t>
      </w:r>
      <w:r/>
    </w:p>
    <w:p>
      <w:pPr>
        <w:spacing w:line="360" w:lineRule="auto"/>
        <w:rPr>
          <w:color w:val="auto"/>
          <w:sz w:val="24"/>
          <w:szCs w:val="24"/>
          <w:highlight w:val="none"/>
        </w:rPr>
      </w:pPr>
      <w:r>
        <w:rPr>
          <w:rFonts w:hint="eastAsia"/>
          <w:color w:val="auto"/>
          <w:sz w:val="24"/>
          <w:szCs w:val="24"/>
          <w:highlight w:val="none"/>
        </w:rPr>
        <w:t xml:space="preserve">十、廉洁条款</w:t>
      </w:r>
      <w:r/>
    </w:p>
    <w:p>
      <w:pPr>
        <w:spacing w:line="360" w:lineRule="auto"/>
        <w:rPr>
          <w:color w:val="auto"/>
          <w:sz w:val="24"/>
          <w:szCs w:val="24"/>
          <w:highlight w:val="none"/>
        </w:rPr>
      </w:pPr>
      <w:r>
        <w:rPr>
          <w:rFonts w:hint="eastAsia"/>
          <w:color w:val="auto"/>
          <w:sz w:val="24"/>
          <w:szCs w:val="24"/>
          <w:highlight w:val="none"/>
        </w:rPr>
        <w:t xml:space="preserve">甲乙双方须遵守《南京鼓楼医院物资购销廉洁条例》，条例内容如下：为进一步加强医疗卫生行风建设，规范医疗卫生机构医药购销行为，有效防范商业贿赂行为，营造公平交易、诚实守信的购销环境，甲方特制定本条例，以资医疗卫生机构医药购销双方共同遵守：</w:t>
      </w:r>
      <w:r/>
    </w:p>
    <w:p>
      <w:pPr>
        <w:spacing w:line="360" w:lineRule="auto"/>
        <w:rPr>
          <w:color w:val="auto"/>
          <w:sz w:val="24"/>
          <w:szCs w:val="24"/>
          <w:highlight w:val="none"/>
        </w:rPr>
      </w:pPr>
      <w:r>
        <w:rPr>
          <w:rFonts w:hint="eastAsia"/>
          <w:color w:val="auto"/>
          <w:sz w:val="24"/>
          <w:szCs w:val="24"/>
          <w:highlight w:val="none"/>
        </w:rPr>
        <w:t xml:space="preserve">1.合同双方按照《中华人民共和国民法典》及购销廉洁条例约定购销药品、医用设备、医用耗材及行政办公物资等。</w:t>
      </w:r>
      <w:r/>
    </w:p>
    <w:p>
      <w:pPr>
        <w:spacing w:line="360" w:lineRule="auto"/>
        <w:rPr>
          <w:color w:val="auto"/>
          <w:sz w:val="24"/>
          <w:szCs w:val="24"/>
          <w:highlight w:val="none"/>
        </w:rPr>
      </w:pPr>
      <w:r>
        <w:rPr>
          <w:rFonts w:hint="eastAsia"/>
          <w:color w:val="auto"/>
          <w:sz w:val="24"/>
          <w:szCs w:val="24"/>
          <w:highlight w:val="none"/>
        </w:rPr>
        <w:t xml:space="preserve">2.甲方应当严格执行产品购销合同验收、入库制度，对采购产品及发票进行查验，不得违反有关规定合同外采购、违价采购或从非规定渠道采购。</w:t>
      </w:r>
      <w:r/>
    </w:p>
    <w:p>
      <w:pPr>
        <w:spacing w:line="360" w:lineRule="auto"/>
        <w:rPr>
          <w:color w:val="auto"/>
          <w:sz w:val="24"/>
          <w:szCs w:val="24"/>
          <w:highlight w:val="none"/>
        </w:rPr>
      </w:pPr>
      <w:r>
        <w:rPr>
          <w:rFonts w:hint="eastAsia"/>
          <w:color w:val="auto"/>
          <w:sz w:val="24"/>
          <w:szCs w:val="24"/>
          <w:highlight w:val="none"/>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院纪检监察部门反映情况。</w:t>
      </w:r>
      <w:r/>
    </w:p>
    <w:p>
      <w:pPr>
        <w:spacing w:line="360" w:lineRule="auto"/>
        <w:rPr>
          <w:color w:val="auto"/>
          <w:sz w:val="24"/>
          <w:szCs w:val="24"/>
          <w:highlight w:val="none"/>
        </w:rPr>
      </w:pPr>
      <w:r>
        <w:rPr>
          <w:rFonts w:hint="eastAsia"/>
          <w:color w:val="auto"/>
          <w:sz w:val="24"/>
          <w:szCs w:val="24"/>
          <w:highlight w:val="none"/>
        </w:rPr>
        <w:t xml:space="preserve">4.甲方严禁利用任何途径和方式，为乙方统计医师个人及临床科室有关产品用量信息，或为乙方统计提供便利。</w:t>
      </w:r>
      <w:r/>
    </w:p>
    <w:p>
      <w:pPr>
        <w:spacing w:line="360" w:lineRule="auto"/>
        <w:rPr>
          <w:color w:val="auto"/>
          <w:sz w:val="24"/>
          <w:szCs w:val="24"/>
          <w:highlight w:val="none"/>
        </w:rPr>
      </w:pPr>
      <w:r>
        <w:rPr>
          <w:rFonts w:hint="eastAsia"/>
          <w:color w:val="auto"/>
          <w:sz w:val="24"/>
          <w:szCs w:val="24"/>
          <w:highlight w:val="none"/>
        </w:rPr>
        <w:t xml:space="preserve">5.乙方不得以回扣、宴请等方式影响甲方工作人员采购或使用产品的选择权，不得在学术活动中提供旅游、超标准支付食宿费用。</w:t>
      </w:r>
      <w:r/>
    </w:p>
    <w:p>
      <w:pPr>
        <w:spacing w:line="360" w:lineRule="auto"/>
        <w:rPr>
          <w:color w:val="auto"/>
          <w:sz w:val="24"/>
          <w:szCs w:val="24"/>
          <w:highlight w:val="none"/>
        </w:rPr>
      </w:pPr>
      <w:r>
        <w:rPr>
          <w:rFonts w:hint="eastAsia"/>
          <w:color w:val="auto"/>
          <w:sz w:val="24"/>
          <w:szCs w:val="24"/>
          <w:highlight w:val="none"/>
        </w:rPr>
        <w:t xml:space="preserve">6.乙方指定销售代表必须在工作时间到甲方指定地点联系商谈，不得到住院部、门诊部、医技科室等推销产品，不得借故到甲方相关领导、部门负责人及相关工作人员家中访谈并提供任何好处费等。</w:t>
      </w:r>
      <w:r/>
    </w:p>
    <w:p>
      <w:pPr>
        <w:spacing w:line="360" w:lineRule="auto"/>
        <w:rPr>
          <w:color w:val="auto"/>
          <w:sz w:val="24"/>
          <w:szCs w:val="24"/>
          <w:highlight w:val="none"/>
        </w:rPr>
      </w:pPr>
      <w:r>
        <w:rPr>
          <w:rFonts w:hint="eastAsia"/>
          <w:color w:val="auto"/>
          <w:sz w:val="24"/>
          <w:szCs w:val="24"/>
          <w:highlight w:val="none"/>
        </w:rPr>
        <w:t xml:space="preserve">7、乙方承诺其公司法定代表人、实际控制人或者股东中无南京鼓楼医院处级以上干部，且无医院处级以上干部配偶、子女、子女配偶、子女配偶的父母，或者与其同城生活来往密切、有借贷关系或照护关系的亲属等。</w:t>
      </w:r>
      <w:r/>
    </w:p>
    <w:p>
      <w:pPr>
        <w:spacing w:line="360" w:lineRule="auto"/>
        <w:rPr>
          <w:color w:val="auto"/>
          <w:sz w:val="24"/>
          <w:szCs w:val="24"/>
          <w:highlight w:val="none"/>
        </w:rPr>
      </w:pPr>
      <w:r>
        <w:rPr>
          <w:color w:val="auto"/>
          <w:sz w:val="24"/>
          <w:szCs w:val="24"/>
          <w:highlight w:val="none"/>
        </w:rPr>
        <w:t xml:space="preserve">8</w:t>
      </w:r>
      <w:r>
        <w:rPr>
          <w:rFonts w:hint="eastAsia"/>
          <w:color w:val="auto"/>
          <w:sz w:val="24"/>
          <w:szCs w:val="24"/>
          <w:highlight w:val="none"/>
        </w:rPr>
        <w:t xml:space="preserve">、乙方如违反本廉洁条例，一经发现，甲方有权终止购销合同，并向市卫生计生行政部门报告。如乙方被列入商业贿赂不良记录，则严格按照《国家卫生计生委关于建立医药购销领域商业贿赂不良记录的规定》（国卫法制发〔2013〕50号）相关规定处理。</w:t>
      </w:r>
      <w:r/>
    </w:p>
    <w:p>
      <w:pPr>
        <w:spacing w:line="360" w:lineRule="auto"/>
        <w:rPr>
          <w:color w:val="auto"/>
          <w:sz w:val="24"/>
          <w:szCs w:val="24"/>
          <w:highlight w:val="none"/>
        </w:rPr>
      </w:pPr>
      <w:r>
        <w:rPr>
          <w:color w:val="auto"/>
          <w:sz w:val="24"/>
          <w:szCs w:val="24"/>
          <w:highlight w:val="none"/>
        </w:rPr>
        <w:t xml:space="preserve">9</w:t>
      </w:r>
      <w:r>
        <w:rPr>
          <w:rFonts w:hint="eastAsia"/>
          <w:color w:val="auto"/>
          <w:sz w:val="24"/>
          <w:szCs w:val="24"/>
          <w:highlight w:val="none"/>
        </w:rPr>
        <w:t xml:space="preserve">、本廉洁条例为甲方产品购销行为的廉洁准则，各方均需严格遵守。</w:t>
      </w:r>
      <w:r/>
    </w:p>
    <w:p>
      <w:pPr>
        <w:spacing w:line="360" w:lineRule="auto"/>
        <w:rPr>
          <w:color w:val="auto"/>
          <w:sz w:val="24"/>
          <w:szCs w:val="24"/>
          <w:highlight w:val="none"/>
        </w:rPr>
      </w:pPr>
      <w:r>
        <w:rPr>
          <w:color w:val="auto"/>
          <w:sz w:val="24"/>
          <w:szCs w:val="24"/>
          <w:highlight w:val="none"/>
        </w:rPr>
        <w:t xml:space="preserve">10</w:t>
      </w:r>
      <w:r>
        <w:rPr>
          <w:rFonts w:hint="eastAsia"/>
          <w:color w:val="auto"/>
          <w:sz w:val="24"/>
          <w:szCs w:val="24"/>
          <w:highlight w:val="none"/>
        </w:rPr>
        <w:t xml:space="preserve">、本条例由甲方负责解释。</w:t>
      </w:r>
      <w:r/>
    </w:p>
    <w:p>
      <w:pPr>
        <w:spacing w:line="360" w:lineRule="auto"/>
        <w:rPr>
          <w:color w:val="auto"/>
          <w:sz w:val="24"/>
          <w:szCs w:val="24"/>
          <w:highlight w:val="none"/>
        </w:rPr>
      </w:pPr>
      <w:r>
        <w:rPr>
          <w:rFonts w:hint="eastAsia"/>
          <w:color w:val="auto"/>
          <w:sz w:val="24"/>
          <w:szCs w:val="24"/>
          <w:highlight w:val="none"/>
        </w:rPr>
        <w:t xml:space="preserve">1</w:t>
      </w:r>
      <w:r>
        <w:rPr>
          <w:color w:val="auto"/>
          <w:sz w:val="24"/>
          <w:szCs w:val="24"/>
          <w:highlight w:val="none"/>
        </w:rPr>
        <w:t xml:space="preserve">1</w:t>
      </w:r>
      <w:r>
        <w:rPr>
          <w:rFonts w:hint="eastAsia"/>
          <w:color w:val="auto"/>
          <w:sz w:val="24"/>
          <w:szCs w:val="24"/>
          <w:highlight w:val="none"/>
        </w:rPr>
        <w:t xml:space="preserve">、本条例自即日起施行。</w:t>
      </w:r>
      <w:r/>
    </w:p>
    <w:p>
      <w:pPr>
        <w:spacing w:line="360" w:lineRule="auto"/>
        <w:rPr>
          <w:color w:val="auto"/>
          <w:sz w:val="24"/>
          <w:szCs w:val="24"/>
          <w:highlight w:val="none"/>
        </w:rPr>
      </w:pPr>
      <w:r>
        <w:rPr>
          <w:rFonts w:hint="eastAsia"/>
          <w:color w:val="auto"/>
          <w:sz w:val="24"/>
          <w:szCs w:val="24"/>
          <w:highlight w:val="none"/>
        </w:rPr>
        <w:t xml:space="preserve">十一、合同的变更与解除条款</w:t>
      </w:r>
      <w:r/>
    </w:p>
    <w:p>
      <w:pPr>
        <w:spacing w:line="360" w:lineRule="auto"/>
        <w:rPr>
          <w:color w:val="auto"/>
          <w:sz w:val="24"/>
          <w:szCs w:val="24"/>
          <w:highlight w:val="none"/>
          <w:lang w:val="zh-CN"/>
        </w:rPr>
      </w:pPr>
      <w:r/>
      <w:bookmarkStart w:id="159" w:name="_Hlk100930634"/>
      <w:r>
        <w:rPr>
          <w:rFonts w:hint="eastAsia"/>
          <w:color w:val="auto"/>
          <w:sz w:val="24"/>
          <w:szCs w:val="24"/>
          <w:highlight w:val="none"/>
        </w:rPr>
        <w:t xml:space="preserve">如有本合同未尽事宜或合同部分条款需要变更，双方协商后签订补充协议，补充协议与合同同等效力</w:t>
      </w:r>
      <w:r>
        <w:rPr>
          <w:rFonts w:hint="eastAsia"/>
          <w:color w:val="auto"/>
          <w:sz w:val="24"/>
          <w:szCs w:val="24"/>
          <w:highlight w:val="none"/>
          <w:lang w:val="zh-CN"/>
        </w:rPr>
        <w:t xml:space="preserve">。</w:t>
      </w:r>
      <w:bookmarkEnd w:id="159"/>
      <w:r/>
      <w:r/>
    </w:p>
    <w:p>
      <w:pPr>
        <w:spacing w:line="360" w:lineRule="auto"/>
        <w:rPr>
          <w:color w:val="auto"/>
          <w:sz w:val="24"/>
          <w:szCs w:val="24"/>
          <w:highlight w:val="none"/>
        </w:rPr>
      </w:pPr>
      <w:r>
        <w:rPr>
          <w:rFonts w:hint="eastAsia"/>
          <w:color w:val="auto"/>
          <w:sz w:val="24"/>
          <w:szCs w:val="24"/>
          <w:highlight w:val="none"/>
        </w:rPr>
        <w:t xml:space="preserve">本合同第九条下解约事由与法定解约事由出现后，解约方有权提前三个工作日书面通知对方解约，自通知送达之日起，本合同解除。</w:t>
      </w:r>
      <w:r/>
    </w:p>
    <w:p>
      <w:pPr>
        <w:spacing w:line="360" w:lineRule="auto"/>
        <w:rPr>
          <w:color w:val="auto"/>
          <w:sz w:val="24"/>
          <w:szCs w:val="24"/>
          <w:highlight w:val="none"/>
        </w:rPr>
      </w:pPr>
      <w:r>
        <w:rPr>
          <w:rFonts w:hint="eastAsia"/>
          <w:color w:val="auto"/>
          <w:sz w:val="24"/>
          <w:szCs w:val="24"/>
          <w:highlight w:val="none"/>
        </w:rPr>
        <w:t xml:space="preserve">十二、争端解决条款</w:t>
      </w:r>
      <w:r/>
    </w:p>
    <w:p>
      <w:pPr>
        <w:spacing w:line="360" w:lineRule="auto"/>
        <w:rPr>
          <w:color w:val="auto"/>
          <w:sz w:val="24"/>
          <w:szCs w:val="24"/>
          <w:highlight w:val="none"/>
        </w:rPr>
      </w:pPr>
      <w:r>
        <w:rPr>
          <w:rFonts w:hint="eastAsia"/>
          <w:color w:val="auto"/>
          <w:sz w:val="24"/>
          <w:szCs w:val="24"/>
          <w:highlight w:val="none"/>
        </w:rPr>
        <w:t xml:space="preserve">双方应本着友好协商的原则，解决与本合同有关的一切争议。如一方不愿协商或协商开始后30日内无法解决的，应提交甲方所在地人民法院裁决。</w:t>
      </w:r>
      <w:r/>
    </w:p>
    <w:p>
      <w:pPr>
        <w:spacing w:line="360" w:lineRule="auto"/>
        <w:rPr>
          <w:color w:val="auto"/>
          <w:sz w:val="24"/>
          <w:szCs w:val="24"/>
          <w:highlight w:val="none"/>
        </w:rPr>
      </w:pPr>
      <w:r>
        <w:rPr>
          <w:rFonts w:hint="eastAsia"/>
          <w:color w:val="auto"/>
          <w:sz w:val="24"/>
          <w:szCs w:val="24"/>
          <w:highlight w:val="none"/>
        </w:rPr>
        <w:t xml:space="preserve">十三、安全责任条款</w:t>
      </w:r>
      <w:r/>
    </w:p>
    <w:p>
      <w:pPr>
        <w:spacing w:line="360" w:lineRule="auto"/>
        <w:rPr>
          <w:color w:val="auto"/>
          <w:sz w:val="24"/>
          <w:szCs w:val="24"/>
          <w:highlight w:val="none"/>
        </w:rPr>
      </w:pPr>
      <w:r>
        <w:rPr>
          <w:rFonts w:hint="eastAsia"/>
          <w:color w:val="auto"/>
          <w:sz w:val="24"/>
          <w:szCs w:val="24"/>
          <w:highlight w:val="none"/>
        </w:rPr>
        <w:t xml:space="preserve">乙方在为甲方服务的合同期（协议期）内，应执行国家相关安全生产的法律、法规、行业规范和医院相关制度，并掌握甲方的消防安全状况，自觉接受甲方保卫处、总务处等相关部门的安全管理领导。乙方必须依法执行安全生产责任制度，采取有效措施，防止伤亡和其他安全生产事故的发生。如因乙方服务不当或违规操作而发生人身伤亡、经济损失或其他安全事故，均由乙方承担全部责任。</w:t>
      </w:r>
      <w:r/>
    </w:p>
    <w:p>
      <w:pPr>
        <w:spacing w:line="360" w:lineRule="auto"/>
        <w:rPr>
          <w:color w:val="auto"/>
          <w:sz w:val="24"/>
          <w:szCs w:val="24"/>
          <w:highlight w:val="none"/>
        </w:rPr>
      </w:pPr>
      <w:r>
        <w:rPr>
          <w:rFonts w:hint="eastAsia"/>
          <w:color w:val="auto"/>
          <w:sz w:val="24"/>
          <w:szCs w:val="24"/>
          <w:highlight w:val="none"/>
        </w:rPr>
        <w:t xml:space="preserve">十四、保密条款</w:t>
      </w:r>
      <w:r/>
    </w:p>
    <w:p>
      <w:pPr>
        <w:spacing w:line="360" w:lineRule="auto"/>
        <w:rPr>
          <w:color w:val="auto"/>
          <w:sz w:val="24"/>
          <w:szCs w:val="24"/>
          <w:highlight w:val="none"/>
        </w:rPr>
      </w:pPr>
      <w:r>
        <w:rPr>
          <w:rFonts w:hint="eastAsia"/>
          <w:color w:val="auto"/>
          <w:sz w:val="24"/>
          <w:szCs w:val="24"/>
          <w:highlight w:val="none"/>
        </w:rPr>
        <w:t xml:space="preserve">1.双方对于本合同的签订、本合同的内容、本合同的履行以及因履行本合同而获知的甲方的技术、商务、管理（及甲方患者的）等相关信息应承担保密义务。未经甲方书面同意，不得向任何第三方泄露。法律、行政法规另有规定者除外。</w:t>
      </w:r>
      <w:r/>
    </w:p>
    <w:p>
      <w:pPr>
        <w:spacing w:line="360" w:lineRule="auto"/>
        <w:rPr>
          <w:color w:val="auto"/>
          <w:sz w:val="24"/>
          <w:szCs w:val="24"/>
          <w:highlight w:val="none"/>
        </w:rPr>
      </w:pPr>
      <w:r>
        <w:rPr>
          <w:rFonts w:hint="eastAsia"/>
          <w:color w:val="auto"/>
          <w:sz w:val="24"/>
          <w:szCs w:val="24"/>
          <w:highlight w:val="none"/>
        </w:rPr>
        <w:t xml:space="preserve">2.双方应确保已方人员遵守本条约定保密义务，否则由此产生的一切后果由违约方承担责任。</w:t>
      </w:r>
      <w:r/>
    </w:p>
    <w:p>
      <w:pPr>
        <w:spacing w:line="360" w:lineRule="auto"/>
        <w:rPr>
          <w:color w:val="auto"/>
          <w:sz w:val="24"/>
          <w:szCs w:val="24"/>
          <w:highlight w:val="none"/>
        </w:rPr>
      </w:pPr>
      <w:r>
        <w:rPr>
          <w:rFonts w:hint="eastAsia"/>
          <w:color w:val="auto"/>
          <w:sz w:val="24"/>
          <w:szCs w:val="24"/>
          <w:highlight w:val="none"/>
        </w:rPr>
        <w:t xml:space="preserve">3.本条约定在本合同解除、终止或被认为无效后仍然有效。</w:t>
      </w:r>
      <w:r/>
    </w:p>
    <w:p>
      <w:pPr>
        <w:spacing w:line="360" w:lineRule="auto"/>
        <w:rPr>
          <w:color w:val="auto"/>
          <w:sz w:val="24"/>
          <w:szCs w:val="24"/>
          <w:highlight w:val="none"/>
        </w:rPr>
      </w:pPr>
      <w:r>
        <w:rPr>
          <w:rFonts w:hint="eastAsia"/>
          <w:color w:val="auto"/>
          <w:sz w:val="24"/>
          <w:szCs w:val="24"/>
          <w:highlight w:val="none"/>
        </w:rPr>
        <w:t xml:space="preserve">十五、其他条款</w:t>
      </w:r>
      <w:r/>
    </w:p>
    <w:p>
      <w:pPr>
        <w:spacing w:line="360" w:lineRule="auto"/>
        <w:rPr>
          <w:b/>
          <w:color w:val="auto"/>
          <w:sz w:val="24"/>
          <w:szCs w:val="24"/>
          <w:highlight w:val="none"/>
        </w:rPr>
      </w:pPr>
      <w:r>
        <w:rPr>
          <w:b/>
          <w:color w:val="auto"/>
          <w:sz w:val="24"/>
          <w:szCs w:val="24"/>
          <w:highlight w:val="none"/>
        </w:rPr>
        <w:t xml:space="preserve">1.</w:t>
      </w:r>
      <w:r>
        <w:rPr>
          <w:rFonts w:hint="eastAsia"/>
          <w:color w:val="auto"/>
          <w:sz w:val="24"/>
          <w:szCs w:val="24"/>
          <w:highlight w:val="none"/>
        </w:rPr>
        <w:t xml:space="preserve">本项目招标文件、协议（合同）及附件、乙方投标文件及其他承诺，均为本项目不可分割的重要组成部分，具有同等法律效力。</w:t>
      </w:r>
      <w:r/>
    </w:p>
    <w:p>
      <w:pPr>
        <w:spacing w:line="360" w:lineRule="auto"/>
        <w:rPr>
          <w:color w:val="auto"/>
          <w:sz w:val="24"/>
          <w:szCs w:val="24"/>
          <w:highlight w:val="none"/>
          <w:lang w:val="zh-CN"/>
        </w:rPr>
      </w:pPr>
      <w:r>
        <w:rPr>
          <w:rFonts w:hint="eastAsia"/>
          <w:color w:val="auto"/>
          <w:sz w:val="24"/>
          <w:szCs w:val="24"/>
          <w:highlight w:val="none"/>
          <w:lang w:val="zh-CN"/>
        </w:rPr>
        <w:t xml:space="preserve">2</w:t>
      </w:r>
      <w:r>
        <w:rPr>
          <w:color w:val="auto"/>
          <w:sz w:val="24"/>
          <w:szCs w:val="24"/>
          <w:highlight w:val="none"/>
          <w:lang w:val="zh-CN"/>
        </w:rPr>
        <w:t xml:space="preserve">.</w:t>
      </w:r>
      <w:r>
        <w:rPr>
          <w:rFonts w:hint="eastAsia"/>
          <w:color w:val="auto"/>
          <w:sz w:val="24"/>
          <w:szCs w:val="24"/>
          <w:highlight w:val="none"/>
          <w:lang w:val="zh-CN"/>
        </w:rPr>
        <w:t xml:space="preserve">本合同一式</w:t>
      </w:r>
      <w:r>
        <w:rPr>
          <w:rFonts w:hint="eastAsia"/>
          <w:color w:val="auto"/>
          <w:sz w:val="24"/>
          <w:szCs w:val="24"/>
          <w:highlight w:val="none"/>
        </w:rPr>
        <w:t xml:space="preserve">肆</w:t>
      </w:r>
      <w:r>
        <w:rPr>
          <w:rFonts w:hint="eastAsia"/>
          <w:color w:val="auto"/>
          <w:sz w:val="24"/>
          <w:szCs w:val="24"/>
          <w:highlight w:val="none"/>
          <w:lang w:val="zh-CN"/>
        </w:rPr>
        <w:t xml:space="preserve">份，</w:t>
      </w:r>
      <w:r>
        <w:rPr>
          <w:rFonts w:hint="eastAsia"/>
          <w:color w:val="auto"/>
          <w:sz w:val="24"/>
          <w:szCs w:val="24"/>
          <w:highlight w:val="none"/>
        </w:rPr>
        <w:t xml:space="preserve">甲方执贰份，乙方执贰份，经双方签字盖章并加盖骑缝章后生效，</w:t>
      </w:r>
      <w:r/>
    </w:p>
    <w:p>
      <w:pPr>
        <w:spacing w:line="360" w:lineRule="auto"/>
        <w:rPr>
          <w:color w:val="auto"/>
          <w:sz w:val="24"/>
          <w:szCs w:val="24"/>
          <w:highlight w:val="none"/>
        </w:rPr>
      </w:pPr>
      <w:r>
        <w:rPr>
          <w:color w:val="auto"/>
          <w:sz w:val="24"/>
          <w:szCs w:val="24"/>
          <w:highlight w:val="none"/>
        </w:rPr>
        <w:t xml:space="preserve">3.</w:t>
      </w:r>
      <w:r>
        <w:rPr>
          <w:rFonts w:hint="eastAsia"/>
          <w:color w:val="auto"/>
          <w:sz w:val="24"/>
          <w:szCs w:val="24"/>
          <w:highlight w:val="none"/>
        </w:rPr>
        <w:t xml:space="preserve">本合同适用的语言文字为汉语文字，本合同适用法律法规为中华人民共和国及其区域内相关法律法规，本合同条款解释语言以中文为准。</w:t>
      </w:r>
      <w:r/>
    </w:p>
    <w:p>
      <w:pPr>
        <w:spacing w:line="360" w:lineRule="auto"/>
        <w:rPr>
          <w:color w:val="auto"/>
          <w:sz w:val="24"/>
          <w:szCs w:val="24"/>
          <w:highlight w:val="none"/>
        </w:rPr>
      </w:pPr>
      <w:r>
        <w:rPr>
          <w:color w:val="auto"/>
          <w:sz w:val="24"/>
          <w:szCs w:val="24"/>
          <w:highlight w:val="none"/>
        </w:rPr>
        <w:t xml:space="preserve">4.</w:t>
      </w:r>
      <w:r>
        <w:rPr>
          <w:rFonts w:hint="eastAsia"/>
          <w:color w:val="auto"/>
          <w:sz w:val="24"/>
          <w:szCs w:val="24"/>
          <w:highlight w:val="none"/>
        </w:rPr>
        <w:t xml:space="preserve">合同签署地点:南京。</w:t>
      </w:r>
      <w:r/>
    </w:p>
    <w:p>
      <w:pPr>
        <w:spacing w:line="360" w:lineRule="auto"/>
        <w:rPr>
          <w:color w:val="auto"/>
          <w:sz w:val="24"/>
          <w:szCs w:val="24"/>
          <w:highlight w:val="none"/>
        </w:rPr>
      </w:pPr>
      <w:r>
        <w:rPr>
          <w:color w:val="auto"/>
          <w:sz w:val="24"/>
          <w:szCs w:val="24"/>
          <w:highlight w:val="none"/>
        </w:rPr>
      </w:r>
      <w:r/>
    </w:p>
    <w:p>
      <w:pPr>
        <w:spacing w:line="360" w:lineRule="auto"/>
        <w:rPr>
          <w:color w:val="auto"/>
          <w:sz w:val="24"/>
          <w:szCs w:val="24"/>
          <w:highlight w:val="none"/>
          <w:u w:val="single"/>
        </w:rPr>
      </w:pPr>
      <w:r>
        <w:rPr>
          <w:rFonts w:hint="eastAsia"/>
          <w:color w:val="auto"/>
          <w:sz w:val="24"/>
          <w:szCs w:val="24"/>
          <w:highlight w:val="none"/>
        </w:rPr>
        <w:t xml:space="preserve">甲方：</w:t>
      </w:r>
      <w:r>
        <w:rPr>
          <w:rFonts w:hint="eastAsia"/>
          <w:color w:val="auto"/>
          <w:sz w:val="24"/>
          <w:szCs w:val="24"/>
          <w:highlight w:val="none"/>
          <w:u w:val="single"/>
        </w:rPr>
        <w:t xml:space="preserve">南京鼓楼医院</w:t>
      </w:r>
      <w:r>
        <w:rPr>
          <w:rFonts w:hint="eastAsia"/>
          <w:color w:val="auto"/>
          <w:sz w:val="24"/>
          <w:szCs w:val="24"/>
          <w:highlight w:val="none"/>
        </w:rPr>
        <w:t xml:space="preserve">（盖章）                 乙方：（盖章）</w:t>
      </w:r>
      <w:r/>
    </w:p>
    <w:p>
      <w:pPr>
        <w:spacing w:line="360" w:lineRule="auto"/>
        <w:rPr>
          <w:color w:val="auto"/>
          <w:sz w:val="24"/>
          <w:szCs w:val="24"/>
          <w:highlight w:val="none"/>
        </w:rPr>
      </w:pPr>
      <w:r>
        <w:rPr>
          <w:rFonts w:hint="eastAsia"/>
          <w:color w:val="auto"/>
          <w:sz w:val="24"/>
          <w:szCs w:val="24"/>
          <w:highlight w:val="none"/>
        </w:rPr>
        <w:t xml:space="preserve">地址：南京市中山路321号                   地址：</w:t>
      </w:r>
      <w:r/>
    </w:p>
    <w:p>
      <w:pPr>
        <w:spacing w:line="360" w:lineRule="auto"/>
        <w:rPr>
          <w:color w:val="auto"/>
          <w:sz w:val="24"/>
          <w:szCs w:val="24"/>
          <w:highlight w:val="none"/>
        </w:rPr>
      </w:pPr>
      <w:r>
        <w:rPr>
          <w:rFonts w:hint="eastAsia"/>
          <w:color w:val="auto"/>
          <w:sz w:val="24"/>
          <w:szCs w:val="24"/>
          <w:highlight w:val="none"/>
        </w:rPr>
        <w:t xml:space="preserve">邮编：210008 传真：025-</w:t>
      </w:r>
      <w:r>
        <w:rPr>
          <w:color w:val="auto"/>
          <w:sz w:val="24"/>
          <w:szCs w:val="24"/>
          <w:highlight w:val="none"/>
        </w:rPr>
        <w:t xml:space="preserve">8</w:t>
      </w:r>
      <w:r>
        <w:rPr>
          <w:rFonts w:hint="eastAsia"/>
          <w:color w:val="auto"/>
          <w:sz w:val="24"/>
          <w:szCs w:val="24"/>
          <w:highlight w:val="none"/>
        </w:rPr>
        <w:t xml:space="preserve">3105006            传真：</w:t>
      </w:r>
      <w:r/>
    </w:p>
    <w:p>
      <w:pPr>
        <w:spacing w:line="360" w:lineRule="auto"/>
        <w:rPr>
          <w:color w:val="auto"/>
          <w:sz w:val="24"/>
          <w:szCs w:val="24"/>
          <w:highlight w:val="none"/>
        </w:rPr>
      </w:pPr>
      <w:r>
        <w:rPr>
          <w:rFonts w:hint="eastAsia"/>
          <w:color w:val="auto"/>
          <w:sz w:val="24"/>
          <w:szCs w:val="24"/>
          <w:highlight w:val="none"/>
        </w:rPr>
        <w:t xml:space="preserve">电话：（手机）025-83106666                 电话：</w:t>
      </w:r>
      <w:r/>
    </w:p>
    <w:p>
      <w:pPr>
        <w:spacing w:line="360" w:lineRule="auto"/>
        <w:rPr>
          <w:color w:val="auto"/>
          <w:sz w:val="24"/>
          <w:szCs w:val="24"/>
          <w:highlight w:val="none"/>
          <w:u w:val="single"/>
        </w:rPr>
      </w:pPr>
      <w:r>
        <w:rPr>
          <w:rFonts w:hint="eastAsia"/>
          <w:color w:val="auto"/>
          <w:sz w:val="24"/>
          <w:szCs w:val="24"/>
          <w:highlight w:val="none"/>
        </w:rPr>
        <w:t xml:space="preserve">法定代表人或授权代表：                     法定代表人：</w:t>
      </w:r>
      <w:r/>
    </w:p>
    <w:p>
      <w:pPr>
        <w:spacing w:line="360" w:lineRule="auto"/>
        <w:rPr>
          <w:color w:val="auto"/>
          <w:sz w:val="24"/>
          <w:szCs w:val="24"/>
          <w:highlight w:val="none"/>
        </w:rPr>
      </w:pPr>
      <w:r>
        <w:rPr>
          <w:rFonts w:hint="eastAsia"/>
          <w:color w:val="auto"/>
          <w:sz w:val="24"/>
          <w:szCs w:val="24"/>
          <w:highlight w:val="none"/>
        </w:rPr>
        <w:t xml:space="preserve">分管院领导：                               项目经理：</w:t>
      </w:r>
      <w:r/>
    </w:p>
    <w:p>
      <w:pPr>
        <w:spacing w:line="360" w:lineRule="auto"/>
        <w:rPr>
          <w:color w:val="auto"/>
          <w:sz w:val="24"/>
          <w:szCs w:val="24"/>
          <w:highlight w:val="none"/>
        </w:rPr>
      </w:pPr>
      <w:r/>
      <w:bookmarkStart w:id="160" w:name="OLE_LINK4"/>
      <w:r/>
      <w:bookmarkStart w:id="161" w:name="OLE_LINK3"/>
      <w:r>
        <w:rPr>
          <w:rFonts w:hint="eastAsia"/>
          <w:color w:val="auto"/>
          <w:sz w:val="24"/>
          <w:szCs w:val="24"/>
          <w:highlight w:val="none"/>
        </w:rPr>
        <w:t xml:space="preserve">医用物资采购中心负责人：                   手机：</w:t>
      </w:r>
      <w:r/>
    </w:p>
    <w:p>
      <w:pPr>
        <w:spacing w:line="360" w:lineRule="auto"/>
        <w:rPr>
          <w:color w:val="auto"/>
          <w:sz w:val="24"/>
          <w:szCs w:val="24"/>
          <w:highlight w:val="none"/>
          <w:u w:val="single"/>
        </w:rPr>
      </w:pPr>
      <w:r>
        <w:rPr>
          <w:rFonts w:hint="eastAsia"/>
          <w:color w:val="auto"/>
          <w:sz w:val="24"/>
          <w:szCs w:val="24"/>
          <w:highlight w:val="none"/>
        </w:rPr>
        <w:t xml:space="preserve">日期：</w:t>
      </w:r>
      <w:bookmarkEnd w:id="160"/>
      <w:r/>
      <w:bookmarkEnd w:id="161"/>
      <w:r>
        <w:rPr>
          <w:rFonts w:hint="eastAsia"/>
          <w:color w:val="auto"/>
          <w:sz w:val="24"/>
          <w:szCs w:val="24"/>
          <w:highlight w:val="none"/>
        </w:rPr>
        <w:t xml:space="preserve">                                     日期：</w:t>
      </w:r>
      <w:r/>
    </w:p>
    <w:p>
      <w:pPr>
        <w:rPr>
          <w:rFonts w:hAnsi="宋体" w:eastAsia="Times New Roman" w:cs="宋体"/>
          <w:color w:val="auto"/>
          <w:sz w:val="24"/>
          <w:szCs w:val="24"/>
          <w:highlight w:val="none"/>
        </w:rPr>
      </w:pPr>
      <w:r>
        <w:rPr>
          <w:rFonts w:hAnsi="宋体" w:eastAsia="Times New Roman" w:cs="宋体"/>
          <w:color w:val="auto"/>
          <w:sz w:val="24"/>
          <w:szCs w:val="24"/>
          <w:highlight w:val="none"/>
        </w:rPr>
      </w:r>
      <w:r/>
    </w:p>
    <w:p>
      <w:pPr>
        <w:pStyle w:val="781"/>
        <w:jc w:val="left"/>
        <w:spacing w:after="0"/>
        <w:widowControl/>
        <w:rPr>
          <w:rFonts w:ascii="楷体_GB2312" w:hAnsi="Arial" w:eastAsia="楷体_GB2312"/>
          <w:color w:val="auto"/>
          <w:sz w:val="28"/>
          <w:szCs w:val="28"/>
          <w:highlight w:val="none"/>
        </w:rPr>
      </w:pPr>
      <w:r>
        <w:rPr>
          <w:rFonts w:hint="eastAsia" w:ascii="楷体_GB2312" w:hAnsi="宋体" w:eastAsia="楷体_GB2312" w:cs="宋体"/>
          <w:bCs/>
          <w:color w:val="auto"/>
          <w:sz w:val="44"/>
          <w:szCs w:val="28"/>
          <w:highlight w:val="none"/>
        </w:rPr>
        <w:br w:type="page" w:clear="all"/>
      </w:r>
      <w:r/>
    </w:p>
    <w:p>
      <w:pPr>
        <w:pStyle w:val="766"/>
        <w:pageBreakBefore/>
        <w:rPr>
          <w:color w:val="auto"/>
          <w:highlight w:val="none"/>
        </w:rPr>
      </w:pPr>
      <w:r/>
      <w:bookmarkStart w:id="162" w:name="_Toc29724"/>
      <w:r/>
      <w:bookmarkStart w:id="163" w:name="_Toc514054483"/>
      <w:r/>
      <w:bookmarkStart w:id="164" w:name="_Toc26546"/>
      <w:r>
        <w:rPr>
          <w:rFonts w:hint="eastAsia"/>
          <w:color w:val="auto"/>
          <w:highlight w:val="none"/>
        </w:rPr>
        <w:t xml:space="preserve">第六部分  投标文件格式</w:t>
      </w:r>
      <w:bookmarkEnd w:id="162"/>
      <w:r/>
      <w:bookmarkEnd w:id="163"/>
      <w:r/>
      <w:bookmarkEnd w:id="164"/>
      <w:r/>
      <w:r/>
    </w:p>
    <w:p>
      <w:pPr>
        <w:rPr>
          <w:rFonts w:ascii="宋体" w:hAnsi="宋体" w:cs="宋体"/>
          <w:color w:val="auto"/>
          <w:highlight w:val="none"/>
        </w:rPr>
      </w:pPr>
      <w:r>
        <w:rPr>
          <w:rFonts w:ascii="宋体" w:hAnsi="宋体" w:cs="宋体"/>
          <w:color w:val="auto"/>
          <w:highlight w:val="none"/>
        </w:rPr>
      </w:r>
      <w:r/>
    </w:p>
    <w:p>
      <w:pPr>
        <w:jc w:val="left"/>
        <w:spacing w:line="360" w:lineRule="auto"/>
        <w:widowControl/>
        <w:rPr>
          <w:rFonts w:ascii="仿宋" w:hAnsi="仿宋" w:eastAsia="仿宋" w:cs="宋体"/>
          <w:b/>
          <w:bCs/>
          <w:color w:val="auto"/>
          <w:sz w:val="24"/>
          <w:szCs w:val="28"/>
          <w:highlight w:val="none"/>
        </w:rPr>
      </w:pPr>
      <w:r/>
      <w:bookmarkStart w:id="165" w:name="_Toc21788"/>
      <w:r/>
      <w:bookmarkStart w:id="166" w:name="_Toc514054484"/>
      <w:r/>
      <w:bookmarkStart w:id="167" w:name="_Toc16009"/>
      <w:r/>
      <w:bookmarkStart w:id="168" w:name="_Toc26779"/>
      <w:r>
        <w:rPr>
          <w:rFonts w:hint="eastAsia" w:ascii="仿宋" w:hAnsi="仿宋" w:eastAsia="仿宋" w:cs="宋体"/>
          <w:b/>
          <w:bCs/>
          <w:color w:val="auto"/>
          <w:sz w:val="24"/>
          <w:szCs w:val="28"/>
          <w:highlight w:val="none"/>
        </w:rPr>
        <w:t xml:space="preserve">投标文件格式使用注意事项：</w:t>
      </w:r>
      <w:r/>
    </w:p>
    <w:p>
      <w:pPr>
        <w:numPr>
          <w:ilvl w:val="0"/>
          <w:numId w:val="10"/>
        </w:numPr>
        <w:jc w:val="left"/>
        <w:spacing w:line="360" w:lineRule="auto"/>
        <w:widowControl/>
        <w:rPr>
          <w:rFonts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投标文件编制时应使用的模板已在本部分列明，招标文件要求提供但未提供模板的，格式自拟。</w:t>
      </w:r>
      <w:r/>
    </w:p>
    <w:p>
      <w:pPr>
        <w:numPr>
          <w:ilvl w:val="0"/>
          <w:numId w:val="10"/>
        </w:numPr>
        <w:jc w:val="left"/>
        <w:spacing w:line="360" w:lineRule="auto"/>
        <w:widowControl/>
        <w:rPr>
          <w:rFonts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模板没有先后顺序，在使用模板时模板名称对应苏采云系统目录名称。</w:t>
      </w:r>
      <w:r/>
    </w:p>
    <w:p>
      <w:pPr>
        <w:numPr>
          <w:ilvl w:val="0"/>
          <w:numId w:val="10"/>
        </w:numPr>
        <w:jc w:val="left"/>
        <w:spacing w:line="360" w:lineRule="auto"/>
        <w:widowControl/>
        <w:rPr>
          <w:rFonts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招标文件中提供的投标文件格式与苏采云系统内不一致的，以苏采云系统的格式为准。</w:t>
      </w:r>
      <w:r/>
    </w:p>
    <w:p>
      <w:pPr>
        <w:jc w:val="left"/>
        <w:spacing w:line="360" w:lineRule="auto"/>
        <w:widowControl/>
        <w:rPr>
          <w:rFonts w:ascii="仿宋" w:hAnsi="仿宋" w:eastAsia="仿宋" w:cs="宋体"/>
          <w:color w:val="auto"/>
          <w:sz w:val="24"/>
          <w:szCs w:val="28"/>
          <w:highlight w:val="none"/>
        </w:rPr>
      </w:pPr>
      <w:r>
        <w:rPr>
          <w:rFonts w:ascii="仿宋" w:hAnsi="仿宋" w:eastAsia="仿宋" w:cs="宋体"/>
          <w:color w:val="auto"/>
          <w:sz w:val="24"/>
          <w:szCs w:val="28"/>
          <w:highlight w:val="none"/>
        </w:rPr>
      </w:r>
      <w:r/>
    </w:p>
    <w:p>
      <w:pPr>
        <w:jc w:val="left"/>
        <w:spacing w:line="360" w:lineRule="auto"/>
        <w:widowControl/>
        <w:rPr>
          <w:rFonts w:ascii="仿宋" w:hAnsi="仿宋" w:eastAsia="仿宋" w:cs="宋体"/>
          <w:color w:val="auto"/>
          <w:sz w:val="24"/>
          <w:szCs w:val="28"/>
          <w:highlight w:val="none"/>
        </w:rPr>
      </w:pPr>
      <w:r>
        <w:rPr>
          <w:rFonts w:hint="eastAsia" w:ascii="仿宋" w:hAnsi="仿宋" w:eastAsia="仿宋" w:cs="宋体"/>
          <w:color w:val="auto"/>
          <w:sz w:val="24"/>
          <w:szCs w:val="28"/>
          <w:highlight w:val="none"/>
        </w:rPr>
        <w:br w:type="page" w:clear="all"/>
      </w:r>
      <w:r/>
    </w:p>
    <w:p>
      <w:pPr>
        <w:jc w:val="left"/>
        <w:widowControl/>
        <w:rPr>
          <w:rFonts w:ascii="宋体" w:hAnsi="宋体" w:cs="宋体"/>
          <w:b/>
          <w:color w:val="auto"/>
          <w:sz w:val="32"/>
          <w:szCs w:val="24"/>
          <w:highlight w:val="none"/>
        </w:rPr>
      </w:pPr>
      <w:r>
        <w:rPr>
          <w:rFonts w:ascii="宋体" w:hAnsi="宋体" w:cs="宋体"/>
          <w:b/>
          <w:color w:val="auto"/>
          <w:sz w:val="32"/>
          <w:szCs w:val="24"/>
          <w:highlight w:val="none"/>
        </w:rPr>
      </w:r>
      <w:r/>
    </w:p>
    <w:p>
      <w:pPr>
        <w:pStyle w:val="1269"/>
        <w:ind w:firstLine="321"/>
        <w:jc w:val="center"/>
        <w:rPr>
          <w:rFonts w:ascii="宋体" w:hAnsi="宋体" w:eastAsia="宋体" w:cs="宋体"/>
          <w:color w:val="auto"/>
          <w:highlight w:val="none"/>
        </w:rPr>
        <w:outlineLvl w:val="1"/>
      </w:pPr>
      <w:r/>
      <w:bookmarkStart w:id="169" w:name="_Toc15407"/>
      <w:r>
        <w:rPr>
          <w:rFonts w:hint="eastAsia" w:ascii="宋体" w:hAnsi="宋体" w:eastAsia="宋体" w:cs="宋体"/>
          <w:color w:val="auto"/>
          <w:highlight w:val="none"/>
        </w:rPr>
        <w:t xml:space="preserve">封面</w:t>
      </w:r>
      <w:bookmarkEnd w:id="165"/>
      <w:r/>
      <w:bookmarkEnd w:id="166"/>
      <w:r/>
      <w:bookmarkEnd w:id="167"/>
      <w:r/>
      <w:bookmarkEnd w:id="168"/>
      <w:r/>
      <w:bookmarkEnd w:id="169"/>
      <w:r/>
      <w:r/>
    </w:p>
    <w:p>
      <w:pPr>
        <w:pStyle w:val="1135"/>
        <w:jc w:val="left"/>
        <w:rPr>
          <w:rFonts w:ascii="宋体" w:hAnsi="宋体" w:cs="宋体"/>
          <w:color w:val="auto"/>
          <w:sz w:val="32"/>
          <w:szCs w:val="32"/>
          <w:highlight w:val="none"/>
        </w:rPr>
      </w:pPr>
      <w:r>
        <w:rPr>
          <w:rFonts w:ascii="宋体" w:hAnsi="宋体" w:cs="宋体"/>
          <w:color w:val="auto"/>
          <w:sz w:val="32"/>
          <w:szCs w:val="32"/>
          <w:highlight w:val="none"/>
        </w:rPr>
      </w:r>
      <w:r/>
    </w:p>
    <w:p>
      <w:pPr>
        <w:pStyle w:val="1135"/>
        <w:jc w:val="left"/>
        <w:rPr>
          <w:rFonts w:ascii="宋体" w:hAnsi="宋体" w:cs="宋体"/>
          <w:color w:val="auto"/>
          <w:sz w:val="32"/>
          <w:szCs w:val="32"/>
          <w:highlight w:val="none"/>
        </w:rPr>
      </w:pPr>
      <w:r>
        <w:rPr>
          <w:rFonts w:ascii="宋体" w:hAnsi="宋体" w:cs="宋体"/>
          <w:color w:val="auto"/>
          <w:sz w:val="32"/>
          <w:szCs w:val="32"/>
          <w:highlight w:val="none"/>
        </w:rPr>
      </w:r>
      <w:r/>
    </w:p>
    <w:p>
      <w:pPr>
        <w:pStyle w:val="1135"/>
        <w:jc w:val="left"/>
        <w:rPr>
          <w:rFonts w:ascii="宋体" w:hAnsi="宋体" w:cs="宋体"/>
          <w:color w:val="auto"/>
          <w:sz w:val="32"/>
          <w:szCs w:val="32"/>
          <w:highlight w:val="none"/>
        </w:rPr>
      </w:pPr>
      <w:r>
        <w:rPr>
          <w:rFonts w:ascii="宋体" w:hAnsi="宋体" w:cs="宋体"/>
          <w:color w:val="auto"/>
          <w:sz w:val="32"/>
          <w:szCs w:val="32"/>
          <w:highlight w:val="none"/>
        </w:rPr>
      </w:r>
      <w:r/>
    </w:p>
    <w:p>
      <w:pPr>
        <w:pStyle w:val="1135"/>
        <w:jc w:val="center"/>
        <w:rPr>
          <w:rFonts w:ascii="宋体" w:hAnsi="宋体" w:cs="宋体"/>
          <w:color w:val="auto"/>
          <w:sz w:val="52"/>
          <w:szCs w:val="52"/>
          <w:highlight w:val="none"/>
        </w:rPr>
      </w:pPr>
      <w:r>
        <w:rPr>
          <w:rFonts w:ascii="宋体" w:hAnsi="宋体" w:cs="宋体"/>
          <w:color w:val="auto"/>
          <w:sz w:val="52"/>
          <w:szCs w:val="52"/>
          <w:highlight w:val="none"/>
        </w:rPr>
      </w:r>
      <w:r/>
    </w:p>
    <w:p>
      <w:pPr>
        <w:pStyle w:val="1135"/>
        <w:jc w:val="center"/>
        <w:rPr>
          <w:rFonts w:ascii="宋体" w:hAnsi="宋体" w:cs="宋体"/>
          <w:color w:val="auto"/>
          <w:sz w:val="28"/>
          <w:szCs w:val="28"/>
          <w:highlight w:val="none"/>
        </w:rPr>
      </w:pPr>
      <w:r>
        <w:rPr>
          <w:rFonts w:hint="eastAsia" w:ascii="宋体" w:hAnsi="宋体" w:cs="宋体"/>
          <w:color w:val="auto"/>
          <w:sz w:val="72"/>
          <w:szCs w:val="72"/>
          <w:highlight w:val="none"/>
        </w:rPr>
        <w:t xml:space="preserve">投 标 文 件</w:t>
      </w:r>
      <w:r/>
    </w:p>
    <w:p>
      <w:pPr>
        <w:pStyle w:val="1135"/>
        <w:jc w:val="left"/>
        <w:rPr>
          <w:rFonts w:ascii="宋体" w:hAnsi="宋体" w:cs="宋体"/>
          <w:color w:val="auto"/>
          <w:sz w:val="28"/>
          <w:szCs w:val="28"/>
          <w:highlight w:val="none"/>
        </w:rPr>
      </w:pPr>
      <w:r>
        <w:rPr>
          <w:rFonts w:ascii="宋体" w:hAnsi="宋体" w:cs="宋体"/>
          <w:color w:val="auto"/>
          <w:sz w:val="28"/>
          <w:szCs w:val="28"/>
          <w:highlight w:val="none"/>
        </w:rPr>
      </w:r>
      <w:r/>
    </w:p>
    <w:p>
      <w:pPr>
        <w:pStyle w:val="1135"/>
        <w:jc w:val="left"/>
        <w:rPr>
          <w:rFonts w:ascii="宋体" w:hAnsi="宋体" w:cs="宋体"/>
          <w:color w:val="auto"/>
          <w:sz w:val="28"/>
          <w:szCs w:val="28"/>
          <w:highlight w:val="none"/>
        </w:rPr>
      </w:pPr>
      <w:r>
        <w:rPr>
          <w:rFonts w:ascii="宋体" w:hAnsi="宋体" w:cs="宋体"/>
          <w:color w:val="auto"/>
          <w:sz w:val="28"/>
          <w:szCs w:val="28"/>
          <w:highlight w:val="none"/>
        </w:rPr>
      </w:r>
      <w:r/>
    </w:p>
    <w:p>
      <w:pPr>
        <w:pStyle w:val="1135"/>
        <w:jc w:val="left"/>
        <w:rPr>
          <w:rFonts w:ascii="宋体" w:hAnsi="宋体" w:cs="宋体"/>
          <w:color w:val="auto"/>
          <w:sz w:val="28"/>
          <w:szCs w:val="28"/>
          <w:highlight w:val="none"/>
        </w:rPr>
      </w:pPr>
      <w:r>
        <w:rPr>
          <w:rFonts w:ascii="宋体" w:hAnsi="宋体" w:cs="宋体"/>
          <w:color w:val="auto"/>
          <w:sz w:val="28"/>
          <w:szCs w:val="28"/>
          <w:highlight w:val="none"/>
        </w:rPr>
      </w:r>
      <w:r/>
    </w:p>
    <w:p>
      <w:pPr>
        <w:pStyle w:val="1135"/>
        <w:jc w:val="left"/>
        <w:rPr>
          <w:rFonts w:ascii="宋体" w:hAnsi="宋体" w:cs="宋体"/>
          <w:color w:val="auto"/>
          <w:sz w:val="28"/>
          <w:szCs w:val="28"/>
          <w:highlight w:val="none"/>
        </w:rPr>
      </w:pPr>
      <w:r>
        <w:rPr>
          <w:rFonts w:ascii="宋体" w:hAnsi="宋体" w:cs="宋体"/>
          <w:color w:val="auto"/>
          <w:sz w:val="28"/>
          <w:szCs w:val="28"/>
          <w:highlight w:val="none"/>
        </w:rPr>
      </w:r>
      <w:r/>
    </w:p>
    <w:p>
      <w:pPr>
        <w:pStyle w:val="1135"/>
        <w:jc w:val="left"/>
        <w:rPr>
          <w:rFonts w:ascii="宋体" w:hAnsi="宋体" w:cs="宋体"/>
          <w:color w:val="auto"/>
          <w:sz w:val="28"/>
          <w:szCs w:val="28"/>
          <w:highlight w:val="none"/>
        </w:rPr>
      </w:pPr>
      <w:r>
        <w:rPr>
          <w:rFonts w:ascii="宋体" w:hAnsi="宋体" w:cs="宋体"/>
          <w:color w:val="auto"/>
          <w:sz w:val="28"/>
          <w:szCs w:val="28"/>
          <w:highlight w:val="none"/>
        </w:rPr>
      </w:r>
      <w:r/>
    </w:p>
    <w:p>
      <w:pPr>
        <w:pStyle w:val="1040"/>
        <w:ind w:firstLine="723"/>
        <w:jc w:val="both"/>
        <w:rPr>
          <w:rFonts w:hAnsi="宋体" w:cs="宋体"/>
          <w:color w:val="auto"/>
          <w:highlight w:val="none"/>
        </w:rPr>
      </w:pPr>
      <w:r>
        <w:rPr>
          <w:rFonts w:hint="eastAsia" w:hAnsi="宋体" w:cs="宋体"/>
          <w:b/>
          <w:color w:val="auto"/>
          <w:sz w:val="36"/>
          <w:szCs w:val="36"/>
          <w:highlight w:val="none"/>
        </w:rPr>
        <w:t xml:space="preserve">项   目   名   称：</w:t>
      </w:r>
      <w:r>
        <w:rPr>
          <w:rFonts w:hint="eastAsia" w:hAnsi="宋体" w:cs="宋体"/>
          <w:b/>
          <w:color w:val="auto"/>
          <w:sz w:val="36"/>
          <w:szCs w:val="36"/>
          <w:highlight w:val="none"/>
          <w:u w:val="single"/>
        </w:rPr>
        <w:t xml:space="preserve">               </w:t>
      </w:r>
      <w:r/>
    </w:p>
    <w:p>
      <w:pPr>
        <w:pStyle w:val="1040"/>
        <w:ind w:firstLine="723"/>
        <w:jc w:val="both"/>
        <w:rPr>
          <w:rFonts w:hAnsi="宋体" w:cs="宋体"/>
          <w:b/>
          <w:color w:val="auto"/>
          <w:sz w:val="36"/>
          <w:szCs w:val="36"/>
          <w:highlight w:val="none"/>
          <w:u w:val="single"/>
        </w:rPr>
      </w:pPr>
      <w:r>
        <w:rPr>
          <w:rFonts w:hint="eastAsia" w:hAnsi="宋体" w:cs="宋体"/>
          <w:b/>
          <w:color w:val="auto"/>
          <w:sz w:val="36"/>
          <w:szCs w:val="36"/>
          <w:highlight w:val="none"/>
        </w:rPr>
        <w:t xml:space="preserve">项   目   编   号：</w:t>
      </w:r>
      <w:r>
        <w:rPr>
          <w:rFonts w:hint="eastAsia" w:hAnsi="宋体" w:cs="宋体"/>
          <w:b/>
          <w:color w:val="auto"/>
          <w:sz w:val="36"/>
          <w:szCs w:val="36"/>
          <w:highlight w:val="none"/>
          <w:u w:val="single"/>
        </w:rPr>
        <w:t xml:space="preserve">               </w:t>
      </w:r>
      <w:r/>
    </w:p>
    <w:p>
      <w:pPr>
        <w:pStyle w:val="1040"/>
        <w:ind w:firstLine="723"/>
        <w:jc w:val="both"/>
        <w:rPr>
          <w:rFonts w:hAnsi="宋体" w:cs="宋体"/>
          <w:color w:val="auto"/>
          <w:highlight w:val="none"/>
        </w:rPr>
      </w:pPr>
      <w:r>
        <w:rPr>
          <w:rFonts w:hint="eastAsia" w:hAnsi="宋体" w:cs="宋体"/>
          <w:b/>
          <w:color w:val="auto"/>
          <w:sz w:val="36"/>
          <w:szCs w:val="36"/>
          <w:highlight w:val="none"/>
        </w:rPr>
        <w:t xml:space="preserve">投 标 人 名 称 ： </w:t>
      </w:r>
      <w:r>
        <w:rPr>
          <w:rFonts w:hint="eastAsia" w:hAnsi="宋体" w:cs="宋体"/>
          <w:b/>
          <w:color w:val="auto"/>
          <w:sz w:val="36"/>
          <w:szCs w:val="36"/>
          <w:highlight w:val="none"/>
          <w:u w:val="single"/>
        </w:rPr>
        <w:t xml:space="preserve">（加盖CA电子公章）           </w:t>
      </w:r>
      <w:r/>
    </w:p>
    <w:p>
      <w:pPr>
        <w:pStyle w:val="1040"/>
        <w:ind w:firstLine="723"/>
        <w:jc w:val="both"/>
        <w:rPr>
          <w:rFonts w:hAnsi="宋体" w:cs="宋体"/>
          <w:color w:val="auto"/>
          <w:highlight w:val="none"/>
        </w:rPr>
      </w:pPr>
      <w:r>
        <w:rPr>
          <w:rFonts w:hint="eastAsia" w:hAnsi="宋体" w:cs="宋体"/>
          <w:b/>
          <w:color w:val="auto"/>
          <w:sz w:val="36"/>
          <w:szCs w:val="36"/>
          <w:highlight w:val="none"/>
        </w:rPr>
        <w:t xml:space="preserve">日    期 ：    </w:t>
      </w:r>
      <w:r>
        <w:rPr>
          <w:rFonts w:hint="eastAsia" w:hAnsi="宋体" w:cs="宋体"/>
          <w:b/>
          <w:color w:val="auto"/>
          <w:sz w:val="36"/>
          <w:szCs w:val="36"/>
          <w:highlight w:val="none"/>
          <w:u w:val="single"/>
        </w:rPr>
        <w:t xml:space="preserve">                           </w:t>
      </w:r>
      <w:r/>
    </w:p>
    <w:p>
      <w:pPr>
        <w:pStyle w:val="1040"/>
        <w:spacing w:line="0" w:lineRule="atLeast"/>
        <w:rPr>
          <w:rFonts w:hAnsi="宋体" w:cs="宋体"/>
          <w:color w:val="auto"/>
          <w:highlight w:val="none"/>
        </w:rPr>
      </w:pPr>
      <w:r>
        <w:rPr>
          <w:rFonts w:hint="eastAsia" w:hAnsi="宋体" w:cs="宋体"/>
          <w:color w:val="auto"/>
          <w:highlight w:val="none"/>
        </w:rPr>
        <w:t xml:space="preserve"> </w:t>
      </w:r>
      <w:r/>
    </w:p>
    <w:p>
      <w:pPr>
        <w:pStyle w:val="1040"/>
        <w:jc w:val="both"/>
        <w:spacing w:line="0" w:lineRule="atLeast"/>
        <w:rPr>
          <w:rFonts w:hAnsi="宋体" w:cs="宋体"/>
          <w:color w:val="auto"/>
          <w:highlight w:val="none"/>
        </w:rPr>
      </w:pPr>
      <w:r>
        <w:rPr>
          <w:rFonts w:hint="eastAsia" w:hAnsi="宋体" w:cs="宋体"/>
          <w:color w:val="auto"/>
          <w:highlight w:val="none"/>
        </w:rPr>
        <w:t xml:space="preserve"> </w:t>
      </w:r>
      <w:r/>
    </w:p>
    <w:p>
      <w:pPr>
        <w:rPr>
          <w:rFonts w:ascii="宋体" w:hAnsi="宋体" w:cs="宋体"/>
          <w:color w:val="auto"/>
          <w:highlight w:val="none"/>
        </w:rPr>
      </w:pPr>
      <w:r>
        <w:rPr>
          <w:rFonts w:ascii="宋体" w:hAnsi="宋体" w:cs="宋体"/>
          <w:color w:val="auto"/>
          <w:highlight w:val="none"/>
        </w:rPr>
      </w:r>
      <w:r/>
    </w:p>
    <w:p>
      <w:pPr>
        <w:rPr>
          <w:color w:val="auto"/>
          <w:highlight w:val="none"/>
        </w:rPr>
      </w:pPr>
      <w:r>
        <w:rPr>
          <w:rFonts w:hint="eastAsia" w:ascii="宋体" w:hAnsi="宋体" w:cs="宋体"/>
          <w:color w:val="auto"/>
          <w:highlight w:val="none"/>
        </w:rPr>
        <w:br w:type="page" w:clear="all"/>
      </w:r>
      <w:bookmarkStart w:id="170" w:name="_Toc164203464"/>
      <w:r/>
      <w:bookmarkStart w:id="171" w:name="_Toc28278"/>
      <w:r/>
      <w:bookmarkStart w:id="172" w:name="_Toc29318"/>
      <w:r/>
      <w:bookmarkStart w:id="173" w:name="_Toc21292"/>
      <w:r/>
      <w:bookmarkStart w:id="174" w:name="_Toc11040"/>
      <w:r/>
      <w:r/>
    </w:p>
    <w:p>
      <w:pPr>
        <w:pStyle w:val="1257"/>
        <w:rPr>
          <w:color w:val="auto"/>
          <w:highlight w:val="none"/>
        </w:rPr>
        <w:outlineLvl w:val="1"/>
      </w:pPr>
      <w:r/>
      <w:bookmarkStart w:id="175" w:name="_Toc5742"/>
      <w:r>
        <w:rPr>
          <w:color w:val="auto"/>
          <w:highlight w:val="none"/>
        </w:rPr>
        <w:t xml:space="preserve">一、投标人基本情况</w:t>
      </w:r>
      <w:bookmarkEnd w:id="170"/>
      <w:r/>
      <w:bookmarkEnd w:id="171"/>
      <w:r/>
      <w:bookmarkEnd w:id="172"/>
      <w:r/>
      <w:bookmarkEnd w:id="173"/>
      <w:r/>
      <w:bookmarkEnd w:id="174"/>
      <w:r/>
      <w:bookmarkEnd w:id="175"/>
      <w:r/>
      <w:r/>
    </w:p>
    <w:p>
      <w:pPr>
        <w:jc w:val="center"/>
        <w:rPr>
          <w:color w:val="auto"/>
          <w:sz w:val="44"/>
          <w:szCs w:val="44"/>
          <w:highlight w:val="none"/>
        </w:rPr>
      </w:pPr>
      <w:r>
        <w:rPr>
          <w:rFonts w:hint="eastAsia"/>
          <w:color w:val="auto"/>
          <w:sz w:val="44"/>
          <w:szCs w:val="44"/>
          <w:highlight w:val="none"/>
        </w:rPr>
        <w:t xml:space="preserve">投标人基本情况表</w:t>
      </w:r>
      <w:r/>
    </w:p>
    <w:tbl>
      <w:tblPr>
        <w:tblStyle w:val="77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207"/>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投标人名称</w:t>
            </w:r>
            <w:r/>
          </w:p>
        </w:tc>
        <w:tc>
          <w:tcPr>
            <w:gridSpan w:val="3"/>
            <w:tcW w:w="6998" w:type="dxa"/>
            <w:vAlign w:val="center"/>
            <w:textDirection w:val="lrTb"/>
            <w:noWrap w:val="false"/>
          </w:tcPr>
          <w:p>
            <w:pPr>
              <w:pStyle w:val="1207"/>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7"/>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法定代表人</w:t>
            </w:r>
            <w:r/>
          </w:p>
        </w:tc>
        <w:tc>
          <w:tcPr>
            <w:tcW w:w="3118" w:type="dxa"/>
            <w:vAlign w:val="center"/>
            <w:textDirection w:val="lrTb"/>
            <w:noWrap w:val="false"/>
          </w:tcPr>
          <w:p>
            <w:pPr>
              <w:pStyle w:val="1207"/>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7"/>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注册地区</w:t>
            </w:r>
            <w:r/>
          </w:p>
        </w:tc>
        <w:tc>
          <w:tcPr>
            <w:tcW w:w="2604" w:type="dxa"/>
            <w:vAlign w:val="center"/>
            <w:textDirection w:val="lrTb"/>
            <w:noWrap w:val="false"/>
          </w:tcPr>
          <w:p>
            <w:pPr>
              <w:pStyle w:val="1207"/>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7"/>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地址</w:t>
            </w:r>
            <w:r/>
          </w:p>
        </w:tc>
        <w:tc>
          <w:tcPr>
            <w:tcW w:w="3118" w:type="dxa"/>
            <w:vAlign w:val="center"/>
            <w:textDirection w:val="lrTb"/>
            <w:noWrap w:val="false"/>
          </w:tcPr>
          <w:p>
            <w:pPr>
              <w:pStyle w:val="1207"/>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7"/>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邮政编码</w:t>
            </w:r>
            <w:r/>
          </w:p>
        </w:tc>
        <w:tc>
          <w:tcPr>
            <w:tcW w:w="2604" w:type="dxa"/>
            <w:vAlign w:val="center"/>
            <w:textDirection w:val="lrTb"/>
            <w:noWrap w:val="false"/>
          </w:tcPr>
          <w:p>
            <w:pPr>
              <w:pStyle w:val="1207"/>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7"/>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成立时间</w:t>
            </w:r>
            <w:r/>
          </w:p>
        </w:tc>
        <w:tc>
          <w:tcPr>
            <w:tcW w:w="3118" w:type="dxa"/>
            <w:vAlign w:val="center"/>
            <w:textDirection w:val="lrTb"/>
            <w:noWrap w:val="false"/>
          </w:tcPr>
          <w:p>
            <w:pPr>
              <w:pStyle w:val="1207"/>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7"/>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单位性质</w:t>
            </w:r>
            <w:r/>
          </w:p>
        </w:tc>
        <w:tc>
          <w:tcPr>
            <w:tcW w:w="2604" w:type="dxa"/>
            <w:vAlign w:val="center"/>
            <w:textDirection w:val="lrTb"/>
            <w:noWrap w:val="false"/>
          </w:tcPr>
          <w:p>
            <w:pPr>
              <w:pStyle w:val="1207"/>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7"/>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注册号或社会信用代码</w:t>
            </w:r>
            <w:r/>
          </w:p>
        </w:tc>
        <w:tc>
          <w:tcPr>
            <w:tcW w:w="3118" w:type="dxa"/>
            <w:vAlign w:val="center"/>
            <w:textDirection w:val="lrTb"/>
            <w:noWrap w:val="false"/>
          </w:tcPr>
          <w:p>
            <w:pPr>
              <w:pStyle w:val="1207"/>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7"/>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注册资本（万元）</w:t>
            </w:r>
            <w:r/>
          </w:p>
        </w:tc>
        <w:tc>
          <w:tcPr>
            <w:tcW w:w="2604" w:type="dxa"/>
            <w:vAlign w:val="center"/>
            <w:textDirection w:val="lrTb"/>
            <w:noWrap w:val="false"/>
          </w:tcPr>
          <w:p>
            <w:pPr>
              <w:pStyle w:val="1207"/>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7"/>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开户银行</w:t>
            </w:r>
            <w:r/>
          </w:p>
        </w:tc>
        <w:tc>
          <w:tcPr>
            <w:tcW w:w="3118" w:type="dxa"/>
            <w:vAlign w:val="center"/>
            <w:textDirection w:val="lrTb"/>
            <w:noWrap w:val="false"/>
          </w:tcPr>
          <w:p>
            <w:pPr>
              <w:pStyle w:val="1207"/>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7"/>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账号</w:t>
            </w:r>
            <w:r/>
          </w:p>
        </w:tc>
        <w:tc>
          <w:tcPr>
            <w:tcW w:w="2604" w:type="dxa"/>
            <w:vAlign w:val="center"/>
            <w:textDirection w:val="lrTb"/>
            <w:noWrap w:val="false"/>
          </w:tcPr>
          <w:p>
            <w:pPr>
              <w:pStyle w:val="1207"/>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7"/>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联系人</w:t>
            </w:r>
            <w:r/>
          </w:p>
        </w:tc>
        <w:tc>
          <w:tcPr>
            <w:tcW w:w="3118" w:type="dxa"/>
            <w:vAlign w:val="center"/>
            <w:textDirection w:val="lrTb"/>
            <w:noWrap w:val="false"/>
          </w:tcPr>
          <w:p>
            <w:pPr>
              <w:pStyle w:val="1207"/>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7"/>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联系电话</w:t>
            </w:r>
            <w:r/>
          </w:p>
        </w:tc>
        <w:tc>
          <w:tcPr>
            <w:tcW w:w="2604" w:type="dxa"/>
            <w:vAlign w:val="center"/>
            <w:textDirection w:val="lrTb"/>
            <w:noWrap w:val="false"/>
          </w:tcPr>
          <w:p>
            <w:pPr>
              <w:pStyle w:val="1207"/>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2376"/>
        </w:trPr>
        <w:tc>
          <w:tcPr>
            <w:tcW w:w="1526" w:type="dxa"/>
            <w:vAlign w:val="center"/>
            <w:textDirection w:val="lrTb"/>
            <w:noWrap w:val="false"/>
          </w:tcPr>
          <w:p>
            <w:pPr>
              <w:pStyle w:val="1207"/>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经营范围</w:t>
            </w:r>
            <w:r/>
          </w:p>
        </w:tc>
        <w:tc>
          <w:tcPr>
            <w:gridSpan w:val="3"/>
            <w:tcW w:w="6998" w:type="dxa"/>
            <w:textDirection w:val="lrTb"/>
            <w:noWrap w:val="false"/>
          </w:tcPr>
          <w:p>
            <w:pPr>
              <w:pStyle w:val="1207"/>
              <w:ind w:firstLine="1433"/>
              <w:spacing w:line="56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1134"/>
        </w:trPr>
        <w:tc>
          <w:tcPr>
            <w:tcW w:w="1526" w:type="dxa"/>
            <w:vAlign w:val="center"/>
            <w:textDirection w:val="lrTb"/>
            <w:noWrap w:val="false"/>
          </w:tcPr>
          <w:p>
            <w:pPr>
              <w:pStyle w:val="1207"/>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备注</w:t>
            </w:r>
            <w:r/>
          </w:p>
        </w:tc>
        <w:tc>
          <w:tcPr>
            <w:gridSpan w:val="3"/>
            <w:tcW w:w="6998" w:type="dxa"/>
            <w:vAlign w:val="center"/>
            <w:textDirection w:val="lrTb"/>
            <w:noWrap w:val="false"/>
          </w:tcPr>
          <w:p>
            <w:pPr>
              <w:pStyle w:val="1207"/>
              <w:jc w:val="center"/>
              <w:spacing w:line="5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bl>
    <w:p>
      <w:pPr>
        <w:pStyle w:val="1207"/>
        <w:jc w:val="center"/>
        <w:spacing w:line="560" w:lineRule="exact"/>
        <w:rPr>
          <w:rFonts w:ascii="方正大标宋简体" w:eastAsia="方正大标宋简体"/>
          <w:bCs/>
          <w:color w:val="auto"/>
          <w:sz w:val="32"/>
          <w:szCs w:val="32"/>
          <w:highlight w:val="none"/>
        </w:rPr>
      </w:pPr>
      <w:r>
        <w:rPr>
          <w:rFonts w:ascii="方正大标宋简体" w:eastAsia="方正大标宋简体"/>
          <w:bCs/>
          <w:color w:val="auto"/>
          <w:sz w:val="32"/>
          <w:szCs w:val="32"/>
          <w:highlight w:val="none"/>
        </w:rPr>
      </w:r>
      <w:r/>
    </w:p>
    <w:p>
      <w:pPr>
        <w:pStyle w:val="1245"/>
        <w:rPr>
          <w:color w:val="auto"/>
          <w:highlight w:val="none"/>
        </w:rPr>
        <w:outlineLvl w:val="1"/>
      </w:pPr>
      <w:r>
        <w:rPr>
          <w:color w:val="auto"/>
          <w:highlight w:val="none"/>
        </w:rPr>
        <w:br w:type="page" w:clear="all"/>
      </w:r>
      <w:bookmarkStart w:id="176" w:name="_Toc15353"/>
      <w:r/>
      <w:bookmarkStart w:id="177" w:name="_Toc24265"/>
      <w:r/>
      <w:bookmarkStart w:id="178" w:name="_Toc30008"/>
      <w:r/>
      <w:bookmarkStart w:id="179" w:name="_Toc13486"/>
      <w:r/>
      <w:bookmarkStart w:id="180" w:name="_Toc164203465"/>
      <w:r/>
      <w:bookmarkStart w:id="181" w:name="_Toc1147"/>
      <w:r>
        <w:rPr>
          <w:color w:val="auto"/>
          <w:highlight w:val="none"/>
        </w:rPr>
        <w:t xml:space="preserve">二、投标人资质</w:t>
      </w:r>
      <w:r>
        <w:rPr>
          <w:rFonts w:hint="eastAsia"/>
          <w:color w:val="auto"/>
          <w:highlight w:val="none"/>
        </w:rPr>
        <w:t xml:space="preserve">（按资格要求提供）</w:t>
      </w:r>
      <w:bookmarkEnd w:id="176"/>
      <w:r/>
      <w:bookmarkEnd w:id="177"/>
      <w:r/>
      <w:bookmarkEnd w:id="178"/>
      <w:r/>
      <w:bookmarkEnd w:id="179"/>
      <w:r/>
      <w:bookmarkEnd w:id="180"/>
      <w:r/>
      <w:bookmarkEnd w:id="181"/>
      <w:r/>
      <w:r/>
    </w:p>
    <w:p>
      <w:pPr>
        <w:pStyle w:val="1311"/>
        <w:rPr>
          <w:color w:val="auto"/>
          <w:highlight w:val="none"/>
        </w:rPr>
      </w:pPr>
      <w:r>
        <w:rPr>
          <w:rFonts w:hint="eastAsia"/>
          <w:color w:val="auto"/>
          <w:highlight w:val="none"/>
        </w:rPr>
        <w:t xml:space="preserve">    </w:t>
      </w:r>
      <w:r/>
    </w:p>
    <w:p>
      <w:pPr>
        <w:pStyle w:val="1311"/>
        <w:rPr>
          <w:color w:val="auto"/>
          <w:highlight w:val="none"/>
        </w:rPr>
      </w:pPr>
      <w:r>
        <w:rPr>
          <w:color w:val="auto"/>
          <w:highlight w:val="none"/>
        </w:rPr>
      </w:r>
      <w:r/>
    </w:p>
    <w:p>
      <w:pPr>
        <w:pStyle w:val="1311"/>
        <w:rPr>
          <w:color w:val="auto"/>
          <w:highlight w:val="none"/>
        </w:rPr>
      </w:pPr>
      <w:r>
        <w:rPr>
          <w:color w:val="auto"/>
          <w:highlight w:val="none"/>
        </w:rPr>
      </w:r>
      <w:r/>
    </w:p>
    <w:p>
      <w:pPr>
        <w:pStyle w:val="1311"/>
        <w:rPr>
          <w:color w:val="auto"/>
          <w:highlight w:val="none"/>
        </w:rPr>
      </w:pPr>
      <w:r>
        <w:rPr>
          <w:color w:val="auto"/>
          <w:highlight w:val="none"/>
        </w:rPr>
      </w:r>
      <w:r/>
    </w:p>
    <w:p>
      <w:pPr>
        <w:pStyle w:val="1311"/>
        <w:rPr>
          <w:color w:val="auto"/>
          <w:highlight w:val="none"/>
        </w:rPr>
      </w:pPr>
      <w:r>
        <w:rPr>
          <w:color w:val="auto"/>
          <w:highlight w:val="none"/>
        </w:rPr>
      </w:r>
      <w:r/>
    </w:p>
    <w:p>
      <w:pPr>
        <w:pStyle w:val="1311"/>
        <w:rPr>
          <w:color w:val="auto"/>
          <w:highlight w:val="none"/>
        </w:rPr>
      </w:pPr>
      <w:r>
        <w:rPr>
          <w:color w:val="auto"/>
          <w:highlight w:val="none"/>
        </w:rPr>
      </w:r>
      <w:r/>
    </w:p>
    <w:p>
      <w:pPr>
        <w:pStyle w:val="1311"/>
        <w:rPr>
          <w:color w:val="auto"/>
          <w:highlight w:val="none"/>
        </w:rPr>
      </w:pPr>
      <w:r>
        <w:rPr>
          <w:color w:val="auto"/>
          <w:highlight w:val="none"/>
        </w:rPr>
      </w:r>
      <w:r/>
    </w:p>
    <w:p>
      <w:pPr>
        <w:pStyle w:val="1311"/>
        <w:rPr>
          <w:color w:val="auto"/>
          <w:highlight w:val="none"/>
        </w:rPr>
      </w:pPr>
      <w:r>
        <w:rPr>
          <w:color w:val="auto"/>
          <w:highlight w:val="none"/>
        </w:rPr>
      </w:r>
      <w:r/>
    </w:p>
    <w:p>
      <w:pPr>
        <w:pStyle w:val="1311"/>
        <w:rPr>
          <w:color w:val="auto"/>
          <w:highlight w:val="none"/>
        </w:rPr>
      </w:pPr>
      <w:r>
        <w:rPr>
          <w:color w:val="auto"/>
          <w:highlight w:val="none"/>
        </w:rPr>
      </w:r>
      <w:r/>
    </w:p>
    <w:p>
      <w:pPr>
        <w:pStyle w:val="1311"/>
        <w:rPr>
          <w:color w:val="auto"/>
          <w:highlight w:val="none"/>
        </w:rPr>
      </w:pPr>
      <w:r>
        <w:rPr>
          <w:color w:val="auto"/>
          <w:highlight w:val="none"/>
        </w:rPr>
      </w:r>
      <w:r/>
    </w:p>
    <w:p>
      <w:pPr>
        <w:pStyle w:val="1311"/>
        <w:rPr>
          <w:color w:val="auto"/>
          <w:highlight w:val="none"/>
        </w:rPr>
      </w:pPr>
      <w:r>
        <w:rPr>
          <w:color w:val="auto"/>
          <w:highlight w:val="none"/>
        </w:rPr>
      </w:r>
      <w:r/>
    </w:p>
    <w:p>
      <w:pPr>
        <w:pStyle w:val="1311"/>
        <w:rPr>
          <w:color w:val="auto"/>
          <w:highlight w:val="none"/>
        </w:rPr>
      </w:pPr>
      <w:r>
        <w:rPr>
          <w:color w:val="auto"/>
          <w:highlight w:val="none"/>
        </w:rPr>
      </w:r>
      <w:r/>
    </w:p>
    <w:p>
      <w:pPr>
        <w:pStyle w:val="1311"/>
        <w:rPr>
          <w:color w:val="auto"/>
          <w:highlight w:val="none"/>
        </w:rPr>
      </w:pPr>
      <w:r>
        <w:rPr>
          <w:color w:val="auto"/>
          <w:highlight w:val="none"/>
        </w:rPr>
      </w:r>
      <w:r/>
    </w:p>
    <w:p>
      <w:pPr>
        <w:rPr>
          <w:color w:val="auto"/>
          <w:highlight w:val="none"/>
        </w:rPr>
      </w:pPr>
      <w:r>
        <w:rPr>
          <w:rFonts w:hint="eastAsia"/>
          <w:color w:val="auto"/>
          <w:highlight w:val="none"/>
        </w:rPr>
        <w:br w:type="page" w:clear="all"/>
      </w:r>
      <w:r/>
    </w:p>
    <w:p>
      <w:pPr>
        <w:pStyle w:val="1311"/>
        <w:rPr>
          <w:color w:val="auto"/>
          <w:highlight w:val="none"/>
        </w:rPr>
        <w:outlineLvl w:val="1"/>
      </w:pPr>
      <w:r/>
      <w:bookmarkStart w:id="182" w:name="_Toc18935"/>
      <w:r/>
      <w:bookmarkStart w:id="183" w:name="_Toc15822"/>
      <w:r/>
      <w:bookmarkStart w:id="184" w:name="_Toc18278"/>
      <w:r/>
      <w:bookmarkStart w:id="185" w:name="_Toc164203466"/>
      <w:r/>
      <w:bookmarkStart w:id="186" w:name="_Toc4877"/>
      <w:r>
        <w:rPr>
          <w:color w:val="auto"/>
          <w:highlight w:val="none"/>
        </w:rPr>
        <w:t xml:space="preserve">三、投标人</w:t>
      </w:r>
      <w:bookmarkEnd w:id="182"/>
      <w:r>
        <w:rPr>
          <w:rFonts w:hint="eastAsia" w:ascii="宋体" w:hAnsi="宋体" w:cs="Arial"/>
          <w:bCs/>
          <w:color w:val="auto"/>
          <w:highlight w:val="none"/>
        </w:rPr>
        <w:t xml:space="preserve">具有良好的商业信誉和健全的财务会计制度</w:t>
      </w:r>
      <w:bookmarkEnd w:id="183"/>
      <w:r/>
      <w:bookmarkEnd w:id="184"/>
      <w:r/>
      <w:bookmarkEnd w:id="185"/>
      <w:r/>
      <w:bookmarkEnd w:id="186"/>
      <w:r/>
      <w:r/>
    </w:p>
    <w:p>
      <w:pPr>
        <w:pStyle w:val="1368"/>
        <w:rPr>
          <w:color w:val="auto"/>
          <w:highlight w:val="none"/>
        </w:rPr>
      </w:pPr>
      <w:r>
        <w:rPr>
          <w:rFonts w:hint="eastAsia" w:ascii="宋体"/>
          <w:bCs/>
          <w:color w:val="auto"/>
          <w:szCs w:val="32"/>
          <w:highlight w:val="none"/>
        </w:rPr>
        <w:t xml:space="preserve">提供符合招标文件要求的资料</w:t>
      </w:r>
      <w:r/>
    </w:p>
    <w:p>
      <w:pPr>
        <w:pStyle w:val="1405"/>
        <w:rPr>
          <w:color w:val="auto"/>
          <w:highlight w:val="none"/>
        </w:rPr>
        <w:outlineLvl w:val="1"/>
      </w:pPr>
      <w:r>
        <w:rPr>
          <w:color w:val="auto"/>
          <w:highlight w:val="none"/>
        </w:rPr>
        <w:br w:type="page" w:clear="all"/>
      </w:r>
      <w:bookmarkStart w:id="187" w:name="_Toc514054489"/>
      <w:r/>
      <w:bookmarkStart w:id="188" w:name="_Toc11562_WPSOffice_Level2"/>
      <w:r/>
      <w:bookmarkStart w:id="189" w:name="_Toc29626"/>
      <w:r/>
      <w:bookmarkStart w:id="190" w:name="_Toc26507"/>
      <w:r/>
      <w:bookmarkStart w:id="191" w:name="_Toc164203467"/>
      <w:r/>
      <w:bookmarkStart w:id="192" w:name="_Toc3360"/>
      <w:r/>
      <w:bookmarkStart w:id="193" w:name="_Toc1350"/>
      <w:r>
        <w:rPr>
          <w:color w:val="auto"/>
          <w:highlight w:val="none"/>
        </w:rPr>
        <w:t xml:space="preserve">四、</w:t>
      </w:r>
      <w:bookmarkEnd w:id="187"/>
      <w:r/>
      <w:bookmarkEnd w:id="188"/>
      <w:r/>
      <w:bookmarkEnd w:id="189"/>
      <w:r>
        <w:rPr>
          <w:rFonts w:hint="eastAsia" w:ascii="宋体" w:hAnsi="宋体" w:cs="Arial"/>
          <w:bCs/>
          <w:color w:val="auto"/>
          <w:highlight w:val="none"/>
        </w:rPr>
        <w:t xml:space="preserve">具有履行合同所必需的设备和专业技术能力</w:t>
      </w:r>
      <w:bookmarkEnd w:id="190"/>
      <w:r/>
      <w:bookmarkEnd w:id="191"/>
      <w:r/>
      <w:bookmarkEnd w:id="192"/>
      <w:r/>
      <w:bookmarkEnd w:id="193"/>
      <w:r/>
      <w:r/>
    </w:p>
    <w:p>
      <w:pPr>
        <w:pStyle w:val="1143"/>
        <w:jc w:val="center"/>
        <w:spacing w:line="600" w:lineRule="exact"/>
        <w:rPr>
          <w:rFonts w:ascii="宋体" w:hAnsi="宋体"/>
          <w:b/>
          <w:color w:val="auto"/>
          <w:sz w:val="32"/>
          <w:szCs w:val="24"/>
          <w:highlight w:val="none"/>
        </w:rPr>
      </w:pPr>
      <w:r>
        <w:rPr>
          <w:rFonts w:ascii="宋体" w:hAnsi="宋体"/>
          <w:b/>
          <w:color w:val="auto"/>
          <w:sz w:val="32"/>
          <w:szCs w:val="24"/>
          <w:highlight w:val="none"/>
        </w:rPr>
      </w:r>
      <w:r/>
    </w:p>
    <w:p>
      <w:pPr>
        <w:pStyle w:val="1143"/>
        <w:jc w:val="center"/>
        <w:spacing w:line="600" w:lineRule="exact"/>
        <w:rPr>
          <w:rFonts w:ascii="宋体" w:hAnsi="宋体"/>
          <w:b/>
          <w:color w:val="auto"/>
          <w:sz w:val="32"/>
          <w:szCs w:val="24"/>
          <w:highlight w:val="none"/>
        </w:rPr>
      </w:pPr>
      <w:r>
        <w:rPr>
          <w:rFonts w:hint="eastAsia" w:ascii="宋体" w:hAnsi="宋体"/>
          <w:b/>
          <w:color w:val="auto"/>
          <w:sz w:val="32"/>
          <w:szCs w:val="24"/>
          <w:highlight w:val="none"/>
        </w:rPr>
        <w:t xml:space="preserve">具备履行合同所必需的设备和专业技术能力的声明</w:t>
      </w:r>
      <w:r/>
    </w:p>
    <w:p>
      <w:pPr>
        <w:pStyle w:val="1143"/>
        <w:spacing w:line="600" w:lineRule="exact"/>
        <w:rPr>
          <w:rFonts w:ascii="仿宋_GB2312" w:eastAsia="仿宋_GB2312"/>
          <w:color w:val="auto"/>
          <w:sz w:val="24"/>
          <w:highlight w:val="none"/>
          <w:u w:val="single"/>
        </w:rPr>
      </w:pPr>
      <w:r>
        <w:rPr>
          <w:rFonts w:ascii="仿宋_GB2312" w:eastAsia="仿宋_GB2312"/>
          <w:color w:val="auto"/>
          <w:sz w:val="24"/>
          <w:highlight w:val="none"/>
          <w:u w:val="single"/>
        </w:rPr>
      </w:r>
      <w:r/>
    </w:p>
    <w:p>
      <w:pPr>
        <w:pStyle w:val="1143"/>
        <w:spacing w:line="600" w:lineRule="exact"/>
        <w:rPr>
          <w:rFonts w:ascii="仿宋_GB2312" w:eastAsia="仿宋_GB2312"/>
          <w:color w:val="auto"/>
          <w:sz w:val="24"/>
          <w:highlight w:val="none"/>
          <w:u w:val="single"/>
        </w:rPr>
      </w:pPr>
      <w:r>
        <w:rPr>
          <w:rFonts w:hint="eastAsia" w:ascii="仿宋_GB2312" w:eastAsia="仿宋_GB2312"/>
          <w:color w:val="auto"/>
          <w:sz w:val="24"/>
          <w:highlight w:val="none"/>
          <w:u w:val="single"/>
        </w:rPr>
        <w:t xml:space="preserve">（采购人名称）：</w:t>
      </w:r>
      <w:r/>
    </w:p>
    <w:p>
      <w:pPr>
        <w:pStyle w:val="1143"/>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   我单位具备履行编号为</w:t>
      </w:r>
      <w:r>
        <w:rPr>
          <w:rFonts w:hint="eastAsia" w:ascii="仿宋_GB2312" w:eastAsia="仿宋_GB2312"/>
          <w:color w:val="auto"/>
          <w:sz w:val="24"/>
          <w:highlight w:val="none"/>
          <w:u w:val="single"/>
        </w:rPr>
        <w:t xml:space="preserve">       号           项目</w:t>
      </w:r>
      <w:r>
        <w:rPr>
          <w:rFonts w:hint="eastAsia" w:ascii="仿宋_GB2312" w:eastAsia="仿宋_GB2312"/>
          <w:color w:val="auto"/>
          <w:sz w:val="24"/>
          <w:highlight w:val="none"/>
        </w:rPr>
        <w:t xml:space="preserve">合同的设备和专业技术能力。</w:t>
      </w:r>
      <w:r/>
    </w:p>
    <w:p>
      <w:pPr>
        <w:pStyle w:val="1143"/>
        <w:ind w:firstLine="48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143"/>
        <w:ind w:firstLine="48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143"/>
        <w:jc w:val="center"/>
        <w:spacing w:line="600" w:lineRule="exact"/>
        <w:rPr>
          <w:rFonts w:ascii="宋体"/>
          <w:b/>
          <w:bCs/>
          <w:color w:val="auto"/>
          <w:sz w:val="32"/>
          <w:szCs w:val="32"/>
          <w:highlight w:val="none"/>
        </w:rPr>
      </w:pPr>
      <w:r>
        <w:rPr>
          <w:rFonts w:ascii="宋体"/>
          <w:b/>
          <w:bCs/>
          <w:color w:val="auto"/>
          <w:sz w:val="32"/>
          <w:szCs w:val="32"/>
          <w:highlight w:val="none"/>
        </w:rPr>
      </w:r>
      <w:r/>
    </w:p>
    <w:p>
      <w:pPr>
        <w:pStyle w:val="1136"/>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6"/>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法定代表人（或授权代表）：（签字或盖章）</w:t>
      </w:r>
      <w:r>
        <w:rPr>
          <w:rFonts w:hint="eastAsia" w:ascii="仿宋_GB2312" w:eastAsia="仿宋_GB2312"/>
          <w:color w:val="auto"/>
          <w:sz w:val="24"/>
          <w:highlight w:val="none"/>
          <w:u w:val="single"/>
        </w:rPr>
        <w:t xml:space="preserve">              </w:t>
      </w:r>
      <w:r/>
    </w:p>
    <w:p>
      <w:pPr>
        <w:pStyle w:val="1338"/>
        <w:ind w:firstLine="720"/>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151"/>
        <w:spacing w:after="100" w:afterAutospacing="1"/>
        <w:rPr>
          <w:rFonts w:ascii="宋体" w:hAnsi="宋体" w:cs="Arial"/>
          <w:bCs/>
          <w:color w:val="auto"/>
          <w:highlight w:val="none"/>
        </w:rPr>
      </w:pPr>
      <w:r>
        <w:rPr>
          <w:color w:val="auto"/>
          <w:highlight w:val="none"/>
        </w:rPr>
        <w:br w:type="page" w:clear="all"/>
      </w:r>
      <w:bookmarkStart w:id="194" w:name="_Toc514054490"/>
      <w:r/>
      <w:bookmarkStart w:id="195" w:name="_Toc467_WPSOffice_Level2"/>
      <w:r/>
      <w:bookmarkStart w:id="196" w:name="_Toc13419"/>
      <w:r/>
      <w:bookmarkStart w:id="197" w:name="_Toc514054491"/>
      <w:r/>
      <w:bookmarkStart w:id="198" w:name="_Toc5571_WPSOffice_Level2"/>
      <w:r/>
      <w:bookmarkStart w:id="199" w:name="_Toc10808"/>
      <w:r/>
      <w:bookmarkStart w:id="200" w:name="_Toc19673"/>
      <w:r>
        <w:rPr>
          <w:rFonts w:hint="eastAsia" w:ascii="宋体" w:hAnsi="宋体" w:eastAsia="黑体" w:cs="Arial"/>
          <w:b/>
          <w:bCs/>
          <w:color w:val="auto"/>
          <w:sz w:val="32"/>
          <w:highlight w:val="none"/>
        </w:rPr>
        <w:t xml:space="preserve">五、</w:t>
      </w:r>
      <w:bookmarkEnd w:id="194"/>
      <w:r/>
      <w:bookmarkEnd w:id="195"/>
      <w:r/>
      <w:bookmarkEnd w:id="196"/>
      <w:r>
        <w:rPr>
          <w:rFonts w:hint="eastAsia" w:ascii="宋体" w:hAnsi="宋体" w:eastAsia="黑体" w:cs="Arial"/>
          <w:b/>
          <w:bCs/>
          <w:color w:val="auto"/>
          <w:sz w:val="32"/>
          <w:highlight w:val="none"/>
        </w:rPr>
        <w:t xml:space="preserve">有依法缴纳税收和社会保障资金的良好记录</w:t>
      </w:r>
      <w:r/>
    </w:p>
    <w:p>
      <w:pPr>
        <w:pStyle w:val="1368"/>
        <w:rPr>
          <w:color w:val="auto"/>
          <w:highlight w:val="none"/>
        </w:rPr>
      </w:pPr>
      <w:r>
        <w:rPr>
          <w:rFonts w:hint="eastAsia" w:ascii="宋体"/>
          <w:bCs/>
          <w:color w:val="auto"/>
          <w:szCs w:val="32"/>
          <w:highlight w:val="none"/>
        </w:rPr>
        <w:t xml:space="preserve">提供符合招标文件要求的资料</w:t>
      </w:r>
      <w:r/>
    </w:p>
    <w:p>
      <w:pPr>
        <w:rPr>
          <w:rFonts w:ascii="黑体" w:hAnsi="黑体" w:eastAsia="黑体"/>
          <w:color w:val="auto"/>
          <w:sz w:val="32"/>
          <w:highlight w:val="none"/>
        </w:rPr>
      </w:pPr>
      <w:r>
        <w:rPr>
          <w:color w:val="auto"/>
          <w:highlight w:val="none"/>
        </w:rPr>
        <w:br w:type="page" w:clear="all"/>
      </w:r>
      <w:r/>
    </w:p>
    <w:p>
      <w:pPr>
        <w:pStyle w:val="1170"/>
        <w:rPr>
          <w:color w:val="auto"/>
          <w:highlight w:val="none"/>
        </w:rPr>
        <w:outlineLvl w:val="1"/>
      </w:pPr>
      <w:r/>
      <w:bookmarkStart w:id="201" w:name="_Toc16607"/>
      <w:r/>
      <w:bookmarkStart w:id="202" w:name="_Toc164203468"/>
      <w:r/>
      <w:bookmarkStart w:id="203" w:name="_Toc12145"/>
      <w:r/>
      <w:bookmarkStart w:id="204" w:name="_Toc25541"/>
      <w:r>
        <w:rPr>
          <w:color w:val="auto"/>
          <w:highlight w:val="none"/>
        </w:rPr>
        <w:t xml:space="preserve">六、无重大违法行为声明</w:t>
      </w:r>
      <w:bookmarkEnd w:id="197"/>
      <w:r/>
      <w:bookmarkEnd w:id="198"/>
      <w:r/>
      <w:bookmarkEnd w:id="199"/>
      <w:r/>
      <w:bookmarkEnd w:id="200"/>
      <w:r/>
      <w:bookmarkEnd w:id="201"/>
      <w:r/>
      <w:bookmarkEnd w:id="202"/>
      <w:r/>
      <w:bookmarkEnd w:id="203"/>
      <w:r/>
      <w:bookmarkEnd w:id="204"/>
      <w:r/>
      <w:r/>
    </w:p>
    <w:p>
      <w:pPr>
        <w:pStyle w:val="1366"/>
        <w:jc w:val="center"/>
        <w:spacing w:line="580" w:lineRule="exact"/>
        <w:tabs>
          <w:tab w:val="left" w:pos="1498" w:leader="none"/>
        </w:tabs>
        <w:rPr>
          <w:b/>
          <w:color w:val="auto"/>
          <w:sz w:val="32"/>
          <w:szCs w:val="32"/>
          <w:highlight w:val="none"/>
        </w:rPr>
      </w:pPr>
      <w:r/>
      <w:bookmarkStart w:id="205" w:name="_Toc7575_WPSOffice_Level2"/>
      <w:r>
        <w:rPr>
          <w:rFonts w:hint="eastAsia"/>
          <w:b/>
          <w:color w:val="auto"/>
          <w:sz w:val="32"/>
          <w:szCs w:val="32"/>
          <w:highlight w:val="none"/>
        </w:rPr>
        <w:t xml:space="preserve">无重大违法行为声明</w:t>
      </w:r>
      <w:bookmarkEnd w:id="205"/>
      <w:r/>
      <w:r/>
    </w:p>
    <w:p>
      <w:pPr>
        <w:pStyle w:val="1366"/>
        <w:spacing w:line="6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 （</w:t>
      </w:r>
      <w:r>
        <w:rPr>
          <w:rFonts w:hint="eastAsia" w:ascii="仿宋_GB2312" w:eastAsia="仿宋_GB2312"/>
          <w:color w:val="auto"/>
          <w:sz w:val="24"/>
          <w:highlight w:val="none"/>
          <w:u w:val="single"/>
        </w:rPr>
        <w:t xml:space="preserve">采购人名称）</w:t>
      </w:r>
      <w:r>
        <w:rPr>
          <w:rFonts w:hint="eastAsia" w:ascii="仿宋_GB2312" w:eastAsia="仿宋_GB2312"/>
          <w:color w:val="auto"/>
          <w:sz w:val="24"/>
          <w:highlight w:val="none"/>
        </w:rPr>
        <w:t xml:space="preserve">：</w:t>
      </w:r>
      <w:r/>
    </w:p>
    <w:p>
      <w:pPr>
        <w:pStyle w:val="1366"/>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我单位在参加编号为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项目的投标活动前3年内，</w:t>
      </w:r>
      <w:r>
        <w:rPr>
          <w:rFonts w:ascii="仿宋_GB2312" w:eastAsia="仿宋_GB2312"/>
          <w:color w:val="auto"/>
          <w:sz w:val="24"/>
          <w:highlight w:val="none"/>
        </w:rPr>
        <w:t xml:space="preserve">在经营活动中没有重大违法记录</w:t>
      </w:r>
      <w:r>
        <w:rPr>
          <w:rFonts w:hint="eastAsia" w:ascii="仿宋_GB2312" w:eastAsia="仿宋_GB2312"/>
          <w:color w:val="auto"/>
          <w:sz w:val="24"/>
          <w:highlight w:val="none"/>
        </w:rPr>
        <w:t xml:space="preserve">。</w:t>
      </w:r>
      <w:r/>
    </w:p>
    <w:p>
      <w:pPr>
        <w:pStyle w:val="1366"/>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366"/>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（说明：《中华人民共和国政府采购法》第二十二条第一款第五项所称重大违法记录，是指供应商因违法经营受到刑事处罚或者责令停产停业、吊销许可证或者执照、较大数额罚款等行政处罚， 其中较大数额罚款指200万元以上的罚款。）</w:t>
      </w:r>
      <w:r/>
    </w:p>
    <w:p>
      <w:pPr>
        <w:pStyle w:val="1366"/>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366"/>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136"/>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6"/>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法定代表人（或授权代表）：（签字或盖章）</w:t>
      </w:r>
      <w:r>
        <w:rPr>
          <w:rFonts w:hint="eastAsia" w:ascii="仿宋_GB2312" w:eastAsia="仿宋_GB2312"/>
          <w:color w:val="auto"/>
          <w:sz w:val="24"/>
          <w:highlight w:val="none"/>
          <w:u w:val="single"/>
        </w:rPr>
        <w:t xml:space="preserve">              </w:t>
      </w:r>
      <w:r/>
    </w:p>
    <w:p>
      <w:pPr>
        <w:pStyle w:val="1318"/>
        <w:ind w:firstLine="720"/>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126"/>
        <w:rPr>
          <w:rFonts w:cs="黑体"/>
          <w:color w:val="auto"/>
          <w:spacing w:val="-1"/>
          <w:sz w:val="36"/>
          <w:szCs w:val="36"/>
          <w:highlight w:val="none"/>
        </w:rPr>
        <w:outlineLvl w:val="1"/>
      </w:pPr>
      <w:r>
        <w:rPr>
          <w:color w:val="auto"/>
          <w:highlight w:val="none"/>
        </w:rPr>
        <w:br w:type="page" w:clear="all"/>
      </w:r>
      <w:bookmarkStart w:id="206" w:name="_Toc514054487"/>
      <w:r/>
      <w:bookmarkStart w:id="207" w:name="_Toc30260_WPSOffice_Level2"/>
      <w:r/>
      <w:bookmarkStart w:id="208" w:name="_Toc20784"/>
      <w:r/>
      <w:bookmarkStart w:id="209" w:name="_Toc30396"/>
      <w:r>
        <w:rPr>
          <w:rFonts w:hint="eastAsia"/>
          <w:color w:val="auto"/>
          <w:highlight w:val="none"/>
        </w:rPr>
        <w:t xml:space="preserve">七、</w:t>
      </w:r>
      <w:bookmarkEnd w:id="206"/>
      <w:r/>
      <w:bookmarkEnd w:id="207"/>
      <w:r>
        <w:rPr>
          <w:rFonts w:hint="eastAsia"/>
          <w:color w:val="auto"/>
          <w:highlight w:val="none"/>
        </w:rPr>
        <w:t xml:space="preserve">南京市政府采购供应商信用记录表暨信用承诺书</w:t>
      </w:r>
      <w:bookmarkEnd w:id="208"/>
      <w:r/>
      <w:r/>
    </w:p>
    <w:p>
      <w:pPr>
        <w:pStyle w:val="1245"/>
        <w:rPr>
          <w:rFonts w:cs="黑体"/>
          <w:color w:val="auto"/>
          <w:spacing w:val="-1"/>
          <w:sz w:val="36"/>
          <w:szCs w:val="36"/>
          <w:highlight w:val="none"/>
        </w:rPr>
      </w:pPr>
      <w:r>
        <w:rPr>
          <w:rFonts w:cs="黑体"/>
          <w:color w:val="auto"/>
          <w:spacing w:val="-1"/>
          <w:sz w:val="36"/>
          <w:szCs w:val="36"/>
          <w:highlight w:val="none"/>
        </w:rPr>
      </w:r>
      <w:r/>
    </w:p>
    <w:p>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政府采购信用承诺：根据《关于在政府采购活动中推行信用承诺制的通知》宁财购通〔2021〕5号规定，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w:t>
      </w:r>
      <w:r>
        <w:rPr>
          <w:rFonts w:hint="eastAsia" w:ascii="仿宋" w:hAnsi="仿宋" w:eastAsia="仿宋" w:cs="仿宋"/>
          <w:color w:val="auto"/>
          <w:sz w:val="24"/>
          <w:szCs w:val="24"/>
          <w:highlight w:val="none"/>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要求完成注册），然后在“信用记录”模块页面点击“信用记录打印”下载本单位《南京市政府采购供应商信用记录表暨信用承诺书》，由法人签字并盖单位公章，装订在投标文件中。</w:t>
      </w:r>
      <w:r/>
    </w:p>
    <w:p>
      <w:pPr>
        <w:pStyle w:val="781"/>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781"/>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w:t>
      </w:r>
      <w:bookmarkStart w:id="210" w:name="_Toc26015"/>
      <w:r/>
      <w:r/>
    </w:p>
    <w:p>
      <w:pPr>
        <w:pStyle w:val="1245"/>
        <w:numPr>
          <w:ilvl w:val="0"/>
          <w:numId w:val="11"/>
        </w:numP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自身符合《政府采购法》第二十二条规定、按约定提交相关材料的承诺，以及违背承诺自愿承担相关责任的约定。</w:t>
      </w:r>
      <w:r/>
    </w:p>
    <w:p>
      <w:pPr>
        <w:pStyle w:val="1245"/>
        <w:rPr>
          <w:rFonts w:ascii="仿宋" w:hAnsi="仿宋" w:eastAsia="仿宋" w:cs="仿宋"/>
          <w:bCs/>
          <w:color w:val="auto"/>
          <w:sz w:val="24"/>
          <w:highlight w:val="none"/>
        </w:rPr>
      </w:pPr>
      <w:r>
        <w:rPr>
          <w:rFonts w:ascii="仿宋" w:hAnsi="仿宋" w:eastAsia="仿宋" w:cs="仿宋"/>
          <w:bCs/>
          <w:color w:val="auto"/>
          <w:sz w:val="24"/>
          <w:highlight w:val="none"/>
        </w:rPr>
      </w:r>
      <w:r/>
    </w:p>
    <w:p>
      <w:pPr>
        <w:pStyle w:val="1245"/>
        <w:numPr>
          <w:ilvl w:val="0"/>
          <w:numId w:val="12"/>
        </w:numP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不适用信用承诺的情形</w:t>
      </w:r>
      <w:bookmarkEnd w:id="210"/>
      <w:r/>
      <w:r/>
    </w:p>
    <w:p>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（一）供应商被列入严重失信主体名单； </w:t>
      </w:r>
      <w:r/>
    </w:p>
    <w:p>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（二）被相关监管部门作出行政处罚且尚在处罚有效期内； </w:t>
      </w:r>
      <w:r/>
    </w:p>
    <w:p>
      <w:pPr>
        <w:pStyle w:val="781"/>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（三）其他法律、行政法规规定的不适用信用承诺的情形。</w:t>
      </w:r>
      <w:r/>
    </w:p>
    <w:p>
      <w:pPr>
        <w:pStyle w:val="781"/>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245"/>
        <w:numPr>
          <w:ilvl w:val="0"/>
          <w:numId w:val="12"/>
        </w:numPr>
        <w:rPr>
          <w:rFonts w:ascii="仿宋" w:hAnsi="仿宋" w:eastAsia="仿宋" w:cs="仿宋"/>
          <w:bCs/>
          <w:color w:val="auto"/>
          <w:sz w:val="24"/>
          <w:highlight w:val="none"/>
        </w:rPr>
      </w:pPr>
      <w:r/>
      <w:bookmarkStart w:id="211" w:name="_Toc24679"/>
      <w:r>
        <w:rPr>
          <w:rFonts w:hint="eastAsia" w:ascii="仿宋" w:hAnsi="仿宋" w:eastAsia="仿宋" w:cs="仿宋"/>
          <w:bCs/>
          <w:color w:val="auto"/>
          <w:sz w:val="24"/>
          <w:highlight w:val="none"/>
        </w:rPr>
        <w:t xml:space="preserve">违反信用承诺的法律责任</w:t>
      </w:r>
      <w:bookmarkEnd w:id="211"/>
      <w:r>
        <w:rPr>
          <w:rFonts w:hint="eastAsia" w:ascii="仿宋" w:hAnsi="仿宋" w:eastAsia="仿宋" w:cs="仿宋"/>
          <w:bCs/>
          <w:color w:val="auto"/>
          <w:sz w:val="24"/>
          <w:highlight w:val="none"/>
        </w:rPr>
        <w:t xml:space="preserve"> </w:t>
      </w:r>
      <w:r/>
    </w:p>
    <w:p>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pStyle w:val="781"/>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245"/>
        <w:numPr>
          <w:ilvl w:val="0"/>
          <w:numId w:val="12"/>
        </w:numP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不适用信用承诺的供应商仍须按招标文件要求提供资格审查要求的证明材料。</w:t>
      </w:r>
      <w:r/>
    </w:p>
    <w:p>
      <w:pPr>
        <w:pStyle w:val="1311"/>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szCs w:val="24"/>
          <w:highlight w:val="none"/>
        </w:rPr>
      </w:pPr>
      <w:r/>
      <w:bookmarkStart w:id="212" w:name="_Toc19202"/>
      <w:r>
        <w:rPr>
          <w:rFonts w:hint="eastAsia" w:ascii="仿宋" w:hAnsi="仿宋" w:eastAsia="仿宋" w:cs="仿宋"/>
          <w:color w:val="auto"/>
          <w:sz w:val="24"/>
          <w:szCs w:val="24"/>
          <w:highlight w:val="none"/>
        </w:rPr>
        <w:br w:type="page" w:clear="all"/>
      </w:r>
      <w:r/>
    </w:p>
    <w:p>
      <w:pPr>
        <w:pStyle w:val="1126"/>
        <w:rPr>
          <w:color w:val="auto"/>
          <w:highlight w:val="none"/>
        </w:rPr>
        <w:outlineLvl w:val="1"/>
      </w:pPr>
      <w:r>
        <w:rPr>
          <w:rFonts w:hint="eastAsia"/>
          <w:color w:val="auto"/>
          <w:highlight w:val="none"/>
        </w:rPr>
        <w:t xml:space="preserve">八、承诺函</w:t>
      </w:r>
      <w:r/>
    </w:p>
    <w:p>
      <w:pPr>
        <w:rPr>
          <w:color w:val="auto"/>
          <w:highlight w:val="none"/>
        </w:rPr>
      </w:pPr>
      <w:r>
        <w:rPr>
          <w:color w:val="auto"/>
          <w:highlight w:val="none"/>
        </w:rPr>
      </w:r>
      <w:r/>
    </w:p>
    <w:p>
      <w:pPr>
        <w:rPr>
          <w:color w:val="auto"/>
          <w:highlight w:val="none"/>
        </w:rPr>
      </w:pPr>
      <w:r>
        <w:rPr>
          <w:color w:val="auto"/>
          <w:highlight w:val="none"/>
        </w:rPr>
      </w:r>
      <w:r/>
    </w:p>
    <w:p>
      <w:pPr>
        <w:pStyle w:val="1165"/>
        <w:spacing w:line="360" w:lineRule="auto"/>
        <w:rPr>
          <w:rFonts w:ascii="仿宋_GB2312" w:hAnsi="Times New Roman" w:eastAsia="仿宋_GB2312"/>
          <w:b w:val="0"/>
          <w:color w:val="auto"/>
          <w:sz w:val="24"/>
          <w:highlight w:val="none"/>
        </w:rPr>
        <w:outlineLvl w:val="1"/>
      </w:pPr>
      <w:r>
        <w:rPr>
          <w:rFonts w:hint="eastAsia" w:ascii="仿宋_GB2312" w:hAnsi="Times New Roman" w:eastAsia="仿宋_GB2312"/>
          <w:b w:val="0"/>
          <w:color w:val="auto"/>
          <w:sz w:val="24"/>
          <w:highlight w:val="none"/>
          <w:u w:val="single"/>
        </w:rPr>
        <w:t xml:space="preserve">（采购人名称）</w:t>
      </w:r>
      <w:r>
        <w:rPr>
          <w:rFonts w:hint="eastAsia" w:ascii="仿宋_GB2312" w:hAnsi="Times New Roman" w:eastAsia="仿宋_GB2312"/>
          <w:b w:val="0"/>
          <w:color w:val="auto"/>
          <w:sz w:val="24"/>
          <w:highlight w:val="none"/>
        </w:rPr>
        <w:t xml:space="preserve">：</w:t>
      </w:r>
      <w:r/>
    </w:p>
    <w:p>
      <w:pPr>
        <w:pStyle w:val="1165"/>
        <w:ind w:firstLine="480"/>
        <w:spacing w:line="360" w:lineRule="auto"/>
        <w:rPr>
          <w:rFonts w:ascii="仿宋_GB2312" w:hAnsi="Times New Roman" w:eastAsia="仿宋_GB2312"/>
          <w:b w:val="0"/>
          <w:color w:val="auto"/>
          <w:sz w:val="24"/>
          <w:highlight w:val="none"/>
        </w:rPr>
        <w:outlineLvl w:val="1"/>
      </w:pPr>
      <w:r>
        <w:rPr>
          <w:rFonts w:hint="eastAsia" w:ascii="仿宋_GB2312" w:hAnsi="Times New Roman" w:eastAsia="仿宋_GB2312"/>
          <w:b w:val="0"/>
          <w:color w:val="auto"/>
          <w:sz w:val="24"/>
          <w:highlight w:val="none"/>
        </w:rPr>
        <w:t xml:space="preserve">根据已收到的项目编号为</w:t>
      </w:r>
      <w:r>
        <w:rPr>
          <w:rFonts w:hint="eastAsia" w:ascii="仿宋_GB2312" w:hAnsi="Times New Roman" w:eastAsia="仿宋_GB2312"/>
          <w:b w:val="0"/>
          <w:color w:val="auto"/>
          <w:sz w:val="24"/>
          <w:highlight w:val="none"/>
          <w:u w:val="single"/>
        </w:rPr>
        <w:t xml:space="preserve">（项目编号）</w:t>
      </w:r>
      <w:r>
        <w:rPr>
          <w:rFonts w:hint="eastAsia" w:ascii="仿宋_GB2312" w:hAnsi="Times New Roman" w:eastAsia="仿宋_GB2312"/>
          <w:b w:val="0"/>
          <w:color w:val="auto"/>
          <w:sz w:val="24"/>
          <w:highlight w:val="none"/>
        </w:rPr>
        <w:t xml:space="preserve">的</w:t>
      </w:r>
      <w:r>
        <w:rPr>
          <w:rFonts w:hint="eastAsia" w:ascii="仿宋_GB2312" w:hAnsi="Times New Roman" w:eastAsia="仿宋_GB2312"/>
          <w:b w:val="0"/>
          <w:color w:val="auto"/>
          <w:sz w:val="24"/>
          <w:highlight w:val="none"/>
          <w:u w:val="single"/>
        </w:rPr>
        <w:t xml:space="preserve">（项目名称）</w:t>
      </w:r>
      <w:r>
        <w:rPr>
          <w:rFonts w:hint="eastAsia" w:ascii="仿宋_GB2312" w:hAnsi="Times New Roman" w:eastAsia="仿宋_GB2312"/>
          <w:b w:val="0"/>
          <w:color w:val="auto"/>
          <w:sz w:val="24"/>
          <w:highlight w:val="none"/>
        </w:rPr>
        <w:t xml:space="preserve">的招标文件，我方在参加本项目招投标活动中，特作出如下承诺：</w:t>
      </w:r>
      <w:r/>
    </w:p>
    <w:p>
      <w:pPr>
        <w:pStyle w:val="1165"/>
        <w:ind w:firstLine="480"/>
        <w:spacing w:line="360" w:lineRule="auto"/>
        <w:rPr>
          <w:rFonts w:ascii="仿宋_GB2312" w:hAnsi="Times New Roman" w:eastAsia="仿宋_GB2312"/>
          <w:b w:val="0"/>
          <w:color w:val="auto"/>
          <w:sz w:val="24"/>
          <w:highlight w:val="none"/>
        </w:rPr>
        <w:outlineLvl w:val="1"/>
      </w:pPr>
      <w:r>
        <w:rPr>
          <w:rFonts w:hint="eastAsia" w:ascii="仿宋_GB2312" w:hAnsi="Times New Roman" w:eastAsia="仿宋_GB2312"/>
          <w:b w:val="0"/>
          <w:color w:val="auto"/>
          <w:sz w:val="24"/>
          <w:highlight w:val="none"/>
        </w:rPr>
        <w:t xml:space="preserve">1.本单位与其他参与本项目采购活动的供应商之间，不存在单位负责人为同一人的情况，也不存在直接控股、管理关系。</w:t>
      </w:r>
      <w:r/>
    </w:p>
    <w:p>
      <w:pPr>
        <w:pStyle w:val="1165"/>
        <w:ind w:firstLine="480"/>
        <w:spacing w:line="360" w:lineRule="auto"/>
        <w:rPr>
          <w:rFonts w:ascii="仿宋_GB2312" w:hAnsi="Times New Roman" w:eastAsia="仿宋_GB2312"/>
          <w:b w:val="0"/>
          <w:color w:val="auto"/>
          <w:sz w:val="24"/>
          <w:highlight w:val="none"/>
        </w:rPr>
        <w:outlineLvl w:val="1"/>
      </w:pPr>
      <w:r>
        <w:rPr>
          <w:rFonts w:hint="eastAsia" w:ascii="仿宋_GB2312" w:hAnsi="Times New Roman" w:eastAsia="仿宋_GB2312"/>
          <w:b w:val="0"/>
          <w:color w:val="auto"/>
          <w:sz w:val="24"/>
          <w:highlight w:val="none"/>
        </w:rPr>
        <w:t xml:space="preserve">2.除本项目为单一来源采购项目的情况外，本单位未为本采购项目提供整体设计、规范编制或者项目管理、监理、检测等服务，且不会在本项目中参与上述服务之外的其他采购活动。</w:t>
      </w:r>
      <w:r/>
    </w:p>
    <w:p>
      <w:pPr>
        <w:pStyle w:val="1165"/>
        <w:spacing w:line="360" w:lineRule="auto"/>
        <w:rPr>
          <w:rFonts w:ascii="仿宋_GB2312" w:hAnsi="Times New Roman" w:eastAsia="仿宋_GB2312"/>
          <w:b w:val="0"/>
          <w:color w:val="auto"/>
          <w:sz w:val="24"/>
          <w:highlight w:val="none"/>
        </w:rPr>
        <w:outlineLvl w:val="1"/>
      </w:pPr>
      <w:r>
        <w:rPr>
          <w:rFonts w:hint="eastAsia" w:ascii="仿宋_GB2312" w:hAnsi="Times New Roman" w:eastAsia="仿宋_GB2312"/>
          <w:b w:val="0"/>
          <w:color w:val="auto"/>
          <w:sz w:val="24"/>
          <w:highlight w:val="none"/>
        </w:rPr>
        <w:t xml:space="preserve"> </w:t>
      </w:r>
      <w:r/>
    </w:p>
    <w:p>
      <w:pPr>
        <w:pStyle w:val="1165"/>
        <w:ind w:firstLine="480"/>
        <w:spacing w:line="360" w:lineRule="auto"/>
        <w:rPr>
          <w:rFonts w:ascii="仿宋_GB2312" w:hAnsi="Times New Roman" w:eastAsia="仿宋_GB2312"/>
          <w:b w:val="0"/>
          <w:color w:val="auto"/>
          <w:sz w:val="24"/>
          <w:highlight w:val="none"/>
        </w:rPr>
        <w:outlineLvl w:val="1"/>
      </w:pPr>
      <w:r>
        <w:rPr>
          <w:rFonts w:hint="eastAsia" w:ascii="仿宋_GB2312" w:hAnsi="Times New Roman" w:eastAsia="仿宋_GB2312"/>
          <w:b w:val="0"/>
          <w:color w:val="auto"/>
          <w:sz w:val="24"/>
          <w:highlight w:val="none"/>
        </w:rPr>
        <w:t xml:space="preserve">本单位承诺以上内容真实有效，若经查实存在虚假陈述，愿意承担由此产生的一切法律责任和后果，包括但不限于取消参与资格、中标无效等。</w:t>
      </w:r>
      <w:r/>
    </w:p>
    <w:p>
      <w:pPr>
        <w:pStyle w:val="1165"/>
        <w:spacing w:line="360" w:lineRule="auto"/>
        <w:rPr>
          <w:rFonts w:ascii="宋体" w:hAnsi="宋体" w:eastAsia="宋体" w:cs="宋体"/>
          <w:b w:val="0"/>
          <w:bCs/>
          <w:color w:val="auto"/>
          <w:sz w:val="24"/>
          <w:szCs w:val="21"/>
          <w:highlight w:val="none"/>
        </w:rPr>
        <w:outlineLvl w:val="1"/>
      </w:pPr>
      <w:r>
        <w:rPr>
          <w:rFonts w:hint="eastAsia" w:ascii="宋体" w:hAnsi="宋体" w:eastAsia="宋体" w:cs="宋体"/>
          <w:b w:val="0"/>
          <w:bCs/>
          <w:color w:val="auto"/>
          <w:sz w:val="24"/>
          <w:szCs w:val="21"/>
          <w:highlight w:val="none"/>
        </w:rPr>
        <w:t xml:space="preserve"> </w:t>
      </w:r>
      <w:r/>
    </w:p>
    <w:p>
      <w:pPr>
        <w:pStyle w:val="1170"/>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1170"/>
        <w:ind w:firstLine="480"/>
        <w:jc w:val="right"/>
        <w:spacing w:line="360" w:lineRule="auto"/>
        <w:rPr>
          <w:rFonts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供应商名称：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（盖CA电子公章）</w:t>
      </w:r>
      <w:r/>
    </w:p>
    <w:p>
      <w:pPr>
        <w:pStyle w:val="1170"/>
        <w:ind w:firstLine="480"/>
        <w:jc w:val="right"/>
        <w:spacing w:line="360" w:lineRule="auto"/>
        <w:rPr>
          <w:rFonts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日期：    年    月   日</w:t>
      </w:r>
      <w:r/>
    </w:p>
    <w:p>
      <w:pPr>
        <w:rPr>
          <w:bCs/>
          <w:color w:val="auto"/>
          <w:highlight w:val="none"/>
        </w:rPr>
      </w:pPr>
      <w:r>
        <w:rPr>
          <w:bCs/>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1075"/>
        <w:spacing w:line="520" w:lineRule="exact"/>
        <w:rPr>
          <w:rFonts w:hAnsi="宋体" w:cs="宋体"/>
          <w:b/>
          <w:color w:val="auto"/>
          <w:sz w:val="32"/>
          <w:szCs w:val="24"/>
          <w:highlight w:val="none"/>
        </w:rPr>
      </w:pPr>
      <w:r>
        <w:rPr>
          <w:rFonts w:hint="eastAsia" w:hAnsi="宋体" w:cs="宋体"/>
          <w:b/>
          <w:color w:val="auto"/>
          <w:sz w:val="32"/>
          <w:szCs w:val="24"/>
          <w:highlight w:val="none"/>
        </w:rPr>
        <w:t xml:space="preserve">九、投标文件签署、盖章齐全完整</w:t>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pStyle w:val="1143"/>
        <w:jc w:val="center"/>
        <w:spacing w:line="600" w:lineRule="exact"/>
        <w:rPr>
          <w:rFonts w:ascii="宋体" w:hAnsi="宋体" w:cs="宋体"/>
          <w:b/>
          <w:color w:val="auto"/>
          <w:sz w:val="32"/>
          <w:szCs w:val="24"/>
          <w:highlight w:val="none"/>
        </w:rPr>
      </w:pPr>
      <w:r>
        <w:rPr>
          <w:rFonts w:hint="eastAsia" w:ascii="宋体" w:hAnsi="宋体" w:cs="宋体"/>
          <w:b/>
          <w:color w:val="auto"/>
          <w:sz w:val="32"/>
          <w:szCs w:val="24"/>
          <w:highlight w:val="none"/>
        </w:rPr>
        <w:t xml:space="preserve">投标文件签署、盖章的声明</w:t>
      </w:r>
      <w:r/>
    </w:p>
    <w:p>
      <w:pPr>
        <w:pStyle w:val="1143"/>
        <w:spacing w:line="600" w:lineRule="exact"/>
        <w:rPr>
          <w:rFonts w:ascii="宋体" w:hAnsi="宋体" w:cs="宋体"/>
          <w:color w:val="auto"/>
          <w:sz w:val="24"/>
          <w:highlight w:val="none"/>
          <w:u w:val="single"/>
        </w:rPr>
      </w:pPr>
      <w:r>
        <w:rPr>
          <w:rFonts w:ascii="宋体" w:hAnsi="宋体" w:cs="宋体"/>
          <w:color w:val="auto"/>
          <w:sz w:val="24"/>
          <w:highlight w:val="none"/>
          <w:u w:val="single"/>
        </w:rPr>
      </w:r>
      <w:r/>
    </w:p>
    <w:p>
      <w:pPr>
        <w:pStyle w:val="1143"/>
        <w:spacing w:line="600" w:lineRule="exact"/>
        <w:rPr>
          <w:rFonts w:ascii="仿宋" w:hAnsi="仿宋" w:eastAsia="仿宋" w:cs="仿宋"/>
          <w:bCs/>
          <w:color w:val="auto"/>
          <w:sz w:val="24"/>
          <w:szCs w:val="24"/>
          <w:highlight w:val="none"/>
        </w:rPr>
      </w:pPr>
      <w:r>
        <w:rPr>
          <w:rFonts w:hint="eastAsia" w:ascii="仿宋" w:hAnsi="仿宋" w:eastAsia="仿宋" w:cs="仿宋"/>
          <w:color w:val="auto"/>
          <w:sz w:val="24"/>
          <w:szCs w:val="24"/>
          <w:highlight w:val="none"/>
          <w:u w:val="single"/>
        </w:rPr>
        <w:t xml:space="preserve">（</w:t>
      </w:r>
      <w:r>
        <w:rPr>
          <w:rFonts w:hint="eastAsia" w:ascii="仿宋" w:hAnsi="仿宋" w:eastAsia="仿宋" w:cs="仿宋"/>
          <w:bCs/>
          <w:color w:val="auto"/>
          <w:sz w:val="24"/>
          <w:szCs w:val="24"/>
          <w:highlight w:val="none"/>
          <w:u w:val="single"/>
        </w:rPr>
        <w:t xml:space="preserve">采购人名称</w:t>
      </w:r>
      <w:r>
        <w:rPr>
          <w:rFonts w:hint="eastAsia" w:ascii="仿宋" w:hAnsi="仿宋" w:eastAsia="仿宋" w:cs="仿宋"/>
          <w:color w:val="auto"/>
          <w:sz w:val="24"/>
          <w:szCs w:val="24"/>
          <w:highlight w:val="none"/>
          <w:u w:val="single"/>
        </w:rPr>
        <w:t xml:space="preserve">）</w:t>
      </w:r>
      <w:r>
        <w:rPr>
          <w:rFonts w:hint="eastAsia" w:ascii="仿宋" w:hAnsi="仿宋" w:eastAsia="仿宋" w:cs="仿宋"/>
          <w:bCs/>
          <w:color w:val="auto"/>
          <w:sz w:val="24"/>
          <w:szCs w:val="24"/>
          <w:highlight w:val="none"/>
        </w:rPr>
        <w:t xml:space="preserve">：</w:t>
      </w:r>
      <w:r/>
    </w:p>
    <w:p>
      <w:pPr>
        <w:pStyle w:val="1143"/>
        <w:ind w:firstLine="480"/>
        <w:spacing w:line="600" w:lineRule="exac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我司在参加编号为</w:t>
      </w:r>
      <w:r>
        <w:rPr>
          <w:rFonts w:hint="eastAsia" w:ascii="仿宋" w:hAnsi="仿宋" w:eastAsia="仿宋" w:cs="仿宋"/>
          <w:bCs/>
          <w:color w:val="auto"/>
          <w:sz w:val="24"/>
          <w:szCs w:val="24"/>
          <w:highlight w:val="none"/>
          <w:u w:val="single"/>
        </w:rPr>
        <w:t xml:space="preserve">（项目编号）号（项目名称）</w:t>
      </w:r>
      <w:r>
        <w:rPr>
          <w:rFonts w:hint="eastAsia" w:ascii="仿宋" w:hAnsi="仿宋" w:eastAsia="仿宋" w:cs="仿宋"/>
          <w:bCs/>
          <w:color w:val="auto"/>
          <w:sz w:val="24"/>
          <w:szCs w:val="24"/>
          <w:highlight w:val="none"/>
        </w:rPr>
        <w:t xml:space="preserve">项目，我司投标文件签署、盖章符合招标文件规定，具体报价内容详见投标文件。</w:t>
      </w:r>
      <w:r/>
    </w:p>
    <w:p>
      <w:pPr>
        <w:pStyle w:val="1143"/>
        <w:ind w:firstLine="480"/>
        <w:spacing w:line="600" w:lineRule="exac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特此声明</w:t>
      </w:r>
      <w:r/>
    </w:p>
    <w:p>
      <w:pPr>
        <w:pStyle w:val="1143"/>
        <w:ind w:firstLine="480"/>
        <w:spacing w:line="600" w:lineRule="exac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（我司知晓下列处理原则：已提供本声明但投标文件中签署、盖章不符合招标文件规定的，本声明无效，并可能做不符性处理。）</w:t>
      </w:r>
      <w:r/>
    </w:p>
    <w:p>
      <w:pPr>
        <w:pStyle w:val="1143"/>
        <w:ind w:firstLine="480"/>
        <w:spacing w:line="600" w:lineRule="exact"/>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p>
      <w:pPr>
        <w:pStyle w:val="1170"/>
        <w:ind w:firstLine="480"/>
        <w:jc w:val="right"/>
        <w:spacing w:line="360" w:lineRule="auto"/>
        <w:rPr>
          <w:rFonts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供应商名称：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（盖CA电子公章）</w:t>
      </w:r>
      <w:r/>
    </w:p>
    <w:p>
      <w:pPr>
        <w:pStyle w:val="1170"/>
        <w:ind w:firstLine="480"/>
        <w:jc w:val="right"/>
        <w:spacing w:line="360" w:lineRule="auto"/>
        <w:rPr>
          <w:rFonts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日期：    年    月   日</w:t>
      </w:r>
      <w:r/>
    </w:p>
    <w:p>
      <w:pPr>
        <w:pStyle w:val="1075"/>
        <w:jc w:val="right"/>
        <w:spacing w:line="520" w:lineRule="exact"/>
        <w:rPr>
          <w:rFonts w:ascii="仿宋" w:hAnsi="仿宋" w:eastAsia="仿宋" w:cs="仿宋"/>
          <w:b/>
          <w:color w:val="auto"/>
          <w:sz w:val="24"/>
          <w:szCs w:val="24"/>
          <w:highlight w:val="none"/>
        </w:rPr>
      </w:pPr>
      <w:r>
        <w:rPr>
          <w:rFonts w:ascii="仿宋" w:hAnsi="仿宋" w:eastAsia="仿宋" w:cs="仿宋"/>
          <w:b/>
          <w:color w:val="auto"/>
          <w:sz w:val="24"/>
          <w:szCs w:val="24"/>
          <w:highlight w:val="none"/>
        </w:rPr>
      </w:r>
      <w:r/>
    </w:p>
    <w:p>
      <w:pPr>
        <w:jc w:val="right"/>
        <w:rPr>
          <w:rFonts w:ascii="仿宋" w:hAnsi="仿宋" w:eastAsia="仿宋" w:cs="仿宋"/>
          <w:b/>
          <w:color w:val="auto"/>
          <w:sz w:val="24"/>
          <w:szCs w:val="24"/>
          <w:highlight w:val="none"/>
        </w:rPr>
      </w:pPr>
      <w:r>
        <w:rPr>
          <w:rFonts w:ascii="仿宋" w:hAnsi="仿宋" w:eastAsia="仿宋" w:cs="仿宋"/>
          <w:b/>
          <w:color w:val="auto"/>
          <w:sz w:val="24"/>
          <w:szCs w:val="24"/>
          <w:highlight w:val="none"/>
        </w:rPr>
      </w:r>
      <w:r/>
    </w:p>
    <w:p>
      <w:pPr>
        <w:jc w:val="right"/>
        <w:rPr>
          <w:rFonts w:ascii="宋体" w:hAnsi="宋体" w:cs="宋体"/>
          <w:b/>
          <w:color w:val="auto"/>
          <w:sz w:val="32"/>
          <w:szCs w:val="24"/>
          <w:highlight w:val="none"/>
        </w:rPr>
      </w:pPr>
      <w:r>
        <w:rPr>
          <w:rFonts w:ascii="宋体" w:hAnsi="宋体" w:cs="宋体"/>
          <w:b/>
          <w:color w:val="auto"/>
          <w:sz w:val="32"/>
          <w:szCs w:val="24"/>
          <w:highlight w:val="none"/>
        </w:rPr>
      </w:r>
      <w:r/>
    </w:p>
    <w:p>
      <w:pPr>
        <w:jc w:val="right"/>
        <w:rPr>
          <w:rFonts w:ascii="宋体" w:hAnsi="宋体" w:cs="宋体"/>
          <w:b/>
          <w:color w:val="auto"/>
          <w:sz w:val="32"/>
          <w:szCs w:val="24"/>
          <w:highlight w:val="none"/>
        </w:rPr>
      </w:pPr>
      <w:r>
        <w:rPr>
          <w:rFonts w:ascii="宋体" w:hAnsi="宋体" w:cs="宋体"/>
          <w:b/>
          <w:color w:val="auto"/>
          <w:sz w:val="32"/>
          <w:szCs w:val="24"/>
          <w:highlight w:val="none"/>
        </w:rPr>
      </w:r>
      <w:r/>
    </w:p>
    <w:p>
      <w:pPr>
        <w:jc w:val="right"/>
        <w:rPr>
          <w:rFonts w:ascii="宋体" w:hAnsi="宋体" w:cs="宋体"/>
          <w:b/>
          <w:color w:val="auto"/>
          <w:sz w:val="32"/>
          <w:szCs w:val="24"/>
          <w:highlight w:val="none"/>
        </w:rPr>
      </w:pPr>
      <w:r>
        <w:rPr>
          <w:rFonts w:ascii="宋体" w:hAnsi="宋体" w:cs="宋体"/>
          <w:b/>
          <w:color w:val="auto"/>
          <w:sz w:val="32"/>
          <w:szCs w:val="24"/>
          <w:highlight w:val="none"/>
        </w:rPr>
      </w:r>
      <w:r/>
    </w:p>
    <w:p>
      <w:pPr>
        <w:jc w:val="right"/>
        <w:rPr>
          <w:rFonts w:ascii="宋体" w:hAnsi="宋体" w:cs="宋体"/>
          <w:b/>
          <w:color w:val="auto"/>
          <w:sz w:val="32"/>
          <w:szCs w:val="24"/>
          <w:highlight w:val="none"/>
        </w:rPr>
      </w:pPr>
      <w:r>
        <w:rPr>
          <w:rFonts w:ascii="宋体" w:hAnsi="宋体" w:cs="宋体"/>
          <w:b/>
          <w:color w:val="auto"/>
          <w:sz w:val="32"/>
          <w:szCs w:val="24"/>
          <w:highlight w:val="none"/>
        </w:rPr>
      </w:r>
      <w:r/>
    </w:p>
    <w:p>
      <w:pPr>
        <w:jc w:val="right"/>
        <w:rPr>
          <w:rFonts w:ascii="宋体" w:hAnsi="宋体" w:cs="宋体"/>
          <w:b/>
          <w:color w:val="auto"/>
          <w:sz w:val="32"/>
          <w:szCs w:val="24"/>
          <w:highlight w:val="none"/>
        </w:rPr>
      </w:pPr>
      <w:r>
        <w:rPr>
          <w:rFonts w:ascii="宋体" w:hAnsi="宋体" w:cs="宋体"/>
          <w:b/>
          <w:color w:val="auto"/>
          <w:sz w:val="32"/>
          <w:szCs w:val="24"/>
          <w:highlight w:val="none"/>
        </w:rPr>
      </w:r>
      <w:r/>
    </w:p>
    <w:p>
      <w:pPr>
        <w:jc w:val="right"/>
        <w:rPr>
          <w:rFonts w:ascii="宋体" w:hAnsi="宋体" w:cs="宋体"/>
          <w:b/>
          <w:color w:val="auto"/>
          <w:sz w:val="32"/>
          <w:szCs w:val="24"/>
          <w:highlight w:val="none"/>
        </w:rPr>
      </w:pPr>
      <w:r>
        <w:rPr>
          <w:rFonts w:ascii="宋体" w:hAnsi="宋体" w:cs="宋体"/>
          <w:b/>
          <w:color w:val="auto"/>
          <w:sz w:val="32"/>
          <w:szCs w:val="24"/>
          <w:highlight w:val="none"/>
        </w:rPr>
      </w:r>
      <w:r/>
    </w:p>
    <w:p>
      <w:pPr>
        <w:jc w:val="right"/>
        <w:rPr>
          <w:rFonts w:ascii="宋体" w:hAnsi="宋体" w:cs="宋体"/>
          <w:b/>
          <w:color w:val="auto"/>
          <w:sz w:val="32"/>
          <w:szCs w:val="24"/>
          <w:highlight w:val="none"/>
        </w:rPr>
      </w:pPr>
      <w:r>
        <w:rPr>
          <w:rFonts w:ascii="宋体" w:hAnsi="宋体" w:cs="宋体"/>
          <w:b/>
          <w:color w:val="auto"/>
          <w:sz w:val="32"/>
          <w:szCs w:val="24"/>
          <w:highlight w:val="none"/>
        </w:rPr>
      </w:r>
      <w:r/>
    </w:p>
    <w:p>
      <w:pPr>
        <w:jc w:val="right"/>
        <w:rPr>
          <w:rFonts w:ascii="宋体" w:hAnsi="宋体" w:cs="宋体"/>
          <w:b/>
          <w:color w:val="auto"/>
          <w:sz w:val="32"/>
          <w:szCs w:val="24"/>
          <w:highlight w:val="none"/>
        </w:rPr>
      </w:pPr>
      <w:r>
        <w:rPr>
          <w:rFonts w:ascii="宋体" w:hAnsi="宋体" w:cs="宋体"/>
          <w:b/>
          <w:color w:val="auto"/>
          <w:sz w:val="32"/>
          <w:szCs w:val="24"/>
          <w:highlight w:val="none"/>
        </w:rPr>
      </w:r>
      <w:r/>
    </w:p>
    <w:p>
      <w:pPr>
        <w:jc w:val="right"/>
        <w:rPr>
          <w:rFonts w:ascii="宋体" w:hAnsi="宋体" w:cs="宋体"/>
          <w:b/>
          <w:color w:val="auto"/>
          <w:sz w:val="32"/>
          <w:szCs w:val="24"/>
          <w:highlight w:val="none"/>
        </w:rPr>
      </w:pPr>
      <w:r>
        <w:rPr>
          <w:rFonts w:ascii="宋体" w:hAnsi="宋体" w:cs="宋体"/>
          <w:b/>
          <w:color w:val="auto"/>
          <w:sz w:val="32"/>
          <w:szCs w:val="24"/>
          <w:highlight w:val="none"/>
        </w:rPr>
      </w:r>
      <w:r/>
    </w:p>
    <w:p>
      <w:pPr>
        <w:jc w:val="right"/>
        <w:rPr>
          <w:rFonts w:ascii="宋体" w:hAnsi="宋体" w:cs="宋体"/>
          <w:b/>
          <w:color w:val="auto"/>
          <w:sz w:val="32"/>
          <w:szCs w:val="24"/>
          <w:highlight w:val="none"/>
        </w:rPr>
      </w:pPr>
      <w:r>
        <w:rPr>
          <w:rFonts w:ascii="宋体" w:hAnsi="宋体" w:cs="宋体"/>
          <w:b/>
          <w:color w:val="auto"/>
          <w:sz w:val="32"/>
          <w:szCs w:val="24"/>
          <w:highlight w:val="none"/>
        </w:rPr>
      </w:r>
      <w:r/>
    </w:p>
    <w:p>
      <w:pPr>
        <w:jc w:val="right"/>
        <w:rPr>
          <w:rFonts w:ascii="宋体" w:hAnsi="宋体" w:cs="宋体"/>
          <w:b/>
          <w:color w:val="auto"/>
          <w:sz w:val="32"/>
          <w:szCs w:val="24"/>
          <w:highlight w:val="none"/>
        </w:rPr>
      </w:pPr>
      <w:r>
        <w:rPr>
          <w:rFonts w:ascii="宋体" w:hAnsi="宋体" w:cs="宋体"/>
          <w:b/>
          <w:color w:val="auto"/>
          <w:sz w:val="32"/>
          <w:szCs w:val="24"/>
          <w:highlight w:val="none"/>
        </w:rPr>
      </w:r>
      <w:r/>
    </w:p>
    <w:p>
      <w:pPr>
        <w:rPr>
          <w:rFonts w:ascii="宋体" w:hAnsi="宋体" w:cs="宋体"/>
          <w:b/>
          <w:color w:val="auto"/>
          <w:sz w:val="32"/>
          <w:szCs w:val="24"/>
          <w:highlight w:val="none"/>
        </w:rPr>
      </w:pPr>
      <w:r>
        <w:rPr>
          <w:rFonts w:ascii="宋体" w:hAnsi="宋体" w:cs="宋体"/>
          <w:b/>
          <w:color w:val="auto"/>
          <w:sz w:val="32"/>
          <w:szCs w:val="24"/>
          <w:highlight w:val="none"/>
        </w:rPr>
      </w:r>
      <w:r/>
    </w:p>
    <w:p>
      <w:pPr>
        <w:jc w:val="right"/>
        <w:rPr>
          <w:rFonts w:ascii="宋体" w:hAnsi="宋体" w:cs="宋体"/>
          <w:b/>
          <w:color w:val="auto"/>
          <w:sz w:val="32"/>
          <w:szCs w:val="24"/>
          <w:highlight w:val="none"/>
        </w:rPr>
      </w:pPr>
      <w:r>
        <w:rPr>
          <w:rFonts w:ascii="宋体" w:hAnsi="宋体" w:cs="宋体"/>
          <w:b/>
          <w:color w:val="auto"/>
          <w:sz w:val="32"/>
          <w:szCs w:val="24"/>
          <w:highlight w:val="none"/>
        </w:rPr>
      </w:r>
      <w:r/>
    </w:p>
    <w:p>
      <w:pPr>
        <w:pStyle w:val="1366"/>
        <w:rPr>
          <w:rFonts w:ascii="宋体" w:hAnsi="宋体" w:cs="宋体"/>
          <w:b/>
          <w:color w:val="auto"/>
          <w:sz w:val="32"/>
          <w:szCs w:val="24"/>
          <w:highlight w:val="none"/>
        </w:rPr>
        <w:outlineLvl w:val="1"/>
      </w:pPr>
      <w:r>
        <w:rPr>
          <w:rFonts w:hint="eastAsia" w:ascii="宋体" w:hAnsi="宋体" w:cs="宋体"/>
          <w:b/>
          <w:color w:val="auto"/>
          <w:sz w:val="32"/>
          <w:szCs w:val="24"/>
          <w:highlight w:val="none"/>
        </w:rPr>
        <w:t xml:space="preserve">十、对实质性条款的响应性</w:t>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pStyle w:val="1143"/>
        <w:jc w:val="center"/>
        <w:spacing w:line="600" w:lineRule="exact"/>
        <w:rPr>
          <w:rFonts w:ascii="宋体" w:hAnsi="宋体" w:cs="宋体"/>
          <w:b/>
          <w:color w:val="auto"/>
          <w:sz w:val="32"/>
          <w:szCs w:val="24"/>
          <w:highlight w:val="none"/>
        </w:rPr>
      </w:pPr>
      <w:r>
        <w:rPr>
          <w:rFonts w:hint="eastAsia" w:ascii="宋体" w:hAnsi="宋体" w:cs="宋体"/>
          <w:b/>
          <w:color w:val="auto"/>
          <w:sz w:val="32"/>
          <w:szCs w:val="24"/>
          <w:highlight w:val="none"/>
        </w:rPr>
        <w:t xml:space="preserve">对实质性条款的响应的声明</w:t>
      </w:r>
      <w:r/>
    </w:p>
    <w:p>
      <w:pPr>
        <w:pStyle w:val="1143"/>
        <w:spacing w:line="600" w:lineRule="exact"/>
        <w:rPr>
          <w:rFonts w:ascii="宋体" w:hAnsi="宋体" w:cs="宋体"/>
          <w:color w:val="auto"/>
          <w:sz w:val="24"/>
          <w:highlight w:val="none"/>
          <w:u w:val="single"/>
        </w:rPr>
      </w:pPr>
      <w:r>
        <w:rPr>
          <w:rFonts w:ascii="宋体" w:hAnsi="宋体" w:cs="宋体"/>
          <w:color w:val="auto"/>
          <w:sz w:val="24"/>
          <w:highlight w:val="none"/>
          <w:u w:val="single"/>
        </w:rPr>
      </w:r>
      <w:r/>
    </w:p>
    <w:p>
      <w:pPr>
        <w:pStyle w:val="1143"/>
        <w:spacing w:line="600" w:lineRule="exact"/>
        <w:rPr>
          <w:rFonts w:ascii="宋体" w:hAnsi="宋体" w:cs="宋体"/>
          <w:bCs/>
          <w:color w:val="auto"/>
          <w:sz w:val="24"/>
          <w:szCs w:val="20"/>
          <w:highlight w:val="none"/>
        </w:rPr>
      </w:pPr>
      <w:r>
        <w:rPr>
          <w:rFonts w:hint="eastAsia" w:ascii="宋体" w:hAnsi="宋体" w:cs="宋体"/>
          <w:color w:val="auto"/>
          <w:sz w:val="24"/>
          <w:szCs w:val="24"/>
          <w:highlight w:val="none"/>
          <w:u w:val="single"/>
        </w:rPr>
        <w:t xml:space="preserve">（</w:t>
      </w:r>
      <w:r>
        <w:rPr>
          <w:rFonts w:hint="eastAsia" w:ascii="宋体" w:hAnsi="宋体" w:cs="宋体"/>
          <w:bCs/>
          <w:color w:val="auto"/>
          <w:sz w:val="24"/>
          <w:szCs w:val="24"/>
          <w:highlight w:val="none"/>
          <w:u w:val="single"/>
        </w:rPr>
        <w:t xml:space="preserve">采购人名称</w:t>
      </w:r>
      <w:r>
        <w:rPr>
          <w:rFonts w:hint="eastAsia" w:ascii="宋体" w:hAnsi="宋体" w:cs="宋体"/>
          <w:color w:val="auto"/>
          <w:sz w:val="24"/>
          <w:szCs w:val="24"/>
          <w:highlight w:val="none"/>
          <w:u w:val="single"/>
        </w:rPr>
        <w:t xml:space="preserve">）</w:t>
      </w:r>
      <w:r>
        <w:rPr>
          <w:rFonts w:hint="eastAsia" w:ascii="宋体" w:hAnsi="宋体" w:cs="宋体"/>
          <w:bCs/>
          <w:color w:val="auto"/>
          <w:sz w:val="24"/>
          <w:szCs w:val="20"/>
          <w:highlight w:val="none"/>
        </w:rPr>
        <w:t xml:space="preserve">：</w:t>
      </w:r>
      <w:r/>
    </w:p>
    <w:p>
      <w:pPr>
        <w:pStyle w:val="1143"/>
        <w:ind w:firstLine="480"/>
        <w:spacing w:line="600" w:lineRule="exact"/>
        <w:rPr>
          <w:rFonts w:ascii="宋体" w:hAnsi="宋体" w:cs="宋体"/>
          <w:bCs/>
          <w:color w:val="auto"/>
          <w:sz w:val="24"/>
          <w:szCs w:val="20"/>
          <w:highlight w:val="none"/>
        </w:rPr>
      </w:pPr>
      <w:r>
        <w:rPr>
          <w:rFonts w:hint="eastAsia" w:ascii="宋体" w:hAnsi="宋体" w:cs="宋体"/>
          <w:bCs/>
          <w:color w:val="auto"/>
          <w:sz w:val="24"/>
          <w:szCs w:val="20"/>
          <w:highlight w:val="none"/>
        </w:rPr>
        <w:t xml:space="preserve">我司在参加编号为</w:t>
      </w:r>
      <w:r>
        <w:rPr>
          <w:rFonts w:hint="eastAsia" w:ascii="宋体" w:hAnsi="宋体" w:cs="宋体"/>
          <w:bCs/>
          <w:color w:val="auto"/>
          <w:sz w:val="24"/>
          <w:szCs w:val="20"/>
          <w:highlight w:val="none"/>
          <w:u w:val="single"/>
        </w:rPr>
        <w:t xml:space="preserve">（项目编号）号（项目名称）</w:t>
      </w:r>
      <w:r>
        <w:rPr>
          <w:rFonts w:hint="eastAsia" w:ascii="宋体" w:hAnsi="宋体" w:cs="宋体"/>
          <w:bCs/>
          <w:color w:val="auto"/>
          <w:sz w:val="24"/>
          <w:szCs w:val="20"/>
          <w:highlight w:val="none"/>
        </w:rPr>
        <w:t xml:space="preserve">项目，我司投标文件符合招标文件要求，对实质性条款完全响应并且不存在重大偏离，具体内容详见投标文件。</w:t>
      </w:r>
      <w:r/>
    </w:p>
    <w:p>
      <w:pPr>
        <w:pStyle w:val="1143"/>
        <w:ind w:firstLine="480"/>
        <w:spacing w:line="600" w:lineRule="exact"/>
        <w:rPr>
          <w:rFonts w:ascii="宋体" w:hAnsi="宋体" w:cs="宋体"/>
          <w:bCs/>
          <w:color w:val="auto"/>
          <w:sz w:val="24"/>
          <w:szCs w:val="20"/>
          <w:highlight w:val="none"/>
        </w:rPr>
      </w:pPr>
      <w:r>
        <w:rPr>
          <w:rFonts w:hint="eastAsia" w:ascii="宋体" w:hAnsi="宋体" w:cs="宋体"/>
          <w:bCs/>
          <w:color w:val="auto"/>
          <w:sz w:val="24"/>
          <w:szCs w:val="20"/>
          <w:highlight w:val="none"/>
        </w:rPr>
        <w:t xml:space="preserve">特此声明</w:t>
      </w:r>
      <w:r/>
    </w:p>
    <w:p>
      <w:pPr>
        <w:pStyle w:val="1143"/>
        <w:ind w:firstLine="480"/>
        <w:spacing w:line="600" w:lineRule="exact"/>
        <w:rPr>
          <w:rFonts w:ascii="宋体" w:hAnsi="宋体" w:cs="宋体"/>
          <w:bCs/>
          <w:color w:val="auto"/>
          <w:sz w:val="24"/>
          <w:szCs w:val="20"/>
          <w:highlight w:val="none"/>
        </w:rPr>
      </w:pPr>
      <w:r>
        <w:rPr>
          <w:rFonts w:hint="eastAsia" w:ascii="宋体" w:hAnsi="宋体" w:cs="宋体"/>
          <w:bCs/>
          <w:color w:val="auto"/>
          <w:sz w:val="24"/>
          <w:szCs w:val="20"/>
          <w:highlight w:val="none"/>
        </w:rPr>
        <w:t xml:space="preserve">（我司知晓下列处理原则：已提供本声明但投标文件不符合招标文件要求或存在重大偏离的，本声明无效，并可能做不符性处理。）</w:t>
      </w:r>
      <w:r/>
    </w:p>
    <w:p>
      <w:pPr>
        <w:pStyle w:val="1143"/>
        <w:ind w:firstLine="480"/>
        <w:spacing w:line="600" w:lineRule="exact"/>
        <w:rPr>
          <w:rFonts w:ascii="宋体" w:hAnsi="宋体" w:cs="宋体"/>
          <w:bCs/>
          <w:color w:val="auto"/>
          <w:sz w:val="24"/>
          <w:szCs w:val="20"/>
          <w:highlight w:val="none"/>
        </w:rPr>
      </w:pPr>
      <w:r>
        <w:rPr>
          <w:rFonts w:ascii="宋体" w:hAnsi="宋体" w:cs="宋体"/>
          <w:bCs/>
          <w:color w:val="auto"/>
          <w:sz w:val="24"/>
          <w:szCs w:val="20"/>
          <w:highlight w:val="none"/>
        </w:rPr>
      </w:r>
      <w:r/>
    </w:p>
    <w:p>
      <w:pPr>
        <w:pStyle w:val="1170"/>
        <w:ind w:firstLine="480"/>
        <w:jc w:val="right"/>
        <w:spacing w:line="360" w:lineRule="auto"/>
        <w:rPr>
          <w:rFonts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供应商名称：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（盖CA电子公章）</w:t>
      </w:r>
      <w:r/>
    </w:p>
    <w:p>
      <w:pPr>
        <w:pStyle w:val="1170"/>
        <w:ind w:firstLine="480"/>
        <w:jc w:val="right"/>
        <w:spacing w:line="360" w:lineRule="auto"/>
        <w:rPr>
          <w:rFonts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日期：    年    月   日</w:t>
      </w:r>
      <w:r/>
    </w:p>
    <w:p>
      <w:pPr>
        <w:pStyle w:val="1170"/>
        <w:ind w:firstLine="480"/>
        <w:jc w:val="right"/>
        <w:spacing w:line="360" w:lineRule="auto"/>
        <w:rPr>
          <w:rFonts w:ascii="宋体" w:hAnsi="宋体" w:eastAsia="宋体" w:cs="宋体"/>
          <w:b w:val="0"/>
          <w:bCs/>
          <w:color w:val="auto"/>
          <w:sz w:val="24"/>
          <w:highlight w:val="none"/>
        </w:rPr>
      </w:pPr>
      <w:r>
        <w:rPr>
          <w:rFonts w:ascii="宋体" w:hAnsi="宋体" w:eastAsia="宋体" w:cs="宋体"/>
          <w:b w:val="0"/>
          <w:bCs/>
          <w:color w:val="auto"/>
          <w:sz w:val="24"/>
          <w:highlight w:val="none"/>
        </w:rPr>
      </w:r>
      <w:r/>
    </w:p>
    <w:p>
      <w:pPr>
        <w:pStyle w:val="1170"/>
        <w:ind w:firstLine="480"/>
        <w:jc w:val="right"/>
        <w:spacing w:line="360" w:lineRule="auto"/>
        <w:rPr>
          <w:rFonts w:ascii="宋体" w:hAnsi="宋体" w:eastAsia="宋体" w:cs="宋体"/>
          <w:b w:val="0"/>
          <w:bCs/>
          <w:color w:val="auto"/>
          <w:sz w:val="24"/>
          <w:highlight w:val="none"/>
        </w:rPr>
      </w:pPr>
      <w:r>
        <w:rPr>
          <w:rFonts w:ascii="宋体" w:hAnsi="宋体" w:eastAsia="宋体" w:cs="宋体"/>
          <w:b w:val="0"/>
          <w:bCs/>
          <w:color w:val="auto"/>
          <w:sz w:val="24"/>
          <w:highlight w:val="none"/>
        </w:rPr>
      </w:r>
      <w:r/>
    </w:p>
    <w:p>
      <w:pPr>
        <w:pStyle w:val="1170"/>
        <w:ind w:firstLine="480"/>
        <w:jc w:val="right"/>
        <w:spacing w:line="360" w:lineRule="auto"/>
        <w:rPr>
          <w:rFonts w:ascii="宋体" w:hAnsi="宋体" w:eastAsia="宋体" w:cs="宋体"/>
          <w:b w:val="0"/>
          <w:bCs/>
          <w:color w:val="auto"/>
          <w:sz w:val="24"/>
          <w:highlight w:val="none"/>
        </w:rPr>
      </w:pPr>
      <w:r>
        <w:rPr>
          <w:rFonts w:ascii="宋体" w:hAnsi="宋体" w:eastAsia="宋体" w:cs="宋体"/>
          <w:b w:val="0"/>
          <w:bCs/>
          <w:color w:val="auto"/>
          <w:sz w:val="24"/>
          <w:highlight w:val="none"/>
        </w:rPr>
      </w:r>
      <w:r/>
    </w:p>
    <w:p>
      <w:pPr>
        <w:pStyle w:val="1170"/>
        <w:ind w:firstLine="480"/>
        <w:jc w:val="right"/>
        <w:spacing w:line="360" w:lineRule="auto"/>
        <w:rPr>
          <w:rFonts w:ascii="宋体" w:hAnsi="宋体" w:eastAsia="宋体" w:cs="宋体"/>
          <w:b w:val="0"/>
          <w:bCs/>
          <w:color w:val="auto"/>
          <w:sz w:val="24"/>
          <w:highlight w:val="none"/>
        </w:rPr>
      </w:pPr>
      <w:r>
        <w:rPr>
          <w:rFonts w:ascii="宋体" w:hAnsi="宋体" w:eastAsia="宋体" w:cs="宋体"/>
          <w:b w:val="0"/>
          <w:bCs/>
          <w:color w:val="auto"/>
          <w:sz w:val="24"/>
          <w:highlight w:val="none"/>
        </w:rPr>
      </w:r>
      <w:r/>
    </w:p>
    <w:p>
      <w:pPr>
        <w:pStyle w:val="1170"/>
        <w:ind w:firstLine="480"/>
        <w:jc w:val="right"/>
        <w:spacing w:line="360" w:lineRule="auto"/>
        <w:rPr>
          <w:rFonts w:ascii="宋体" w:hAnsi="宋体" w:eastAsia="宋体" w:cs="宋体"/>
          <w:b w:val="0"/>
          <w:bCs/>
          <w:color w:val="auto"/>
          <w:sz w:val="24"/>
          <w:highlight w:val="none"/>
        </w:rPr>
      </w:pPr>
      <w:r>
        <w:rPr>
          <w:rFonts w:ascii="宋体" w:hAnsi="宋体" w:eastAsia="宋体" w:cs="宋体"/>
          <w:b w:val="0"/>
          <w:bCs/>
          <w:color w:val="auto"/>
          <w:sz w:val="24"/>
          <w:highlight w:val="none"/>
        </w:rPr>
      </w:r>
      <w:r/>
    </w:p>
    <w:p>
      <w:pPr>
        <w:pStyle w:val="1170"/>
        <w:ind w:firstLine="480"/>
        <w:jc w:val="right"/>
        <w:spacing w:line="360" w:lineRule="auto"/>
        <w:rPr>
          <w:rFonts w:ascii="宋体" w:hAnsi="宋体" w:eastAsia="宋体" w:cs="宋体"/>
          <w:b w:val="0"/>
          <w:bCs/>
          <w:color w:val="auto"/>
          <w:sz w:val="24"/>
          <w:highlight w:val="none"/>
        </w:rPr>
      </w:pPr>
      <w:r>
        <w:rPr>
          <w:rFonts w:ascii="宋体" w:hAnsi="宋体" w:eastAsia="宋体" w:cs="宋体"/>
          <w:b w:val="0"/>
          <w:bCs/>
          <w:color w:val="auto"/>
          <w:sz w:val="24"/>
          <w:highlight w:val="none"/>
        </w:rPr>
      </w:r>
      <w:r/>
    </w:p>
    <w:p>
      <w:pPr>
        <w:pStyle w:val="1170"/>
        <w:ind w:firstLine="480"/>
        <w:jc w:val="right"/>
        <w:spacing w:line="360" w:lineRule="auto"/>
        <w:rPr>
          <w:rFonts w:ascii="宋体" w:hAnsi="宋体" w:eastAsia="宋体" w:cs="宋体"/>
          <w:b w:val="0"/>
          <w:bCs/>
          <w:color w:val="auto"/>
          <w:sz w:val="24"/>
          <w:highlight w:val="none"/>
        </w:rPr>
      </w:pPr>
      <w:r>
        <w:rPr>
          <w:rFonts w:ascii="宋体" w:hAnsi="宋体" w:eastAsia="宋体" w:cs="宋体"/>
          <w:b w:val="0"/>
          <w:bCs/>
          <w:color w:val="auto"/>
          <w:sz w:val="24"/>
          <w:highlight w:val="none"/>
        </w:rPr>
      </w:r>
      <w:r/>
    </w:p>
    <w:p>
      <w:pPr>
        <w:pStyle w:val="1170"/>
        <w:ind w:firstLine="480"/>
        <w:jc w:val="right"/>
        <w:spacing w:line="360" w:lineRule="auto"/>
        <w:rPr>
          <w:rFonts w:ascii="宋体" w:hAnsi="宋体" w:eastAsia="宋体" w:cs="宋体"/>
          <w:b w:val="0"/>
          <w:bCs/>
          <w:color w:val="auto"/>
          <w:sz w:val="24"/>
          <w:highlight w:val="none"/>
        </w:rPr>
      </w:pPr>
      <w:r>
        <w:rPr>
          <w:rFonts w:ascii="宋体" w:hAnsi="宋体" w:eastAsia="宋体" w:cs="宋体"/>
          <w:b w:val="0"/>
          <w:bCs/>
          <w:color w:val="auto"/>
          <w:sz w:val="24"/>
          <w:highlight w:val="none"/>
        </w:rPr>
      </w:r>
      <w:r/>
    </w:p>
    <w:p>
      <w:pPr>
        <w:pStyle w:val="1170"/>
        <w:ind w:firstLine="480"/>
        <w:jc w:val="right"/>
        <w:spacing w:line="360" w:lineRule="auto"/>
        <w:rPr>
          <w:rFonts w:ascii="宋体" w:hAnsi="宋体" w:eastAsia="宋体" w:cs="宋体"/>
          <w:b w:val="0"/>
          <w:bCs/>
          <w:color w:val="auto"/>
          <w:sz w:val="24"/>
          <w:highlight w:val="none"/>
        </w:rPr>
      </w:pPr>
      <w:r>
        <w:rPr>
          <w:rFonts w:ascii="宋体" w:hAnsi="宋体" w:eastAsia="宋体" w:cs="宋体"/>
          <w:b w:val="0"/>
          <w:bCs/>
          <w:color w:val="auto"/>
          <w:sz w:val="24"/>
          <w:highlight w:val="none"/>
        </w:rPr>
      </w:r>
      <w:r/>
    </w:p>
    <w:p>
      <w:pPr>
        <w:pStyle w:val="1170"/>
        <w:ind w:firstLine="480"/>
        <w:jc w:val="right"/>
        <w:spacing w:line="360" w:lineRule="auto"/>
        <w:rPr>
          <w:rFonts w:ascii="宋体" w:hAnsi="宋体" w:eastAsia="宋体" w:cs="宋体"/>
          <w:b w:val="0"/>
          <w:bCs/>
          <w:color w:val="auto"/>
          <w:sz w:val="24"/>
          <w:highlight w:val="none"/>
        </w:rPr>
      </w:pPr>
      <w:r>
        <w:rPr>
          <w:rFonts w:ascii="宋体" w:hAnsi="宋体" w:eastAsia="宋体" w:cs="宋体"/>
          <w:b w:val="0"/>
          <w:bCs/>
          <w:color w:val="auto"/>
          <w:sz w:val="24"/>
          <w:highlight w:val="none"/>
        </w:rPr>
      </w:r>
      <w:r/>
    </w:p>
    <w:p>
      <w:pPr>
        <w:pStyle w:val="1170"/>
        <w:ind w:firstLine="480"/>
        <w:jc w:val="right"/>
        <w:spacing w:line="360" w:lineRule="auto"/>
        <w:rPr>
          <w:rFonts w:ascii="宋体" w:hAnsi="宋体" w:eastAsia="宋体" w:cs="宋体"/>
          <w:b w:val="0"/>
          <w:bCs/>
          <w:color w:val="auto"/>
          <w:sz w:val="24"/>
          <w:highlight w:val="none"/>
        </w:rPr>
      </w:pPr>
      <w:r>
        <w:rPr>
          <w:rFonts w:ascii="宋体" w:hAnsi="宋体" w:eastAsia="宋体" w:cs="宋体"/>
          <w:b w:val="0"/>
          <w:bCs/>
          <w:color w:val="auto"/>
          <w:sz w:val="24"/>
          <w:highlight w:val="none"/>
        </w:rPr>
      </w:r>
      <w:r/>
    </w:p>
    <w:p>
      <w:pPr>
        <w:pStyle w:val="1170"/>
        <w:jc w:val="both"/>
        <w:spacing w:line="360" w:lineRule="auto"/>
        <w:rPr>
          <w:rFonts w:ascii="宋体" w:hAnsi="宋体" w:eastAsia="宋体" w:cs="宋体"/>
          <w:b w:val="0"/>
          <w:bCs/>
          <w:color w:val="auto"/>
          <w:sz w:val="24"/>
          <w:highlight w:val="none"/>
        </w:rPr>
      </w:pPr>
      <w:r>
        <w:rPr>
          <w:rFonts w:ascii="宋体" w:hAnsi="宋体" w:eastAsia="宋体" w:cs="宋体"/>
          <w:b w:val="0"/>
          <w:bCs/>
          <w:color w:val="auto"/>
          <w:sz w:val="24"/>
          <w:highlight w:val="none"/>
        </w:rPr>
      </w:r>
      <w:r/>
    </w:p>
    <w:p>
      <w:pPr>
        <w:pStyle w:val="1126"/>
        <w:rPr>
          <w:color w:val="auto"/>
          <w:highlight w:val="none"/>
        </w:rPr>
        <w:outlineLvl w:val="1"/>
      </w:pPr>
      <w:r/>
      <w:bookmarkStart w:id="213" w:name="_Toc164203469"/>
      <w:r/>
      <w:bookmarkStart w:id="214" w:name="_Toc28775"/>
      <w:r/>
      <w:bookmarkStart w:id="215" w:name="_Toc20806"/>
      <w:r/>
      <w:bookmarkStart w:id="216" w:name="_Toc26700"/>
      <w:r>
        <w:rPr>
          <w:rFonts w:hint="eastAsia"/>
          <w:color w:val="auto"/>
          <w:highlight w:val="none"/>
        </w:rPr>
        <w:t xml:space="preserve">十一</w:t>
      </w:r>
      <w:r>
        <w:rPr>
          <w:color w:val="auto"/>
          <w:highlight w:val="none"/>
        </w:rPr>
        <w:t xml:space="preserve">、投标函</w:t>
      </w:r>
      <w:bookmarkEnd w:id="209"/>
      <w:r/>
      <w:bookmarkEnd w:id="212"/>
      <w:r/>
      <w:bookmarkEnd w:id="213"/>
      <w:r/>
      <w:bookmarkEnd w:id="214"/>
      <w:r/>
      <w:bookmarkEnd w:id="215"/>
      <w:r/>
      <w:bookmarkEnd w:id="216"/>
      <w:r/>
      <w:r/>
    </w:p>
    <w:p>
      <w:pPr>
        <w:pStyle w:val="1205"/>
        <w:spacing w:line="580" w:lineRule="exact"/>
        <w:tabs>
          <w:tab w:val="left" w:pos="1498" w:leader="none"/>
        </w:tabs>
        <w:rPr>
          <w:rFonts w:ascii="仿宋_GB2312" w:eastAsia="仿宋_GB2312"/>
          <w:color w:val="auto"/>
          <w:sz w:val="24"/>
          <w:szCs w:val="22"/>
          <w:highlight w:val="none"/>
        </w:rPr>
      </w:pPr>
      <w:r/>
      <w:bookmarkStart w:id="217" w:name="_Toc19604"/>
      <w:r/>
      <w:bookmarkStart w:id="218" w:name="_Toc22395"/>
      <w:r>
        <w:rPr>
          <w:rFonts w:hint="eastAsia"/>
          <w:color w:val="auto"/>
          <w:sz w:val="24"/>
          <w:highlight w:val="none"/>
          <w:u w:val="single"/>
        </w:rPr>
        <w:t xml:space="preserve">                      </w:t>
      </w:r>
      <w:r>
        <w:rPr>
          <w:rFonts w:hint="eastAsia" w:ascii="仿宋_GB2312" w:eastAsia="仿宋_GB2312"/>
          <w:color w:val="auto"/>
          <w:sz w:val="24"/>
          <w:highlight w:val="none"/>
        </w:rPr>
        <w:t xml:space="preserve">：</w:t>
      </w:r>
      <w:r/>
    </w:p>
    <w:p>
      <w:pPr>
        <w:pStyle w:val="1205"/>
        <w:ind w:firstLine="480"/>
        <w:spacing w:line="360" w:lineRule="exact"/>
        <w:tabs>
          <w:tab w:val="left" w:pos="1498" w:leader="none"/>
        </w:tabs>
        <w:rPr>
          <w:rFonts w:ascii="仿宋_GB2312" w:eastAsia="仿宋_GB2312"/>
          <w:color w:val="auto"/>
          <w:sz w:val="24"/>
          <w:highlight w:val="none"/>
        </w:rPr>
      </w:pPr>
      <w:r>
        <w:rPr>
          <w:rFonts w:hint="eastAsia"/>
          <w:color w:val="auto"/>
          <w:sz w:val="24"/>
          <w:highlight w:val="none"/>
        </w:rPr>
        <w:t xml:space="preserve"> </w:t>
      </w:r>
      <w:r>
        <w:rPr>
          <w:rFonts w:hint="eastAsia" w:ascii="仿宋_GB2312" w:eastAsia="仿宋_GB2312"/>
          <w:color w:val="auto"/>
          <w:sz w:val="24"/>
          <w:highlight w:val="none"/>
        </w:rPr>
        <w:t xml:space="preserve">经研究，我们决定参加项目编号为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,项目名称为：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，包号（如有）为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的招标活动并投标，为此，我方郑重声明以下诸点，并负法律责任。</w:t>
      </w:r>
      <w:r/>
    </w:p>
    <w:p>
      <w:pPr>
        <w:pStyle w:val="1205"/>
        <w:numPr>
          <w:ilvl w:val="0"/>
          <w:numId w:val="13"/>
        </w:numPr>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经研究招标文件的全部内容后，我方愿按招标文件的规定要求提供所有货物和服务；</w:t>
      </w:r>
      <w:r/>
    </w:p>
    <w:p>
      <w:pPr>
        <w:pStyle w:val="1205"/>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二、</w:t>
      </w:r>
      <w:r>
        <w:rPr>
          <w:rFonts w:hint="eastAsia" w:ascii="仿宋_GB2312" w:eastAsia="仿宋_GB2312"/>
          <w:b/>
          <w:bCs/>
          <w:color w:val="auto"/>
          <w:sz w:val="24"/>
          <w:highlight w:val="none"/>
        </w:rPr>
        <w:t xml:space="preserve">我方没有为本采购项目提供整体设计、规范编制，以及项目管理、监理、检测等服务。 </w:t>
      </w:r>
      <w:r/>
    </w:p>
    <w:p>
      <w:pPr>
        <w:pStyle w:val="1205"/>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三、我方与参与本次采购活动的其他投标人的法定代表人或委托代理人</w:t>
      </w:r>
      <w:r>
        <w:rPr>
          <w:rFonts w:hint="eastAsia" w:ascii="仿宋_GB2312" w:eastAsia="仿宋_GB2312"/>
          <w:b/>
          <w:bCs/>
          <w:color w:val="auto"/>
          <w:sz w:val="24"/>
          <w:highlight w:val="none"/>
        </w:rPr>
        <w:t xml:space="preserve">无夫妻、直系血亲关系； </w:t>
      </w:r>
      <w:r/>
    </w:p>
    <w:p>
      <w:pPr>
        <w:pStyle w:val="1205"/>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四、我方与参与本次采购活动的其他投标人的负责人</w:t>
      </w:r>
      <w:r>
        <w:rPr>
          <w:rFonts w:hint="eastAsia" w:ascii="仿宋_GB2312" w:eastAsia="仿宋_GB2312"/>
          <w:b/>
          <w:bCs/>
          <w:color w:val="auto"/>
          <w:sz w:val="24"/>
          <w:highlight w:val="none"/>
        </w:rPr>
        <w:t xml:space="preserve">不是同一人，也不存在直接控股、管理关系。 </w:t>
      </w:r>
      <w:r/>
    </w:p>
    <w:p>
      <w:pPr>
        <w:pStyle w:val="1205"/>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五、我们理解，最低报价不是中标的唯一条件，你们有选择中标人的权利；</w:t>
      </w:r>
      <w:r/>
    </w:p>
    <w:p>
      <w:pPr>
        <w:pStyle w:val="1205"/>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p>
    <w:p>
      <w:pPr>
        <w:pStyle w:val="1205"/>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七、一旦我方中标，我方将根据招标文件的规定，严格按照《中华人民共和国民法典》履行自己的责任和义务，并保证于我方承诺的期限内完成项目规定的所有内容。</w:t>
      </w:r>
      <w:r/>
    </w:p>
    <w:p>
      <w:pPr>
        <w:pStyle w:val="1236"/>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八、我方同意遵守贵方有关招标投标的各项规定；</w:t>
      </w:r>
      <w:r/>
    </w:p>
    <w:p>
      <w:pPr>
        <w:pStyle w:val="1236"/>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九、我方响应招标文件规定的投标有效期。</w:t>
      </w:r>
      <w:r/>
    </w:p>
    <w:p>
      <w:pPr>
        <w:pStyle w:val="1236"/>
        <w:ind w:firstLine="482"/>
        <w:spacing w:line="360" w:lineRule="exact"/>
        <w:tabs>
          <w:tab w:val="left" w:pos="1498" w:leader="none"/>
        </w:tabs>
        <w:rPr>
          <w:rFonts w:ascii="仿宋_GB2312" w:eastAsia="仿宋_GB2312"/>
          <w:b/>
          <w:bCs/>
          <w:color w:val="auto"/>
          <w:sz w:val="24"/>
          <w:highlight w:val="none"/>
        </w:rPr>
      </w:pPr>
      <w:r>
        <w:rPr>
          <w:rFonts w:hint="eastAsia" w:ascii="仿宋_GB2312" w:eastAsia="仿宋_GB2312"/>
          <w:b/>
          <w:bCs/>
          <w:color w:val="auto"/>
          <w:sz w:val="24"/>
          <w:highlight w:val="none"/>
        </w:rPr>
        <w:t xml:space="preserve">十、我司承诺若获得中标资格，我司保证在领取中标通知书前按照招标文件约定的标准，向采购代理机构一次性缴纳中标服务费。</w:t>
      </w:r>
      <w:r/>
    </w:p>
    <w:p>
      <w:pPr>
        <w:pStyle w:val="1236"/>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十一、我方决不提供虚假材料谋取中标、决不采取不正当手段诋毁、排挤其他投标人、决不与采购人、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236"/>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十二、与本投标有关的正式联系方式为： </w:t>
      </w:r>
      <w:r/>
    </w:p>
    <w:p>
      <w:pPr>
        <w:pStyle w:val="1236"/>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联系人：</w:t>
      </w:r>
      <w:r>
        <w:rPr>
          <w:rFonts w:hint="eastAsia" w:ascii="仿宋_GB2312" w:eastAsia="仿宋_GB2312"/>
          <w:color w:val="auto"/>
          <w:sz w:val="24"/>
          <w:highlight w:val="none"/>
          <w:u w:val="single"/>
        </w:rPr>
        <w:t xml:space="preserve">               </w:t>
      </w:r>
      <w:r/>
    </w:p>
    <w:p>
      <w:pPr>
        <w:pStyle w:val="1236"/>
        <w:ind w:firstLine="480"/>
        <w:spacing w:line="360" w:lineRule="exact"/>
        <w:tabs>
          <w:tab w:val="left" w:pos="1498" w:leader="none"/>
        </w:tabs>
        <w:rPr>
          <w:rFonts w:ascii="仿宋_GB2312" w:eastAsia="仿宋_GB2312"/>
          <w:color w:val="auto"/>
          <w:sz w:val="24"/>
          <w:highlight w:val="none"/>
          <w:u w:val="single"/>
        </w:rPr>
      </w:pPr>
      <w:r>
        <w:rPr>
          <w:rFonts w:hint="eastAsia" w:ascii="仿宋_GB2312" w:eastAsia="仿宋_GB2312"/>
          <w:color w:val="auto"/>
          <w:sz w:val="24"/>
          <w:highlight w:val="none"/>
        </w:rPr>
        <w:t xml:space="preserve">地址：</w:t>
      </w:r>
      <w:r>
        <w:rPr>
          <w:rFonts w:hint="eastAsia" w:ascii="仿宋_GB2312" w:eastAsia="仿宋_GB2312"/>
          <w:color w:val="auto"/>
          <w:sz w:val="24"/>
          <w:highlight w:val="none"/>
          <w:u w:val="single"/>
        </w:rPr>
        <w:t xml:space="preserve">                 </w:t>
      </w:r>
      <w:r/>
    </w:p>
    <w:p>
      <w:pPr>
        <w:pStyle w:val="1236"/>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电话：</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36"/>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十三、我方正式开户银行和帐号为： </w:t>
      </w:r>
      <w:r/>
    </w:p>
    <w:p>
      <w:pPr>
        <w:pStyle w:val="1236"/>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开户银行：</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36"/>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银行账号：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36"/>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投标人名称：</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 </w:t>
      </w:r>
      <w:r/>
    </w:p>
    <w:p>
      <w:pPr>
        <w:pStyle w:val="1236"/>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日 期： 年 月 日</w:t>
      </w:r>
      <w:r/>
    </w:p>
    <w:p>
      <w:pPr>
        <w:pStyle w:val="1126"/>
        <w:rPr>
          <w:color w:val="auto"/>
          <w:highlight w:val="none"/>
        </w:rPr>
        <w:outlineLvl w:val="1"/>
      </w:pPr>
      <w:r>
        <w:rPr>
          <w:rFonts w:hint="eastAsia" w:ascii="仿宋_GB2312" w:hAnsi="Times New Roman" w:eastAsia="仿宋_GB2312"/>
          <w:color w:val="auto"/>
          <w:sz w:val="24"/>
          <w:highlight w:val="none"/>
        </w:rPr>
        <w:br w:type="page" w:clear="all"/>
      </w:r>
      <w:bookmarkStart w:id="219" w:name="_Toc164203470"/>
      <w:r/>
      <w:bookmarkStart w:id="220" w:name="_Toc10914"/>
      <w:r/>
      <w:bookmarkStart w:id="221" w:name="_Toc12153"/>
      <w:r/>
      <w:bookmarkStart w:id="222" w:name="_Toc14010"/>
      <w:r>
        <w:rPr>
          <w:rFonts w:hint="eastAsia"/>
          <w:color w:val="auto"/>
          <w:highlight w:val="none"/>
        </w:rPr>
        <w:t xml:space="preserve">十二、法定代表人身份证明或授权委托书</w:t>
      </w:r>
      <w:bookmarkEnd w:id="217"/>
      <w:r/>
      <w:bookmarkEnd w:id="218"/>
      <w:r/>
      <w:bookmarkEnd w:id="219"/>
      <w:r/>
      <w:bookmarkEnd w:id="220"/>
      <w:r/>
      <w:bookmarkEnd w:id="221"/>
      <w:r/>
      <w:bookmarkEnd w:id="222"/>
      <w:r/>
      <w:r/>
    </w:p>
    <w:p>
      <w:pPr>
        <w:pStyle w:val="1367"/>
        <w:jc w:val="center"/>
        <w:spacing w:line="560" w:lineRule="exact"/>
        <w:rPr>
          <w:rFonts w:ascii="宋体"/>
          <w:b/>
          <w:bCs/>
          <w:color w:val="auto"/>
          <w:sz w:val="32"/>
          <w:szCs w:val="32"/>
          <w:highlight w:val="none"/>
        </w:rPr>
      </w:pPr>
      <w:r>
        <w:rPr>
          <w:rFonts w:ascii="宋体"/>
          <w:b/>
          <w:bCs/>
          <w:color w:val="auto"/>
          <w:sz w:val="32"/>
          <w:szCs w:val="32"/>
          <w:highlight w:val="none"/>
        </w:rPr>
        <w:t xml:space="preserve">法定代表人身份证明</w:t>
      </w:r>
      <w:r/>
    </w:p>
    <w:p>
      <w:pPr>
        <w:pStyle w:val="1270"/>
        <w:spacing w:line="480" w:lineRule="exact"/>
        <w:rPr>
          <w:rFonts w:eastAsia="仿宋_GB2312"/>
          <w:color w:val="auto"/>
          <w:sz w:val="24"/>
          <w:highlight w:val="none"/>
        </w:rPr>
      </w:pPr>
      <w:r>
        <w:rPr>
          <w:rFonts w:eastAsia="仿宋_GB2312"/>
          <w:color w:val="auto"/>
          <w:sz w:val="24"/>
          <w:highlight w:val="none"/>
        </w:rPr>
      </w:r>
      <w:r/>
    </w:p>
    <w:p>
      <w:pPr>
        <w:pStyle w:val="1270"/>
        <w:spacing w:line="480" w:lineRule="exact"/>
        <w:rPr>
          <w:rFonts w:eastAsia="仿宋_GB2312"/>
          <w:color w:val="auto"/>
          <w:sz w:val="24"/>
          <w:highlight w:val="none"/>
        </w:rPr>
      </w:pPr>
      <w:r>
        <w:rPr>
          <w:rFonts w:hint="eastAsia" w:eastAsia="仿宋_GB2312"/>
          <w:color w:val="auto"/>
          <w:sz w:val="24"/>
          <w:highlight w:val="none"/>
        </w:rPr>
        <w:t xml:space="preserve">供应商</w:t>
      </w:r>
      <w:r>
        <w:rPr>
          <w:rFonts w:eastAsia="仿宋_GB2312"/>
          <w:color w:val="auto"/>
          <w:sz w:val="24"/>
          <w:highlight w:val="none"/>
        </w:rPr>
        <w:t xml:space="preserve">名称：</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1270"/>
        <w:spacing w:line="480" w:lineRule="exact"/>
        <w:rPr>
          <w:rFonts w:eastAsia="仿宋_GB2312"/>
          <w:color w:val="auto"/>
          <w:sz w:val="24"/>
          <w:highlight w:val="none"/>
        </w:rPr>
      </w:pPr>
      <w:r>
        <w:rPr>
          <w:rFonts w:eastAsia="仿宋_GB2312"/>
          <w:color w:val="auto"/>
          <w:sz w:val="24"/>
          <w:highlight w:val="none"/>
        </w:rPr>
        <w:t xml:space="preserve">单位性质：</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1270"/>
        <w:spacing w:line="480" w:lineRule="exact"/>
        <w:rPr>
          <w:rFonts w:eastAsia="仿宋_GB2312"/>
          <w:color w:val="auto"/>
          <w:sz w:val="24"/>
          <w:highlight w:val="none"/>
        </w:rPr>
      </w:pPr>
      <w:r>
        <w:rPr>
          <w:rFonts w:eastAsia="仿宋_GB2312"/>
          <w:color w:val="auto"/>
          <w:sz w:val="24"/>
          <w:highlight w:val="none"/>
        </w:rPr>
        <w:t xml:space="preserve">地址：</w:t>
      </w:r>
      <w:r>
        <w:rPr>
          <w:rFonts w:eastAsia="仿宋_GB2312"/>
          <w:color w:val="auto"/>
          <w:sz w:val="24"/>
          <w:highlight w:val="none"/>
          <w:u w:val="single"/>
        </w:rPr>
        <w:t xml:space="preserve">                                   </w:t>
      </w:r>
      <w:r/>
    </w:p>
    <w:p>
      <w:pPr>
        <w:pStyle w:val="1270"/>
        <w:spacing w:line="480" w:lineRule="exact"/>
        <w:rPr>
          <w:rFonts w:eastAsia="仿宋_GB2312"/>
          <w:color w:val="auto"/>
          <w:sz w:val="24"/>
          <w:highlight w:val="none"/>
        </w:rPr>
      </w:pPr>
      <w:r>
        <w:rPr>
          <w:rFonts w:eastAsia="仿宋_GB2312"/>
          <w:color w:val="auto"/>
          <w:sz w:val="24"/>
          <w:highlight w:val="none"/>
        </w:rPr>
        <w:t xml:space="preserve">成立时间：</w:t>
      </w:r>
      <w:r>
        <w:rPr>
          <w:rFonts w:eastAsia="仿宋_GB2312"/>
          <w:color w:val="auto"/>
          <w:sz w:val="24"/>
          <w:highlight w:val="none"/>
          <w:u w:val="single"/>
        </w:rPr>
        <w:t xml:space="preserve">         </w:t>
      </w:r>
      <w:r>
        <w:rPr>
          <w:rFonts w:eastAsia="仿宋_GB2312"/>
          <w:color w:val="auto"/>
          <w:sz w:val="24"/>
          <w:highlight w:val="none"/>
        </w:rPr>
        <w:t xml:space="preserve"> 年</w:t>
      </w:r>
      <w:r>
        <w:rPr>
          <w:rFonts w:eastAsia="仿宋_GB2312"/>
          <w:color w:val="auto"/>
          <w:sz w:val="24"/>
          <w:highlight w:val="none"/>
          <w:u w:val="single"/>
        </w:rPr>
        <w:t xml:space="preserve">       </w:t>
      </w:r>
      <w:r>
        <w:rPr>
          <w:rFonts w:eastAsia="仿宋_GB2312"/>
          <w:color w:val="auto"/>
          <w:sz w:val="24"/>
          <w:highlight w:val="none"/>
        </w:rPr>
        <w:t xml:space="preserve"> 月</w:t>
      </w:r>
      <w:r>
        <w:rPr>
          <w:rFonts w:eastAsia="仿宋_GB2312"/>
          <w:color w:val="auto"/>
          <w:sz w:val="24"/>
          <w:highlight w:val="none"/>
          <w:u w:val="single"/>
        </w:rPr>
        <w:t xml:space="preserve">       </w:t>
      </w:r>
      <w:r>
        <w:rPr>
          <w:rFonts w:eastAsia="仿宋_GB2312"/>
          <w:color w:val="auto"/>
          <w:sz w:val="24"/>
          <w:highlight w:val="none"/>
        </w:rPr>
        <w:t xml:space="preserve"> 日</w:t>
      </w:r>
      <w:r/>
    </w:p>
    <w:p>
      <w:pPr>
        <w:pStyle w:val="1270"/>
        <w:spacing w:line="480" w:lineRule="exact"/>
        <w:rPr>
          <w:rFonts w:eastAsia="仿宋_GB2312"/>
          <w:color w:val="auto"/>
          <w:sz w:val="24"/>
          <w:highlight w:val="none"/>
        </w:rPr>
      </w:pPr>
      <w:r>
        <w:rPr>
          <w:rFonts w:eastAsia="仿宋_GB2312"/>
          <w:color w:val="auto"/>
          <w:sz w:val="24"/>
          <w:highlight w:val="none"/>
        </w:rPr>
        <w:t xml:space="preserve">经营期限：</w:t>
      </w:r>
      <w:r>
        <w:rPr>
          <w:rFonts w:eastAsia="仿宋_GB2312"/>
          <w:color w:val="auto"/>
          <w:sz w:val="24"/>
          <w:highlight w:val="none"/>
          <w:u w:val="single"/>
        </w:rPr>
        <w:t xml:space="preserve">                               </w:t>
      </w:r>
      <w:r/>
    </w:p>
    <w:p>
      <w:pPr>
        <w:pStyle w:val="1270"/>
        <w:spacing w:line="480" w:lineRule="exact"/>
        <w:rPr>
          <w:rFonts w:eastAsia="仿宋_GB2312"/>
          <w:color w:val="auto"/>
          <w:sz w:val="24"/>
          <w:highlight w:val="none"/>
        </w:rPr>
      </w:pPr>
      <w:r>
        <w:rPr>
          <w:rFonts w:eastAsia="仿宋_GB2312"/>
          <w:color w:val="auto"/>
          <w:sz w:val="24"/>
          <w:highlight w:val="none"/>
        </w:rPr>
        <w:t xml:space="preserve">姓名：</w:t>
      </w:r>
      <w:r>
        <w:rPr>
          <w:rFonts w:eastAsia="仿宋_GB2312"/>
          <w:color w:val="auto"/>
          <w:sz w:val="24"/>
          <w:highlight w:val="none"/>
          <w:u w:val="single"/>
        </w:rPr>
        <w:t xml:space="preserve">        </w:t>
      </w:r>
      <w:r>
        <w:rPr>
          <w:rFonts w:eastAsia="仿宋_GB2312"/>
          <w:color w:val="auto"/>
          <w:sz w:val="24"/>
          <w:highlight w:val="none"/>
        </w:rPr>
        <w:t xml:space="preserve"> 性别：</w:t>
      </w:r>
      <w:r>
        <w:rPr>
          <w:rFonts w:eastAsia="仿宋_GB2312"/>
          <w:color w:val="auto"/>
          <w:sz w:val="24"/>
          <w:highlight w:val="none"/>
          <w:u w:val="single"/>
        </w:rPr>
        <w:t xml:space="preserve">         </w:t>
      </w:r>
      <w:r>
        <w:rPr>
          <w:rFonts w:eastAsia="仿宋_GB2312"/>
          <w:color w:val="auto"/>
          <w:sz w:val="24"/>
          <w:highlight w:val="none"/>
        </w:rPr>
        <w:t xml:space="preserve"> 年龄：</w:t>
      </w:r>
      <w:r>
        <w:rPr>
          <w:rFonts w:eastAsia="仿宋_GB2312"/>
          <w:color w:val="auto"/>
          <w:sz w:val="24"/>
          <w:highlight w:val="none"/>
          <w:u w:val="single"/>
        </w:rPr>
        <w:t xml:space="preserve">        </w:t>
      </w:r>
      <w:r>
        <w:rPr>
          <w:rFonts w:eastAsia="仿宋_GB2312"/>
          <w:color w:val="auto"/>
          <w:sz w:val="24"/>
          <w:highlight w:val="none"/>
        </w:rPr>
        <w:t xml:space="preserve">职务：</w:t>
      </w:r>
      <w:r>
        <w:rPr>
          <w:rFonts w:eastAsia="仿宋_GB2312"/>
          <w:color w:val="auto"/>
          <w:sz w:val="24"/>
          <w:highlight w:val="none"/>
          <w:u w:val="single"/>
        </w:rPr>
        <w:t xml:space="preserve">        </w:t>
      </w:r>
      <w:r>
        <w:rPr>
          <w:rFonts w:eastAsia="仿宋_GB2312"/>
          <w:color w:val="auto"/>
          <w:sz w:val="24"/>
          <w:highlight w:val="none"/>
        </w:rPr>
        <w:t xml:space="preserve">系</w:t>
      </w:r>
      <w:r/>
    </w:p>
    <w:p>
      <w:pPr>
        <w:pStyle w:val="1270"/>
        <w:spacing w:line="480" w:lineRule="exact"/>
        <w:rPr>
          <w:rFonts w:eastAsia="仿宋_GB2312"/>
          <w:color w:val="auto"/>
          <w:sz w:val="24"/>
          <w:highlight w:val="none"/>
        </w:rPr>
      </w:pPr>
      <w:r>
        <w:rPr>
          <w:rFonts w:eastAsia="仿宋_GB2312"/>
          <w:color w:val="auto"/>
          <w:sz w:val="24"/>
          <w:highlight w:val="none"/>
          <w:u w:val="single"/>
        </w:rPr>
        <w:t xml:space="preserve">                             </w:t>
      </w:r>
      <w:r>
        <w:rPr>
          <w:rFonts w:eastAsia="仿宋_GB2312"/>
          <w:color w:val="auto"/>
          <w:sz w:val="24"/>
          <w:highlight w:val="none"/>
        </w:rPr>
        <w:t xml:space="preserve"> （投标人名称）的法定代表人。</w:t>
      </w:r>
      <w:r/>
    </w:p>
    <w:p>
      <w:pPr>
        <w:pStyle w:val="1270"/>
        <w:ind w:firstLine="480"/>
        <w:spacing w:line="480" w:lineRule="exact"/>
        <w:rPr>
          <w:rFonts w:eastAsia="仿宋_GB2312"/>
          <w:color w:val="auto"/>
          <w:sz w:val="24"/>
          <w:highlight w:val="none"/>
        </w:rPr>
      </w:pPr>
      <w:r>
        <w:rPr>
          <w:rFonts w:eastAsia="仿宋_GB2312"/>
          <w:color w:val="auto"/>
          <w:sz w:val="24"/>
          <w:highlight w:val="none"/>
        </w:rPr>
        <w:t xml:space="preserve">特此证明。</w:t>
      </w:r>
      <w:r/>
    </w:p>
    <w:p>
      <w:pPr>
        <w:pStyle w:val="1398"/>
        <w:spacing w:line="600" w:lineRule="exact"/>
        <w:rPr>
          <w:rFonts w:eastAsia="仿宋_GB2312"/>
          <w:color w:val="auto"/>
          <w:sz w:val="24"/>
          <w:highlight w:val="none"/>
        </w:rPr>
      </w:pPr>
      <w:r>
        <w:rPr>
          <w:rFonts w:hint="eastAsia" w:ascii="仿宋_GB2312" w:eastAsia="仿宋_GB2312"/>
          <w:b/>
          <w:color w:val="auto"/>
          <w:sz w:val="24"/>
          <w:highlight w:val="none"/>
        </w:rPr>
        <w:t xml:space="preserve">（法定代表人出席开标会议的提供，未出席的可不提供。附法定代表人身份证、扫描件。）</w:t>
      </w:r>
      <w:r>
        <w:rPr>
          <w:rFonts w:eastAsia="仿宋_GB2312"/>
          <w:color w:val="auto"/>
          <w:sz w:val="24"/>
          <w:highlight w:val="none"/>
        </w:rPr>
        <w:t xml:space="preserve">               </w:t>
      </w:r>
      <w:r/>
    </w:p>
    <w:p>
      <w:pPr>
        <w:pStyle w:val="1270"/>
        <w:jc w:val="right"/>
        <w:spacing w:line="480" w:lineRule="exact"/>
        <w:rPr>
          <w:rFonts w:eastAsia="仿宋_GB2312"/>
          <w:color w:val="auto"/>
          <w:sz w:val="24"/>
          <w:highlight w:val="none"/>
        </w:rPr>
      </w:pPr>
      <w:r>
        <w:rPr>
          <w:rFonts w:eastAsia="仿宋_GB2312"/>
          <w:color w:val="auto"/>
          <w:sz w:val="24"/>
          <w:highlight w:val="none"/>
        </w:rPr>
      </w:r>
      <w:r/>
    </w:p>
    <w:p>
      <w:pPr>
        <w:pStyle w:val="1270"/>
        <w:jc w:val="right"/>
        <w:spacing w:line="480" w:lineRule="exact"/>
        <w:rPr>
          <w:rFonts w:eastAsia="仿宋_GB2312"/>
          <w:color w:val="auto"/>
          <w:sz w:val="24"/>
          <w:highlight w:val="none"/>
        </w:rPr>
      </w:pPr>
      <w:r>
        <w:rPr>
          <w:rFonts w:eastAsia="仿宋_GB2312"/>
          <w:color w:val="auto"/>
          <w:sz w:val="24"/>
          <w:highlight w:val="none"/>
        </w:rPr>
      </w:r>
      <w:r/>
    </w:p>
    <w:p>
      <w:pPr>
        <w:pStyle w:val="1398"/>
        <w:ind w:firstLine="445"/>
        <w:jc w:val="right"/>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w:t>
      </w:r>
      <w:r/>
    </w:p>
    <w:p>
      <w:pPr>
        <w:pStyle w:val="1367"/>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rPr>
          <w:rFonts w:hint="eastAsia" w:ascii="仿宋_GB2312" w:eastAsia="仿宋_GB2312"/>
          <w:color w:val="auto"/>
          <w:sz w:val="24"/>
          <w:szCs w:val="22"/>
          <w:highlight w:val="none"/>
        </w:rPr>
        <w:t xml:space="preserve">签字或盖法定代表人章</w:t>
      </w:r>
      <w:r>
        <w:rPr>
          <w:rFonts w:hint="eastAsia" w:ascii="仿宋_GB2312" w:eastAsia="仿宋_GB2312"/>
          <w:color w:val="auto"/>
          <w:sz w:val="24"/>
          <w:highlight w:val="none"/>
        </w:rPr>
        <w:t xml:space="preserve">）</w:t>
      </w:r>
      <w:r/>
    </w:p>
    <w:p>
      <w:pPr>
        <w:pStyle w:val="1289"/>
        <w:ind w:firstLine="989"/>
        <w:jc w:val="right"/>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367"/>
        <w:jc w:val="center"/>
        <w:spacing w:line="560" w:lineRule="exact"/>
        <w:rPr>
          <w:rFonts w:ascii="宋体"/>
          <w:b/>
          <w:bCs/>
          <w:color w:val="auto"/>
          <w:sz w:val="32"/>
          <w:szCs w:val="32"/>
          <w:highlight w:val="none"/>
        </w:rPr>
      </w:pPr>
      <w:r>
        <w:rPr>
          <w:rFonts w:ascii="仿宋_GB2312" w:eastAsia="仿宋_GB2312"/>
          <w:color w:val="auto"/>
          <w:sz w:val="24"/>
          <w:highlight w:val="none"/>
        </w:rPr>
        <w:br w:type="page" w:clear="all"/>
      </w:r>
      <w:r>
        <w:rPr>
          <w:rFonts w:hint="eastAsia" w:ascii="宋体"/>
          <w:b/>
          <w:bCs/>
          <w:color w:val="auto"/>
          <w:sz w:val="32"/>
          <w:szCs w:val="32"/>
          <w:highlight w:val="none"/>
        </w:rPr>
        <w:t xml:space="preserve">法定代表人授权委托书</w:t>
      </w:r>
      <w:r/>
    </w:p>
    <w:p>
      <w:pPr>
        <w:pStyle w:val="1367"/>
        <w:spacing w:line="600" w:lineRule="exact"/>
        <w:rPr>
          <w:rFonts w:ascii="方正大标宋简体" w:eastAsia="方正大标宋简体"/>
          <w:color w:val="auto"/>
          <w:sz w:val="32"/>
          <w:highlight w:val="none"/>
        </w:rPr>
      </w:pPr>
      <w:r>
        <w:rPr>
          <w:rFonts w:ascii="方正大标宋简体" w:eastAsia="方正大标宋简体"/>
          <w:color w:val="auto"/>
          <w:sz w:val="32"/>
          <w:highlight w:val="none"/>
        </w:rPr>
      </w:r>
      <w:r/>
    </w:p>
    <w:p>
      <w:pPr>
        <w:spacing w:line="500" w:lineRule="exact"/>
        <w:rPr>
          <w:rFonts w:ascii="仿宋" w:hAnsi="仿宋" w:eastAsia="仿宋" w:cs="仿宋"/>
          <w:color w:val="auto"/>
          <w:sz w:val="24"/>
          <w:szCs w:val="24"/>
          <w:highlight w:val="none"/>
        </w:rPr>
      </w:pPr>
      <w:r/>
      <w:bookmarkStart w:id="223" w:name="_Toc24999"/>
      <w:r/>
      <w:bookmarkStart w:id="224" w:name="_Toc164203471"/>
      <w:r/>
      <w:bookmarkStart w:id="225" w:name="_Toc12853"/>
      <w:r/>
      <w:bookmarkStart w:id="226" w:name="_Toc5779"/>
      <w:r/>
      <w:bookmarkStart w:id="227" w:name="_Toc18616"/>
      <w:r/>
      <w:bookmarkStart w:id="228" w:name="_Toc6146"/>
      <w:r>
        <w:rPr>
          <w:rFonts w:hint="eastAsia" w:ascii="仿宋" w:hAnsi="仿宋" w:eastAsia="仿宋" w:cs="仿宋"/>
          <w:color w:val="auto"/>
          <w:sz w:val="24"/>
          <w:szCs w:val="24"/>
          <w:highlight w:val="none"/>
        </w:rPr>
        <w:t xml:space="preserve">  本授权委托书声明：我</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（姓名）系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（单位名称）的法定代表人，现授权本单位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（投标人代表）为我的合法代理人，以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（投标单位名称）的名义参加</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（采购人名称）的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（项目名称）的投标。代理人签署的一切文件和处理与之有关的一切事务，我均予以承认。本授权书的有效期自投标开始至合同履行完毕止。</w:t>
      </w:r>
      <w:r/>
    </w:p>
    <w:p>
      <w:pPr>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代理人无权转委托，特此委托。</w:t>
      </w:r>
      <w:r/>
    </w:p>
    <w:p>
      <w:pPr>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left"/>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398"/>
        <w:ind w:firstLine="445"/>
        <w:jc w:val="center"/>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                         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w:t>
      </w:r>
      <w:r/>
    </w:p>
    <w:p>
      <w:pPr>
        <w:jc w:val="center"/>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367"/>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rPr>
        <w:t xml:space="preserve">      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rPr>
          <w:rFonts w:hint="eastAsia" w:ascii="仿宋_GB2312" w:eastAsia="仿宋_GB2312"/>
          <w:color w:val="auto"/>
          <w:sz w:val="24"/>
          <w:szCs w:val="22"/>
          <w:highlight w:val="none"/>
        </w:rPr>
        <w:t xml:space="preserve">签字或盖法定代表人章</w:t>
      </w:r>
      <w:r>
        <w:rPr>
          <w:rFonts w:hint="eastAsia" w:ascii="仿宋_GB2312" w:eastAsia="仿宋_GB2312"/>
          <w:color w:val="auto"/>
          <w:sz w:val="24"/>
          <w:highlight w:val="none"/>
        </w:rPr>
        <w:t xml:space="preserve">）</w:t>
      </w:r>
      <w:r/>
    </w:p>
    <w:p>
      <w:pPr>
        <w:jc w:val="right"/>
        <w:spacing w:line="500" w:lineRule="exact"/>
        <w:rPr>
          <w:rFonts w:ascii="仿宋" w:hAnsi="仿宋" w:eastAsia="仿宋" w:cs="仿宋"/>
          <w:color w:val="auto"/>
          <w:sz w:val="24"/>
          <w:szCs w:val="24"/>
          <w:highlight w:val="none"/>
          <w:u w:val="single"/>
        </w:rPr>
      </w:pPr>
      <w:r>
        <w:rPr>
          <w:rFonts w:ascii="仿宋" w:hAnsi="仿宋" w:eastAsia="仿宋" w:cs="仿宋"/>
          <w:color w:val="auto"/>
          <w:sz w:val="24"/>
          <w:szCs w:val="24"/>
          <w:highlight w:val="none"/>
          <w:u w:val="single"/>
        </w:rPr>
      </w:r>
      <w:r/>
    </w:p>
    <w:p>
      <w:pPr>
        <w:jc w:val="center"/>
        <w:spacing w:line="500" w:lineRule="exact"/>
        <w:rPr>
          <w:rFonts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         投标人代表（签字）：</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ind w:left="1275" w:firstLine="1795"/>
        <w:jc w:val="right"/>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center"/>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日期：     年   月   日</w:t>
      </w:r>
      <w:r/>
    </w:p>
    <w:p>
      <w:pPr>
        <w:jc w:val="left"/>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spacing w:line="500" w:lineRule="exact"/>
        <w:rPr>
          <w:rFonts w:ascii="仿宋" w:hAnsi="仿宋" w:eastAsia="仿宋" w:cs="仿宋"/>
          <w:color w:val="auto"/>
          <w:sz w:val="24"/>
          <w:szCs w:val="24"/>
          <w:highlight w:val="none"/>
        </w:rPr>
        <w:outlineLvl w:val="0"/>
      </w:pPr>
      <w:r/>
      <w:bookmarkStart w:id="229" w:name="_Toc29285"/>
      <w:r>
        <w:rPr>
          <w:rFonts w:hint="eastAsia" w:ascii="仿宋" w:hAnsi="仿宋" w:eastAsia="仿宋" w:cs="仿宋"/>
          <w:color w:val="auto"/>
          <w:sz w:val="24"/>
          <w:szCs w:val="24"/>
          <w:highlight w:val="none"/>
        </w:rPr>
        <w:t xml:space="preserve">注：</w:t>
      </w:r>
      <w:bookmarkEnd w:id="229"/>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1、需同时提供法定代表人和被授权人身份证复印件，如法定代表人签署文件则无需出具授权书，仅需提供法定代表人身份证复印件；</w:t>
      </w:r>
      <w:r/>
    </w:p>
    <w:p>
      <w:pPr>
        <w:spacing w:line="500" w:lineRule="exac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pStyle w:val="1275"/>
        <w:jc w:val="both"/>
        <w:rPr>
          <w:rFonts w:ascii="仿宋" w:hAnsi="仿宋" w:eastAsia="仿宋" w:cs="仿宋"/>
          <w:color w:val="auto"/>
          <w:sz w:val="24"/>
          <w:highlight w:val="none"/>
        </w:rPr>
        <w:outlineLvl w:val="1"/>
      </w:pPr>
      <w:r>
        <w:rPr>
          <w:rFonts w:ascii="仿宋" w:hAnsi="仿宋" w:eastAsia="仿宋" w:cs="仿宋"/>
          <w:color w:val="auto"/>
          <w:sz w:val="24"/>
          <w:highlight w:val="none"/>
        </w:rPr>
      </w:r>
      <w:r/>
    </w:p>
    <w:p>
      <w:pPr>
        <w:pStyle w:val="1275"/>
        <w:jc w:val="both"/>
        <w:rPr>
          <w:color w:val="auto"/>
          <w:highlight w:val="none"/>
        </w:rPr>
        <w:outlineLvl w:val="1"/>
      </w:pPr>
      <w:r>
        <w:rPr>
          <w:color w:val="auto"/>
          <w:highlight w:val="none"/>
        </w:rPr>
      </w:r>
      <w:r/>
    </w:p>
    <w:p>
      <w:pPr>
        <w:pStyle w:val="1275"/>
        <w:jc w:val="both"/>
        <w:rPr>
          <w:color w:val="auto"/>
          <w:highlight w:val="none"/>
        </w:rPr>
        <w:outlineLvl w:val="1"/>
      </w:pPr>
      <w:r>
        <w:rPr>
          <w:color w:val="auto"/>
          <w:highlight w:val="none"/>
        </w:rPr>
      </w:r>
      <w:r/>
    </w:p>
    <w:p>
      <w:pPr>
        <w:pStyle w:val="1275"/>
        <w:jc w:val="both"/>
        <w:rPr>
          <w:color w:val="auto"/>
          <w:highlight w:val="none"/>
        </w:rPr>
        <w:outlineLvl w:val="1"/>
      </w:pPr>
      <w:r>
        <w:rPr>
          <w:rFonts w:hint="eastAsia"/>
          <w:color w:val="auto"/>
          <w:highlight w:val="none"/>
        </w:rPr>
        <w:t xml:space="preserve">十三</w:t>
      </w:r>
      <w:r>
        <w:rPr>
          <w:color w:val="auto"/>
          <w:highlight w:val="none"/>
        </w:rPr>
        <w:t xml:space="preserve">、开标一览表</w:t>
      </w:r>
      <w:bookmarkEnd w:id="223"/>
      <w:r/>
      <w:bookmarkEnd w:id="224"/>
      <w:r/>
      <w:bookmarkEnd w:id="225"/>
      <w:r/>
      <w:bookmarkEnd w:id="226"/>
      <w:r/>
      <w:bookmarkEnd w:id="227"/>
      <w:r/>
      <w:bookmarkEnd w:id="228"/>
      <w:r/>
      <w:r/>
    </w:p>
    <w:p>
      <w:pPr>
        <w:pStyle w:val="1132"/>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项目编号：</w:t>
      </w:r>
      <w:r/>
    </w:p>
    <w:p>
      <w:pPr>
        <w:pStyle w:val="1132"/>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项目名称：</w:t>
      </w:r>
      <w:r/>
    </w:p>
    <w:tbl>
      <w:tblPr>
        <w:tblStyle w:val="776"/>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40"/>
              <w:jc w:val="both"/>
              <w:rPr>
                <w:color w:val="auto"/>
                <w:highlight w:val="none"/>
              </w:rPr>
            </w:pPr>
            <w:r>
              <w:rPr>
                <w:rFonts w:hint="eastAsia"/>
                <w:color w:val="auto"/>
                <w:highlight w:val="none"/>
              </w:rPr>
              <w:t xml:space="preserve">投标报价：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40"/>
              <w:jc w:val="both"/>
              <w:spacing w:line="0" w:lineRule="atLeast"/>
              <w:rPr>
                <w:color w:val="auto"/>
                <w:highlight w:val="none"/>
              </w:rPr>
            </w:pPr>
            <w:r>
              <w:rPr>
                <w:rFonts w:hint="eastAsia"/>
                <w:color w:val="auto"/>
                <w:highlight w:val="none"/>
              </w:rPr>
              <w:t xml:space="preserve">小写：                 （人民币：元）</w:t>
            </w:r>
            <w:r/>
          </w:p>
        </w:tc>
      </w:tr>
    </w:tbl>
    <w:p>
      <w:pPr>
        <w:pStyle w:val="1132"/>
        <w:spacing w:line="360" w:lineRule="auto"/>
        <w:rPr>
          <w:color w:val="auto"/>
          <w:highlight w:val="none"/>
        </w:rPr>
      </w:pPr>
      <w:r>
        <w:rPr>
          <w:color w:val="auto"/>
          <w:highlight w:val="none"/>
        </w:rPr>
      </w:r>
      <w:r/>
    </w:p>
    <w:p>
      <w:pPr>
        <w:pStyle w:val="1132"/>
        <w:spacing w:line="360" w:lineRule="auto"/>
        <w:rPr>
          <w:rFonts w:ascii="仿宋_GB2312" w:eastAsia="仿宋_GB2312"/>
          <w:color w:val="auto"/>
          <w:szCs w:val="20"/>
          <w:highlight w:val="none"/>
        </w:rPr>
      </w:pPr>
      <w:r>
        <w:rPr>
          <w:rFonts w:hint="eastAsia"/>
          <w:color w:val="auto"/>
          <w:highlight w:val="none"/>
        </w:rPr>
        <w:t xml:space="preserve">日期：  </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pStyle w:val="1136"/>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6"/>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法定代表人（或授权代表）：（签字或盖章）</w:t>
      </w:r>
      <w:r>
        <w:rPr>
          <w:rFonts w:hint="eastAsia" w:ascii="仿宋_GB2312" w:eastAsia="仿宋_GB2312"/>
          <w:color w:val="auto"/>
          <w:sz w:val="24"/>
          <w:highlight w:val="none"/>
          <w:u w:val="single"/>
        </w:rPr>
        <w:t xml:space="preserve">              </w:t>
      </w:r>
      <w:r/>
    </w:p>
    <w:p>
      <w:pPr>
        <w:jc w:val="left"/>
        <w:widowControl/>
        <w:rPr>
          <w:rFonts w:ascii="黑体" w:hAnsi="黑体" w:eastAsia="黑体"/>
          <w:b/>
          <w:color w:val="auto"/>
          <w:sz w:val="32"/>
          <w:szCs w:val="24"/>
          <w:highlight w:val="none"/>
        </w:rPr>
      </w:pPr>
      <w:r/>
      <w:bookmarkStart w:id="230" w:name="_Toc31564"/>
      <w:r/>
      <w:bookmarkStart w:id="231" w:name="_Toc24436"/>
      <w:r/>
      <w:bookmarkStart w:id="232" w:name="_Toc4471"/>
      <w:r/>
      <w:bookmarkStart w:id="233" w:name="_Toc8851"/>
      <w:r/>
      <w:bookmarkStart w:id="234" w:name="_Toc164203472"/>
      <w:r>
        <w:rPr>
          <w:rFonts w:hint="eastAsia"/>
          <w:color w:val="auto"/>
          <w:highlight w:val="none"/>
        </w:rPr>
        <w:br w:type="page" w:clear="all"/>
      </w:r>
      <w:r/>
    </w:p>
    <w:p>
      <w:pPr>
        <w:pStyle w:val="1296"/>
        <w:rPr>
          <w:color w:val="auto"/>
          <w:highlight w:val="none"/>
        </w:rPr>
        <w:outlineLvl w:val="1"/>
      </w:pPr>
      <w:r/>
      <w:bookmarkStart w:id="235" w:name="_Toc7189"/>
      <w:r>
        <w:rPr>
          <w:color w:val="auto"/>
          <w:highlight w:val="none"/>
        </w:rPr>
        <w:t xml:space="preserve">十</w:t>
      </w:r>
      <w:r>
        <w:rPr>
          <w:rFonts w:hint="eastAsia"/>
          <w:color w:val="auto"/>
          <w:highlight w:val="none"/>
        </w:rPr>
        <w:t xml:space="preserve">四</w:t>
      </w:r>
      <w:r>
        <w:rPr>
          <w:color w:val="auto"/>
          <w:highlight w:val="none"/>
        </w:rPr>
        <w:t xml:space="preserve">、明细报价表</w:t>
      </w:r>
      <w:bookmarkEnd w:id="230"/>
      <w:r/>
      <w:bookmarkEnd w:id="231"/>
      <w:r/>
      <w:bookmarkEnd w:id="232"/>
      <w:r/>
      <w:bookmarkEnd w:id="233"/>
      <w:r/>
      <w:bookmarkEnd w:id="234"/>
      <w:r/>
      <w:bookmarkEnd w:id="235"/>
      <w:r/>
      <w:r/>
    </w:p>
    <w:tbl>
      <w:tblPr>
        <w:tblStyle w:val="776"/>
        <w:tblW w:w="86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793"/>
        <w:gridCol w:w="2200"/>
        <w:gridCol w:w="1103"/>
        <w:gridCol w:w="962"/>
        <w:gridCol w:w="1980"/>
      </w:tblGrid>
      <w:tr>
        <w:trPr>
          <w:cantSplit/>
          <w:jc w:val="center"/>
          <w:trHeight w:val="632"/>
        </w:trPr>
        <w:tc>
          <w:tcPr>
            <w:tcW w:w="656" w:type="dxa"/>
            <w:vAlign w:val="center"/>
            <w:textDirection w:val="lrTb"/>
            <w:noWrap w:val="false"/>
          </w:tcPr>
          <w:p>
            <w:pPr>
              <w:pStyle w:val="1142"/>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1793" w:type="dxa"/>
            <w:vAlign w:val="center"/>
            <w:textDirection w:val="lrTb"/>
            <w:noWrap w:val="false"/>
          </w:tcPr>
          <w:p>
            <w:pPr>
              <w:pStyle w:val="1142"/>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名称</w:t>
            </w:r>
            <w:r/>
          </w:p>
        </w:tc>
        <w:tc>
          <w:tcPr>
            <w:tcW w:w="2200" w:type="dxa"/>
            <w:vAlign w:val="center"/>
            <w:textDirection w:val="lrTb"/>
            <w:noWrap w:val="false"/>
          </w:tcPr>
          <w:p>
            <w:pPr>
              <w:pStyle w:val="1142"/>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单价（元</w:t>
            </w:r>
            <w:r>
              <w:rPr>
                <w:rFonts w:ascii="仿宋_GB2312" w:eastAsia="仿宋_GB2312"/>
                <w:color w:val="auto"/>
                <w:sz w:val="28"/>
                <w:szCs w:val="28"/>
                <w:highlight w:val="none"/>
              </w:rPr>
              <w:t xml:space="preserve">）</w:t>
            </w:r>
            <w:r/>
          </w:p>
        </w:tc>
        <w:tc>
          <w:tcPr>
            <w:tcW w:w="1103" w:type="dxa"/>
            <w:vAlign w:val="center"/>
            <w:textDirection w:val="lrTb"/>
            <w:noWrap w:val="false"/>
          </w:tcPr>
          <w:p>
            <w:pPr>
              <w:pStyle w:val="1142"/>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总价</w:t>
            </w:r>
            <w:r/>
          </w:p>
          <w:p>
            <w:pPr>
              <w:pStyle w:val="1142"/>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（元）</w:t>
            </w:r>
            <w:r/>
          </w:p>
        </w:tc>
        <w:tc>
          <w:tcPr>
            <w:tcW w:w="962" w:type="dxa"/>
            <w:vAlign w:val="center"/>
            <w:textDirection w:val="lrTb"/>
            <w:noWrap w:val="false"/>
          </w:tcPr>
          <w:p>
            <w:pPr>
              <w:pStyle w:val="1142"/>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数量</w:t>
            </w:r>
            <w:r/>
          </w:p>
        </w:tc>
        <w:tc>
          <w:tcPr>
            <w:tcW w:w="1980" w:type="dxa"/>
            <w:vAlign w:val="center"/>
            <w:textDirection w:val="lrTb"/>
            <w:noWrap w:val="false"/>
          </w:tcPr>
          <w:p>
            <w:pPr>
              <w:pStyle w:val="1142"/>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p>
        </w:tc>
      </w:tr>
      <w:tr>
        <w:trPr>
          <w:cantSplit/>
          <w:jc w:val="center"/>
          <w:trHeight w:val="482"/>
        </w:trPr>
        <w:tc>
          <w:tcPr>
            <w:tcW w:w="656" w:type="dxa"/>
            <w:textDirection w:val="lrTb"/>
            <w:noWrap w:val="false"/>
          </w:tcPr>
          <w:p>
            <w:pPr>
              <w:pStyle w:val="1142"/>
              <w:jc w:val="center"/>
              <w:spacing w:line="560" w:lineRule="exact"/>
              <w:widowControl/>
              <w:rPr>
                <w:rFonts w:ascii="仿宋_GB2312" w:eastAsia="仿宋_GB2312"/>
                <w:color w:val="auto"/>
                <w:sz w:val="24"/>
                <w:highlight w:val="none"/>
              </w:rPr>
            </w:pPr>
            <w:r>
              <w:rPr>
                <w:rFonts w:hint="eastAsia" w:ascii="仿宋_GB2312" w:eastAsia="仿宋_GB2312"/>
                <w:color w:val="auto"/>
                <w:sz w:val="24"/>
                <w:highlight w:val="none"/>
              </w:rPr>
              <w:t xml:space="preserve">1</w:t>
            </w:r>
            <w:r/>
          </w:p>
        </w:tc>
        <w:tc>
          <w:tcPr>
            <w:tcW w:w="1793" w:type="dxa"/>
            <w:textDirection w:val="lrTb"/>
            <w:noWrap w:val="false"/>
          </w:tcPr>
          <w:p>
            <w:pPr>
              <w:pStyle w:val="1142"/>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42"/>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4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962" w:type="dxa"/>
            <w:textDirection w:val="lrTb"/>
            <w:noWrap w:val="false"/>
          </w:tcPr>
          <w:p>
            <w:pPr>
              <w:pStyle w:val="1142"/>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980" w:type="dxa"/>
            <w:vAlign w:val="center"/>
            <w:textDirection w:val="lrTb"/>
            <w:noWrap w:val="false"/>
          </w:tcPr>
          <w:p>
            <w:pPr>
              <w:pStyle w:val="114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142"/>
              <w:jc w:val="center"/>
              <w:spacing w:line="560" w:lineRule="exact"/>
              <w:widowControl/>
              <w:rPr>
                <w:rFonts w:ascii="仿宋_GB2312" w:eastAsia="仿宋_GB2312"/>
                <w:color w:val="auto"/>
                <w:sz w:val="24"/>
                <w:highlight w:val="none"/>
              </w:rPr>
            </w:pPr>
            <w:r>
              <w:rPr>
                <w:rFonts w:hint="eastAsia" w:ascii="仿宋_GB2312" w:eastAsia="仿宋_GB2312"/>
                <w:color w:val="auto"/>
                <w:sz w:val="24"/>
                <w:highlight w:val="none"/>
              </w:rPr>
              <w:t xml:space="preserve">2</w:t>
            </w:r>
            <w:r/>
          </w:p>
        </w:tc>
        <w:tc>
          <w:tcPr>
            <w:tcW w:w="1793" w:type="dxa"/>
            <w:textDirection w:val="lrTb"/>
            <w:noWrap w:val="false"/>
          </w:tcPr>
          <w:p>
            <w:pPr>
              <w:pStyle w:val="1142"/>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42"/>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4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962" w:type="dxa"/>
            <w:textDirection w:val="lrTb"/>
            <w:noWrap w:val="false"/>
          </w:tcPr>
          <w:p>
            <w:pPr>
              <w:pStyle w:val="1142"/>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980" w:type="dxa"/>
            <w:vAlign w:val="center"/>
            <w:textDirection w:val="lrTb"/>
            <w:noWrap w:val="false"/>
          </w:tcPr>
          <w:p>
            <w:pPr>
              <w:pStyle w:val="114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142"/>
              <w:jc w:val="center"/>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42"/>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42"/>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4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962" w:type="dxa"/>
            <w:textDirection w:val="lrTb"/>
            <w:noWrap w:val="false"/>
          </w:tcPr>
          <w:p>
            <w:pPr>
              <w:pStyle w:val="1142"/>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980" w:type="dxa"/>
            <w:vAlign w:val="center"/>
            <w:textDirection w:val="lrTb"/>
            <w:noWrap w:val="false"/>
          </w:tcPr>
          <w:p>
            <w:pPr>
              <w:pStyle w:val="114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142"/>
              <w:jc w:val="center"/>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42"/>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42"/>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4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962" w:type="dxa"/>
            <w:textDirection w:val="lrTb"/>
            <w:noWrap w:val="false"/>
          </w:tcPr>
          <w:p>
            <w:pPr>
              <w:pStyle w:val="1142"/>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980" w:type="dxa"/>
            <w:vAlign w:val="center"/>
            <w:textDirection w:val="lrTb"/>
            <w:noWrap w:val="false"/>
          </w:tcPr>
          <w:p>
            <w:pPr>
              <w:pStyle w:val="114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165"/>
        </w:trPr>
        <w:tc>
          <w:tcPr>
            <w:tcW w:w="656" w:type="dxa"/>
            <w:vAlign w:val="center"/>
            <w:textDirection w:val="lrTb"/>
            <w:noWrap w:val="false"/>
          </w:tcPr>
          <w:p>
            <w:pPr>
              <w:pStyle w:val="1142"/>
              <w:jc w:val="center"/>
              <w:spacing w:line="560" w:lineRule="exact"/>
              <w:rPr>
                <w:rFonts w:ascii="仿宋_GB2312" w:eastAsia="仿宋_GB2312"/>
                <w:i/>
                <w:iCs/>
                <w:color w:val="auto"/>
                <w:sz w:val="28"/>
                <w:szCs w:val="28"/>
                <w:highlight w:val="none"/>
              </w:rPr>
            </w:pPr>
            <w:r>
              <w:rPr>
                <w:rFonts w:ascii="仿宋_GB2312" w:eastAsia="仿宋_GB2312"/>
                <w:i/>
                <w:iCs/>
                <w:color w:val="auto"/>
                <w:sz w:val="28"/>
                <w:szCs w:val="28"/>
                <w:highlight w:val="none"/>
              </w:rPr>
            </w:r>
            <w:r/>
          </w:p>
        </w:tc>
        <w:tc>
          <w:tcPr>
            <w:gridSpan w:val="4"/>
            <w:tcW w:w="6058" w:type="dxa"/>
            <w:vAlign w:val="center"/>
            <w:textDirection w:val="lrTb"/>
            <w:noWrap w:val="false"/>
          </w:tcPr>
          <w:p>
            <w:pPr>
              <w:pStyle w:val="1142"/>
              <w:spacing w:line="560" w:lineRule="exact"/>
              <w:rPr>
                <w:rFonts w:ascii="仿宋_GB2312" w:eastAsia="仿宋_GB2312"/>
                <w:color w:val="auto"/>
                <w:sz w:val="24"/>
                <w:highlight w:val="none"/>
              </w:rPr>
            </w:pPr>
            <w:r>
              <w:rPr>
                <w:rFonts w:hint="eastAsia" w:ascii="仿宋_GB2312" w:eastAsia="仿宋_GB2312"/>
                <w:iCs/>
                <w:color w:val="auto"/>
                <w:sz w:val="24"/>
                <w:highlight w:val="none"/>
              </w:rPr>
              <w:t xml:space="preserve">合计</w:t>
            </w:r>
            <w:r/>
          </w:p>
        </w:tc>
        <w:tc>
          <w:tcPr>
            <w:tcW w:w="1980" w:type="dxa"/>
            <w:vAlign w:val="center"/>
            <w:textDirection w:val="lrTb"/>
            <w:noWrap w:val="false"/>
          </w:tcPr>
          <w:p>
            <w:pPr>
              <w:pStyle w:val="114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136"/>
        <w:ind w:firstLine="629"/>
        <w:rPr>
          <w:rFonts w:ascii="仿宋_GB2312" w:eastAsia="仿宋_GB2312"/>
          <w:color w:val="auto"/>
          <w:sz w:val="24"/>
          <w:highlight w:val="none"/>
        </w:rPr>
      </w:pPr>
      <w:r>
        <w:rPr>
          <w:rFonts w:ascii="仿宋_GB2312" w:eastAsia="仿宋_GB2312"/>
          <w:color w:val="auto"/>
          <w:sz w:val="24"/>
          <w:highlight w:val="none"/>
        </w:rPr>
      </w:r>
      <w:r/>
    </w:p>
    <w:p>
      <w:pPr>
        <w:pStyle w:val="1136"/>
        <w:ind w:firstLine="560"/>
        <w:spacing w:line="40" w:lineRule="atLeast"/>
        <w:rPr>
          <w:rFonts w:ascii="仿宋_GB2312" w:eastAsia="仿宋_GB2312"/>
          <w:color w:val="auto"/>
          <w:sz w:val="28"/>
          <w:szCs w:val="21"/>
          <w:highlight w:val="none"/>
          <w:u w:val="single"/>
        </w:rPr>
      </w:pPr>
      <w:r>
        <w:rPr>
          <w:rFonts w:hint="eastAsia" w:ascii="仿宋_GB2312" w:eastAsia="仿宋_GB2312"/>
          <w:color w:val="auto"/>
          <w:sz w:val="28"/>
          <w:szCs w:val="21"/>
          <w:highlight w:val="none"/>
        </w:rPr>
        <w:t xml:space="preserve">单位名称：（加盖CA电子公章）</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r/>
    </w:p>
    <w:p>
      <w:pPr>
        <w:pStyle w:val="1136"/>
        <w:ind w:firstLine="560"/>
        <w:spacing w:line="40" w:lineRule="atLeast"/>
        <w:rPr>
          <w:rFonts w:ascii="仿宋_GB2312" w:eastAsia="仿宋_GB2312"/>
          <w:color w:val="auto"/>
          <w:sz w:val="28"/>
          <w:szCs w:val="21"/>
          <w:highlight w:val="none"/>
        </w:rPr>
      </w:pPr>
      <w:r>
        <w:rPr>
          <w:rFonts w:hint="eastAsia" w:ascii="仿宋_GB2312" w:eastAsia="仿宋_GB2312"/>
          <w:color w:val="auto"/>
          <w:sz w:val="28"/>
          <w:szCs w:val="21"/>
          <w:highlight w:val="none"/>
        </w:rPr>
        <w:t xml:space="preserve">法定代表人（或授权代表）：（签字或盖章）</w:t>
      </w:r>
      <w:r>
        <w:rPr>
          <w:rFonts w:hint="eastAsia" w:ascii="仿宋_GB2312" w:eastAsia="仿宋_GB2312"/>
          <w:color w:val="auto"/>
          <w:sz w:val="28"/>
          <w:szCs w:val="21"/>
          <w:highlight w:val="none"/>
          <w:u w:val="single"/>
        </w:rPr>
        <w:t xml:space="preserve">              </w:t>
      </w:r>
      <w:r/>
    </w:p>
    <w:p>
      <w:pPr>
        <w:ind w:firstLine="480"/>
        <w:spacing w:after="120" w:line="40" w:lineRule="atLeast"/>
        <w:tabs>
          <w:tab w:val="left" w:pos="840" w:leader="none"/>
        </w:tabs>
        <w:rPr>
          <w:rFonts w:hAnsi="宋体"/>
          <w:bCs/>
          <w:color w:val="auto"/>
          <w:sz w:val="24"/>
          <w:szCs w:val="28"/>
          <w:highlight w:val="none"/>
        </w:rPr>
      </w:pPr>
      <w:r/>
      <w:bookmarkStart w:id="236" w:name="_Toc27976"/>
      <w:r/>
      <w:bookmarkStart w:id="237" w:name="_Toc10632"/>
      <w:r/>
      <w:r/>
    </w:p>
    <w:p>
      <w:pPr>
        <w:ind w:firstLine="480"/>
        <w:spacing w:after="120" w:line="300" w:lineRule="auto"/>
        <w:tabs>
          <w:tab w:val="left" w:pos="840" w:leader="none"/>
        </w:tabs>
        <w:rPr>
          <w:rFonts w:hAnsi="宋体" w:cs="宋体"/>
          <w:bCs/>
          <w:color w:val="auto"/>
          <w:sz w:val="24"/>
          <w:szCs w:val="24"/>
          <w:highlight w:val="none"/>
        </w:rPr>
      </w:pPr>
      <w:r>
        <w:rPr>
          <w:rFonts w:hint="eastAsia" w:hAnsi="宋体" w:cs="宋体"/>
          <w:bCs/>
          <w:color w:val="auto"/>
          <w:sz w:val="24"/>
          <w:szCs w:val="24"/>
          <w:highlight w:val="none"/>
        </w:rPr>
        <w:t xml:space="preserve">注：</w:t>
      </w:r>
      <w:r/>
    </w:p>
    <w:p>
      <w:pPr>
        <w:ind w:firstLine="480"/>
        <w:spacing w:after="120" w:line="300" w:lineRule="auto"/>
        <w:tabs>
          <w:tab w:val="left" w:pos="840" w:leader="none"/>
        </w:tabs>
        <w:rPr>
          <w:rFonts w:hAnsi="宋体" w:cs="宋体"/>
          <w:bCs/>
          <w:color w:val="auto"/>
          <w:sz w:val="24"/>
          <w:szCs w:val="24"/>
          <w:highlight w:val="none"/>
        </w:rPr>
      </w:pPr>
      <w:r>
        <w:rPr>
          <w:rFonts w:hint="eastAsia" w:hAnsi="宋体" w:cs="宋体"/>
          <w:bCs/>
          <w:color w:val="auto"/>
          <w:sz w:val="24"/>
          <w:szCs w:val="24"/>
          <w:highlight w:val="none"/>
        </w:rPr>
        <w:t xml:space="preserve">1、“分项报价表”中“投标报价总计”金额应当与“开标一览表”中“投标报价”金额一致。</w:t>
      </w:r>
      <w:r/>
    </w:p>
    <w:p>
      <w:pPr>
        <w:ind w:firstLine="480"/>
        <w:spacing w:after="120" w:line="300" w:lineRule="auto"/>
        <w:tabs>
          <w:tab w:val="left" w:pos="840" w:leader="none"/>
        </w:tabs>
        <w:rPr>
          <w:rFonts w:hAnsi="宋体"/>
          <w:bCs/>
          <w:color w:val="auto"/>
          <w:sz w:val="24"/>
          <w:szCs w:val="24"/>
          <w:highlight w:val="none"/>
        </w:rPr>
      </w:pPr>
      <w:r>
        <w:rPr>
          <w:rFonts w:hint="eastAsia" w:hAnsi="宋体" w:cs="宋体"/>
          <w:bCs/>
          <w:color w:val="auto"/>
          <w:sz w:val="24"/>
          <w:szCs w:val="24"/>
          <w:highlight w:val="none"/>
        </w:rPr>
        <w:t xml:space="preserve">2、</w:t>
      </w:r>
      <w:r>
        <w:rPr>
          <w:rFonts w:hint="eastAsia" w:hAnsi="宋体"/>
          <w:bCs/>
          <w:color w:val="auto"/>
          <w:sz w:val="24"/>
          <w:szCs w:val="24"/>
          <w:highlight w:val="none"/>
        </w:rPr>
        <w:t xml:space="preserve">涉及小型、微型、节能产品、环境标志等</w:t>
      </w:r>
      <w:r>
        <w:rPr>
          <w:rFonts w:hAnsi="宋体"/>
          <w:bCs/>
          <w:color w:val="auto"/>
          <w:sz w:val="24"/>
          <w:szCs w:val="24"/>
          <w:highlight w:val="none"/>
        </w:rPr>
        <w:t xml:space="preserve">享受</w:t>
      </w:r>
      <w:r>
        <w:rPr>
          <w:rFonts w:hint="eastAsia" w:hAnsi="宋体"/>
          <w:bCs/>
          <w:color w:val="auto"/>
          <w:sz w:val="24"/>
          <w:szCs w:val="24"/>
          <w:highlight w:val="none"/>
        </w:rPr>
        <w:t xml:space="preserve">政府</w:t>
      </w:r>
      <w:r>
        <w:rPr>
          <w:rFonts w:hAnsi="宋体"/>
          <w:bCs/>
          <w:color w:val="auto"/>
          <w:sz w:val="24"/>
          <w:szCs w:val="24"/>
          <w:highlight w:val="none"/>
        </w:rPr>
        <w:t xml:space="preserve">采购</w:t>
      </w:r>
      <w:r>
        <w:rPr>
          <w:rFonts w:hint="eastAsia" w:hAnsi="宋体"/>
          <w:bCs/>
          <w:color w:val="auto"/>
          <w:sz w:val="24"/>
          <w:szCs w:val="24"/>
          <w:highlight w:val="none"/>
        </w:rPr>
        <w:t xml:space="preserve">扶持</w:t>
      </w:r>
      <w:r>
        <w:rPr>
          <w:rFonts w:hAnsi="宋体"/>
          <w:bCs/>
          <w:color w:val="auto"/>
          <w:sz w:val="24"/>
          <w:szCs w:val="24"/>
          <w:highlight w:val="none"/>
        </w:rPr>
        <w:t xml:space="preserve">政策</w:t>
      </w:r>
      <w:r>
        <w:rPr>
          <w:rFonts w:hint="eastAsia" w:hAnsi="宋体"/>
          <w:bCs/>
          <w:color w:val="auto"/>
          <w:sz w:val="24"/>
          <w:szCs w:val="24"/>
          <w:highlight w:val="none"/>
        </w:rPr>
        <w:t xml:space="preserve">的</w:t>
      </w:r>
      <w:r>
        <w:rPr>
          <w:rFonts w:hAnsi="宋体"/>
          <w:bCs/>
          <w:color w:val="auto"/>
          <w:sz w:val="24"/>
          <w:szCs w:val="24"/>
          <w:highlight w:val="none"/>
        </w:rPr>
        <w:t xml:space="preserve">项目，需在</w:t>
      </w:r>
      <w:r>
        <w:rPr>
          <w:rFonts w:hint="eastAsia" w:hAnsi="宋体"/>
          <w:bCs/>
          <w:color w:val="auto"/>
          <w:sz w:val="24"/>
          <w:szCs w:val="24"/>
          <w:highlight w:val="none"/>
        </w:rPr>
        <w:t xml:space="preserve">备注中分别明确注明。</w:t>
      </w:r>
      <w:r/>
    </w:p>
    <w:p>
      <w:pPr>
        <w:spacing w:after="120" w:line="300" w:lineRule="auto"/>
        <w:tabs>
          <w:tab w:val="left" w:pos="840" w:leader="none"/>
        </w:tabs>
        <w:rPr>
          <w:rFonts w:hAnsi="宋体"/>
          <w:bCs/>
          <w:color w:val="auto"/>
          <w:highlight w:val="none"/>
        </w:rPr>
      </w:pPr>
      <w:r>
        <w:rPr>
          <w:rFonts w:hAnsi="宋体"/>
          <w:bCs/>
          <w:color w:val="auto"/>
          <w:highlight w:val="none"/>
        </w:rPr>
      </w:r>
      <w:r/>
    </w:p>
    <w:p>
      <w:pPr>
        <w:pStyle w:val="813"/>
        <w:rPr>
          <w:rFonts w:hAnsi="宋体"/>
          <w:bCs/>
          <w:color w:val="auto"/>
          <w:highlight w:val="none"/>
        </w:rPr>
      </w:pPr>
      <w:r>
        <w:rPr>
          <w:rFonts w:hAnsi="宋体"/>
          <w:bCs/>
          <w:color w:val="auto"/>
          <w:highlight w:val="none"/>
        </w:rPr>
      </w:r>
      <w:r/>
    </w:p>
    <w:p>
      <w:pPr>
        <w:pStyle w:val="813"/>
        <w:rPr>
          <w:rFonts w:hAnsi="宋体"/>
          <w:bCs/>
          <w:color w:val="auto"/>
          <w:highlight w:val="none"/>
        </w:rPr>
      </w:pPr>
      <w:r>
        <w:rPr>
          <w:rFonts w:hAnsi="宋体"/>
          <w:bCs/>
          <w:color w:val="auto"/>
          <w:highlight w:val="none"/>
        </w:rPr>
      </w:r>
      <w:r/>
    </w:p>
    <w:p>
      <w:pPr>
        <w:pStyle w:val="813"/>
        <w:rPr>
          <w:rFonts w:hAnsi="宋体"/>
          <w:bCs/>
          <w:color w:val="auto"/>
          <w:highlight w:val="none"/>
        </w:rPr>
      </w:pPr>
      <w:r>
        <w:rPr>
          <w:rFonts w:hAnsi="宋体"/>
          <w:bCs/>
          <w:color w:val="auto"/>
          <w:highlight w:val="none"/>
        </w:rPr>
      </w:r>
      <w:r/>
    </w:p>
    <w:p>
      <w:pPr>
        <w:pStyle w:val="813"/>
        <w:rPr>
          <w:rFonts w:hAnsi="宋体"/>
          <w:bCs/>
          <w:color w:val="auto"/>
          <w:highlight w:val="none"/>
        </w:rPr>
      </w:pPr>
      <w:r>
        <w:rPr>
          <w:rFonts w:hAnsi="宋体"/>
          <w:bCs/>
          <w:color w:val="auto"/>
          <w:highlight w:val="none"/>
        </w:rPr>
      </w:r>
      <w:r/>
    </w:p>
    <w:p>
      <w:pPr>
        <w:pStyle w:val="813"/>
        <w:rPr>
          <w:rFonts w:hAnsi="宋体"/>
          <w:bCs/>
          <w:color w:val="auto"/>
          <w:highlight w:val="none"/>
        </w:rPr>
      </w:pPr>
      <w:r>
        <w:rPr>
          <w:rFonts w:hAnsi="宋体"/>
          <w:bCs/>
          <w:color w:val="auto"/>
          <w:highlight w:val="none"/>
        </w:rPr>
      </w:r>
      <w:r/>
    </w:p>
    <w:p>
      <w:pPr>
        <w:pStyle w:val="813"/>
        <w:rPr>
          <w:rFonts w:hAnsi="宋体"/>
          <w:bCs/>
          <w:color w:val="auto"/>
          <w:highlight w:val="none"/>
        </w:rPr>
      </w:pPr>
      <w:r>
        <w:rPr>
          <w:rFonts w:hAnsi="宋体"/>
          <w:bCs/>
          <w:color w:val="auto"/>
          <w:highlight w:val="none"/>
        </w:rPr>
      </w:r>
      <w:r/>
    </w:p>
    <w:p>
      <w:pPr>
        <w:pStyle w:val="813"/>
        <w:rPr>
          <w:rFonts w:hAnsi="宋体"/>
          <w:bCs/>
          <w:color w:val="auto"/>
          <w:highlight w:val="none"/>
        </w:rPr>
      </w:pPr>
      <w:r>
        <w:rPr>
          <w:rFonts w:hAnsi="宋体"/>
          <w:bCs/>
          <w:color w:val="auto"/>
          <w:highlight w:val="none"/>
        </w:rPr>
      </w:r>
      <w:r/>
    </w:p>
    <w:p>
      <w:pPr>
        <w:pStyle w:val="813"/>
        <w:rPr>
          <w:rFonts w:hAnsi="宋体"/>
          <w:bCs/>
          <w:color w:val="auto"/>
          <w:highlight w:val="none"/>
        </w:rPr>
      </w:pPr>
      <w:r>
        <w:rPr>
          <w:rFonts w:hAnsi="宋体"/>
          <w:bCs/>
          <w:color w:val="auto"/>
          <w:highlight w:val="none"/>
        </w:rPr>
      </w:r>
      <w:r/>
    </w:p>
    <w:p>
      <w:pPr>
        <w:pStyle w:val="813"/>
        <w:rPr>
          <w:rFonts w:hAnsi="宋体"/>
          <w:bCs/>
          <w:color w:val="auto"/>
          <w:highlight w:val="none"/>
        </w:rPr>
      </w:pPr>
      <w:r>
        <w:rPr>
          <w:rFonts w:hAnsi="宋体"/>
          <w:bCs/>
          <w:color w:val="auto"/>
          <w:highlight w:val="none"/>
        </w:rPr>
      </w:r>
      <w:r/>
    </w:p>
    <w:p>
      <w:pPr>
        <w:rPr>
          <w:color w:val="auto"/>
          <w:highlight w:val="none"/>
        </w:rPr>
      </w:pPr>
      <w:r/>
      <w:bookmarkStart w:id="238" w:name="_Toc22253"/>
      <w:r/>
      <w:bookmarkStart w:id="239" w:name="_Toc18680"/>
      <w:r/>
      <w:bookmarkStart w:id="240" w:name="_Toc26570"/>
      <w:r/>
      <w:bookmarkStart w:id="241" w:name="_Toc164203481"/>
      <w:r>
        <w:rPr>
          <w:color w:val="auto"/>
          <w:highlight w:val="none"/>
        </w:rPr>
        <w:br w:type="page" w:clear="all"/>
      </w:r>
      <w:r/>
    </w:p>
    <w:p>
      <w:pPr>
        <w:pStyle w:val="1296"/>
        <w:rPr>
          <w:color w:val="auto"/>
          <w:highlight w:val="none"/>
        </w:rPr>
        <w:outlineLvl w:val="1"/>
      </w:pPr>
      <w:r>
        <w:rPr>
          <w:color w:val="auto"/>
          <w:highlight w:val="none"/>
        </w:rPr>
        <w:t xml:space="preserve">十</w:t>
      </w:r>
      <w:r>
        <w:rPr>
          <w:rFonts w:hint="eastAsia"/>
          <w:color w:val="auto"/>
          <w:highlight w:val="none"/>
        </w:rPr>
        <w:t xml:space="preserve">五</w:t>
      </w:r>
      <w:r>
        <w:rPr>
          <w:color w:val="auto"/>
          <w:highlight w:val="none"/>
        </w:rPr>
        <w:t xml:space="preserve">、中小企业声明函</w:t>
      </w:r>
      <w:bookmarkEnd w:id="236"/>
      <w:r/>
      <w:bookmarkEnd w:id="237"/>
      <w:r/>
      <w:bookmarkEnd w:id="238"/>
      <w:r/>
      <w:bookmarkEnd w:id="239"/>
      <w:r/>
      <w:bookmarkEnd w:id="240"/>
      <w:r/>
      <w:bookmarkEnd w:id="241"/>
      <w:r/>
      <w:r/>
    </w:p>
    <w:p>
      <w:pPr>
        <w:contextualSpacing/>
        <w:ind w:firstLine="420"/>
        <w:jc w:val="center"/>
        <w:spacing w:line="360" w:lineRule="auto"/>
        <w:rPr>
          <w:rFonts w:hAnsi="宋体" w:cs="宋体"/>
          <w:bCs/>
          <w:color w:val="auto"/>
          <w:highlight w:val="none"/>
        </w:rPr>
      </w:pPr>
      <w:r/>
      <w:bookmarkStart w:id="242" w:name="_Toc12023"/>
      <w:r/>
      <w:bookmarkStart w:id="243" w:name="_Toc16234"/>
      <w:r>
        <w:rPr>
          <w:rFonts w:hint="eastAsia" w:hAnsi="宋体" w:cs="宋体"/>
          <w:bCs/>
          <w:color w:val="auto"/>
          <w:highlight w:val="none"/>
        </w:rPr>
        <w:t xml:space="preserve">中小企业声明函（工程、服务）</w:t>
      </w:r>
      <w:r/>
    </w:p>
    <w:p>
      <w:pPr>
        <w:contextualSpacing/>
        <w:ind w:firstLine="420"/>
        <w:jc w:val="left"/>
        <w:spacing w:line="360" w:lineRule="auto"/>
        <w:rPr>
          <w:rFonts w:hAnsi="宋体" w:cs="宋体"/>
          <w:color w:val="auto"/>
          <w:highlight w:val="none"/>
        </w:rPr>
      </w:pPr>
      <w:r>
        <w:rPr>
          <w:rFonts w:hint="eastAsia" w:hAnsi="宋体" w:cs="宋体"/>
          <w:color w:val="auto"/>
          <w:highlight w:val="none"/>
        </w:rPr>
        <w:t xml:space="preserve">本公司（联合体）郑重声明，根据《政府采购促进中小企业发展管理办法》（财库﹝2020﹞46 号）的规定，本公司（联合体）参加</w:t>
      </w:r>
      <w:r>
        <w:rPr>
          <w:rFonts w:hint="eastAsia" w:hAnsi="宋体" w:cs="宋体"/>
          <w:color w:val="auto"/>
          <w:highlight w:val="none"/>
          <w:u w:val="single"/>
        </w:rPr>
        <w:t xml:space="preserve">（单位名称）</w:t>
      </w:r>
      <w:r>
        <w:rPr>
          <w:rFonts w:hint="eastAsia" w:hAnsi="宋体" w:cs="宋体"/>
          <w:color w:val="auto"/>
          <w:highlight w:val="none"/>
        </w:rPr>
        <w:t xml:space="preserve">的</w:t>
      </w:r>
      <w:r>
        <w:rPr>
          <w:rFonts w:hint="eastAsia" w:hAnsi="宋体" w:cs="宋体"/>
          <w:color w:val="auto"/>
          <w:highlight w:val="none"/>
          <w:u w:val="single"/>
        </w:rPr>
        <w:t xml:space="preserve">（项目名称）</w:t>
      </w:r>
      <w:r>
        <w:rPr>
          <w:rFonts w:hint="eastAsia" w:hAnsi="宋体" w:cs="宋体"/>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20"/>
        <w:jc w:val="left"/>
        <w:spacing w:line="360" w:lineRule="auto"/>
        <w:rPr>
          <w:rFonts w:hAnsi="宋体" w:cs="宋体"/>
          <w:color w:val="auto"/>
          <w:highlight w:val="none"/>
        </w:rPr>
      </w:pPr>
      <w:r>
        <w:rPr>
          <w:rFonts w:hint="eastAsia" w:hAnsi="宋体" w:cs="宋体"/>
          <w:color w:val="auto"/>
          <w:highlight w:val="none"/>
        </w:rPr>
        <w:t xml:space="preserve">1. </w:t>
      </w:r>
      <w:r>
        <w:rPr>
          <w:rFonts w:hint="eastAsia" w:hAnsi="宋体" w:cs="宋体"/>
          <w:color w:val="auto"/>
          <w:highlight w:val="none"/>
          <w:u w:val="single"/>
        </w:rPr>
        <w:t xml:space="preserve">（标的名称）</w:t>
      </w:r>
      <w:r>
        <w:rPr>
          <w:rFonts w:hint="eastAsia" w:hAnsi="宋体" w:cs="宋体"/>
          <w:color w:val="auto"/>
          <w:highlight w:val="none"/>
        </w:rPr>
        <w:t xml:space="preserve">，属于</w:t>
      </w:r>
      <w:r>
        <w:rPr>
          <w:rFonts w:hint="eastAsia" w:hAnsi="宋体" w:cs="宋体"/>
          <w:color w:val="auto"/>
          <w:highlight w:val="none"/>
          <w:u w:val="single"/>
        </w:rPr>
        <w:t xml:space="preserve">（招标文件中明确的所属行业）</w:t>
      </w:r>
      <w:r>
        <w:rPr>
          <w:rFonts w:hint="eastAsia" w:hAnsi="宋体" w:cs="宋体"/>
          <w:color w:val="auto"/>
          <w:highlight w:val="none"/>
        </w:rPr>
        <w:t xml:space="preserve">；承建（承接）企业为</w:t>
      </w:r>
      <w:r>
        <w:rPr>
          <w:rFonts w:hint="eastAsia" w:hAnsi="宋体" w:cs="宋体"/>
          <w:color w:val="auto"/>
          <w:highlight w:val="none"/>
          <w:u w:val="single"/>
        </w:rPr>
        <w:t xml:space="preserve">（企业名称）</w:t>
      </w:r>
      <w:r>
        <w:rPr>
          <w:rFonts w:hint="eastAsia" w:hAnsi="宋体" w:cs="宋体"/>
          <w:color w:val="auto"/>
          <w:highlight w:val="none"/>
        </w:rPr>
        <w:t xml:space="preserve">，从业人员</w:t>
      </w:r>
      <w:r>
        <w:rPr>
          <w:rFonts w:hint="eastAsia" w:hAnsi="宋体" w:cs="宋体"/>
          <w:color w:val="auto"/>
          <w:highlight w:val="none"/>
          <w:u w:val="single"/>
        </w:rPr>
        <w:t xml:space="preserve">  </w:t>
      </w:r>
      <w:r>
        <w:rPr>
          <w:rFonts w:hint="eastAsia" w:hAnsi="宋体" w:cs="宋体"/>
          <w:color w:val="auto"/>
          <w:highlight w:val="none"/>
        </w:rPr>
        <w:t xml:space="preserve">人，营业收入为</w:t>
      </w:r>
      <w:r>
        <w:rPr>
          <w:rFonts w:hint="eastAsia" w:hAnsi="宋体" w:cs="宋体"/>
          <w:color w:val="auto"/>
          <w:highlight w:val="none"/>
          <w:u w:val="single"/>
        </w:rPr>
        <w:t xml:space="preserve">    </w:t>
      </w:r>
      <w:r>
        <w:rPr>
          <w:rFonts w:hint="eastAsia" w:hAnsi="宋体" w:cs="宋体"/>
          <w:color w:val="auto"/>
          <w:highlight w:val="none"/>
        </w:rPr>
        <w:t xml:space="preserve">万元，资产总额为</w:t>
      </w:r>
      <w:r>
        <w:rPr>
          <w:rFonts w:hint="eastAsia" w:hAnsi="宋体" w:cs="宋体"/>
          <w:color w:val="auto"/>
          <w:highlight w:val="none"/>
          <w:u w:val="single"/>
        </w:rPr>
        <w:t xml:space="preserve">    </w:t>
      </w:r>
      <w:r>
        <w:rPr>
          <w:rFonts w:hint="eastAsia" w:hAnsi="宋体" w:cs="宋体"/>
          <w:color w:val="auto"/>
          <w:highlight w:val="none"/>
        </w:rPr>
        <w:t xml:space="preserve">万元，属于</w:t>
      </w:r>
      <w:r>
        <w:rPr>
          <w:rFonts w:hint="eastAsia" w:hAnsi="宋体" w:cs="宋体"/>
          <w:color w:val="auto"/>
          <w:highlight w:val="none"/>
          <w:u w:val="single"/>
        </w:rPr>
        <w:t xml:space="preserve">（</w:t>
      </w:r>
      <w:r>
        <w:rPr>
          <w:rFonts w:hint="eastAsia" w:hAnsi="宋体" w:cs="宋体"/>
          <w:color w:val="auto"/>
          <w:szCs w:val="24"/>
          <w:highlight w:val="none"/>
          <w:u w:val="single"/>
        </w:rPr>
        <w:t xml:space="preserve">□</w:t>
      </w:r>
      <w:r>
        <w:rPr>
          <w:rFonts w:hint="eastAsia" w:hAnsi="宋体" w:cs="宋体"/>
          <w:color w:val="auto"/>
          <w:highlight w:val="none"/>
          <w:u w:val="single"/>
        </w:rPr>
        <w:t xml:space="preserve">中型企业、</w:t>
      </w:r>
      <w:r>
        <w:rPr>
          <w:rFonts w:hint="eastAsia" w:hAnsi="宋体" w:cs="宋体"/>
          <w:color w:val="auto"/>
          <w:szCs w:val="24"/>
          <w:highlight w:val="none"/>
          <w:u w:val="single"/>
        </w:rPr>
        <w:t xml:space="preserve">□</w:t>
      </w:r>
      <w:r>
        <w:rPr>
          <w:rFonts w:hint="eastAsia" w:hAnsi="宋体" w:cs="宋体"/>
          <w:color w:val="auto"/>
          <w:highlight w:val="none"/>
          <w:u w:val="single"/>
        </w:rPr>
        <w:t xml:space="preserve">小型企业、</w:t>
      </w:r>
      <w:r>
        <w:rPr>
          <w:rFonts w:hint="eastAsia" w:hAnsi="宋体" w:cs="宋体"/>
          <w:color w:val="auto"/>
          <w:szCs w:val="24"/>
          <w:highlight w:val="none"/>
          <w:u w:val="single"/>
        </w:rPr>
        <w:t xml:space="preserve">□</w:t>
      </w:r>
      <w:r>
        <w:rPr>
          <w:rFonts w:hint="eastAsia" w:hAnsi="宋体" w:cs="宋体"/>
          <w:color w:val="auto"/>
          <w:highlight w:val="none"/>
          <w:u w:val="single"/>
        </w:rPr>
        <w:t xml:space="preserve">微型企业）</w:t>
      </w:r>
      <w:r>
        <w:rPr>
          <w:rFonts w:hint="eastAsia" w:hAnsi="宋体" w:cs="宋体"/>
          <w:color w:val="auto"/>
          <w:highlight w:val="none"/>
        </w:rPr>
        <w:t xml:space="preserve">；</w:t>
      </w:r>
      <w:r/>
    </w:p>
    <w:p>
      <w:pPr>
        <w:contextualSpacing/>
        <w:ind w:firstLine="420"/>
        <w:jc w:val="left"/>
        <w:spacing w:line="360" w:lineRule="auto"/>
        <w:rPr>
          <w:rFonts w:hAnsi="宋体" w:cs="宋体"/>
          <w:color w:val="auto"/>
          <w:highlight w:val="none"/>
        </w:rPr>
      </w:pPr>
      <w:r>
        <w:rPr>
          <w:rFonts w:hint="eastAsia" w:hAnsi="宋体" w:cs="宋体"/>
          <w:color w:val="auto"/>
          <w:highlight w:val="none"/>
        </w:rPr>
        <w:t xml:space="preserve">2. </w:t>
      </w:r>
      <w:r>
        <w:rPr>
          <w:rFonts w:hint="eastAsia" w:hAnsi="宋体" w:cs="宋体"/>
          <w:color w:val="auto"/>
          <w:highlight w:val="none"/>
          <w:u w:val="single"/>
        </w:rPr>
        <w:t xml:space="preserve">（标的名称）</w:t>
      </w:r>
      <w:r>
        <w:rPr>
          <w:rFonts w:hint="eastAsia" w:hAnsi="宋体" w:cs="宋体"/>
          <w:color w:val="auto"/>
          <w:highlight w:val="none"/>
        </w:rPr>
        <w:t xml:space="preserve">，属于</w:t>
      </w:r>
      <w:r>
        <w:rPr>
          <w:rFonts w:hint="eastAsia" w:hAnsi="宋体" w:cs="宋体"/>
          <w:color w:val="auto"/>
          <w:highlight w:val="none"/>
          <w:u w:val="single"/>
        </w:rPr>
        <w:t xml:space="preserve">（招标文件中明确的所属行业）</w:t>
      </w:r>
      <w:r>
        <w:rPr>
          <w:rFonts w:hint="eastAsia" w:hAnsi="宋体" w:cs="宋体"/>
          <w:color w:val="auto"/>
          <w:highlight w:val="none"/>
        </w:rPr>
        <w:t xml:space="preserve">；承建（承接）企业为</w:t>
      </w:r>
      <w:r>
        <w:rPr>
          <w:rFonts w:hint="eastAsia" w:hAnsi="宋体" w:cs="宋体"/>
          <w:color w:val="auto"/>
          <w:highlight w:val="none"/>
          <w:u w:val="single"/>
        </w:rPr>
        <w:t xml:space="preserve">（企业名称）</w:t>
      </w:r>
      <w:r>
        <w:rPr>
          <w:rFonts w:hint="eastAsia" w:hAnsi="宋体" w:cs="宋体"/>
          <w:color w:val="auto"/>
          <w:highlight w:val="none"/>
        </w:rPr>
        <w:t xml:space="preserve">，从业人员</w:t>
      </w:r>
      <w:r>
        <w:rPr>
          <w:rFonts w:hint="eastAsia" w:hAnsi="宋体" w:cs="宋体"/>
          <w:color w:val="auto"/>
          <w:highlight w:val="none"/>
          <w:u w:val="single"/>
        </w:rPr>
        <w:t xml:space="preserve">  </w:t>
      </w:r>
      <w:r>
        <w:rPr>
          <w:rFonts w:hint="eastAsia" w:hAnsi="宋体" w:cs="宋体"/>
          <w:color w:val="auto"/>
          <w:highlight w:val="none"/>
        </w:rPr>
        <w:t xml:space="preserve">人，营业收入为</w:t>
      </w:r>
      <w:r>
        <w:rPr>
          <w:rFonts w:hint="eastAsia" w:hAnsi="宋体" w:cs="宋体"/>
          <w:color w:val="auto"/>
          <w:highlight w:val="none"/>
          <w:u w:val="single"/>
        </w:rPr>
        <w:t xml:space="preserve">     </w:t>
      </w:r>
      <w:r>
        <w:rPr>
          <w:rFonts w:hint="eastAsia" w:hAnsi="宋体" w:cs="宋体"/>
          <w:color w:val="auto"/>
          <w:highlight w:val="none"/>
        </w:rPr>
        <w:t xml:space="preserve">万元，资产总额为</w:t>
      </w:r>
      <w:r>
        <w:rPr>
          <w:rFonts w:hint="eastAsia" w:hAnsi="宋体" w:cs="宋体"/>
          <w:color w:val="auto"/>
          <w:highlight w:val="none"/>
          <w:u w:val="single"/>
        </w:rPr>
        <w:t xml:space="preserve">   </w:t>
      </w:r>
      <w:r>
        <w:rPr>
          <w:rFonts w:hint="eastAsia" w:hAnsi="宋体" w:cs="宋体"/>
          <w:color w:val="auto"/>
          <w:highlight w:val="none"/>
        </w:rPr>
        <w:t xml:space="preserve">万元，属于</w:t>
      </w:r>
      <w:r>
        <w:rPr>
          <w:rFonts w:hint="eastAsia" w:hAnsi="宋体" w:cs="宋体"/>
          <w:color w:val="auto"/>
          <w:highlight w:val="none"/>
          <w:u w:val="single"/>
        </w:rPr>
        <w:t xml:space="preserve">（</w:t>
      </w:r>
      <w:r>
        <w:rPr>
          <w:rFonts w:hint="eastAsia" w:hAnsi="宋体" w:cs="宋体"/>
          <w:color w:val="auto"/>
          <w:szCs w:val="24"/>
          <w:highlight w:val="none"/>
          <w:u w:val="single"/>
        </w:rPr>
        <w:t xml:space="preserve">□</w:t>
      </w:r>
      <w:r>
        <w:rPr>
          <w:rFonts w:hint="eastAsia" w:hAnsi="宋体" w:cs="宋体"/>
          <w:color w:val="auto"/>
          <w:highlight w:val="none"/>
          <w:u w:val="single"/>
        </w:rPr>
        <w:t xml:space="preserve">中型企业、</w:t>
      </w:r>
      <w:r>
        <w:rPr>
          <w:rFonts w:hint="eastAsia" w:hAnsi="宋体" w:cs="宋体"/>
          <w:color w:val="auto"/>
          <w:szCs w:val="24"/>
          <w:highlight w:val="none"/>
          <w:u w:val="single"/>
        </w:rPr>
        <w:t xml:space="preserve">□</w:t>
      </w:r>
      <w:r>
        <w:rPr>
          <w:rFonts w:hint="eastAsia" w:hAnsi="宋体" w:cs="宋体"/>
          <w:color w:val="auto"/>
          <w:highlight w:val="none"/>
          <w:u w:val="single"/>
        </w:rPr>
        <w:t xml:space="preserve">小型企业、</w:t>
      </w:r>
      <w:r>
        <w:rPr>
          <w:rFonts w:hint="eastAsia" w:hAnsi="宋体" w:cs="宋体"/>
          <w:color w:val="auto"/>
          <w:szCs w:val="24"/>
          <w:highlight w:val="none"/>
          <w:u w:val="single"/>
        </w:rPr>
        <w:t xml:space="preserve">□</w:t>
      </w:r>
      <w:r>
        <w:rPr>
          <w:rFonts w:hint="eastAsia" w:hAnsi="宋体" w:cs="宋体"/>
          <w:color w:val="auto"/>
          <w:highlight w:val="none"/>
          <w:u w:val="single"/>
        </w:rPr>
        <w:t xml:space="preserve">微型企业）</w:t>
      </w:r>
      <w:r>
        <w:rPr>
          <w:rFonts w:hint="eastAsia" w:hAnsi="宋体" w:cs="宋体"/>
          <w:color w:val="auto"/>
          <w:highlight w:val="none"/>
        </w:rPr>
        <w:t xml:space="preserve">；</w:t>
      </w:r>
      <w:r/>
    </w:p>
    <w:p>
      <w:pPr>
        <w:contextualSpacing/>
        <w:ind w:firstLine="420"/>
        <w:jc w:val="left"/>
        <w:spacing w:line="360" w:lineRule="auto"/>
        <w:rPr>
          <w:rFonts w:hAnsi="宋体" w:cs="宋体"/>
          <w:color w:val="auto"/>
          <w:highlight w:val="none"/>
        </w:rPr>
      </w:pPr>
      <w:r>
        <w:rPr>
          <w:rFonts w:hint="eastAsia" w:hAnsi="宋体" w:cs="宋体"/>
          <w:color w:val="auto"/>
          <w:highlight w:val="none"/>
        </w:rPr>
        <w:t xml:space="preserve">……</w:t>
      </w:r>
      <w:r/>
    </w:p>
    <w:p>
      <w:pPr>
        <w:contextualSpacing/>
        <w:ind w:firstLine="420"/>
        <w:jc w:val="left"/>
        <w:spacing w:line="360" w:lineRule="auto"/>
        <w:rPr>
          <w:rFonts w:hAnsi="宋体" w:cs="宋体"/>
          <w:color w:val="auto"/>
          <w:highlight w:val="none"/>
        </w:rPr>
      </w:pPr>
      <w:r>
        <w:rPr>
          <w:rFonts w:hint="eastAsia" w:hAnsi="宋体" w:cs="宋体"/>
          <w:color w:val="auto"/>
          <w:highlight w:val="none"/>
        </w:rPr>
        <w:t xml:space="preserve">以上企业，不属于大企业的分支机构，不存在控股股东为大企业的情形，也不存在与大企业的负责人为同一人的情形。</w:t>
      </w:r>
      <w:r/>
    </w:p>
    <w:p>
      <w:pPr>
        <w:contextualSpacing/>
        <w:ind w:firstLine="420"/>
        <w:jc w:val="left"/>
        <w:spacing w:line="360" w:lineRule="auto"/>
        <w:rPr>
          <w:rFonts w:hAnsi="宋体" w:cs="宋体"/>
          <w:color w:val="auto"/>
          <w:highlight w:val="none"/>
        </w:rPr>
      </w:pPr>
      <w:r>
        <w:rPr>
          <w:rFonts w:hint="eastAsia" w:hAnsi="宋体" w:cs="宋体"/>
          <w:color w:val="auto"/>
          <w:highlight w:val="none"/>
        </w:rPr>
        <w:t xml:space="preserve">本企业对上述声明内容的真实性负责。如有虚假，将依法承担相应责任。</w:t>
      </w:r>
      <w:r/>
    </w:p>
    <w:p>
      <w:pPr>
        <w:contextualSpacing/>
        <w:ind w:firstLine="420"/>
        <w:jc w:val="left"/>
        <w:spacing w:line="360" w:lineRule="auto"/>
        <w:rPr>
          <w:rFonts w:hAnsi="宋体" w:cs="宋体"/>
          <w:color w:val="auto"/>
          <w:highlight w:val="none"/>
        </w:rPr>
      </w:pPr>
      <w:r>
        <w:rPr>
          <w:rFonts w:hAnsi="宋体" w:cs="宋体"/>
          <w:color w:val="auto"/>
          <w:highlight w:val="none"/>
        </w:rPr>
      </w:r>
      <w:r/>
    </w:p>
    <w:p>
      <w:pPr>
        <w:contextualSpacing/>
        <w:ind w:firstLine="420"/>
        <w:jc w:val="left"/>
        <w:spacing w:line="360" w:lineRule="auto"/>
        <w:rPr>
          <w:rFonts w:hAnsi="宋体" w:cs="宋体"/>
          <w:color w:val="auto"/>
          <w:highlight w:val="none"/>
        </w:rPr>
      </w:pPr>
      <w:r>
        <w:rPr>
          <w:rFonts w:hAnsi="宋体" w:cs="宋体"/>
          <w:color w:val="auto"/>
          <w:highlight w:val="none"/>
        </w:rPr>
      </w:r>
      <w:r/>
    </w:p>
    <w:p>
      <w:pPr>
        <w:pStyle w:val="781"/>
        <w:ind w:firstLine="6000"/>
        <w:spacing w:line="360" w:lineRule="auto"/>
        <w:tabs>
          <w:tab w:val="left" w:pos="7098"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投标人名称（盖章）：</w:t>
      </w:r>
      <w:r/>
    </w:p>
    <w:p>
      <w:pPr>
        <w:pStyle w:val="781"/>
        <w:ind w:firstLine="6000"/>
        <w:spacing w:line="360" w:lineRule="auto"/>
        <w:tabs>
          <w:tab w:val="left" w:pos="7098"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contextualSpacing/>
        <w:jc w:val="left"/>
        <w:spacing w:line="360" w:lineRule="auto"/>
        <w:rPr>
          <w:rFonts w:hAnsi="宋体" w:cs="宋体"/>
          <w:color w:val="auto"/>
          <w:highlight w:val="none"/>
        </w:rPr>
      </w:pPr>
      <w:r>
        <w:rPr>
          <w:rFonts w:hAnsi="宋体" w:cs="宋体"/>
          <w:color w:val="auto"/>
          <w:highlight w:val="none"/>
        </w:rPr>
      </w:r>
      <w:r/>
    </w:p>
    <w:p>
      <w:pPr>
        <w:contextualSpacing/>
        <w:ind w:firstLine="420"/>
        <w:jc w:val="left"/>
        <w:spacing w:line="360" w:lineRule="auto"/>
        <w:rPr>
          <w:rFonts w:hAnsi="宋体" w:cs="宋体"/>
          <w:color w:val="auto"/>
          <w:highlight w:val="none"/>
        </w:rPr>
      </w:pPr>
      <w:r>
        <w:rPr>
          <w:rFonts w:hAnsi="宋体" w:cs="宋体"/>
          <w:color w:val="auto"/>
          <w:highlight w:val="none"/>
        </w:rPr>
      </w:r>
      <w:r/>
    </w:p>
    <w:p>
      <w:pPr>
        <w:pStyle w:val="781"/>
        <w:ind w:right="2742" w:firstLine="578"/>
        <w:jc w:val="right"/>
        <w:spacing w:before="29" w:line="316" w:lineRule="auto"/>
        <w:rPr>
          <w:rFonts w:ascii="宋体" w:hAnsi="宋体" w:eastAsia="宋体" w:cs="宋体"/>
          <w:color w:val="auto"/>
          <w:spacing w:val="24"/>
          <w:highlight w:val="none"/>
        </w:rPr>
      </w:pPr>
      <w:r>
        <w:rPr>
          <w:rFonts w:ascii="宋体" w:hAnsi="宋体" w:eastAsia="宋体" w:cs="宋体"/>
          <w:color w:val="auto"/>
          <w:spacing w:val="24"/>
          <w:highlight w:val="none"/>
        </w:rPr>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1.从业人员、营业收入、资产总额填报上一年度数据，无上一年度数据的新成立企业可不填报。</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供应商如不提供此声明函，则</w:t>
      </w:r>
      <w:r>
        <w:rPr>
          <w:rFonts w:ascii="宋体" w:hAnsi="宋体"/>
          <w:color w:val="auto"/>
          <w:sz w:val="24"/>
          <w:szCs w:val="24"/>
          <w:highlight w:val="none"/>
        </w:rPr>
        <w:t xml:space="preserve">不能通过资格审查；</w:t>
      </w:r>
      <w:r>
        <w:rPr>
          <w:rFonts w:hint="eastAsia" w:ascii="宋体" w:hAnsi="宋体"/>
          <w:color w:val="auto"/>
          <w:sz w:val="24"/>
          <w:szCs w:val="24"/>
          <w:highlight w:val="none"/>
        </w:rPr>
        <w:t xml:space="preserve">非专门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供应商如不提供此声明函，价格将不做相应扣除。</w:t>
      </w:r>
      <w:r/>
    </w:p>
    <w:p>
      <w:pPr>
        <w:ind w:left="540" w:hanging="1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3.供应商应对照《工业和信息化部、国家统计局、国家发展和改革委员会、</w:t>
      </w:r>
      <w:r/>
    </w:p>
    <w:p>
      <w:pPr>
        <w:contextualSpacing/>
        <w:ind w:firstLine="480"/>
        <w:spacing w:line="360" w:lineRule="auto"/>
        <w:rPr>
          <w:rFonts w:hAnsi="宋体" w:cs="宋体"/>
          <w:color w:val="auto"/>
          <w:highlight w:val="none"/>
        </w:rPr>
      </w:pPr>
      <w:r>
        <w:rPr>
          <w:rFonts w:hint="eastAsia" w:ascii="宋体" w:hAnsi="宋体"/>
          <w:color w:val="auto"/>
          <w:sz w:val="24"/>
          <w:szCs w:val="24"/>
          <w:highlight w:val="none"/>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auto"/>
          <w:sz w:val="24"/>
          <w:szCs w:val="24"/>
          <w:highlight w:val="none"/>
        </w:rPr>
        <w:t xml:space="preserve">自行勾选</w:t>
      </w:r>
      <w:r>
        <w:rPr>
          <w:rFonts w:hint="eastAsia" w:ascii="宋体" w:hAnsi="宋体"/>
          <w:color w:val="auto"/>
          <w:sz w:val="24"/>
          <w:szCs w:val="24"/>
          <w:highlight w:val="none"/>
        </w:rPr>
        <w:t xml:space="preserve">制造商</w:t>
      </w:r>
      <w:r>
        <w:rPr>
          <w:rFonts w:ascii="宋体" w:hAnsi="宋体"/>
          <w:color w:val="auto"/>
          <w:sz w:val="24"/>
          <w:szCs w:val="24"/>
          <w:highlight w:val="none"/>
        </w:rPr>
        <w:t xml:space="preserve">的企业</w:t>
      </w:r>
      <w:r>
        <w:rPr>
          <w:rFonts w:hint="eastAsia" w:ascii="宋体" w:hAnsi="宋体"/>
          <w:color w:val="auto"/>
          <w:sz w:val="24"/>
          <w:szCs w:val="24"/>
          <w:highlight w:val="none"/>
        </w:rPr>
        <w:t xml:space="preserve">规模类型</w:t>
      </w:r>
      <w:r>
        <w:rPr>
          <w:rFonts w:ascii="宋体" w:hAnsi="宋体"/>
          <w:color w:val="auto"/>
          <w:sz w:val="24"/>
          <w:szCs w:val="24"/>
          <w:highlight w:val="none"/>
        </w:rPr>
        <w:t xml:space="preserve">。</w:t>
      </w:r>
      <w:r>
        <w:rPr>
          <w:rFonts w:hint="eastAsia" w:ascii="宋体" w:hAnsi="宋体"/>
          <w:color w:val="auto"/>
          <w:sz w:val="24"/>
          <w:szCs w:val="24"/>
          <w:highlight w:val="none"/>
        </w:rPr>
        <w:t xml:space="preserve">  </w:t>
      </w:r>
      <w:r/>
    </w:p>
    <w:p>
      <w:pPr>
        <w:jc w:val="left"/>
        <w:rPr>
          <w:rFonts w:cs="宋体"/>
          <w:color w:val="auto"/>
          <w:highlight w:val="none"/>
        </w:rPr>
      </w:pPr>
      <w:r>
        <w:rPr>
          <w:rFonts w:cs="宋体"/>
          <w:color w:val="auto"/>
          <w:highlight w:val="none"/>
        </w:rPr>
      </w:r>
      <w:r/>
    </w:p>
    <w:p>
      <w:pPr>
        <w:pStyle w:val="976"/>
        <w:jc w:val="center"/>
        <w:spacing w:before="300" w:after="300" w:line="360" w:lineRule="auto"/>
        <w:widowControl/>
        <w:rPr>
          <w:rFonts w:ascii="宋体" w:hAnsi="宋体" w:cs="宋体"/>
          <w:color w:val="auto"/>
          <w:sz w:val="21"/>
          <w:szCs w:val="21"/>
          <w:highlight w:val="none"/>
        </w:rPr>
      </w:pPr>
      <w:r/>
      <w:bookmarkStart w:id="244" w:name="_Toc109304977"/>
      <w:r/>
      <w:bookmarkStart w:id="245" w:name="_Toc32196"/>
      <w:r>
        <w:rPr>
          <w:rFonts w:hint="eastAsia" w:ascii="宋体" w:hAnsi="宋体" w:cs="宋体"/>
          <w:color w:val="auto"/>
          <w:sz w:val="21"/>
          <w:szCs w:val="21"/>
          <w:highlight w:val="none"/>
        </w:rPr>
        <w:t xml:space="preserve">中小微企业划型标准</w:t>
      </w:r>
      <w:bookmarkEnd w:id="244"/>
      <w:r>
        <w:rPr>
          <w:rFonts w:hint="eastAsia" w:ascii="宋体" w:hAnsi="宋体" w:cs="宋体"/>
          <w:color w:val="auto"/>
          <w:sz w:val="21"/>
          <w:szCs w:val="21"/>
          <w:highlight w:val="none"/>
        </w:rPr>
        <w:t xml:space="preserve"> </w:t>
      </w:r>
      <w:bookmarkEnd w:id="245"/>
      <w:r/>
      <w:r/>
    </w:p>
    <w:p>
      <w:pPr>
        <w:pStyle w:val="1040"/>
        <w:ind w:firstLine="420"/>
        <w:spacing w:before="300" w:after="452"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中小微企业划型标准如下：</w:t>
      </w:r>
      <w:r/>
    </w:p>
    <w:tbl>
      <w:tblPr>
        <w:tblStyle w:val="776"/>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610"/>
        <w:gridCol w:w="1941"/>
        <w:gridCol w:w="559"/>
        <w:gridCol w:w="2332"/>
        <w:gridCol w:w="1908"/>
        <w:gridCol w:w="1671"/>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Ansi="宋体" w:cs="宋体"/>
                <w:color w:val="auto"/>
                <w:sz w:val="21"/>
                <w:szCs w:val="21"/>
                <w:highlight w:val="none"/>
              </w:rPr>
            </w:pPr>
            <w:r>
              <w:rPr>
                <w:rStyle w:val="1048"/>
                <w:rFonts w:hint="eastAsia" w:hAnsi="宋体" w:cs="宋体"/>
                <w:color w:val="auto"/>
                <w:sz w:val="21"/>
                <w:szCs w:val="21"/>
                <w:highlight w:val="none"/>
              </w:rPr>
              <w:t xml:space="preserve">X＜10</w:t>
            </w:r>
            <w:r/>
          </w:p>
        </w:tc>
      </w:tr>
    </w:tbl>
    <w:p>
      <w:pPr>
        <w:pStyle w:val="1040"/>
        <w:ind w:firstLine="420"/>
        <w:spacing w:before="300" w:after="452" w:line="360" w:lineRule="auto"/>
        <w:rPr>
          <w:rStyle w:val="1048"/>
          <w:rFonts w:hAnsi="宋体" w:cs="宋体"/>
          <w:color w:val="auto"/>
          <w:sz w:val="21"/>
          <w:szCs w:val="21"/>
          <w:highlight w:val="none"/>
        </w:rPr>
      </w:pPr>
      <w:r>
        <w:rPr>
          <w:rStyle w:val="1048"/>
          <w:rFonts w:hint="eastAsia"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widowControl/>
        <w:rPr>
          <w:rFonts w:ascii="黑体" w:hAnsi="黑体" w:eastAsia="黑体"/>
          <w:b/>
          <w:color w:val="auto"/>
          <w:sz w:val="32"/>
          <w:szCs w:val="24"/>
          <w:highlight w:val="none"/>
        </w:rPr>
      </w:pPr>
      <w:r>
        <w:rPr>
          <w:rFonts w:hint="eastAsia" w:ascii="黑体" w:hAnsi="黑体" w:eastAsia="黑体"/>
          <w:b/>
          <w:color w:val="auto"/>
          <w:sz w:val="32"/>
          <w:szCs w:val="24"/>
          <w:highlight w:val="none"/>
        </w:rPr>
        <w:br w:type="page" w:clear="all"/>
      </w:r>
      <w:r/>
    </w:p>
    <w:p>
      <w:pPr>
        <w:jc w:val="center"/>
        <w:rPr>
          <w:color w:val="auto"/>
          <w:highlight w:val="none"/>
        </w:rPr>
      </w:pPr>
      <w:r>
        <w:rPr>
          <w:rFonts w:hint="eastAsia" w:ascii="黑体" w:hAnsi="黑体" w:eastAsia="黑体"/>
          <w:b/>
          <w:color w:val="auto"/>
          <w:sz w:val="32"/>
          <w:szCs w:val="24"/>
          <w:highlight w:val="none"/>
        </w:rPr>
        <w:t xml:space="preserve">属于监狱企业的证明文件</w:t>
      </w:r>
      <w:r/>
    </w:p>
    <w:p>
      <w:pPr>
        <w:rPr>
          <w:color w:val="auto"/>
          <w:highlight w:val="none"/>
        </w:rPr>
      </w:pPr>
      <w:r>
        <w:rPr>
          <w:rFonts w:hint="eastAsia"/>
          <w:color w:val="auto"/>
          <w:highlight w:val="none"/>
        </w:rPr>
        <w:t xml:space="preserve">（提供由省级以上监狱管理局、戒毒管理局(含新疆生产建设兵团)出具的属于监狱企业的证明文件）</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rFonts w:ascii="黑体" w:hAnsi="黑体" w:eastAsia="黑体"/>
          <w:b/>
          <w:color w:val="auto"/>
          <w:sz w:val="32"/>
          <w:szCs w:val="24"/>
          <w:highlight w:val="none"/>
        </w:rPr>
      </w:pPr>
      <w:r/>
      <w:bookmarkStart w:id="246" w:name="_Toc5876"/>
      <w:r/>
      <w:bookmarkEnd w:id="246"/>
      <w:r>
        <w:rPr>
          <w:rFonts w:hint="eastAsia" w:ascii="黑体" w:hAnsi="黑体" w:eastAsia="黑体"/>
          <w:b/>
          <w:color w:val="auto"/>
          <w:sz w:val="32"/>
          <w:szCs w:val="24"/>
          <w:highlight w:val="none"/>
        </w:rPr>
        <w:t xml:space="preserve">节能产品认证证书</w:t>
      </w:r>
      <w:r/>
    </w:p>
    <w:p>
      <w:pPr>
        <w:rPr>
          <w:color w:val="auto"/>
          <w:highlight w:val="none"/>
        </w:rPr>
      </w:pPr>
      <w:r>
        <w:rPr>
          <w:rFonts w:hint="eastAsia"/>
          <w:color w:val="auto"/>
          <w:highlight w:val="none"/>
        </w:rPr>
        <w:t xml:space="preserve">（提供国家确定的认证机构出具的、处于有效期之内的产品认证证书）</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jc w:val="center"/>
        <w:rPr>
          <w:rFonts w:ascii="黑体" w:hAnsi="黑体" w:eastAsia="黑体"/>
          <w:b/>
          <w:color w:val="auto"/>
          <w:sz w:val="32"/>
          <w:szCs w:val="24"/>
          <w:highlight w:val="none"/>
        </w:rPr>
      </w:pPr>
      <w:r>
        <w:rPr>
          <w:rFonts w:ascii="黑体" w:hAnsi="黑体" w:eastAsia="黑体"/>
          <w:b/>
          <w:color w:val="auto"/>
          <w:sz w:val="32"/>
          <w:szCs w:val="24"/>
          <w:highlight w:val="none"/>
        </w:rPr>
      </w:r>
      <w:r/>
    </w:p>
    <w:p>
      <w:pPr>
        <w:jc w:val="center"/>
        <w:rPr>
          <w:rFonts w:ascii="黑体" w:hAnsi="黑体" w:eastAsia="黑体"/>
          <w:b/>
          <w:color w:val="auto"/>
          <w:sz w:val="32"/>
          <w:szCs w:val="24"/>
          <w:highlight w:val="none"/>
        </w:rPr>
      </w:pPr>
      <w:r/>
      <w:bookmarkStart w:id="247" w:name="_Toc16386"/>
      <w:r/>
      <w:bookmarkEnd w:id="247"/>
      <w:r>
        <w:rPr>
          <w:rFonts w:hint="eastAsia" w:ascii="黑体" w:hAnsi="黑体" w:eastAsia="黑体"/>
          <w:b/>
          <w:color w:val="auto"/>
          <w:sz w:val="32"/>
          <w:szCs w:val="24"/>
          <w:highlight w:val="none"/>
        </w:rPr>
        <w:t xml:space="preserve">环境标志产品认证证书</w:t>
      </w:r>
      <w:r/>
    </w:p>
    <w:p>
      <w:pPr>
        <w:rPr>
          <w:color w:val="auto"/>
          <w:highlight w:val="none"/>
        </w:rPr>
      </w:pPr>
      <w:r>
        <w:rPr>
          <w:rFonts w:hint="eastAsia"/>
          <w:color w:val="auto"/>
          <w:highlight w:val="none"/>
        </w:rPr>
        <w:t xml:space="preserve">（提供国家确定的认证机构出具的、处于有效期之内的产品认证证书）</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jc w:val="center"/>
        <w:rPr>
          <w:rFonts w:ascii="黑体" w:hAnsi="黑体" w:eastAsia="黑体"/>
          <w:b/>
          <w:color w:val="auto"/>
          <w:sz w:val="32"/>
          <w:szCs w:val="24"/>
          <w:highlight w:val="none"/>
        </w:rPr>
      </w:pPr>
      <w:r>
        <w:rPr>
          <w:rFonts w:hint="eastAsia" w:ascii="黑体" w:hAnsi="黑体" w:eastAsia="黑体"/>
          <w:b/>
          <w:color w:val="auto"/>
          <w:sz w:val="32"/>
          <w:szCs w:val="24"/>
          <w:highlight w:val="none"/>
        </w:rPr>
        <w:t xml:space="preserve"> </w:t>
      </w:r>
      <w:r/>
    </w:p>
    <w:p>
      <w:pPr>
        <w:jc w:val="center"/>
        <w:rPr>
          <w:rFonts w:ascii="黑体" w:hAnsi="黑体" w:eastAsia="黑体"/>
          <w:b/>
          <w:color w:val="auto"/>
          <w:sz w:val="32"/>
          <w:szCs w:val="24"/>
          <w:highlight w:val="none"/>
        </w:rPr>
      </w:pPr>
      <w:r/>
      <w:bookmarkStart w:id="248" w:name="_Toc1060"/>
      <w:r/>
      <w:bookmarkEnd w:id="248"/>
      <w:r>
        <w:rPr>
          <w:rFonts w:hint="eastAsia" w:ascii="黑体" w:hAnsi="黑体" w:eastAsia="黑体"/>
          <w:b/>
          <w:color w:val="auto"/>
          <w:sz w:val="32"/>
          <w:szCs w:val="24"/>
          <w:highlight w:val="none"/>
        </w:rPr>
        <w:t xml:space="preserve">进口产品转让技术、消化吸收再创新方案</w:t>
      </w:r>
      <w:r/>
    </w:p>
    <w:p>
      <w:pPr>
        <w:rPr>
          <w:color w:val="auto"/>
          <w:highlight w:val="none"/>
        </w:rPr>
      </w:pPr>
      <w:r>
        <w:rPr>
          <w:rFonts w:hint="eastAsia"/>
          <w:color w:val="auto"/>
          <w:highlight w:val="none"/>
        </w:rPr>
        <w:t xml:space="preserve">（对于允许进口产品参加的项目）</w:t>
      </w:r>
      <w:r/>
    </w:p>
    <w:p>
      <w:pPr>
        <w:rPr>
          <w:rFonts w:ascii="黑体" w:hAnsi="黑体" w:eastAsia="黑体"/>
          <w:color w:val="auto"/>
          <w:sz w:val="32"/>
          <w:highlight w:val="none"/>
        </w:rPr>
      </w:pPr>
      <w:r>
        <w:rPr>
          <w:color w:val="auto"/>
          <w:highlight w:val="none"/>
        </w:rPr>
        <w:br w:type="page" w:clear="all"/>
      </w:r>
      <w:r/>
    </w:p>
    <w:p>
      <w:pPr>
        <w:pStyle w:val="1263"/>
        <w:rPr>
          <w:color w:val="auto"/>
          <w:highlight w:val="none"/>
        </w:rPr>
        <w:outlineLvl w:val="1"/>
      </w:pPr>
      <w:r/>
      <w:bookmarkStart w:id="249" w:name="_Toc4596"/>
      <w:r/>
      <w:bookmarkStart w:id="250" w:name="_Toc356"/>
      <w:r/>
      <w:bookmarkStart w:id="251" w:name="_Toc15535"/>
      <w:r/>
      <w:bookmarkStart w:id="252" w:name="_Toc164203482"/>
      <w:r>
        <w:rPr>
          <w:rFonts w:hint="eastAsia"/>
          <w:color w:val="auto"/>
          <w:highlight w:val="none"/>
        </w:rPr>
        <w:t xml:space="preserve">十六、</w:t>
      </w:r>
      <w:r>
        <w:rPr>
          <w:color w:val="auto"/>
          <w:highlight w:val="none"/>
        </w:rPr>
        <w:t xml:space="preserve">响应偏差表</w:t>
      </w:r>
      <w:bookmarkEnd w:id="242"/>
      <w:r/>
      <w:bookmarkEnd w:id="243"/>
      <w:r/>
      <w:bookmarkEnd w:id="249"/>
      <w:r/>
      <w:bookmarkEnd w:id="250"/>
      <w:r/>
      <w:bookmarkEnd w:id="251"/>
      <w:r/>
      <w:bookmarkEnd w:id="252"/>
      <w:r/>
      <w:r/>
    </w:p>
    <w:p>
      <w:pPr>
        <w:pStyle w:val="1076"/>
        <w:jc w:val="center"/>
        <w:rPr>
          <w:color w:val="auto"/>
          <w:sz w:val="32"/>
          <w:szCs w:val="32"/>
          <w:highlight w:val="none"/>
        </w:rPr>
      </w:pPr>
      <w:r>
        <w:rPr>
          <w:rFonts w:hint="eastAsia"/>
          <w:color w:val="auto"/>
          <w:sz w:val="32"/>
          <w:szCs w:val="32"/>
          <w:highlight w:val="none"/>
        </w:rPr>
        <w:t xml:space="preserve">（一）技术响应偏差表</w:t>
      </w:r>
      <w:r/>
    </w:p>
    <w:tbl>
      <w:tblPr>
        <w:tblStyle w:val="77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0"/>
        <w:gridCol w:w="1898"/>
        <w:gridCol w:w="2100"/>
        <w:gridCol w:w="2232"/>
        <w:gridCol w:w="1790"/>
      </w:tblGrid>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6"/>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6"/>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6"/>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6"/>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6"/>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136"/>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6"/>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法定代表人（或授权代表）：（签字或盖章）</w:t>
      </w:r>
      <w:r>
        <w:rPr>
          <w:rFonts w:hint="eastAsia" w:ascii="仿宋_GB2312" w:eastAsia="仿宋_GB2312"/>
          <w:color w:val="auto"/>
          <w:sz w:val="24"/>
          <w:highlight w:val="none"/>
          <w:u w:val="single"/>
        </w:rPr>
        <w:t xml:space="preserve">              </w:t>
      </w:r>
      <w:r/>
    </w:p>
    <w:p>
      <w:pPr>
        <w:pStyle w:val="1075"/>
        <w:ind w:firstLine="482"/>
        <w:rPr>
          <w:rFonts w:hAnsi="宋体"/>
          <w:b/>
          <w:bCs/>
          <w:color w:val="auto"/>
          <w:sz w:val="24"/>
          <w:szCs w:val="28"/>
          <w:highlight w:val="none"/>
        </w:rPr>
      </w:pPr>
      <w:r>
        <w:rPr>
          <w:rFonts w:hAnsi="宋体"/>
          <w:b/>
          <w:bCs/>
          <w:color w:val="auto"/>
          <w:sz w:val="24"/>
          <w:szCs w:val="28"/>
          <w:highlight w:val="none"/>
        </w:rPr>
      </w:r>
      <w:r/>
    </w:p>
    <w:p>
      <w:pPr>
        <w:pStyle w:val="1401"/>
        <w:jc w:val="center"/>
        <w:rPr>
          <w:color w:val="auto"/>
          <w:highlight w:val="none"/>
        </w:rPr>
      </w:pPr>
      <w:r>
        <w:rPr>
          <w:rFonts w:hint="eastAsia" w:hAnsi="宋体"/>
          <w:bCs/>
          <w:color w:val="auto"/>
          <w:sz w:val="24"/>
          <w:szCs w:val="28"/>
          <w:highlight w:val="none"/>
        </w:rPr>
        <w:t xml:space="preserve">注：1.投标人须对照招标文件第四部分“采购需求”，逐条说明所提供货物和服务已对招标文件的技术规格做出了实质性的响应，并申明与技术规格条文的偏差和例外。</w:t>
      </w:r>
      <w:r/>
    </w:p>
    <w:p>
      <w:pPr>
        <w:rPr>
          <w:color w:val="auto"/>
          <w:highlight w:val="none"/>
        </w:rPr>
      </w:pPr>
      <w:r/>
      <w:bookmarkStart w:id="253" w:name="_Toc8566"/>
      <w:r/>
      <w:bookmarkStart w:id="254" w:name="_Toc9396"/>
      <w:r>
        <w:rPr>
          <w:color w:val="auto"/>
          <w:highlight w:val="none"/>
        </w:rPr>
        <w:br w:type="page" w:clear="all"/>
      </w:r>
      <w:r/>
    </w:p>
    <w:p>
      <w:pPr>
        <w:pStyle w:val="1076"/>
        <w:jc w:val="center"/>
        <w:rPr>
          <w:color w:val="auto"/>
          <w:sz w:val="32"/>
          <w:szCs w:val="32"/>
          <w:highlight w:val="none"/>
        </w:rPr>
      </w:pPr>
      <w:r>
        <w:rPr>
          <w:rFonts w:hint="eastAsia"/>
          <w:color w:val="auto"/>
          <w:sz w:val="32"/>
          <w:szCs w:val="32"/>
          <w:highlight w:val="none"/>
        </w:rPr>
        <w:t xml:space="preserve">（二）投标商务偏离表</w:t>
      </w:r>
      <w:bookmarkEnd w:id="253"/>
      <w:r/>
      <w:bookmarkEnd w:id="254"/>
      <w:r/>
      <w:r/>
    </w:p>
    <w:tbl>
      <w:tblPr>
        <w:tblStyle w:val="77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43"/>
        <w:gridCol w:w="2682"/>
        <w:gridCol w:w="2682"/>
      </w:tblGrid>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6"/>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136"/>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6"/>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法定代表人（或授权代表）：（签字或盖章）</w:t>
      </w:r>
      <w:r>
        <w:rPr>
          <w:rFonts w:hint="eastAsia" w:ascii="仿宋_GB2312" w:eastAsia="仿宋_GB2312"/>
          <w:color w:val="auto"/>
          <w:sz w:val="24"/>
          <w:highlight w:val="none"/>
          <w:u w:val="single"/>
        </w:rPr>
        <w:t xml:space="preserve">              </w:t>
      </w:r>
      <w:r/>
    </w:p>
    <w:p>
      <w:pPr>
        <w:pStyle w:val="1075"/>
        <w:ind w:firstLine="482"/>
        <w:rPr>
          <w:rFonts w:hAnsi="宋体"/>
          <w:b/>
          <w:bCs/>
          <w:color w:val="auto"/>
          <w:sz w:val="24"/>
          <w:szCs w:val="28"/>
          <w:highlight w:val="none"/>
        </w:rPr>
      </w:pPr>
      <w:r>
        <w:rPr>
          <w:rFonts w:hAnsi="宋体"/>
          <w:b/>
          <w:bCs/>
          <w:color w:val="auto"/>
          <w:sz w:val="24"/>
          <w:szCs w:val="28"/>
          <w:highlight w:val="none"/>
        </w:rPr>
      </w:r>
      <w:r/>
    </w:p>
    <w:p>
      <w:pPr>
        <w:ind w:left="210"/>
        <w:spacing w:line="500" w:lineRule="exact"/>
        <w:rPr>
          <w:rFonts w:hAnsi="宋体" w:cs="宋体"/>
          <w:color w:val="auto"/>
          <w:highlight w:val="none"/>
        </w:rPr>
      </w:pPr>
      <w:r>
        <w:rPr>
          <w:rFonts w:hint="eastAsia" w:hAnsi="宋体" w:cs="宋体"/>
          <w:color w:val="auto"/>
          <w:highlight w:val="none"/>
        </w:rPr>
        <w:t xml:space="preserve">注：</w:t>
      </w:r>
      <w:r/>
    </w:p>
    <w:p>
      <w:pPr>
        <w:ind w:left="210"/>
        <w:spacing w:line="360" w:lineRule="auto"/>
        <w:rPr>
          <w:rFonts w:hAnsi="宋体" w:cs="宋体"/>
          <w:b/>
          <w:bCs/>
          <w:i/>
          <w:iCs/>
          <w:color w:val="auto"/>
          <w:highlight w:val="none"/>
        </w:rPr>
      </w:pPr>
      <w:r>
        <w:rPr>
          <w:rFonts w:hint="eastAsia" w:hAnsi="宋体" w:cs="宋体"/>
          <w:color w:val="auto"/>
          <w:highlight w:val="none"/>
        </w:rPr>
        <w:t xml:space="preserve">1、</w:t>
      </w:r>
      <w:r>
        <w:rPr>
          <w:rFonts w:hint="eastAsia" w:hAnsi="宋体" w:cs="宋体"/>
          <w:bCs/>
          <w:color w:val="auto"/>
          <w:highlight w:val="none"/>
        </w:rPr>
        <w:t xml:space="preserve">投标人须对照招标文件</w:t>
      </w:r>
      <w:r>
        <w:rPr>
          <w:rFonts w:hint="eastAsia" w:hAnsi="宋体"/>
          <w:bCs/>
          <w:color w:val="auto"/>
          <w:highlight w:val="none"/>
        </w:rPr>
        <w:t xml:space="preserve">第五部分 合同格式及条款</w:t>
      </w:r>
      <w:r>
        <w:rPr>
          <w:rFonts w:hint="eastAsia" w:hAnsi="宋体" w:cs="宋体"/>
          <w:bCs/>
          <w:color w:val="auto"/>
          <w:highlight w:val="none"/>
        </w:rPr>
        <w:t xml:space="preserve">中所列商务要求</w:t>
      </w:r>
      <w:r>
        <w:rPr>
          <w:rFonts w:hint="eastAsia" w:hAnsi="宋体" w:cs="宋体"/>
          <w:color w:val="auto"/>
          <w:highlight w:val="none"/>
        </w:rPr>
        <w:t xml:space="preserve">逐条作出响应，</w:t>
      </w:r>
      <w:r>
        <w:rPr>
          <w:rFonts w:hint="eastAsia" w:hAnsi="宋体" w:cs="宋体"/>
          <w:b/>
          <w:bCs/>
          <w:i/>
          <w:iCs/>
          <w:color w:val="auto"/>
          <w:highlight w:val="none"/>
        </w:rPr>
        <w:t xml:space="preserve">而不应以“全部符合”等字样来响应。</w:t>
      </w:r>
      <w:r/>
    </w:p>
    <w:p>
      <w:pPr>
        <w:pStyle w:val="1401"/>
        <w:rPr>
          <w:color w:val="auto"/>
          <w:highlight w:val="none"/>
        </w:rPr>
        <w:outlineLvl w:val="1"/>
      </w:pPr>
      <w:r>
        <w:rPr>
          <w:color w:val="auto"/>
          <w:highlight w:val="none"/>
        </w:rPr>
        <w:br w:type="page" w:clear="all"/>
      </w:r>
      <w:bookmarkStart w:id="255" w:name="_Toc26943"/>
      <w:r/>
      <w:bookmarkStart w:id="256" w:name="_Toc15828"/>
      <w:r/>
      <w:bookmarkEnd w:id="255"/>
      <w:r/>
      <w:bookmarkEnd w:id="256"/>
      <w:r/>
      <w:r/>
    </w:p>
    <w:p>
      <w:pPr>
        <w:pStyle w:val="1371"/>
        <w:rPr>
          <w:color w:val="auto"/>
          <w:highlight w:val="none"/>
        </w:rPr>
        <w:outlineLvl w:val="1"/>
      </w:pPr>
      <w:r/>
      <w:bookmarkStart w:id="257" w:name="_Toc25001_WPSOffice_Level2"/>
      <w:r/>
      <w:bookmarkStart w:id="258" w:name="_Toc20188"/>
      <w:r/>
      <w:bookmarkStart w:id="259" w:name="_Toc514054502"/>
      <w:r/>
      <w:bookmarkStart w:id="260" w:name="_Toc7579"/>
      <w:r/>
      <w:bookmarkStart w:id="261" w:name="_Toc21179"/>
      <w:r/>
      <w:bookmarkStart w:id="262" w:name="_Toc164203484"/>
      <w:r/>
      <w:bookmarkStart w:id="263" w:name="_Toc109"/>
      <w:r/>
      <w:bookmarkStart w:id="264" w:name="_Toc5519"/>
      <w:r>
        <w:rPr>
          <w:color w:val="auto"/>
          <w:highlight w:val="none"/>
        </w:rPr>
        <w:t xml:space="preserve">十</w:t>
      </w:r>
      <w:r>
        <w:rPr>
          <w:rFonts w:hint="eastAsia"/>
          <w:color w:val="auto"/>
          <w:highlight w:val="none"/>
        </w:rPr>
        <w:t xml:space="preserve">七</w:t>
      </w:r>
      <w:r>
        <w:rPr>
          <w:color w:val="auto"/>
          <w:highlight w:val="none"/>
        </w:rPr>
        <w:t xml:space="preserve">、</w:t>
      </w:r>
      <w:r>
        <w:rPr>
          <w:rFonts w:hint="eastAsia"/>
          <w:color w:val="auto"/>
          <w:highlight w:val="none"/>
        </w:rPr>
        <w:t xml:space="preserve">服务</w:t>
      </w:r>
      <w:r>
        <w:rPr>
          <w:color w:val="auto"/>
          <w:highlight w:val="none"/>
        </w:rPr>
        <w:t xml:space="preserve">方案</w:t>
      </w:r>
      <w:bookmarkEnd w:id="257"/>
      <w:r/>
      <w:bookmarkEnd w:id="258"/>
      <w:r/>
      <w:bookmarkEnd w:id="259"/>
      <w:r/>
      <w:r/>
    </w:p>
    <w:p>
      <w:pPr>
        <w:pStyle w:val="1210"/>
        <w:jc w:val="center"/>
        <w:spacing w:line="560" w:lineRule="exact"/>
        <w:rPr>
          <w:rFonts w:ascii="宋体"/>
          <w:b/>
          <w:bCs/>
          <w:color w:val="auto"/>
          <w:sz w:val="32"/>
          <w:szCs w:val="32"/>
          <w:highlight w:val="none"/>
        </w:rPr>
      </w:pPr>
      <w:r/>
      <w:bookmarkStart w:id="265" w:name="_Toc2882_WPSOffice_Level2"/>
      <w:r>
        <w:rPr>
          <w:rFonts w:hint="eastAsia" w:ascii="宋体"/>
          <w:b/>
          <w:bCs/>
          <w:color w:val="auto"/>
          <w:sz w:val="32"/>
          <w:szCs w:val="32"/>
          <w:highlight w:val="none"/>
        </w:rPr>
        <w:t xml:space="preserve">按照招标文件要求，格式自拟</w:t>
      </w:r>
      <w:bookmarkEnd w:id="265"/>
      <w:r/>
      <w:r/>
    </w:p>
    <w:p>
      <w:pPr>
        <w:jc w:val="left"/>
        <w:widowControl/>
        <w:rPr>
          <w:rFonts w:ascii="黑体" w:hAnsi="黑体" w:eastAsia="黑体"/>
          <w:b/>
          <w:color w:val="auto"/>
          <w:sz w:val="32"/>
          <w:szCs w:val="24"/>
          <w:highlight w:val="none"/>
        </w:rPr>
      </w:pPr>
      <w:r>
        <w:rPr>
          <w:rFonts w:hint="eastAsia"/>
          <w:color w:val="auto"/>
          <w:highlight w:val="none"/>
        </w:rPr>
        <w:br w:type="page" w:clear="all"/>
      </w:r>
      <w:r/>
    </w:p>
    <w:p>
      <w:pPr>
        <w:pStyle w:val="1339"/>
        <w:rPr>
          <w:color w:val="auto"/>
          <w:highlight w:val="none"/>
        </w:rPr>
        <w:outlineLvl w:val="1"/>
      </w:pPr>
      <w:r/>
      <w:bookmarkStart w:id="266" w:name="_Toc14378"/>
      <w:r>
        <w:rPr>
          <w:color w:val="auto"/>
          <w:highlight w:val="none"/>
        </w:rPr>
        <w:t xml:space="preserve">十</w:t>
      </w:r>
      <w:r>
        <w:rPr>
          <w:rFonts w:hint="eastAsia"/>
          <w:color w:val="auto"/>
          <w:highlight w:val="none"/>
        </w:rPr>
        <w:t xml:space="preserve">八</w:t>
      </w:r>
      <w:r>
        <w:rPr>
          <w:color w:val="auto"/>
          <w:highlight w:val="none"/>
        </w:rPr>
        <w:t xml:space="preserve">、类似项目业绩一览表</w:t>
      </w:r>
      <w:bookmarkEnd w:id="260"/>
      <w:r/>
      <w:bookmarkEnd w:id="261"/>
      <w:r/>
      <w:bookmarkEnd w:id="262"/>
      <w:r/>
      <w:bookmarkEnd w:id="263"/>
      <w:r/>
      <w:bookmarkEnd w:id="264"/>
      <w:r/>
      <w:bookmarkEnd w:id="266"/>
      <w:r/>
      <w:r/>
    </w:p>
    <w:p>
      <w:pPr>
        <w:pStyle w:val="1252"/>
        <w:jc w:val="center"/>
        <w:rPr>
          <w:b/>
          <w:color w:val="auto"/>
          <w:sz w:val="32"/>
          <w:szCs w:val="32"/>
          <w:highlight w:val="none"/>
        </w:rPr>
      </w:pPr>
      <w:r>
        <w:rPr>
          <w:rFonts w:hint="eastAsia"/>
          <w:b/>
          <w:color w:val="auto"/>
          <w:sz w:val="32"/>
          <w:szCs w:val="32"/>
          <w:highlight w:val="none"/>
        </w:rPr>
        <w:t xml:space="preserve">类似项目业绩一览表</w:t>
      </w:r>
      <w:r/>
    </w:p>
    <w:tbl>
      <w:tblPr>
        <w:tblStyle w:val="77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292"/>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3827" w:type="dxa"/>
            <w:vAlign w:val="center"/>
            <w:textDirection w:val="lrTb"/>
            <w:noWrap w:val="false"/>
          </w:tcPr>
          <w:p>
            <w:pPr>
              <w:pStyle w:val="1292"/>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项目名称</w:t>
            </w:r>
            <w:r/>
          </w:p>
        </w:tc>
        <w:tc>
          <w:tcPr>
            <w:tcW w:w="2433" w:type="dxa"/>
            <w:vAlign w:val="center"/>
            <w:textDirection w:val="lrTb"/>
            <w:noWrap w:val="false"/>
          </w:tcPr>
          <w:p>
            <w:pPr>
              <w:pStyle w:val="1292"/>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采购单位</w:t>
            </w:r>
            <w:r/>
          </w:p>
        </w:tc>
        <w:tc>
          <w:tcPr>
            <w:tcW w:w="1395" w:type="dxa"/>
            <w:vAlign w:val="center"/>
            <w:textDirection w:val="lrTb"/>
            <w:noWrap w:val="false"/>
          </w:tcPr>
          <w:p>
            <w:pPr>
              <w:pStyle w:val="1292"/>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合同金额</w:t>
            </w:r>
            <w:r/>
          </w:p>
        </w:tc>
      </w:tr>
      <w:tr>
        <w:trPr>
          <w:jc w:val="center"/>
          <w:trHeight w:val="1510"/>
        </w:trPr>
        <w:tc>
          <w:tcPr>
            <w:tcW w:w="1229" w:type="dxa"/>
            <w:textDirection w:val="lrTb"/>
            <w:noWrap w:val="false"/>
          </w:tcPr>
          <w:p>
            <w:pPr>
              <w:pStyle w:val="1292"/>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92"/>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92"/>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92"/>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92"/>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92"/>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92"/>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92"/>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92"/>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92"/>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92"/>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92"/>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25"/>
        </w:trPr>
        <w:tc>
          <w:tcPr>
            <w:tcW w:w="1229" w:type="dxa"/>
            <w:textDirection w:val="lrTb"/>
            <w:noWrap w:val="false"/>
          </w:tcPr>
          <w:p>
            <w:pPr>
              <w:pStyle w:val="1292"/>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92"/>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92"/>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92"/>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bl>
    <w:p>
      <w:pPr>
        <w:pStyle w:val="1239"/>
        <w:rPr>
          <w:color w:val="auto"/>
          <w:highlight w:val="none"/>
        </w:rPr>
        <w:outlineLvl w:val="1"/>
      </w:pPr>
      <w:r>
        <w:rPr>
          <w:color w:val="auto"/>
          <w:highlight w:val="none"/>
        </w:rPr>
        <w:br w:type="page" w:clear="all"/>
      </w:r>
      <w:bookmarkStart w:id="267" w:name="_Toc14046"/>
      <w:r/>
      <w:bookmarkStart w:id="268" w:name="_Toc20255"/>
      <w:r/>
      <w:bookmarkStart w:id="269" w:name="_Toc6607"/>
      <w:r/>
      <w:bookmarkStart w:id="270" w:name="_Toc164203485"/>
      <w:r/>
      <w:bookmarkStart w:id="271" w:name="_Toc15753"/>
      <w:r/>
      <w:bookmarkStart w:id="272" w:name="_Toc5295"/>
      <w:r/>
      <w:r/>
    </w:p>
    <w:p>
      <w:pPr>
        <w:pStyle w:val="1239"/>
        <w:rPr>
          <w:color w:val="auto"/>
          <w:highlight w:val="none"/>
        </w:rPr>
        <w:outlineLvl w:val="1"/>
      </w:pPr>
      <w:r>
        <w:rPr>
          <w:rFonts w:hint="eastAsia"/>
          <w:color w:val="auto"/>
          <w:highlight w:val="none"/>
        </w:rPr>
        <w:t xml:space="preserve">十九</w:t>
      </w:r>
      <w:r>
        <w:rPr>
          <w:color w:val="auto"/>
          <w:highlight w:val="none"/>
        </w:rPr>
        <w:t xml:space="preserve">、投标所需其他材料</w:t>
      </w:r>
      <w:bookmarkEnd w:id="267"/>
      <w:r/>
      <w:bookmarkEnd w:id="268"/>
      <w:r/>
      <w:bookmarkEnd w:id="269"/>
      <w:r/>
      <w:bookmarkEnd w:id="270"/>
      <w:r/>
      <w:bookmarkEnd w:id="271"/>
      <w:r/>
      <w:bookmarkEnd w:id="272"/>
      <w:r/>
      <w:r/>
    </w:p>
    <w:p>
      <w:pPr>
        <w:pStyle w:val="1376"/>
        <w:ind w:firstLine="420"/>
        <w:spacing w:line="360" w:lineRule="auto"/>
        <w:rPr>
          <w:color w:val="auto"/>
          <w:highlight w:val="none"/>
        </w:rPr>
      </w:pPr>
      <w:r>
        <w:rPr>
          <w:rFonts w:hint="eastAsia"/>
          <w:color w:val="auto"/>
          <w:highlight w:val="none"/>
        </w:rPr>
        <w:t xml:space="preserve">请在此文档中增加投标所需其他相关内容（包括资格要求、评分办法、采购需求中涉及的证件证明及其它投标人认为有必要提供的资料），如没有请空置。</w:t>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jc w:val="center"/>
        <w:spacing w:line="360" w:lineRule="auto"/>
        <w:rPr>
          <w:rFonts w:hAnsi="宋体" w:cs="宋体"/>
          <w:bCs/>
          <w:color w:val="auto"/>
          <w:sz w:val="44"/>
          <w:szCs w:val="44"/>
          <w:highlight w:val="none"/>
        </w:rPr>
        <w:outlineLvl w:val="0"/>
      </w:pPr>
      <w:r/>
      <w:bookmarkStart w:id="273" w:name="_Toc3075"/>
      <w:r>
        <w:rPr>
          <w:rFonts w:hint="eastAsia" w:hAnsi="宋体" w:cs="宋体"/>
          <w:bCs/>
          <w:color w:val="auto"/>
          <w:sz w:val="44"/>
          <w:szCs w:val="44"/>
          <w:highlight w:val="none"/>
        </w:rPr>
        <w:t xml:space="preserve">第七部分：特别提醒</w:t>
      </w:r>
      <w:bookmarkEnd w:id="273"/>
      <w:r/>
      <w:r/>
    </w:p>
    <w:p>
      <w:pPr>
        <w:jc w:val="center"/>
        <w:spacing w:line="360" w:lineRule="auto"/>
        <w:rPr>
          <w:rFonts w:hAnsi="宋体" w:cs="宋体"/>
          <w:bCs/>
          <w:color w:val="auto"/>
          <w:sz w:val="44"/>
          <w:szCs w:val="44"/>
          <w:highlight w:val="none"/>
        </w:rPr>
        <w:outlineLvl w:val="0"/>
      </w:pPr>
      <w:r/>
      <w:bookmarkStart w:id="274" w:name="_Toc31159"/>
      <w:r>
        <w:rPr>
          <w:rFonts w:hint="eastAsia" w:hAnsi="宋体" w:cs="宋体"/>
          <w:bCs/>
          <w:color w:val="auto"/>
          <w:sz w:val="44"/>
          <w:szCs w:val="44"/>
          <w:highlight w:val="none"/>
        </w:rPr>
        <w:t xml:space="preserve">（有关围标串标情形的判定）</w:t>
      </w:r>
      <w:bookmarkEnd w:id="274"/>
      <w:r/>
      <w:r/>
    </w:p>
    <w:p>
      <w:pPr>
        <w:spacing w:line="360" w:lineRule="auto"/>
        <w:rPr>
          <w:rFonts w:hAnsi="宋体"/>
          <w:bCs/>
          <w:color w:val="auto"/>
          <w:sz w:val="32"/>
          <w:szCs w:val="32"/>
          <w:highlight w:val="none"/>
        </w:rPr>
      </w:pPr>
      <w:r>
        <w:rPr>
          <w:rFonts w:hAnsi="宋体"/>
          <w:bCs/>
          <w:color w:val="auto"/>
          <w:sz w:val="32"/>
          <w:szCs w:val="32"/>
          <w:highlight w:val="none"/>
        </w:rPr>
      </w:r>
      <w:r/>
    </w:p>
    <w:p>
      <w:pPr>
        <w:spacing w:line="360" w:lineRule="auto"/>
        <w:tabs>
          <w:tab w:val="left" w:pos="3965" w:leader="none"/>
        </w:tabs>
        <w:rPr>
          <w:rFonts w:hAnsi="宋体"/>
          <w:bCs/>
          <w:color w:val="auto"/>
          <w:sz w:val="32"/>
          <w:szCs w:val="32"/>
          <w:highlight w:val="none"/>
        </w:rPr>
      </w:pPr>
      <w:r>
        <w:rPr>
          <w:rFonts w:hint="eastAsia" w:hAnsi="宋体"/>
          <w:bCs/>
          <w:color w:val="auto"/>
          <w:sz w:val="32"/>
          <w:szCs w:val="32"/>
          <w:highlight w:val="none"/>
        </w:rPr>
        <w:t xml:space="preserve">各投标人：</w:t>
      </w:r>
      <w:r>
        <w:rPr>
          <w:rFonts w:hint="eastAsia" w:hAnsi="宋体"/>
          <w:bCs/>
          <w:color w:val="auto"/>
          <w:sz w:val="32"/>
          <w:szCs w:val="32"/>
          <w:highlight w:val="none"/>
        </w:rPr>
        <w:tab/>
      </w:r>
      <w:r/>
    </w:p>
    <w:p>
      <w:pPr>
        <w:ind w:firstLine="480"/>
        <w:spacing w:line="360" w:lineRule="auto"/>
        <w:rPr>
          <w:rFonts w:hAnsi="宋体"/>
          <w:color w:val="auto"/>
          <w:highlight w:val="none"/>
        </w:rPr>
      </w:pPr>
      <w:r>
        <w:rPr>
          <w:rFonts w:hint="eastAsia" w:hAnsi="宋体"/>
          <w:color w:val="auto"/>
          <w:highlight w:val="none"/>
        </w:rPr>
        <w:t xml:space="preserve">评标委员会将对投标人提交的投标/响应文件进行评审，在评审过程中如发现投标人存在以下情形：</w:t>
      </w:r>
      <w:r/>
    </w:p>
    <w:p>
      <w:pPr>
        <w:ind w:firstLine="420"/>
        <w:spacing w:line="360" w:lineRule="auto"/>
        <w:rPr>
          <w:rFonts w:hAnsi="宋体" w:cs="宋体"/>
          <w:color w:val="auto"/>
          <w:highlight w:val="none"/>
        </w:rPr>
      </w:pPr>
      <w:r>
        <w:rPr>
          <w:rFonts w:hint="eastAsia" w:hAnsi="宋体" w:cs="宋体"/>
          <w:color w:val="auto"/>
          <w:highlight w:val="none"/>
        </w:rPr>
        <w:t xml:space="preserve">1.</w:t>
      </w:r>
      <w:r>
        <w:rPr>
          <w:rFonts w:hAnsi="宋体" w:cs="宋体"/>
          <w:color w:val="auto"/>
          <w:highlight w:val="none"/>
        </w:rPr>
        <w:t xml:space="preserve">投标人之间协商投标报价</w:t>
      </w:r>
      <w:r>
        <w:rPr>
          <w:rFonts w:hint="eastAsia" w:hAnsi="宋体" w:cs="宋体"/>
          <w:color w:val="auto"/>
          <w:highlight w:val="none"/>
        </w:rPr>
        <w:t xml:space="preserve">、技术方案</w:t>
      </w:r>
      <w:r>
        <w:rPr>
          <w:rFonts w:hAnsi="宋体" w:cs="宋体"/>
          <w:color w:val="auto"/>
          <w:highlight w:val="none"/>
        </w:rPr>
        <w:t xml:space="preserve">等投标文件的实质性内容；</w:t>
      </w:r>
      <w:r/>
    </w:p>
    <w:p>
      <w:pPr>
        <w:ind w:firstLine="420"/>
        <w:spacing w:line="360" w:lineRule="auto"/>
        <w:rPr>
          <w:rFonts w:hAnsi="宋体" w:cs="宋体"/>
          <w:color w:val="auto"/>
          <w:highlight w:val="none"/>
        </w:rPr>
      </w:pPr>
      <w:r>
        <w:rPr>
          <w:rFonts w:hint="eastAsia" w:hAnsi="宋体" w:cs="宋体"/>
          <w:color w:val="auto"/>
          <w:highlight w:val="none"/>
        </w:rPr>
        <w:t xml:space="preserve">2.</w:t>
      </w:r>
      <w:r>
        <w:rPr>
          <w:rFonts w:hAnsi="宋体" w:cs="宋体"/>
          <w:color w:val="auto"/>
          <w:highlight w:val="none"/>
        </w:rPr>
        <w:t xml:space="preserve">属于同一集团、协会、商会等组织成员的投标人按照该组织要求协同</w:t>
      </w:r>
      <w:r>
        <w:rPr>
          <w:rFonts w:hint="eastAsia" w:hAnsi="宋体" w:cs="宋体"/>
          <w:color w:val="auto"/>
          <w:highlight w:val="none"/>
        </w:rPr>
        <w:t xml:space="preserve">参加投标</w:t>
      </w:r>
      <w:r>
        <w:rPr>
          <w:rFonts w:hAnsi="宋体" w:cs="宋体"/>
          <w:color w:val="auto"/>
          <w:highlight w:val="none"/>
        </w:rPr>
        <w:t xml:space="preserve">；</w:t>
      </w:r>
      <w:r/>
    </w:p>
    <w:p>
      <w:pPr>
        <w:ind w:firstLine="420"/>
        <w:spacing w:line="360" w:lineRule="auto"/>
        <w:rPr>
          <w:rFonts w:hAnsi="宋体" w:cs="宋体"/>
          <w:color w:val="auto"/>
          <w:highlight w:val="none"/>
        </w:rPr>
      </w:pPr>
      <w:r>
        <w:rPr>
          <w:rFonts w:hint="eastAsia" w:hAnsi="宋体" w:cs="宋体"/>
          <w:color w:val="auto"/>
          <w:highlight w:val="none"/>
        </w:rPr>
        <w:t xml:space="preserve">3.</w:t>
      </w:r>
      <w:r>
        <w:rPr>
          <w:rFonts w:hAnsi="宋体" w:cs="宋体"/>
          <w:color w:val="auto"/>
          <w:highlight w:val="none"/>
        </w:rPr>
        <w:t xml:space="preserve">投标人之间</w:t>
      </w:r>
      <w:r>
        <w:rPr>
          <w:rFonts w:hint="eastAsia" w:hAnsi="宋体" w:cs="宋体"/>
          <w:color w:val="auto"/>
          <w:highlight w:val="none"/>
        </w:rPr>
        <w:t xml:space="preserve">事先约定由某一特定投标人</w:t>
      </w:r>
      <w:r>
        <w:rPr>
          <w:rFonts w:hAnsi="宋体" w:cs="宋体"/>
          <w:color w:val="auto"/>
          <w:highlight w:val="none"/>
        </w:rPr>
        <w:t xml:space="preserve">中标； </w:t>
      </w:r>
      <w:r/>
    </w:p>
    <w:p>
      <w:pPr>
        <w:ind w:firstLine="420"/>
        <w:spacing w:line="360" w:lineRule="auto"/>
        <w:rPr>
          <w:rFonts w:hAnsi="宋体" w:cs="宋体"/>
          <w:color w:val="auto"/>
          <w:highlight w:val="none"/>
        </w:rPr>
      </w:pPr>
      <w:r>
        <w:rPr>
          <w:rFonts w:hint="eastAsia" w:hAnsi="宋体" w:cs="宋体"/>
          <w:color w:val="auto"/>
          <w:highlight w:val="none"/>
        </w:rPr>
        <w:t xml:space="preserve">4.</w:t>
      </w:r>
      <w:r>
        <w:rPr>
          <w:rFonts w:hint="eastAsia"/>
          <w:color w:val="auto"/>
          <w:highlight w:val="none"/>
        </w:rPr>
        <w:t xml:space="preserve">投标人</w:t>
      </w:r>
      <w:r>
        <w:rPr>
          <w:rFonts w:hint="eastAsia" w:hAnsi="宋体" w:cs="宋体"/>
          <w:color w:val="auto"/>
          <w:highlight w:val="none"/>
        </w:rPr>
        <w:t xml:space="preserve">之间商定部分投标人放弃参加投标或者放弃中标</w:t>
      </w:r>
      <w:r>
        <w:rPr>
          <w:rFonts w:hAnsi="宋体" w:cs="宋体"/>
          <w:color w:val="auto"/>
          <w:highlight w:val="none"/>
        </w:rPr>
        <w:t xml:space="preserve">； </w:t>
      </w:r>
      <w:r/>
    </w:p>
    <w:p>
      <w:pPr>
        <w:ind w:firstLine="420"/>
        <w:spacing w:line="360" w:lineRule="auto"/>
        <w:rPr>
          <w:rFonts w:hAnsi="宋体" w:cs="Arial"/>
          <w:color w:val="auto"/>
          <w:highlight w:val="none"/>
        </w:rPr>
      </w:pPr>
      <w:r>
        <w:rPr>
          <w:rFonts w:hint="eastAsia" w:hAnsi="宋体" w:cs="宋体"/>
          <w:color w:val="auto"/>
          <w:highlight w:val="none"/>
        </w:rPr>
        <w:t xml:space="preserve">5.</w:t>
      </w:r>
      <w:r>
        <w:rPr>
          <w:rFonts w:hAnsi="宋体" w:cs="宋体"/>
          <w:color w:val="auto"/>
          <w:highlight w:val="none"/>
        </w:rPr>
        <w:t xml:space="preserve">投标人之间为谋取中标或者排斥特定投标人而采取的其他联合行动。</w:t>
      </w:r>
      <w:r/>
    </w:p>
    <w:p>
      <w:pPr>
        <w:ind w:firstLine="420"/>
        <w:spacing w:line="360" w:lineRule="auto"/>
        <w:rPr>
          <w:rFonts w:hAnsi="宋体" w:cs="Arial"/>
          <w:color w:val="auto"/>
          <w:highlight w:val="none"/>
        </w:rPr>
      </w:pPr>
      <w:r>
        <w:rPr>
          <w:rFonts w:hint="eastAsia" w:hAnsi="宋体" w:cs="Arial"/>
          <w:color w:val="auto"/>
          <w:highlight w:val="none"/>
        </w:rPr>
        <w:t xml:space="preserve">6.</w:t>
      </w:r>
      <w:r>
        <w:rPr>
          <w:rFonts w:hAnsi="宋体" w:cs="Arial"/>
          <w:color w:val="auto"/>
          <w:highlight w:val="none"/>
        </w:rPr>
        <w:t xml:space="preserve">不同投标人的投标文件由同一单位或者个人编制；</w:t>
      </w:r>
      <w:r/>
    </w:p>
    <w:p>
      <w:pPr>
        <w:ind w:firstLine="420"/>
        <w:spacing w:line="360" w:lineRule="auto"/>
        <w:rPr>
          <w:rFonts w:hAnsi="宋体" w:cs="Arial"/>
          <w:color w:val="auto"/>
          <w:highlight w:val="none"/>
        </w:rPr>
      </w:pPr>
      <w:r>
        <w:rPr>
          <w:rFonts w:hint="eastAsia" w:hAnsi="宋体" w:cs="Arial"/>
          <w:color w:val="auto"/>
          <w:highlight w:val="none"/>
        </w:rPr>
        <w:t xml:space="preserve">7.</w:t>
      </w:r>
      <w:r>
        <w:rPr>
          <w:rFonts w:hAnsi="宋体" w:cs="Arial"/>
          <w:color w:val="auto"/>
          <w:highlight w:val="none"/>
        </w:rPr>
        <w:t xml:space="preserve">不同投标人委托同一单位或者个人办理投标事宜； </w:t>
      </w:r>
      <w:r/>
    </w:p>
    <w:p>
      <w:pPr>
        <w:ind w:firstLine="420"/>
        <w:spacing w:line="360" w:lineRule="auto"/>
        <w:rPr>
          <w:rFonts w:hAnsi="宋体" w:cs="Arial"/>
          <w:color w:val="auto"/>
          <w:highlight w:val="none"/>
        </w:rPr>
      </w:pPr>
      <w:r>
        <w:rPr>
          <w:rFonts w:hint="eastAsia" w:hAnsi="宋体" w:cs="Arial"/>
          <w:color w:val="auto"/>
          <w:highlight w:val="none"/>
        </w:rPr>
        <w:t xml:space="preserve">8.</w:t>
      </w:r>
      <w:r>
        <w:rPr>
          <w:rFonts w:hAnsi="宋体" w:cs="Arial"/>
          <w:color w:val="auto"/>
          <w:highlight w:val="none"/>
        </w:rPr>
        <w:t xml:space="preserve">不同投标人的投标文件载明的项目管理成员或者联系人员为同一人；</w:t>
      </w:r>
      <w:r/>
    </w:p>
    <w:p>
      <w:pPr>
        <w:ind w:firstLine="420"/>
        <w:spacing w:line="360" w:lineRule="auto"/>
        <w:rPr>
          <w:rFonts w:hAnsi="宋体" w:cs="Arial"/>
          <w:color w:val="auto"/>
          <w:highlight w:val="none"/>
        </w:rPr>
      </w:pPr>
      <w:r>
        <w:rPr>
          <w:rFonts w:hint="eastAsia" w:hAnsi="宋体" w:cs="Arial"/>
          <w:color w:val="auto"/>
          <w:highlight w:val="none"/>
        </w:rPr>
        <w:t xml:space="preserve">9.</w:t>
      </w:r>
      <w:r>
        <w:rPr>
          <w:rFonts w:hAnsi="宋体" w:cs="Arial"/>
          <w:color w:val="auto"/>
          <w:highlight w:val="none"/>
        </w:rPr>
        <w:t xml:space="preserve">不同投标人的投标文件异常一致或者投标报价呈规律性差异； </w:t>
      </w:r>
      <w:r/>
    </w:p>
    <w:p>
      <w:pPr>
        <w:ind w:firstLine="420"/>
        <w:spacing w:line="360" w:lineRule="auto"/>
        <w:rPr>
          <w:rFonts w:hAnsi="宋体" w:cs="Arial"/>
          <w:color w:val="auto"/>
          <w:highlight w:val="none"/>
        </w:rPr>
      </w:pPr>
      <w:r>
        <w:rPr>
          <w:rFonts w:hint="eastAsia" w:hAnsi="宋体" w:cs="Arial"/>
          <w:color w:val="auto"/>
          <w:highlight w:val="none"/>
        </w:rPr>
        <w:t xml:space="preserve">10.</w:t>
      </w:r>
      <w:r>
        <w:rPr>
          <w:rFonts w:hAnsi="宋体" w:cs="Arial"/>
          <w:color w:val="auto"/>
          <w:highlight w:val="none"/>
        </w:rPr>
        <w:t xml:space="preserve">不同投标人的投标文件相互混装；</w:t>
      </w:r>
      <w:r/>
    </w:p>
    <w:p>
      <w:pPr>
        <w:ind w:firstLine="420"/>
        <w:spacing w:line="360" w:lineRule="auto"/>
        <w:rPr>
          <w:rFonts w:hAnsi="宋体" w:cs="Arial"/>
          <w:color w:val="auto"/>
          <w:highlight w:val="none"/>
        </w:rPr>
      </w:pPr>
      <w:r>
        <w:rPr>
          <w:rFonts w:hint="eastAsia" w:hAnsi="宋体" w:cs="Arial"/>
          <w:color w:val="auto"/>
          <w:highlight w:val="none"/>
        </w:rPr>
        <w:t xml:space="preserve">11.</w:t>
      </w:r>
      <w:r>
        <w:rPr>
          <w:rFonts w:hAnsi="宋体" w:cs="Arial"/>
          <w:color w:val="auto"/>
          <w:highlight w:val="none"/>
        </w:rPr>
        <w:t xml:space="preserve">不同投标人的投标保证金从同一单位或者个人的账户转出。</w:t>
      </w:r>
      <w:r/>
    </w:p>
    <w:p>
      <w:pPr>
        <w:spacing w:line="360" w:lineRule="auto"/>
        <w:rPr>
          <w:rFonts w:hAnsi="宋体" w:cs="Arial"/>
          <w:color w:val="auto"/>
          <w:highlight w:val="none"/>
        </w:rPr>
      </w:pPr>
      <w:r>
        <w:rPr>
          <w:rFonts w:hAnsi="宋体" w:cs="Arial"/>
          <w:color w:val="auto"/>
          <w:highlight w:val="none"/>
        </w:rPr>
      </w:r>
      <w:r/>
    </w:p>
    <w:p>
      <w:pPr>
        <w:spacing w:line="360" w:lineRule="auto"/>
        <w:rPr>
          <w:rFonts w:hAnsi="宋体"/>
          <w:color w:val="auto"/>
          <w:highlight w:val="none"/>
        </w:rPr>
      </w:pPr>
      <w:r>
        <w:rPr>
          <w:rFonts w:hint="eastAsia" w:hAnsi="宋体" w:cs="Arial"/>
          <w:color w:val="auto"/>
          <w:highlight w:val="none"/>
        </w:rPr>
        <w:t xml:space="preserve">将被判定为存在围标串标情形，相关投标文件均将被否决。</w:t>
      </w:r>
      <w:r>
        <w:rPr>
          <w:rFonts w:hAnsi="宋体" w:cs="Arial"/>
          <w:color w:val="auto"/>
          <w:highlight w:val="none"/>
        </w:rPr>
        <w:br/>
      </w:r>
      <w:r/>
    </w:p>
    <w:p>
      <w:pPr>
        <w:rPr>
          <w:color w:val="auto"/>
          <w:sz w:val="20"/>
          <w:highlight w:val="none"/>
        </w:rPr>
      </w:pPr>
      <w:r>
        <w:rPr>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sectPr>
      <w:headerReference w:type="default" r:id="rId9"/>
      <w:footerReference w:type="default" r:id="rId10"/>
      <w:footnotePr/>
      <w:endnotePr/>
      <w:type w:val="nextPage"/>
      <w:pgSz w:w="11906" w:h="16838" w:orient="portrait"/>
      <w:pgMar w:top="1270" w:right="1083" w:bottom="1270" w:left="1083"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Book Antiqua">
    <w:panose1 w:val="02040602050305030304"/>
  </w:font>
  <w:font w:name="Tahoma">
    <w:panose1 w:val="020B0604030504040204"/>
  </w:font>
  <w:font w:name="方正大标宋简体">
    <w:panose1 w:val="020B0503020202020204"/>
  </w:font>
  <w:font w:name="Times">
    <w:panose1 w:val="02020603050405020304"/>
  </w:font>
  <w:font w:name="Wingdings">
    <w:panose1 w:val="05000000000000000000"/>
  </w:font>
  <w:font w:name=".....?.">
    <w:panose1 w:val="020B0503020202020204"/>
  </w:font>
  <w:font w:name="Courier New">
    <w:panose1 w:val="02070309020205020404"/>
  </w:font>
  <w:font w:name="Kingsoft Phonetic Plain">
    <w:panose1 w:val="020B0503020202020204"/>
  </w:font>
  <w:font w:name="Cambria">
    <w:panose1 w:val="0204050305040603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Consolas">
    <w:panose1 w:val="020B0609020204030204"/>
  </w:font>
  <w:font w:name="楷体_GB2312">
    <w:panose1 w:val="02010609060101010101"/>
  </w:font>
  <w:font w:name="Arial Unicode MS">
    <w:panose1 w:val="020B0604020202020204"/>
  </w:font>
  <w:font w:name="Arial">
    <w:panose1 w:val="020B0604020202020204"/>
  </w:font>
  <w:font w:name="Helvetica">
    <w:panose1 w:val="020B0604020202020204"/>
  </w:font>
  <w:font w:name="Helvetica-Light">
    <w:panose1 w:val="020B0503020202020204"/>
  </w:font>
  <w:font w:name="Univers LT Std 45 Light">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20"/>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spacing w:line="330" w:lineRule="atLeast"/>
      <w:widowControl/>
      <w:rPr>
        <w:rFonts w:hint="default"/>
        <w:color w:val="1f497d" w:themeColor="text2"/>
        <w:szCs w:val="28"/>
        <w:u w:val="single"/>
        <w14:textFill>
          <w14:solidFill>
            <w14:schemeClr w14:val="tx2"/>
          </w14:solidFill>
        </w14:textFill>
      </w:rPr>
    </w:pPr>
    <w:r>
      <mc:AlternateContent>
        <mc:Choice Requires="wpg">
          <w:drawing>
            <wp:inline xmlns:wp="http://schemas.openxmlformats.org/drawingml/2006/wordprocessingDrawing" distT="0" distB="0" distL="0" distR="0">
              <wp:extent cx="394970" cy="412750"/>
              <wp:effectExtent l="0" t="0" r="5080" b="635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
                      <a:stretch/>
                    </pic:blipFill>
                    <pic:spPr bwMode="auto">
                      <a:xfrm>
                        <a:off x="0" y="0"/>
                        <a:ext cx="394970" cy="412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1pt;height:32.5pt;mso-wrap-distance-left:0.0pt;mso-wrap-distance-top:0.0pt;mso-wrap-distance-right:0.0pt;mso-wrap-distance-bottom:0.0pt;" stroked="f">
              <v:path textboxrect="0,0,0,0"/>
              <v:imagedata r:id="rId1" o:title=""/>
            </v:shape>
          </w:pict>
        </mc:Fallback>
      </mc:AlternateContent>
    </w:r>
    <w:r>
      <w:rPr>
        <w:rFonts w:cs="宋体"/>
        <w:b/>
        <w:bCs/>
        <w:color w:val="17375e" w:themeColor="text2" w:themeShade="BF"/>
        <w:sz w:val="22"/>
        <w:szCs w:val="28"/>
        <w:u w:val="single"/>
      </w:rPr>
      <w:t xml:space="preserve">江苏弘业国际技术工程有限公司</w:t>
    </w:r>
    <w:r>
      <w:rPr>
        <w:rFonts w:cs="宋体"/>
        <w:b/>
        <w:bCs/>
        <w:color w:val="17375e" w:themeColor="text2" w:themeShade="BF"/>
        <w:sz w:val="28"/>
        <w:szCs w:val="28"/>
        <w:u w:val="single"/>
      </w:rPr>
      <w:t xml:space="preserve"> </w:t>
    </w:r>
    <w:r>
      <w:rPr>
        <w:b/>
        <w:bCs/>
        <w:color w:val="17375e" w:themeColor="text2" w:themeShade="BF"/>
        <w:u w:val="single"/>
      </w:rPr>
      <w:t xml:space="preserve">        </w:t>
    </w:r>
    <w:r>
      <w:rPr>
        <w:rFonts w:hint="default" w:ascii="Consolas" w:hAnsi="Consolas" w:eastAsia="Consolas" w:cs="Consolas"/>
        <w:b/>
        <w:bCs/>
        <w:color w:val="17375e" w:themeColor="text2" w:themeShade="BF"/>
        <w:sz w:val="19"/>
        <w:szCs w:val="19"/>
        <w:u w:val="single"/>
      </w:rPr>
      <w:t xml:space="preserve"> </w:t>
    </w:r>
    <w:r>
      <w:rPr>
        <w:rFonts w:ascii="Consolas" w:hAnsi="Consolas" w:cs="Consolas"/>
        <w:b/>
        <w:bCs/>
        <w:color w:val="17375e" w:themeColor="text2" w:themeShade="BF"/>
        <w:sz w:val="19"/>
        <w:szCs w:val="19"/>
        <w:u w:val="single"/>
      </w:rPr>
      <w:t xml:space="preserve">                </w:t>
    </w:r>
    <w:r>
      <w:rPr>
        <w:rFonts w:cs="宋体"/>
        <w:b/>
        <w:bCs/>
        <w:color w:val="17375e" w:themeColor="text2" w:themeShade="BF"/>
        <w:sz w:val="22"/>
        <w:szCs w:val="28"/>
        <w:u w:val="single"/>
      </w:rPr>
      <w:t xml:space="preserve">公开·公平·公正·诚实信用</w:t>
    </w:r>
    <w:r>
      <w:rPr>
        <w:rFonts w:ascii="Consolas" w:hAnsi="Consolas" w:cs="Consolas"/>
        <w:color w:val="1f497d" w:themeColor="text2"/>
        <w:sz w:val="20"/>
        <w:szCs w:val="20"/>
        <w:u w:val="single"/>
        <w14:textFill>
          <w14:solidFill>
            <w14:schemeClr w14:val="tx2"/>
          </w14:solidFill>
        </w14:textFill>
      </w:rPr>
      <w:t xml:space="preserve"> </w:t>
    </w:r>
    <w:r/>
  </w:p>
  <w:p>
    <w:pPr>
      <w:pStyle w:val="792"/>
      <w:ind w:firstLine="440"/>
      <w:jc w:val="left"/>
      <w:rPr>
        <w:sz w:val="22"/>
        <w:szCs w:val="24"/>
        <w:u w:val="single"/>
      </w:rPr>
    </w:pPr>
    <w:r>
      <w:rPr>
        <w:sz w:val="22"/>
        <w:szCs w:val="24"/>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部分"/>
      <w:lvlJc w:val="left"/>
      <w:pPr>
        <w:ind w:left="327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413"/>
      <w:isLgl w:val="false"/>
      <w:suff w:val="tab"/>
      <w:lvlText w:val="%1."/>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1">
      <w:start w:val="1"/>
      <w:numFmt w:val="decimal"/>
      <w:pStyle w:val="1412"/>
      <w:isLgl w:val="false"/>
      <w:suff w:val="tab"/>
      <w:lvlText w:val="%1.%2."/>
      <w:lvlJc w:val="left"/>
      <w:pPr>
        <w:ind w:left="1441" w:hanging="1021"/>
      </w:pPr>
      <w:rPr>
        <w:rFonts w:ascii="Arial Narrow" w:hAnsi="Arial Narrow" w:cs="Times New Roman"/>
        <w:b w:val="0"/>
        <w:bCs w:val="0"/>
        <w:i w:val="0"/>
        <w:iCs w:val="0"/>
        <w:caps w:val="0"/>
        <w:smallCaps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vanish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4">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24"/>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5">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23"/>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1264"/>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0"/>
  </w:num>
  <w:num w:numId="4">
    <w:abstractNumId w:val="3"/>
  </w:num>
  <w:num w:numId="5">
    <w:abstractNumId w:val="1"/>
  </w:num>
  <w:num w:numId="6">
    <w:abstractNumId w:val="2"/>
  </w:num>
  <w:num w:numId="7">
    <w:abstractNumId w:val="7"/>
  </w:num>
  <w:num w:numId="8">
    <w:abstractNumId w:val="0"/>
  </w:num>
  <w:num w:numId="9">
    <w:abstractNumId w:val="11"/>
  </w:num>
  <w:num w:numId="10">
    <w:abstractNumId w:val="9"/>
    <w:lvlOverride w:ilvl="0">
      <w:startOverride w:val="1"/>
    </w:lvlOverride>
  </w:num>
  <w:num w:numId="11">
    <w:abstractNumId w:val="6"/>
  </w:num>
  <w:num w:numId="12">
    <w:abstractNumId w:val="12"/>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1">
    <w:name w:val="Heading 1 Char"/>
    <w:basedOn w:val="775"/>
    <w:link w:val="766"/>
    <w:uiPriority w:val="9"/>
    <w:rPr>
      <w:rFonts w:ascii="Arial" w:hAnsi="Arial" w:eastAsia="Arial" w:cs="Arial"/>
      <w:sz w:val="40"/>
      <w:szCs w:val="40"/>
    </w:rPr>
  </w:style>
  <w:style w:type="character" w:styleId="732">
    <w:name w:val="Heading 2 Char"/>
    <w:basedOn w:val="775"/>
    <w:link w:val="767"/>
    <w:uiPriority w:val="9"/>
    <w:rPr>
      <w:rFonts w:ascii="Arial" w:hAnsi="Arial" w:eastAsia="Arial" w:cs="Arial"/>
      <w:sz w:val="34"/>
    </w:rPr>
  </w:style>
  <w:style w:type="character" w:styleId="733">
    <w:name w:val="Heading 3 Char"/>
    <w:basedOn w:val="775"/>
    <w:link w:val="768"/>
    <w:uiPriority w:val="9"/>
    <w:rPr>
      <w:rFonts w:ascii="Arial" w:hAnsi="Arial" w:eastAsia="Arial" w:cs="Arial"/>
      <w:sz w:val="30"/>
      <w:szCs w:val="30"/>
    </w:rPr>
  </w:style>
  <w:style w:type="character" w:styleId="734">
    <w:name w:val="Heading 4 Char"/>
    <w:basedOn w:val="775"/>
    <w:link w:val="769"/>
    <w:uiPriority w:val="9"/>
    <w:rPr>
      <w:rFonts w:ascii="Arial" w:hAnsi="Arial" w:eastAsia="Arial" w:cs="Arial"/>
      <w:b/>
      <w:bCs/>
      <w:sz w:val="26"/>
      <w:szCs w:val="26"/>
    </w:rPr>
  </w:style>
  <w:style w:type="character" w:styleId="735">
    <w:name w:val="Heading 5 Char"/>
    <w:basedOn w:val="775"/>
    <w:link w:val="770"/>
    <w:uiPriority w:val="9"/>
    <w:rPr>
      <w:rFonts w:ascii="Arial" w:hAnsi="Arial" w:eastAsia="Arial" w:cs="Arial"/>
      <w:b/>
      <w:bCs/>
      <w:sz w:val="24"/>
      <w:szCs w:val="24"/>
    </w:rPr>
  </w:style>
  <w:style w:type="character" w:styleId="736">
    <w:name w:val="Heading 6 Char"/>
    <w:basedOn w:val="775"/>
    <w:link w:val="771"/>
    <w:uiPriority w:val="9"/>
    <w:rPr>
      <w:rFonts w:ascii="Arial" w:hAnsi="Arial" w:eastAsia="Arial" w:cs="Arial"/>
      <w:b/>
      <w:bCs/>
      <w:sz w:val="22"/>
      <w:szCs w:val="22"/>
    </w:rPr>
  </w:style>
  <w:style w:type="character" w:styleId="737">
    <w:name w:val="Heading 7 Char"/>
    <w:basedOn w:val="775"/>
    <w:link w:val="772"/>
    <w:uiPriority w:val="9"/>
    <w:rPr>
      <w:rFonts w:ascii="Arial" w:hAnsi="Arial" w:eastAsia="Arial" w:cs="Arial"/>
      <w:b/>
      <w:bCs/>
      <w:i/>
      <w:iCs/>
      <w:sz w:val="22"/>
      <w:szCs w:val="22"/>
    </w:rPr>
  </w:style>
  <w:style w:type="character" w:styleId="738">
    <w:name w:val="Heading 8 Char"/>
    <w:basedOn w:val="775"/>
    <w:link w:val="773"/>
    <w:uiPriority w:val="9"/>
    <w:rPr>
      <w:rFonts w:ascii="Arial" w:hAnsi="Arial" w:eastAsia="Arial" w:cs="Arial"/>
      <w:i/>
      <w:iCs/>
      <w:sz w:val="22"/>
      <w:szCs w:val="22"/>
    </w:rPr>
  </w:style>
  <w:style w:type="character" w:styleId="739">
    <w:name w:val="Heading 9 Char"/>
    <w:basedOn w:val="775"/>
    <w:link w:val="774"/>
    <w:uiPriority w:val="9"/>
    <w:rPr>
      <w:rFonts w:ascii="Arial" w:hAnsi="Arial" w:eastAsia="Arial" w:cs="Arial"/>
      <w:i/>
      <w:iCs/>
      <w:sz w:val="21"/>
      <w:szCs w:val="21"/>
    </w:rPr>
  </w:style>
  <w:style w:type="character" w:styleId="740">
    <w:name w:val="Title Char"/>
    <w:basedOn w:val="775"/>
    <w:link w:val="803"/>
    <w:uiPriority w:val="10"/>
    <w:rPr>
      <w:sz w:val="48"/>
      <w:szCs w:val="48"/>
    </w:rPr>
  </w:style>
  <w:style w:type="character" w:styleId="741">
    <w:name w:val="Quote Char"/>
    <w:link w:val="861"/>
    <w:uiPriority w:val="29"/>
    <w:rPr>
      <w:i/>
    </w:rPr>
  </w:style>
  <w:style w:type="character" w:styleId="742">
    <w:name w:val="Intense Quote Char"/>
    <w:link w:val="863"/>
    <w:uiPriority w:val="30"/>
    <w:rPr>
      <w:i/>
    </w:rPr>
  </w:style>
  <w:style w:type="character" w:styleId="743">
    <w:name w:val="Header Char"/>
    <w:basedOn w:val="775"/>
    <w:link w:val="792"/>
    <w:uiPriority w:val="99"/>
  </w:style>
  <w:style w:type="character" w:styleId="744">
    <w:name w:val="Footer Char"/>
    <w:basedOn w:val="775"/>
    <w:link w:val="791"/>
    <w:uiPriority w:val="99"/>
  </w:style>
  <w:style w:type="table" w:styleId="745">
    <w:name w:val="Plain Table 1"/>
    <w:basedOn w:val="7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2"/>
    <w:basedOn w:val="77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name w:val="Plain Table 3"/>
    <w:basedOn w:val="7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name w:val="Plain Table 4"/>
    <w:basedOn w:val="7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name w:val="Plain Table 5"/>
    <w:basedOn w:val="7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0">
    <w:name w:val="Grid Table 1 Light"/>
    <w:basedOn w:val="77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1">
    <w:name w:val="Grid Table 2"/>
    <w:basedOn w:val="7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2">
    <w:name w:val="Grid Table 3"/>
    <w:basedOn w:val="7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basedOn w:val="77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5 Dark"/>
    <w:basedOn w:val="7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5">
    <w:name w:val="Grid Table 6 Colorful"/>
    <w:basedOn w:val="77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6">
    <w:name w:val="Grid Table 7 Colorful"/>
    <w:basedOn w:val="77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7">
    <w:name w:val="List Table 1 Light"/>
    <w:basedOn w:val="77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8">
    <w:name w:val="List Table 2"/>
    <w:basedOn w:val="77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9">
    <w:name w:val="List Table 3"/>
    <w:basedOn w:val="7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0">
    <w:name w:val="List Table 4"/>
    <w:basedOn w:val="7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1">
    <w:name w:val="List Table 5 Dark"/>
    <w:basedOn w:val="77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6 Colorful"/>
    <w:basedOn w:val="77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3">
    <w:name w:val="List Table 7 Colorful"/>
    <w:basedOn w:val="77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64">
    <w:name w:val="TOC Heading"/>
    <w:uiPriority w:val="39"/>
    <w:unhideWhenUsed/>
  </w:style>
  <w:style w:type="paragraph" w:styleId="765"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66">
    <w:name w:val="Heading 1"/>
    <w:basedOn w:val="765"/>
    <w:next w:val="765"/>
    <w:link w:val="852"/>
    <w:uiPriority w:val="9"/>
    <w:qFormat/>
    <w:pPr>
      <w:jc w:val="center"/>
      <w:keepLines/>
      <w:keepNext/>
      <w:spacing w:before="480" w:after="200"/>
      <w:outlineLvl w:val="0"/>
    </w:pPr>
    <w:rPr>
      <w:rFonts w:ascii="宋体" w:hAnsi="宋体" w:eastAsia="Arial" w:cs="宋体"/>
      <w:b/>
      <w:color w:val="000000"/>
      <w:sz w:val="44"/>
      <w:szCs w:val="44"/>
    </w:rPr>
  </w:style>
  <w:style w:type="paragraph" w:styleId="767">
    <w:name w:val="Heading 2"/>
    <w:basedOn w:val="765"/>
    <w:next w:val="777"/>
    <w:uiPriority w:val="9"/>
    <w:semiHidden/>
    <w:unhideWhenUsed/>
    <w:qFormat/>
    <w:pPr>
      <w:keepLines/>
      <w:keepNext/>
      <w:spacing w:before="360" w:after="200"/>
      <w:outlineLvl w:val="1"/>
    </w:pPr>
    <w:rPr>
      <w:rFonts w:ascii="Arial" w:hAnsi="Arial" w:eastAsia="Arial" w:cs="Arial"/>
      <w:sz w:val="34"/>
    </w:rPr>
  </w:style>
  <w:style w:type="paragraph" w:styleId="768">
    <w:name w:val="Heading 3"/>
    <w:basedOn w:val="765"/>
    <w:next w:val="765"/>
    <w:uiPriority w:val="9"/>
    <w:semiHidden/>
    <w:unhideWhenUsed/>
    <w:qFormat/>
    <w:pPr>
      <w:keepLines/>
      <w:keepNext/>
      <w:spacing w:before="320" w:after="200"/>
      <w:outlineLvl w:val="2"/>
    </w:pPr>
    <w:rPr>
      <w:rFonts w:ascii="Arial" w:hAnsi="Arial" w:eastAsia="Arial" w:cs="Arial"/>
      <w:sz w:val="30"/>
      <w:szCs w:val="30"/>
    </w:rPr>
  </w:style>
  <w:style w:type="paragraph" w:styleId="769">
    <w:name w:val="Heading 4"/>
    <w:basedOn w:val="765"/>
    <w:next w:val="765"/>
    <w:uiPriority w:val="9"/>
    <w:semiHidden/>
    <w:unhideWhenUsed/>
    <w:qFormat/>
    <w:pPr>
      <w:keepLines/>
      <w:keepNext/>
      <w:spacing w:before="320" w:after="200"/>
      <w:outlineLvl w:val="3"/>
    </w:pPr>
    <w:rPr>
      <w:rFonts w:ascii="Arial" w:hAnsi="Arial" w:eastAsia="Arial" w:cs="Arial"/>
      <w:b/>
      <w:bCs/>
      <w:sz w:val="26"/>
      <w:szCs w:val="26"/>
    </w:rPr>
  </w:style>
  <w:style w:type="paragraph" w:styleId="770">
    <w:name w:val="Heading 5"/>
    <w:basedOn w:val="765"/>
    <w:next w:val="765"/>
    <w:link w:val="853"/>
    <w:uiPriority w:val="9"/>
    <w:semiHidden/>
    <w:unhideWhenUsed/>
    <w:qFormat/>
    <w:pPr>
      <w:keepLines/>
      <w:keepNext/>
      <w:spacing w:before="320" w:after="200"/>
      <w:outlineLvl w:val="4"/>
    </w:pPr>
    <w:rPr>
      <w:rFonts w:ascii="Arial" w:hAnsi="Arial" w:eastAsia="Arial" w:cs="Arial"/>
      <w:b/>
      <w:bCs/>
      <w:sz w:val="24"/>
      <w:szCs w:val="24"/>
    </w:rPr>
  </w:style>
  <w:style w:type="paragraph" w:styleId="771">
    <w:name w:val="Heading 6"/>
    <w:basedOn w:val="765"/>
    <w:next w:val="765"/>
    <w:link w:val="854"/>
    <w:uiPriority w:val="9"/>
    <w:semiHidden/>
    <w:unhideWhenUsed/>
    <w:qFormat/>
    <w:pPr>
      <w:keepLines/>
      <w:keepNext/>
      <w:spacing w:before="320" w:after="200"/>
      <w:outlineLvl w:val="5"/>
    </w:pPr>
    <w:rPr>
      <w:rFonts w:ascii="Arial" w:hAnsi="Arial" w:eastAsia="Arial" w:cs="Arial"/>
      <w:b/>
      <w:bCs/>
      <w:sz w:val="22"/>
    </w:rPr>
  </w:style>
  <w:style w:type="paragraph" w:styleId="772">
    <w:name w:val="Heading 7"/>
    <w:basedOn w:val="765"/>
    <w:next w:val="765"/>
    <w:link w:val="855"/>
    <w:uiPriority w:val="9"/>
    <w:qFormat/>
    <w:pPr>
      <w:keepLines/>
      <w:keepNext/>
      <w:spacing w:before="320" w:after="200"/>
      <w:outlineLvl w:val="6"/>
    </w:pPr>
    <w:rPr>
      <w:rFonts w:ascii="Arial" w:hAnsi="Arial" w:eastAsia="Arial" w:cs="Arial"/>
      <w:b/>
      <w:bCs/>
      <w:i/>
      <w:iCs/>
      <w:sz w:val="22"/>
    </w:rPr>
  </w:style>
  <w:style w:type="paragraph" w:styleId="773">
    <w:name w:val="Heading 8"/>
    <w:basedOn w:val="765"/>
    <w:next w:val="765"/>
    <w:link w:val="856"/>
    <w:uiPriority w:val="9"/>
    <w:qFormat/>
    <w:pPr>
      <w:keepLines/>
      <w:keepNext/>
      <w:spacing w:before="320" w:after="200"/>
      <w:outlineLvl w:val="7"/>
    </w:pPr>
    <w:rPr>
      <w:rFonts w:ascii="Arial" w:hAnsi="Arial" w:eastAsia="Arial" w:cs="Arial"/>
      <w:i/>
      <w:iCs/>
      <w:sz w:val="22"/>
    </w:rPr>
  </w:style>
  <w:style w:type="paragraph" w:styleId="774">
    <w:name w:val="Heading 9"/>
    <w:basedOn w:val="765"/>
    <w:next w:val="765"/>
    <w:link w:val="857"/>
    <w:uiPriority w:val="9"/>
    <w:qFormat/>
    <w:pPr>
      <w:keepLines/>
      <w:keepNext/>
      <w:spacing w:before="320" w:after="200"/>
      <w:outlineLvl w:val="8"/>
    </w:pPr>
    <w:rPr>
      <w:rFonts w:ascii="Arial" w:hAnsi="Arial" w:eastAsia="Arial" w:cs="Arial"/>
      <w:i/>
      <w:iCs/>
      <w:szCs w:val="21"/>
    </w:rPr>
  </w:style>
  <w:style w:type="character" w:styleId="775" w:default="1">
    <w:name w:val="Default Paragraph Font"/>
    <w:uiPriority w:val="1"/>
    <w:semiHidden/>
    <w:unhideWhenUsed/>
  </w:style>
  <w:style w:type="table" w:styleId="776" w:default="1">
    <w:name w:val="Normal Table"/>
    <w:uiPriority w:val="99"/>
    <w:semiHidden/>
    <w:unhideWhenUsed/>
    <w:qFormat/>
    <w:tblPr>
      <w:tblCellMar>
        <w:left w:w="108" w:type="dxa"/>
        <w:top w:w="0" w:type="dxa"/>
        <w:right w:w="108" w:type="dxa"/>
        <w:bottom w:w="0" w:type="dxa"/>
      </w:tblCellMar>
    </w:tblPr>
  </w:style>
  <w:style w:type="paragraph" w:styleId="777">
    <w:name w:val="Normal Indent"/>
    <w:basedOn w:val="765"/>
    <w:uiPriority w:val="0"/>
    <w:qFormat/>
    <w:pPr>
      <w:ind w:firstLine="420"/>
    </w:pPr>
  </w:style>
  <w:style w:type="paragraph" w:styleId="778">
    <w:name w:val="toc 7"/>
    <w:basedOn w:val="765"/>
    <w:next w:val="765"/>
    <w:uiPriority w:val="39"/>
    <w:qFormat/>
    <w:pPr>
      <w:ind w:left="1701"/>
      <w:spacing w:after="57"/>
    </w:pPr>
  </w:style>
  <w:style w:type="paragraph" w:styleId="779">
    <w:name w:val="Caption"/>
    <w:basedOn w:val="765"/>
    <w:next w:val="765"/>
    <w:uiPriority w:val="35"/>
    <w:qFormat/>
    <w:pPr>
      <w:spacing w:line="276" w:lineRule="auto"/>
    </w:pPr>
    <w:rPr>
      <w:b/>
      <w:bCs/>
      <w:color w:val="4f81bd"/>
      <w:sz w:val="18"/>
      <w:szCs w:val="18"/>
    </w:rPr>
  </w:style>
  <w:style w:type="paragraph" w:styleId="780">
    <w:name w:val="annotation text"/>
    <w:basedOn w:val="765"/>
    <w:link w:val="1428"/>
    <w:uiPriority w:val="99"/>
    <w:qFormat/>
    <w:pPr>
      <w:jc w:val="left"/>
    </w:pPr>
  </w:style>
  <w:style w:type="paragraph" w:styleId="781">
    <w:name w:val="Body Text"/>
    <w:basedOn w:val="765"/>
    <w:next w:val="782"/>
    <w:uiPriority w:val="0"/>
    <w:qFormat/>
    <w:pPr>
      <w:spacing w:after="120"/>
    </w:pPr>
    <w:rPr>
      <w:rFonts w:eastAsia="Times New Roman"/>
    </w:rPr>
  </w:style>
  <w:style w:type="paragraph" w:styleId="782"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783">
    <w:name w:val="Body Text Indent"/>
    <w:basedOn w:val="765"/>
    <w:link w:val="1424"/>
    <w:uiPriority w:val="99"/>
    <w:qFormat/>
    <w:pPr>
      <w:ind w:left="420"/>
      <w:spacing w:after="120"/>
    </w:pPr>
  </w:style>
  <w:style w:type="paragraph" w:styleId="784">
    <w:name w:val="index 4"/>
    <w:basedOn w:val="765"/>
    <w:next w:val="765"/>
    <w:uiPriority w:val="99"/>
    <w:unhideWhenUsed/>
    <w:qFormat/>
    <w:pPr>
      <w:ind w:firstLine="840"/>
      <w:spacing w:line="360" w:lineRule="auto"/>
    </w:pPr>
    <w:rPr>
      <w:sz w:val="22"/>
      <w:lang w:val="zh-CN" w:bidi="zh-CN"/>
    </w:rPr>
  </w:style>
  <w:style w:type="paragraph" w:styleId="785">
    <w:name w:val="toc 5"/>
    <w:basedOn w:val="765"/>
    <w:next w:val="765"/>
    <w:uiPriority w:val="39"/>
    <w:qFormat/>
    <w:pPr>
      <w:ind w:left="1134"/>
      <w:spacing w:after="57"/>
    </w:pPr>
  </w:style>
  <w:style w:type="paragraph" w:styleId="786">
    <w:name w:val="toc 3"/>
    <w:basedOn w:val="765"/>
    <w:next w:val="765"/>
    <w:uiPriority w:val="39"/>
    <w:qFormat/>
    <w:pPr>
      <w:ind w:left="567"/>
      <w:spacing w:after="57"/>
    </w:pPr>
  </w:style>
  <w:style w:type="paragraph" w:styleId="787">
    <w:name w:val="toc 8"/>
    <w:basedOn w:val="765"/>
    <w:next w:val="765"/>
    <w:uiPriority w:val="39"/>
    <w:qFormat/>
    <w:pPr>
      <w:ind w:left="1984"/>
      <w:spacing w:after="57"/>
    </w:pPr>
  </w:style>
  <w:style w:type="paragraph" w:styleId="788">
    <w:name w:val="Date"/>
    <w:basedOn w:val="765"/>
    <w:next w:val="765"/>
    <w:link w:val="1422"/>
    <w:uiPriority w:val="99"/>
    <w:qFormat/>
    <w:pPr>
      <w:ind w:left="100"/>
    </w:pPr>
  </w:style>
  <w:style w:type="paragraph" w:styleId="789">
    <w:name w:val="endnote text"/>
    <w:basedOn w:val="765"/>
    <w:link w:val="973"/>
    <w:uiPriority w:val="99"/>
    <w:qFormat/>
    <w:rPr>
      <w:sz w:val="20"/>
    </w:rPr>
  </w:style>
  <w:style w:type="paragraph" w:styleId="790">
    <w:name w:val="Balloon Text"/>
    <w:basedOn w:val="765"/>
    <w:link w:val="1427"/>
    <w:uiPriority w:val="99"/>
    <w:semiHidden/>
    <w:unhideWhenUsed/>
    <w:qFormat/>
    <w:rPr>
      <w:sz w:val="18"/>
      <w:szCs w:val="18"/>
    </w:rPr>
  </w:style>
  <w:style w:type="paragraph" w:styleId="791">
    <w:name w:val="Footer"/>
    <w:basedOn w:val="765"/>
    <w:link w:val="865"/>
    <w:uiPriority w:val="99"/>
    <w:qFormat/>
    <w:pPr>
      <w:tabs>
        <w:tab w:val="center" w:pos="7143" w:leader="none"/>
        <w:tab w:val="right" w:pos="14287" w:leader="none"/>
      </w:tabs>
    </w:pPr>
  </w:style>
  <w:style w:type="paragraph" w:styleId="792">
    <w:name w:val="Header"/>
    <w:basedOn w:val="765"/>
    <w:uiPriority w:val="99"/>
    <w:qFormat/>
    <w:pPr>
      <w:tabs>
        <w:tab w:val="center" w:pos="7143" w:leader="none"/>
        <w:tab w:val="right" w:pos="14287" w:leader="none"/>
      </w:tabs>
    </w:pPr>
  </w:style>
  <w:style w:type="paragraph" w:styleId="793">
    <w:name w:val="toc 1"/>
    <w:basedOn w:val="765"/>
    <w:next w:val="765"/>
    <w:uiPriority w:val="39"/>
    <w:qFormat/>
    <w:pPr>
      <w:spacing w:after="57"/>
    </w:pPr>
  </w:style>
  <w:style w:type="paragraph" w:styleId="794">
    <w:name w:val="toc 4"/>
    <w:basedOn w:val="765"/>
    <w:next w:val="765"/>
    <w:uiPriority w:val="39"/>
    <w:qFormat/>
    <w:pPr>
      <w:ind w:left="850"/>
      <w:spacing w:after="57"/>
    </w:pPr>
  </w:style>
  <w:style w:type="paragraph" w:styleId="795">
    <w:name w:val="Subtitle"/>
    <w:basedOn w:val="765"/>
    <w:next w:val="765"/>
    <w:link w:val="860"/>
    <w:uiPriority w:val="11"/>
    <w:qFormat/>
    <w:pPr>
      <w:spacing w:before="200" w:after="200"/>
    </w:pPr>
    <w:rPr>
      <w:sz w:val="24"/>
      <w:szCs w:val="24"/>
    </w:rPr>
  </w:style>
  <w:style w:type="paragraph" w:styleId="796">
    <w:name w:val="footnote text"/>
    <w:basedOn w:val="765"/>
    <w:link w:val="972"/>
    <w:uiPriority w:val="0"/>
    <w:qFormat/>
    <w:pPr>
      <w:spacing w:after="40"/>
    </w:pPr>
    <w:rPr>
      <w:sz w:val="18"/>
    </w:rPr>
  </w:style>
  <w:style w:type="paragraph" w:styleId="797">
    <w:name w:val="toc 6"/>
    <w:basedOn w:val="765"/>
    <w:next w:val="765"/>
    <w:uiPriority w:val="39"/>
    <w:qFormat/>
    <w:pPr>
      <w:ind w:left="1417"/>
      <w:spacing w:after="57"/>
    </w:pPr>
  </w:style>
  <w:style w:type="paragraph" w:styleId="798">
    <w:name w:val="table of figures"/>
    <w:basedOn w:val="765"/>
    <w:next w:val="765"/>
    <w:uiPriority w:val="99"/>
    <w:qFormat/>
  </w:style>
  <w:style w:type="paragraph" w:styleId="799">
    <w:name w:val="toc 2"/>
    <w:basedOn w:val="765"/>
    <w:next w:val="765"/>
    <w:uiPriority w:val="39"/>
    <w:qFormat/>
    <w:pPr>
      <w:ind w:left="283"/>
      <w:spacing w:after="57"/>
    </w:pPr>
  </w:style>
  <w:style w:type="paragraph" w:styleId="800">
    <w:name w:val="toc 9"/>
    <w:basedOn w:val="765"/>
    <w:next w:val="765"/>
    <w:uiPriority w:val="39"/>
    <w:qFormat/>
    <w:pPr>
      <w:ind w:left="2268"/>
      <w:spacing w:after="57"/>
    </w:pPr>
  </w:style>
  <w:style w:type="paragraph" w:styleId="801">
    <w:name w:val="HTML Preformatted"/>
    <w:basedOn w:val="765"/>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szCs w:val="24"/>
    </w:rPr>
  </w:style>
  <w:style w:type="paragraph" w:styleId="802">
    <w:name w:val="Normal (Web)"/>
    <w:basedOn w:val="765"/>
    <w:uiPriority w:val="0"/>
    <w:qFormat/>
    <w:pPr>
      <w:jc w:val="left"/>
      <w:spacing w:before="100" w:beforeAutospacing="1" w:after="100" w:afterAutospacing="1"/>
      <w:widowControl/>
    </w:pPr>
    <w:rPr>
      <w:rFonts w:ascii="宋体" w:eastAsia="Times New Roman"/>
      <w:sz w:val="24"/>
      <w:szCs w:val="20"/>
    </w:rPr>
  </w:style>
  <w:style w:type="paragraph" w:styleId="803">
    <w:name w:val="Title"/>
    <w:basedOn w:val="765"/>
    <w:next w:val="765"/>
    <w:link w:val="859"/>
    <w:uiPriority w:val="10"/>
    <w:qFormat/>
    <w:pPr>
      <w:contextualSpacing/>
      <w:spacing w:before="300" w:after="200"/>
    </w:pPr>
    <w:rPr>
      <w:sz w:val="48"/>
      <w:szCs w:val="48"/>
    </w:rPr>
  </w:style>
  <w:style w:type="paragraph" w:styleId="804">
    <w:name w:val="annotation subject"/>
    <w:basedOn w:val="780"/>
    <w:next w:val="780"/>
    <w:link w:val="1429"/>
    <w:uiPriority w:val="99"/>
    <w:semiHidden/>
    <w:unhideWhenUsed/>
    <w:qFormat/>
    <w:rPr>
      <w:b/>
      <w:bCs/>
    </w:rPr>
  </w:style>
  <w:style w:type="table" w:styleId="80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6">
    <w:name w:val="Strong"/>
    <w:basedOn w:val="775"/>
    <w:uiPriority w:val="0"/>
    <w:qFormat/>
    <w:rPr>
      <w:b/>
    </w:rPr>
  </w:style>
  <w:style w:type="character" w:styleId="807">
    <w:name w:val="endnote reference"/>
    <w:uiPriority w:val="99"/>
    <w:qFormat/>
    <w:rPr>
      <w:vertAlign w:val="superscript"/>
    </w:rPr>
  </w:style>
  <w:style w:type="character" w:styleId="808">
    <w:name w:val="Emphasis"/>
    <w:uiPriority w:val="0"/>
    <w:qFormat/>
    <w:rPr>
      <w:i/>
    </w:rPr>
  </w:style>
  <w:style w:type="character" w:styleId="809">
    <w:name w:val="Hyperlink"/>
    <w:uiPriority w:val="99"/>
    <w:qFormat/>
    <w:rPr>
      <w:color w:val="0000ff"/>
      <w:u w:val="single"/>
    </w:rPr>
  </w:style>
  <w:style w:type="character" w:styleId="810">
    <w:name w:val="annotation reference"/>
    <w:basedOn w:val="775"/>
    <w:uiPriority w:val="99"/>
    <w:qFormat/>
    <w:rPr>
      <w:sz w:val="21"/>
      <w:szCs w:val="21"/>
    </w:rPr>
  </w:style>
  <w:style w:type="character" w:styleId="811">
    <w:name w:val="footnote reference"/>
    <w:uiPriority w:val="0"/>
    <w:qFormat/>
    <w:rPr>
      <w:vertAlign w:val="superscript"/>
    </w:rPr>
  </w:style>
  <w:style w:type="paragraph" w:styleId="812" w:customStyle="1">
    <w:name w:val="标题二、"/>
    <w:basedOn w:val="765"/>
    <w:uiPriority w:val="99"/>
    <w:qFormat/>
    <w:pPr>
      <w:ind w:firstLine="200"/>
      <w:spacing w:line="360" w:lineRule="auto"/>
      <w:outlineLvl w:val="2"/>
    </w:pPr>
    <w:rPr>
      <w:rFonts w:ascii="宋体" w:hAnsi="宋体"/>
      <w:b/>
      <w:szCs w:val="21"/>
    </w:rPr>
  </w:style>
  <w:style w:type="paragraph" w:styleId="813" w:customStyle="1">
    <w:name w:val="正文首行缩进11"/>
    <w:basedOn w:val="814"/>
    <w:uiPriority w:val="99"/>
    <w:unhideWhenUsed/>
    <w:qFormat/>
    <w:pPr>
      <w:ind w:firstLine="420"/>
    </w:pPr>
  </w:style>
  <w:style w:type="paragraph" w:styleId="814" w:customStyle="1">
    <w:name w:val="正文文本12"/>
    <w:basedOn w:val="765"/>
    <w:uiPriority w:val="0"/>
    <w:qFormat/>
    <w:rPr>
      <w:rFonts w:ascii="楷体_GB2312" w:hAnsi="Arial" w:eastAsia="楷体_GB2312"/>
      <w:sz w:val="28"/>
      <w:szCs w:val="28"/>
    </w:rPr>
  </w:style>
  <w:style w:type="paragraph" w:styleId="815" w:customStyle="1">
    <w:name w:val="样式1"/>
    <w:basedOn w:val="816"/>
    <w:next w:val="765"/>
    <w:uiPriority w:val="0"/>
    <w:qFormat/>
    <w:pPr>
      <w:tabs>
        <w:tab w:val="left" w:pos="0" w:leader="none"/>
        <w:tab w:val="left" w:pos="840" w:leader="none"/>
      </w:tabs>
    </w:pPr>
    <w:rPr>
      <w:rFonts w:ascii="Arial" w:hAnsi="Arial" w:eastAsia="幼圆" w:cs="Arial"/>
      <w:sz w:val="24"/>
      <w:szCs w:val="20"/>
    </w:rPr>
  </w:style>
  <w:style w:type="paragraph" w:styleId="816" w:customStyle="1">
    <w:name w:val="列表编号1"/>
    <w:basedOn w:val="765"/>
    <w:uiPriority w:val="0"/>
    <w:qFormat/>
    <w:pPr>
      <w:spacing w:line="360" w:lineRule="auto"/>
      <w:tabs>
        <w:tab w:val="left" w:pos="0" w:leader="none"/>
        <w:tab w:val="left" w:pos="840" w:leader="none"/>
      </w:tabs>
    </w:pPr>
  </w:style>
  <w:style w:type="table" w:styleId="817" w:customStyle="1">
    <w:name w:val="无格式表格 11"/>
    <w:basedOn w:val="776"/>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无格式表格 21"/>
    <w:basedOn w:val="776"/>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无格式表格 31"/>
    <w:basedOn w:val="776"/>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0" w:customStyle="1">
    <w:name w:val="无格式表格 41"/>
    <w:basedOn w:val="776"/>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1" w:customStyle="1">
    <w:name w:val="无格式表格 51"/>
    <w:basedOn w:val="776"/>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2" w:customStyle="1">
    <w:name w:val="网格表 1 浅色1"/>
    <w:basedOn w:val="776"/>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23" w:customStyle="1">
    <w:name w:val="网格表 21"/>
    <w:basedOn w:val="776"/>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24" w:customStyle="1">
    <w:name w:val="网格表 31"/>
    <w:basedOn w:val="776"/>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网格表 41"/>
    <w:basedOn w:val="776"/>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26" w:customStyle="1">
    <w:name w:val="网格表 5 深色1"/>
    <w:basedOn w:val="77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27" w:customStyle="1">
    <w:name w:val="网格表 6 彩色1"/>
    <w:basedOn w:val="776"/>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28" w:customStyle="1">
    <w:name w:val="网格表 7 彩色1"/>
    <w:basedOn w:val="776"/>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29" w:customStyle="1">
    <w:name w:val="清单表 1 浅色1"/>
    <w:basedOn w:val="776"/>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30" w:customStyle="1">
    <w:name w:val="清单表 21"/>
    <w:basedOn w:val="776"/>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31" w:customStyle="1">
    <w:name w:val="清单表 31"/>
    <w:basedOn w:val="776"/>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32" w:customStyle="1">
    <w:name w:val="清单表 41"/>
    <w:basedOn w:val="776"/>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33" w:customStyle="1">
    <w:name w:val="清单表 5 深色1"/>
    <w:basedOn w:val="776"/>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34" w:customStyle="1">
    <w:name w:val="清单表 6 彩色1"/>
    <w:basedOn w:val="776"/>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35" w:customStyle="1">
    <w:name w:val="清单表 7 彩色1"/>
    <w:basedOn w:val="776"/>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836" w:customStyle="1">
    <w:name w:val="TOC 标题1"/>
    <w:uiPriority w:val="39"/>
    <w:qFormat/>
    <w:rPr>
      <w:rFonts w:ascii="Times New Roman" w:hAnsi="Times New Roman" w:eastAsia="宋体" w:cs="Times New Roman"/>
      <w:lang w:val="en-US" w:eastAsia="zh-CN" w:bidi="ar-SA"/>
    </w:rPr>
  </w:style>
  <w:style w:type="character" w:styleId="837" w:customStyle="1">
    <w:name w:val="Heading 1 Char_434700aa-fe40-4ee6-9069-0a69300fd62b"/>
    <w:basedOn w:val="775"/>
    <w:uiPriority w:val="9"/>
    <w:qFormat/>
    <w:rPr>
      <w:rFonts w:ascii="Arial" w:hAnsi="Arial" w:eastAsia="Arial" w:cs="Arial"/>
      <w:sz w:val="40"/>
      <w:szCs w:val="40"/>
    </w:rPr>
  </w:style>
  <w:style w:type="character" w:styleId="838" w:customStyle="1">
    <w:name w:val="Heading 5 Char_925b8ece-8082-461d-ae29-1d41b41a7251"/>
    <w:basedOn w:val="775"/>
    <w:uiPriority w:val="9"/>
    <w:qFormat/>
    <w:rPr>
      <w:rFonts w:ascii="Arial" w:hAnsi="Arial" w:eastAsia="Arial" w:cs="Arial"/>
      <w:b/>
      <w:bCs/>
      <w:sz w:val="24"/>
      <w:szCs w:val="24"/>
    </w:rPr>
  </w:style>
  <w:style w:type="character" w:styleId="839" w:customStyle="1">
    <w:name w:val="Heading 6 Char_a35ea97a-1ce8-4d9b-8930-2f6c61bf63ec"/>
    <w:basedOn w:val="775"/>
    <w:uiPriority w:val="9"/>
    <w:qFormat/>
    <w:rPr>
      <w:rFonts w:ascii="Arial" w:hAnsi="Arial" w:eastAsia="Arial" w:cs="Arial"/>
      <w:b/>
      <w:bCs/>
      <w:sz w:val="22"/>
      <w:szCs w:val="22"/>
    </w:rPr>
  </w:style>
  <w:style w:type="character" w:styleId="840" w:customStyle="1">
    <w:name w:val="Heading 7 Char_187ddb87-c7bc-4839-9585-67a43c484026"/>
    <w:basedOn w:val="775"/>
    <w:uiPriority w:val="9"/>
    <w:qFormat/>
    <w:rPr>
      <w:rFonts w:ascii="Arial" w:hAnsi="Arial" w:eastAsia="Arial" w:cs="Arial"/>
      <w:b/>
      <w:bCs/>
      <w:i/>
      <w:iCs/>
      <w:sz w:val="22"/>
      <w:szCs w:val="22"/>
    </w:rPr>
  </w:style>
  <w:style w:type="character" w:styleId="841" w:customStyle="1">
    <w:name w:val="Heading 8 Char_f86cc6f1-e07f-46cd-8999-b4d6f395b7ab"/>
    <w:basedOn w:val="775"/>
    <w:uiPriority w:val="9"/>
    <w:qFormat/>
    <w:rPr>
      <w:rFonts w:ascii="Arial" w:hAnsi="Arial" w:eastAsia="Arial" w:cs="Arial"/>
      <w:i/>
      <w:iCs/>
      <w:sz w:val="22"/>
      <w:szCs w:val="22"/>
    </w:rPr>
  </w:style>
  <w:style w:type="character" w:styleId="842" w:customStyle="1">
    <w:name w:val="Heading 9 Char_78d770f5-7fe8-45f8-a379-5ea7765ab889"/>
    <w:basedOn w:val="775"/>
    <w:uiPriority w:val="9"/>
    <w:qFormat/>
    <w:rPr>
      <w:rFonts w:ascii="Arial" w:hAnsi="Arial" w:eastAsia="Arial" w:cs="Arial"/>
      <w:i/>
      <w:iCs/>
      <w:sz w:val="21"/>
      <w:szCs w:val="21"/>
    </w:rPr>
  </w:style>
  <w:style w:type="character" w:styleId="843" w:customStyle="1">
    <w:name w:val="Title Char_cba70f7b-6b0c-40c3-9c1d-79b000d9620e"/>
    <w:basedOn w:val="775"/>
    <w:uiPriority w:val="10"/>
    <w:qFormat/>
    <w:rPr>
      <w:sz w:val="48"/>
      <w:szCs w:val="48"/>
    </w:rPr>
  </w:style>
  <w:style w:type="character" w:styleId="844" w:customStyle="1">
    <w:name w:val="Subtitle Char"/>
    <w:basedOn w:val="775"/>
    <w:uiPriority w:val="11"/>
    <w:qFormat/>
    <w:rPr>
      <w:sz w:val="24"/>
      <w:szCs w:val="24"/>
    </w:rPr>
  </w:style>
  <w:style w:type="character" w:styleId="845" w:customStyle="1">
    <w:name w:val="Quote Char_7b531250-58de-49b9-9d0c-04cfbc5a8719"/>
    <w:uiPriority w:val="29"/>
    <w:qFormat/>
    <w:rPr>
      <w:i/>
    </w:rPr>
  </w:style>
  <w:style w:type="character" w:styleId="846" w:customStyle="1">
    <w:name w:val="Intense Quote Char_0c2ead29-d2a6-4ac5-8f7c-28c2f003bdba"/>
    <w:uiPriority w:val="30"/>
    <w:qFormat/>
    <w:rPr>
      <w:i/>
    </w:rPr>
  </w:style>
  <w:style w:type="character" w:styleId="847" w:customStyle="1">
    <w:name w:val="Caption Char"/>
    <w:uiPriority w:val="99"/>
    <w:qFormat/>
  </w:style>
  <w:style w:type="character" w:styleId="848" w:customStyle="1">
    <w:name w:val="Footnote Text Char"/>
    <w:uiPriority w:val="99"/>
    <w:qFormat/>
    <w:rPr>
      <w:sz w:val="18"/>
    </w:rPr>
  </w:style>
  <w:style w:type="character" w:styleId="849" w:customStyle="1">
    <w:name w:val="Endnote Text Char"/>
    <w:uiPriority w:val="99"/>
    <w:qFormat/>
    <w:rPr>
      <w:sz w:val="20"/>
    </w:rPr>
  </w:style>
  <w:style w:type="paragraph" w:styleId="850" w:customStyle="1">
    <w:name w:val="TOC 标题111"/>
    <w:uiPriority w:val="39"/>
    <w:qFormat/>
    <w:rPr>
      <w:rFonts w:ascii="Times New Roman" w:hAnsi="Times New Roman" w:eastAsia="宋体" w:cs="Times New Roman"/>
      <w:lang w:val="en-US" w:eastAsia="zh-CN" w:bidi="ar-SA"/>
    </w:rPr>
  </w:style>
  <w:style w:type="paragraph" w:styleId="851" w:customStyle="1">
    <w:name w:val="正文文本1"/>
    <w:basedOn w:val="765"/>
    <w:next w:val="765"/>
    <w:link w:val="986"/>
    <w:uiPriority w:val="0"/>
    <w:qFormat/>
    <w:pPr>
      <w:spacing w:line="60" w:lineRule="auto"/>
    </w:pPr>
    <w:rPr>
      <w:rFonts w:ascii="仿宋_GB2312" w:eastAsia="仿宋_GB2312"/>
      <w:sz w:val="32"/>
    </w:rPr>
  </w:style>
  <w:style w:type="character" w:styleId="852" w:customStyle="1">
    <w:name w:val="标题 1 Char"/>
    <w:link w:val="766"/>
    <w:uiPriority w:val="9"/>
    <w:qFormat/>
    <w:rPr>
      <w:rFonts w:ascii="宋体" w:hAnsi="宋体" w:eastAsia="Arial" w:cs="宋体"/>
      <w:b/>
      <w:color w:val="000000"/>
      <w:sz w:val="44"/>
      <w:szCs w:val="44"/>
      <w:highlight w:val="none"/>
      <w:lang w:val="en-US" w:eastAsia="zh-CN" w:bidi="ar-SA"/>
    </w:rPr>
  </w:style>
  <w:style w:type="character" w:styleId="853" w:customStyle="1">
    <w:name w:val="标题 5 Char"/>
    <w:link w:val="770"/>
    <w:uiPriority w:val="9"/>
    <w:qFormat/>
    <w:rPr>
      <w:rFonts w:ascii="Arial" w:hAnsi="Arial" w:eastAsia="Arial" w:cs="Arial"/>
      <w:b/>
      <w:bCs/>
      <w:sz w:val="24"/>
      <w:szCs w:val="24"/>
    </w:rPr>
  </w:style>
  <w:style w:type="character" w:styleId="854" w:customStyle="1">
    <w:name w:val="标题 6 Char"/>
    <w:link w:val="771"/>
    <w:uiPriority w:val="9"/>
    <w:qFormat/>
    <w:rPr>
      <w:rFonts w:ascii="Arial" w:hAnsi="Arial" w:eastAsia="Arial" w:cs="Arial"/>
      <w:b/>
      <w:bCs/>
      <w:sz w:val="22"/>
      <w:szCs w:val="22"/>
    </w:rPr>
  </w:style>
  <w:style w:type="character" w:styleId="855" w:customStyle="1">
    <w:name w:val="标题 7 Char"/>
    <w:link w:val="772"/>
    <w:uiPriority w:val="9"/>
    <w:qFormat/>
    <w:rPr>
      <w:rFonts w:ascii="Arial" w:hAnsi="Arial" w:eastAsia="Arial" w:cs="Arial"/>
      <w:b/>
      <w:bCs/>
      <w:i/>
      <w:iCs/>
      <w:sz w:val="22"/>
      <w:szCs w:val="22"/>
    </w:rPr>
  </w:style>
  <w:style w:type="character" w:styleId="856" w:customStyle="1">
    <w:name w:val="标题 8 Char"/>
    <w:link w:val="773"/>
    <w:uiPriority w:val="9"/>
    <w:qFormat/>
    <w:rPr>
      <w:rFonts w:ascii="Arial" w:hAnsi="Arial" w:eastAsia="Arial" w:cs="Arial"/>
      <w:i/>
      <w:iCs/>
      <w:sz w:val="22"/>
      <w:szCs w:val="22"/>
    </w:rPr>
  </w:style>
  <w:style w:type="character" w:styleId="857" w:customStyle="1">
    <w:name w:val="标题 9 Char"/>
    <w:link w:val="774"/>
    <w:uiPriority w:val="9"/>
    <w:qFormat/>
    <w:rPr>
      <w:rFonts w:ascii="Arial" w:hAnsi="Arial" w:eastAsia="Arial" w:cs="Arial"/>
      <w:i/>
      <w:iCs/>
      <w:sz w:val="21"/>
      <w:szCs w:val="21"/>
    </w:rPr>
  </w:style>
  <w:style w:type="paragraph" w:styleId="858">
    <w:name w:val="No Spacing"/>
    <w:uiPriority w:val="1"/>
    <w:qFormat/>
    <w:rPr>
      <w:rFonts w:ascii="Times New Roman" w:hAnsi="Times New Roman" w:eastAsia="宋体" w:cs="Times New Roman"/>
      <w:lang w:val="en-US" w:eastAsia="zh-CN" w:bidi="ar-SA"/>
    </w:rPr>
  </w:style>
  <w:style w:type="character" w:styleId="859" w:customStyle="1">
    <w:name w:val="标题 Char"/>
    <w:link w:val="803"/>
    <w:uiPriority w:val="10"/>
    <w:qFormat/>
    <w:rPr>
      <w:sz w:val="48"/>
      <w:szCs w:val="48"/>
    </w:rPr>
  </w:style>
  <w:style w:type="character" w:styleId="860" w:customStyle="1">
    <w:name w:val="副标题 Char"/>
    <w:link w:val="795"/>
    <w:uiPriority w:val="11"/>
    <w:qFormat/>
    <w:rPr>
      <w:sz w:val="24"/>
      <w:szCs w:val="24"/>
    </w:rPr>
  </w:style>
  <w:style w:type="paragraph" w:styleId="861">
    <w:name w:val="Quote"/>
    <w:basedOn w:val="765"/>
    <w:next w:val="765"/>
    <w:link w:val="862"/>
    <w:uiPriority w:val="29"/>
    <w:qFormat/>
    <w:pPr>
      <w:ind w:left="720" w:right="720"/>
    </w:pPr>
    <w:rPr>
      <w:i/>
    </w:rPr>
  </w:style>
  <w:style w:type="character" w:styleId="862" w:customStyle="1">
    <w:name w:val="引用 Char"/>
    <w:link w:val="861"/>
    <w:uiPriority w:val="29"/>
    <w:qFormat/>
    <w:rPr>
      <w:i/>
    </w:rPr>
  </w:style>
  <w:style w:type="paragraph" w:styleId="863">
    <w:name w:val="Intense Quote"/>
    <w:basedOn w:val="765"/>
    <w:next w:val="765"/>
    <w:link w:val="8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4" w:customStyle="1">
    <w:name w:val="明显引用 Char"/>
    <w:link w:val="863"/>
    <w:uiPriority w:val="30"/>
    <w:qFormat/>
    <w:rPr>
      <w:i/>
    </w:rPr>
  </w:style>
  <w:style w:type="character" w:styleId="865" w:customStyle="1">
    <w:name w:val="页脚 Char"/>
    <w:link w:val="791"/>
    <w:uiPriority w:val="99"/>
    <w:qFormat/>
  </w:style>
  <w:style w:type="table" w:styleId="866"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67"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68"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6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7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71"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7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73"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74"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75"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7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7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7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79"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886"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88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88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8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9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9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9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93"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94"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95"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9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9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89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89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90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90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90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90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90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0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90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0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0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09"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10"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11"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12"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13"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14"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15"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16"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917"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18"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19"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20"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2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2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92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92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2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2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2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28"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2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3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3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3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3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34"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35"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3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3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3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39"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940"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941"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942"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43"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944"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945"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46"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47"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48"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49"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50"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5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5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5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5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5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5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5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58"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59"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60"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61"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6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6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6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65"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66"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67"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6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6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70"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7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72" w:customStyle="1">
    <w:name w:val="脚注文本 Char"/>
    <w:link w:val="796"/>
    <w:uiPriority w:val="0"/>
    <w:qFormat/>
    <w:rPr>
      <w:sz w:val="18"/>
    </w:rPr>
  </w:style>
  <w:style w:type="character" w:styleId="973" w:customStyle="1">
    <w:name w:val="尾注文本 Char"/>
    <w:link w:val="789"/>
    <w:uiPriority w:val="99"/>
    <w:qFormat/>
    <w:rPr>
      <w:sz w:val="20"/>
    </w:rPr>
  </w:style>
  <w:style w:type="paragraph" w:styleId="974" w:customStyle="1">
    <w:name w:val="TOC 标题11"/>
    <w:uiPriority w:val="39"/>
    <w:qFormat/>
    <w:rPr>
      <w:rFonts w:ascii="Times New Roman" w:hAnsi="Times New Roman" w:eastAsia="宋体" w:cs="Times New Roman"/>
      <w:lang w:val="en-US" w:eastAsia="zh-CN" w:bidi="ar-SA"/>
    </w:rPr>
  </w:style>
  <w:style w:type="paragraph" w:styleId="975" w:customStyle="1">
    <w:name w:val="标题 11"/>
    <w:basedOn w:val="765"/>
    <w:next w:val="765"/>
    <w:link w:val="987"/>
    <w:uiPriority w:val="0"/>
    <w:qFormat/>
    <w:pPr>
      <w:keepLines/>
      <w:keepNext/>
      <w:spacing w:before="340" w:after="330" w:line="576" w:lineRule="auto"/>
      <w:outlineLvl w:val="0"/>
    </w:pPr>
    <w:rPr>
      <w:b/>
      <w:sz w:val="44"/>
      <w:szCs w:val="20"/>
    </w:rPr>
  </w:style>
  <w:style w:type="paragraph" w:styleId="976" w:customStyle="1">
    <w:name w:val="标题 21"/>
    <w:basedOn w:val="765"/>
    <w:next w:val="765"/>
    <w:link w:val="988"/>
    <w:uiPriority w:val="0"/>
    <w:qFormat/>
    <w:pPr>
      <w:keepLines/>
      <w:keepNext/>
      <w:spacing w:before="260" w:after="260" w:line="413" w:lineRule="auto"/>
      <w:outlineLvl w:val="1"/>
    </w:pPr>
    <w:rPr>
      <w:rFonts w:ascii="Arial" w:hAnsi="Arial" w:eastAsia="黑体"/>
      <w:b/>
      <w:sz w:val="32"/>
      <w:szCs w:val="20"/>
    </w:rPr>
  </w:style>
  <w:style w:type="paragraph" w:styleId="977" w:customStyle="1">
    <w:name w:val="标题 31"/>
    <w:basedOn w:val="765"/>
    <w:next w:val="765"/>
    <w:link w:val="989"/>
    <w:uiPriority w:val="0"/>
    <w:qFormat/>
    <w:pPr>
      <w:keepLines/>
      <w:keepNext/>
      <w:spacing w:before="260" w:after="260" w:line="413" w:lineRule="auto"/>
      <w:outlineLvl w:val="2"/>
    </w:pPr>
    <w:rPr>
      <w:b/>
      <w:sz w:val="32"/>
      <w:szCs w:val="20"/>
    </w:rPr>
  </w:style>
  <w:style w:type="paragraph" w:styleId="978" w:customStyle="1">
    <w:name w:val="标题 41"/>
    <w:basedOn w:val="765"/>
    <w:next w:val="765"/>
    <w:link w:val="990"/>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979" w:customStyle="1">
    <w:name w:val="标题 51"/>
    <w:basedOn w:val="765"/>
    <w:next w:val="765"/>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80" w:customStyle="1">
    <w:name w:val="标题 61"/>
    <w:basedOn w:val="765"/>
    <w:next w:val="765"/>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81" w:customStyle="1">
    <w:name w:val="标题 71"/>
    <w:basedOn w:val="765"/>
    <w:next w:val="765"/>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82" w:customStyle="1">
    <w:name w:val="标题 81"/>
    <w:basedOn w:val="765"/>
    <w:next w:val="765"/>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83" w:customStyle="1">
    <w:name w:val="标题 91"/>
    <w:basedOn w:val="765"/>
    <w:next w:val="765"/>
    <w:uiPriority w:val="0"/>
    <w:qFormat/>
    <w:pPr>
      <w:jc w:val="center"/>
      <w:keepNext/>
      <w:spacing w:line="600" w:lineRule="exact"/>
      <w:outlineLvl w:val="8"/>
    </w:pPr>
    <w:rPr>
      <w:rFonts w:ascii="仿宋_GB2312" w:eastAsia="仿宋_GB2312"/>
      <w:sz w:val="32"/>
    </w:rPr>
  </w:style>
  <w:style w:type="character" w:styleId="984" w:customStyle="1">
    <w:name w:val="默认段落字体1"/>
    <w:uiPriority w:val="1"/>
    <w:qFormat/>
  </w:style>
  <w:style w:type="table" w:styleId="985" w:customStyle="1">
    <w:name w:val="普通表格1"/>
    <w:uiPriority w:val="0"/>
    <w:qFormat/>
    <w:tblPr>
      <w:tblCellMar>
        <w:left w:w="0" w:type="dxa"/>
        <w:top w:w="0" w:type="dxa"/>
        <w:right w:w="0" w:type="dxa"/>
        <w:bottom w:w="0" w:type="dxa"/>
      </w:tblCellMar>
    </w:tblPr>
  </w:style>
  <w:style w:type="character" w:styleId="986" w:customStyle="1">
    <w:name w:val="正文文本 字符"/>
    <w:link w:val="851"/>
    <w:uiPriority w:val="0"/>
    <w:qFormat/>
    <w:rPr>
      <w:rFonts w:ascii="仿宋_GB2312" w:eastAsia="仿宋_GB2312"/>
      <w:sz w:val="32"/>
      <w:szCs w:val="22"/>
    </w:rPr>
  </w:style>
  <w:style w:type="character" w:styleId="987" w:customStyle="1">
    <w:name w:val="标题 1 字符"/>
    <w:link w:val="975"/>
    <w:uiPriority w:val="0"/>
    <w:qFormat/>
    <w:rPr>
      <w:b/>
      <w:sz w:val="44"/>
    </w:rPr>
  </w:style>
  <w:style w:type="character" w:styleId="988" w:customStyle="1">
    <w:name w:val="标题 2 字符"/>
    <w:link w:val="976"/>
    <w:uiPriority w:val="0"/>
    <w:qFormat/>
    <w:rPr>
      <w:rFonts w:ascii="Arial" w:hAnsi="Arial" w:eastAsia="黑体"/>
      <w:b/>
      <w:sz w:val="32"/>
    </w:rPr>
  </w:style>
  <w:style w:type="character" w:styleId="989" w:customStyle="1">
    <w:name w:val="标题 3 字符"/>
    <w:link w:val="977"/>
    <w:uiPriority w:val="0"/>
    <w:qFormat/>
    <w:rPr>
      <w:b/>
      <w:sz w:val="32"/>
    </w:rPr>
  </w:style>
  <w:style w:type="character" w:styleId="990" w:customStyle="1">
    <w:name w:val="标题 4 字符"/>
    <w:link w:val="978"/>
    <w:uiPriority w:val="0"/>
    <w:qFormat/>
    <w:rPr>
      <w:rFonts w:ascii="宋体" w:eastAsia="宋体"/>
      <w:color w:val="800000"/>
      <w:sz w:val="28"/>
      <w:lang w:val="en-US" w:eastAsia="zh-CN" w:bidi="ar-SA"/>
    </w:rPr>
  </w:style>
  <w:style w:type="paragraph" w:styleId="991" w:customStyle="1">
    <w:name w:val="目录 71"/>
    <w:basedOn w:val="765"/>
    <w:next w:val="765"/>
    <w:uiPriority w:val="0"/>
    <w:qFormat/>
    <w:pPr>
      <w:ind w:left="1260"/>
      <w:jc w:val="left"/>
    </w:pPr>
    <w:rPr>
      <w:rFonts w:ascii="Calibri" w:hAnsi="Calibri" w:cs="Calibri"/>
      <w:sz w:val="18"/>
      <w:szCs w:val="18"/>
    </w:rPr>
  </w:style>
  <w:style w:type="paragraph" w:styleId="992" w:customStyle="1">
    <w:name w:val="列表项目符号 41"/>
    <w:basedOn w:val="765"/>
    <w:uiPriority w:val="0"/>
    <w:qFormat/>
    <w:pPr>
      <w:ind w:left="360" w:hanging="360"/>
      <w:spacing w:line="380" w:lineRule="exact"/>
      <w:tabs>
        <w:tab w:val="left" w:pos="360" w:leader="none"/>
      </w:tabs>
    </w:pPr>
    <w:rPr>
      <w:rFonts w:ascii="Calibri" w:hAnsi="Calibri"/>
      <w:sz w:val="28"/>
    </w:rPr>
  </w:style>
  <w:style w:type="paragraph" w:styleId="993" w:customStyle="1">
    <w:name w:val="索引 81"/>
    <w:basedOn w:val="765"/>
    <w:next w:val="765"/>
    <w:uiPriority w:val="0"/>
    <w:qFormat/>
    <w:pPr>
      <w:ind w:left="1400"/>
    </w:pPr>
    <w:rPr>
      <w:rFonts w:ascii="Calibri" w:hAnsi="Calibri"/>
    </w:rPr>
  </w:style>
  <w:style w:type="paragraph" w:styleId="994" w:customStyle="1">
    <w:name w:val="正文缩进11"/>
    <w:basedOn w:val="765"/>
    <w:uiPriority w:val="0"/>
    <w:qFormat/>
    <w:pPr>
      <w:ind w:firstLine="420"/>
    </w:pPr>
    <w:rPr>
      <w:rFonts w:ascii="宋体"/>
      <w:color w:val="000000"/>
      <w:sz w:val="24"/>
      <w:szCs w:val="20"/>
    </w:rPr>
  </w:style>
  <w:style w:type="paragraph" w:styleId="995" w:customStyle="1">
    <w:name w:val="题注1"/>
    <w:basedOn w:val="765"/>
    <w:next w:val="765"/>
    <w:link w:val="996"/>
    <w:uiPriority w:val="0"/>
    <w:qFormat/>
    <w:pPr>
      <w:spacing w:line="360" w:lineRule="auto"/>
      <w:tabs>
        <w:tab w:val="left" w:pos="0" w:leader="none"/>
      </w:tabs>
    </w:pPr>
    <w:rPr>
      <w:rFonts w:ascii="Arial" w:hAnsi="Arial" w:eastAsia="黑体"/>
      <w:sz w:val="20"/>
      <w:szCs w:val="20"/>
    </w:rPr>
  </w:style>
  <w:style w:type="character" w:styleId="996" w:customStyle="1">
    <w:name w:val="题注 字符"/>
    <w:link w:val="995"/>
    <w:uiPriority w:val="0"/>
    <w:qFormat/>
    <w:rPr>
      <w:rFonts w:ascii="Arial" w:hAnsi="Arial" w:eastAsia="黑体" w:cs="Arial"/>
    </w:rPr>
  </w:style>
  <w:style w:type="paragraph" w:styleId="997" w:customStyle="1">
    <w:name w:val="索引 51"/>
    <w:basedOn w:val="765"/>
    <w:next w:val="765"/>
    <w:uiPriority w:val="0"/>
    <w:qFormat/>
    <w:pPr>
      <w:ind w:left="800"/>
    </w:pPr>
    <w:rPr>
      <w:rFonts w:ascii="Calibri" w:hAnsi="Calibri"/>
    </w:rPr>
  </w:style>
  <w:style w:type="paragraph" w:styleId="998" w:customStyle="1">
    <w:name w:val="列表项目符号1"/>
    <w:basedOn w:val="765"/>
    <w:uiPriority w:val="0"/>
    <w:qFormat/>
    <w:pPr>
      <w:ind w:left="962" w:hanging="480"/>
      <w:spacing w:line="360" w:lineRule="auto"/>
      <w:tabs>
        <w:tab w:val="left" w:pos="840" w:leader="none"/>
      </w:tabs>
    </w:pPr>
    <w:rPr>
      <w:sz w:val="24"/>
    </w:rPr>
  </w:style>
  <w:style w:type="paragraph" w:styleId="999" w:customStyle="1">
    <w:name w:val="文档结构图1"/>
    <w:basedOn w:val="765"/>
    <w:uiPriority w:val="0"/>
    <w:qFormat/>
    <w:pPr>
      <w:shd w:val="clear" w:color="auto" w:fill="000080"/>
    </w:pPr>
  </w:style>
  <w:style w:type="paragraph" w:styleId="1000" w:customStyle="1">
    <w:name w:val="批注文字1"/>
    <w:basedOn w:val="765"/>
    <w:link w:val="1001"/>
    <w:uiPriority w:val="99"/>
    <w:qFormat/>
    <w:pPr>
      <w:jc w:val="left"/>
    </w:pPr>
    <w:rPr>
      <w:rFonts w:ascii="Calibri" w:hAnsi="Calibri"/>
      <w:szCs w:val="20"/>
    </w:rPr>
  </w:style>
  <w:style w:type="character" w:styleId="1001" w:customStyle="1">
    <w:name w:val="批注文字 字符"/>
    <w:link w:val="1000"/>
    <w:uiPriority w:val="99"/>
    <w:qFormat/>
    <w:rPr>
      <w:rFonts w:ascii="Calibri" w:hAnsi="Calibri" w:eastAsia="宋体" w:cs="Times New Roman"/>
      <w:sz w:val="21"/>
    </w:rPr>
  </w:style>
  <w:style w:type="paragraph" w:styleId="1002" w:customStyle="1">
    <w:name w:val="索引 61"/>
    <w:basedOn w:val="765"/>
    <w:next w:val="765"/>
    <w:uiPriority w:val="0"/>
    <w:qFormat/>
    <w:pPr>
      <w:ind w:left="1000"/>
    </w:pPr>
    <w:rPr>
      <w:rFonts w:ascii="Calibri" w:hAnsi="Calibri"/>
    </w:rPr>
  </w:style>
  <w:style w:type="paragraph" w:styleId="1003" w:customStyle="1">
    <w:name w:val="正文文本 31"/>
    <w:basedOn w:val="765"/>
    <w:uiPriority w:val="0"/>
    <w:qFormat/>
    <w:rPr>
      <w:color w:val="000000"/>
    </w:rPr>
  </w:style>
  <w:style w:type="paragraph" w:styleId="1004" w:customStyle="1">
    <w:name w:val="列表项目符号 31"/>
    <w:basedOn w:val="765"/>
    <w:uiPriority w:val="0"/>
    <w:qFormat/>
    <w:pPr>
      <w:ind w:left="1200" w:hanging="360"/>
      <w:spacing w:line="380" w:lineRule="exact"/>
      <w:tabs>
        <w:tab w:val="left" w:pos="1200" w:leader="none"/>
      </w:tabs>
    </w:pPr>
    <w:rPr>
      <w:rFonts w:ascii="Calibri" w:hAnsi="Calibri"/>
      <w:sz w:val="28"/>
    </w:rPr>
  </w:style>
  <w:style w:type="paragraph" w:styleId="1005" w:customStyle="1">
    <w:name w:val="正文文本缩进11"/>
    <w:basedOn w:val="765"/>
    <w:uiPriority w:val="0"/>
    <w:qFormat/>
    <w:pPr>
      <w:ind w:firstLine="225"/>
    </w:pPr>
    <w:rPr>
      <w:rFonts w:ascii="仿宋_GB2312" w:eastAsia="仿宋_GB2312"/>
      <w:sz w:val="32"/>
    </w:rPr>
  </w:style>
  <w:style w:type="paragraph" w:styleId="1006" w:customStyle="1">
    <w:name w:val="文本块1"/>
    <w:basedOn w:val="765"/>
    <w:uiPriority w:val="0"/>
    <w:qFormat/>
    <w:pPr>
      <w:ind w:left="1548" w:right="12" w:hanging="2405"/>
      <w:spacing w:line="360" w:lineRule="exact"/>
    </w:pPr>
    <w:rPr>
      <w:rFonts w:ascii="宋体"/>
      <w:bCs/>
      <w:sz w:val="28"/>
    </w:rPr>
  </w:style>
  <w:style w:type="paragraph" w:styleId="1007" w:customStyle="1">
    <w:name w:val="列表项目符号 21"/>
    <w:basedOn w:val="765"/>
    <w:uiPriority w:val="0"/>
    <w:qFormat/>
    <w:pPr>
      <w:ind w:left="720" w:hanging="360"/>
      <w:spacing w:line="360" w:lineRule="auto"/>
      <w:tabs>
        <w:tab w:val="left" w:pos="720" w:leader="none"/>
      </w:tabs>
    </w:pPr>
    <w:rPr>
      <w:sz w:val="24"/>
    </w:rPr>
  </w:style>
  <w:style w:type="paragraph" w:styleId="1008" w:customStyle="1">
    <w:name w:val="HTML 地址1"/>
    <w:basedOn w:val="765"/>
    <w:uiPriority w:val="0"/>
    <w:qFormat/>
    <w:rPr>
      <w:i/>
      <w:iCs/>
    </w:rPr>
  </w:style>
  <w:style w:type="paragraph" w:styleId="1009" w:customStyle="1">
    <w:name w:val="索引 41"/>
    <w:basedOn w:val="765"/>
    <w:next w:val="765"/>
    <w:uiPriority w:val="0"/>
    <w:qFormat/>
    <w:pPr>
      <w:ind w:left="600"/>
    </w:pPr>
    <w:rPr>
      <w:rFonts w:ascii="Calibri" w:hAnsi="Calibri"/>
    </w:rPr>
  </w:style>
  <w:style w:type="paragraph" w:styleId="1010" w:customStyle="1">
    <w:name w:val="目录 51"/>
    <w:basedOn w:val="765"/>
    <w:next w:val="765"/>
    <w:uiPriority w:val="0"/>
    <w:qFormat/>
    <w:pPr>
      <w:ind w:left="840"/>
      <w:jc w:val="left"/>
    </w:pPr>
    <w:rPr>
      <w:rFonts w:ascii="Calibri" w:hAnsi="Calibri" w:cs="Calibri"/>
      <w:sz w:val="18"/>
      <w:szCs w:val="18"/>
    </w:rPr>
  </w:style>
  <w:style w:type="paragraph" w:styleId="1011" w:customStyle="1">
    <w:name w:val="目录 31"/>
    <w:basedOn w:val="765"/>
    <w:next w:val="765"/>
    <w:uiPriority w:val="39"/>
    <w:qFormat/>
    <w:pPr>
      <w:ind w:left="420"/>
      <w:jc w:val="left"/>
    </w:pPr>
    <w:rPr>
      <w:rFonts w:ascii="Calibri" w:hAnsi="Calibri" w:cs="Calibri"/>
      <w:i/>
      <w:iCs/>
      <w:sz w:val="20"/>
      <w:szCs w:val="20"/>
    </w:rPr>
  </w:style>
  <w:style w:type="paragraph" w:styleId="1012" w:customStyle="1">
    <w:name w:val="纯文本11"/>
    <w:basedOn w:val="765"/>
    <w:uiPriority w:val="0"/>
    <w:qFormat/>
    <w:rPr>
      <w:rFonts w:ascii="宋体"/>
      <w:szCs w:val="21"/>
    </w:rPr>
  </w:style>
  <w:style w:type="paragraph" w:styleId="1013" w:customStyle="1">
    <w:name w:val="列表项目符号 51"/>
    <w:basedOn w:val="765"/>
    <w:uiPriority w:val="0"/>
    <w:qFormat/>
    <w:pPr>
      <w:ind w:left="720" w:hanging="360"/>
      <w:spacing w:line="380" w:lineRule="exact"/>
      <w:tabs>
        <w:tab w:val="left" w:pos="720" w:leader="none"/>
      </w:tabs>
    </w:pPr>
    <w:rPr>
      <w:rFonts w:ascii="Calibri" w:hAnsi="Calibri"/>
      <w:sz w:val="28"/>
    </w:rPr>
  </w:style>
  <w:style w:type="paragraph" w:styleId="1014" w:customStyle="1">
    <w:name w:val="目录 81"/>
    <w:basedOn w:val="765"/>
    <w:next w:val="765"/>
    <w:uiPriority w:val="0"/>
    <w:qFormat/>
    <w:pPr>
      <w:ind w:left="1470"/>
      <w:jc w:val="left"/>
    </w:pPr>
    <w:rPr>
      <w:rFonts w:ascii="Calibri" w:hAnsi="Calibri" w:cs="Calibri"/>
      <w:sz w:val="18"/>
      <w:szCs w:val="18"/>
    </w:rPr>
  </w:style>
  <w:style w:type="paragraph" w:styleId="1015" w:customStyle="1">
    <w:name w:val="索引 31"/>
    <w:basedOn w:val="765"/>
    <w:next w:val="765"/>
    <w:uiPriority w:val="0"/>
    <w:qFormat/>
    <w:pPr>
      <w:ind w:left="400"/>
    </w:pPr>
    <w:rPr>
      <w:rFonts w:ascii="Calibri" w:hAnsi="Calibri"/>
    </w:rPr>
  </w:style>
  <w:style w:type="paragraph" w:styleId="1016" w:customStyle="1">
    <w:name w:val="日期1"/>
    <w:basedOn w:val="765"/>
    <w:next w:val="765"/>
    <w:uiPriority w:val="0"/>
    <w:qFormat/>
    <w:pPr>
      <w:ind w:left="2500"/>
    </w:pPr>
  </w:style>
  <w:style w:type="paragraph" w:styleId="1017" w:customStyle="1">
    <w:name w:val="正文文本缩进 21"/>
    <w:basedOn w:val="765"/>
    <w:uiPriority w:val="0"/>
    <w:qFormat/>
    <w:pPr>
      <w:ind w:firstLine="225"/>
      <w:jc w:val="left"/>
      <w:spacing w:line="540" w:lineRule="exact"/>
    </w:pPr>
    <w:rPr>
      <w:rFonts w:ascii="仿宋_GB2312" w:eastAsia="仿宋_GB2312"/>
      <w:sz w:val="32"/>
    </w:rPr>
  </w:style>
  <w:style w:type="paragraph" w:styleId="1018" w:customStyle="1">
    <w:name w:val="尾注文本1"/>
    <w:basedOn w:val="765"/>
    <w:uiPriority w:val="0"/>
    <w:qFormat/>
    <w:pPr>
      <w:jc w:val="left"/>
      <w:widowControl/>
    </w:pPr>
    <w:rPr>
      <w:rFonts w:ascii="宋体"/>
      <w:bCs/>
      <w:szCs w:val="21"/>
    </w:rPr>
  </w:style>
  <w:style w:type="paragraph" w:styleId="1019" w:customStyle="1">
    <w:name w:val="批注框文本1"/>
    <w:basedOn w:val="765"/>
    <w:uiPriority w:val="0"/>
    <w:qFormat/>
    <w:rPr>
      <w:sz w:val="18"/>
      <w:szCs w:val="20"/>
    </w:rPr>
  </w:style>
  <w:style w:type="paragraph" w:styleId="1020" w:customStyle="1">
    <w:name w:val="页脚1"/>
    <w:basedOn w:val="765"/>
    <w:link w:val="1021"/>
    <w:uiPriority w:val="99"/>
    <w:qFormat/>
    <w:pPr>
      <w:jc w:val="left"/>
      <w:tabs>
        <w:tab w:val="center" w:pos="4153" w:leader="none"/>
        <w:tab w:val="right" w:pos="8306" w:leader="none"/>
      </w:tabs>
    </w:pPr>
    <w:rPr>
      <w:rFonts w:ascii="Calibri" w:hAnsi="Calibri"/>
      <w:sz w:val="18"/>
      <w:szCs w:val="18"/>
    </w:rPr>
  </w:style>
  <w:style w:type="character" w:styleId="1021" w:customStyle="1">
    <w:name w:val="页脚 字符"/>
    <w:link w:val="1020"/>
    <w:uiPriority w:val="99"/>
    <w:qFormat/>
    <w:rPr>
      <w:rFonts w:ascii="Calibri" w:hAnsi="Calibri" w:eastAsia="宋体" w:cs="Times New Roman"/>
      <w:sz w:val="18"/>
      <w:szCs w:val="18"/>
    </w:rPr>
  </w:style>
  <w:style w:type="paragraph" w:styleId="1022" w:customStyle="1">
    <w:name w:val="寄信人地址11"/>
    <w:basedOn w:val="765"/>
    <w:uiPriority w:val="0"/>
    <w:qFormat/>
    <w:rPr>
      <w:rFonts w:ascii="Arial" w:hAnsi="Arial"/>
    </w:rPr>
  </w:style>
  <w:style w:type="paragraph" w:styleId="1023" w:customStyle="1">
    <w:name w:val="页眉1"/>
    <w:basedOn w:val="765"/>
    <w:link w:val="1024"/>
    <w:uiPriority w:val="99"/>
    <w:qFormat/>
    <w:pPr>
      <w:jc w:val="center"/>
      <w:tabs>
        <w:tab w:val="center" w:pos="4153" w:leader="none"/>
        <w:tab w:val="right" w:pos="8306" w:leader="none"/>
      </w:tabs>
      <w:pBdr>
        <w:bottom w:val="single" w:color="000000" w:sz="6" w:space="1"/>
      </w:pBdr>
    </w:pPr>
    <w:rPr>
      <w:sz w:val="18"/>
      <w:szCs w:val="18"/>
    </w:rPr>
  </w:style>
  <w:style w:type="character" w:styleId="1024" w:customStyle="1">
    <w:name w:val="页眉 字符"/>
    <w:link w:val="1023"/>
    <w:uiPriority w:val="99"/>
    <w:qFormat/>
    <w:rPr>
      <w:sz w:val="18"/>
      <w:szCs w:val="18"/>
    </w:rPr>
  </w:style>
  <w:style w:type="paragraph" w:styleId="1025" w:customStyle="1">
    <w:name w:val="目录 11"/>
    <w:basedOn w:val="765"/>
    <w:next w:val="765"/>
    <w:uiPriority w:val="39"/>
    <w:qFormat/>
    <w:pPr>
      <w:jc w:val="left"/>
      <w:spacing w:before="120" w:after="120"/>
    </w:pPr>
    <w:rPr>
      <w:rFonts w:ascii="Calibri" w:hAnsi="Calibri" w:cs="Calibri"/>
      <w:b/>
      <w:bCs/>
      <w:caps/>
      <w:sz w:val="20"/>
      <w:szCs w:val="20"/>
    </w:rPr>
  </w:style>
  <w:style w:type="paragraph" w:styleId="1026" w:customStyle="1">
    <w:name w:val="目录 41"/>
    <w:basedOn w:val="765"/>
    <w:next w:val="765"/>
    <w:uiPriority w:val="0"/>
    <w:qFormat/>
    <w:pPr>
      <w:ind w:left="630"/>
      <w:jc w:val="left"/>
    </w:pPr>
    <w:rPr>
      <w:rFonts w:ascii="Calibri" w:hAnsi="Calibri" w:cs="Calibri"/>
      <w:sz w:val="18"/>
      <w:szCs w:val="18"/>
    </w:rPr>
  </w:style>
  <w:style w:type="paragraph" w:styleId="1027" w:customStyle="1">
    <w:name w:val="索引标题1"/>
    <w:basedOn w:val="765"/>
    <w:next w:val="1028"/>
    <w:uiPriority w:val="0"/>
    <w:qFormat/>
    <w:rPr>
      <w:rFonts w:ascii="Calibri" w:hAnsi="Calibri"/>
    </w:rPr>
  </w:style>
  <w:style w:type="paragraph" w:styleId="1028" w:customStyle="1">
    <w:name w:val="索引 11"/>
    <w:basedOn w:val="765"/>
    <w:next w:val="765"/>
    <w:uiPriority w:val="0"/>
    <w:qFormat/>
    <w:rPr>
      <w:rFonts w:ascii="Calibri" w:hAnsi="Calibri"/>
    </w:rPr>
  </w:style>
  <w:style w:type="paragraph" w:styleId="1029" w:customStyle="1">
    <w:name w:val="脚注文本1"/>
    <w:basedOn w:val="765"/>
    <w:uiPriority w:val="0"/>
    <w:qFormat/>
    <w:pPr>
      <w:jc w:val="left"/>
    </w:pPr>
    <w:rPr>
      <w:rFonts w:ascii="宋体"/>
      <w:bCs/>
      <w:sz w:val="18"/>
      <w:szCs w:val="18"/>
    </w:rPr>
  </w:style>
  <w:style w:type="paragraph" w:styleId="1030" w:customStyle="1">
    <w:name w:val="目录 61"/>
    <w:basedOn w:val="765"/>
    <w:next w:val="765"/>
    <w:uiPriority w:val="0"/>
    <w:qFormat/>
    <w:pPr>
      <w:ind w:left="1050"/>
      <w:jc w:val="left"/>
    </w:pPr>
    <w:rPr>
      <w:rFonts w:ascii="Calibri" w:hAnsi="Calibri" w:cs="Calibri"/>
      <w:sz w:val="18"/>
      <w:szCs w:val="18"/>
    </w:rPr>
  </w:style>
  <w:style w:type="paragraph" w:styleId="1031" w:customStyle="1">
    <w:name w:val="正文文本缩进 31"/>
    <w:basedOn w:val="765"/>
    <w:uiPriority w:val="0"/>
    <w:qFormat/>
    <w:pPr>
      <w:ind w:firstLine="213"/>
    </w:pPr>
    <w:rPr>
      <w:rFonts w:ascii="仿宋_GB2312" w:eastAsia="仿宋_GB2312"/>
      <w:sz w:val="30"/>
    </w:rPr>
  </w:style>
  <w:style w:type="paragraph" w:styleId="1032" w:customStyle="1">
    <w:name w:val="索引 71"/>
    <w:basedOn w:val="765"/>
    <w:next w:val="765"/>
    <w:uiPriority w:val="0"/>
    <w:qFormat/>
    <w:pPr>
      <w:ind w:left="1200"/>
    </w:pPr>
    <w:rPr>
      <w:rFonts w:ascii="Calibri" w:hAnsi="Calibri"/>
    </w:rPr>
  </w:style>
  <w:style w:type="paragraph" w:styleId="1033" w:customStyle="1">
    <w:name w:val="索引 91"/>
    <w:basedOn w:val="765"/>
    <w:next w:val="765"/>
    <w:uiPriority w:val="0"/>
    <w:qFormat/>
    <w:pPr>
      <w:ind w:left="1600"/>
    </w:pPr>
    <w:rPr>
      <w:rFonts w:ascii="Calibri" w:hAnsi="Calibri"/>
    </w:rPr>
  </w:style>
  <w:style w:type="paragraph" w:styleId="1034" w:customStyle="1">
    <w:name w:val="图表目录11"/>
    <w:basedOn w:val="765"/>
    <w:next w:val="765"/>
    <w:uiPriority w:val="0"/>
    <w:qFormat/>
    <w:pPr>
      <w:ind w:left="400" w:hanging="200"/>
      <w:jc w:val="left"/>
      <w:widowControl/>
    </w:pPr>
    <w:rPr>
      <w:rFonts w:ascii="宋体"/>
      <w:bCs/>
      <w:szCs w:val="21"/>
    </w:rPr>
  </w:style>
  <w:style w:type="paragraph" w:styleId="1035" w:customStyle="1">
    <w:name w:val="目录 21"/>
    <w:basedOn w:val="765"/>
    <w:next w:val="765"/>
    <w:uiPriority w:val="39"/>
    <w:qFormat/>
    <w:pPr>
      <w:ind w:left="210"/>
      <w:jc w:val="left"/>
    </w:pPr>
    <w:rPr>
      <w:rFonts w:ascii="Calibri" w:hAnsi="Calibri" w:cs="Calibri"/>
      <w:smallCaps/>
      <w:sz w:val="20"/>
      <w:szCs w:val="20"/>
    </w:rPr>
  </w:style>
  <w:style w:type="paragraph" w:styleId="1036" w:customStyle="1">
    <w:name w:val="目录 91"/>
    <w:basedOn w:val="765"/>
    <w:next w:val="765"/>
    <w:uiPriority w:val="0"/>
    <w:qFormat/>
    <w:pPr>
      <w:ind w:left="1680"/>
      <w:jc w:val="left"/>
    </w:pPr>
    <w:rPr>
      <w:rFonts w:ascii="Calibri" w:hAnsi="Calibri" w:cs="Calibri"/>
      <w:sz w:val="18"/>
      <w:szCs w:val="18"/>
    </w:rPr>
  </w:style>
  <w:style w:type="paragraph" w:styleId="1037" w:customStyle="1">
    <w:name w:val="正文文本 21"/>
    <w:basedOn w:val="765"/>
    <w:uiPriority w:val="0"/>
    <w:qFormat/>
    <w:pPr>
      <w:spacing w:line="560" w:lineRule="exact"/>
    </w:pPr>
    <w:rPr>
      <w:rFonts w:ascii="仿宋_GB2312" w:eastAsia="仿宋_GB2312"/>
      <w:sz w:val="28"/>
      <w:szCs w:val="30"/>
    </w:rPr>
  </w:style>
  <w:style w:type="paragraph" w:styleId="1038" w:customStyle="1">
    <w:name w:val="列表接续 21"/>
    <w:basedOn w:val="765"/>
    <w:uiPriority w:val="0"/>
    <w:qFormat/>
    <w:pPr>
      <w:ind w:left="840"/>
      <w:spacing w:after="120"/>
    </w:pPr>
  </w:style>
  <w:style w:type="paragraph" w:styleId="1039" w:customStyle="1">
    <w:name w:val="HTML 预设格式1"/>
    <w:basedOn w:val="76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40" w:customStyle="1">
    <w:name w:val="普通(网站)1"/>
    <w:basedOn w:val="765"/>
    <w:uiPriority w:val="0"/>
    <w:qFormat/>
    <w:pPr>
      <w:jc w:val="left"/>
      <w:spacing w:before="100" w:beforeAutospacing="1" w:after="100" w:afterAutospacing="1"/>
      <w:widowControl/>
    </w:pPr>
    <w:rPr>
      <w:rFonts w:ascii="宋体"/>
      <w:sz w:val="24"/>
      <w:szCs w:val="20"/>
    </w:rPr>
  </w:style>
  <w:style w:type="paragraph" w:styleId="1041" w:customStyle="1">
    <w:name w:val="索引 21"/>
    <w:basedOn w:val="765"/>
    <w:next w:val="765"/>
    <w:uiPriority w:val="0"/>
    <w:qFormat/>
    <w:pPr>
      <w:ind w:left="200"/>
    </w:pPr>
    <w:rPr>
      <w:rFonts w:ascii="Calibri" w:hAnsi="Calibri"/>
    </w:rPr>
  </w:style>
  <w:style w:type="paragraph" w:styleId="1042" w:customStyle="1">
    <w:name w:val="标题1"/>
    <w:basedOn w:val="765"/>
    <w:uiPriority w:val="0"/>
    <w:qFormat/>
    <w:pPr>
      <w:jc w:val="center"/>
      <w:spacing w:before="240" w:after="60"/>
      <w:outlineLvl w:val="0"/>
    </w:pPr>
    <w:rPr>
      <w:rFonts w:ascii="Cambria" w:hAnsi="Cambria"/>
      <w:b/>
      <w:bCs/>
      <w:sz w:val="32"/>
      <w:szCs w:val="32"/>
    </w:rPr>
  </w:style>
  <w:style w:type="paragraph" w:styleId="1043" w:customStyle="1">
    <w:name w:val="批注主题1"/>
    <w:basedOn w:val="1000"/>
    <w:next w:val="1000"/>
    <w:uiPriority w:val="0"/>
    <w:qFormat/>
    <w:rPr>
      <w:b/>
    </w:rPr>
  </w:style>
  <w:style w:type="paragraph" w:styleId="1044" w:customStyle="1">
    <w:name w:val="正文首行缩进1"/>
    <w:basedOn w:val="765"/>
    <w:next w:val="765"/>
    <w:uiPriority w:val="0"/>
    <w:qFormat/>
    <w:pPr>
      <w:ind w:firstLine="100"/>
      <w:spacing w:after="120"/>
    </w:pPr>
  </w:style>
  <w:style w:type="paragraph" w:styleId="1045" w:customStyle="1">
    <w:name w:val="正文首行缩进 21"/>
    <w:basedOn w:val="1005"/>
    <w:link w:val="1046"/>
    <w:uiPriority w:val="0"/>
    <w:qFormat/>
    <w:pPr>
      <w:ind w:left="200" w:firstLine="200"/>
      <w:spacing w:after="120"/>
    </w:pPr>
    <w:rPr>
      <w:rFonts w:ascii="Times New Roman"/>
      <w:sz w:val="24"/>
      <w:szCs w:val="24"/>
    </w:rPr>
  </w:style>
  <w:style w:type="character" w:styleId="1046" w:customStyle="1">
    <w:name w:val="正文文本首行缩进 2 字符"/>
    <w:link w:val="1045"/>
    <w:uiPriority w:val="0"/>
    <w:qFormat/>
    <w:rPr>
      <w:rFonts w:eastAsia="仿宋_GB2312"/>
      <w:sz w:val="24"/>
      <w:szCs w:val="24"/>
      <w:lang w:bidi="ar-SA"/>
    </w:rPr>
  </w:style>
  <w:style w:type="table" w:styleId="1047" w:customStyle="1">
    <w:name w:val="网格型1"/>
    <w:basedOn w:val="985"/>
    <w:uiPriority w:val="0"/>
    <w:qFormat/>
    <w:tblPr/>
  </w:style>
  <w:style w:type="character" w:styleId="1048" w:customStyle="1">
    <w:name w:val="要点1"/>
    <w:uiPriority w:val="0"/>
    <w:qFormat/>
    <w:rPr>
      <w:b/>
    </w:rPr>
  </w:style>
  <w:style w:type="character" w:styleId="1049" w:customStyle="1">
    <w:name w:val="尾注引用1"/>
    <w:uiPriority w:val="0"/>
    <w:qFormat/>
    <w:rPr>
      <w:vertAlign w:val="superscript"/>
    </w:rPr>
  </w:style>
  <w:style w:type="character" w:styleId="1050" w:customStyle="1">
    <w:name w:val="页码1"/>
    <w:uiPriority w:val="0"/>
    <w:qFormat/>
  </w:style>
  <w:style w:type="character" w:styleId="1051" w:customStyle="1">
    <w:name w:val="已访问的超链接1"/>
    <w:uiPriority w:val="0"/>
    <w:qFormat/>
    <w:rPr>
      <w:color w:val="800080"/>
      <w:u w:val="single"/>
    </w:rPr>
  </w:style>
  <w:style w:type="character" w:styleId="1052" w:customStyle="1">
    <w:name w:val="强调1"/>
    <w:uiPriority w:val="0"/>
    <w:qFormat/>
    <w:rPr>
      <w:color w:val="cc0033"/>
    </w:rPr>
  </w:style>
  <w:style w:type="character" w:styleId="1053" w:customStyle="1">
    <w:name w:val="HTML 打字机1"/>
    <w:uiPriority w:val="0"/>
    <w:qFormat/>
    <w:rPr>
      <w:rFonts w:ascii="宋体" w:eastAsia="宋体" w:cs="宋体"/>
      <w:sz w:val="24"/>
      <w:szCs w:val="24"/>
      <w:lang w:bidi="ar-SA"/>
    </w:rPr>
  </w:style>
  <w:style w:type="character" w:styleId="1054" w:customStyle="1">
    <w:name w:val="超链接1"/>
    <w:uiPriority w:val="99"/>
    <w:qFormat/>
    <w:rPr>
      <w:color w:val="0000ff"/>
      <w:u w:val="single"/>
    </w:rPr>
  </w:style>
  <w:style w:type="character" w:styleId="1055" w:customStyle="1">
    <w:name w:val="批注引用1"/>
    <w:uiPriority w:val="0"/>
    <w:qFormat/>
    <w:rPr>
      <w:sz w:val="21"/>
    </w:rPr>
  </w:style>
  <w:style w:type="character" w:styleId="1056" w:customStyle="1">
    <w:name w:val="脚注引用1"/>
    <w:uiPriority w:val="0"/>
    <w:qFormat/>
    <w:rPr>
      <w:vertAlign w:val="superscript"/>
    </w:rPr>
  </w:style>
  <w:style w:type="paragraph" w:styleId="1057" w:customStyle="1">
    <w:name w:val="样式 正文首行缩进 2 + Arial"/>
    <w:basedOn w:val="765"/>
    <w:next w:val="765"/>
    <w:uiPriority w:val="0"/>
    <w:qFormat/>
    <w:pPr>
      <w:ind w:firstLine="200"/>
      <w:spacing w:after="120" w:line="320" w:lineRule="atLeast"/>
    </w:pPr>
    <w:rPr>
      <w:rFonts w:ascii="Arial" w:hAnsi="Arial"/>
    </w:rPr>
  </w:style>
  <w:style w:type="character" w:styleId="1058" w:customStyle="1">
    <w:name w:val="Comment Text Char"/>
    <w:uiPriority w:val="0"/>
    <w:qFormat/>
    <w:rPr>
      <w:rFonts w:cs="Times New Roman"/>
      <w:sz w:val="21"/>
      <w:szCs w:val="21"/>
      <w:lang w:bidi="ar-SA"/>
    </w:rPr>
  </w:style>
  <w:style w:type="character" w:styleId="1059" w:customStyle="1">
    <w:name w:val="纯文本 Char_0"/>
    <w:link w:val="1060"/>
    <w:uiPriority w:val="0"/>
    <w:qFormat/>
    <w:rPr>
      <w:rFonts w:ascii="宋体" w:hAnsi="Courier New" w:cs="Courier New"/>
      <w:sz w:val="21"/>
      <w:szCs w:val="21"/>
    </w:rPr>
  </w:style>
  <w:style w:type="paragraph" w:styleId="1060" w:customStyle="1">
    <w:name w:val="纯文本_0"/>
    <w:basedOn w:val="1061"/>
    <w:link w:val="1059"/>
    <w:uiPriority w:val="0"/>
    <w:qFormat/>
    <w:rPr>
      <w:rFonts w:ascii="宋体" w:hAnsi="Courier New"/>
      <w:szCs w:val="21"/>
    </w:rPr>
  </w:style>
  <w:style w:type="paragraph" w:styleId="1061"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character" w:styleId="1062" w:customStyle="1">
    <w:name w:val="ca-51"/>
    <w:uiPriority w:val="0"/>
    <w:qFormat/>
    <w:rPr>
      <w:rFonts w:ascii="楷体_GB2312" w:eastAsia="楷体_GB2312"/>
      <w:b/>
      <w:bCs/>
      <w:spacing w:val="-20"/>
      <w:sz w:val="24"/>
      <w:szCs w:val="24"/>
    </w:rPr>
  </w:style>
  <w:style w:type="character" w:styleId="1063" w:customStyle="1">
    <w:name w:val="Heading 4 Char_de27d71f-764f-47bd-84d1-49c3f4abdbf0"/>
    <w:uiPriority w:val="0"/>
    <w:qFormat/>
    <w:rPr>
      <w:rFonts w:ascii="Cambria" w:hAnsi="Cambria" w:eastAsia="宋体" w:cs="Cambria"/>
      <w:b/>
      <w:bCs/>
      <w:sz w:val="28"/>
      <w:szCs w:val="28"/>
      <w:lang w:bidi="ar-SA"/>
    </w:rPr>
  </w:style>
  <w:style w:type="character" w:styleId="1064" w:customStyle="1">
    <w:name w:val="正文缩进 Char1_0"/>
    <w:link w:val="1065"/>
    <w:uiPriority w:val="0"/>
    <w:qFormat/>
    <w:rPr>
      <w:sz w:val="21"/>
      <w:szCs w:val="22"/>
    </w:rPr>
  </w:style>
  <w:style w:type="paragraph" w:styleId="1065" w:customStyle="1">
    <w:name w:val="正文缩进_0"/>
    <w:basedOn w:val="1061"/>
    <w:link w:val="1064"/>
    <w:uiPriority w:val="0"/>
    <w:qFormat/>
    <w:pPr>
      <w:ind w:firstLine="420"/>
    </w:pPr>
    <w:rPr>
      <w:szCs w:val="22"/>
    </w:rPr>
  </w:style>
  <w:style w:type="character" w:styleId="1066" w:customStyle="1">
    <w:name w:val="Header Char1"/>
    <w:uiPriority w:val="0"/>
    <w:qFormat/>
    <w:rPr>
      <w:rFonts w:cs="Times New Roman"/>
      <w:sz w:val="18"/>
      <w:szCs w:val="18"/>
      <w:lang w:bidi="ar-SA"/>
    </w:rPr>
  </w:style>
  <w:style w:type="character" w:styleId="1067" w:customStyle="1">
    <w:name w:val="正文文本缩进 2 Char"/>
    <w:link w:val="1068"/>
    <w:uiPriority w:val="0"/>
    <w:qFormat/>
    <w:rPr>
      <w:rFonts w:hAnsi="Times New Roman"/>
      <w:sz w:val="21"/>
      <w:szCs w:val="20"/>
    </w:rPr>
  </w:style>
  <w:style w:type="paragraph" w:styleId="1068" w:customStyle="1">
    <w:name w:val="正文文本缩进 2_0"/>
    <w:basedOn w:val="1069"/>
    <w:link w:val="1067"/>
    <w:uiPriority w:val="0"/>
    <w:qFormat/>
    <w:pPr>
      <w:ind w:firstLine="525"/>
      <w:spacing w:line="420" w:lineRule="exact"/>
    </w:pPr>
  </w:style>
  <w:style w:type="paragraph" w:styleId="1069" w:customStyle="1">
    <w:name w:val="正文_2"/>
    <w:uiPriority w:val="0"/>
    <w:qFormat/>
    <w:pPr>
      <w:jc w:val="both"/>
      <w:widowControl w:val="off"/>
    </w:pPr>
    <w:rPr>
      <w:rFonts w:ascii="Times New Roman" w:hAnsi="Times New Roman" w:eastAsia="宋体" w:cs="Times New Roman"/>
      <w:sz w:val="21"/>
      <w:lang w:val="en-US" w:eastAsia="zh-CN" w:bidi="ar-SA"/>
    </w:rPr>
  </w:style>
  <w:style w:type="character" w:styleId="1070" w:customStyle="1">
    <w:name w:val="Heading 3 Char_a5a6c394-65ab-4144-8017-81f81103df3a"/>
    <w:uiPriority w:val="0"/>
    <w:qFormat/>
    <w:rPr>
      <w:rFonts w:cs="Times New Roman"/>
      <w:b/>
      <w:bCs/>
      <w:sz w:val="32"/>
      <w:szCs w:val="32"/>
      <w:lang w:bidi="ar-SA"/>
    </w:rPr>
  </w:style>
  <w:style w:type="character" w:styleId="1071" w:customStyle="1">
    <w:name w:val="ca-21"/>
    <w:uiPriority w:val="0"/>
    <w:qFormat/>
    <w:rPr>
      <w:rFonts w:ascii="宋体" w:eastAsia="宋体"/>
      <w:sz w:val="21"/>
    </w:rPr>
  </w:style>
  <w:style w:type="character" w:styleId="1072" w:customStyle="1">
    <w:name w:val="Plain Text Char"/>
    <w:uiPriority w:val="0"/>
    <w:qFormat/>
    <w:rPr>
      <w:rFonts w:ascii="宋体" w:eastAsia="宋体"/>
      <w:sz w:val="21"/>
      <w:lang w:val="en-US" w:eastAsia="zh-CN"/>
    </w:rPr>
  </w:style>
  <w:style w:type="character" w:styleId="1073" w:customStyle="1">
    <w:name w:val="maywed421"/>
    <w:uiPriority w:val="0"/>
    <w:qFormat/>
    <w:rPr>
      <w:color w:val="366fb6"/>
      <w:u w:val="none"/>
    </w:rPr>
  </w:style>
  <w:style w:type="character" w:styleId="1074" w:customStyle="1">
    <w:name w:val="纯文本 Char_0_0"/>
    <w:link w:val="1075"/>
    <w:uiPriority w:val="0"/>
    <w:qFormat/>
    <w:rPr>
      <w:rFonts w:ascii="宋体" w:hAnsi="Courier New"/>
      <w:sz w:val="21"/>
      <w:szCs w:val="21"/>
    </w:rPr>
  </w:style>
  <w:style w:type="paragraph" w:styleId="1075" w:customStyle="1">
    <w:name w:val="纯文本_0_0"/>
    <w:basedOn w:val="1076"/>
    <w:link w:val="1074"/>
    <w:uiPriority w:val="0"/>
    <w:qFormat/>
    <w:rPr>
      <w:rFonts w:ascii="宋体" w:hAnsi="Courier New"/>
      <w:szCs w:val="21"/>
    </w:rPr>
  </w:style>
  <w:style w:type="paragraph" w:styleId="1076"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077" w:customStyle="1">
    <w:name w:val="style15"/>
    <w:uiPriority w:val="0"/>
    <w:qFormat/>
  </w:style>
  <w:style w:type="character" w:styleId="1078" w:customStyle="1">
    <w:name w:val="正文（标记） Char2"/>
    <w:link w:val="1079"/>
    <w:uiPriority w:val="0"/>
    <w:qFormat/>
    <w:rPr>
      <w:sz w:val="24"/>
      <w:szCs w:val="24"/>
    </w:rPr>
  </w:style>
  <w:style w:type="paragraph" w:styleId="1079" w:customStyle="1">
    <w:name w:val="正文（标记）"/>
    <w:basedOn w:val="765"/>
    <w:link w:val="1078"/>
    <w:uiPriority w:val="0"/>
    <w:qFormat/>
    <w:pPr>
      <w:spacing w:before="50" w:after="50"/>
      <w:tabs>
        <w:tab w:val="left" w:pos="0" w:leader="none"/>
        <w:tab w:val="left" w:pos="840" w:leader="none"/>
      </w:tabs>
    </w:pPr>
    <w:rPr>
      <w:sz w:val="24"/>
      <w:szCs w:val="24"/>
    </w:rPr>
  </w:style>
  <w:style w:type="character" w:styleId="1080" w:customStyle="1">
    <w:name w:val="段落 Char"/>
    <w:uiPriority w:val="0"/>
    <w:qFormat/>
    <w:rPr>
      <w:rFonts w:ascii="仿宋_GB2312" w:eastAsia="仿宋_GB2312"/>
      <w:sz w:val="24"/>
      <w:szCs w:val="24"/>
      <w:lang w:val="en-US" w:eastAsia="zh-CN" w:bidi="ar-SA"/>
    </w:rPr>
  </w:style>
  <w:style w:type="character" w:styleId="1081" w:customStyle="1">
    <w:name w:val="Char Char2"/>
    <w:uiPriority w:val="0"/>
    <w:qFormat/>
    <w:rPr>
      <w:sz w:val="18"/>
      <w:szCs w:val="18"/>
    </w:rPr>
  </w:style>
  <w:style w:type="character" w:styleId="1082" w:customStyle="1">
    <w:name w:val="style91"/>
    <w:uiPriority w:val="0"/>
    <w:qFormat/>
    <w:rPr>
      <w:color w:val="2060c0"/>
      <w:sz w:val="24"/>
      <w:szCs w:val="24"/>
    </w:rPr>
  </w:style>
  <w:style w:type="character" w:styleId="1083" w:customStyle="1">
    <w:name w:val="普通文字1 Char"/>
    <w:uiPriority w:val="0"/>
    <w:qFormat/>
    <w:rPr>
      <w:rFonts w:ascii="宋体" w:eastAsia="宋体" w:cs="Courier New"/>
      <w:sz w:val="21"/>
      <w:szCs w:val="21"/>
      <w:lang w:val="en-US" w:eastAsia="zh-CN" w:bidi="ar-SA"/>
    </w:rPr>
  </w:style>
  <w:style w:type="character" w:styleId="1084" w:customStyle="1">
    <w:name w:val="正文文本缩进 Char"/>
    <w:link w:val="1085"/>
    <w:uiPriority w:val="0"/>
    <w:qFormat/>
    <w:rPr>
      <w:rFonts w:hAnsi="Times New Roman"/>
      <w:szCs w:val="20"/>
    </w:rPr>
  </w:style>
  <w:style w:type="paragraph" w:styleId="1085" w:customStyle="1">
    <w:name w:val="正文文本缩进_0"/>
    <w:basedOn w:val="1069"/>
    <w:link w:val="1084"/>
    <w:uiPriority w:val="0"/>
    <w:qFormat/>
    <w:pPr>
      <w:ind w:firstLine="420"/>
      <w:spacing w:line="360" w:lineRule="auto"/>
    </w:pPr>
    <w:rPr>
      <w:sz w:val="20"/>
    </w:rPr>
  </w:style>
  <w:style w:type="character" w:styleId="1086" w:customStyle="1">
    <w:name w:val="Char Char21"/>
    <w:uiPriority w:val="0"/>
    <w:qFormat/>
    <w:rPr>
      <w:sz w:val="18"/>
      <w:szCs w:val="18"/>
    </w:rPr>
  </w:style>
  <w:style w:type="character" w:styleId="1087" w:customStyle="1">
    <w:name w:val="ca-41"/>
    <w:uiPriority w:val="0"/>
    <w:qFormat/>
    <w:rPr>
      <w:rFonts w:ascii="宋体" w:eastAsia="宋体"/>
      <w:b/>
      <w:bCs/>
      <w:color w:val="000000"/>
      <w:spacing w:val="-20"/>
      <w:sz w:val="21"/>
      <w:szCs w:val="21"/>
    </w:rPr>
  </w:style>
  <w:style w:type="character" w:styleId="1088" w:customStyle="1">
    <w:name w:val="question-title"/>
    <w:uiPriority w:val="0"/>
    <w:qFormat/>
  </w:style>
  <w:style w:type="character" w:styleId="1089" w:customStyle="1">
    <w:name w:val="A1"/>
    <w:uiPriority w:val="0"/>
    <w:qFormat/>
    <w:rPr>
      <w:rFonts w:ascii="Univers LT Std 45 Light" w:hAnsi="宋体" w:eastAsia="Univers LT Std 45 Light" w:cs="Univers LT Std 45 Light"/>
      <w:color w:val="221e1f"/>
      <w:sz w:val="10"/>
      <w:szCs w:val="10"/>
    </w:rPr>
  </w:style>
  <w:style w:type="character" w:styleId="1090" w:customStyle="1">
    <w:name w:val="style161"/>
    <w:uiPriority w:val="0"/>
    <w:qFormat/>
    <w:rPr>
      <w:rFonts w:ascii="Verdana" w:hAnsi="Verdana" w:eastAsia="宋体"/>
      <w:b/>
      <w:color w:val="0a246a"/>
      <w:sz w:val="24"/>
      <w:szCs w:val="24"/>
      <w:lang w:val="en-US" w:eastAsia="zh-CN" w:bidi="ar-SA"/>
    </w:rPr>
  </w:style>
  <w:style w:type="character" w:styleId="1091" w:customStyle="1">
    <w:name w:val="ca-31"/>
    <w:uiPriority w:val="0"/>
    <w:qFormat/>
    <w:rPr>
      <w:rFonts w:ascii="宋体" w:eastAsia="宋体"/>
      <w:color w:val="000000"/>
      <w:sz w:val="21"/>
      <w:szCs w:val="21"/>
    </w:rPr>
  </w:style>
  <w:style w:type="character" w:styleId="1092" w:customStyle="1">
    <w:name w:val="apple-converted-space"/>
    <w:uiPriority w:val="0"/>
    <w:qFormat/>
  </w:style>
  <w:style w:type="character" w:styleId="1093" w:customStyle="1">
    <w:name w:val="Footer Char1"/>
    <w:uiPriority w:val="0"/>
    <w:qFormat/>
    <w:rPr>
      <w:rFonts w:cs="Times New Roman"/>
      <w:sz w:val="18"/>
      <w:szCs w:val="18"/>
      <w:lang w:bidi="ar-SA"/>
    </w:rPr>
  </w:style>
  <w:style w:type="character" w:styleId="1094" w:customStyle="1">
    <w:name w:val="A0"/>
    <w:uiPriority w:val="0"/>
    <w:qFormat/>
    <w:rPr>
      <w:rFonts w:ascii=".....?." w:hAnsi="宋体" w:eastAsia=".....?."/>
      <w:color w:val="000000"/>
      <w:sz w:val="22"/>
    </w:rPr>
  </w:style>
  <w:style w:type="character" w:styleId="1095" w:customStyle="1">
    <w:name w:val="Char Char23"/>
    <w:uiPriority w:val="0"/>
    <w:qFormat/>
    <w:rPr>
      <w:sz w:val="24"/>
      <w:szCs w:val="21"/>
      <w:lang w:bidi="ar-SA"/>
    </w:rPr>
  </w:style>
  <w:style w:type="character" w:styleId="1096" w:customStyle="1">
    <w:name w:val="Char Char1"/>
    <w:uiPriority w:val="0"/>
    <w:qFormat/>
    <w:rPr>
      <w:rFonts w:ascii="宋体" w:eastAsia="宋体"/>
      <w:sz w:val="21"/>
      <w:lang w:val="en-US" w:eastAsia="zh-CN"/>
    </w:rPr>
  </w:style>
  <w:style w:type="character" w:styleId="1097" w:customStyle="1">
    <w:name w:val="apple-style-span"/>
    <w:uiPriority w:val="0"/>
    <w:qFormat/>
    <w:rPr>
      <w:rFonts w:ascii="宋体" w:hAnsi="宋体" w:cs="Times New Roman"/>
    </w:rPr>
  </w:style>
  <w:style w:type="character" w:styleId="1098" w:customStyle="1">
    <w:name w:val="无间隔 字符"/>
    <w:link w:val="1099"/>
    <w:uiPriority w:val="0"/>
    <w:qFormat/>
    <w:rPr>
      <w:sz w:val="22"/>
      <w:lang w:val="en-US" w:eastAsia="zh-CN" w:bidi="ar-SA"/>
    </w:rPr>
  </w:style>
  <w:style w:type="paragraph" w:styleId="1099" w:customStyle="1">
    <w:name w:val="无间隔1"/>
    <w:link w:val="1098"/>
    <w:uiPriority w:val="0"/>
    <w:qFormat/>
    <w:rPr>
      <w:rFonts w:ascii="Times New Roman" w:hAnsi="Times New Roman" w:eastAsia="宋体" w:cs="Times New Roman"/>
      <w:sz w:val="22"/>
      <w:lang w:val="en-US" w:eastAsia="zh-CN" w:bidi="ar-SA"/>
    </w:rPr>
  </w:style>
  <w:style w:type="character" w:styleId="1100" w:customStyle="1">
    <w:name w:val="Char Char3"/>
    <w:uiPriority w:val="0"/>
    <w:qFormat/>
    <w:rPr>
      <w:rFonts w:ascii="宋体" w:eastAsia="宋体"/>
      <w:sz w:val="18"/>
      <w:szCs w:val="18"/>
      <w:lang w:val="en-US" w:eastAsia="zh-CN" w:bidi="ar-SA"/>
    </w:rPr>
  </w:style>
  <w:style w:type="character" w:styleId="1101" w:customStyle="1">
    <w:name w:val="z12 style23"/>
    <w:uiPriority w:val="0"/>
    <w:qFormat/>
  </w:style>
  <w:style w:type="character" w:styleId="1102" w:customStyle="1">
    <w:name w:val="font41"/>
    <w:uiPriority w:val="0"/>
    <w:qFormat/>
    <w:rPr>
      <w:rFonts w:hint="eastAsia" w:ascii="宋体" w:hAnsi="宋体" w:eastAsia="宋体" w:cs="宋体"/>
      <w:color w:val="000000"/>
      <w:sz w:val="24"/>
      <w:szCs w:val="24"/>
      <w:u w:val="none"/>
    </w:rPr>
  </w:style>
  <w:style w:type="character" w:styleId="1103" w:customStyle="1">
    <w:name w:val="font11"/>
    <w:uiPriority w:val="0"/>
    <w:qFormat/>
    <w:rPr>
      <w:rFonts w:ascii="Times" w:hAnsi="Times" w:eastAsia="Times" w:cs="Times"/>
      <w:color w:val="000000"/>
      <w:sz w:val="24"/>
      <w:szCs w:val="24"/>
      <w:u w:val="none"/>
    </w:rPr>
  </w:style>
  <w:style w:type="character" w:styleId="1104" w:customStyle="1">
    <w:name w:val="Plain Text Char1"/>
    <w:uiPriority w:val="0"/>
    <w:qFormat/>
    <w:rPr>
      <w:rFonts w:ascii="宋体" w:eastAsia="宋体"/>
      <w:sz w:val="21"/>
      <w:szCs w:val="21"/>
      <w:lang w:val="en-US" w:eastAsia="zh-CN" w:bidi="ar-SA"/>
    </w:rPr>
  </w:style>
  <w:style w:type="character" w:styleId="1105" w:customStyle="1">
    <w:name w:val="Char Char"/>
    <w:uiPriority w:val="0"/>
    <w:qFormat/>
    <w:rPr>
      <w:rFonts w:eastAsia="宋体"/>
      <w:sz w:val="18"/>
      <w:lang w:val="en-US" w:eastAsia="zh-CN"/>
    </w:rPr>
  </w:style>
  <w:style w:type="character" w:styleId="1106" w:customStyle="1">
    <w:name w:val="wj1"/>
    <w:uiPriority w:val="0"/>
    <w:qFormat/>
    <w:rPr>
      <w:color w:val="000000"/>
      <w:sz w:val="18"/>
      <w:szCs w:val="18"/>
      <w:u w:val="none"/>
    </w:rPr>
  </w:style>
  <w:style w:type="character" w:styleId="1107" w:customStyle="1">
    <w:name w:val="Heading 2 Char_e7971b2e-95ff-491d-afd8-0e6cfcc6c1b2"/>
    <w:uiPriority w:val="0"/>
    <w:qFormat/>
    <w:rPr>
      <w:rFonts w:ascii="Arial" w:hAnsi="Arial" w:eastAsia="黑体"/>
      <w:b/>
      <w:bCs/>
      <w:sz w:val="32"/>
      <w:szCs w:val="32"/>
      <w:lang w:val="en-US" w:eastAsia="zh-CN" w:bidi="ar-SA"/>
    </w:rPr>
  </w:style>
  <w:style w:type="character" w:styleId="1108" w:customStyle="1">
    <w:name w:val="z1"/>
    <w:uiPriority w:val="0"/>
    <w:qFormat/>
  </w:style>
  <w:style w:type="character" w:styleId="1109" w:customStyle="1">
    <w:name w:val="font01"/>
    <w:uiPriority w:val="0"/>
    <w:qFormat/>
    <w:rPr>
      <w:rFonts w:hint="eastAsia" w:ascii="宋体" w:hAnsi="宋体" w:eastAsia="宋体" w:cs="宋体"/>
      <w:color w:val="000000"/>
      <w:sz w:val="24"/>
      <w:szCs w:val="24"/>
      <w:u w:val="none"/>
    </w:rPr>
  </w:style>
  <w:style w:type="character" w:styleId="1110" w:customStyle="1">
    <w:name w:val="Footer Char_f0e3e3bf-5b2e-454d-aedf-db4c0b3a23ed"/>
    <w:uiPriority w:val="0"/>
    <w:qFormat/>
    <w:rPr>
      <w:rFonts w:eastAsia="宋体"/>
      <w:sz w:val="18"/>
      <w:lang w:val="en-US" w:eastAsia="zh-CN"/>
    </w:rPr>
  </w:style>
  <w:style w:type="character" w:styleId="1111" w:customStyle="1">
    <w:name w:val="Header Char_9800ef60-2583-47c5-8652-b7f35f90c311"/>
    <w:uiPriority w:val="0"/>
    <w:qFormat/>
    <w:rPr>
      <w:rFonts w:eastAsia="宋体"/>
      <w:sz w:val="18"/>
      <w:lang w:val="en-US" w:eastAsia="zh-CN"/>
    </w:rPr>
  </w:style>
  <w:style w:type="character" w:styleId="1112" w:customStyle="1">
    <w:name w:val="ca-01"/>
    <w:uiPriority w:val="0"/>
    <w:qFormat/>
    <w:rPr>
      <w:rFonts w:ascii="宋体" w:eastAsia="宋体"/>
      <w:b/>
      <w:bCs/>
      <w:spacing w:val="-20"/>
      <w:sz w:val="24"/>
      <w:szCs w:val="24"/>
    </w:rPr>
  </w:style>
  <w:style w:type="character" w:styleId="1113" w:customStyle="1">
    <w:name w:val="font51"/>
    <w:uiPriority w:val="99"/>
    <w:qFormat/>
    <w:rPr>
      <w:rFonts w:ascii="宋体" w:hAnsi="宋体" w:eastAsia="宋体" w:cs="宋体"/>
      <w:color w:val="000000"/>
      <w:sz w:val="22"/>
      <w:szCs w:val="22"/>
    </w:rPr>
  </w:style>
  <w:style w:type="character" w:styleId="1114" w:customStyle="1">
    <w:name w:val="font21"/>
    <w:uiPriority w:val="0"/>
    <w:qFormat/>
    <w:rPr>
      <w:rFonts w:ascii="Times New Roman" w:hAnsi="Times New Roman"/>
      <w:color w:val="000000"/>
      <w:sz w:val="20"/>
      <w:u w:val="none"/>
    </w:rPr>
  </w:style>
  <w:style w:type="character" w:styleId="1115" w:customStyle="1">
    <w:name w:val="font31"/>
    <w:uiPriority w:val="0"/>
    <w:qFormat/>
    <w:rPr>
      <w:rFonts w:ascii="Arial" w:hAnsi="Arial" w:cs="Arial"/>
      <w:color w:val="000000"/>
      <w:sz w:val="22"/>
      <w:szCs w:val="22"/>
      <w:u w:val="none"/>
    </w:rPr>
  </w:style>
  <w:style w:type="character" w:styleId="1116" w:customStyle="1">
    <w:name w:val="正文（编号） Char Char"/>
    <w:link w:val="1117"/>
    <w:uiPriority w:val="0"/>
    <w:qFormat/>
    <w:rPr>
      <w:sz w:val="24"/>
      <w:szCs w:val="24"/>
    </w:rPr>
  </w:style>
  <w:style w:type="paragraph" w:styleId="1117" w:customStyle="1">
    <w:name w:val="正文（编号）"/>
    <w:basedOn w:val="1118"/>
    <w:link w:val="1116"/>
    <w:uiPriority w:val="0"/>
    <w:qFormat/>
    <w:pPr>
      <w:ind w:left="720" w:firstLine="0"/>
      <w:tabs>
        <w:tab w:val="left" w:pos="720" w:leader="none"/>
        <w:tab w:val="left" w:pos="780" w:leader="none"/>
      </w:tabs>
    </w:pPr>
    <w:rPr>
      <w:szCs w:val="24"/>
    </w:rPr>
  </w:style>
  <w:style w:type="paragraph" w:styleId="1118" w:customStyle="1">
    <w:name w:val="正文（缩进）"/>
    <w:basedOn w:val="765"/>
    <w:uiPriority w:val="0"/>
    <w:qFormat/>
    <w:pPr>
      <w:ind w:firstLine="200"/>
      <w:spacing w:before="50" w:after="50" w:line="360" w:lineRule="auto"/>
    </w:pPr>
    <w:rPr>
      <w:sz w:val="24"/>
    </w:rPr>
  </w:style>
  <w:style w:type="character" w:styleId="1119" w:customStyle="1">
    <w:name w:val="marklong"/>
    <w:uiPriority w:val="0"/>
    <w:qFormat/>
  </w:style>
  <w:style w:type="character" w:styleId="1120" w:customStyle="1">
    <w:name w:val="标题 2 Char Char Char"/>
    <w:uiPriority w:val="0"/>
    <w:qFormat/>
    <w:rPr>
      <w:rFonts w:ascii="Arial" w:hAnsi="Arial" w:eastAsia="宋体" w:cs="Arial"/>
      <w:b/>
      <w:bCs/>
      <w:i/>
      <w:iCs/>
      <w:sz w:val="28"/>
      <w:szCs w:val="28"/>
      <w:lang w:val="en-US" w:eastAsia="zh-CN" w:bidi="ar-SA"/>
    </w:rPr>
  </w:style>
  <w:style w:type="character" w:styleId="1121" w:customStyle="1">
    <w:name w:val="ca-1"/>
    <w:uiPriority w:val="0"/>
    <w:qFormat/>
  </w:style>
  <w:style w:type="character" w:styleId="1122" w:customStyle="1">
    <w:name w:val="ca-11"/>
    <w:uiPriority w:val="0"/>
    <w:qFormat/>
    <w:rPr>
      <w:rFonts w:ascii="宋体" w:eastAsia="宋体"/>
      <w:b/>
      <w:bCs/>
      <w:color w:val="000000"/>
      <w:spacing w:val="-20"/>
      <w:sz w:val="28"/>
      <w:szCs w:val="28"/>
    </w:rPr>
  </w:style>
  <w:style w:type="character" w:styleId="1123" w:customStyle="1">
    <w:name w:val="正文（缩进） Char Char"/>
    <w:uiPriority w:val="0"/>
    <w:qFormat/>
    <w:rPr>
      <w:rFonts w:eastAsia="宋体"/>
      <w:sz w:val="24"/>
      <w:szCs w:val="24"/>
      <w:lang w:val="en-US" w:eastAsia="zh-CN" w:bidi="ar-SA"/>
    </w:rPr>
  </w:style>
  <w:style w:type="character" w:styleId="1124" w:customStyle="1">
    <w:name w:val="Char Char31"/>
    <w:uiPriority w:val="0"/>
    <w:qFormat/>
    <w:rPr>
      <w:rFonts w:ascii="Arial" w:hAnsi="Arial" w:eastAsia="黑体" w:cs="Times New Roman"/>
      <w:b/>
      <w:bCs/>
      <w:sz w:val="32"/>
      <w:szCs w:val="32"/>
      <w:lang w:val="en-US" w:eastAsia="zh-CN" w:bidi="ar-SA"/>
    </w:rPr>
  </w:style>
  <w:style w:type="paragraph" w:styleId="1125" w:customStyle="1">
    <w:name w:val="表文1"/>
    <w:basedOn w:val="765"/>
    <w:uiPriority w:val="0"/>
    <w:qFormat/>
    <w:pPr>
      <w:ind w:firstLine="196"/>
      <w:spacing w:line="360" w:lineRule="auto"/>
      <w:widowControl/>
    </w:pPr>
    <w:rPr>
      <w:rFonts w:ascii="宋体"/>
      <w:sz w:val="24"/>
    </w:rPr>
  </w:style>
  <w:style w:type="paragraph" w:styleId="1126" w:customStyle="1">
    <w:name w:val="Normal_6_0"/>
    <w:uiPriority w:val="0"/>
    <w:qFormat/>
    <w:rPr>
      <w:rFonts w:ascii="黑体" w:hAnsi="黑体" w:eastAsia="黑体" w:cs="Times New Roman"/>
      <w:b/>
      <w:sz w:val="32"/>
      <w:szCs w:val="24"/>
      <w:lang w:val="en-US" w:eastAsia="zh-CN" w:bidi="ar-SA"/>
    </w:rPr>
  </w:style>
  <w:style w:type="paragraph" w:styleId="1127" w:customStyle="1">
    <w:name w:val="正文文本缩进1"/>
    <w:basedOn w:val="1128"/>
    <w:uiPriority w:val="99"/>
    <w:qFormat/>
    <w:pPr>
      <w:ind w:left="420"/>
      <w:spacing w:after="120"/>
    </w:pPr>
    <w:rPr>
      <w:rFonts w:ascii="Calibri" w:hAnsi="Calibri" w:cs="Calibri"/>
    </w:rPr>
  </w:style>
  <w:style w:type="paragraph" w:styleId="1128" w:customStyle="1">
    <w:name w:val="正文11"/>
    <w:uiPriority w:val="99"/>
    <w:qFormat/>
    <w:pPr>
      <w:widowControl w:val="off"/>
    </w:pPr>
    <w:rPr>
      <w:rFonts w:ascii="Times New Roman" w:hAnsi="Times New Roman" w:eastAsia="宋体" w:cs="Times New Roman"/>
      <w:sz w:val="21"/>
      <w:szCs w:val="21"/>
      <w:lang w:val="en-US" w:eastAsia="zh-CN" w:bidi="ar-SA"/>
    </w:rPr>
  </w:style>
  <w:style w:type="paragraph" w:styleId="1129" w:customStyle="1">
    <w:name w:val="Char Char Char"/>
    <w:basedOn w:val="765"/>
    <w:uiPriority w:val="0"/>
    <w:qFormat/>
    <w:rPr>
      <w:rFonts w:ascii="Calibri" w:hAnsi="Calibri"/>
      <w:szCs w:val="21"/>
    </w:rPr>
  </w:style>
  <w:style w:type="paragraph" w:styleId="1130" w:customStyle="1">
    <w:name w:val="无标题正文 Char Char Char Char Char Char Char Char Char Char Char Char Char Char Char Char Char Char Char Char Char Char Char Char Char Char Char1 Char"/>
    <w:basedOn w:val="765"/>
    <w:uiPriority w:val="0"/>
    <w:qFormat/>
    <w:pPr>
      <w:jc w:val="center"/>
      <w:spacing w:after="160" w:line="240" w:lineRule="exact"/>
      <w:widowControl/>
    </w:pPr>
    <w:rPr>
      <w:rFonts w:ascii="Arial" w:hAnsi="Arial"/>
      <w:sz w:val="20"/>
      <w:szCs w:val="20"/>
      <w:lang w:eastAsia="en-US"/>
    </w:rPr>
  </w:style>
  <w:style w:type="paragraph" w:styleId="1131" w:customStyle="1">
    <w:name w:val="xl29"/>
    <w:basedOn w:val="7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32" w:customStyle="1">
    <w:name w:val="Normal_9_0"/>
    <w:uiPriority w:val="0"/>
    <w:qFormat/>
    <w:rPr>
      <w:rFonts w:ascii="Times New Roman" w:hAnsi="Times New Roman" w:eastAsia="Times New Roman" w:cs="Times New Roman"/>
      <w:sz w:val="24"/>
      <w:szCs w:val="24"/>
      <w:lang w:val="en-US" w:eastAsia="zh-CN" w:bidi="ar-SA"/>
    </w:rPr>
  </w:style>
  <w:style w:type="paragraph" w:styleId="1133" w:customStyle="1">
    <w:name w:val="正文_15"/>
    <w:uiPriority w:val="0"/>
    <w:qFormat/>
    <w:pPr>
      <w:jc w:val="both"/>
      <w:widowControl w:val="off"/>
    </w:pPr>
    <w:rPr>
      <w:rFonts w:ascii="Times New Roman" w:hAnsi="Times New Roman" w:eastAsia="宋体" w:cs="Times New Roman"/>
      <w:sz w:val="21"/>
      <w:szCs w:val="22"/>
      <w:lang w:val="en-US" w:eastAsia="zh-CN" w:bidi="ar-SA"/>
    </w:rPr>
  </w:style>
  <w:style w:type="paragraph" w:styleId="1134" w:customStyle="1">
    <w:name w:val="pa-6"/>
    <w:basedOn w:val="765"/>
    <w:uiPriority w:val="0"/>
    <w:qFormat/>
    <w:pPr>
      <w:spacing w:line="360" w:lineRule="atLeast"/>
      <w:widowControl/>
    </w:pPr>
    <w:rPr>
      <w:rFonts w:ascii="宋体"/>
      <w:sz w:val="24"/>
      <w:szCs w:val="20"/>
    </w:rPr>
  </w:style>
  <w:style w:type="paragraph" w:styleId="1135" w:customStyle="1">
    <w:name w:val="正文_20"/>
    <w:uiPriority w:val="0"/>
    <w:qFormat/>
    <w:pPr>
      <w:jc w:val="both"/>
      <w:widowControl w:val="off"/>
    </w:pPr>
    <w:rPr>
      <w:rFonts w:ascii="Times New Roman" w:hAnsi="Times New Roman" w:eastAsia="宋体" w:cs="Times New Roman"/>
      <w:sz w:val="21"/>
      <w:szCs w:val="22"/>
      <w:lang w:val="en-US" w:eastAsia="zh-CN" w:bidi="ar-SA"/>
    </w:rPr>
  </w:style>
  <w:style w:type="paragraph" w:styleId="1136" w:customStyle="1">
    <w:name w:val="正文_4_0_0"/>
    <w:uiPriority w:val="0"/>
    <w:qFormat/>
    <w:pPr>
      <w:jc w:val="both"/>
      <w:widowControl w:val="off"/>
    </w:pPr>
    <w:rPr>
      <w:rFonts w:ascii="Times New Roman" w:hAnsi="Times New Roman" w:eastAsia="宋体" w:cs="Times New Roman"/>
      <w:sz w:val="21"/>
      <w:lang w:val="en-US" w:eastAsia="zh-CN" w:bidi="ar-SA"/>
    </w:rPr>
  </w:style>
  <w:style w:type="paragraph" w:styleId="1137" w:customStyle="1">
    <w:name w:val="正文_13_0"/>
    <w:uiPriority w:val="0"/>
    <w:qFormat/>
    <w:pPr>
      <w:jc w:val="both"/>
      <w:widowControl w:val="off"/>
    </w:pPr>
    <w:rPr>
      <w:rFonts w:ascii="Times New Roman" w:hAnsi="Times New Roman" w:eastAsia="宋体" w:cs="Times New Roman"/>
      <w:sz w:val="21"/>
      <w:szCs w:val="22"/>
      <w:lang w:val="en-US" w:eastAsia="zh-CN" w:bidi="ar-SA"/>
    </w:rPr>
  </w:style>
  <w:style w:type="paragraph" w:styleId="1138"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1139" w:customStyle="1">
    <w:name w:val="前言、引言标题"/>
    <w:next w:val="765"/>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40" w:customStyle="1">
    <w:name w:val="Char Char Char Char Char Char Char Char Char Char"/>
    <w:basedOn w:val="765"/>
    <w:uiPriority w:val="0"/>
    <w:qFormat/>
    <w:rPr>
      <w:rFonts w:ascii="Tahoma" w:hAnsi="Tahoma"/>
      <w:sz w:val="24"/>
      <w:szCs w:val="20"/>
    </w:rPr>
  </w:style>
  <w:style w:type="paragraph" w:styleId="1141" w:customStyle="1">
    <w:name w:val="篇名"/>
    <w:next w:val="975"/>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42" w:customStyle="1">
    <w:name w:val="正文_6_0_0"/>
    <w:uiPriority w:val="0"/>
    <w:qFormat/>
    <w:pPr>
      <w:jc w:val="both"/>
      <w:widowControl w:val="off"/>
    </w:pPr>
    <w:rPr>
      <w:rFonts w:ascii="Times New Roman" w:hAnsi="Times New Roman" w:eastAsia="宋体" w:cs="Times New Roman"/>
      <w:sz w:val="21"/>
      <w:szCs w:val="22"/>
      <w:lang w:val="en-US" w:eastAsia="zh-CN" w:bidi="ar-SA"/>
    </w:rPr>
  </w:style>
  <w:style w:type="paragraph" w:styleId="1143" w:customStyle="1">
    <w:name w:val="正文_3_0"/>
    <w:uiPriority w:val="0"/>
    <w:qFormat/>
    <w:pPr>
      <w:jc w:val="both"/>
      <w:widowControl w:val="off"/>
    </w:pPr>
    <w:rPr>
      <w:rFonts w:ascii="Times New Roman" w:hAnsi="Times New Roman" w:eastAsia="宋体" w:cs="Times New Roman"/>
      <w:sz w:val="21"/>
      <w:szCs w:val="22"/>
      <w:lang w:val="en-US" w:eastAsia="zh-CN" w:bidi="ar-SA"/>
    </w:rPr>
  </w:style>
  <w:style w:type="paragraph" w:styleId="1144" w:customStyle="1">
    <w:name w:val="正文_9_0_0"/>
    <w:uiPriority w:val="0"/>
    <w:qFormat/>
    <w:pPr>
      <w:jc w:val="both"/>
      <w:widowControl w:val="off"/>
    </w:pPr>
    <w:rPr>
      <w:rFonts w:ascii="Times New Roman" w:hAnsi="Times New Roman" w:eastAsia="宋体" w:cs="Times New Roman"/>
      <w:sz w:val="21"/>
      <w:szCs w:val="22"/>
      <w:lang w:val="en-US" w:eastAsia="zh-CN" w:bidi="ar-SA"/>
    </w:rPr>
  </w:style>
  <w:style w:type="paragraph" w:styleId="1145" w:customStyle="1">
    <w:name w:val="WPSOffice手动目录 1"/>
    <w:uiPriority w:val="0"/>
    <w:qFormat/>
    <w:rPr>
      <w:rFonts w:ascii="Times New Roman" w:hAnsi="Times New Roman" w:eastAsia="宋体" w:cs="Times New Roman"/>
      <w:lang w:val="en-US" w:eastAsia="zh-CN" w:bidi="ar-SA"/>
    </w:rPr>
  </w:style>
  <w:style w:type="paragraph" w:styleId="1146"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147" w:customStyle="1">
    <w:name w:val="参考资料清单+倾斜+蓝色"/>
    <w:basedOn w:val="765"/>
    <w:uiPriority w:val="0"/>
    <w:qFormat/>
    <w:pPr>
      <w:spacing w:line="360" w:lineRule="auto"/>
    </w:pPr>
    <w:rPr>
      <w:rFonts w:ascii="Arial" w:hAnsi="Arial"/>
      <w:i/>
      <w:iCs/>
      <w:color w:val="0000ff"/>
      <w:szCs w:val="21"/>
    </w:rPr>
  </w:style>
  <w:style w:type="paragraph" w:styleId="1148" w:customStyle="1">
    <w:name w:val="Normal_8"/>
    <w:uiPriority w:val="0"/>
    <w:qFormat/>
    <w:rPr>
      <w:rFonts w:ascii="Times New Roman" w:hAnsi="Times New Roman" w:eastAsia="Times New Roman" w:cs="Times New Roman"/>
      <w:sz w:val="24"/>
      <w:szCs w:val="24"/>
      <w:lang w:val="en-US" w:eastAsia="zh-CN" w:bidi="ar-SA"/>
    </w:rPr>
  </w:style>
  <w:style w:type="paragraph" w:styleId="1149" w:customStyle="1">
    <w:name w:val="缩进正文"/>
    <w:basedOn w:val="765"/>
    <w:uiPriority w:val="0"/>
    <w:qFormat/>
    <w:pPr>
      <w:ind w:left="1418" w:firstLine="425"/>
      <w:jc w:val="left"/>
      <w:spacing w:after="200" w:line="400" w:lineRule="exact"/>
      <w:widowControl/>
    </w:pPr>
    <w:rPr>
      <w:rFonts w:ascii="宋体"/>
      <w:sz w:val="24"/>
      <w:szCs w:val="20"/>
    </w:rPr>
  </w:style>
  <w:style w:type="paragraph" w:styleId="1150" w:customStyle="1">
    <w:name w:val="Normal_2"/>
    <w:uiPriority w:val="0"/>
    <w:qFormat/>
    <w:rPr>
      <w:rFonts w:ascii="黑体" w:hAnsi="黑体" w:eastAsia="黑体" w:cs="Times New Roman"/>
      <w:b/>
      <w:sz w:val="32"/>
      <w:szCs w:val="24"/>
      <w:lang w:val="en-US" w:eastAsia="zh-CN" w:bidi="ar-SA"/>
    </w:rPr>
  </w:style>
  <w:style w:type="paragraph" w:styleId="1151" w:customStyle="1">
    <w:name w:val="Normal_1_2"/>
    <w:uiPriority w:val="0"/>
    <w:qFormat/>
    <w:rPr>
      <w:rFonts w:ascii="Times New Roman" w:hAnsi="Times New Roman" w:eastAsia="Times New Roman" w:cs="Times New Roman"/>
      <w:sz w:val="24"/>
      <w:szCs w:val="24"/>
      <w:lang w:val="en-US" w:eastAsia="zh-CN" w:bidi="ar-SA"/>
    </w:rPr>
  </w:style>
  <w:style w:type="paragraph" w:styleId="1152" w:customStyle="1">
    <w:name w:val="默认段落字体 Para Char Char Char Char Char Char Char Char Char1"/>
    <w:basedOn w:val="765"/>
    <w:uiPriority w:val="0"/>
    <w:qFormat/>
    <w:rPr>
      <w:rFonts w:ascii="Tahoma" w:hAnsi="Tahoma"/>
      <w:sz w:val="24"/>
      <w:szCs w:val="20"/>
    </w:rPr>
  </w:style>
  <w:style w:type="paragraph" w:styleId="1153" w:customStyle="1">
    <w:name w:val="样式 序号----------- + 仿宋_GB2312"/>
    <w:basedOn w:val="1154"/>
    <w:uiPriority w:val="0"/>
    <w:qFormat/>
    <w:pPr>
      <w:ind w:firstLine="200"/>
      <w:spacing w:line="360" w:lineRule="auto"/>
    </w:pPr>
    <w:rPr>
      <w:rFonts w:ascii="仿宋_GB2312" w:eastAsia="仿宋_GB2312"/>
      <w:bCs w:val="0"/>
    </w:rPr>
  </w:style>
  <w:style w:type="paragraph" w:styleId="1154" w:customStyle="1">
    <w:name w:val="序号-----------"/>
    <w:basedOn w:val="765"/>
    <w:uiPriority w:val="0"/>
    <w:qFormat/>
    <w:pPr>
      <w:jc w:val="left"/>
      <w:widowControl/>
    </w:pPr>
    <w:rPr>
      <w:rFonts w:ascii="宋体"/>
      <w:bCs/>
      <w:szCs w:val="21"/>
    </w:rPr>
  </w:style>
  <w:style w:type="paragraph" w:styleId="1155" w:customStyle="1">
    <w:name w:val="pa-8"/>
    <w:basedOn w:val="765"/>
    <w:uiPriority w:val="0"/>
    <w:qFormat/>
    <w:pPr>
      <w:ind w:firstLine="480"/>
      <w:spacing w:line="280" w:lineRule="atLeast"/>
      <w:widowControl/>
    </w:pPr>
    <w:rPr>
      <w:rFonts w:ascii="宋体" w:cs="宋体"/>
      <w:sz w:val="24"/>
    </w:rPr>
  </w:style>
  <w:style w:type="paragraph" w:styleId="1156" w:customStyle="1">
    <w:name w:val="Indent Normal"/>
    <w:basedOn w:val="765"/>
    <w:uiPriority w:val="0"/>
    <w:qFormat/>
    <w:pPr>
      <w:ind w:firstLine="150"/>
    </w:pPr>
    <w:rPr>
      <w:sz w:val="24"/>
      <w:szCs w:val="20"/>
    </w:rPr>
  </w:style>
  <w:style w:type="paragraph" w:styleId="1157" w:customStyle="1">
    <w:name w:val="Normal_3"/>
    <w:uiPriority w:val="0"/>
    <w:qFormat/>
    <w:rPr>
      <w:rFonts w:ascii="黑体" w:hAnsi="黑体" w:eastAsia="黑体" w:cs="Times New Roman"/>
      <w:b/>
      <w:sz w:val="32"/>
      <w:szCs w:val="24"/>
      <w:lang w:val="en-US" w:eastAsia="zh-CN" w:bidi="ar-SA"/>
    </w:rPr>
  </w:style>
  <w:style w:type="paragraph" w:styleId="1158" w:customStyle="1">
    <w:name w:val="寄信人地址1"/>
    <w:basedOn w:val="1128"/>
    <w:uiPriority w:val="99"/>
    <w:qFormat/>
    <w:rPr>
      <w:rFonts w:ascii="Arial" w:hAnsi="Arial" w:cs="Arial"/>
    </w:rPr>
  </w:style>
  <w:style w:type="paragraph" w:styleId="1159" w:customStyle="1">
    <w:name w:val="标题2"/>
    <w:basedOn w:val="765"/>
    <w:uiPriority w:val="0"/>
    <w:qFormat/>
    <w:pPr>
      <w:tabs>
        <w:tab w:val="left" w:pos="0" w:leader="none"/>
      </w:tabs>
    </w:pPr>
    <w:rPr>
      <w:rFonts w:ascii="黑体" w:eastAsia="黑体"/>
      <w:sz w:val="24"/>
    </w:rPr>
  </w:style>
  <w:style w:type="paragraph" w:styleId="1160" w:customStyle="1">
    <w:name w:val="Normal_10"/>
    <w:uiPriority w:val="0"/>
    <w:qFormat/>
    <w:rPr>
      <w:rFonts w:ascii="黑体" w:hAnsi="黑体" w:eastAsia="黑体" w:cs="Times New Roman"/>
      <w:b/>
      <w:sz w:val="32"/>
      <w:szCs w:val="24"/>
      <w:lang w:val="en-US" w:eastAsia="zh-CN" w:bidi="ar-SA"/>
    </w:rPr>
  </w:style>
  <w:style w:type="paragraph" w:styleId="1161" w:customStyle="1">
    <w:name w:val="样式3"/>
    <w:basedOn w:val="977"/>
    <w:uiPriority w:val="0"/>
    <w:qFormat/>
    <w:pPr>
      <w:spacing w:line="415" w:lineRule="auto"/>
    </w:pPr>
    <w:rPr>
      <w:rFonts w:ascii="Calibri" w:hAnsi="Calibri"/>
      <w:bCs/>
      <w:color w:val="000000"/>
      <w:sz w:val="28"/>
      <w:szCs w:val="28"/>
    </w:rPr>
  </w:style>
  <w:style w:type="paragraph" w:styleId="1162" w:customStyle="1">
    <w:name w:val="样式6"/>
    <w:basedOn w:val="815"/>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163" w:customStyle="1">
    <w:name w:val="Char1 Char Char Char"/>
    <w:basedOn w:val="765"/>
    <w:uiPriority w:val="0"/>
    <w:qFormat/>
    <w:rPr>
      <w:szCs w:val="20"/>
    </w:rPr>
  </w:style>
  <w:style w:type="paragraph" w:styleId="1164" w:customStyle="1">
    <w:name w:val="纯文本2"/>
    <w:basedOn w:val="765"/>
    <w:uiPriority w:val="0"/>
    <w:qFormat/>
    <w:rPr>
      <w:rFonts w:ascii="宋体" w:hAnsi="Courier New" w:eastAsia="楷体_GB2312"/>
      <w:sz w:val="26"/>
      <w:szCs w:val="20"/>
    </w:rPr>
  </w:style>
  <w:style w:type="paragraph" w:styleId="1165" w:customStyle="1">
    <w:name w:val="Normal_4_0"/>
    <w:uiPriority w:val="0"/>
    <w:qFormat/>
    <w:rPr>
      <w:rFonts w:ascii="黑体" w:hAnsi="黑体" w:eastAsia="黑体" w:cs="Times New Roman"/>
      <w:b/>
      <w:sz w:val="32"/>
      <w:szCs w:val="24"/>
      <w:lang w:val="en-US" w:eastAsia="zh-CN" w:bidi="ar-SA"/>
    </w:rPr>
  </w:style>
  <w:style w:type="paragraph" w:styleId="1166" w:customStyle="1">
    <w:name w:val="三级条标题"/>
    <w:basedOn w:val="1167"/>
    <w:next w:val="1169"/>
    <w:uiPriority w:val="0"/>
    <w:qFormat/>
    <w:pPr>
      <w:ind w:left="1050"/>
      <w:outlineLvl w:val="4"/>
    </w:pPr>
  </w:style>
  <w:style w:type="paragraph" w:styleId="1167" w:customStyle="1">
    <w:name w:val="二级条标题"/>
    <w:basedOn w:val="1168"/>
    <w:next w:val="1169"/>
    <w:uiPriority w:val="0"/>
    <w:qFormat/>
    <w:pPr>
      <w:ind w:left="360"/>
      <w:outlineLvl w:val="3"/>
    </w:pPr>
  </w:style>
  <w:style w:type="paragraph" w:styleId="1168" w:customStyle="1">
    <w:name w:val="一级条标题"/>
    <w:next w:val="1169"/>
    <w:uiPriority w:val="0"/>
    <w:qFormat/>
    <w:pPr>
      <w:outlineLvl w:val="2"/>
    </w:pPr>
    <w:rPr>
      <w:rFonts w:ascii="Times New Roman" w:hAnsi="Times New Roman" w:eastAsia="黑体" w:cs="Times New Roman"/>
      <w:sz w:val="21"/>
      <w:lang w:val="en-US" w:eastAsia="zh-CN" w:bidi="ar-SA"/>
    </w:rPr>
  </w:style>
  <w:style w:type="paragraph" w:styleId="1169" w:customStyle="1">
    <w:name w:val="段"/>
    <w:uiPriority w:val="0"/>
    <w:qFormat/>
    <w:pPr>
      <w:ind w:firstLine="200"/>
      <w:jc w:val="both"/>
    </w:pPr>
    <w:rPr>
      <w:rFonts w:ascii="宋体" w:hAnsi="Times New Roman" w:eastAsia="宋体" w:cs="Times New Roman"/>
      <w:sz w:val="21"/>
      <w:lang w:val="en-US" w:eastAsia="zh-CN" w:bidi="ar-SA"/>
    </w:rPr>
  </w:style>
  <w:style w:type="paragraph" w:styleId="1170" w:customStyle="1">
    <w:name w:val="Normal_5_0"/>
    <w:uiPriority w:val="0"/>
    <w:qFormat/>
    <w:rPr>
      <w:rFonts w:ascii="黑体" w:hAnsi="黑体" w:eastAsia="黑体" w:cs="Times New Roman"/>
      <w:b/>
      <w:sz w:val="32"/>
      <w:szCs w:val="24"/>
      <w:lang w:val="en-US" w:eastAsia="zh-CN" w:bidi="ar-SA"/>
    </w:rPr>
  </w:style>
  <w:style w:type="paragraph" w:styleId="1171" w:customStyle="1">
    <w:name w:val="Normal_14_0"/>
    <w:uiPriority w:val="0"/>
    <w:qFormat/>
    <w:rPr>
      <w:rFonts w:ascii="黑体" w:hAnsi="黑体" w:eastAsia="黑体" w:cs="Times New Roman"/>
      <w:b/>
      <w:sz w:val="32"/>
      <w:szCs w:val="24"/>
      <w:lang w:val="en-US" w:eastAsia="zh-CN" w:bidi="ar-SA"/>
    </w:rPr>
  </w:style>
  <w:style w:type="paragraph" w:styleId="1172" w:customStyle="1">
    <w:name w:val="技术方案2"/>
    <w:basedOn w:val="765"/>
    <w:uiPriority w:val="0"/>
    <w:qFormat/>
    <w:pPr>
      <w:spacing w:line="480" w:lineRule="auto"/>
    </w:pPr>
    <w:rPr>
      <w:rFonts w:ascii="宋体"/>
      <w:b/>
      <w:bCs/>
      <w:sz w:val="36"/>
    </w:rPr>
  </w:style>
  <w:style w:type="paragraph" w:styleId="1173"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paragraph" w:styleId="1174" w:customStyle="1">
    <w:name w:val="Normal_0_0"/>
    <w:uiPriority w:val="0"/>
    <w:qFormat/>
    <w:rPr>
      <w:rFonts w:ascii="黑体" w:hAnsi="黑体" w:eastAsia="黑体" w:cs="Times New Roman"/>
      <w:b/>
      <w:sz w:val="40"/>
      <w:szCs w:val="24"/>
      <w:lang w:val="en-US" w:eastAsia="zh-CN" w:bidi="ar-SA"/>
    </w:rPr>
  </w:style>
  <w:style w:type="paragraph" w:styleId="1175" w:customStyle="1">
    <w:name w:val="表格标题"/>
    <w:basedOn w:val="765"/>
    <w:uiPriority w:val="0"/>
    <w:qFormat/>
    <w:pPr>
      <w:jc w:val="center"/>
    </w:pPr>
    <w:rPr>
      <w:b/>
    </w:rPr>
  </w:style>
  <w:style w:type="paragraph" w:styleId="1176" w:customStyle="1">
    <w:name w:val="表中文字"/>
    <w:basedOn w:val="765"/>
    <w:uiPriority w:val="0"/>
    <w:qFormat/>
    <w:pPr>
      <w:widowControl/>
    </w:pPr>
    <w:rPr>
      <w:rFonts w:ascii="Calibri" w:hAnsi="Calibri"/>
      <w:szCs w:val="20"/>
    </w:rPr>
  </w:style>
  <w:style w:type="paragraph" w:styleId="1177" w:customStyle="1">
    <w:name w:val="Char"/>
    <w:basedOn w:val="765"/>
    <w:uiPriority w:val="0"/>
    <w:qFormat/>
    <w:pPr>
      <w:jc w:val="left"/>
      <w:spacing w:after="160" w:line="240" w:lineRule="exact"/>
      <w:widowControl/>
    </w:pPr>
    <w:rPr>
      <w:rFonts w:ascii="Verdana" w:hAnsi="Verdana"/>
      <w:sz w:val="20"/>
      <w:szCs w:val="20"/>
      <w:lang w:eastAsia="en-US"/>
    </w:rPr>
  </w:style>
  <w:style w:type="paragraph" w:styleId="1178" w:customStyle="1">
    <w:name w:val="pbody"/>
    <w:basedOn w:val="765"/>
    <w:uiPriority w:val="0"/>
    <w:qFormat/>
    <w:pPr>
      <w:jc w:val="left"/>
      <w:spacing w:before="100" w:beforeAutospacing="1" w:after="100" w:afterAutospacing="1" w:line="360" w:lineRule="auto"/>
      <w:widowControl/>
    </w:pPr>
    <w:rPr>
      <w:rFonts w:ascii="宋体" w:cs="宋体"/>
      <w:sz w:val="24"/>
    </w:rPr>
  </w:style>
  <w:style w:type="paragraph" w:styleId="1179"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180" w:customStyle="1">
    <w:name w:val="Normal_9"/>
    <w:uiPriority w:val="0"/>
    <w:qFormat/>
    <w:rPr>
      <w:rFonts w:ascii="黑体" w:hAnsi="黑体" w:eastAsia="黑体" w:cs="Times New Roman"/>
      <w:b/>
      <w:sz w:val="32"/>
      <w:szCs w:val="24"/>
      <w:lang w:val="en-US" w:eastAsia="zh-CN" w:bidi="ar-SA"/>
    </w:rPr>
  </w:style>
  <w:style w:type="paragraph" w:styleId="1181" w:customStyle="1">
    <w:name w:val="表格正文"/>
    <w:basedOn w:val="765"/>
    <w:uiPriority w:val="0"/>
    <w:qFormat/>
    <w:pPr>
      <w:spacing w:line="300" w:lineRule="auto"/>
      <w:tabs>
        <w:tab w:val="left" w:pos="420" w:leader="none"/>
      </w:tabs>
    </w:pPr>
  </w:style>
  <w:style w:type="paragraph" w:styleId="1182" w:customStyle="1">
    <w:name w:val="目录 1_0"/>
    <w:basedOn w:val="1069"/>
    <w:next w:val="1069"/>
    <w:uiPriority w:val="0"/>
    <w:qFormat/>
    <w:pPr>
      <w:jc w:val="left"/>
    </w:pPr>
    <w:rPr>
      <w:rFonts w:hint="eastAsia" w:ascii="宋体" w:hAnsi="宋体"/>
      <w:b/>
      <w:sz w:val="24"/>
    </w:rPr>
  </w:style>
  <w:style w:type="paragraph" w:styleId="1183" w:customStyle="1">
    <w:name w:val="正文_1_1"/>
    <w:uiPriority w:val="0"/>
    <w:qFormat/>
    <w:pPr>
      <w:jc w:val="both"/>
      <w:widowControl w:val="off"/>
    </w:pPr>
    <w:rPr>
      <w:rFonts w:ascii="Times New Roman" w:hAnsi="Times New Roman" w:eastAsia="宋体" w:cs="Times New Roman"/>
      <w:sz w:val="21"/>
      <w:szCs w:val="22"/>
      <w:lang w:val="en-US" w:eastAsia="zh-CN" w:bidi="ar-SA"/>
    </w:rPr>
  </w:style>
  <w:style w:type="paragraph" w:styleId="1184"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185" w:customStyle="1">
    <w:name w:val="Char Char Char Char Char Char Char"/>
    <w:basedOn w:val="765"/>
    <w:uiPriority w:val="0"/>
    <w:qFormat/>
    <w:pPr>
      <w:jc w:val="left"/>
      <w:spacing w:after="160" w:line="240" w:lineRule="exact"/>
      <w:widowControl/>
    </w:pPr>
    <w:rPr>
      <w:rFonts w:ascii="Verdana" w:hAnsi="Verdana"/>
      <w:sz w:val="20"/>
      <w:szCs w:val="20"/>
      <w:lang w:eastAsia="en-US"/>
    </w:rPr>
  </w:style>
  <w:style w:type="paragraph" w:styleId="1186"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187" w:customStyle="1">
    <w:name w:val="标书2"/>
    <w:next w:val="1188"/>
    <w:uiPriority w:val="0"/>
    <w:qFormat/>
    <w:rPr>
      <w:rFonts w:ascii="Times New Roman" w:hAnsi="Times New Roman" w:eastAsia="黑体" w:cs="宋体"/>
      <w:b/>
      <w:sz w:val="44"/>
      <w:lang w:val="en-US" w:eastAsia="zh-CN" w:bidi="ar-SA"/>
    </w:rPr>
  </w:style>
  <w:style w:type="paragraph" w:styleId="1188"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paragraph" w:styleId="1189" w:customStyle="1">
    <w:name w:val="xl38"/>
    <w:basedOn w:val="76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90" w:customStyle="1">
    <w:name w:val="p0"/>
    <w:basedOn w:val="765"/>
    <w:uiPriority w:val="0"/>
    <w:qFormat/>
    <w:pPr>
      <w:widowControl/>
    </w:pPr>
    <w:rPr>
      <w:szCs w:val="21"/>
    </w:rPr>
  </w:style>
  <w:style w:type="paragraph" w:styleId="1191" w:customStyle="1">
    <w:name w:val="ibm-list-next"/>
    <w:basedOn w:val="765"/>
    <w:uiPriority w:val="0"/>
    <w:qFormat/>
    <w:pPr>
      <w:jc w:val="left"/>
      <w:spacing w:before="100" w:beforeAutospacing="1" w:after="100" w:afterAutospacing="1"/>
      <w:widowControl/>
    </w:pPr>
    <w:rPr>
      <w:rFonts w:ascii="宋体" w:cs="宋体"/>
      <w:sz w:val="24"/>
    </w:rPr>
  </w:style>
  <w:style w:type="paragraph" w:styleId="1192" w:customStyle="1">
    <w:name w:val="WPSOffice手动目录 2"/>
    <w:uiPriority w:val="0"/>
    <w:qFormat/>
    <w:rPr>
      <w:rFonts w:ascii="Times New Roman" w:hAnsi="Times New Roman" w:eastAsia="宋体" w:cs="Times New Roman"/>
      <w:lang w:val="en-US" w:eastAsia="zh-CN" w:bidi="ar-SA"/>
    </w:rPr>
  </w:style>
  <w:style w:type="paragraph" w:styleId="1193" w:customStyle="1">
    <w:name w:val="正文文字缩进 3"/>
    <w:basedOn w:val="765"/>
    <w:uiPriority w:val="0"/>
    <w:qFormat/>
    <w:pPr>
      <w:ind w:left="420" w:firstLine="420"/>
      <w:spacing w:line="312" w:lineRule="auto"/>
    </w:pPr>
    <w:rPr>
      <w:rFonts w:ascii="黑体" w:hAnsi="黑体" w:cs="宋体"/>
      <w:bCs/>
      <w:color w:val="000000"/>
      <w:sz w:val="24"/>
    </w:rPr>
  </w:style>
  <w:style w:type="paragraph" w:styleId="1194" w:customStyle="1">
    <w:name w:val="pa-9"/>
    <w:basedOn w:val="765"/>
    <w:uiPriority w:val="0"/>
    <w:qFormat/>
    <w:pPr>
      <w:jc w:val="center"/>
      <w:spacing w:line="360" w:lineRule="atLeast"/>
      <w:widowControl/>
    </w:pPr>
    <w:rPr>
      <w:rFonts w:ascii="宋体" w:cs="宋体"/>
      <w:sz w:val="24"/>
    </w:rPr>
  </w:style>
  <w:style w:type="paragraph" w:styleId="1195" w:customStyle="1">
    <w:name w:val="表格文字"/>
    <w:basedOn w:val="765"/>
    <w:uiPriority w:val="0"/>
    <w:qFormat/>
    <w:pPr>
      <w:jc w:val="left"/>
    </w:pPr>
    <w:rPr>
      <w:sz w:val="18"/>
    </w:rPr>
  </w:style>
  <w:style w:type="paragraph" w:styleId="1196" w:customStyle="1">
    <w:name w:val="Figure and Table Title"/>
    <w:basedOn w:val="765"/>
    <w:uiPriority w:val="0"/>
    <w:qFormat/>
    <w:pPr>
      <w:ind w:left="2160"/>
      <w:jc w:val="left"/>
      <w:widowControl/>
    </w:pPr>
    <w:rPr>
      <w:rFonts w:ascii="Helvetica-Light" w:hAnsi="Helvetica-Light"/>
      <w:b/>
      <w:bCs/>
      <w:sz w:val="20"/>
      <w:lang w:eastAsia="en-US"/>
    </w:rPr>
  </w:style>
  <w:style w:type="paragraph" w:styleId="1197"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198" w:customStyle="1">
    <w:name w:val="正文_1_1_0"/>
    <w:uiPriority w:val="0"/>
    <w:qFormat/>
    <w:pPr>
      <w:jc w:val="both"/>
      <w:widowControl w:val="off"/>
    </w:pPr>
    <w:rPr>
      <w:rFonts w:ascii="Times New Roman" w:hAnsi="Times New Roman" w:eastAsia="宋体" w:cs="Times New Roman"/>
      <w:sz w:val="21"/>
      <w:szCs w:val="22"/>
      <w:lang w:val="en-US" w:eastAsia="zh-CN" w:bidi="ar-SA"/>
    </w:rPr>
  </w:style>
  <w:style w:type="paragraph" w:styleId="1199" w:customStyle="1">
    <w:name w:val="首页小标题"/>
    <w:next w:val="1200"/>
    <w:uiPriority w:val="0"/>
    <w:qFormat/>
    <w:pPr>
      <w:jc w:val="center"/>
    </w:pPr>
    <w:rPr>
      <w:rFonts w:ascii="Times New Roman" w:hAnsi="Times New Roman" w:eastAsia="宋体" w:cs="宋体"/>
      <w:sz w:val="44"/>
      <w:lang w:val="en-US" w:eastAsia="zh-CN" w:bidi="ar-SA"/>
    </w:rPr>
  </w:style>
  <w:style w:type="paragraph" w:styleId="1200" w:customStyle="1">
    <w:name w:val="首页空格"/>
    <w:uiPriority w:val="0"/>
    <w:qFormat/>
    <w:pPr>
      <w:jc w:val="center"/>
    </w:pPr>
    <w:rPr>
      <w:rFonts w:ascii="Times New Roman" w:hAnsi="Times New Roman" w:eastAsia="宋体" w:cs="宋体"/>
      <w:sz w:val="72"/>
      <w:lang w:val="en-US" w:eastAsia="zh-CN" w:bidi="ar-SA"/>
    </w:rPr>
  </w:style>
  <w:style w:type="paragraph" w:styleId="1201" w:customStyle="1">
    <w:name w:val="纯文本1"/>
    <w:basedOn w:val="765"/>
    <w:uiPriority w:val="0"/>
    <w:qFormat/>
    <w:rPr>
      <w:rFonts w:ascii="宋体" w:hAnsi="Courier New" w:eastAsia="楷体_GB2312"/>
      <w:sz w:val="26"/>
      <w:szCs w:val="20"/>
    </w:rPr>
  </w:style>
  <w:style w:type="paragraph" w:styleId="1202" w:customStyle="1">
    <w:name w:val="xl41"/>
    <w:basedOn w:val="765"/>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03" w:customStyle="1">
    <w:name w:val="表头"/>
    <w:basedOn w:val="1204"/>
    <w:uiPriority w:val="0"/>
    <w:qFormat/>
    <w:pPr>
      <w:ind w:left="0" w:firstLine="0"/>
      <w:spacing w:line="240" w:lineRule="auto"/>
    </w:pPr>
    <w:rPr>
      <w:sz w:val="20"/>
    </w:rPr>
  </w:style>
  <w:style w:type="paragraph" w:styleId="1204" w:customStyle="1">
    <w:name w:val="正文1"/>
    <w:basedOn w:val="765"/>
    <w:uiPriority w:val="0"/>
    <w:qFormat/>
    <w:pPr>
      <w:ind w:left="357" w:firstLine="420"/>
      <w:jc w:val="left"/>
      <w:spacing w:line="360" w:lineRule="auto"/>
      <w:widowControl/>
    </w:pPr>
    <w:rPr>
      <w:rFonts w:cs="Arial"/>
      <w:szCs w:val="20"/>
    </w:rPr>
  </w:style>
  <w:style w:type="paragraph" w:styleId="1205" w:customStyle="1">
    <w:name w:val="正文_0_0_1"/>
    <w:uiPriority w:val="0"/>
    <w:qFormat/>
    <w:pPr>
      <w:jc w:val="both"/>
      <w:widowControl w:val="off"/>
    </w:pPr>
    <w:rPr>
      <w:rFonts w:ascii="Times New Roman" w:hAnsi="Times New Roman" w:eastAsia="宋体" w:cs="Times New Roman"/>
      <w:sz w:val="21"/>
      <w:szCs w:val="24"/>
      <w:lang w:val="en-US" w:eastAsia="zh-CN" w:bidi="ar-SA"/>
    </w:rPr>
  </w:style>
  <w:style w:type="paragraph" w:styleId="1206" w:customStyle="1">
    <w:name w:val="表格序号"/>
    <w:uiPriority w:val="0"/>
    <w:qFormat/>
    <w:rPr>
      <w:rFonts w:ascii="Times New Roman" w:hAnsi="Times New Roman" w:eastAsia="仿宋_GB2312" w:cs="宋体"/>
      <w:sz w:val="21"/>
      <w:lang w:val="en-US" w:eastAsia="zh-CN" w:bidi="ar-SA"/>
    </w:rPr>
  </w:style>
  <w:style w:type="paragraph" w:styleId="1207" w:customStyle="1">
    <w:name w:val="正文_16"/>
    <w:uiPriority w:val="0"/>
    <w:qFormat/>
    <w:pPr>
      <w:jc w:val="both"/>
      <w:widowControl w:val="off"/>
    </w:pPr>
    <w:rPr>
      <w:rFonts w:ascii="Times New Roman" w:hAnsi="Times New Roman" w:eastAsia="宋体" w:cs="Times New Roman"/>
      <w:sz w:val="21"/>
      <w:szCs w:val="22"/>
      <w:lang w:val="en-US" w:eastAsia="zh-CN" w:bidi="ar-SA"/>
    </w:rPr>
  </w:style>
  <w:style w:type="paragraph" w:styleId="1208" w:customStyle="1">
    <w:name w:val="Normal_15"/>
    <w:uiPriority w:val="0"/>
    <w:qFormat/>
    <w:rPr>
      <w:rFonts w:ascii="黑体" w:hAnsi="黑体" w:eastAsia="黑体" w:cs="Times New Roman"/>
      <w:b/>
      <w:sz w:val="32"/>
      <w:szCs w:val="24"/>
      <w:lang w:val="en-US" w:eastAsia="zh-CN" w:bidi="ar-SA"/>
    </w:rPr>
  </w:style>
  <w:style w:type="paragraph" w:styleId="1209">
    <w:name w:val="List Paragraph"/>
    <w:basedOn w:val="765"/>
    <w:link w:val="1423"/>
    <w:uiPriority w:val="34"/>
    <w:qFormat/>
    <w:pPr>
      <w:ind w:firstLine="200"/>
    </w:pPr>
    <w:rPr>
      <w:rFonts w:ascii="Calibri" w:hAnsi="Calibri"/>
    </w:rPr>
  </w:style>
  <w:style w:type="paragraph" w:styleId="1210" w:customStyle="1">
    <w:name w:val="正文_10_1_0"/>
    <w:uiPriority w:val="0"/>
    <w:qFormat/>
    <w:pPr>
      <w:jc w:val="both"/>
      <w:widowControl w:val="off"/>
    </w:pPr>
    <w:rPr>
      <w:rFonts w:ascii="Times New Roman" w:hAnsi="Times New Roman" w:eastAsia="宋体" w:cs="Times New Roman"/>
      <w:sz w:val="21"/>
      <w:szCs w:val="24"/>
      <w:lang w:val="en-US" w:eastAsia="zh-CN" w:bidi="ar-SA"/>
    </w:rPr>
  </w:style>
  <w:style w:type="paragraph" w:styleId="1211" w:customStyle="1">
    <w:name w:val="正文（首行缩进）"/>
    <w:basedOn w:val="765"/>
    <w:uiPriority w:val="0"/>
    <w:qFormat/>
    <w:pPr>
      <w:ind w:firstLine="482"/>
      <w:spacing w:before="120" w:line="360" w:lineRule="auto"/>
      <w:widowControl/>
    </w:pPr>
    <w:rPr>
      <w:rFonts w:ascii="Calibri" w:hAnsi="Calibri"/>
      <w:sz w:val="24"/>
      <w:szCs w:val="20"/>
    </w:rPr>
  </w:style>
  <w:style w:type="paragraph" w:styleId="1212" w:customStyle="1">
    <w:name w:val="Normal_19"/>
    <w:uiPriority w:val="0"/>
    <w:qFormat/>
    <w:pPr>
      <w:jc w:val="both"/>
      <w:widowControl w:val="off"/>
    </w:pPr>
    <w:rPr>
      <w:rFonts w:ascii="Times New Roman" w:hAnsi="Times New Roman" w:eastAsia="宋体" w:cs="Times New Roman"/>
      <w:sz w:val="21"/>
      <w:szCs w:val="22"/>
      <w:lang w:val="en-US" w:eastAsia="zh-CN" w:bidi="ar-SA"/>
    </w:rPr>
  </w:style>
  <w:style w:type="paragraph" w:styleId="1213" w:customStyle="1">
    <w:name w:val="技术方案3"/>
    <w:basedOn w:val="765"/>
    <w:uiPriority w:val="0"/>
    <w:qFormat/>
    <w:pPr>
      <w:spacing w:line="360" w:lineRule="auto"/>
    </w:pPr>
    <w:rPr>
      <w:rFonts w:ascii="宋体"/>
      <w:b/>
      <w:bCs/>
      <w:sz w:val="32"/>
    </w:rPr>
  </w:style>
  <w:style w:type="paragraph" w:styleId="1214" w:customStyle="1">
    <w:name w:val="默认段落字体 Para Char Char Char Char Char"/>
    <w:basedOn w:val="765"/>
    <w:uiPriority w:val="0"/>
    <w:qFormat/>
    <w:pPr>
      <w:ind w:firstLine="200"/>
      <w:jc w:val="left"/>
      <w:spacing w:before="100" w:beforeAutospacing="1" w:after="100" w:afterAutospacing="1" w:line="360" w:lineRule="auto"/>
    </w:pPr>
    <w:rPr>
      <w:rFonts w:ascii="Arial" w:hAnsi="Arial"/>
      <w:sz w:val="24"/>
      <w:lang w:eastAsia="en-US"/>
    </w:rPr>
  </w:style>
  <w:style w:type="paragraph" w:styleId="1215" w:customStyle="1">
    <w:name w:val="正文_17"/>
    <w:uiPriority w:val="0"/>
    <w:qFormat/>
    <w:pPr>
      <w:jc w:val="both"/>
      <w:widowControl w:val="off"/>
    </w:pPr>
    <w:rPr>
      <w:rFonts w:ascii="Times New Roman" w:hAnsi="Times New Roman" w:eastAsia="宋体" w:cs="Times New Roman"/>
      <w:sz w:val="21"/>
      <w:szCs w:val="22"/>
      <w:lang w:val="en-US" w:eastAsia="zh-CN" w:bidi="ar-SA"/>
    </w:rPr>
  </w:style>
  <w:style w:type="paragraph" w:styleId="1216" w:customStyle="1">
    <w:name w:val="pa-10"/>
    <w:basedOn w:val="765"/>
    <w:uiPriority w:val="0"/>
    <w:qFormat/>
    <w:pPr>
      <w:spacing w:line="240" w:lineRule="atLeast"/>
      <w:widowControl/>
    </w:pPr>
    <w:rPr>
      <w:rFonts w:ascii="宋体" w:cs="宋体"/>
      <w:sz w:val="24"/>
    </w:rPr>
  </w:style>
  <w:style w:type="paragraph" w:styleId="1217" w:customStyle="1">
    <w:name w:val="pa-5"/>
    <w:basedOn w:val="765"/>
    <w:uiPriority w:val="0"/>
    <w:qFormat/>
    <w:pPr>
      <w:spacing w:line="280" w:lineRule="atLeast"/>
      <w:widowControl/>
    </w:pPr>
    <w:rPr>
      <w:rFonts w:ascii="宋体" w:cs="宋体"/>
      <w:sz w:val="24"/>
    </w:rPr>
  </w:style>
  <w:style w:type="paragraph" w:styleId="1218"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219" w:customStyle="1">
    <w:name w:val="新段落缩进"/>
    <w:basedOn w:val="765"/>
    <w:uiPriority w:val="0"/>
    <w:qFormat/>
    <w:pPr>
      <w:ind w:firstLine="200"/>
      <w:spacing w:line="400" w:lineRule="exact"/>
    </w:pPr>
    <w:rPr>
      <w:rFonts w:ascii="仿宋_GB2312" w:eastAsia="仿宋_GB2312"/>
      <w:sz w:val="24"/>
    </w:rPr>
  </w:style>
  <w:style w:type="paragraph" w:styleId="1220"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221" w:customStyle="1">
    <w:name w:val="pa-2"/>
    <w:basedOn w:val="765"/>
    <w:uiPriority w:val="0"/>
    <w:qFormat/>
    <w:pPr>
      <w:spacing w:line="360" w:lineRule="atLeast"/>
      <w:widowControl/>
    </w:pPr>
    <w:rPr>
      <w:rFonts w:ascii="宋体" w:cs="宋体"/>
      <w:sz w:val="24"/>
    </w:rPr>
  </w:style>
  <w:style w:type="paragraph" w:styleId="1222" w:customStyle="1">
    <w:name w:val="列出段落1"/>
    <w:basedOn w:val="765"/>
    <w:uiPriority w:val="99"/>
    <w:qFormat/>
    <w:pPr>
      <w:ind w:firstLine="200"/>
    </w:pPr>
    <w:rPr>
      <w:rFonts w:ascii="Calibri" w:hAnsi="Calibri"/>
    </w:rPr>
  </w:style>
  <w:style w:type="paragraph" w:styleId="1223" w:customStyle="1">
    <w:name w:val="说明书2级标题"/>
    <w:basedOn w:val="765"/>
    <w:next w:val="1224"/>
    <w:uiPriority w:val="0"/>
    <w:qFormat/>
    <w:pPr>
      <w:numPr>
        <w:ilvl w:val="2"/>
        <w:numId w:val="1"/>
      </w:numPr>
      <w:spacing w:before="100"/>
    </w:pPr>
    <w:rPr>
      <w:rFonts w:ascii="Calibri" w:hAnsi="Calibri" w:eastAsia="黑体"/>
      <w:sz w:val="28"/>
      <w:szCs w:val="28"/>
    </w:rPr>
  </w:style>
  <w:style w:type="paragraph" w:styleId="1224" w:customStyle="1">
    <w:name w:val="说明书3级标题"/>
    <w:basedOn w:val="765"/>
    <w:next w:val="765"/>
    <w:uiPriority w:val="0"/>
    <w:qFormat/>
    <w:pPr>
      <w:numPr>
        <w:ilvl w:val="2"/>
        <w:numId w:val="2"/>
      </w:numPr>
      <w:spacing w:line="360" w:lineRule="auto"/>
    </w:pPr>
    <w:rPr>
      <w:rFonts w:ascii="Calibri" w:hAnsi="Calibri" w:eastAsia="黑体"/>
      <w:sz w:val="24"/>
    </w:rPr>
  </w:style>
  <w:style w:type="paragraph" w:styleId="1225" w:customStyle="1">
    <w:name w:val="Char Char1 Char Char Char Char Char Char Char Char"/>
    <w:basedOn w:val="765"/>
    <w:uiPriority w:val="0"/>
    <w:qFormat/>
    <w:pPr>
      <w:jc w:val="left"/>
      <w:spacing w:after="160" w:line="240" w:lineRule="exact"/>
      <w:widowControl/>
    </w:pPr>
  </w:style>
  <w:style w:type="paragraph" w:styleId="1226" w:customStyle="1">
    <w:name w:val="Normal_11_0"/>
    <w:uiPriority w:val="0"/>
    <w:qFormat/>
    <w:rPr>
      <w:rFonts w:ascii="黑体" w:hAnsi="黑体" w:eastAsia="黑体" w:cs="Times New Roman"/>
      <w:b/>
      <w:sz w:val="32"/>
      <w:szCs w:val="24"/>
      <w:lang w:val="en-US" w:eastAsia="zh-CN" w:bidi="ar-SA"/>
    </w:rPr>
  </w:style>
  <w:style w:type="paragraph" w:styleId="1227" w:customStyle="1">
    <w:name w:val="首页标题小初"/>
    <w:uiPriority w:val="0"/>
    <w:qFormat/>
    <w:pPr>
      <w:jc w:val="center"/>
    </w:pPr>
    <w:rPr>
      <w:rFonts w:ascii="黑体" w:hAnsi="Times New Roman" w:eastAsia="黑体" w:cs="宋体"/>
      <w:sz w:val="72"/>
      <w:lang w:val="en-US" w:eastAsia="zh-CN" w:bidi="ar-SA"/>
    </w:rPr>
  </w:style>
  <w:style w:type="paragraph" w:styleId="1228" w:customStyle="1">
    <w:name w:val="xl32"/>
    <w:basedOn w:val="7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29" w:customStyle="1">
    <w:name w:val="正文_6_0_0_0"/>
    <w:uiPriority w:val="0"/>
    <w:qFormat/>
    <w:pPr>
      <w:jc w:val="both"/>
      <w:widowControl w:val="off"/>
    </w:pPr>
    <w:rPr>
      <w:rFonts w:ascii="Times New Roman" w:hAnsi="Times New Roman" w:eastAsia="宋体" w:cs="Times New Roman"/>
      <w:sz w:val="21"/>
      <w:szCs w:val="22"/>
      <w:lang w:val="en-US" w:eastAsia="zh-CN" w:bidi="ar-SA"/>
    </w:rPr>
  </w:style>
  <w:style w:type="paragraph" w:styleId="1230" w:customStyle="1">
    <w:name w:val="附图标题"/>
    <w:basedOn w:val="995"/>
    <w:next w:val="994"/>
    <w:uiPriority w:val="0"/>
    <w:qFormat/>
    <w:pPr>
      <w:ind w:left="780" w:hanging="480"/>
      <w:jc w:val="center"/>
      <w:spacing w:after="100"/>
      <w:tabs>
        <w:tab w:val="left" w:pos="780" w:leader="none"/>
      </w:tabs>
    </w:pPr>
    <w:rPr>
      <w:b/>
      <w:sz w:val="21"/>
    </w:rPr>
  </w:style>
  <w:style w:type="paragraph" w:styleId="1231" w:customStyle="1">
    <w:name w:val="Normal_7"/>
    <w:uiPriority w:val="0"/>
    <w:qFormat/>
    <w:rPr>
      <w:rFonts w:ascii="黑体" w:hAnsi="黑体" w:eastAsia="黑体" w:cs="Times New Roman"/>
      <w:b/>
      <w:sz w:val="32"/>
      <w:szCs w:val="24"/>
      <w:lang w:val="en-US" w:eastAsia="zh-CN" w:bidi="ar-SA"/>
    </w:rPr>
  </w:style>
  <w:style w:type="paragraph" w:styleId="1232" w:customStyle="1">
    <w:name w:val="正文_10_2"/>
    <w:uiPriority w:val="0"/>
    <w:qFormat/>
    <w:pPr>
      <w:jc w:val="both"/>
      <w:widowControl w:val="off"/>
    </w:pPr>
    <w:rPr>
      <w:rFonts w:ascii="Times New Roman" w:hAnsi="Times New Roman" w:eastAsia="宋体" w:cs="Times New Roman"/>
      <w:sz w:val="21"/>
      <w:szCs w:val="24"/>
      <w:lang w:val="en-US" w:eastAsia="zh-CN" w:bidi="ar-SA"/>
    </w:rPr>
  </w:style>
  <w:style w:type="paragraph" w:styleId="1233" w:customStyle="1">
    <w:name w:val="五级条标题"/>
    <w:basedOn w:val="1234"/>
    <w:next w:val="1169"/>
    <w:uiPriority w:val="0"/>
    <w:qFormat/>
    <w:pPr>
      <w:outlineLvl w:val="6"/>
    </w:pPr>
  </w:style>
  <w:style w:type="paragraph" w:styleId="1234" w:customStyle="1">
    <w:name w:val="四级条标题"/>
    <w:basedOn w:val="1166"/>
    <w:next w:val="1169"/>
    <w:uiPriority w:val="0"/>
    <w:qFormat/>
    <w:pPr>
      <w:ind w:left="0"/>
      <w:outlineLvl w:val="5"/>
    </w:pPr>
  </w:style>
  <w:style w:type="paragraph" w:styleId="1235"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36" w:customStyle="1">
    <w:name w:val="正文_0_1_0"/>
    <w:uiPriority w:val="0"/>
    <w:qFormat/>
    <w:pPr>
      <w:jc w:val="both"/>
      <w:widowControl w:val="off"/>
    </w:pPr>
    <w:rPr>
      <w:rFonts w:ascii="Times New Roman" w:hAnsi="Times New Roman" w:eastAsia="宋体" w:cs="Times New Roman"/>
      <w:sz w:val="21"/>
      <w:szCs w:val="24"/>
      <w:lang w:val="en-US" w:eastAsia="zh-CN" w:bidi="ar-SA"/>
    </w:rPr>
  </w:style>
  <w:style w:type="paragraph" w:styleId="1237" w:customStyle="1">
    <w:name w:val="标准小四"/>
    <w:basedOn w:val="765"/>
    <w:uiPriority w:val="0"/>
    <w:qFormat/>
    <w:pPr>
      <w:ind w:firstLine="200"/>
      <w:spacing w:line="360" w:lineRule="auto"/>
    </w:pPr>
    <w:rPr>
      <w:rFonts w:ascii="Arial" w:hAnsi="Arial"/>
      <w:sz w:val="24"/>
      <w:szCs w:val="21"/>
    </w:rPr>
  </w:style>
  <w:style w:type="paragraph" w:styleId="1238" w:customStyle="1">
    <w:name w:val="图表目录1"/>
    <w:uiPriority w:val="0"/>
    <w:qFormat/>
    <w:pPr>
      <w:ind w:left="840" w:hanging="420"/>
    </w:pPr>
    <w:rPr>
      <w:rFonts w:ascii="Times New Roman" w:hAnsi="Times New Roman" w:eastAsia="宋体" w:cs="宋体"/>
      <w:sz w:val="21"/>
      <w:lang w:val="en-US" w:eastAsia="zh-CN" w:bidi="ar-SA"/>
    </w:rPr>
  </w:style>
  <w:style w:type="paragraph" w:styleId="1239" w:customStyle="1">
    <w:name w:val="Normal_18_0"/>
    <w:uiPriority w:val="0"/>
    <w:qFormat/>
    <w:rPr>
      <w:rFonts w:ascii="黑体" w:hAnsi="黑体" w:eastAsia="黑体" w:cs="Times New Roman"/>
      <w:b/>
      <w:sz w:val="32"/>
      <w:szCs w:val="24"/>
      <w:lang w:val="en-US" w:eastAsia="zh-CN" w:bidi="ar-SA"/>
    </w:rPr>
  </w:style>
  <w:style w:type="paragraph" w:styleId="1240" w:customStyle="1">
    <w:name w:val="a0"/>
    <w:basedOn w:val="765"/>
    <w:uiPriority w:val="0"/>
    <w:qFormat/>
    <w:pPr>
      <w:jc w:val="left"/>
      <w:spacing w:before="100" w:beforeAutospacing="1" w:after="100" w:afterAutospacing="1"/>
      <w:widowControl/>
    </w:pPr>
    <w:rPr>
      <w:rFonts w:ascii="宋体"/>
      <w:sz w:val="24"/>
    </w:rPr>
  </w:style>
  <w:style w:type="paragraph" w:styleId="1241" w:customStyle="1">
    <w:name w:val="正文（黑体）"/>
    <w:basedOn w:val="765"/>
    <w:next w:val="765"/>
    <w:uiPriority w:val="0"/>
    <w:qFormat/>
    <w:pPr>
      <w:ind w:firstLine="200"/>
      <w:spacing w:before="50" w:after="50" w:line="360" w:lineRule="auto"/>
    </w:pPr>
    <w:rPr>
      <w:rFonts w:ascii="黑体" w:eastAsia="黑体"/>
      <w:color w:val="000080"/>
      <w:sz w:val="24"/>
    </w:rPr>
  </w:style>
  <w:style w:type="paragraph" w:styleId="1242" w:customStyle="1">
    <w:name w:val="正文_14_0"/>
    <w:uiPriority w:val="0"/>
    <w:qFormat/>
    <w:pPr>
      <w:jc w:val="both"/>
      <w:widowControl w:val="off"/>
    </w:pPr>
    <w:rPr>
      <w:rFonts w:ascii="Times New Roman" w:hAnsi="Times New Roman" w:eastAsia="宋体" w:cs="Times New Roman"/>
      <w:sz w:val="21"/>
      <w:szCs w:val="22"/>
      <w:lang w:val="en-US" w:eastAsia="zh-CN" w:bidi="ar-SA"/>
    </w:rPr>
  </w:style>
  <w:style w:type="paragraph" w:styleId="1243" w:customStyle="1">
    <w:name w:val="加点正文缩进"/>
    <w:basedOn w:val="765"/>
    <w:uiPriority w:val="0"/>
    <w:qFormat/>
    <w:pPr>
      <w:ind w:left="962" w:hanging="480"/>
      <w:spacing w:line="300" w:lineRule="auto"/>
      <w:tabs>
        <w:tab w:val="left" w:pos="840" w:leader="none"/>
      </w:tabs>
    </w:pPr>
    <w:rPr>
      <w:sz w:val="24"/>
    </w:rPr>
  </w:style>
  <w:style w:type="paragraph" w:styleId="1244"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1245" w:customStyle="1">
    <w:name w:val="Normal_1_1"/>
    <w:uiPriority w:val="0"/>
    <w:qFormat/>
    <w:rPr>
      <w:rFonts w:ascii="黑体" w:hAnsi="黑体" w:eastAsia="黑体" w:cs="Times New Roman"/>
      <w:b/>
      <w:sz w:val="32"/>
      <w:szCs w:val="24"/>
      <w:lang w:val="en-US" w:eastAsia="zh-CN" w:bidi="ar-SA"/>
    </w:rPr>
  </w:style>
  <w:style w:type="paragraph" w:styleId="1246" w:customStyle="1">
    <w:name w:val="技术方案正文样式"/>
    <w:basedOn w:val="765"/>
    <w:uiPriority w:val="0"/>
    <w:qFormat/>
    <w:pPr>
      <w:ind w:firstLine="200"/>
      <w:spacing w:line="400" w:lineRule="exact"/>
    </w:pPr>
    <w:rPr>
      <w:rFonts w:ascii="宋体" w:cs="宋体"/>
      <w:sz w:val="24"/>
      <w:szCs w:val="21"/>
    </w:rPr>
  </w:style>
  <w:style w:type="paragraph" w:styleId="1247" w:customStyle="1">
    <w:name w:val="首页标题 一号"/>
    <w:basedOn w:val="1227"/>
    <w:uiPriority w:val="0"/>
    <w:qFormat/>
    <w:rPr>
      <w:sz w:val="52"/>
    </w:rPr>
  </w:style>
  <w:style w:type="paragraph" w:styleId="1248" w:customStyle="1">
    <w:name w:val="样式 正文2 + 首行缩进:  0 厘米 段后: 1.5 行"/>
    <w:basedOn w:val="765"/>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249" w:customStyle="1">
    <w:name w:val="Table Text/Title"/>
    <w:basedOn w:val="765"/>
    <w:uiPriority w:val="0"/>
    <w:qFormat/>
    <w:pPr>
      <w:jc w:val="left"/>
      <w:widowControl/>
    </w:pPr>
    <w:rPr>
      <w:rFonts w:ascii="宋体"/>
      <w:b/>
      <w:bCs/>
      <w:sz w:val="20"/>
      <w:szCs w:val="20"/>
      <w:lang w:eastAsia="en-US"/>
    </w:rPr>
  </w:style>
  <w:style w:type="paragraph" w:styleId="1250" w:customStyle="1">
    <w:name w:val="样式 序号----------- + 仿宋_GB23121"/>
    <w:basedOn w:val="1154"/>
    <w:uiPriority w:val="0"/>
    <w:qFormat/>
    <w:pPr>
      <w:spacing w:line="360" w:lineRule="auto"/>
    </w:pPr>
    <w:rPr>
      <w:rFonts w:ascii="仿宋_GB2312" w:eastAsia="仿宋_GB2312"/>
      <w:bCs w:val="0"/>
    </w:rPr>
  </w:style>
  <w:style w:type="paragraph" w:styleId="1251" w:customStyle="1">
    <w:name w:val="Char Char Char Char1"/>
    <w:basedOn w:val="765"/>
    <w:uiPriority w:val="0"/>
    <w:qFormat/>
    <w:pPr>
      <w:ind w:firstLine="200"/>
      <w:spacing w:line="360" w:lineRule="auto"/>
    </w:pPr>
    <w:rPr>
      <w:sz w:val="24"/>
      <w:szCs w:val="20"/>
    </w:rPr>
  </w:style>
  <w:style w:type="paragraph" w:styleId="1252" w:customStyle="1">
    <w:name w:val="正文_18"/>
    <w:uiPriority w:val="0"/>
    <w:qFormat/>
    <w:pPr>
      <w:jc w:val="both"/>
      <w:widowControl w:val="off"/>
    </w:pPr>
    <w:rPr>
      <w:rFonts w:ascii="Times New Roman" w:hAnsi="Times New Roman" w:eastAsia="宋体" w:cs="Times New Roman"/>
      <w:sz w:val="21"/>
      <w:szCs w:val="22"/>
      <w:lang w:val="en-US" w:eastAsia="zh-CN" w:bidi="ar-SA"/>
    </w:rPr>
  </w:style>
  <w:style w:type="paragraph" w:styleId="1253" w:customStyle="1">
    <w:name w:val="Char1"/>
    <w:basedOn w:val="765"/>
    <w:uiPriority w:val="0"/>
    <w:qFormat/>
    <w:pPr>
      <w:ind w:left="360" w:right="202" w:firstLine="360"/>
      <w:spacing w:line="480" w:lineRule="auto"/>
      <w:tabs>
        <w:tab w:val="left" w:pos="360" w:leader="none"/>
      </w:tabs>
    </w:pPr>
    <w:rPr>
      <w:sz w:val="24"/>
    </w:rPr>
  </w:style>
  <w:style w:type="paragraph" w:styleId="1254"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255" w:customStyle="1">
    <w:name w:val="章标题"/>
    <w:next w:val="1169"/>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256"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paragraph" w:styleId="1257" w:customStyle="1">
    <w:name w:val="Normal_0_1"/>
    <w:uiPriority w:val="0"/>
    <w:qFormat/>
    <w:rPr>
      <w:rFonts w:ascii="黑体" w:hAnsi="黑体" w:eastAsia="黑体" w:cs="Times New Roman"/>
      <w:b/>
      <w:sz w:val="32"/>
      <w:szCs w:val="24"/>
      <w:lang w:val="en-US" w:eastAsia="zh-CN" w:bidi="ar-SA"/>
    </w:rPr>
  </w:style>
  <w:style w:type="paragraph" w:styleId="1258" w:customStyle="1">
    <w:name w:val="列表段落1"/>
    <w:basedOn w:val="765"/>
    <w:uiPriority w:val="34"/>
    <w:qFormat/>
    <w:pPr>
      <w:ind w:firstLine="420"/>
    </w:pPr>
  </w:style>
  <w:style w:type="paragraph" w:styleId="1259" w:customStyle="1">
    <w:name w:val="默认段落字体 Para Char Char Char Char Char Char Char Char Char1 Char Char Char Char Char Char Char Char"/>
    <w:basedOn w:val="999"/>
    <w:uiPriority w:val="0"/>
    <w:qFormat/>
    <w:rPr>
      <w:rFonts w:ascii="Calibri" w:hAnsi="Calibri"/>
    </w:rPr>
  </w:style>
  <w:style w:type="paragraph" w:styleId="1260" w:customStyle="1">
    <w:name w:val="Normal_7_0"/>
    <w:uiPriority w:val="0"/>
    <w:qFormat/>
    <w:rPr>
      <w:rFonts w:ascii="黑体" w:hAnsi="黑体" w:eastAsia="黑体" w:cs="Times New Roman"/>
      <w:b/>
      <w:sz w:val="32"/>
      <w:szCs w:val="24"/>
      <w:lang w:val="en-US" w:eastAsia="zh-CN" w:bidi="ar-SA"/>
    </w:rPr>
  </w:style>
  <w:style w:type="paragraph" w:styleId="1261" w:customStyle="1">
    <w:name w:val="Char Char Char Char Char Char Char Char Char Char Char Char Char"/>
    <w:basedOn w:val="765"/>
    <w:uiPriority w:val="0"/>
    <w:qFormat/>
    <w:pPr>
      <w:jc w:val="left"/>
      <w:spacing w:after="160" w:line="240" w:lineRule="exact"/>
      <w:widowControl/>
    </w:pPr>
    <w:rPr>
      <w:rFonts w:ascii="Verdana" w:hAnsi="Verdana"/>
      <w:sz w:val="20"/>
      <w:szCs w:val="20"/>
      <w:lang w:eastAsia="en-US"/>
    </w:rPr>
  </w:style>
  <w:style w:type="paragraph" w:styleId="1262"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263" w:customStyle="1">
    <w:name w:val="Normal_12_0"/>
    <w:uiPriority w:val="0"/>
    <w:qFormat/>
    <w:rPr>
      <w:rFonts w:ascii="黑体" w:hAnsi="黑体" w:eastAsia="黑体" w:cs="Times New Roman"/>
      <w:b/>
      <w:sz w:val="32"/>
      <w:szCs w:val="24"/>
      <w:lang w:val="en-US" w:eastAsia="zh-CN" w:bidi="ar-SA"/>
    </w:rPr>
  </w:style>
  <w:style w:type="paragraph" w:styleId="1264" w:customStyle="1">
    <w:name w:val="ul"/>
    <w:basedOn w:val="765"/>
    <w:uiPriority w:val="0"/>
    <w:qFormat/>
    <w:pPr>
      <w:numPr>
        <w:ilvl w:val="0"/>
        <w:numId w:val="3"/>
      </w:numPr>
      <w:ind w:left="567" w:hanging="85"/>
      <w:jc w:val="left"/>
      <w:spacing w:line="360" w:lineRule="auto"/>
      <w:widowControl/>
      <w:tabs>
        <w:tab w:val="left" w:pos="842" w:leader="none"/>
      </w:tabs>
    </w:pPr>
    <w:rPr>
      <w:rFonts w:ascii="Calibri" w:hAnsi="Calibri"/>
      <w:sz w:val="24"/>
    </w:rPr>
  </w:style>
  <w:style w:type="paragraph" w:styleId="1265"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66"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paragraph" w:styleId="1267" w:customStyle="1">
    <w:name w:val="Normal_18"/>
    <w:uiPriority w:val="0"/>
    <w:qFormat/>
    <w:rPr>
      <w:rFonts w:ascii="黑体" w:hAnsi="黑体" w:eastAsia="黑体" w:cs="Times New Roman"/>
      <w:b/>
      <w:sz w:val="32"/>
      <w:szCs w:val="24"/>
      <w:lang w:val="en-US" w:eastAsia="zh-CN" w:bidi="ar-SA"/>
    </w:rPr>
  </w:style>
  <w:style w:type="paragraph" w:styleId="1268" w:customStyle="1">
    <w:name w:val="xl34"/>
    <w:basedOn w:val="765"/>
    <w:uiPriority w:val="0"/>
    <w:qFormat/>
    <w:pPr>
      <w:jc w:val="center"/>
      <w:spacing w:before="100" w:beforeAutospacing="1" w:after="100" w:afterAutospacing="1"/>
      <w:widowControl/>
    </w:pPr>
    <w:rPr>
      <w:rFonts w:ascii="Arial Unicode MS" w:hAnsi="Arial Unicode MS" w:eastAsia="Arial Unicode MS"/>
      <w:sz w:val="24"/>
    </w:rPr>
  </w:style>
  <w:style w:type="paragraph" w:styleId="1269" w:customStyle="1">
    <w:name w:val="Normal_0_3"/>
    <w:uiPriority w:val="0"/>
    <w:qFormat/>
    <w:rPr>
      <w:rFonts w:ascii="黑体" w:hAnsi="黑体" w:eastAsia="黑体" w:cs="Times New Roman"/>
      <w:b/>
      <w:sz w:val="32"/>
      <w:szCs w:val="24"/>
      <w:lang w:val="en-US" w:eastAsia="zh-CN" w:bidi="ar-SA"/>
    </w:rPr>
  </w:style>
  <w:style w:type="paragraph" w:styleId="1270"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271" w:customStyle="1">
    <w:name w:val="修订1"/>
    <w:uiPriority w:val="0"/>
    <w:qFormat/>
    <w:rPr>
      <w:rFonts w:ascii="Times New Roman" w:hAnsi="Times New Roman" w:eastAsia="宋体" w:cs="Times New Roman"/>
      <w:sz w:val="21"/>
      <w:szCs w:val="24"/>
      <w:lang w:val="en-US" w:eastAsia="zh-CN" w:bidi="ar-SA"/>
    </w:rPr>
  </w:style>
  <w:style w:type="paragraph" w:styleId="1272" w:customStyle="1">
    <w:name w:val="Char11"/>
    <w:basedOn w:val="765"/>
    <w:uiPriority w:val="0"/>
    <w:qFormat/>
    <w:rPr>
      <w:szCs w:val="21"/>
    </w:rPr>
  </w:style>
  <w:style w:type="paragraph" w:styleId="1273"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274" w:customStyle="1">
    <w:name w:val="Normal_12"/>
    <w:uiPriority w:val="0"/>
    <w:qFormat/>
    <w:rPr>
      <w:rFonts w:ascii="黑体" w:hAnsi="黑体" w:eastAsia="黑体" w:cs="Times New Roman"/>
      <w:b/>
      <w:sz w:val="32"/>
      <w:szCs w:val="24"/>
      <w:lang w:val="en-US" w:eastAsia="zh-CN" w:bidi="ar-SA"/>
    </w:rPr>
  </w:style>
  <w:style w:type="paragraph" w:styleId="1275" w:customStyle="1">
    <w:name w:val="Normal_8_0"/>
    <w:uiPriority w:val="0"/>
    <w:qFormat/>
    <w:rPr>
      <w:rFonts w:ascii="黑体" w:hAnsi="黑体" w:eastAsia="黑体" w:cs="Times New Roman"/>
      <w:b/>
      <w:sz w:val="32"/>
      <w:szCs w:val="24"/>
      <w:lang w:val="en-US" w:eastAsia="zh-CN" w:bidi="ar-SA"/>
    </w:rPr>
  </w:style>
  <w:style w:type="paragraph" w:styleId="1276" w:customStyle="1">
    <w:name w:val="文档正文"/>
    <w:basedOn w:val="765"/>
    <w:uiPriority w:val="0"/>
    <w:qFormat/>
    <w:rPr>
      <w:rFonts w:ascii="宋体"/>
      <w:szCs w:val="20"/>
    </w:rPr>
  </w:style>
  <w:style w:type="paragraph" w:styleId="1277" w:customStyle="1">
    <w:name w:val="技术方案正文"/>
    <w:basedOn w:val="765"/>
    <w:uiPriority w:val="0"/>
    <w:qFormat/>
    <w:pPr>
      <w:ind w:firstLine="480"/>
      <w:spacing w:line="360" w:lineRule="auto"/>
    </w:pPr>
    <w:rPr>
      <w:rFonts w:ascii="宋体"/>
      <w:sz w:val="24"/>
    </w:rPr>
  </w:style>
  <w:style w:type="paragraph" w:styleId="1278" w:customStyle="1">
    <w:name w:val="xl26"/>
    <w:basedOn w:val="7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79" w:customStyle="1">
    <w:name w:val="普通正文"/>
    <w:basedOn w:val="765"/>
    <w:uiPriority w:val="0"/>
    <w:qFormat/>
    <w:pPr>
      <w:ind w:firstLine="425"/>
      <w:jc w:val="left"/>
    </w:pPr>
    <w:rPr>
      <w:rFonts w:ascii="宋体"/>
      <w:sz w:val="20"/>
      <w:szCs w:val="20"/>
    </w:rPr>
  </w:style>
  <w:style w:type="paragraph" w:styleId="1280" w:customStyle="1">
    <w:name w:val="正文_12_0"/>
    <w:uiPriority w:val="0"/>
    <w:qFormat/>
    <w:pPr>
      <w:jc w:val="both"/>
      <w:widowControl w:val="off"/>
    </w:pPr>
    <w:rPr>
      <w:rFonts w:ascii="Times New Roman" w:hAnsi="Times New Roman" w:eastAsia="宋体" w:cs="Times New Roman"/>
      <w:sz w:val="21"/>
      <w:szCs w:val="22"/>
      <w:lang w:val="en-US" w:eastAsia="zh-CN" w:bidi="ar-SA"/>
    </w:rPr>
  </w:style>
  <w:style w:type="paragraph" w:styleId="1281" w:customStyle="1">
    <w:name w:val="Normal_0_2"/>
    <w:uiPriority w:val="0"/>
    <w:qFormat/>
    <w:rPr>
      <w:rFonts w:ascii="黑体" w:hAnsi="黑体" w:eastAsia="黑体" w:cs="Times New Roman"/>
      <w:b/>
      <w:sz w:val="32"/>
      <w:szCs w:val="24"/>
      <w:lang w:val="en-US" w:eastAsia="zh-CN" w:bidi="ar-SA"/>
    </w:rPr>
  </w:style>
  <w:style w:type="paragraph" w:styleId="1282" w:customStyle="1">
    <w:name w:val="xl28"/>
    <w:basedOn w:val="7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83"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84" w:customStyle="1">
    <w:name w:val="样式4"/>
    <w:basedOn w:val="977"/>
    <w:uiPriority w:val="0"/>
    <w:qFormat/>
    <w:pPr>
      <w:spacing w:line="415" w:lineRule="auto"/>
    </w:pPr>
    <w:rPr>
      <w:rFonts w:ascii="Calibri" w:hAnsi="Calibri"/>
      <w:bCs/>
      <w:color w:val="000000"/>
      <w:sz w:val="28"/>
      <w:szCs w:val="28"/>
    </w:rPr>
  </w:style>
  <w:style w:type="paragraph" w:styleId="1285" w:customStyle="1">
    <w:name w:val="pa-4"/>
    <w:basedOn w:val="765"/>
    <w:uiPriority w:val="0"/>
    <w:qFormat/>
    <w:pPr>
      <w:jc w:val="center"/>
      <w:spacing w:line="280" w:lineRule="atLeast"/>
      <w:widowControl/>
    </w:pPr>
    <w:rPr>
      <w:rFonts w:ascii="宋体" w:cs="宋体"/>
      <w:sz w:val="24"/>
    </w:rPr>
  </w:style>
  <w:style w:type="paragraph" w:styleId="1286" w:customStyle="1">
    <w:name w:val="Normal_1"/>
    <w:uiPriority w:val="0"/>
    <w:qFormat/>
    <w:rPr>
      <w:rFonts w:ascii="黑体" w:hAnsi="黑体" w:eastAsia="黑体" w:cs="Times New Roman"/>
      <w:b/>
      <w:sz w:val="32"/>
      <w:szCs w:val="24"/>
      <w:lang w:val="en-US" w:eastAsia="zh-CN" w:bidi="ar-SA"/>
    </w:rPr>
  </w:style>
  <w:style w:type="paragraph" w:styleId="1287" w:customStyle="1">
    <w:name w:val="标书3"/>
    <w:next w:val="1188"/>
    <w:uiPriority w:val="0"/>
    <w:qFormat/>
    <w:pPr>
      <w:jc w:val="center"/>
      <w:widowControl w:val="off"/>
    </w:pPr>
    <w:rPr>
      <w:rFonts w:ascii="Times New Roman" w:hAnsi="Times New Roman" w:eastAsia="黑体" w:cs="Times New Roman"/>
      <w:b/>
      <w:sz w:val="44"/>
      <w:szCs w:val="24"/>
      <w:lang w:val="en-US" w:eastAsia="zh-CN" w:bidi="ar-SA"/>
    </w:rPr>
  </w:style>
  <w:style w:type="paragraph" w:styleId="1288" w:customStyle="1">
    <w:name w:val="Char2"/>
    <w:basedOn w:val="765"/>
    <w:uiPriority w:val="0"/>
    <w:qFormat/>
    <w:pPr>
      <w:tabs>
        <w:tab w:val="left" w:pos="360" w:leader="none"/>
      </w:tabs>
    </w:pPr>
    <w:rPr>
      <w:rFonts w:ascii="仿宋_GB2312" w:eastAsia="仿宋_GB2312"/>
      <w:b/>
      <w:sz w:val="24"/>
    </w:rPr>
  </w:style>
  <w:style w:type="paragraph" w:styleId="1289" w:customStyle="1">
    <w:name w:val="正文_0_2"/>
    <w:uiPriority w:val="0"/>
    <w:qFormat/>
    <w:pPr>
      <w:jc w:val="both"/>
      <w:widowControl w:val="off"/>
    </w:pPr>
    <w:rPr>
      <w:rFonts w:ascii="Times New Roman" w:hAnsi="Times New Roman" w:eastAsia="宋体" w:cs="Times New Roman"/>
      <w:sz w:val="21"/>
      <w:szCs w:val="24"/>
      <w:lang w:val="en-US" w:eastAsia="zh-CN" w:bidi="ar-SA"/>
    </w:rPr>
  </w:style>
  <w:style w:type="paragraph" w:styleId="1290" w:customStyle="1">
    <w:name w:val="正文（首行缩进两字）"/>
    <w:basedOn w:val="765"/>
    <w:uiPriority w:val="0"/>
    <w:qFormat/>
    <w:pPr>
      <w:spacing w:line="312" w:lineRule="auto"/>
    </w:pPr>
    <w:rPr>
      <w:rFonts w:ascii="宋体" w:cs="宋体"/>
      <w:sz w:val="24"/>
    </w:rPr>
  </w:style>
  <w:style w:type="paragraph" w:styleId="1291" w:customStyle="1">
    <w:name w:val="首页标题"/>
    <w:uiPriority w:val="0"/>
    <w:qFormat/>
    <w:pPr>
      <w:jc w:val="center"/>
    </w:pPr>
    <w:rPr>
      <w:rFonts w:ascii="宋体" w:hAnsi="Times New Roman" w:eastAsia="宋体" w:cs="宋体"/>
      <w:sz w:val="72"/>
      <w:szCs w:val="72"/>
      <w:lang w:val="en-US" w:eastAsia="zh-CN" w:bidi="ar-SA"/>
    </w:rPr>
  </w:style>
  <w:style w:type="paragraph" w:styleId="1292"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293" w:customStyle="1">
    <w:name w:val="正文_11_0"/>
    <w:uiPriority w:val="0"/>
    <w:qFormat/>
    <w:pPr>
      <w:jc w:val="both"/>
      <w:widowControl w:val="off"/>
    </w:pPr>
    <w:rPr>
      <w:rFonts w:ascii="Times New Roman" w:hAnsi="Times New Roman" w:eastAsia="宋体" w:cs="Times New Roman"/>
      <w:sz w:val="21"/>
      <w:szCs w:val="22"/>
      <w:lang w:val="en-US" w:eastAsia="zh-CN" w:bidi="ar-SA"/>
    </w:rPr>
  </w:style>
  <w:style w:type="paragraph" w:styleId="1294" w:customStyle="1">
    <w:name w:val="pa-3"/>
    <w:basedOn w:val="765"/>
    <w:uiPriority w:val="0"/>
    <w:qFormat/>
    <w:pPr>
      <w:jc w:val="left"/>
      <w:spacing w:before="150" w:after="150"/>
      <w:widowControl/>
    </w:pPr>
    <w:rPr>
      <w:rFonts w:ascii="宋体" w:cs="宋体"/>
      <w:sz w:val="24"/>
    </w:rPr>
  </w:style>
  <w:style w:type="paragraph" w:styleId="1295" w:customStyle="1">
    <w:name w:val="图号"/>
    <w:basedOn w:val="765"/>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96" w:customStyle="1">
    <w:name w:val="Normal_10_0"/>
    <w:uiPriority w:val="0"/>
    <w:qFormat/>
    <w:rPr>
      <w:rFonts w:ascii="黑体" w:hAnsi="黑体" w:eastAsia="黑体" w:cs="Times New Roman"/>
      <w:b/>
      <w:sz w:val="32"/>
      <w:szCs w:val="24"/>
      <w:lang w:val="en-US" w:eastAsia="zh-CN" w:bidi="ar-SA"/>
    </w:rPr>
  </w:style>
  <w:style w:type="paragraph" w:styleId="1297" w:customStyle="1">
    <w:name w:val="Normal_6"/>
    <w:uiPriority w:val="0"/>
    <w:qFormat/>
    <w:rPr>
      <w:rFonts w:ascii="黑体" w:hAnsi="黑体" w:eastAsia="黑体" w:cs="Times New Roman"/>
      <w:b/>
      <w:sz w:val="32"/>
      <w:szCs w:val="24"/>
      <w:lang w:val="en-US" w:eastAsia="zh-CN" w:bidi="ar-SA"/>
    </w:rPr>
  </w:style>
  <w:style w:type="paragraph" w:styleId="1298" w:customStyle="1">
    <w:name w:val="Char Char Char Char"/>
    <w:basedOn w:val="765"/>
    <w:uiPriority w:val="0"/>
    <w:qFormat/>
    <w:pPr>
      <w:ind w:left="560" w:firstLine="200"/>
      <w:jc w:val="left"/>
      <w:spacing w:after="120" w:line="360" w:lineRule="auto"/>
      <w:widowControl/>
    </w:pPr>
    <w:rPr>
      <w:rFonts w:ascii="Verdana" w:hAnsi="Verdana"/>
      <w:sz w:val="24"/>
    </w:rPr>
  </w:style>
  <w:style w:type="paragraph" w:styleId="1299" w:customStyle="1">
    <w:name w:val="font9"/>
    <w:basedOn w:val="765"/>
    <w:uiPriority w:val="0"/>
    <w:qFormat/>
    <w:pPr>
      <w:jc w:val="left"/>
      <w:spacing w:before="100" w:beforeAutospacing="1" w:after="100" w:afterAutospacing="1"/>
      <w:widowControl/>
    </w:pPr>
    <w:rPr>
      <w:rFonts w:ascii="宋体"/>
      <w:color w:val="000000"/>
      <w:sz w:val="18"/>
      <w:szCs w:val="18"/>
    </w:rPr>
  </w:style>
  <w:style w:type="paragraph" w:styleId="1300" w:customStyle="1">
    <w:name w:val="Body Text First Indent 21"/>
    <w:basedOn w:val="1005"/>
    <w:uiPriority w:val="99"/>
    <w:qFormat/>
    <w:pPr>
      <w:ind w:firstLine="420"/>
    </w:pPr>
  </w:style>
  <w:style w:type="paragraph" w:styleId="1301" w:customStyle="1">
    <w:name w:val="CM17"/>
    <w:basedOn w:val="765"/>
    <w:next w:val="765"/>
    <w:uiPriority w:val="0"/>
    <w:qFormat/>
    <w:pPr>
      <w:jc w:val="left"/>
      <w:spacing w:after="273" w:line="360" w:lineRule="auto"/>
    </w:pPr>
    <w:rPr>
      <w:rFonts w:ascii="宋体"/>
      <w:sz w:val="24"/>
    </w:rPr>
  </w:style>
  <w:style w:type="paragraph" w:styleId="1302" w:customStyle="1">
    <w:name w:val="pa-0"/>
    <w:basedOn w:val="765"/>
    <w:uiPriority w:val="0"/>
    <w:qFormat/>
    <w:pPr>
      <w:ind w:firstLine="480"/>
      <w:spacing w:line="360" w:lineRule="atLeast"/>
      <w:widowControl/>
    </w:pPr>
    <w:rPr>
      <w:rFonts w:ascii="宋体" w:cs="宋体"/>
      <w:sz w:val="24"/>
    </w:rPr>
  </w:style>
  <w:style w:type="paragraph" w:styleId="1303"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304" w:customStyle="1">
    <w:name w:val="D&amp;L"/>
    <w:basedOn w:val="1023"/>
    <w:uiPriority w:val="0"/>
    <w:qFormat/>
    <w:pPr>
      <w:spacing w:line="240" w:lineRule="atLeast"/>
      <w:pBdr>
        <w:bottom w:val="single" w:color="000000" w:sz="18" w:space="1"/>
      </w:pBdr>
    </w:pPr>
    <w:rPr>
      <w:sz w:val="24"/>
      <w:szCs w:val="20"/>
    </w:rPr>
  </w:style>
  <w:style w:type="paragraph" w:styleId="1305" w:customStyle="1">
    <w:name w:val="Normal_16"/>
    <w:uiPriority w:val="0"/>
    <w:qFormat/>
    <w:rPr>
      <w:rFonts w:ascii="黑体" w:hAnsi="黑体" w:eastAsia="黑体" w:cs="Times New Roman"/>
      <w:b/>
      <w:sz w:val="32"/>
      <w:szCs w:val="24"/>
      <w:lang w:val="en-US" w:eastAsia="zh-CN" w:bidi="ar-SA"/>
    </w:rPr>
  </w:style>
  <w:style w:type="paragraph" w:styleId="1306" w:customStyle="1">
    <w:name w:val="正文_6_0_0_0_0"/>
    <w:uiPriority w:val="0"/>
    <w:qFormat/>
    <w:pPr>
      <w:jc w:val="both"/>
      <w:widowControl w:val="off"/>
    </w:pPr>
    <w:rPr>
      <w:rFonts w:ascii="Times New Roman" w:hAnsi="Times New Roman" w:eastAsia="宋体" w:cs="Times New Roman"/>
      <w:sz w:val="21"/>
      <w:szCs w:val="22"/>
      <w:lang w:val="en-US" w:eastAsia="zh-CN" w:bidi="ar-SA"/>
    </w:rPr>
  </w:style>
  <w:style w:type="paragraph" w:styleId="1307" w:customStyle="1">
    <w:name w:val="font5"/>
    <w:basedOn w:val="765"/>
    <w:uiPriority w:val="0"/>
    <w:qFormat/>
    <w:pPr>
      <w:jc w:val="left"/>
      <w:spacing w:before="100" w:beforeAutospacing="1" w:after="100" w:afterAutospacing="1"/>
      <w:widowControl/>
    </w:pPr>
    <w:rPr>
      <w:rFonts w:ascii="宋体"/>
      <w:sz w:val="18"/>
      <w:szCs w:val="18"/>
    </w:rPr>
  </w:style>
  <w:style w:type="paragraph" w:styleId="1308" w:customStyle="1">
    <w:name w:val="正文_6_0"/>
    <w:uiPriority w:val="0"/>
    <w:qFormat/>
    <w:pPr>
      <w:jc w:val="both"/>
      <w:widowControl w:val="off"/>
    </w:pPr>
    <w:rPr>
      <w:rFonts w:ascii="Times New Roman" w:hAnsi="Times New Roman" w:eastAsia="宋体" w:cs="Times New Roman"/>
      <w:sz w:val="21"/>
      <w:szCs w:val="22"/>
      <w:lang w:val="en-US" w:eastAsia="zh-CN" w:bidi="ar-SA"/>
    </w:rPr>
  </w:style>
  <w:style w:type="paragraph" w:styleId="1309" w:customStyle="1">
    <w:name w:val="大汉方案正文 Char"/>
    <w:basedOn w:val="765"/>
    <w:uiPriority w:val="0"/>
    <w:qFormat/>
    <w:pPr>
      <w:ind w:firstLine="200"/>
      <w:spacing w:line="360" w:lineRule="auto"/>
    </w:pPr>
    <w:rPr>
      <w:rFonts w:ascii="Arial" w:hAnsi="Arial"/>
      <w:sz w:val="24"/>
    </w:rPr>
  </w:style>
  <w:style w:type="paragraph" w:styleId="1310" w:customStyle="1">
    <w:name w:val="样式2"/>
    <w:basedOn w:val="977"/>
    <w:uiPriority w:val="0"/>
    <w:qFormat/>
    <w:pPr>
      <w:spacing w:line="415" w:lineRule="auto"/>
    </w:pPr>
    <w:rPr>
      <w:rFonts w:ascii="Calibri" w:hAnsi="Calibri"/>
      <w:bCs/>
      <w:color w:val="000000"/>
      <w:sz w:val="28"/>
      <w:szCs w:val="28"/>
    </w:rPr>
  </w:style>
  <w:style w:type="paragraph" w:styleId="1311" w:customStyle="1">
    <w:name w:val="Normal_2_0"/>
    <w:uiPriority w:val="0"/>
    <w:qFormat/>
    <w:rPr>
      <w:rFonts w:ascii="黑体" w:hAnsi="黑体" w:eastAsia="黑体" w:cs="Times New Roman"/>
      <w:b/>
      <w:sz w:val="32"/>
      <w:szCs w:val="24"/>
      <w:lang w:val="en-US" w:eastAsia="zh-CN" w:bidi="ar-SA"/>
    </w:rPr>
  </w:style>
  <w:style w:type="paragraph" w:styleId="1312" w:customStyle="1">
    <w:name w:val="序号"/>
    <w:next w:val="765"/>
    <w:uiPriority w:val="0"/>
    <w:qFormat/>
    <w:pPr>
      <w:jc w:val="center"/>
    </w:pPr>
    <w:rPr>
      <w:rFonts w:ascii="Times New Roman" w:hAnsi="Times New Roman" w:eastAsia="仿宋_GB2312" w:cs="Times New Roman"/>
      <w:bCs/>
      <w:sz w:val="21"/>
      <w:szCs w:val="44"/>
      <w:lang w:val="en-US" w:eastAsia="zh-CN" w:bidi="ar-SA"/>
    </w:rPr>
  </w:style>
  <w:style w:type="paragraph" w:styleId="1313" w:customStyle="1">
    <w:name w:val="Normal_4"/>
    <w:uiPriority w:val="0"/>
    <w:qFormat/>
    <w:rPr>
      <w:rFonts w:ascii="黑体" w:hAnsi="黑体" w:eastAsia="黑体" w:cs="Times New Roman"/>
      <w:b/>
      <w:sz w:val="32"/>
      <w:szCs w:val="24"/>
      <w:lang w:val="en-US" w:eastAsia="zh-CN" w:bidi="ar-SA"/>
    </w:rPr>
  </w:style>
  <w:style w:type="paragraph" w:styleId="1314" w:customStyle="1">
    <w:name w:val="xl35"/>
    <w:basedOn w:val="7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15" w:customStyle="1">
    <w:name w:val="txt"/>
    <w:basedOn w:val="765"/>
    <w:uiPriority w:val="0"/>
    <w:qFormat/>
    <w:pPr>
      <w:jc w:val="left"/>
      <w:spacing w:before="100" w:beforeAutospacing="1" w:after="100" w:afterAutospacing="1"/>
      <w:widowControl/>
    </w:pPr>
    <w:rPr>
      <w:rFonts w:ascii="宋体" w:cs="宋体"/>
      <w:sz w:val="24"/>
    </w:rPr>
  </w:style>
  <w:style w:type="paragraph" w:styleId="1316" w:customStyle="1">
    <w:name w:val="样式5"/>
    <w:basedOn w:val="977"/>
    <w:uiPriority w:val="0"/>
    <w:qFormat/>
    <w:pPr>
      <w:spacing w:line="415" w:lineRule="auto"/>
    </w:pPr>
    <w:rPr>
      <w:rFonts w:ascii="Calibri" w:hAnsi="Calibri"/>
      <w:bCs/>
      <w:color w:val="000000"/>
      <w:sz w:val="28"/>
      <w:szCs w:val="28"/>
    </w:rPr>
  </w:style>
  <w:style w:type="paragraph" w:styleId="1317" w:customStyle="1">
    <w:name w:val="font7"/>
    <w:basedOn w:val="765"/>
    <w:uiPriority w:val="0"/>
    <w:qFormat/>
    <w:pPr>
      <w:jc w:val="left"/>
      <w:spacing w:before="100" w:beforeAutospacing="1" w:after="100" w:afterAutospacing="1"/>
      <w:widowControl/>
    </w:pPr>
    <w:rPr>
      <w:rFonts w:ascii="宋体"/>
      <w:sz w:val="20"/>
      <w:szCs w:val="20"/>
    </w:rPr>
  </w:style>
  <w:style w:type="paragraph" w:styleId="1318" w:customStyle="1">
    <w:name w:val="正文_4_1"/>
    <w:uiPriority w:val="0"/>
    <w:qFormat/>
    <w:pPr>
      <w:jc w:val="both"/>
      <w:widowControl w:val="off"/>
    </w:pPr>
    <w:rPr>
      <w:rFonts w:ascii="Times New Roman" w:hAnsi="Times New Roman" w:eastAsia="宋体" w:cs="Times New Roman"/>
      <w:sz w:val="21"/>
      <w:szCs w:val="22"/>
      <w:lang w:val="en-US" w:eastAsia="zh-CN" w:bidi="ar-SA"/>
    </w:rPr>
  </w:style>
  <w:style w:type="paragraph" w:styleId="1319" w:customStyle="1">
    <w:name w:val="xl37"/>
    <w:basedOn w:val="76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320" w:customStyle="1">
    <w:name w:val="编号"/>
    <w:basedOn w:val="765"/>
    <w:next w:val="1188"/>
    <w:uiPriority w:val="0"/>
    <w:qFormat/>
    <w:pPr>
      <w:ind w:left="420" w:right="-136" w:hanging="420"/>
      <w:widowControl/>
      <w:tabs>
        <w:tab w:val="left" w:pos="420" w:leader="none"/>
      </w:tabs>
    </w:pPr>
    <w:rPr>
      <w:rFonts w:ascii="仿宋_GB2312" w:eastAsia="仿宋_GB2312"/>
      <w:b/>
      <w:bCs/>
      <w:sz w:val="24"/>
      <w:szCs w:val="21"/>
    </w:rPr>
  </w:style>
  <w:style w:type="paragraph" w:styleId="1321" w:customStyle="1">
    <w:name w:val="TOC 标题2"/>
    <w:basedOn w:val="975"/>
    <w:next w:val="765"/>
    <w:uiPriority w:val="0"/>
    <w:qFormat/>
    <w:pPr>
      <w:spacing w:before="480" w:after="0" w:line="276" w:lineRule="auto"/>
      <w:widowControl/>
      <w:outlineLvl w:val="9"/>
    </w:pPr>
    <w:rPr>
      <w:rFonts w:ascii="Cambria" w:hAnsi="Cambria"/>
      <w:color w:val="365f91"/>
      <w:sz w:val="28"/>
    </w:rPr>
  </w:style>
  <w:style w:type="paragraph" w:styleId="1322" w:customStyle="1">
    <w:name w:val="Sourcetext bullet"/>
    <w:basedOn w:val="765"/>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23" w:customStyle="1">
    <w:name w:val="xl40"/>
    <w:basedOn w:val="765"/>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324" w:customStyle="1">
    <w:name w:val="font8"/>
    <w:basedOn w:val="765"/>
    <w:uiPriority w:val="0"/>
    <w:qFormat/>
    <w:pPr>
      <w:jc w:val="left"/>
      <w:spacing w:before="100" w:beforeAutospacing="1" w:after="100" w:afterAutospacing="1"/>
      <w:widowControl/>
    </w:pPr>
    <w:rPr>
      <w:rFonts w:ascii="Arial" w:hAnsi="Arial" w:cs="Arial"/>
      <w:color w:val="000000"/>
      <w:sz w:val="18"/>
      <w:szCs w:val="18"/>
    </w:rPr>
  </w:style>
  <w:style w:type="paragraph" w:styleId="1325" w:customStyle="1">
    <w:name w:val="Char Char Char Char Char Char Char Char Char Char1"/>
    <w:basedOn w:val="765"/>
    <w:uiPriority w:val="0"/>
    <w:qFormat/>
    <w:rPr>
      <w:rFonts w:ascii="Tahoma" w:hAnsi="Tahoma" w:cs="Tahoma"/>
      <w:sz w:val="24"/>
    </w:rPr>
  </w:style>
  <w:style w:type="paragraph" w:styleId="1326" w:customStyle="1">
    <w:name w:val="Char Char Char Char Char Char Char1"/>
    <w:basedOn w:val="765"/>
    <w:uiPriority w:val="0"/>
    <w:qFormat/>
    <w:pPr>
      <w:jc w:val="left"/>
      <w:spacing w:after="160" w:line="240" w:lineRule="exact"/>
      <w:widowControl/>
    </w:pPr>
    <w:rPr>
      <w:rFonts w:ascii="Verdana" w:hAnsi="Verdana"/>
      <w:sz w:val="20"/>
      <w:szCs w:val="20"/>
      <w:lang w:eastAsia="en-US"/>
    </w:rPr>
  </w:style>
  <w:style w:type="paragraph" w:styleId="1327" w:customStyle="1">
    <w:name w:val="xl31"/>
    <w:basedOn w:val="765"/>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328" w:customStyle="1">
    <w:name w:val="正文_14"/>
    <w:uiPriority w:val="0"/>
    <w:qFormat/>
    <w:pPr>
      <w:jc w:val="both"/>
      <w:widowControl w:val="off"/>
    </w:pPr>
    <w:rPr>
      <w:rFonts w:ascii="Times New Roman" w:hAnsi="Times New Roman" w:eastAsia="宋体" w:cs="Times New Roman"/>
      <w:sz w:val="21"/>
      <w:szCs w:val="22"/>
      <w:lang w:val="en-US" w:eastAsia="zh-CN" w:bidi="ar-SA"/>
    </w:rPr>
  </w:style>
  <w:style w:type="paragraph" w:styleId="1329" w:customStyle="1">
    <w:name w:val="Normal_11"/>
    <w:uiPriority w:val="0"/>
    <w:qFormat/>
    <w:rPr>
      <w:rFonts w:ascii="黑体" w:hAnsi="黑体" w:eastAsia="黑体" w:cs="Times New Roman"/>
      <w:b/>
      <w:sz w:val="32"/>
      <w:szCs w:val="24"/>
      <w:lang w:val="en-US" w:eastAsia="zh-CN" w:bidi="ar-SA"/>
    </w:rPr>
  </w:style>
  <w:style w:type="paragraph" w:styleId="1330" w:customStyle="1">
    <w:name w:val="Char12"/>
    <w:basedOn w:val="765"/>
    <w:uiPriority w:val="0"/>
    <w:qFormat/>
    <w:pPr>
      <w:ind w:left="360" w:right="202" w:firstLine="360"/>
      <w:spacing w:line="480" w:lineRule="auto"/>
      <w:tabs>
        <w:tab w:val="left" w:pos="360" w:leader="none"/>
      </w:tabs>
    </w:pPr>
    <w:rPr>
      <w:sz w:val="24"/>
    </w:rPr>
  </w:style>
  <w:style w:type="paragraph" w:styleId="1331"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332" w:customStyle="1">
    <w:name w:val="xl30"/>
    <w:basedOn w:val="7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33" w:customStyle="1">
    <w:name w:val="正文_11_1"/>
    <w:uiPriority w:val="0"/>
    <w:qFormat/>
    <w:pPr>
      <w:jc w:val="both"/>
      <w:widowControl w:val="off"/>
    </w:pPr>
    <w:rPr>
      <w:rFonts w:ascii="Times New Roman" w:hAnsi="Times New Roman" w:eastAsia="宋体" w:cs="Times New Roman"/>
      <w:sz w:val="21"/>
      <w:szCs w:val="22"/>
      <w:lang w:val="en-US" w:eastAsia="zh-CN" w:bidi="ar-SA"/>
    </w:rPr>
  </w:style>
  <w:style w:type="paragraph" w:styleId="1334" w:customStyle="1">
    <w:name w:val="style42"/>
    <w:basedOn w:val="765"/>
    <w:uiPriority w:val="0"/>
    <w:qFormat/>
    <w:pPr>
      <w:jc w:val="left"/>
      <w:spacing w:before="100" w:beforeAutospacing="1" w:after="100" w:afterAutospacing="1"/>
      <w:widowControl/>
    </w:pPr>
    <w:rPr>
      <w:rFonts w:ascii="宋体" w:cs="宋体"/>
      <w:color w:val="000000"/>
      <w:sz w:val="15"/>
      <w:szCs w:val="15"/>
    </w:rPr>
  </w:style>
  <w:style w:type="paragraph" w:styleId="1335" w:customStyle="1">
    <w:name w:val="样式 标题 2 + Times New Roman 四号 非加粗 段前: 5 磅 段后: 0 磅 行距: 固定值 20..."/>
    <w:basedOn w:val="976"/>
    <w:uiPriority w:val="0"/>
    <w:qFormat/>
    <w:pPr>
      <w:spacing w:before="100" w:after="0" w:line="400" w:lineRule="exact"/>
    </w:pPr>
    <w:rPr>
      <w:rFonts w:ascii="Times New Roman" w:hAnsi="Times New Roman" w:cs="宋体"/>
      <w:b w:val="0"/>
      <w:sz w:val="28"/>
    </w:rPr>
  </w:style>
  <w:style w:type="paragraph" w:styleId="1336" w:customStyle="1">
    <w:name w:val="font6"/>
    <w:basedOn w:val="765"/>
    <w:uiPriority w:val="0"/>
    <w:qFormat/>
    <w:pPr>
      <w:jc w:val="left"/>
      <w:spacing w:before="100" w:beforeAutospacing="1" w:after="100" w:afterAutospacing="1"/>
      <w:widowControl/>
    </w:pPr>
    <w:rPr>
      <w:sz w:val="20"/>
      <w:szCs w:val="20"/>
    </w:rPr>
  </w:style>
  <w:style w:type="paragraph" w:styleId="1337" w:customStyle="1">
    <w:name w:val="样式 正文首行缩进 + 宋体 首行缩进:  0.74 厘米"/>
    <w:basedOn w:val="1044"/>
    <w:uiPriority w:val="0"/>
    <w:qFormat/>
    <w:pPr>
      <w:ind w:firstLine="210"/>
      <w:spacing w:before="120" w:after="0" w:line="380" w:lineRule="exact"/>
    </w:pPr>
    <w:rPr>
      <w:rFonts w:ascii="宋体" w:cs="宋体"/>
      <w:sz w:val="24"/>
      <w:szCs w:val="20"/>
    </w:rPr>
  </w:style>
  <w:style w:type="paragraph" w:styleId="1338" w:customStyle="1">
    <w:name w:val="正文_7_0"/>
    <w:uiPriority w:val="0"/>
    <w:qFormat/>
    <w:pPr>
      <w:jc w:val="both"/>
      <w:widowControl w:val="off"/>
    </w:pPr>
    <w:rPr>
      <w:rFonts w:ascii="Times New Roman" w:hAnsi="Times New Roman" w:eastAsia="宋体" w:cs="Times New Roman"/>
      <w:sz w:val="21"/>
      <w:szCs w:val="22"/>
      <w:lang w:val="en-US" w:eastAsia="zh-CN" w:bidi="ar-SA"/>
    </w:rPr>
  </w:style>
  <w:style w:type="paragraph" w:styleId="1339" w:customStyle="1">
    <w:name w:val="Normal_17_0"/>
    <w:uiPriority w:val="0"/>
    <w:qFormat/>
    <w:rPr>
      <w:rFonts w:ascii="黑体" w:hAnsi="黑体" w:eastAsia="黑体" w:cs="Times New Roman"/>
      <w:b/>
      <w:sz w:val="32"/>
      <w:szCs w:val="24"/>
      <w:lang w:val="en-US" w:eastAsia="zh-CN" w:bidi="ar-SA"/>
    </w:rPr>
  </w:style>
  <w:style w:type="paragraph" w:styleId="1340" w:customStyle="1">
    <w:name w:val="Char Char Char Char Char Char Char Char Char Char2"/>
    <w:basedOn w:val="765"/>
    <w:uiPriority w:val="0"/>
    <w:qFormat/>
    <w:rPr>
      <w:rFonts w:ascii="Tahoma" w:hAnsi="Tahoma"/>
      <w:sz w:val="24"/>
      <w:szCs w:val="20"/>
    </w:rPr>
  </w:style>
  <w:style w:type="paragraph" w:styleId="1341"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paragraph" w:styleId="1342"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343" w:customStyle="1">
    <w:name w:val="Char Char Char Char Char Char Char1 Char"/>
    <w:basedOn w:val="765"/>
    <w:uiPriority w:val="0"/>
    <w:qFormat/>
    <w:rPr>
      <w:rFonts w:ascii="Tahoma" w:hAnsi="Tahoma"/>
      <w:sz w:val="24"/>
      <w:szCs w:val="20"/>
    </w:rPr>
  </w:style>
  <w:style w:type="paragraph" w:styleId="1344" w:customStyle="1">
    <w:name w:val="Char Char1 Char Char Char Char Char Char"/>
    <w:basedOn w:val="765"/>
    <w:uiPriority w:val="0"/>
    <w:qFormat/>
    <w:pPr>
      <w:jc w:val="center"/>
      <w:widowControl/>
    </w:pPr>
    <w:rPr>
      <w:szCs w:val="20"/>
    </w:rPr>
  </w:style>
  <w:style w:type="paragraph" w:styleId="1345" w:customStyle="1">
    <w:name w:val="Normal Paragraph Char"/>
    <w:basedOn w:val="765"/>
    <w:uiPriority w:val="0"/>
    <w:qFormat/>
    <w:pPr>
      <w:ind w:firstLine="425"/>
      <w:spacing w:before="120" w:line="360" w:lineRule="auto"/>
      <w:widowControl/>
    </w:pPr>
    <w:rPr>
      <w:rFonts w:ascii="Calibri" w:hAnsi="Calibri"/>
      <w:sz w:val="24"/>
    </w:rPr>
  </w:style>
  <w:style w:type="paragraph" w:styleId="1346" w:customStyle="1">
    <w:name w:val="Char Char Char Char Char Char Char Char Char Char Char Char Char1"/>
    <w:basedOn w:val="765"/>
    <w:uiPriority w:val="0"/>
    <w:qFormat/>
    <w:pPr>
      <w:jc w:val="left"/>
      <w:spacing w:after="160" w:line="240" w:lineRule="exact"/>
      <w:widowControl/>
    </w:pPr>
    <w:rPr>
      <w:rFonts w:ascii="Arial" w:hAnsi="Arial" w:eastAsia="Times New Roman" w:cs="Verdana"/>
      <w:b/>
      <w:sz w:val="24"/>
      <w:szCs w:val="32"/>
      <w:lang w:eastAsia="en-US"/>
    </w:rPr>
  </w:style>
  <w:style w:type="paragraph" w:styleId="1347" w:customStyle="1">
    <w:name w:val="默认段落字体 Para Char"/>
    <w:basedOn w:val="765"/>
    <w:uiPriority w:val="0"/>
    <w:qFormat/>
    <w:rPr>
      <w:rFonts w:ascii="宋体"/>
      <w:b/>
      <w:sz w:val="28"/>
      <w:szCs w:val="28"/>
    </w:rPr>
  </w:style>
  <w:style w:type="paragraph" w:styleId="1348"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349" w:customStyle="1">
    <w:name w:val="Normal_1_0"/>
    <w:uiPriority w:val="0"/>
    <w:qFormat/>
    <w:rPr>
      <w:rFonts w:ascii="Times New Roman" w:hAnsi="Times New Roman" w:eastAsia="Times New Roman" w:cs="Times New Roman"/>
      <w:sz w:val="24"/>
      <w:szCs w:val="24"/>
      <w:lang w:val="en-US" w:eastAsia="zh-CN" w:bidi="ar-SA"/>
    </w:rPr>
  </w:style>
  <w:style w:type="paragraph" w:styleId="1350" w:customStyle="1">
    <w:name w:val="Char Char Char1"/>
    <w:basedOn w:val="765"/>
    <w:uiPriority w:val="0"/>
    <w:qFormat/>
    <w:rPr>
      <w:rFonts w:ascii="Tahoma" w:hAnsi="Tahoma"/>
      <w:sz w:val="24"/>
      <w:szCs w:val="20"/>
    </w:rPr>
  </w:style>
  <w:style w:type="paragraph" w:styleId="1351" w:customStyle="1">
    <w:name w:val="Normal1"/>
    <w:uiPriority w:val="0"/>
    <w:qFormat/>
    <w:rPr>
      <w:rFonts w:ascii="Times New Roman" w:hAnsi="Times New Roman" w:eastAsia="Times New Roman" w:cs="Times New Roman"/>
      <w:sz w:val="24"/>
      <w:szCs w:val="24"/>
      <w:lang w:val="en-US" w:eastAsia="zh-CN" w:bidi="ar-SA"/>
    </w:rPr>
  </w:style>
  <w:style w:type="paragraph" w:styleId="1352" w:customStyle="1">
    <w:name w:val="xl33"/>
    <w:basedOn w:val="765"/>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53" w:customStyle="1">
    <w:name w:val="表格"/>
    <w:basedOn w:val="765"/>
    <w:uiPriority w:val="0"/>
    <w:qFormat/>
    <w:pPr>
      <w:ind w:firstLine="21"/>
    </w:pPr>
    <w:rPr>
      <w:rFonts w:ascii="宋体"/>
      <w:szCs w:val="20"/>
    </w:rPr>
  </w:style>
  <w:style w:type="paragraph" w:styleId="1354" w:customStyle="1">
    <w:name w:val="正文_10_1"/>
    <w:uiPriority w:val="0"/>
    <w:qFormat/>
    <w:pPr>
      <w:jc w:val="both"/>
      <w:widowControl w:val="off"/>
    </w:pPr>
    <w:rPr>
      <w:rFonts w:ascii="Times New Roman" w:hAnsi="Times New Roman" w:eastAsia="宋体" w:cs="Times New Roman"/>
      <w:sz w:val="21"/>
      <w:szCs w:val="22"/>
      <w:lang w:val="en-US" w:eastAsia="zh-CN" w:bidi="ar-SA"/>
    </w:rPr>
  </w:style>
  <w:style w:type="paragraph" w:styleId="1355"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56" w:customStyle="1">
    <w:name w:val="正文_6"/>
    <w:uiPriority w:val="0"/>
    <w:qFormat/>
    <w:pPr>
      <w:jc w:val="both"/>
      <w:widowControl w:val="off"/>
    </w:pPr>
    <w:rPr>
      <w:rFonts w:ascii="Times New Roman" w:hAnsi="Times New Roman" w:eastAsia="宋体" w:cs="Times New Roman"/>
      <w:sz w:val="21"/>
      <w:szCs w:val="22"/>
      <w:lang w:val="en-US" w:eastAsia="zh-CN" w:bidi="ar-SA"/>
    </w:rPr>
  </w:style>
  <w:style w:type="paragraph" w:styleId="1357" w:customStyle="1">
    <w:name w:val="xl39"/>
    <w:basedOn w:val="765"/>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358" w:customStyle="1">
    <w:name w:val="项目"/>
    <w:basedOn w:val="765"/>
    <w:uiPriority w:val="0"/>
    <w:qFormat/>
    <w:pPr>
      <w:ind w:left="840" w:hanging="420"/>
      <w:spacing w:before="60" w:after="60" w:line="360" w:lineRule="auto"/>
      <w:tabs>
        <w:tab w:val="left" w:pos="840" w:leader="none"/>
      </w:tabs>
    </w:pPr>
    <w:rPr>
      <w:rFonts w:ascii="宋体"/>
      <w:szCs w:val="20"/>
    </w:rPr>
  </w:style>
  <w:style w:type="paragraph" w:styleId="1359"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360" w:customStyle="1">
    <w:name w:val="Bullet"/>
    <w:basedOn w:val="765"/>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61" w:customStyle="1">
    <w:name w:val="保密事宜内容"/>
    <w:basedOn w:val="765"/>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362" w:customStyle="1">
    <w:name w:val="正文_9_0"/>
    <w:uiPriority w:val="0"/>
    <w:qFormat/>
    <w:pPr>
      <w:jc w:val="both"/>
      <w:widowControl w:val="off"/>
    </w:pPr>
    <w:rPr>
      <w:rFonts w:ascii="Times New Roman" w:hAnsi="Times New Roman" w:eastAsia="宋体" w:cs="Times New Roman"/>
      <w:sz w:val="21"/>
      <w:szCs w:val="22"/>
      <w:lang w:val="en-US" w:eastAsia="zh-CN" w:bidi="ar-SA"/>
    </w:rPr>
  </w:style>
  <w:style w:type="paragraph" w:styleId="1363" w:customStyle="1">
    <w:name w:val="规范正文"/>
    <w:basedOn w:val="765"/>
    <w:uiPriority w:val="0"/>
    <w:qFormat/>
    <w:pPr>
      <w:ind w:left="480"/>
      <w:spacing w:line="360" w:lineRule="auto"/>
    </w:pPr>
    <w:rPr>
      <w:sz w:val="24"/>
      <w:szCs w:val="20"/>
    </w:rPr>
  </w:style>
  <w:style w:type="paragraph" w:styleId="1364"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365" w:customStyle="1">
    <w:name w:val="正文_8_0"/>
    <w:uiPriority w:val="0"/>
    <w:qFormat/>
    <w:pPr>
      <w:jc w:val="both"/>
      <w:widowControl w:val="off"/>
    </w:pPr>
    <w:rPr>
      <w:rFonts w:ascii="Times New Roman" w:hAnsi="Times New Roman" w:eastAsia="宋体" w:cs="Times New Roman"/>
      <w:sz w:val="21"/>
      <w:szCs w:val="22"/>
      <w:lang w:val="en-US" w:eastAsia="zh-CN" w:bidi="ar-SA"/>
    </w:rPr>
  </w:style>
  <w:style w:type="paragraph" w:styleId="1366" w:customStyle="1">
    <w:name w:val="正文_4_0"/>
    <w:uiPriority w:val="0"/>
    <w:qFormat/>
    <w:pPr>
      <w:jc w:val="both"/>
      <w:widowControl w:val="off"/>
    </w:pPr>
    <w:rPr>
      <w:rFonts w:ascii="Times New Roman" w:hAnsi="Times New Roman" w:eastAsia="宋体" w:cs="Times New Roman"/>
      <w:sz w:val="21"/>
      <w:lang w:val="en-US" w:eastAsia="zh-CN" w:bidi="ar-SA"/>
    </w:rPr>
  </w:style>
  <w:style w:type="paragraph" w:styleId="1367"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368" w:customStyle="1">
    <w:name w:val="正文_2_0"/>
    <w:uiPriority w:val="0"/>
    <w:qFormat/>
    <w:pPr>
      <w:jc w:val="both"/>
      <w:widowControl w:val="off"/>
    </w:pPr>
    <w:rPr>
      <w:rFonts w:ascii="Times New Roman" w:hAnsi="Times New Roman" w:eastAsia="宋体" w:cs="Times New Roman"/>
      <w:sz w:val="21"/>
      <w:szCs w:val="22"/>
      <w:lang w:val="en-US" w:eastAsia="zh-CN" w:bidi="ar-SA"/>
    </w:rPr>
  </w:style>
  <w:style w:type="paragraph" w:styleId="1369" w:customStyle="1">
    <w:name w:val="特点"/>
    <w:basedOn w:val="765"/>
    <w:next w:val="765"/>
    <w:uiPriority w:val="0"/>
    <w:qFormat/>
    <w:pPr>
      <w:jc w:val="center"/>
      <w:spacing w:line="360" w:lineRule="auto"/>
    </w:pPr>
    <w:rPr>
      <w:rFonts w:ascii="Arial" w:hAnsi="Arial"/>
      <w:sz w:val="24"/>
      <w:szCs w:val="20"/>
    </w:rPr>
  </w:style>
  <w:style w:type="paragraph" w:styleId="1370" w:customStyle="1">
    <w:name w:val="正文小四"/>
    <w:basedOn w:val="765"/>
    <w:uiPriority w:val="0"/>
    <w:qFormat/>
    <w:pPr>
      <w:spacing w:line="312" w:lineRule="auto"/>
    </w:pPr>
    <w:rPr>
      <w:rFonts w:ascii="Calibri" w:hAnsi="Calibri"/>
      <w:sz w:val="24"/>
    </w:rPr>
  </w:style>
  <w:style w:type="paragraph" w:styleId="1371" w:customStyle="1">
    <w:name w:val="Normal_15_0"/>
    <w:uiPriority w:val="0"/>
    <w:qFormat/>
    <w:rPr>
      <w:rFonts w:ascii="黑体" w:hAnsi="黑体" w:eastAsia="黑体" w:cs="Times New Roman"/>
      <w:b/>
      <w:sz w:val="32"/>
      <w:szCs w:val="24"/>
      <w:lang w:val="en-US" w:eastAsia="zh-CN" w:bidi="ar-SA"/>
    </w:rPr>
  </w:style>
  <w:style w:type="paragraph" w:styleId="1372" w:customStyle="1">
    <w:name w:val="tabletext"/>
    <w:basedOn w:val="765"/>
    <w:uiPriority w:val="0"/>
    <w:qFormat/>
    <w:pPr>
      <w:jc w:val="left"/>
      <w:spacing w:before="100" w:beforeAutospacing="1" w:after="100" w:afterAutospacing="1"/>
      <w:widowControl/>
    </w:pPr>
    <w:rPr>
      <w:rFonts w:ascii="宋体"/>
      <w:sz w:val="24"/>
    </w:rPr>
  </w:style>
  <w:style w:type="paragraph" w:styleId="1373" w:customStyle="1">
    <w:name w:val="表内容"/>
    <w:basedOn w:val="1204"/>
    <w:uiPriority w:val="0"/>
    <w:qFormat/>
    <w:pPr>
      <w:ind w:left="0" w:firstLine="0"/>
      <w:spacing w:line="320" w:lineRule="exact"/>
    </w:pPr>
    <w:rPr>
      <w:sz w:val="20"/>
    </w:rPr>
  </w:style>
  <w:style w:type="paragraph" w:styleId="1374" w:customStyle="1">
    <w:name w:val="Char13"/>
    <w:basedOn w:val="765"/>
    <w:uiPriority w:val="0"/>
    <w:qFormat/>
  </w:style>
  <w:style w:type="paragraph" w:styleId="1375" w:customStyle="1">
    <w:name w:val="我的样式"/>
    <w:basedOn w:val="765"/>
    <w:uiPriority w:val="0"/>
    <w:qFormat/>
    <w:pPr>
      <w:ind w:firstLine="420"/>
      <w:jc w:val="left"/>
      <w:spacing w:after="120"/>
      <w:widowControl/>
    </w:pPr>
    <w:rPr>
      <w:rFonts w:ascii="宋体"/>
      <w:color w:val="000000"/>
      <w:sz w:val="24"/>
      <w:szCs w:val="16"/>
    </w:rPr>
  </w:style>
  <w:style w:type="paragraph" w:styleId="1376" w:customStyle="1">
    <w:name w:val="正文_19"/>
    <w:uiPriority w:val="0"/>
    <w:qFormat/>
    <w:pPr>
      <w:jc w:val="both"/>
      <w:widowControl w:val="off"/>
    </w:pPr>
    <w:rPr>
      <w:rFonts w:ascii="Times New Roman" w:hAnsi="Times New Roman" w:eastAsia="宋体" w:cs="Times New Roman"/>
      <w:sz w:val="21"/>
      <w:szCs w:val="22"/>
      <w:lang w:val="en-US" w:eastAsia="zh-CN" w:bidi="ar-SA"/>
    </w:rPr>
  </w:style>
  <w:style w:type="paragraph" w:styleId="1377" w:customStyle="1">
    <w:name w:val="编号1"/>
    <w:next w:val="1188"/>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378" w:customStyle="1">
    <w:name w:val="Normal_0"/>
    <w:uiPriority w:val="0"/>
    <w:qFormat/>
    <w:rPr>
      <w:rFonts w:ascii="黑体" w:hAnsi="黑体" w:eastAsia="黑体" w:cs="Times New Roman"/>
      <w:b/>
      <w:sz w:val="32"/>
      <w:szCs w:val="24"/>
      <w:lang w:val="en-US" w:eastAsia="zh-CN" w:bidi="ar-SA"/>
    </w:rPr>
  </w:style>
  <w:style w:type="paragraph" w:styleId="1379" w:customStyle="1">
    <w:name w:val="首页单位日期"/>
    <w:basedOn w:val="765"/>
    <w:uiPriority w:val="0"/>
    <w:qFormat/>
    <w:pPr>
      <w:jc w:val="center"/>
      <w:widowControl/>
    </w:pPr>
    <w:rPr>
      <w:rFonts w:ascii="宋体" w:cs="宋体"/>
      <w:bCs/>
      <w:sz w:val="28"/>
      <w:szCs w:val="20"/>
    </w:rPr>
  </w:style>
  <w:style w:type="paragraph" w:styleId="1380" w:customStyle="1">
    <w:name w:val="Normal Paragraph"/>
    <w:basedOn w:val="765"/>
    <w:uiPriority w:val="0"/>
    <w:qFormat/>
    <w:pPr>
      <w:ind w:firstLine="425"/>
      <w:spacing w:before="120" w:line="360" w:lineRule="auto"/>
      <w:widowControl/>
    </w:pPr>
    <w:rPr>
      <w:rFonts w:ascii="Calibri" w:hAnsi="Calibri"/>
      <w:sz w:val="24"/>
      <w:szCs w:val="20"/>
    </w:rPr>
  </w:style>
  <w:style w:type="paragraph" w:styleId="1381" w:customStyle="1">
    <w:name w:val="xl36"/>
    <w:basedOn w:val="76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382" w:customStyle="1">
    <w:name w:val="È±Ê¡ÎÄ±¾"/>
    <w:basedOn w:val="765"/>
    <w:uiPriority w:val="0"/>
    <w:qFormat/>
    <w:pPr>
      <w:jc w:val="left"/>
      <w:spacing w:line="360" w:lineRule="auto"/>
      <w:widowControl/>
    </w:pPr>
    <w:rPr>
      <w:sz w:val="24"/>
      <w:szCs w:val="20"/>
    </w:rPr>
  </w:style>
  <w:style w:type="paragraph" w:styleId="1383" w:customStyle="1">
    <w:name w:val="Char Char Char Char Char Char Char Char Char Char3"/>
    <w:basedOn w:val="765"/>
    <w:uiPriority w:val="0"/>
    <w:qFormat/>
    <w:rPr>
      <w:rFonts w:ascii="Tahoma" w:hAnsi="Tahoma"/>
      <w:sz w:val="24"/>
      <w:szCs w:val="20"/>
    </w:rPr>
  </w:style>
  <w:style w:type="paragraph" w:styleId="1384" w:customStyle="1">
    <w:name w:val="a1"/>
    <w:basedOn w:val="765"/>
    <w:uiPriority w:val="0"/>
    <w:qFormat/>
    <w:pPr>
      <w:jc w:val="left"/>
      <w:spacing w:before="100" w:beforeAutospacing="1" w:after="100" w:afterAutospacing="1"/>
      <w:widowControl/>
    </w:pPr>
    <w:rPr>
      <w:rFonts w:ascii="宋体"/>
      <w:sz w:val="24"/>
    </w:rPr>
  </w:style>
  <w:style w:type="paragraph" w:styleId="1385" w:customStyle="1">
    <w:name w:val="正文_10_0"/>
    <w:uiPriority w:val="0"/>
    <w:qFormat/>
    <w:pPr>
      <w:jc w:val="both"/>
      <w:widowControl w:val="off"/>
    </w:pPr>
    <w:rPr>
      <w:rFonts w:ascii="Times New Roman" w:hAnsi="Times New Roman" w:eastAsia="宋体" w:cs="Times New Roman"/>
      <w:sz w:val="21"/>
      <w:szCs w:val="22"/>
      <w:lang w:val="en-US" w:eastAsia="zh-CN" w:bidi="ar-SA"/>
    </w:rPr>
  </w:style>
  <w:style w:type="paragraph" w:styleId="1386" w:customStyle="1">
    <w:name w:val="正文_11_0_0"/>
    <w:uiPriority w:val="0"/>
    <w:qFormat/>
    <w:pPr>
      <w:jc w:val="both"/>
      <w:widowControl w:val="off"/>
    </w:pPr>
    <w:rPr>
      <w:rFonts w:ascii="Times New Roman" w:hAnsi="Times New Roman" w:eastAsia="宋体" w:cs="Times New Roman"/>
      <w:sz w:val="21"/>
      <w:szCs w:val="22"/>
      <w:lang w:val="en-US" w:eastAsia="zh-CN" w:bidi="ar-SA"/>
    </w:rPr>
  </w:style>
  <w:style w:type="paragraph" w:styleId="1387" w:customStyle="1">
    <w:name w:val="xl27"/>
    <w:basedOn w:val="7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88" w:customStyle="1">
    <w:name w:val="正文段"/>
    <w:basedOn w:val="765"/>
    <w:uiPriority w:val="0"/>
    <w:qFormat/>
    <w:pPr>
      <w:ind w:firstLine="425"/>
      <w:spacing w:after="240" w:line="240" w:lineRule="atLeast"/>
      <w:widowControl/>
    </w:pPr>
    <w:rPr>
      <w:sz w:val="24"/>
      <w:szCs w:val="20"/>
    </w:rPr>
  </w:style>
  <w:style w:type="paragraph" w:styleId="1389" w:customStyle="1">
    <w:name w:val="Normal_16_0"/>
    <w:uiPriority w:val="0"/>
    <w:qFormat/>
    <w:rPr>
      <w:rFonts w:ascii="黑体" w:hAnsi="黑体" w:eastAsia="黑体" w:cs="Times New Roman"/>
      <w:b/>
      <w:sz w:val="32"/>
      <w:szCs w:val="24"/>
      <w:lang w:val="en-US" w:eastAsia="zh-CN" w:bidi="ar-SA"/>
    </w:rPr>
  </w:style>
  <w:style w:type="paragraph" w:styleId="1390" w:customStyle="1">
    <w:name w:val="Normal_17"/>
    <w:uiPriority w:val="0"/>
    <w:qFormat/>
    <w:rPr>
      <w:rFonts w:ascii="黑体" w:hAnsi="黑体" w:eastAsia="黑体" w:cs="Times New Roman"/>
      <w:b/>
      <w:sz w:val="32"/>
      <w:szCs w:val="24"/>
      <w:lang w:val="en-US" w:eastAsia="zh-CN" w:bidi="ar-SA"/>
    </w:rPr>
  </w:style>
  <w:style w:type="paragraph" w:styleId="1391" w:customStyle="1">
    <w:name w:val="xl42"/>
    <w:basedOn w:val="765"/>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392" w:customStyle="1">
    <w:name w:val="列出段落[858D7CFB-ED40-4347-BF05-701D383B685F][858D7CFB-ED40-4347-BF05-701D383B685F]"/>
    <w:basedOn w:val="765"/>
    <w:uiPriority w:val="0"/>
    <w:qFormat/>
    <w:pPr>
      <w:ind w:firstLine="200"/>
    </w:pPr>
    <w:rPr>
      <w:rFonts w:ascii="Calibri" w:hAnsi="Calibri"/>
    </w:rPr>
  </w:style>
  <w:style w:type="paragraph" w:styleId="1393" w:customStyle="1">
    <w:name w:val="缺省文本"/>
    <w:basedOn w:val="765"/>
    <w:uiPriority w:val="0"/>
    <w:qFormat/>
    <w:pPr>
      <w:jc w:val="left"/>
    </w:pPr>
    <w:rPr>
      <w:sz w:val="24"/>
      <w:szCs w:val="20"/>
    </w:rPr>
  </w:style>
  <w:style w:type="paragraph" w:styleId="1394" w:customStyle="1">
    <w:name w:val="Normal_13"/>
    <w:uiPriority w:val="0"/>
    <w:qFormat/>
    <w:rPr>
      <w:rFonts w:ascii="黑体" w:hAnsi="黑体" w:eastAsia="黑体" w:cs="Times New Roman"/>
      <w:b/>
      <w:sz w:val="32"/>
      <w:szCs w:val="24"/>
      <w:lang w:val="en-US" w:eastAsia="zh-CN" w:bidi="ar-SA"/>
    </w:rPr>
  </w:style>
  <w:style w:type="paragraph" w:styleId="1395"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396" w:customStyle="1">
    <w:name w:val="FA正文+标号"/>
    <w:basedOn w:val="765"/>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397" w:customStyle="1">
    <w:name w:val="附图居中"/>
    <w:basedOn w:val="765"/>
    <w:next w:val="1230"/>
    <w:uiPriority w:val="0"/>
    <w:qFormat/>
    <w:pPr>
      <w:ind w:left="1271" w:hanging="420"/>
      <w:jc w:val="center"/>
      <w:keepNext/>
      <w:spacing w:line="360" w:lineRule="auto"/>
      <w:tabs>
        <w:tab w:val="left" w:pos="0" w:leader="none"/>
      </w:tabs>
    </w:pPr>
    <w:rPr>
      <w:caps/>
      <w:sz w:val="24"/>
    </w:rPr>
  </w:style>
  <w:style w:type="paragraph" w:styleId="1398"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399" w:customStyle="1">
    <w:name w:val="正文 + 宋体"/>
    <w:basedOn w:val="765"/>
    <w:uiPriority w:val="0"/>
    <w:qFormat/>
    <w:pPr>
      <w:ind w:firstLine="250"/>
    </w:pPr>
    <w:rPr>
      <w:rFonts w:ascii="宋体"/>
      <w:szCs w:val="21"/>
    </w:rPr>
  </w:style>
  <w:style w:type="paragraph" w:styleId="1400" w:customStyle="1">
    <w:name w:val="Normal_5"/>
    <w:uiPriority w:val="0"/>
    <w:qFormat/>
    <w:rPr>
      <w:rFonts w:ascii="黑体" w:hAnsi="黑体" w:eastAsia="黑体" w:cs="Times New Roman"/>
      <w:b/>
      <w:sz w:val="32"/>
      <w:szCs w:val="24"/>
      <w:lang w:val="en-US" w:eastAsia="zh-CN" w:bidi="ar-SA"/>
    </w:rPr>
  </w:style>
  <w:style w:type="paragraph" w:styleId="1401" w:customStyle="1">
    <w:name w:val="Normal_13_0"/>
    <w:uiPriority w:val="0"/>
    <w:qFormat/>
    <w:rPr>
      <w:rFonts w:ascii="黑体" w:hAnsi="黑体" w:eastAsia="黑体" w:cs="Times New Roman"/>
      <w:b/>
      <w:sz w:val="32"/>
      <w:szCs w:val="24"/>
      <w:lang w:val="en-US" w:eastAsia="zh-CN" w:bidi="ar-SA"/>
    </w:rPr>
  </w:style>
  <w:style w:type="paragraph" w:styleId="1402" w:customStyle="1">
    <w:name w:val="Normal_14"/>
    <w:uiPriority w:val="0"/>
    <w:qFormat/>
    <w:rPr>
      <w:rFonts w:ascii="黑体" w:hAnsi="黑体" w:eastAsia="黑体" w:cs="Times New Roman"/>
      <w:b/>
      <w:sz w:val="32"/>
      <w:szCs w:val="24"/>
      <w:lang w:val="en-US" w:eastAsia="zh-CN" w:bidi="ar-SA"/>
    </w:rPr>
  </w:style>
  <w:style w:type="paragraph" w:styleId="1403"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404" w:customStyle="1">
    <w:name w:val="正文_7_1"/>
    <w:uiPriority w:val="0"/>
    <w:qFormat/>
    <w:pPr>
      <w:jc w:val="both"/>
      <w:widowControl w:val="off"/>
    </w:pPr>
    <w:rPr>
      <w:rFonts w:ascii="Times New Roman" w:hAnsi="Times New Roman" w:eastAsia="宋体" w:cs="Times New Roman"/>
      <w:sz w:val="21"/>
      <w:szCs w:val="22"/>
      <w:lang w:val="en-US" w:eastAsia="zh-CN" w:bidi="ar-SA"/>
    </w:rPr>
  </w:style>
  <w:style w:type="paragraph" w:styleId="1405" w:customStyle="1">
    <w:name w:val="Normal_3_0"/>
    <w:uiPriority w:val="0"/>
    <w:qFormat/>
    <w:rPr>
      <w:rFonts w:ascii="黑体" w:hAnsi="黑体" w:eastAsia="黑体" w:cs="Times New Roman"/>
      <w:b/>
      <w:sz w:val="32"/>
      <w:szCs w:val="24"/>
      <w:lang w:val="en-US" w:eastAsia="zh-CN" w:bidi="ar-SA"/>
    </w:rPr>
  </w:style>
  <w:style w:type="paragraph" w:styleId="1406" w:customStyle="1">
    <w:name w:val="保密事宜格式"/>
    <w:basedOn w:val="995"/>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407" w:customStyle="1">
    <w:name w:val="样式 正文缩进 + (中文) 仿宋_GB2312 小四 Char"/>
    <w:basedOn w:val="994"/>
    <w:uiPriority w:val="0"/>
    <w:qFormat/>
    <w:pPr>
      <w:ind w:firstLine="200"/>
      <w:spacing w:line="360" w:lineRule="auto"/>
    </w:pPr>
    <w:rPr>
      <w:szCs w:val="24"/>
    </w:rPr>
  </w:style>
  <w:style w:type="paragraph" w:styleId="1408" w:customStyle="1">
    <w:name w:val="默认段落字体 Para Char Char Char Char Char Char Char Char Char Char Char Char Char Char"/>
    <w:basedOn w:val="999"/>
    <w:uiPriority w:val="0"/>
    <w:qFormat/>
    <w:rPr>
      <w:rFonts w:ascii="Tahoma" w:hAnsi="Tahoma"/>
      <w:sz w:val="24"/>
    </w:rPr>
  </w:style>
  <w:style w:type="character" w:styleId="1409" w:customStyle="1">
    <w:name w:val="font71"/>
    <w:uiPriority w:val="0"/>
    <w:qFormat/>
    <w:rPr>
      <w:rFonts w:hint="eastAsia" w:ascii="宋体" w:hAnsi="宋体" w:eastAsia="宋体" w:cs="宋体"/>
      <w:color w:val="ff0000"/>
      <w:sz w:val="24"/>
      <w:szCs w:val="24"/>
      <w:u w:val="none"/>
    </w:rPr>
  </w:style>
  <w:style w:type="paragraph" w:styleId="1410" w:customStyle="1">
    <w:name w:val="正文缩进1"/>
    <w:basedOn w:val="765"/>
    <w:uiPriority w:val="0"/>
    <w:qFormat/>
    <w:pPr>
      <w:ind w:firstLine="420"/>
    </w:pPr>
    <w:rPr>
      <w:szCs w:val="20"/>
    </w:rPr>
  </w:style>
  <w:style w:type="character" w:styleId="1411" w:customStyle="1">
    <w:name w:val="占位符文本1"/>
    <w:uiPriority w:val="99"/>
    <w:qFormat/>
    <w:rPr>
      <w:color w:val="808080"/>
    </w:rPr>
  </w:style>
  <w:style w:type="paragraph" w:styleId="1412" w:customStyle="1">
    <w:name w:val="B2"/>
    <w:basedOn w:val="765"/>
    <w:uiPriority w:val="0"/>
    <w:qFormat/>
    <w:pPr>
      <w:numPr>
        <w:ilvl w:val="1"/>
        <w:numId w:val="4"/>
      </w:numPr>
      <w:tabs>
        <w:tab w:val="left" w:pos="1418" w:leader="none"/>
      </w:tabs>
      <w:outlineLvl w:val="1"/>
    </w:pPr>
    <w:rPr>
      <w:rFonts w:ascii="Arial Narrow" w:hAnsi="Arial Narrow" w:eastAsia="仿宋"/>
      <w:sz w:val="24"/>
      <w:szCs w:val="24"/>
    </w:rPr>
  </w:style>
  <w:style w:type="paragraph" w:styleId="1413" w:customStyle="1">
    <w:name w:val="B1"/>
    <w:basedOn w:val="765"/>
    <w:uiPriority w:val="0"/>
    <w:qFormat/>
    <w:pPr>
      <w:numPr>
        <w:ilvl w:val="0"/>
        <w:numId w:val="4"/>
      </w:numPr>
      <w:jc w:val="left"/>
      <w:tabs>
        <w:tab w:val="left" w:pos="1418" w:leader="none"/>
      </w:tabs>
      <w:outlineLvl w:val="0"/>
    </w:pPr>
    <w:rPr>
      <w:rFonts w:ascii="Arial Narrow" w:hAnsi="Arial Narrow" w:eastAsia="仿宋"/>
      <w:b/>
      <w:sz w:val="28"/>
      <w:szCs w:val="24"/>
    </w:rPr>
  </w:style>
  <w:style w:type="paragraph" w:styleId="1414" w:customStyle="1">
    <w:name w:val="正文文本11"/>
    <w:basedOn w:val="765"/>
    <w:next w:val="765"/>
    <w:uiPriority w:val="0"/>
    <w:qFormat/>
    <w:rPr>
      <w:rFonts w:ascii="楷体_GB2312" w:hAnsi="Arial" w:eastAsia="楷体_GB2312"/>
      <w:sz w:val="28"/>
      <w:szCs w:val="28"/>
    </w:rPr>
  </w:style>
  <w:style w:type="paragraph" w:styleId="1415" w:customStyle="1">
    <w:name w:val="Table Text"/>
    <w:basedOn w:val="765"/>
    <w:uiPriority w:val="0"/>
    <w:qFormat/>
    <w:rPr>
      <w:rFonts w:ascii="宋体" w:hAnsi="宋体" w:cs="宋体"/>
      <w:sz w:val="17"/>
      <w:szCs w:val="17"/>
      <w:lang w:eastAsia="en-US"/>
    </w:rPr>
  </w:style>
  <w:style w:type="table" w:styleId="1416" w:customStyle="1">
    <w:name w:val="Table Normal"/>
    <w:uiPriority w:val="0"/>
    <w:qFormat/>
    <w:tblPr>
      <w:tblCellMar>
        <w:left w:w="0" w:type="dxa"/>
        <w:top w:w="0" w:type="dxa"/>
        <w:right w:w="0" w:type="dxa"/>
        <w:bottom w:w="0" w:type="dxa"/>
      </w:tblCellMar>
    </w:tblPr>
  </w:style>
  <w:style w:type="character" w:styleId="1417" w:customStyle="1">
    <w:name w:val="mark"/>
    <w:uiPriority w:val="0"/>
    <w:qFormat/>
    <w:rPr>
      <w:rFonts w:ascii="Times New Roman" w:hAnsi="Times New Roman" w:eastAsia="宋体" w:cs="Times New Roman"/>
    </w:rPr>
  </w:style>
  <w:style w:type="paragraph" w:styleId="1418" w:customStyle="1">
    <w:name w:val="标题 311"/>
    <w:basedOn w:val="765"/>
    <w:next w:val="765"/>
    <w:uiPriority w:val="0"/>
    <w:qFormat/>
    <w:pPr>
      <w:keepLines/>
      <w:keepNext/>
      <w:spacing w:before="260" w:after="260" w:line="416" w:lineRule="auto"/>
      <w:outlineLvl w:val="2"/>
    </w:pPr>
    <w:rPr>
      <w:b/>
      <w:sz w:val="32"/>
      <w:szCs w:val="20"/>
    </w:rPr>
  </w:style>
  <w:style w:type="paragraph" w:styleId="1419" w:customStyle="1">
    <w:name w:val="p16"/>
    <w:basedOn w:val="765"/>
    <w:uiPriority w:val="0"/>
    <w:qFormat/>
    <w:pPr>
      <w:widowControl/>
    </w:pPr>
    <w:rPr>
      <w:rFonts w:ascii="宋体" w:hAnsi="宋体" w:cs="宋体"/>
      <w:b/>
      <w:color w:val="000000"/>
      <w:position w:val="-10"/>
      <w:sz w:val="28"/>
      <w:szCs w:val="28"/>
    </w:rPr>
  </w:style>
  <w:style w:type="paragraph" w:styleId="1420" w:customStyle="1">
    <w:name w:val="p19"/>
    <w:basedOn w:val="765"/>
    <w:uiPriority w:val="0"/>
    <w:qFormat/>
    <w:pPr>
      <w:widowControl/>
    </w:pPr>
    <w:rPr>
      <w:rFonts w:ascii="宋体" w:hAnsi="宋体" w:cs="宋体"/>
      <w:b/>
      <w:color w:val="000000"/>
      <w:position w:val="-10"/>
      <w:sz w:val="28"/>
      <w:szCs w:val="28"/>
    </w:rPr>
  </w:style>
  <w:style w:type="paragraph" w:styleId="1421" w:customStyle="1">
    <w:name w:val="修订2"/>
    <w:uiPriority w:val="99"/>
    <w:qFormat/>
    <w:rPr>
      <w:rFonts w:ascii="Times New Roman" w:hAnsi="Times New Roman" w:eastAsia="宋体" w:cs="Times New Roman"/>
      <w:sz w:val="21"/>
      <w:szCs w:val="22"/>
      <w:lang w:val="en-US" w:eastAsia="zh-CN" w:bidi="ar-SA"/>
    </w:rPr>
  </w:style>
  <w:style w:type="character" w:styleId="1422" w:customStyle="1">
    <w:name w:val="日期 Char"/>
    <w:basedOn w:val="775"/>
    <w:link w:val="788"/>
    <w:uiPriority w:val="99"/>
    <w:qFormat/>
    <w:rPr>
      <w:sz w:val="21"/>
      <w:szCs w:val="22"/>
    </w:rPr>
  </w:style>
  <w:style w:type="character" w:styleId="1423" w:customStyle="1">
    <w:name w:val="列出段落 Char"/>
    <w:link w:val="1209"/>
    <w:uiPriority w:val="34"/>
    <w:qFormat/>
    <w:rPr>
      <w:rFonts w:ascii="Calibri" w:hAnsi="Calibri"/>
      <w:sz w:val="21"/>
      <w:szCs w:val="22"/>
    </w:rPr>
  </w:style>
  <w:style w:type="character" w:styleId="1424" w:customStyle="1">
    <w:name w:val="正文文本缩进 Char1"/>
    <w:basedOn w:val="775"/>
    <w:link w:val="783"/>
    <w:uiPriority w:val="99"/>
    <w:qFormat/>
    <w:rPr>
      <w:sz w:val="21"/>
      <w:szCs w:val="22"/>
    </w:rPr>
  </w:style>
  <w:style w:type="character" w:styleId="1425" w:customStyle="1">
    <w:name w:val="标题 2 Char"/>
    <w:uiPriority w:val="0"/>
    <w:qFormat/>
    <w:rPr>
      <w:rFonts w:ascii="Cambria" w:hAnsi="Cambria" w:eastAsia="宋体" w:cs="Times New Roman"/>
      <w:b/>
      <w:bCs/>
      <w:sz w:val="32"/>
      <w:szCs w:val="32"/>
    </w:rPr>
  </w:style>
  <w:style w:type="paragraph" w:styleId="1426" w:customStyle="1">
    <w:name w:val="列表段落2"/>
    <w:basedOn w:val="765"/>
    <w:uiPriority w:val="34"/>
    <w:qFormat/>
    <w:pPr>
      <w:ind w:firstLine="420"/>
    </w:pPr>
  </w:style>
  <w:style w:type="character" w:styleId="1427" w:customStyle="1">
    <w:name w:val="批注框文本 Char"/>
    <w:basedOn w:val="775"/>
    <w:link w:val="790"/>
    <w:uiPriority w:val="99"/>
    <w:semiHidden/>
    <w:qFormat/>
    <w:rPr>
      <w:sz w:val="18"/>
      <w:szCs w:val="18"/>
    </w:rPr>
  </w:style>
  <w:style w:type="character" w:styleId="1428" w:customStyle="1">
    <w:name w:val="批注文字 Char"/>
    <w:basedOn w:val="775"/>
    <w:link w:val="780"/>
    <w:uiPriority w:val="99"/>
    <w:qFormat/>
    <w:rPr>
      <w:sz w:val="21"/>
      <w:szCs w:val="22"/>
    </w:rPr>
  </w:style>
  <w:style w:type="character" w:styleId="1429" w:customStyle="1">
    <w:name w:val="批注主题 Char"/>
    <w:basedOn w:val="1428"/>
    <w:link w:val="804"/>
    <w:uiPriority w:val="99"/>
    <w:semiHidden/>
    <w:qFormat/>
    <w:rPr>
      <w:b/>
      <w:bCs/>
      <w:sz w:val="21"/>
      <w:szCs w:val="22"/>
    </w:rPr>
  </w:style>
  <w:style w:type="paragraph" w:styleId="1430" w:customStyle="1">
    <w:name w:val="修订3"/>
    <w:hidden/>
    <w:uiPriority w:val="99"/>
    <w:unhideWhenUsed/>
    <w:qFormat/>
    <w:rPr>
      <w:rFonts w:ascii="Times New Roman" w:hAnsi="Times New Roman" w:eastAsia="宋体" w:cs="Times New Roman"/>
      <w:sz w:val="21"/>
      <w:szCs w:val="22"/>
      <w:lang w:val="en-US" w:eastAsia="zh-CN" w:bidi="ar-SA"/>
    </w:rPr>
  </w:style>
  <w:style w:type="numbering" w:styleId="14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674FB74A-CFD6-41D3-A7A4-D502E700DCC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戴婷</cp:lastModifiedBy>
  <cp:revision>5</cp:revision>
  <dcterms:created xsi:type="dcterms:W3CDTF">2026-04-24T06:09:00Z</dcterms:created>
  <dcterms:modified xsi:type="dcterms:W3CDTF">2026-05-18T07:40:46Z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82D96D7903BC40ACBDFF99B2DF3C3955_13</vt:lpwstr>
  </property>
  <property fmtid="{D5CDD505-2E9C-101B-9397-08002B2CF9AE}" pid="4" name="KSOTemplateDocerSaveRecord">
    <vt:lpwstr>eyJoZGlkIjoiZWU0MTFmYzZmZDM2ZGViNDAyYTRhODI2YzUyYjg2ZjMiLCJ1c2VySWQiOiIyMzk1MjI1ODEifQ==</vt:lpwstr>
  </property>
</Properties>
</file>