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lang w:val="en-US" w:eastAsia="zh-CN"/>
        </w:rPr>
        <w:outlineLvl w:val="9"/>
      </w:pPr>
      <w:r>
        <w:rPr>
          <w:rFonts w:hint="eastAsia" w:ascii="黑体" w:hAnsi="华文中宋" w:eastAsia="黑体"/>
          <w:bCs/>
          <w:color w:val="auto"/>
          <w:spacing w:val="20"/>
          <w:sz w:val="72"/>
          <w:szCs w:val="72"/>
          <w:highlight w:val="none"/>
          <w:lang w:val="en-US" w:eastAsia="zh-CN"/>
        </w:rPr>
      </w:r>
      <w:r/>
    </w:p>
    <w:p>
      <w:pPr>
        <w:jc w:val="center"/>
        <w:rPr>
          <w:rFonts w:hint="eastAsia" w:ascii="黑体" w:hAnsi="华文中宋" w:eastAsia="黑体"/>
          <w:bCs/>
          <w:color w:val="auto"/>
          <w:spacing w:val="20"/>
          <w:sz w:val="72"/>
          <w:szCs w:val="72"/>
          <w:highlight w:val="none"/>
        </w:rPr>
        <w:outlineLvl w:val="9"/>
      </w:pPr>
      <w:r>
        <w:rPr>
          <w:rFonts w:hint="eastAsia"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outlineLvl w:val="9"/>
      </w:pPr>
      <w:r>
        <w:rPr>
          <w:rFonts w:hint="eastAsia" w:ascii="黑体" w:hAnsi="华文中宋" w:eastAsia="黑体"/>
          <w:bCs/>
          <w:color w:val="auto"/>
          <w:spacing w:val="20"/>
          <w:sz w:val="72"/>
          <w:szCs w:val="72"/>
          <w:highlight w:val="none"/>
        </w:rPr>
        <w:t xml:space="preserve">无锡市政府采购</w:t>
      </w:r>
      <w:r/>
    </w:p>
    <w:p>
      <w:pPr>
        <w:rPr>
          <w:rFonts w:ascii="华文中宋" w:hAnsi="华文中宋" w:eastAsia="华文中宋"/>
          <w:bCs/>
          <w:color w:val="auto"/>
          <w:sz w:val="30"/>
          <w:highlight w:val="none"/>
        </w:rPr>
        <w:outlineLvl w:val="9"/>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outlineLvl w:val="9"/>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outlineLvl w:val="9"/>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outlineLvl w:val="9"/>
      </w:pPr>
      <w:r>
        <w:rPr>
          <w:rFonts w:hint="eastAsia" w:ascii="黑体" w:hAnsi="华文中宋" w:eastAsia="黑体"/>
          <w:bCs/>
          <w:color w:val="auto"/>
          <w:spacing w:val="20"/>
          <w:sz w:val="48"/>
          <w:szCs w:val="48"/>
          <w:highlight w:val="none"/>
        </w:rPr>
        <w:t xml:space="preserve">公 </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ascii="黑体" w:hAnsi="华文中宋" w:eastAsia="黑体"/>
          <w:bCs/>
          <w:color w:val="auto"/>
          <w:spacing w:val="20"/>
          <w:sz w:val="52"/>
          <w:szCs w:val="52"/>
          <w:highlight w:val="none"/>
        </w:rPr>
        <w:outlineLvl w:val="9"/>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lang w:val="en-US" w:eastAsia="zh-CN"/>
        </w:rPr>
        <w:t xml:space="preserve"> </w:t>
      </w:r>
      <w:r>
        <w:rPr>
          <w:rFonts w:hint="eastAsia" w:ascii="黑体" w:hAnsi="华文中宋" w:eastAsia="黑体"/>
          <w:bCs/>
          <w:color w:val="auto"/>
          <w:spacing w:val="20"/>
          <w:sz w:val="52"/>
          <w:szCs w:val="52"/>
          <w:highlight w:val="none"/>
        </w:rPr>
        <w:t xml:space="preserve">件</w:t>
      </w:r>
      <w:r/>
    </w:p>
    <w:p>
      <w:pPr>
        <w:rPr>
          <w:rFonts w:ascii="华文中宋" w:hAnsi="华文中宋" w:eastAsia="华文中宋"/>
          <w:bCs/>
          <w:color w:val="auto"/>
          <w:sz w:val="30"/>
          <w:highlight w:val="none"/>
        </w:rPr>
        <w:outlineLvl w:val="9"/>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outlineLvl w:val="9"/>
      </w:pPr>
      <w:r>
        <w:rPr>
          <w:rFonts w:hint="eastAsia" w:ascii="华文中宋" w:hAnsi="华文中宋" w:eastAsia="华文中宋"/>
          <w:bCs/>
          <w:color w:val="auto"/>
          <w:sz w:val="30"/>
          <w:highlight w:val="none"/>
        </w:rPr>
        <w:t xml:space="preserve">（全流程电子化）</w:t>
      </w:r>
      <w:r/>
    </w:p>
    <w:p>
      <w:pPr>
        <w:jc w:val="left"/>
        <w:rPr>
          <w:rFonts w:hint="eastAsia" w:ascii="华文中宋" w:hAnsi="华文中宋" w:eastAsia="华文中宋"/>
          <w:bCs/>
          <w:color w:val="auto"/>
          <w:sz w:val="30"/>
          <w:highlight w:val="none"/>
        </w:rPr>
        <w:outlineLvl w:val="9"/>
      </w:pPr>
      <w:r>
        <w:rPr>
          <w:rFonts w:hint="eastAsia" w:ascii="华文中宋" w:hAnsi="华文中宋" w:eastAsia="华文中宋"/>
          <w:bCs/>
          <w:color w:val="auto"/>
          <w:sz w:val="30"/>
          <w:highlight w:val="none"/>
        </w:rPr>
      </w:r>
      <w:r/>
    </w:p>
    <w:p>
      <w:pPr>
        <w:jc w:val="left"/>
        <w:rPr>
          <w:rFonts w:hint="eastAsia" w:ascii="华文中宋" w:hAnsi="华文中宋" w:eastAsia="华文中宋"/>
          <w:b/>
          <w:bCs/>
          <w:color w:val="auto"/>
          <w:sz w:val="28"/>
          <w:szCs w:val="28"/>
          <w:highlight w:val="none"/>
        </w:rPr>
        <w:outlineLvl w:val="9"/>
      </w:pPr>
      <w:r>
        <w:rPr>
          <w:rFonts w:hint="eastAsia" w:ascii="华文中宋" w:hAnsi="华文中宋" w:eastAsia="华文中宋"/>
          <w:b/>
          <w:bCs/>
          <w:color w:val="auto"/>
          <w:sz w:val="28"/>
          <w:szCs w:val="28"/>
          <w:highlight w:val="none"/>
        </w:rPr>
      </w:r>
      <w:r/>
    </w:p>
    <w:p>
      <w:pPr>
        <w:ind w:firstLine="560"/>
        <w:rPr>
          <w:rFonts w:hint="eastAsia" w:ascii="黑体" w:hAnsi="黑体" w:eastAsia="黑体"/>
          <w:color w:val="auto"/>
          <w:sz w:val="28"/>
          <w:szCs w:val="28"/>
          <w:highlight w:val="none"/>
        </w:rPr>
        <w:outlineLvl w:val="9"/>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outlineLvl w:val="9"/>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outlineLvl w:val="9"/>
      </w:pPr>
      <w:r>
        <w:rPr>
          <w:rFonts w:hint="eastAsia" w:ascii="黑体" w:hAnsi="黑体" w:eastAsia="黑体"/>
          <w:color w:val="auto"/>
          <w:sz w:val="28"/>
          <w:szCs w:val="28"/>
          <w:highlight w:val="none"/>
        </w:rPr>
      </w:r>
      <w:r/>
    </w:p>
    <w:p>
      <w:pPr>
        <w:ind w:firstLine="560"/>
        <w:rPr>
          <w:rFonts w:hint="default" w:ascii="黑体" w:hAnsi="黑体" w:eastAsia="黑体"/>
          <w:color w:val="auto"/>
          <w:sz w:val="28"/>
          <w:szCs w:val="28"/>
          <w:highlight w:val="none"/>
          <w:lang w:val="en-US"/>
        </w:rPr>
        <w:outlineLvl w:val="9"/>
      </w:pPr>
      <w:r>
        <w:rPr>
          <w:rFonts w:hint="eastAsia" w:ascii="黑体" w:hAnsi="黑体" w:eastAsia="黑体"/>
          <w:color w:val="auto"/>
          <w:sz w:val="28"/>
          <w:szCs w:val="28"/>
          <w:highlight w:val="none"/>
        </w:rPr>
        <w:t xml:space="preserve">采购项目编号：</w:t>
      </w:r>
      <w:r>
        <w:rPr>
          <w:rFonts w:hint="eastAsia" w:ascii="黑体" w:hAnsi="黑体" w:eastAsia="黑体"/>
          <w:color w:val="auto"/>
          <w:sz w:val="28"/>
          <w:szCs w:val="28"/>
          <w:highlight w:val="none"/>
          <w:lang w:val="en-US" w:eastAsia="zh-CN"/>
        </w:rPr>
        <w:t xml:space="preserve">JSZC-320205-ZLZL-G2026-0002</w:t>
      </w:r>
      <w:r/>
    </w:p>
    <w:p>
      <w:pPr>
        <w:rPr>
          <w:rFonts w:hint="eastAsia" w:ascii="黑体" w:hAnsi="黑体" w:eastAsia="黑体"/>
          <w:color w:val="auto"/>
          <w:sz w:val="28"/>
          <w:szCs w:val="28"/>
          <w:highlight w:val="none"/>
        </w:rPr>
        <w:outlineLvl w:val="9"/>
      </w:pPr>
      <w:r>
        <w:rPr>
          <w:rFonts w:hint="eastAsia" w:ascii="黑体" w:hAnsi="黑体" w:eastAsia="黑体"/>
          <w:color w:val="auto"/>
          <w:sz w:val="28"/>
          <w:szCs w:val="28"/>
          <w:highlight w:val="none"/>
        </w:rPr>
      </w:r>
      <w:r/>
    </w:p>
    <w:p>
      <w:pPr>
        <w:ind w:left="2518" w:hanging="1960"/>
        <w:rPr>
          <w:rFonts w:hint="eastAsia" w:ascii="黑体" w:hAnsi="黑体" w:eastAsia="黑体"/>
          <w:color w:val="auto"/>
          <w:sz w:val="28"/>
          <w:szCs w:val="28"/>
          <w:highlight w:val="none"/>
          <w:lang w:eastAsia="zh-CN"/>
        </w:rPr>
        <w:outlineLvl w:val="9"/>
      </w:pPr>
      <w:r>
        <w:rPr>
          <w:rFonts w:hint="eastAsia" w:ascii="黑体" w:hAnsi="黑体" w:eastAsia="黑体"/>
          <w:color w:val="auto"/>
          <w:sz w:val="28"/>
          <w:szCs w:val="28"/>
          <w:highlight w:val="none"/>
        </w:rPr>
        <w:t xml:space="preserve">采购项目名称：</w:t>
      </w:r>
      <w:r>
        <w:rPr>
          <w:rFonts w:hint="eastAsia" w:ascii="黑体" w:hAnsi="黑体" w:eastAsia="黑体"/>
          <w:color w:val="auto"/>
          <w:sz w:val="28"/>
          <w:szCs w:val="28"/>
          <w:highlight w:val="none"/>
          <w:lang w:eastAsia="zh-CN"/>
        </w:rPr>
        <w:t xml:space="preserve">江苏省锡东高级中学大成分校家具采购项目</w:t>
      </w:r>
      <w:r/>
    </w:p>
    <w:p>
      <w:pPr>
        <w:rPr>
          <w:rFonts w:hint="eastAsia" w:ascii="黑体" w:hAnsi="黑体" w:eastAsia="黑体"/>
          <w:color w:val="auto"/>
          <w:sz w:val="28"/>
          <w:szCs w:val="28"/>
          <w:highlight w:val="none"/>
        </w:rPr>
        <w:outlineLvl w:val="9"/>
      </w:pPr>
      <w:r>
        <w:rPr>
          <w:rFonts w:hint="eastAsia" w:ascii="黑体" w:hAnsi="黑体" w:eastAsia="黑体"/>
          <w:color w:val="auto"/>
          <w:sz w:val="28"/>
          <w:szCs w:val="28"/>
          <w:highlight w:val="none"/>
        </w:rPr>
      </w:r>
      <w:r/>
    </w:p>
    <w:p>
      <w:pPr>
        <w:ind w:left="2518" w:hanging="1960"/>
        <w:rPr>
          <w:rFonts w:hint="eastAsia" w:ascii="黑体" w:hAnsi="黑体" w:eastAsia="黑体" w:cs="Times New Roman"/>
          <w:color w:val="auto"/>
          <w:sz w:val="28"/>
          <w:szCs w:val="28"/>
          <w:highlight w:val="none"/>
          <w:lang w:eastAsia="zh-CN"/>
        </w:rPr>
        <w:outlineLvl w:val="9"/>
      </w:pPr>
      <w:r>
        <w:rPr>
          <w:rFonts w:hint="eastAsia" w:ascii="黑体" w:hAnsi="黑体" w:eastAsia="黑体" w:cs="Times New Roman"/>
          <w:color w:val="auto"/>
          <w:sz w:val="28"/>
          <w:szCs w:val="28"/>
          <w:highlight w:val="none"/>
        </w:rPr>
        <w:t xml:space="preserve">采</w:t>
      </w:r>
      <w:r>
        <w:rPr>
          <w:rFonts w:hint="eastAsia" w:ascii="黑体" w:hAnsi="黑体" w:eastAsia="黑体" w:cs="Times New Roman"/>
          <w:color w:val="auto"/>
          <w:sz w:val="28"/>
          <w:szCs w:val="28"/>
          <w:highlight w:val="none"/>
          <w:lang w:val="en-US" w:eastAsia="zh-CN"/>
        </w:rPr>
        <w:t xml:space="preserve">   </w:t>
      </w:r>
      <w:r>
        <w:rPr>
          <w:rFonts w:hint="eastAsia" w:ascii="黑体" w:hAnsi="黑体" w:eastAsia="黑体" w:cs="Times New Roman"/>
          <w:color w:val="auto"/>
          <w:sz w:val="28"/>
          <w:szCs w:val="28"/>
          <w:highlight w:val="none"/>
        </w:rPr>
        <w:t xml:space="preserve">购</w:t>
      </w:r>
      <w:r>
        <w:rPr>
          <w:rFonts w:hint="eastAsia" w:ascii="黑体" w:hAnsi="黑体" w:eastAsia="黑体" w:cs="Times New Roman"/>
          <w:color w:val="auto"/>
          <w:sz w:val="28"/>
          <w:szCs w:val="28"/>
          <w:highlight w:val="none"/>
          <w:lang w:val="en-US" w:eastAsia="zh-CN"/>
        </w:rPr>
        <w:t xml:space="preserve">   </w:t>
      </w:r>
      <w:r>
        <w:rPr>
          <w:rFonts w:hint="eastAsia" w:ascii="黑体" w:hAnsi="黑体" w:eastAsia="黑体" w:cs="Times New Roman"/>
          <w:color w:val="auto"/>
          <w:sz w:val="28"/>
          <w:szCs w:val="28"/>
          <w:highlight w:val="none"/>
        </w:rPr>
        <w:t xml:space="preserve">人：</w:t>
      </w:r>
      <w:r>
        <w:rPr>
          <w:rFonts w:hint="eastAsia" w:ascii="黑体" w:hAnsi="黑体" w:eastAsia="黑体" w:cs="Times New Roman"/>
          <w:color w:val="auto"/>
          <w:sz w:val="28"/>
          <w:szCs w:val="28"/>
          <w:highlight w:val="none"/>
          <w:lang w:eastAsia="zh-CN"/>
        </w:rPr>
        <w:t xml:space="preserve">江苏省锡东高级中学大成分校</w:t>
      </w:r>
      <w:r/>
    </w:p>
    <w:p>
      <w:pPr>
        <w:rPr>
          <w:rFonts w:hint="eastAsia" w:ascii="黑体" w:hAnsi="黑体" w:eastAsia="黑体" w:cs="Times New Roman"/>
          <w:color w:val="auto"/>
          <w:sz w:val="28"/>
          <w:szCs w:val="28"/>
          <w:highlight w:val="none"/>
        </w:rPr>
        <w:outlineLvl w:val="9"/>
      </w:pPr>
      <w:r>
        <w:rPr>
          <w:rFonts w:hint="eastAsia" w:ascii="黑体" w:hAnsi="黑体" w:eastAsia="黑体" w:cs="Times New Roman"/>
          <w:color w:val="auto"/>
          <w:sz w:val="28"/>
          <w:szCs w:val="28"/>
          <w:highlight w:val="none"/>
        </w:rPr>
      </w:r>
      <w:r/>
    </w:p>
    <w:p>
      <w:pPr>
        <w:ind w:firstLine="560"/>
        <w:rPr>
          <w:rFonts w:hint="eastAsia" w:ascii="黑体" w:hAnsi="黑体" w:eastAsia="黑体"/>
          <w:color w:val="auto"/>
          <w:sz w:val="28"/>
          <w:szCs w:val="28"/>
          <w:highlight w:val="none"/>
          <w:lang w:eastAsia="zh-CN"/>
        </w:rPr>
        <w:outlineLvl w:val="9"/>
      </w:pPr>
      <w:r>
        <w:rPr>
          <w:rFonts w:hint="eastAsia" w:ascii="黑体" w:hAnsi="黑体" w:eastAsia="黑体"/>
          <w:color w:val="auto"/>
          <w:sz w:val="28"/>
          <w:szCs w:val="28"/>
          <w:highlight w:val="none"/>
        </w:rPr>
        <w:t xml:space="preserve">采购代理机构：</w:t>
      </w:r>
      <w:r>
        <w:rPr>
          <w:rFonts w:hint="eastAsia" w:ascii="黑体" w:hAnsi="黑体" w:eastAsia="黑体"/>
          <w:color w:val="auto"/>
          <w:sz w:val="28"/>
          <w:szCs w:val="28"/>
          <w:highlight w:val="none"/>
          <w:lang w:eastAsia="zh-CN"/>
        </w:rPr>
        <w:t xml:space="preserve">江苏正龙项目管理有限公司</w:t>
      </w:r>
      <w:r/>
    </w:p>
    <w:p>
      <w:pPr>
        <w:rPr>
          <w:rFonts w:ascii="黑体" w:hAnsi="黑体" w:eastAsia="黑体"/>
          <w:color w:val="auto"/>
          <w:highlight w:val="none"/>
        </w:rPr>
        <w:outlineLvl w:val="9"/>
      </w:pPr>
      <w:r>
        <w:rPr>
          <w:rFonts w:ascii="黑体" w:hAnsi="黑体" w:eastAsia="黑体"/>
          <w:color w:val="auto"/>
          <w:highlight w:val="none"/>
        </w:rPr>
      </w:r>
      <w:r/>
    </w:p>
    <w:p>
      <w:pPr>
        <w:jc w:val="center"/>
        <w:rPr>
          <w:rFonts w:hint="eastAsia" w:ascii="黑体" w:hAnsi="华文中宋" w:eastAsia="黑体"/>
          <w:bCs/>
          <w:color w:val="auto"/>
          <w:sz w:val="28"/>
          <w:szCs w:val="28"/>
          <w:highlight w:val="none"/>
        </w:rPr>
        <w:outlineLvl w:val="9"/>
      </w:pPr>
      <w:r>
        <w:rPr>
          <w:rFonts w:hint="eastAsia" w:ascii="黑体" w:hAnsi="华文中宋" w:eastAsia="黑体"/>
          <w:bCs/>
          <w:color w:val="auto"/>
          <w:sz w:val="28"/>
          <w:szCs w:val="28"/>
          <w:highlight w:val="none"/>
        </w:rPr>
      </w:r>
      <w:r/>
    </w:p>
    <w:p>
      <w:pPr>
        <w:jc w:val="center"/>
        <w:rPr>
          <w:rFonts w:ascii="黑体" w:hAnsi="华文中宋" w:eastAsia="黑体"/>
          <w:bCs/>
          <w:color w:val="auto"/>
          <w:sz w:val="36"/>
          <w:szCs w:val="36"/>
          <w:highlight w:val="none"/>
        </w:rPr>
        <w:outlineLvl w:val="9"/>
      </w:pPr>
      <w:r>
        <w:rPr>
          <w:rFonts w:hint="eastAsia" w:ascii="黑体" w:hAnsi="华文中宋" w:eastAsia="黑体"/>
          <w:bCs/>
          <w:color w:val="auto"/>
          <w:sz w:val="36"/>
          <w:szCs w:val="36"/>
          <w:highlight w:val="none"/>
        </w:rPr>
        <w:t xml:space="preserve">二○二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五</w:t>
      </w:r>
      <w:r>
        <w:rPr>
          <w:rFonts w:hint="eastAsia" w:ascii="黑体" w:hAnsi="华文中宋" w:eastAsia="黑体"/>
          <w:bCs/>
          <w:color w:val="auto"/>
          <w:sz w:val="36"/>
          <w:szCs w:val="36"/>
          <w:highlight w:val="none"/>
        </w:rPr>
        <w:t xml:space="preserve">月</w:t>
      </w:r>
      <w:r/>
    </w:p>
    <w:p>
      <w:pPr>
        <w:jc w:val="center"/>
        <w:rPr>
          <w:rStyle w:val="1092"/>
          <w:rFonts w:hint="eastAsia" w:eastAsia="黑体"/>
          <w:bCs/>
          <w:color w:val="auto"/>
          <w:sz w:val="48"/>
          <w:highlight w:val="none"/>
        </w:rPr>
        <w:sectPr>
          <w:headerReference w:type="default" r:id="rId9"/>
          <w:headerReference w:type="first" r:id="rId10"/>
          <w:footerReference w:type="even" r:id="rId11"/>
          <w:footerReference w:type="first" r:id="rId12"/>
          <w:footnotePr/>
          <w:endnotePr/>
          <w:type w:val="continuous"/>
          <w:pgSz w:w="11906" w:h="16838" w:orient="portrait"/>
          <w:pgMar w:top="567" w:right="851" w:bottom="567" w:left="1134" w:header="624" w:footer="907" w:gutter="0"/>
          <w:cols w:num="1" w:sep="0" w:space="1701" w:equalWidth="1"/>
          <w:docGrid w:linePitch="360"/>
        </w:sectPr>
        <w:outlineLvl w:val="9"/>
      </w:pPr>
      <w:r>
        <w:rPr>
          <w:rFonts w:hint="eastAsia" w:eastAsia="黑体"/>
          <w:bCs/>
          <w:color w:val="auto"/>
          <w:sz w:val="48"/>
          <w:highlight w:val="none"/>
        </w:rPr>
      </w:r>
      <w:r/>
    </w:p>
    <w:p>
      <w:pPr>
        <w:jc w:val="center"/>
        <w:rPr>
          <w:rStyle w:val="1092"/>
          <w:rFonts w:eastAsia="黑体"/>
          <w:bCs/>
          <w:color w:val="auto"/>
          <w:sz w:val="48"/>
          <w:highlight w:val="none"/>
        </w:rPr>
        <w:outlineLvl w:val="9"/>
      </w:pPr>
      <w:r>
        <w:rPr>
          <w:rStyle w:val="1092"/>
          <w:rFonts w:hint="eastAsia" w:eastAsia="黑体"/>
          <w:bCs/>
          <w:color w:val="auto"/>
          <w:sz w:val="48"/>
          <w:highlight w:val="none"/>
        </w:rPr>
        <w:t xml:space="preserve">目</w:t>
      </w:r>
      <w:r>
        <w:rPr>
          <w:rStyle w:val="1092"/>
          <w:rFonts w:eastAsia="黑体"/>
          <w:bCs/>
          <w:color w:val="auto"/>
          <w:sz w:val="48"/>
          <w:highlight w:val="none"/>
        </w:rPr>
        <w:t xml:space="preserve">     </w:t>
      </w:r>
      <w:r>
        <w:rPr>
          <w:rStyle w:val="1092"/>
          <w:rFonts w:hint="eastAsia" w:eastAsia="黑体"/>
          <w:bCs/>
          <w:color w:val="auto"/>
          <w:sz w:val="48"/>
          <w:highlight w:val="none"/>
        </w:rPr>
        <w:t xml:space="preserve">录</w:t>
      </w:r>
      <w:r/>
    </w:p>
    <w:p>
      <w:pPr>
        <w:jc w:val="center"/>
        <w:rPr>
          <w:rFonts w:ascii="黑体" w:eastAsia="黑体"/>
          <w:bCs/>
          <w:color w:val="auto"/>
          <w:sz w:val="30"/>
          <w:highlight w:val="none"/>
        </w:rPr>
        <w:outlineLvl w:val="9"/>
      </w:pPr>
      <w:r>
        <w:rPr>
          <w:rFonts w:ascii="黑体" w:eastAsia="黑体"/>
          <w:bCs/>
          <w:color w:val="auto"/>
          <w:sz w:val="30"/>
          <w:highlight w:val="none"/>
        </w:rPr>
      </w:r>
      <w:r/>
    </w:p>
    <w:p>
      <w:pPr>
        <w:ind w:firstLine="450"/>
        <w:spacing w:line="720" w:lineRule="auto"/>
        <w:rPr>
          <w:rFonts w:ascii="宋体"/>
          <w:bCs/>
          <w:color w:val="auto"/>
          <w:sz w:val="30"/>
          <w:szCs w:val="30"/>
          <w:highlight w:val="none"/>
        </w:rPr>
        <w:outlineLvl w:val="9"/>
      </w:pPr>
      <w:r>
        <w:rPr>
          <w:rFonts w:hint="eastAsia" w:ascii="宋体" w:hAnsi="宋体"/>
          <w:bCs/>
          <w:color w:val="auto"/>
          <w:sz w:val="30"/>
          <w:szCs w:val="30"/>
          <w:highlight w:val="none"/>
        </w:rPr>
        <w:t xml:space="preserve">一．投标邀请函</w:t>
      </w:r>
      <w:r/>
    </w:p>
    <w:p>
      <w:pPr>
        <w:ind w:firstLine="450"/>
        <w:spacing w:line="720" w:lineRule="auto"/>
        <w:rPr>
          <w:rFonts w:ascii="宋体"/>
          <w:bCs/>
          <w:color w:val="auto"/>
          <w:sz w:val="30"/>
          <w:szCs w:val="30"/>
          <w:highlight w:val="none"/>
        </w:rPr>
        <w:outlineLvl w:val="9"/>
      </w:pPr>
      <w:r>
        <w:rPr>
          <w:rFonts w:hint="eastAsia" w:ascii="宋体" w:hAnsi="宋体"/>
          <w:bCs/>
          <w:color w:val="auto"/>
          <w:sz w:val="30"/>
          <w:szCs w:val="30"/>
          <w:highlight w:val="none"/>
        </w:rPr>
        <w:t xml:space="preserve">二．投标供应商须知</w:t>
      </w:r>
      <w:r/>
    </w:p>
    <w:p>
      <w:pPr>
        <w:ind w:firstLine="450"/>
        <w:spacing w:line="720" w:lineRule="auto"/>
        <w:rPr>
          <w:rFonts w:ascii="宋体"/>
          <w:bCs/>
          <w:color w:val="auto"/>
          <w:sz w:val="30"/>
          <w:szCs w:val="30"/>
          <w:highlight w:val="none"/>
        </w:rPr>
        <w:outlineLvl w:val="9"/>
      </w:pPr>
      <w:r>
        <w:rPr>
          <w:rFonts w:hint="eastAsia" w:ascii="宋体" w:hAnsi="宋体"/>
          <w:bCs/>
          <w:color w:val="auto"/>
          <w:sz w:val="30"/>
          <w:szCs w:val="30"/>
          <w:highlight w:val="none"/>
        </w:rPr>
        <w:t xml:space="preserve">三．项目技术要求和有关说明</w:t>
      </w:r>
      <w:r/>
    </w:p>
    <w:p>
      <w:pPr>
        <w:ind w:firstLine="450"/>
        <w:spacing w:line="720" w:lineRule="auto"/>
        <w:rPr>
          <w:rFonts w:ascii="宋体"/>
          <w:bCs/>
          <w:color w:val="auto"/>
          <w:sz w:val="30"/>
          <w:szCs w:val="30"/>
          <w:highlight w:val="none"/>
        </w:rPr>
        <w:outlineLvl w:val="9"/>
      </w:pPr>
      <w:r>
        <w:rPr>
          <w:rFonts w:hint="eastAsia" w:ascii="宋体" w:hAnsi="宋体"/>
          <w:bCs/>
          <w:color w:val="auto"/>
          <w:sz w:val="30"/>
          <w:szCs w:val="30"/>
          <w:highlight w:val="none"/>
        </w:rPr>
        <w:t xml:space="preserve">四．合同书（格式文本）</w:t>
      </w:r>
      <w:r/>
    </w:p>
    <w:p>
      <w:pPr>
        <w:ind w:firstLine="450"/>
        <w:spacing w:line="720" w:lineRule="auto"/>
        <w:rPr>
          <w:rFonts w:hint="eastAsia" w:ascii="宋体" w:hAnsi="宋体"/>
          <w:bCs/>
          <w:color w:val="auto"/>
          <w:sz w:val="30"/>
          <w:szCs w:val="30"/>
          <w:highlight w:val="none"/>
        </w:rPr>
        <w:outlineLvl w:val="9"/>
      </w:pPr>
      <w:r>
        <w:rPr>
          <w:rFonts w:hint="eastAsia" w:ascii="宋体" w:hAnsi="宋体"/>
          <w:bCs/>
          <w:color w:val="auto"/>
          <w:sz w:val="30"/>
          <w:szCs w:val="30"/>
          <w:highlight w:val="none"/>
        </w:rPr>
        <w:t xml:space="preserve">五．合同条款（格式）</w:t>
      </w:r>
      <w:r/>
    </w:p>
    <w:p>
      <w:pPr>
        <w:ind w:firstLine="450"/>
        <w:spacing w:line="720" w:lineRule="auto"/>
        <w:rPr>
          <w:rFonts w:hint="eastAsia" w:ascii="宋体" w:hAnsi="宋体"/>
          <w:bCs/>
          <w:color w:val="auto"/>
          <w:sz w:val="30"/>
          <w:szCs w:val="30"/>
          <w:highlight w:val="none"/>
        </w:rPr>
        <w:outlineLvl w:val="9"/>
      </w:pPr>
      <w:r>
        <w:rPr>
          <w:rFonts w:hint="eastAsia" w:ascii="宋体" w:hAnsi="宋体"/>
          <w:bCs/>
          <w:color w:val="auto"/>
          <w:sz w:val="30"/>
          <w:szCs w:val="30"/>
          <w:highlight w:val="none"/>
        </w:rPr>
        <w:t xml:space="preserve">六．附件</w:t>
      </w:r>
      <w:r/>
    </w:p>
    <w:p>
      <w:pPr>
        <w:pStyle w:val="992"/>
        <w:rPr>
          <w:color w:val="auto"/>
          <w:highlight w:val="none"/>
        </w:rPr>
      </w:pPr>
      <w:r>
        <w:rPr>
          <w:color w:val="auto"/>
          <w:highlight w:val="none"/>
        </w:rPr>
      </w:r>
      <w:r/>
    </w:p>
    <w:p>
      <w:pPr>
        <w:jc w:val="center"/>
        <w:spacing w:line="360" w:lineRule="auto"/>
        <w:rPr>
          <w:rFonts w:ascii="黑体" w:eastAsia="黑体"/>
          <w:bCs/>
          <w:color w:val="auto"/>
          <w:sz w:val="28"/>
          <w:szCs w:val="28"/>
          <w:highlight w:val="none"/>
        </w:rPr>
        <w:sectPr>
          <w:footerReference w:type="default" r:id="rId13"/>
          <w:footnotePr/>
          <w:endnotePr/>
          <w:type w:val="nextPage"/>
          <w:pgSz w:w="11906" w:h="16838" w:orient="portrait"/>
          <w:pgMar w:top="567" w:right="851" w:bottom="567" w:left="1134" w:header="624" w:footer="907" w:gutter="0"/>
          <w:pgNumType w:start="2"/>
          <w:cols w:num="1" w:sep="0" w:space="1701" w:equalWidth="1"/>
          <w:docGrid w:linePitch="360"/>
        </w:sectPr>
        <w:outlineLvl w:val="9"/>
      </w:pPr>
      <w:r/>
      <w:bookmarkStart w:id="0" w:name="报价方须知前附表"/>
      <w:r/>
      <w:bookmarkEnd w:id="0"/>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一．投标邀请函</w:t>
      </w:r>
      <w:r/>
    </w:p>
    <w:p>
      <w:pPr>
        <w:ind w:firstLine="480"/>
        <w:jc w:val="both"/>
        <w:keepLines w:val="0"/>
        <w:keepNext w:val="0"/>
        <w:pageBreakBefore w:val="0"/>
        <w:spacing w:line="360" w:lineRule="auto"/>
        <w:rPr>
          <w:rFonts w:ascii="宋体" w:hAnsi="宋体"/>
          <w:bCs/>
          <w:color w:val="auto"/>
          <w:sz w:val="24"/>
          <w:szCs w:val="24"/>
          <w:highlight w:val="none"/>
        </w:rPr>
        <w:outlineLvl w:val="9"/>
      </w:pPr>
      <w:r>
        <w:rPr>
          <w:rFonts w:hint="eastAsia" w:ascii="宋体" w:hAnsi="宋体"/>
          <w:bCs/>
          <w:color w:val="auto"/>
          <w:sz w:val="24"/>
          <w:szCs w:val="24"/>
          <w:highlight w:val="none"/>
          <w:lang w:eastAsia="zh-CN"/>
        </w:rPr>
        <w:t xml:space="preserve">江苏正龙项目管理有限公司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江苏省锡东高级中学大成分校</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江苏省锡东高级中学大成分校家具采购项目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jc w:val="both"/>
        <w:keepLines w:val="0"/>
        <w:keepNext w:val="0"/>
        <w:pageBreakBefore w:val="0"/>
        <w:spacing w:line="360" w:lineRule="auto"/>
        <w:rPr>
          <w:rFonts w:ascii="黑体" w:hAnsi="黑体" w:eastAsia="黑体"/>
          <w:bCs/>
          <w:color w:val="auto"/>
          <w:sz w:val="24"/>
          <w:szCs w:val="24"/>
          <w:highlight w:val="none"/>
        </w:rPr>
        <w:outlineLvl w:val="1"/>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both"/>
        <w:keepLines w:val="0"/>
        <w:keepNext w:val="0"/>
        <w:pageBreakBefore w:val="0"/>
        <w:spacing w:line="360" w:lineRule="auto"/>
        <w:widowControl/>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rPr>
        <w:t xml:space="preserve">1.项目名称：</w:t>
      </w:r>
      <w:r>
        <w:rPr>
          <w:rFonts w:hint="eastAsia" w:ascii="宋体" w:hAnsi="宋体"/>
          <w:color w:val="auto"/>
          <w:sz w:val="24"/>
          <w:szCs w:val="24"/>
          <w:highlight w:val="none"/>
          <w:lang w:eastAsia="zh-CN"/>
        </w:rPr>
        <w:t xml:space="preserve">江苏省锡东高级中学大成分校家具采购项目</w:t>
      </w:r>
      <w:r/>
    </w:p>
    <w:p>
      <w:pPr>
        <w:ind w:firstLine="480"/>
        <w:jc w:val="both"/>
        <w:keepLines w:val="0"/>
        <w:keepNext w:val="0"/>
        <w:pageBreakBefore w:val="0"/>
        <w:spacing w:line="360" w:lineRule="auto"/>
        <w:widowControl/>
        <w:rPr>
          <w:rFonts w:hint="default" w:ascii="宋体" w:hAnsi="宋体"/>
          <w:color w:val="auto"/>
          <w:sz w:val="24"/>
          <w:szCs w:val="24"/>
          <w:highlight w:val="none"/>
          <w:lang w:val="en-US"/>
        </w:rPr>
        <w:outlineLvl w:val="9"/>
      </w:pPr>
      <w:r>
        <w:rPr>
          <w:rFonts w:hint="eastAsia" w:ascii="宋体" w:hAnsi="宋体"/>
          <w:color w:val="auto"/>
          <w:sz w:val="24"/>
          <w:szCs w:val="24"/>
          <w:highlight w:val="none"/>
        </w:rPr>
        <w:t xml:space="preserve">2.项目编号：</w:t>
      </w:r>
      <w:r>
        <w:rPr>
          <w:rFonts w:hint="eastAsia" w:ascii="宋体" w:hAnsi="宋体"/>
          <w:color w:val="auto"/>
          <w:sz w:val="24"/>
          <w:szCs w:val="24"/>
          <w:highlight w:val="none"/>
          <w:lang w:val="en-US" w:eastAsia="zh-CN"/>
        </w:rPr>
        <w:t xml:space="preserve">JSZC-320205-ZLZL-G2026-0002 </w:t>
      </w:r>
      <w:r/>
    </w:p>
    <w:p>
      <w:pPr>
        <w:ind w:firstLine="480"/>
        <w:jc w:val="both"/>
        <w:keepLines w:val="0"/>
        <w:keepNext w:val="0"/>
        <w:pageBreakBefore w:val="0"/>
        <w:spacing w:line="360" w:lineRule="auto"/>
        <w:widowControl/>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供货期</w:t>
      </w:r>
      <w:r>
        <w:rPr>
          <w:rFonts w:hint="eastAsia" w:ascii="宋体" w:hAnsi="宋体"/>
          <w:color w:val="auto"/>
          <w:sz w:val="24"/>
          <w:szCs w:val="24"/>
          <w:highlight w:val="none"/>
        </w:rPr>
        <w:t xml:space="preserve">：签订合同后30日历天内完成全部家具的供货、安装以及与之配套的辅助工作，交付采购人使用（具体开始时间根据采购人通知为准）。逾期违约金：因供货方导致</w:t>
      </w:r>
      <w:r>
        <w:rPr>
          <w:rFonts w:hint="eastAsia" w:ascii="宋体" w:hAnsi="宋体"/>
          <w:color w:val="auto"/>
          <w:sz w:val="24"/>
          <w:szCs w:val="24"/>
          <w:highlight w:val="none"/>
          <w:lang w:val="en-US" w:eastAsia="zh-CN"/>
        </w:rPr>
        <w:t xml:space="preserve">供货</w:t>
      </w:r>
      <w:r>
        <w:rPr>
          <w:rFonts w:hint="eastAsia" w:ascii="宋体" w:hAnsi="宋体"/>
          <w:color w:val="auto"/>
          <w:sz w:val="24"/>
          <w:szCs w:val="24"/>
          <w:highlight w:val="none"/>
        </w:rPr>
        <w:t xml:space="preserve">期限延误，每延误一天支付2万元违约金；逾期超过10日历天的，采购人有权无条件终止合同。</w:t>
      </w:r>
      <w:r/>
    </w:p>
    <w:p>
      <w:pPr>
        <w:ind w:firstLine="480"/>
        <w:jc w:val="both"/>
        <w:keepLines w:val="0"/>
        <w:keepNext w:val="0"/>
        <w:pageBreakBefore w:val="0"/>
        <w:spacing w:line="36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项目整体免费质保期：自验收合格之日起3年</w:t>
      </w:r>
      <w:r/>
    </w:p>
    <w:p>
      <w:pPr>
        <w:ind w:firstLine="480"/>
        <w:jc w:val="both"/>
        <w:keepLines w:val="0"/>
        <w:keepNext w:val="0"/>
        <w:pageBreakBefore w:val="0"/>
        <w:spacing w:line="36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.项目预算：</w:t>
      </w:r>
      <w:r>
        <w:rPr>
          <w:rFonts w:hint="eastAsia" w:ascii="宋体" w:hAnsi="宋体"/>
          <w:color w:val="auto"/>
          <w:sz w:val="24"/>
          <w:szCs w:val="24"/>
          <w:highlight w:val="none"/>
          <w:lang w:val="en-US" w:eastAsia="zh-CN"/>
        </w:rPr>
        <w:t xml:space="preserve">1898800</w:t>
      </w:r>
      <w:r>
        <w:rPr>
          <w:rFonts w:hint="eastAsia" w:ascii="宋体" w:hAnsi="宋体"/>
          <w:color w:val="auto"/>
          <w:sz w:val="24"/>
          <w:szCs w:val="24"/>
          <w:highlight w:val="none"/>
          <w:lang w:eastAsia="zh-CN"/>
        </w:rPr>
        <w:t xml:space="preserve">元</w:t>
      </w:r>
      <w:r/>
    </w:p>
    <w:p>
      <w:pPr>
        <w:ind w:firstLine="480"/>
        <w:jc w:val="both"/>
        <w:keepLines w:val="0"/>
        <w:keepNext w:val="0"/>
        <w:pageBreakBefore w:val="0"/>
        <w:spacing w:line="36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.项目最高限价：</w:t>
      </w:r>
      <w:r>
        <w:rPr>
          <w:rFonts w:hint="eastAsia" w:ascii="宋体" w:hAnsi="宋体"/>
          <w:color w:val="auto"/>
          <w:sz w:val="24"/>
          <w:szCs w:val="24"/>
          <w:highlight w:val="none"/>
          <w:lang w:val="en-US" w:eastAsia="zh-CN"/>
        </w:rPr>
        <w:t xml:space="preserve">1898800</w:t>
      </w:r>
      <w:r>
        <w:rPr>
          <w:rFonts w:hint="eastAsia" w:ascii="宋体" w:hAnsi="宋体"/>
          <w:color w:val="auto"/>
          <w:sz w:val="24"/>
          <w:szCs w:val="24"/>
          <w:highlight w:val="none"/>
          <w:lang w:eastAsia="zh-CN"/>
        </w:rPr>
        <w:t xml:space="preserve">元，投标报价不得超过最高限价，否则作无效响应文件处理</w:t>
      </w:r>
      <w:r/>
    </w:p>
    <w:p>
      <w:pPr>
        <w:ind w:firstLine="480"/>
        <w:jc w:val="both"/>
        <w:keepLines w:val="0"/>
        <w:keepNext w:val="0"/>
        <w:pageBreakBefore w:val="0"/>
        <w:spacing w:line="36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6.采购方式：公开招标</w:t>
      </w:r>
      <w:r/>
    </w:p>
    <w:p>
      <w:pPr>
        <w:ind w:firstLine="480"/>
        <w:jc w:val="both"/>
        <w:keepLines w:val="0"/>
        <w:keepNext w:val="0"/>
        <w:pageBreakBefore w:val="0"/>
        <w:spacing w:line="360" w:lineRule="auto"/>
        <w:widowControl/>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江苏省锡东高级中学大成分校</w:t>
      </w:r>
      <w:r/>
    </w:p>
    <w:p>
      <w:pPr>
        <w:ind w:firstLine="480"/>
        <w:jc w:val="both"/>
        <w:keepLines w:val="0"/>
        <w:keepNext w:val="0"/>
        <w:pageBreakBefore w:val="0"/>
        <w:spacing w:line="36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8.本项目标的所属</w:t>
      </w:r>
      <w:r>
        <w:rPr>
          <w:rFonts w:hint="eastAsia" w:ascii="宋体" w:hAnsi="宋体"/>
          <w:color w:val="auto"/>
          <w:sz w:val="24"/>
          <w:szCs w:val="24"/>
          <w:highlight w:val="none"/>
          <w:u w:val="none"/>
        </w:rPr>
        <w:t xml:space="preserve">行业：</w:t>
      </w:r>
      <w:r>
        <w:rPr>
          <w:rFonts w:hint="eastAsia" w:ascii="宋体" w:hAnsi="宋体"/>
          <w:bCs/>
          <w:color w:val="auto"/>
          <w:sz w:val="24"/>
          <w:szCs w:val="24"/>
          <w:highlight w:val="none"/>
          <w:u w:val="none"/>
        </w:rPr>
        <w:t xml:space="preserve">工业</w:t>
      </w:r>
      <w:r>
        <w:rPr>
          <w:rFonts w:hint="eastAsia" w:ascii="宋体" w:hAnsi="宋体"/>
          <w:bCs/>
          <w:color w:val="auto"/>
          <w:sz w:val="24"/>
          <w:szCs w:val="24"/>
          <w:highlight w:val="none"/>
          <w:u w:val="none"/>
          <w:lang w:eastAsia="zh-CN"/>
        </w:rPr>
        <w:t xml:space="preserve">（</w:t>
      </w:r>
      <w:r>
        <w:rPr>
          <w:rFonts w:hint="eastAsia" w:ascii="宋体" w:hAnsi="宋体"/>
          <w:bCs/>
          <w:color w:val="auto"/>
          <w:sz w:val="24"/>
          <w:szCs w:val="24"/>
          <w:highlight w:val="none"/>
          <w:u w:val="none"/>
        </w:rPr>
        <w:t xml:space="preserve">制造业</w:t>
      </w:r>
      <w:r>
        <w:rPr>
          <w:rFonts w:hint="eastAsia" w:ascii="宋体" w:hAnsi="宋体"/>
          <w:bCs/>
          <w:color w:val="auto"/>
          <w:sz w:val="24"/>
          <w:szCs w:val="24"/>
          <w:highlight w:val="none"/>
          <w:u w:val="none"/>
          <w:lang w:eastAsia="zh-CN"/>
        </w:rPr>
        <w:t xml:space="preserve">）</w:t>
      </w:r>
      <w:r/>
    </w:p>
    <w:p>
      <w:pPr>
        <w:ind w:firstLine="480"/>
        <w:jc w:val="both"/>
        <w:keepLines w:val="0"/>
        <w:keepNext w:val="0"/>
        <w:pageBreakBefore w:val="0"/>
        <w:spacing w:line="36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9.本项目是否专门面向中小企业：是</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rPr>
        <w:outlineLvl w:val="1"/>
      </w:pPr>
      <w:r>
        <w:rPr>
          <w:rFonts w:hint="eastAsia" w:ascii="黑体" w:hAnsi="黑体" w:eastAsia="黑体" w:cs="Times New Roman"/>
          <w:bCs/>
          <w:color w:val="auto"/>
          <w:sz w:val="24"/>
          <w:szCs w:val="24"/>
          <w:highlight w:val="none"/>
        </w:rPr>
        <w:t xml:space="preserve">（二）投标供应商资格要求</w:t>
      </w:r>
      <w:r/>
    </w:p>
    <w:p>
      <w:pPr>
        <w:ind w:firstLine="48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1、满足《中华人民共和国政府采购法》第二十二条规定；</w:t>
      </w:r>
      <w:r/>
    </w:p>
    <w:p>
      <w:pPr>
        <w:ind w:firstLine="48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、未被“信用中国”网站（www.creditchina.gov.cn）、中国政府采购网（www.ccgp.gov.cn）列入失信被执行人、重大税收违法案件当事人名单、政府采购严重违法失信行为记录名单；</w:t>
      </w:r>
      <w:r/>
    </w:p>
    <w:p>
      <w:pPr>
        <w:ind w:firstLine="480"/>
        <w:jc w:val="both"/>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3、落实政府采购政策需满足的资格要求：</w:t>
      </w:r>
      <w:r>
        <w:rPr>
          <w:rFonts w:hint="eastAsia" w:ascii="宋体" w:hAnsi="宋体" w:cs="宋体"/>
          <w:bCs/>
          <w:color w:val="auto"/>
          <w:sz w:val="24"/>
          <w:szCs w:val="24"/>
          <w:highlight w:val="none"/>
          <w:lang w:val="en-US" w:eastAsia="zh-CN"/>
        </w:rPr>
        <w:t xml:space="preserve">本项目专门面向中小微企业，货物制造商应为中/小/微企业或监狱企业或残疾人福利性单位</w:t>
      </w:r>
      <w:r>
        <w:rPr>
          <w:rFonts w:hint="eastAsia" w:ascii="宋体" w:hAnsi="宋体" w:cs="宋体"/>
          <w:bCs/>
          <w:color w:val="auto"/>
          <w:sz w:val="24"/>
          <w:szCs w:val="24"/>
          <w:highlight w:val="none"/>
        </w:rPr>
        <w:t xml:space="preserve">；</w:t>
      </w:r>
      <w:r/>
    </w:p>
    <w:p>
      <w:pPr>
        <w:ind w:firstLine="480"/>
        <w:jc w:val="both"/>
        <w:spacing w:line="360" w:lineRule="auto"/>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4、本项目的特定资格要求：</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lang w:eastAsia="zh-CN"/>
        </w:rPr>
        <w:t xml:space="preserve">；</w:t>
      </w:r>
      <w:r/>
    </w:p>
    <w:p>
      <w:pPr>
        <w:ind w:firstLine="480"/>
        <w:jc w:val="both"/>
        <w:keepLines w:val="0"/>
        <w:keepNext w:val="0"/>
        <w:pageBreakBefore w:val="0"/>
        <w:spacing w:line="36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本项目</w:t>
      </w:r>
      <w:r>
        <w:rPr>
          <w:rFonts w:hint="eastAsia" w:ascii="宋体" w:hAnsi="宋体"/>
          <w:b/>
          <w:bCs/>
          <w:color w:val="auto"/>
          <w:sz w:val="24"/>
          <w:szCs w:val="24"/>
          <w:highlight w:val="none"/>
          <w:u w:val="single"/>
        </w:rPr>
        <w:t xml:space="preserve">不接受</w:t>
      </w:r>
      <w:r>
        <w:rPr>
          <w:rFonts w:hint="eastAsia" w:ascii="宋体" w:hAnsi="宋体"/>
          <w:color w:val="auto"/>
          <w:sz w:val="24"/>
          <w:szCs w:val="24"/>
          <w:highlight w:val="none"/>
        </w:rPr>
        <w:t xml:space="preserve">联合体投标。</w:t>
      </w:r>
      <w:r/>
    </w:p>
    <w:p>
      <w:pPr>
        <w:ind w:firstLine="480"/>
        <w:jc w:val="both"/>
        <w:keepLines w:val="0"/>
        <w:keepNext w:val="0"/>
        <w:pageBreakBefore w:val="0"/>
        <w:spacing w:line="360" w:lineRule="auto"/>
        <w:rPr>
          <w:rFonts w:ascii="黑体" w:hAnsi="黑体" w:eastAsia="黑体" w:cs="宋体"/>
          <w:color w:val="auto"/>
          <w:sz w:val="24"/>
          <w:szCs w:val="24"/>
          <w:highlight w:val="none"/>
        </w:rPr>
        <w:outlineLvl w:val="1"/>
      </w:pPr>
      <w:r>
        <w:rPr>
          <w:rFonts w:hint="eastAsia" w:ascii="黑体" w:hAnsi="黑体" w:eastAsia="黑体" w:cs="宋体"/>
          <w:color w:val="auto"/>
          <w:sz w:val="24"/>
          <w:szCs w:val="24"/>
          <w:highlight w:val="none"/>
        </w:rPr>
        <w:t xml:space="preserve">（三）供应商主体信息库注册</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1.请有意参加本项目采购活动的供应商按以下流程进行操作：</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（3）CA驱动下载：</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在“江苏省政府采购（苏采云）平台”</w:t>
      </w:r>
      <w:r>
        <w:rPr>
          <w:rFonts w:hint="eastAsia" w:ascii="宋体" w:hAnsi="宋体"/>
          <w:bCs/>
          <w:color w:val="auto"/>
          <w:sz w:val="24"/>
          <w:szCs w:val="24"/>
          <w:highlight w:val="none"/>
          <w:lang w:eastAsia="zh-CN"/>
        </w:rPr>
        <w:t xml:space="preserve">账号登录</w:t>
      </w:r>
      <w:r>
        <w:rPr>
          <w:rFonts w:hint="eastAsia"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技术服务电话：0510-81827781（服务时间：工作日 9:00-11:30</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13:00-17:00）</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jc w:val="both"/>
        <w:keepLines w:val="0"/>
        <w:keepNext w:val="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bCs/>
          <w:color w:val="auto"/>
          <w:sz w:val="24"/>
          <w:szCs w:val="24"/>
          <w:highlight w:val="none"/>
          <w:u w:val="none"/>
        </w:rPr>
        <w:t xml:space="preserve">“苏采云”系统供应商操作手册</w:t>
      </w:r>
      <w:r>
        <w:rPr>
          <w:rFonts w:hint="eastAsia" w:ascii="宋体" w:hAnsi="宋体"/>
          <w:bCs/>
          <w:color w:val="auto"/>
          <w:sz w:val="24"/>
          <w:szCs w:val="24"/>
          <w:highlight w:val="none"/>
        </w:rPr>
        <w:t xml:space="preserve">。</w:t>
      </w:r>
      <w:r/>
    </w:p>
    <w:p>
      <w:pPr>
        <w:ind w:firstLine="480"/>
        <w:jc w:val="both"/>
        <w:keepLines w:val="0"/>
        <w:keepNext w:val="0"/>
        <w:pageBreakBefore w:val="0"/>
        <w:spacing w:line="360" w:lineRule="auto"/>
        <w:rPr>
          <w:rFonts w:ascii="宋体" w:hAnsi="宋体"/>
          <w:bCs/>
          <w:color w:val="auto"/>
          <w:sz w:val="24"/>
          <w:szCs w:val="24"/>
          <w:highlight w:val="none"/>
        </w:rPr>
        <w:outlineLvl w:val="9"/>
      </w:pPr>
      <w:r>
        <w:rPr>
          <w:rFonts w:hint="eastAsia" w:ascii="宋体" w:hAnsi="宋体"/>
          <w:bCs/>
          <w:color w:val="auto"/>
          <w:sz w:val="24"/>
          <w:szCs w:val="24"/>
          <w:highlight w:val="none"/>
        </w:rPr>
        <w:t xml:space="preserve">技术支持QQ：田女士：3071474382 ；王先生：897651173。</w:t>
      </w:r>
      <w:r/>
    </w:p>
    <w:p>
      <w:pPr>
        <w:ind w:firstLine="480"/>
        <w:jc w:val="both"/>
        <w:keepLines w:val="0"/>
        <w:keepNext w:val="0"/>
        <w:pageBreakBefore w:val="0"/>
        <w:spacing w:line="360" w:lineRule="auto"/>
        <w:rPr>
          <w:rFonts w:hint="eastAsia" w:ascii="黑体" w:hAnsi="黑体" w:eastAsia="黑体"/>
          <w:bCs/>
          <w:color w:val="auto"/>
          <w:sz w:val="24"/>
          <w:szCs w:val="24"/>
          <w:highlight w:val="none"/>
          <w:lang w:eastAsia="zh-CN"/>
        </w:rPr>
        <w:outlineLvl w:val="1"/>
      </w:pPr>
      <w:r>
        <w:rPr>
          <w:rFonts w:hint="eastAsia" w:ascii="黑体" w:hAnsi="黑体" w:eastAsia="黑体"/>
          <w:bCs/>
          <w:color w:val="auto"/>
          <w:sz w:val="24"/>
          <w:szCs w:val="24"/>
          <w:highlight w:val="none"/>
        </w:rPr>
        <w:t xml:space="preserve">（四）完成项目报名，获取</w:t>
      </w:r>
      <w:r>
        <w:rPr>
          <w:rFonts w:hint="eastAsia" w:ascii="黑体" w:hAnsi="黑体" w:eastAsia="黑体"/>
          <w:bCs/>
          <w:color w:val="auto"/>
          <w:sz w:val="24"/>
          <w:szCs w:val="24"/>
          <w:highlight w:val="none"/>
          <w:lang w:eastAsia="zh-CN"/>
        </w:rPr>
        <w:t xml:space="preserve">招标文件</w:t>
      </w:r>
      <w:r/>
    </w:p>
    <w:p>
      <w:pPr>
        <w:ind w:firstLine="480"/>
        <w:jc w:val="both"/>
        <w:keepLines w:val="0"/>
        <w:keepNext w:val="0"/>
        <w:pageBreakBefore w:val="0"/>
        <w:spacing w:line="360" w:lineRule="auto"/>
        <w:rPr>
          <w:rFonts w:ascii="宋体" w:hAnsi="宋体"/>
          <w:bCs/>
          <w:color w:val="auto"/>
          <w:sz w:val="24"/>
          <w:szCs w:val="24"/>
          <w:highlight w:val="none"/>
        </w:rPr>
        <w:outlineLvl w:val="9"/>
      </w:pPr>
      <w:r>
        <w:rPr>
          <w:rFonts w:hint="eastAsia" w:ascii="宋体" w:hAnsi="宋体"/>
          <w:bCs/>
          <w:color w:val="auto"/>
          <w:sz w:val="24"/>
          <w:szCs w:val="24"/>
          <w:highlight w:val="none"/>
          <w:lang w:val="en-US" w:eastAsia="zh-CN"/>
        </w:rPr>
        <w:t xml:space="preserve">供应商可在财政部门指定媒体发布的公告附件中查看公开招标文件，如确定参加本次</w:t>
      </w:r>
      <w:r>
        <w:rPr>
          <w:rFonts w:hint="eastAsia" w:ascii="宋体" w:hAnsi="宋体"/>
          <w:bCs/>
          <w:color w:val="auto"/>
          <w:sz w:val="24"/>
          <w:szCs w:val="24"/>
          <w:highlight w:val="none"/>
          <w:lang w:val="en-US" w:eastAsia="zh-CN"/>
        </w:rPr>
        <w:t xml:space="preserve">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bCs/>
          <w:color w:val="auto"/>
          <w:sz w:val="24"/>
          <w:szCs w:val="24"/>
          <w:highlight w:val="none"/>
        </w:rPr>
        <w:t xml:space="preserve">。</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rPr>
        <w:outlineLvl w:val="1"/>
      </w:pPr>
      <w:r>
        <w:rPr>
          <w:rFonts w:hint="eastAsia" w:ascii="黑体" w:hAnsi="黑体" w:eastAsia="黑体" w:cs="Times New Roman"/>
          <w:bCs/>
          <w:color w:val="auto"/>
          <w:sz w:val="24"/>
          <w:szCs w:val="24"/>
          <w:highlight w:val="none"/>
        </w:rPr>
        <w:t xml:space="preserve">（五）公开答疑时间、地点</w:t>
      </w:r>
      <w:r/>
    </w:p>
    <w:p>
      <w:pPr>
        <w:ind w:firstLine="480"/>
        <w:jc w:val="both"/>
        <w:keepLines w:val="0"/>
        <w:keepNext w:val="0"/>
        <w:pageBreakBefore w:val="0"/>
        <w:spacing w:line="360" w:lineRule="auto"/>
        <w:widowControl/>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采购人、招标代理机构将以电话咨询、邮箱（jszlyxgs@qq.com）等方式开展线上不见面答疑服务。截止至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:00</w:t>
      </w:r>
      <w:r>
        <w:rPr>
          <w:rFonts w:hint="eastAsia" w:ascii="宋体" w:hAnsi="宋体" w:cs="宋体"/>
          <w:color w:val="auto"/>
          <w:sz w:val="24"/>
          <w:szCs w:val="24"/>
          <w:highlight w:val="none"/>
          <w:lang w:val="en-US" w:eastAsia="zh-CN"/>
        </w:rPr>
        <w:t xml:space="preserve">前</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olor w:val="auto"/>
          <w:sz w:val="24"/>
          <w:szCs w:val="24"/>
          <w:highlight w:val="none"/>
          <w:lang w:val="en-US" w:eastAsia="zh-CN"/>
        </w:rPr>
        <w:t xml:space="preserve">JSZC-320205-ZLZL-G2026-0002</w:t>
      </w:r>
      <w:r>
        <w:rPr>
          <w:rFonts w:hint="eastAsia" w:ascii="宋体" w:hAnsi="宋体"/>
          <w:bCs/>
          <w:color w:val="auto"/>
          <w:sz w:val="24"/>
          <w:szCs w:val="24"/>
          <w:highlight w:val="none"/>
        </w:rPr>
        <w:t xml:space="preserve">项目需澄清问题”，并于答疑截止时间前发邮件（jszlyxgs@qq.com）给项目联系人。若未在法定时间内提出澄清，由此造成的损失及风险由供应商自行承担。</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rPr>
        <w:outlineLvl w:val="1"/>
      </w:pPr>
      <w:r>
        <w:rPr>
          <w:rFonts w:hint="eastAsia" w:ascii="黑体" w:hAnsi="黑体" w:eastAsia="黑体" w:cs="Times New Roman"/>
          <w:bCs/>
          <w:color w:val="auto"/>
          <w:sz w:val="24"/>
          <w:szCs w:val="24"/>
          <w:highlight w:val="none"/>
        </w:rPr>
        <w:t xml:space="preserve">（六）现场踏勘</w:t>
      </w:r>
      <w:r/>
    </w:p>
    <w:p>
      <w:pPr>
        <w:ind w:firstLine="480"/>
        <w:jc w:val="both"/>
        <w:keepLines w:val="0"/>
        <w:keepNext w:val="0"/>
        <w:pageBreakBefore w:val="0"/>
        <w:spacing w:line="360" w:lineRule="auto"/>
        <w:widowControl/>
        <w:rPr>
          <w:rFonts w:hint="eastAsia" w:ascii="黑体" w:hAnsi="黑体" w:eastAsia="黑体" w:cs="宋体"/>
          <w:color w:val="auto"/>
          <w:sz w:val="24"/>
          <w:szCs w:val="24"/>
          <w:highlight w:val="none"/>
        </w:rPr>
        <w:outlineLvl w:val="9"/>
      </w:pPr>
      <w:r>
        <w:rPr>
          <w:rFonts w:hint="eastAsia" w:ascii="黑体" w:hAnsi="黑体" w:eastAsia="黑体" w:cs="宋体"/>
          <w:color w:val="auto"/>
          <w:sz w:val="24"/>
          <w:szCs w:val="24"/>
          <w:highlight w:val="none"/>
        </w:rPr>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rPr>
        <w:t xml:space="preserve">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r>
        <w:rPr>
          <w:rFonts w:hint="eastAsia" w:ascii="宋体" w:hAnsi="宋体"/>
          <w:bCs/>
          <w:color w:val="auto"/>
          <w:sz w:val="24"/>
          <w:szCs w:val="24"/>
          <w:highlight w:val="none"/>
          <w:lang w:eastAsia="zh-CN"/>
        </w:rPr>
        <w:t xml:space="preserve">。</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lang w:eastAsia="zh-CN"/>
        </w:rPr>
        <w:outlineLvl w:val="1"/>
      </w:pPr>
      <w:r/>
      <w:bookmarkStart w:id="1" w:name="_Toc112006904"/>
      <w:r>
        <w:rPr>
          <w:rFonts w:hint="eastAsia" w:ascii="黑体" w:hAnsi="黑体" w:eastAsia="黑体" w:cs="Times New Roman"/>
          <w:bCs/>
          <w:color w:val="auto"/>
          <w:sz w:val="24"/>
          <w:szCs w:val="24"/>
          <w:highlight w:val="none"/>
          <w:lang w:eastAsia="zh-CN"/>
        </w:rPr>
        <w:t xml:space="preserve">（七）投标及开标、定标时间、地点</w:t>
      </w:r>
      <w:bookmarkEnd w:id="1"/>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投标截止时间（网上投标截止时间苏采云投标客户端投标）：2026年</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lang w:eastAsia="zh-CN"/>
        </w:rPr>
        <w:t xml:space="preserve">日9:30，投标截止时间后的投标文件恕不接受。</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开标时间：2026年</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月</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lang w:eastAsia="zh-CN"/>
        </w:rPr>
        <w:t xml:space="preserve">日9:30。</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投标及开标地点：江苏省政府采购（苏采云）平台。</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定标时间：评标结束</w:t>
      </w:r>
      <w:r/>
    </w:p>
    <w:p>
      <w:pPr>
        <w:ind w:firstLine="480"/>
        <w:jc w:val="both"/>
        <w:keepLines w:val="0"/>
        <w:keepNext w:val="0"/>
        <w:pageBreakBefore w:val="0"/>
        <w:spacing w:line="360" w:lineRule="auto"/>
        <w:widowControl/>
        <w:rPr>
          <w:rFonts w:hint="eastAsia" w:ascii="宋体" w:hAnsi="宋体"/>
          <w:bCs/>
          <w:color w:val="auto"/>
          <w:sz w:val="24"/>
          <w:szCs w:val="24"/>
          <w:highlight w:val="none"/>
        </w:rPr>
        <w:outlineLvl w:val="9"/>
      </w:pPr>
      <w:r>
        <w:rPr>
          <w:rFonts w:hint="eastAsia" w:ascii="宋体" w:hAnsi="宋体"/>
          <w:bCs/>
          <w:color w:val="auto"/>
          <w:sz w:val="24"/>
          <w:szCs w:val="24"/>
          <w:highlight w:val="none"/>
          <w:lang w:eastAsia="zh-CN"/>
        </w:rPr>
        <w:t xml:space="preserve">定标地点：无锡市公共资源交易中心锡山分中心迎宾南路21号</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lang w:eastAsia="zh-CN"/>
        </w:rPr>
        <w:outlineLvl w:val="1"/>
      </w:pPr>
      <w:r>
        <w:rPr>
          <w:rFonts w:hint="eastAsia" w:ascii="黑体" w:hAnsi="黑体" w:eastAsia="黑体" w:cs="Times New Roman"/>
          <w:bCs/>
          <w:color w:val="auto"/>
          <w:sz w:val="24"/>
          <w:szCs w:val="24"/>
          <w:highlight w:val="none"/>
          <w:lang w:eastAsia="zh-CN"/>
        </w:rPr>
        <w:t xml:space="preserve">（八）投标文件份数：请按规定上传电子投标文件，不接收纸质投标文件。</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lang w:eastAsia="zh-CN"/>
        </w:rPr>
        <w:outlineLvl w:val="1"/>
      </w:pPr>
      <w:r>
        <w:rPr>
          <w:rFonts w:hint="eastAsia" w:ascii="黑体" w:hAnsi="黑体" w:eastAsia="黑体" w:cs="Times New Roman"/>
          <w:bCs/>
          <w:color w:val="auto"/>
          <w:sz w:val="24"/>
          <w:szCs w:val="24"/>
          <w:highlight w:val="none"/>
          <w:lang w:eastAsia="zh-CN"/>
        </w:rPr>
        <w:t xml:space="preserve">（九）投标有效期：开标之日起90天</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lang w:eastAsia="zh-CN"/>
        </w:rPr>
        <w:outlineLvl w:val="1"/>
      </w:pPr>
      <w:r/>
      <w:bookmarkStart w:id="2" w:name="_Toc112006909"/>
      <w:r>
        <w:rPr>
          <w:rFonts w:hint="eastAsia" w:ascii="黑体" w:hAnsi="黑体" w:eastAsia="黑体" w:cs="Times New Roman"/>
          <w:bCs/>
          <w:color w:val="auto"/>
          <w:sz w:val="24"/>
          <w:szCs w:val="24"/>
          <w:highlight w:val="none"/>
          <w:lang w:eastAsia="zh-CN"/>
        </w:rPr>
        <w:t xml:space="preserve">（</w:t>
      </w:r>
      <w:r>
        <w:rPr>
          <w:rFonts w:hint="eastAsia" w:ascii="黑体" w:hAnsi="黑体" w:eastAsia="黑体" w:cs="Times New Roman"/>
          <w:bCs/>
          <w:color w:val="auto"/>
          <w:sz w:val="24"/>
          <w:szCs w:val="24"/>
          <w:highlight w:val="none"/>
          <w:lang w:val="en-US" w:eastAsia="zh-CN"/>
        </w:rPr>
        <w:t xml:space="preserve">十</w:t>
      </w:r>
      <w:r>
        <w:rPr>
          <w:rFonts w:hint="eastAsia" w:ascii="黑体" w:hAnsi="黑体" w:eastAsia="黑体" w:cs="Times New Roman"/>
          <w:bCs/>
          <w:color w:val="auto"/>
          <w:sz w:val="24"/>
          <w:szCs w:val="24"/>
          <w:highlight w:val="none"/>
          <w:lang w:eastAsia="zh-CN"/>
        </w:rPr>
        <w:t xml:space="preserve">）采购方法</w:t>
      </w:r>
      <w:r/>
    </w:p>
    <w:p>
      <w:pPr>
        <w:ind w:firstLine="480"/>
        <w:jc w:val="both"/>
        <w:keepLines w:val="0"/>
        <w:keepNext w:val="0"/>
        <w:pageBreakBefore w:val="0"/>
        <w:spacing w:line="360" w:lineRule="auto"/>
        <w:widowControl/>
        <w:rPr>
          <w:rFonts w:hint="eastAsia" w:ascii="宋体" w:hAnsi="宋体" w:eastAsia="宋体" w:cs="Times New Roman"/>
          <w:bCs/>
          <w:color w:val="auto"/>
          <w:sz w:val="24"/>
          <w:szCs w:val="24"/>
          <w:highlight w:val="none"/>
          <w:lang w:eastAsia="zh-CN"/>
        </w:rPr>
        <w:outlineLvl w:val="9"/>
      </w:pPr>
      <w:r>
        <w:rPr>
          <w:rFonts w:hint="eastAsia" w:ascii="宋体" w:hAnsi="宋体" w:eastAsia="宋体" w:cs="Times New Roman"/>
          <w:bCs/>
          <w:color w:val="auto"/>
          <w:sz w:val="24"/>
          <w:szCs w:val="24"/>
          <w:highlight w:val="none"/>
          <w:lang w:eastAsia="zh-CN"/>
        </w:rPr>
        <w:t xml:space="preserve">本次采购采用“江苏省政府采购（苏采云）平台”进行招标投标活动，招标、投标、评标和中标结果发布全程电子化。</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lang w:eastAsia="zh-CN"/>
        </w:rPr>
        <w:outlineLvl w:val="1"/>
      </w:pPr>
      <w:r>
        <w:rPr>
          <w:rFonts w:hint="eastAsia" w:ascii="黑体" w:hAnsi="黑体" w:eastAsia="黑体" w:cs="Times New Roman"/>
          <w:bCs/>
          <w:color w:val="auto"/>
          <w:sz w:val="24"/>
          <w:szCs w:val="24"/>
          <w:highlight w:val="none"/>
          <w:lang w:eastAsia="zh-CN"/>
        </w:rPr>
        <w:t xml:space="preserve">（十</w:t>
      </w:r>
      <w:r>
        <w:rPr>
          <w:rFonts w:hint="eastAsia" w:ascii="黑体" w:hAnsi="黑体" w:eastAsia="黑体" w:cs="Times New Roman"/>
          <w:bCs/>
          <w:color w:val="auto"/>
          <w:sz w:val="24"/>
          <w:szCs w:val="24"/>
          <w:highlight w:val="none"/>
          <w:lang w:val="en-US" w:eastAsia="zh-CN"/>
        </w:rPr>
        <w:t xml:space="preserve">一</w:t>
      </w:r>
      <w:r>
        <w:rPr>
          <w:rFonts w:hint="eastAsia" w:ascii="黑体" w:hAnsi="黑体" w:eastAsia="黑体" w:cs="Times New Roman"/>
          <w:bCs/>
          <w:color w:val="auto"/>
          <w:sz w:val="24"/>
          <w:szCs w:val="24"/>
          <w:highlight w:val="none"/>
          <w:lang w:eastAsia="zh-CN"/>
        </w:rPr>
        <w:t xml:space="preserve">）其他</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1.有关本次招标的事项若存在变动或修改，敬请及时关注“江苏政府采购网”发布的信息。</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2.未按《政府采购质疑和投诉办法》（中华人民共和国财政部令第94号）的规定提出的对本项目采购过程中的质疑，招标人不予受理（接收质疑函的联系方式详见（十一）联系方式）。</w:t>
      </w:r>
      <w:r/>
    </w:p>
    <w:p>
      <w:pPr>
        <w:ind w:firstLine="480"/>
        <w:jc w:val="both"/>
        <w:keepLines w:val="0"/>
        <w:keepNext w:val="0"/>
        <w:pageBreakBefore w:val="0"/>
        <w:spacing w:line="360" w:lineRule="auto"/>
        <w:rPr>
          <w:rFonts w:hint="eastAsia" w:ascii="黑体" w:hAnsi="黑体" w:eastAsia="黑体" w:cs="Times New Roman"/>
          <w:bCs/>
          <w:color w:val="auto"/>
          <w:sz w:val="24"/>
          <w:szCs w:val="24"/>
          <w:highlight w:val="none"/>
          <w:lang w:eastAsia="zh-CN"/>
        </w:rPr>
        <w:outlineLvl w:val="1"/>
      </w:pPr>
      <w:r>
        <w:rPr>
          <w:rFonts w:hint="eastAsia" w:ascii="黑体" w:hAnsi="黑体" w:eastAsia="黑体" w:cs="Times New Roman"/>
          <w:bCs/>
          <w:color w:val="auto"/>
          <w:sz w:val="24"/>
          <w:szCs w:val="24"/>
          <w:highlight w:val="none"/>
          <w:lang w:eastAsia="zh-CN"/>
        </w:rPr>
        <w:t xml:space="preserve">（十</w:t>
      </w:r>
      <w:r>
        <w:rPr>
          <w:rFonts w:hint="eastAsia" w:ascii="黑体" w:hAnsi="黑体" w:eastAsia="黑体" w:cs="Times New Roman"/>
          <w:bCs/>
          <w:color w:val="auto"/>
          <w:sz w:val="24"/>
          <w:szCs w:val="24"/>
          <w:highlight w:val="none"/>
          <w:lang w:val="en-US" w:eastAsia="zh-CN"/>
        </w:rPr>
        <w:t xml:space="preserve">二</w:t>
      </w:r>
      <w:r>
        <w:rPr>
          <w:rFonts w:hint="eastAsia" w:ascii="黑体" w:hAnsi="黑体" w:eastAsia="黑体" w:cs="Times New Roman"/>
          <w:bCs/>
          <w:color w:val="auto"/>
          <w:sz w:val="24"/>
          <w:szCs w:val="24"/>
          <w:highlight w:val="none"/>
          <w:lang w:eastAsia="zh-CN"/>
        </w:rPr>
        <w:t xml:space="preserve">）</w:t>
      </w:r>
      <w:bookmarkEnd w:id="2"/>
      <w:r>
        <w:rPr>
          <w:rFonts w:hint="eastAsia" w:ascii="黑体" w:hAnsi="黑体" w:eastAsia="黑体" w:cs="Times New Roman"/>
          <w:bCs/>
          <w:color w:val="auto"/>
          <w:sz w:val="24"/>
          <w:szCs w:val="24"/>
          <w:highlight w:val="none"/>
          <w:lang w:eastAsia="zh-CN"/>
        </w:rPr>
        <w:t xml:space="preserve">联系方式</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1.采购人：江苏省锡东高级中学大成分校</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采购人地址：</w:t>
      </w:r>
      <w:r>
        <w:rPr>
          <w:rFonts w:ascii="SimSun" w:hAnsi="SimSun" w:eastAsia="SimSun" w:cs="SimSun"/>
          <w:color w:val="000000"/>
          <w:sz w:val="24"/>
        </w:rPr>
        <w:t xml:space="preserve">无锡市锡山区厚桥街道东盛路1068号</w:t>
      </w:r>
      <w:r>
        <w:rPr>
          <w:rFonts w:hint="eastAsia" w:ascii="宋体" w:hAnsi="宋体"/>
          <w:bCs/>
          <w:color w:val="auto"/>
          <w:sz w:val="24"/>
          <w:szCs w:val="24"/>
          <w:highlight w:val="none"/>
          <w:lang w:eastAsia="zh-CN"/>
        </w:rPr>
      </w:r>
      <w:r/>
    </w:p>
    <w:p>
      <w:pPr>
        <w:ind w:firstLine="480"/>
        <w:jc w:val="both"/>
        <w:keepLines w:val="0"/>
        <w:keepNext w:val="0"/>
        <w:pageBreakBefore w:val="0"/>
        <w:spacing w:line="360" w:lineRule="auto"/>
        <w:widowControl/>
        <w:rPr>
          <w:rFonts w:hint="default" w:ascii="宋体" w:hAnsi="宋体"/>
          <w:bCs/>
          <w:color w:val="auto"/>
          <w:sz w:val="24"/>
          <w:szCs w:val="24"/>
          <w:highlight w:val="none"/>
          <w:lang w:val="en-US" w:eastAsia="zh-CN"/>
        </w:rPr>
        <w:outlineLvl w:val="9"/>
      </w:pPr>
      <w:r>
        <w:rPr>
          <w:rFonts w:hint="eastAsia" w:ascii="宋体" w:hAnsi="宋体"/>
          <w:bCs/>
          <w:color w:val="auto"/>
          <w:sz w:val="24"/>
          <w:szCs w:val="24"/>
          <w:highlight w:val="none"/>
          <w:lang w:eastAsia="zh-CN"/>
        </w:rPr>
        <w:t xml:space="preserve">联 系 人：</w:t>
      </w:r>
      <w:r>
        <w:rPr>
          <w:rFonts w:hint="eastAsia" w:ascii="宋体" w:hAnsi="宋体"/>
          <w:bCs/>
          <w:color w:val="auto"/>
          <w:sz w:val="24"/>
          <w:szCs w:val="24"/>
          <w:highlight w:val="none"/>
          <w:lang w:val="en-US" w:eastAsia="zh-CN"/>
        </w:rPr>
        <w:t xml:space="preserve">汪政</w:t>
      </w:r>
      <w:r/>
    </w:p>
    <w:p>
      <w:pPr>
        <w:ind w:firstLine="480"/>
        <w:jc w:val="both"/>
        <w:keepLines w:val="0"/>
        <w:keepNext w:val="0"/>
        <w:pageBreakBefore w:val="0"/>
        <w:spacing w:line="360" w:lineRule="auto"/>
        <w:widowControl/>
        <w:rPr>
          <w:rFonts w:hint="default" w:ascii="宋体" w:hAnsi="宋体" w:eastAsia="宋体"/>
          <w:bCs/>
          <w:color w:val="auto"/>
          <w:sz w:val="24"/>
          <w:szCs w:val="24"/>
          <w:highlight w:val="none"/>
          <w:lang w:val="en-US" w:eastAsia="zh-CN"/>
        </w:rPr>
        <w:outlineLvl w:val="9"/>
      </w:pPr>
      <w:r>
        <w:rPr>
          <w:rFonts w:hint="eastAsia" w:ascii="宋体" w:hAnsi="宋体"/>
          <w:bCs/>
          <w:color w:val="auto"/>
          <w:sz w:val="24"/>
          <w:szCs w:val="24"/>
          <w:highlight w:val="none"/>
          <w:lang w:eastAsia="zh-CN"/>
        </w:rPr>
        <w:t xml:space="preserve">联系方式：0510-</w:t>
      </w:r>
      <w:r>
        <w:rPr>
          <w:rFonts w:hint="eastAsia" w:ascii="宋体" w:hAnsi="宋体"/>
          <w:bCs/>
          <w:color w:val="auto"/>
          <w:sz w:val="24"/>
          <w:szCs w:val="24"/>
          <w:highlight w:val="none"/>
          <w:lang w:val="en-US" w:eastAsia="zh-CN"/>
        </w:rPr>
        <w:t xml:space="preserve">88714393</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2.采购代理机构：江苏正龙项目管理有限公司</w:t>
      </w:r>
      <w:r/>
    </w:p>
    <w:p>
      <w:pPr>
        <w:ind w:firstLine="480"/>
        <w:jc w:val="both"/>
        <w:keepLines w:val="0"/>
        <w:keepNext w:val="0"/>
        <w:pageBreakBefore w:val="0"/>
        <w:spacing w:line="360" w:lineRule="auto"/>
        <w:widowControl/>
        <w:rPr>
          <w:rFonts w:hint="eastAsia" w:ascii="宋体" w:hAnsi="宋体"/>
          <w:bCs/>
          <w:color w:val="auto"/>
          <w:sz w:val="24"/>
          <w:szCs w:val="24"/>
          <w:highlight w:val="none"/>
          <w:lang w:eastAsia="zh-CN"/>
        </w:rPr>
        <w:outlineLvl w:val="9"/>
      </w:pPr>
      <w:r>
        <w:rPr>
          <w:rFonts w:hint="eastAsia" w:ascii="宋体" w:hAnsi="宋体"/>
          <w:bCs/>
          <w:color w:val="auto"/>
          <w:sz w:val="24"/>
          <w:szCs w:val="24"/>
          <w:highlight w:val="none"/>
          <w:lang w:eastAsia="zh-CN"/>
        </w:rPr>
        <w:t xml:space="preserve">联系地址：无锡市惠山区惠山大道88号明都大厦9#楼1906室</w:t>
      </w:r>
      <w:r/>
    </w:p>
    <w:p>
      <w:pPr>
        <w:ind w:firstLine="480"/>
        <w:jc w:val="both"/>
        <w:keepLines w:val="0"/>
        <w:keepNext w:val="0"/>
        <w:pageBreakBefore w:val="0"/>
        <w:spacing w:line="360" w:lineRule="auto"/>
        <w:widowControl/>
        <w:rPr>
          <w:rFonts w:hint="default" w:ascii="宋体" w:hAnsi="宋体"/>
          <w:bCs/>
          <w:color w:val="auto"/>
          <w:sz w:val="24"/>
          <w:szCs w:val="24"/>
          <w:highlight w:val="none"/>
          <w:lang w:val="en-US" w:eastAsia="zh-CN"/>
        </w:rPr>
        <w:outlineLvl w:val="9"/>
      </w:pPr>
      <w:r>
        <w:rPr>
          <w:rFonts w:hint="eastAsia" w:ascii="宋体" w:hAnsi="宋体"/>
          <w:bCs/>
          <w:color w:val="auto"/>
          <w:sz w:val="24"/>
          <w:szCs w:val="24"/>
          <w:highlight w:val="none"/>
          <w:lang w:eastAsia="zh-CN"/>
        </w:rPr>
        <w:t xml:space="preserve">联系人：</w:t>
      </w:r>
      <w:r>
        <w:rPr>
          <w:rFonts w:hint="eastAsia" w:ascii="宋体" w:hAnsi="宋体"/>
          <w:bCs/>
          <w:color w:val="auto"/>
          <w:sz w:val="24"/>
          <w:szCs w:val="24"/>
          <w:highlight w:val="none"/>
          <w:lang w:val="en-US" w:eastAsia="zh-CN"/>
        </w:rPr>
        <w:t xml:space="preserve">蔡静</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bCs/>
          <w:color w:val="auto"/>
          <w:sz w:val="24"/>
          <w:szCs w:val="24"/>
          <w:highlight w:val="none"/>
          <w:lang w:eastAsia="zh-CN"/>
        </w:rPr>
        <w:t xml:space="preserve">联系电话：17351684105</w:t>
      </w:r>
      <w:r/>
    </w:p>
    <w:p>
      <w:pPr>
        <w:pStyle w:val="1078"/>
        <w:ind w:left="0" w:firstLine="560"/>
        <w:jc w:val="center"/>
        <w:keepLines w:val="0"/>
        <w:keepNext w:val="0"/>
        <w:pageBreakBefore w:val="0"/>
        <w:spacing w:before="0" w:beforeAutospacing="0" w:after="0" w:afterAutospacing="0" w:line="360" w:lineRule="auto"/>
        <w:tabs>
          <w:tab w:val="left" w:pos="0" w:leader="none"/>
        </w:tabs>
        <w:rPr>
          <w:rFonts w:ascii="黑体" w:eastAsia="黑体"/>
          <w:bCs/>
          <w:color w:val="auto"/>
          <w:sz w:val="28"/>
          <w:szCs w:val="28"/>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二．投标供应商须知</w:t>
      </w:r>
      <w:r/>
    </w:p>
    <w:p>
      <w:pPr>
        <w:ind w:firstLine="480"/>
        <w:jc w:val="both"/>
        <w:spacing w:line="360" w:lineRule="auto"/>
        <w:rPr>
          <w:rFonts w:ascii="黑体" w:hAnsi="宋体" w:eastAsia="黑体"/>
          <w:bCs/>
          <w:color w:val="auto"/>
          <w:sz w:val="24"/>
          <w:szCs w:val="24"/>
          <w:highlight w:val="none"/>
        </w:rPr>
        <w:outlineLvl w:val="1"/>
      </w:pPr>
      <w:r>
        <w:rPr>
          <w:rFonts w:hint="eastAsia" w:ascii="黑体" w:hAnsi="宋体" w:eastAsia="黑体"/>
          <w:bCs/>
          <w:color w:val="auto"/>
          <w:sz w:val="24"/>
          <w:szCs w:val="24"/>
          <w:highlight w:val="none"/>
        </w:rPr>
        <w:t xml:space="preserve">（一）遵循原则：</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0"/>
        <w:jc w:val="both"/>
        <w:spacing w:line="360" w:lineRule="auto"/>
        <w:rPr>
          <w:rFonts w:hint="eastAsia" w:ascii="黑体" w:hAnsi="宋体" w:eastAsia="黑体" w:cs="Times New Roman"/>
          <w:bCs/>
          <w:color w:val="auto"/>
          <w:sz w:val="24"/>
          <w:szCs w:val="24"/>
          <w:highlight w:val="none"/>
        </w:rPr>
        <w:outlineLvl w:val="1"/>
      </w:pPr>
      <w:r>
        <w:rPr>
          <w:rFonts w:hint="eastAsia" w:ascii="黑体" w:hAnsi="宋体" w:eastAsia="黑体" w:cs="Times New Roman"/>
          <w:bCs/>
          <w:color w:val="auto"/>
          <w:sz w:val="24"/>
          <w:szCs w:val="24"/>
          <w:highlight w:val="none"/>
          <w:lang w:val="en-US" w:eastAsia="zh-CN"/>
        </w:rPr>
        <w:t xml:space="preserve">（二）</w:t>
      </w:r>
      <w:r>
        <w:rPr>
          <w:rFonts w:hint="eastAsia" w:ascii="黑体" w:hAnsi="宋体" w:eastAsia="黑体" w:cs="Times New Roman"/>
          <w:bCs/>
          <w:color w:val="auto"/>
          <w:sz w:val="24"/>
          <w:szCs w:val="24"/>
          <w:highlight w:val="none"/>
        </w:rPr>
        <w:t xml:space="preserve">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2.供应商可在</w:t>
      </w:r>
      <w:r>
        <w:rPr>
          <w:rFonts w:hint="eastAsia" w:ascii="宋体" w:hAnsi="宋体" w:eastAsia="宋体" w:cs="宋体"/>
          <w:bCs/>
          <w:color w:val="auto"/>
          <w:sz w:val="24"/>
          <w:szCs w:val="24"/>
          <w:highlight w:val="none"/>
          <w:lang w:val="en-US" w:eastAsia="zh-CN"/>
        </w:rPr>
        <w:t xml:space="preserve">财政部门指定媒体发布的公告</w:t>
      </w:r>
      <w:r>
        <w:rPr>
          <w:rFonts w:hint="eastAsia" w:ascii="宋体" w:hAnsi="宋体" w:eastAsia="宋体" w:cs="宋体"/>
          <w:bCs/>
          <w:color w:val="auto"/>
          <w:sz w:val="24"/>
          <w:szCs w:val="24"/>
          <w:highlight w:val="none"/>
        </w:rPr>
        <w:t xml:space="preserve">附件中查看公开招标文件，如确定参加本次采购活动，必须在苏采云平</w:t>
      </w:r>
      <w:r>
        <w:rPr>
          <w:rFonts w:hint="eastAsia" w:ascii="宋体" w:hAnsi="宋体" w:eastAsia="宋体" w:cs="宋体"/>
          <w:bCs/>
          <w:color w:val="auto"/>
          <w:sz w:val="24"/>
          <w:szCs w:val="24"/>
          <w:highlight w:val="none"/>
          <w:lang w:val="en-US" w:eastAsia="zh-CN"/>
        </w:rPr>
        <w:t xml:space="preserve">台</w:t>
      </w:r>
      <w:r>
        <w:rPr>
          <w:rFonts w:hint="eastAsia" w:ascii="宋体" w:hAnsi="宋体" w:eastAsia="宋体" w:cs="宋体"/>
          <w:bCs/>
          <w:color w:val="auto"/>
          <w:sz w:val="24"/>
          <w:szCs w:val="24"/>
          <w:highlight w:val="none"/>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5.招标文件中的“法定代表人”是指</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的营业执照或相关部门的登记证明文件中的“法定代表人”或“负责人”</w:t>
      </w:r>
      <w:r>
        <w:rPr>
          <w:rFonts w:hint="eastAsia" w:ascii="宋体" w:hAnsi="宋体" w:eastAsia="宋体" w:cs="宋体"/>
          <w:bCs/>
          <w:color w:val="auto"/>
          <w:sz w:val="24"/>
          <w:szCs w:val="24"/>
          <w:highlight w:val="none"/>
        </w:rPr>
        <w:t xml:space="preserve">。</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（三）招标文件的解释：</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本文件的最终解释权归采购人。</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（四）招标文件的补充或修正：</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江苏正龙项目管理有限公司</w:t>
      </w:r>
      <w:r>
        <w:rPr>
          <w:rFonts w:hint="eastAsia" w:ascii="宋体" w:hAnsi="宋体" w:eastAsia="宋体" w:cs="宋体"/>
          <w:bCs/>
          <w:color w:val="auto"/>
          <w:sz w:val="24"/>
          <w:szCs w:val="24"/>
          <w:highlight w:val="none"/>
        </w:rPr>
        <w:t xml:space="preserve">可在投标截止时间十五日前对招标文件进行必要的澄清或者修改，不足15日的，将顺延提交投标文件的截止时间。</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江苏正龙项目管理有限公司</w:t>
      </w:r>
      <w:r>
        <w:rPr>
          <w:rFonts w:hint="eastAsia" w:ascii="宋体" w:hAnsi="宋体" w:eastAsia="宋体" w:cs="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因投标供应商未尽注意义务，未及时更新上传投标文件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全面地关注更正公告导致其提交的投标材料不符合</w:t>
      </w:r>
      <w:r>
        <w:rPr>
          <w:rFonts w:hint="eastAsia" w:ascii="宋体" w:hAnsi="宋体" w:eastAsia="宋体" w:cs="宋体"/>
          <w:bCs/>
          <w:color w:val="auto"/>
          <w:sz w:val="24"/>
          <w:szCs w:val="24"/>
          <w:highlight w:val="none"/>
          <w:lang w:val="en-US" w:eastAsia="zh-CN"/>
        </w:rPr>
        <w:t xml:space="preserve">招标文件</w:t>
      </w:r>
      <w:r>
        <w:rPr>
          <w:rFonts w:hint="eastAsia" w:ascii="宋体" w:hAnsi="宋体" w:eastAsia="宋体" w:cs="宋体"/>
          <w:bCs/>
          <w:color w:val="auto"/>
          <w:sz w:val="24"/>
          <w:szCs w:val="24"/>
          <w:highlight w:val="none"/>
        </w:rPr>
        <w:t xml:space="preserve">要求，而造成的损失及风险（包括但不限于未中标）由投标供应商自行承担。</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u w:val="none"/>
        </w:rPr>
        <w:t xml:space="preserve">政府采购供应商质疑函范本</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江苏正龙项目管理有限公司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江苏正龙项目管理有限公司</w:t>
      </w:r>
      <w:r>
        <w:rPr>
          <w:rFonts w:hint="eastAsia" w:ascii="宋体" w:hAnsi="宋体" w:eastAsia="宋体" w:cs="宋体"/>
          <w:bCs/>
          <w:color w:val="auto"/>
          <w:sz w:val="24"/>
          <w:szCs w:val="24"/>
          <w:highlight w:val="none"/>
        </w:rPr>
        <w:t xml:space="preserve">对无效质疑不予受理。</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（五）投标文件的组成（相应内容上传至投标客户端）：</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rPr>
          <w:rFonts w:hint="eastAsia" w:ascii="宋体" w:hAnsi="宋体" w:eastAsia="宋体" w:cs="宋体"/>
          <w:b/>
          <w:bCs w:val="0"/>
          <w:color w:val="auto"/>
          <w:sz w:val="24"/>
          <w:szCs w:val="24"/>
          <w:highlight w:val="none"/>
        </w:rPr>
        <w:t xml:space="preserve">（扫描后上传</w:t>
      </w:r>
      <w:r>
        <w:rPr>
          <w:rFonts w:hint="eastAsia" w:ascii="宋体" w:hAnsi="宋体" w:cs="宋体"/>
          <w:b/>
          <w:bCs w:val="0"/>
          <w:color w:val="auto"/>
          <w:sz w:val="24"/>
          <w:szCs w:val="24"/>
          <w:highlight w:val="none"/>
          <w:lang w:val="en-US" w:eastAsia="zh-CN"/>
        </w:rPr>
        <w:t xml:space="preserve">至投标文件</w:t>
      </w:r>
      <w:r>
        <w:rPr>
          <w:rFonts w:hint="eastAsia" w:ascii="宋体" w:hAnsi="宋体" w:eastAsia="宋体" w:cs="宋体"/>
          <w:b/>
          <w:bCs w:val="0"/>
          <w:color w:val="auto"/>
          <w:sz w:val="24"/>
          <w:szCs w:val="24"/>
          <w:highlight w:val="none"/>
        </w:rPr>
        <w:t xml:space="preserve">，身份证应为正、反面）</w:t>
      </w:r>
      <w:r>
        <w:rPr>
          <w:rFonts w:hint="eastAsia" w:ascii="宋体" w:hAnsi="宋体" w:eastAsia="宋体" w:cs="宋体"/>
          <w:bCs/>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加盖公章（投标人如是允许以分支机构身份参加投标的，提供投标人分支机构的营业执照扫描件；投标人如是自然人情形的，提供有效身份证扫描件</w:t>
      </w:r>
      <w:r>
        <w:rPr>
          <w:rFonts w:hint="eastAsia" w:ascii="宋体" w:hAnsi="宋体" w:cs="宋体"/>
          <w:bCs/>
          <w:color w:val="auto"/>
          <w:sz w:val="24"/>
          <w:szCs w:val="24"/>
          <w:highlight w:val="none"/>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（3）投标供应商法定代表人授权委托书加盖公章</w:t>
      </w:r>
      <w:r>
        <w:rPr>
          <w:rFonts w:hint="eastAsia" w:ascii="宋体" w:hAnsi="宋体" w:eastAsia="宋体" w:cs="宋体"/>
          <w:b/>
          <w:bCs w:val="0"/>
          <w:color w:val="auto"/>
          <w:sz w:val="24"/>
          <w:szCs w:val="24"/>
          <w:highlight w:val="none"/>
        </w:rPr>
        <w:t xml:space="preserve">（格式见附件，法定代表人亲自参加投标的除外）</w:t>
      </w:r>
      <w:r>
        <w:rPr>
          <w:rFonts w:hint="eastAsia" w:ascii="宋体" w:hAnsi="宋体" w:cs="宋体"/>
          <w:b/>
          <w:bCs w:val="0"/>
          <w:color w:val="auto"/>
          <w:sz w:val="24"/>
          <w:szCs w:val="24"/>
          <w:highlight w:val="none"/>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（4）投标供应商法定代表人身份证</w:t>
      </w:r>
      <w:r>
        <w:rPr>
          <w:rFonts w:hint="eastAsia" w:ascii="宋体" w:hAnsi="宋体" w:cs="宋体"/>
          <w:bCs/>
          <w:color w:val="auto"/>
          <w:sz w:val="24"/>
          <w:szCs w:val="24"/>
          <w:highlight w:val="none"/>
          <w:lang w:val="en-US" w:eastAsia="zh-CN"/>
        </w:rPr>
        <w:t xml:space="preserve">扫描件加盖公章</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（5）投标供应商法定代表人授权代表身份证扫描件加盖公章（</w:t>
      </w:r>
      <w:r>
        <w:rPr>
          <w:rFonts w:hint="eastAsia" w:ascii="宋体" w:hAnsi="宋体" w:eastAsia="宋体" w:cs="宋体"/>
          <w:bCs/>
          <w:color w:val="auto"/>
          <w:sz w:val="24"/>
          <w:szCs w:val="24"/>
          <w:highlight w:val="none"/>
          <w:lang w:val="en-US" w:eastAsia="zh-CN"/>
        </w:rPr>
        <w:t xml:space="preserve">正、反面</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法定代表人亲自参加投标的除外）；</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）投标供应商近三个月中任意一个月份（不含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标当月）的财务状况报告（资产负债表和利润表）或由会计师事务所出具的近两年中任意一个年度的审计报告和所附已审财务报告扫描件，新成立的公司（成立不满三个自然月的公司、企业）除外；</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）投标供应商近三个月中任意一个月份（不含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标当月）的依法缴纳税收的相关材料（提供相关主管部门证明或银行代扣证明）扫描件，若供应商无需依法缴纳税收，请提供纳税申报表；</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）投标供应商近三个月中任意一个月份（不含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标当月）的依法缴纳社会保障资金的相关材料（提供相关主管部门证明或银行代扣证明）扫描件，新成立的公司（成立不满三个自然月的公司、企业）除外；</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）中小企业声明函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或残疾人福利性单位声明函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或由省级以上监狱管理局、戒毒管理局(含新疆生产建设兵团)出具的属于监狱企业的证明文件扫描件加盖公章；</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4.报价明细表</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lang w:val="en-US" w:eastAsia="zh-CN"/>
        </w:rPr>
        <w:t xml:space="preserve">投标</w:t>
      </w:r>
      <w:r>
        <w:rPr>
          <w:rFonts w:hint="eastAsia" w:ascii="宋体" w:hAnsi="宋体" w:eastAsia="宋体" w:cs="宋体"/>
          <w:b w:val="0"/>
          <w:bCs/>
          <w:color w:val="auto"/>
          <w:sz w:val="24"/>
          <w:szCs w:val="24"/>
          <w:highlight w:val="none"/>
          <w:lang w:val="en-US" w:eastAsia="zh-CN"/>
        </w:rPr>
        <w:t xml:space="preserve">偏离表（</w:t>
      </w:r>
      <w:r>
        <w:rPr>
          <w:rFonts w:hint="eastAsia" w:ascii="宋体" w:hAnsi="宋体" w:eastAsia="宋体" w:cs="宋体"/>
          <w:b/>
          <w:bCs w:val="0"/>
          <w:color w:val="auto"/>
          <w:sz w:val="24"/>
          <w:szCs w:val="24"/>
          <w:highlight w:val="none"/>
          <w:lang w:val="en-US" w:eastAsia="zh-CN"/>
        </w:rPr>
        <w:t xml:space="preserve">格式见附件）</w:t>
      </w:r>
      <w:r/>
    </w:p>
    <w:p>
      <w:pPr>
        <w:ind w:left="0" w:firstLine="480"/>
        <w:jc w:val="both"/>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服务保障承诺书</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.投标供应商基本情况表（格式见附件）</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.提供第三章项目技术要求和有关说明中需提供的相关证明材料（如有）</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.技术方案（详见评分标准）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.评分标准中对应的其他所需证明材料（详见评分标准）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.要求采购人提供的配合（如有格式自拟并自行添加）</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.其他（投标供应商认为有必要提供的声明和文件，如有格式自拟并自行添加）</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项投标供应商必须按要求全部提供，否则投标文件无效。如上述资格证明文件遇年检、换证，则必须提供法定年检、换证单位出具的有效证明扫描件。如上述资格证明文件第（</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）（7）（8）</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（六）投标文件的要求：</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1.所有文件、往来函件均应使用简体中文（规格、型号辅助符号例外）。</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2.投标文件由供应商按给定格式如实填写（编写），须有法人（盖章）、法定代表人或法定代表人授权代表签字或盖章，方为有效，未尽事宜可自行补充。</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3.如无特别说明，供应商报价一律以人民币为投标结算货币，结算单位为“元”。</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4.投标文件格式部分，应由供应商按给定格式提供，不得更改。</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5.供应商在制作电子投标文件时，请正确关联到对应页，在评审过程中，评审专家如因在相对应页面找不到该相关联的文件，由此产生的后果由供应商自行承担。</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6.投标费用自理。</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（七）网上投标</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2.供应商应对CA数字证书妥善保管，如被他人盗用投标，后果自负。</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3.供应商按招标文件规定的网上解密时间进行解密，如未按时解密后果自负。</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4.供应商应当对招标文件提出的要求和条件作出实质性响应，并在电子投标系统逐条应答。</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5.供应商应对要求提供的资格证明文件（如资质证书、资格证书）、技术资料（如白皮书、彩页、手册、检测报告等）扫描上传至投标系统。</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6.供应商进行网上投标请参照《政府采购项目电子交易管理操作指南－供应商》。</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
          <w:bCs/>
          <w:color w:val="auto"/>
          <w:sz w:val="24"/>
          <w:szCs w:val="24"/>
          <w:highlight w:val="none"/>
        </w:rPr>
        <w:t xml:space="preserve">特别提醒 ：开标后，</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如未按要求应答，由此所产生的损失及风险由</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自行承担</w:t>
      </w:r>
      <w:r>
        <w:rPr>
          <w:rFonts w:hint="eastAsia" w:ascii="宋体" w:hAnsi="宋体" w:eastAsia="宋体" w:cs="宋体"/>
          <w:b/>
          <w:bCs/>
          <w:color w:val="auto"/>
          <w:sz w:val="24"/>
          <w:szCs w:val="24"/>
          <w:highlight w:val="none"/>
          <w:lang w:eastAsia="zh-CN"/>
        </w:rPr>
        <w:t xml:space="preserve">。</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（八）无效投标文件的确认：</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投标人有下列情况之一者，其投标文件无效：</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1.未按规定在江苏省政府采购（苏采云）平台注册的；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2.电子投标文件未按规定时间上传的，纸质投标文件（如有）未按规定的期限、地点送达的；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3.电子投标文件未按招标文件要求签章的；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4.投标人未按招标文件要求解密的；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5.不具备招标文件中规定的资格要求的；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6.报价超过招标文件中规定的预算金额或最高限价的；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7.投标文件含有采购人不能接受的附加条件的；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8.投标文件未按采购文件规定的内容和要求填写、制作的；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9.投标文件书写潦草、字迹模糊不清、无法辨认的；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10.投标文件中有采购文件未允许提供的选择性内容的；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11.投标系统中不同投标人的MAC地址一致或标书制作工具客户端标识码一致的；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12.恶意串通其他投标供应商，故意哄抬价格或压价的；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13.提供虚假材料的（包括工商营业执照、财务报表、资格证明文件、在偏离表中填报虚假参数等）；</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14.不具备采购文件中规定的资格要求或未按采购文件规定的要求提供资格、资信证明文件的；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15.不同投标供应商投标文件中的项目相关人员出现同一人的；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16.不同投标供应商聘请同一人为其投标提供技术或经济咨询服务的；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17.不同投标供应商的单位负责人为同一人或者存在直接控股、管理关系的；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18.不同投标供应商的投标文件异常一致或者投标报价呈规律性差异；</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19.投标文件商务标中同一方案有选择性报价且未声明以哪一个为准的；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20.投标文件报价出现前后不一致，投标供应商拒不确认修正后的报价的；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21.评标委员会按照本招标文件规定对投标人进行异常低价投标（响应）审查后，认为投标人不能证明其报价合理性的；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22.未通过初步资格性审查、投标文件资格性检查、 投标文件符合性检查的；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23.列入失信被执行人、重大税收违法失信主体、政府采购严重违法失信行为记录名单及其他不符合《中华人民共和国政府采购法》第二十二条规定条件的；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24.未按要求提供技术文件，技术文件编制粗糙、条理不清的；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25.投标供应商的投标报价畸高或畸低，但投标总报价与各分项报价不能相互对应，在询标时没有合理的解释或者不能提供计算依据和报价依据的；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26.不同投标供应商投标文件内容存在非正常一致、项目组成员或者联系人员出现同一人、投标文件中错误（或异常）一致或雷同、电子文档信息一致或雷同的；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27.不同投标供应商的委托代理人以及其他相关人员有在同一个单位缴纳社会保险的；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28.同一投标文件中单位名称落款与公章不是同一单位的；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29.不同投标供应商委托同一单位或者个人办理投标事宜的；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bCs/>
          <w:color w:val="auto"/>
          <w:sz w:val="24"/>
          <w:szCs w:val="24"/>
          <w:highlight w:val="none"/>
        </w:rPr>
        <w:t xml:space="preserve">投标文件内容不全或不符合法律法规和采购文件中规定的其他实质性要求的。</w:t>
      </w:r>
      <w:r/>
    </w:p>
    <w:p>
      <w:pPr>
        <w:ind w:firstLine="480"/>
        <w:jc w:val="both"/>
        <w:spacing w:line="360" w:lineRule="auto"/>
        <w:rPr>
          <w:rFonts w:hint="eastAsia" w:ascii="黑体" w:hAnsi="宋体" w:eastAsia="黑体" w:cs="Times New Roman"/>
          <w:bCs/>
          <w:color w:val="auto"/>
          <w:sz w:val="24"/>
          <w:szCs w:val="24"/>
          <w:highlight w:val="none"/>
          <w:lang w:val="en-US" w:eastAsia="zh-CN"/>
        </w:rPr>
        <w:outlineLvl w:val="1"/>
      </w:pPr>
      <w:r>
        <w:rPr>
          <w:rFonts w:hint="eastAsia" w:ascii="黑体" w:hAnsi="宋体" w:eastAsia="黑体" w:cs="Times New Roman"/>
          <w:bCs/>
          <w:color w:val="auto"/>
          <w:sz w:val="24"/>
          <w:szCs w:val="24"/>
          <w:highlight w:val="none"/>
          <w:lang w:val="en-US" w:eastAsia="zh-CN"/>
        </w:rPr>
        <w:t xml:space="preserve">（九）开标、评标：</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①投标文件中开标一览表（报价表）内容与投标文件中相应内容不一致的，以开标一览表（报价表）为准；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②大写金额和小写金额不一致的，以大写金额为准；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③单价金额小数点或者百分比有明显错位的，以开标一览表的总价为准，并修改单价；</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④总价金额与按单价汇总金额不一致的，以单价金额计算结果为准。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（3）投标人未参加开标的，视同认可开标结果。</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评标工作由代理公司负责组织，具体评标事务由依法组建的评标委员会负责。</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614"/>
        <w:jc w:val="both"/>
        <w:pageBreakBefore w:val="0"/>
        <w:spacing w:line="360" w:lineRule="auto"/>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80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918"/>
        <w:gridCol w:w="4624"/>
      </w:tblGrid>
      <w:tr>
        <w:trPr>
          <w:trHeight w:val="564"/>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gridSpan w:val="2"/>
            <w:tcW w:w="8542" w:type="dxa"/>
            <w:vAlign w:val="center"/>
            <w:textDirection w:val="lrTb"/>
            <w:noWrap w:val="false"/>
          </w:tcPr>
          <w:p>
            <w:pPr>
              <w:jc w:val="center"/>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资格审查内容</w:t>
            </w:r>
            <w:r/>
          </w:p>
        </w:tc>
      </w:tr>
      <w:tr>
        <w:trPr>
          <w:trHeight w:val="697"/>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关于资格的声明函</w:t>
            </w:r>
            <w:r/>
          </w:p>
        </w:tc>
        <w:tc>
          <w:tcPr>
            <w:tcW w:w="4624" w:type="dxa"/>
            <w:vAlign w:val="center"/>
            <w:textDirection w:val="lrTb"/>
            <w:noWrap w:val="false"/>
          </w:tcPr>
          <w:p>
            <w:pPr>
              <w:jc w:val="lef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格式见附件</w:t>
            </w:r>
            <w:r/>
          </w:p>
        </w:tc>
      </w:tr>
      <w:tr>
        <w:trPr>
          <w:trHeight w:val="663"/>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具有独立承担民事责任的能力</w:t>
            </w:r>
            <w:r/>
          </w:p>
        </w:tc>
        <w:tc>
          <w:tcPr>
            <w:tcW w:w="4624" w:type="dxa"/>
            <w:vAlign w:val="center"/>
            <w:textDirection w:val="lrTb"/>
            <w:noWrap w:val="false"/>
          </w:tcPr>
          <w:p>
            <w:pPr>
              <w:jc w:val="both"/>
              <w:pageBreakBefore w:val="0"/>
              <w:spacing w:line="240" w:lineRule="auto"/>
              <w:widowControl w:val="off"/>
              <w:tabs>
                <w:tab w:val="left" w:pos="105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投标供应商法定代表人授权委托书</w:t>
            </w:r>
            <w:r/>
          </w:p>
        </w:tc>
        <w:tc>
          <w:tcPr>
            <w:tcW w:w="4624" w:type="dxa"/>
            <w:vAlign w:val="center"/>
            <w:textDirection w:val="lrTb"/>
            <w:noWrap w:val="false"/>
          </w:tcPr>
          <w:p>
            <w:pPr>
              <w:jc w:val="both"/>
              <w:pageBreakBefore w:val="0"/>
              <w:spacing w:line="240" w:lineRule="auto"/>
              <w:widowControl w:val="off"/>
              <w:tabs>
                <w:tab w:val="left" w:pos="105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法定代表人亲自参与投标的除外，格式见附件</w:t>
            </w:r>
            <w:r/>
          </w:p>
        </w:tc>
      </w:tr>
      <w:tr>
        <w:trPr>
          <w:trHeight w:val="644"/>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投标供应商法定代表人身份证</w:t>
            </w:r>
            <w:r>
              <w:rPr>
                <w:rFonts w:hint="eastAsia" w:ascii="宋体" w:hAnsi="宋体" w:eastAsia="宋体" w:cs="宋体"/>
                <w:bCs/>
                <w:color w:val="auto"/>
                <w:sz w:val="24"/>
                <w:szCs w:val="24"/>
                <w:highlight w:val="none"/>
                <w:lang w:val="en-US" w:eastAsia="zh-CN" w:bidi="ar-SA"/>
              </w:rPr>
              <w:t xml:space="preserve">扫描件</w:t>
            </w:r>
            <w:r/>
          </w:p>
        </w:tc>
        <w:tc>
          <w:tcPr>
            <w:tcW w:w="4624" w:type="dxa"/>
            <w:vAlign w:val="center"/>
            <w:textDirection w:val="lrTb"/>
            <w:noWrap w:val="false"/>
          </w:tcPr>
          <w:p>
            <w:pPr>
              <w:jc w:val="both"/>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身份证应为正、反面</w:t>
            </w:r>
            <w:r/>
          </w:p>
        </w:tc>
      </w:tr>
      <w:tr>
        <w:trPr>
          <w:trHeight w:val="644"/>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投标供应商法定代表人授权代表身份证扫描件</w:t>
            </w:r>
            <w:r/>
          </w:p>
        </w:tc>
        <w:tc>
          <w:tcPr>
            <w:tcW w:w="4624" w:type="dxa"/>
            <w:vAlign w:val="center"/>
            <w:textDirection w:val="lrTb"/>
            <w:noWrap w:val="false"/>
          </w:tcPr>
          <w:p>
            <w:pPr>
              <w:jc w:val="both"/>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身份证应为正、反面，</w:t>
            </w:r>
            <w:r>
              <w:rPr>
                <w:rFonts w:hint="eastAsia" w:ascii="宋体" w:hAnsi="宋体" w:eastAsia="宋体" w:cs="宋体"/>
                <w:bCs/>
                <w:color w:val="auto"/>
                <w:sz w:val="24"/>
                <w:szCs w:val="24"/>
                <w:highlight w:val="none"/>
                <w:lang w:val="en-US" w:eastAsia="zh-CN" w:bidi="ar-SA"/>
              </w:rPr>
              <w:t xml:space="preserve">法定代表人亲自参加投标的除外</w:t>
            </w:r>
            <w:r/>
          </w:p>
        </w:tc>
      </w:tr>
      <w:tr>
        <w:trPr>
          <w:trHeight w:val="1280"/>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具有良好的商业信誉和健全的财务会计制度</w:t>
            </w:r>
            <w:r/>
          </w:p>
        </w:tc>
        <w:tc>
          <w:tcPr>
            <w:tcW w:w="4624" w:type="dxa"/>
            <w:vAlign w:val="center"/>
            <w:textDirection w:val="lrTb"/>
            <w:noWrap w:val="false"/>
          </w:tcPr>
          <w:p>
            <w:pPr>
              <w:jc w:val="both"/>
              <w:pageBreakBefore w:val="0"/>
              <w:spacing w:line="240" w:lineRule="auto"/>
              <w:widowControl w:val="off"/>
              <w:tabs>
                <w:tab w:val="left" w:pos="105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bidi="ar-SA"/>
              </w:rPr>
              <w:t xml:space="preserve">近三个月中任意一个月份（不含</w:t>
            </w:r>
            <w:r>
              <w:rPr>
                <w:rFonts w:hint="eastAsia" w:ascii="宋体" w:hAnsi="宋体" w:cs="宋体"/>
                <w:bCs/>
                <w:color w:val="auto"/>
                <w:sz w:val="24"/>
                <w:szCs w:val="24"/>
                <w:highlight w:val="none"/>
                <w:lang w:val="en-US" w:eastAsia="zh-CN" w:bidi="ar-SA"/>
              </w:rPr>
              <w:t xml:space="preserve">开</w:t>
            </w:r>
            <w:r>
              <w:rPr>
                <w:rFonts w:hint="eastAsia" w:ascii="宋体" w:hAnsi="宋体" w:eastAsia="宋体" w:cs="宋体"/>
                <w:bCs/>
                <w:color w:val="auto"/>
                <w:sz w:val="24"/>
                <w:szCs w:val="24"/>
                <w:highlight w:val="none"/>
                <w:lang w:val="en-US" w:eastAsia="zh-CN" w:bidi="ar-SA"/>
              </w:rPr>
              <w:t xml:space="preserve">标当月）的财务状况报告（资产负债表和利润表）或由会计师事务所出具的近两年中任意一个年度的审计报告和所附已审财务报告扫描件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新成立公司（成立不满三个自然月）除外</w:t>
            </w:r>
            <w:r/>
          </w:p>
        </w:tc>
      </w:tr>
      <w:tr>
        <w:trPr>
          <w:trHeight w:val="1097"/>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具有依法缴纳税收的良好记录</w:t>
            </w:r>
            <w:r/>
          </w:p>
        </w:tc>
        <w:tc>
          <w:tcPr>
            <w:tcW w:w="4624" w:type="dxa"/>
            <w:vAlign w:val="top"/>
            <w:textDirection w:val="lrTb"/>
            <w:noWrap w:val="false"/>
          </w:tcPr>
          <w:p>
            <w:pPr>
              <w:jc w:val="both"/>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bidi="ar-SA"/>
              </w:rPr>
              <w:t xml:space="preserve">近三个月中任意一个月份（不含</w:t>
            </w:r>
            <w:r>
              <w:rPr>
                <w:rFonts w:hint="eastAsia" w:ascii="宋体" w:hAnsi="宋体" w:cs="宋体"/>
                <w:bCs/>
                <w:color w:val="auto"/>
                <w:sz w:val="24"/>
                <w:szCs w:val="24"/>
                <w:highlight w:val="none"/>
                <w:lang w:val="en-US" w:eastAsia="zh-CN" w:bidi="ar-SA"/>
              </w:rPr>
              <w:t xml:space="preserve">开</w:t>
            </w:r>
            <w:r>
              <w:rPr>
                <w:rFonts w:hint="eastAsia" w:ascii="宋体" w:hAnsi="宋体" w:eastAsia="宋体" w:cs="宋体"/>
                <w:bCs/>
                <w:color w:val="auto"/>
                <w:sz w:val="24"/>
                <w:szCs w:val="24"/>
                <w:highlight w:val="none"/>
                <w:lang w:val="en-US" w:eastAsia="zh-CN" w:bidi="ar-SA"/>
              </w:rPr>
              <w:t xml:space="preserve">标当月）的依法缴纳税收的相关材料（提供相关主管部门证明或银行代扣证明）扫描件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若供应商无需依法缴纳税收，请提供纳税申报表</w:t>
            </w:r>
            <w:r/>
          </w:p>
        </w:tc>
      </w:tr>
      <w:tr>
        <w:trPr>
          <w:trHeight w:val="351"/>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具有依法缴纳社会保障资金的良好记录</w:t>
            </w:r>
            <w:r/>
          </w:p>
        </w:tc>
        <w:tc>
          <w:tcPr>
            <w:tcW w:w="4624" w:type="dxa"/>
            <w:vAlign w:val="top"/>
            <w:textDirection w:val="lrTb"/>
            <w:noWrap w:val="false"/>
          </w:tcPr>
          <w:p>
            <w:pPr>
              <w:jc w:val="both"/>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bidi="ar-SA"/>
              </w:rPr>
              <w:t xml:space="preserve">近三个月中任意一个月份（不含</w:t>
            </w:r>
            <w:r>
              <w:rPr>
                <w:rFonts w:hint="eastAsia" w:ascii="宋体" w:hAnsi="宋体" w:cs="宋体"/>
                <w:bCs/>
                <w:color w:val="auto"/>
                <w:sz w:val="24"/>
                <w:szCs w:val="24"/>
                <w:highlight w:val="none"/>
                <w:lang w:val="en-US" w:eastAsia="zh-CN" w:bidi="ar-SA"/>
              </w:rPr>
              <w:t xml:space="preserve">开</w:t>
            </w:r>
            <w:r>
              <w:rPr>
                <w:rFonts w:hint="eastAsia" w:ascii="宋体" w:hAnsi="宋体" w:eastAsia="宋体" w:cs="宋体"/>
                <w:bCs/>
                <w:color w:val="auto"/>
                <w:sz w:val="24"/>
                <w:szCs w:val="24"/>
                <w:highlight w:val="none"/>
                <w:lang w:val="en-US" w:eastAsia="zh-CN" w:bidi="ar-SA"/>
              </w:rPr>
              <w:t xml:space="preserve">标当月）的依法缴纳社会保障资金的相关材料（提供相关主管部门证明或银行代扣证明）扫描件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新成立公司（成立不满三个自然月）除外</w:t>
            </w:r>
            <w:r/>
          </w:p>
        </w:tc>
      </w:tr>
      <w:tr>
        <w:trPr>
          <w:trHeight w:val="747"/>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落实政府采购政策需满足的资格要求</w:t>
            </w:r>
            <w:r/>
          </w:p>
        </w:tc>
        <w:tc>
          <w:tcPr>
            <w:tcW w:w="4624" w:type="dxa"/>
            <w:vAlign w:val="center"/>
            <w:textDirection w:val="lrTb"/>
            <w:noWrap w:val="false"/>
          </w:tcPr>
          <w:p>
            <w:pPr>
              <w:jc w:val="lef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中小企业声明函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或残疾人福利性单位声明函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或由省级以上监狱管理局、戒毒管理局(含新疆生产建设兵团)出具的属于监狱企业的证明文件扫描件</w:t>
            </w:r>
            <w:r/>
          </w:p>
        </w:tc>
      </w:tr>
      <w:tr>
        <w:trPr>
          <w:trHeight w:val="602"/>
        </w:trPr>
        <w:tc>
          <w:tcPr>
            <w:tcW w:w="649" w:type="dxa"/>
            <w:vAlign w:val="center"/>
            <w:textDirection w:val="lrTb"/>
            <w:noWrap w:val="false"/>
          </w:tcPr>
          <w:p>
            <w:pPr>
              <w:jc w:val="center"/>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特定资格要求</w:t>
            </w:r>
            <w:r/>
          </w:p>
        </w:tc>
        <w:tc>
          <w:tcPr>
            <w:tcW w:w="4624" w:type="dxa"/>
            <w:vAlign w:val="center"/>
            <w:textDirection w:val="lrTb"/>
            <w:noWrap w:val="false"/>
          </w:tcPr>
          <w:p>
            <w:pPr>
              <w:jc w:val="left"/>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等线" w:cs="宋体"/>
                <w:color w:val="auto"/>
                <w:sz w:val="24"/>
                <w:szCs w:val="24"/>
                <w:highlight w:val="none"/>
                <w:lang w:val="en-US" w:eastAsia="zh-CN" w:bidi="ar-SA"/>
              </w:rPr>
              <w:t xml:space="preserve">/</w:t>
            </w:r>
            <w:r/>
          </w:p>
        </w:tc>
      </w:tr>
      <w:tr>
        <w:trPr>
          <w:trHeight w:val="1044"/>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1</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信用记录</w:t>
            </w:r>
            <w:r/>
          </w:p>
          <w:p>
            <w:pPr>
              <w:pStyle w:val="815"/>
              <w:jc w:val="both"/>
              <w:pageBreakBefore w:val="0"/>
              <w:spacing w:after="0" w:line="240" w:lineRule="auto"/>
              <w:widowControl w:val="off"/>
              <w:tabs>
                <w:tab w:val="center" w:pos="4153" w:leader="none"/>
                <w:tab w:val="clear" w:pos="7143" w:leader="none"/>
                <w:tab w:val="right" w:pos="8306" w:leader="none"/>
                <w:tab w:val="clear" w:pos="1428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由网上直接查询，供应商无需提供证明材料。）</w:t>
            </w:r>
            <w:r/>
          </w:p>
        </w:tc>
        <w:tc>
          <w:tcPr>
            <w:tcW w:w="4624" w:type="dxa"/>
            <w:vAlign w:val="top"/>
            <w:textDirection w:val="lrTb"/>
            <w:noWrap w:val="false"/>
          </w:tcPr>
          <w:p>
            <w:pPr>
              <w:jc w:val="both"/>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2</w:t>
            </w:r>
            <w:r/>
          </w:p>
        </w:tc>
        <w:tc>
          <w:tcPr>
            <w:tcW w:w="3918"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关于联合体投标</w:t>
            </w:r>
            <w:r/>
          </w:p>
        </w:tc>
        <w:tc>
          <w:tcPr>
            <w:tcW w:w="4624" w:type="dxa"/>
            <w:vAlign w:val="center"/>
            <w:textDirection w:val="lrTb"/>
            <w:noWrap w:val="false"/>
          </w:tcPr>
          <w:p>
            <w:pPr>
              <w:jc w:val="lef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本项目不接受联合体投标；不允许分包、转包</w:t>
            </w:r>
            <w:r/>
          </w:p>
        </w:tc>
      </w:tr>
    </w:tbl>
    <w:p>
      <w:pPr>
        <w:ind w:firstLine="482"/>
        <w:pageBreakBefore w:val="0"/>
        <w:spacing w:line="360" w:lineRule="auto"/>
        <w:tabs>
          <w:tab w:val="left" w:pos="525" w:leader="none"/>
          <w:tab w:val="left" w:pos="630" w:leader="none"/>
          <w:tab w:val="left" w:pos="1155" w:leader="none"/>
          <w:tab w:val="left" w:pos="1365" w:leader="none"/>
          <w:tab w:val="left" w:pos="26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auto"/>
          <w:sz w:val="24"/>
          <w:szCs w:val="24"/>
          <w:highlight w:val="none"/>
        </w:rPr>
        <w:outlineLvl w:val="0"/>
      </w:pPr>
      <w:r/>
      <w:bookmarkStart w:id="3" w:name="_Toc116946315"/>
      <w:r>
        <w:rPr>
          <w:rFonts w:hint="eastAsia" w:ascii="宋体" w:hAnsi="宋体" w:eastAsia="宋体" w:cs="宋体"/>
          <w:b/>
          <w:bCs w:val="0"/>
          <w:color w:val="auto"/>
          <w:sz w:val="24"/>
          <w:szCs w:val="24"/>
          <w:highlight w:val="none"/>
        </w:rPr>
        <w:t xml:space="preserve">符合性审查表</w:t>
      </w:r>
      <w:bookmarkEnd w:id="3"/>
      <w:r/>
      <w:r/>
    </w:p>
    <w:tbl>
      <w:tblPr>
        <w:tblStyle w:val="801"/>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bCs w:val="0"/>
                <w:color w:val="auto"/>
                <w:sz w:val="24"/>
                <w:szCs w:val="24"/>
                <w:highlight w:val="none"/>
                <w:lang w:val="en-US" w:eastAsia="zh-CN" w:bidi="ar-SA"/>
              </w:rPr>
              <w:outlineLvl w:val="0"/>
            </w:pPr>
            <w:r>
              <w:rPr>
                <w:rFonts w:hint="eastAsia" w:ascii="宋体" w:hAnsi="宋体" w:eastAsia="宋体" w:cs="宋体"/>
                <w:b/>
                <w:bCs w:val="0"/>
                <w:color w:val="auto"/>
                <w:sz w:val="24"/>
                <w:szCs w:val="24"/>
                <w:highlight w:val="none"/>
                <w:lang w:val="en-US" w:eastAsia="zh-CN" w:bidi="ar-SA"/>
              </w:rPr>
              <w:t xml:space="preserve">序号</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bCs w:val="0"/>
                <w:color w:val="auto"/>
                <w:sz w:val="24"/>
                <w:szCs w:val="24"/>
                <w:highlight w:val="none"/>
                <w:lang w:val="en-US" w:eastAsia="zh-CN" w:bidi="ar-SA"/>
              </w:rPr>
              <w:outlineLvl w:val="0"/>
            </w:pPr>
            <w:r>
              <w:rPr>
                <w:rFonts w:hint="eastAsia" w:ascii="宋体" w:hAnsi="宋体" w:eastAsia="宋体" w:cs="宋体"/>
                <w:b/>
                <w:bCs w:val="0"/>
                <w:color w:val="auto"/>
                <w:sz w:val="24"/>
                <w:szCs w:val="24"/>
                <w:highlight w:val="none"/>
                <w:lang w:val="en-US" w:eastAsia="zh-CN" w:bidi="ar-SA"/>
              </w:rPr>
              <w:t xml:space="preserve">评审点要求概况</w:t>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bCs w:val="0"/>
                <w:color w:val="auto"/>
                <w:sz w:val="24"/>
                <w:szCs w:val="24"/>
                <w:highlight w:val="none"/>
                <w:lang w:val="en-US" w:eastAsia="zh-CN" w:bidi="ar-SA"/>
              </w:rPr>
              <w:outlineLvl w:val="0"/>
            </w:pPr>
            <w:r>
              <w:rPr>
                <w:rFonts w:hint="eastAsia" w:ascii="宋体" w:hAnsi="宋体" w:eastAsia="宋体" w:cs="宋体"/>
                <w:b/>
                <w:bCs w:val="0"/>
                <w:color w:val="auto"/>
                <w:sz w:val="24"/>
                <w:szCs w:val="24"/>
                <w:highlight w:val="none"/>
                <w:lang w:val="en-US" w:eastAsia="zh-CN" w:bidi="ar-SA"/>
              </w:rPr>
              <w:t xml:space="preserve">评审点具体描述</w:t>
            </w:r>
            <w:r/>
          </w:p>
        </w:tc>
      </w:tr>
      <w:tr>
        <w:trPr>
          <w:trHeight w:val="435"/>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1</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4" w:name="OLE_LINK26"/>
            <w:r>
              <w:rPr>
                <w:rFonts w:hint="eastAsia" w:ascii="宋体" w:hAnsi="宋体" w:eastAsia="宋体" w:cs="宋体"/>
                <w:b w:val="0"/>
                <w:bCs/>
                <w:color w:val="auto"/>
                <w:sz w:val="24"/>
                <w:szCs w:val="24"/>
                <w:highlight w:val="none"/>
                <w:lang w:val="en-US" w:eastAsia="zh-CN" w:bidi="ar-SA"/>
              </w:rPr>
              <w:t xml:space="preserve">投标函</w:t>
            </w:r>
            <w:bookmarkEnd w:id="4"/>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5" w:name="OLE_LINK27"/>
            <w:r>
              <w:rPr>
                <w:rFonts w:hint="eastAsia" w:ascii="宋体" w:hAnsi="宋体" w:eastAsia="宋体" w:cs="宋体"/>
                <w:b w:val="0"/>
                <w:bCs/>
                <w:color w:val="auto"/>
                <w:sz w:val="24"/>
                <w:szCs w:val="24"/>
                <w:highlight w:val="none"/>
                <w:lang w:val="en-US" w:eastAsia="zh-CN" w:bidi="ar-SA"/>
              </w:rPr>
              <w:t xml:space="preserve">按招标文件填写，格式见附件</w:t>
            </w:r>
            <w:bookmarkEnd w:id="5"/>
            <w:r/>
            <w:r/>
          </w:p>
        </w:tc>
      </w:tr>
      <w:tr>
        <w:trPr>
          <w:trHeight w:val="646"/>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2</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6" w:name="OLE_LINK28"/>
            <w:r>
              <w:rPr>
                <w:rFonts w:hint="eastAsia" w:ascii="宋体" w:hAnsi="宋体" w:eastAsia="宋体" w:cs="宋体"/>
                <w:b w:val="0"/>
                <w:bCs/>
                <w:color w:val="auto"/>
                <w:sz w:val="24"/>
                <w:szCs w:val="24"/>
                <w:highlight w:val="none"/>
                <w:lang w:val="en-US" w:eastAsia="zh-CN" w:bidi="ar-SA"/>
              </w:rPr>
              <w:t xml:space="preserve">开标一览表</w:t>
            </w:r>
            <w:bookmarkEnd w:id="6"/>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按招标文件填写，格式见附件</w:t>
            </w:r>
            <w:r/>
          </w:p>
        </w:tc>
      </w:tr>
      <w:tr>
        <w:trPr>
          <w:trHeight w:val="646"/>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3</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7" w:name="OLE_LINK30"/>
            <w:r>
              <w:rPr>
                <w:rFonts w:hint="eastAsia" w:ascii="宋体" w:hAnsi="宋体" w:eastAsia="宋体" w:cs="宋体"/>
                <w:b w:val="0"/>
                <w:bCs/>
                <w:color w:val="auto"/>
                <w:sz w:val="24"/>
                <w:szCs w:val="24"/>
                <w:highlight w:val="none"/>
                <w:lang w:val="en-US" w:eastAsia="zh-CN" w:bidi="ar-SA"/>
              </w:rPr>
              <w:t xml:space="preserve">报价明细表</w:t>
            </w:r>
            <w:bookmarkEnd w:id="7"/>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8" w:name="OLE_LINK31"/>
            <w:r>
              <w:rPr>
                <w:rFonts w:hint="eastAsia" w:ascii="宋体" w:hAnsi="宋体" w:eastAsia="宋体" w:cs="宋体"/>
                <w:b w:val="0"/>
                <w:bCs/>
                <w:color w:val="auto"/>
                <w:sz w:val="24"/>
                <w:szCs w:val="24"/>
                <w:highlight w:val="none"/>
                <w:lang w:val="en-US" w:eastAsia="zh-CN" w:bidi="ar-SA"/>
              </w:rPr>
              <w:t xml:space="preserve">按招标文件填写，格式见附件</w:t>
            </w:r>
            <w:bookmarkEnd w:id="8"/>
            <w:r/>
            <w:r/>
          </w:p>
        </w:tc>
      </w:tr>
      <w:tr>
        <w:trPr>
          <w:trHeight w:val="548"/>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4</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9" w:name="OLE_LINK32"/>
            <w:r>
              <w:rPr>
                <w:rFonts w:hint="eastAsia" w:ascii="宋体" w:hAnsi="宋体" w:eastAsia="宋体" w:cs="宋体"/>
                <w:b w:val="0"/>
                <w:bCs/>
                <w:color w:val="auto"/>
                <w:sz w:val="24"/>
                <w:szCs w:val="24"/>
                <w:highlight w:val="none"/>
                <w:lang w:val="en-US" w:eastAsia="zh-CN" w:bidi="ar-SA"/>
              </w:rPr>
              <w:t xml:space="preserve">服务保障承诺书</w:t>
            </w:r>
            <w:bookmarkEnd w:id="9"/>
            <w:r/>
            <w:r/>
          </w:p>
        </w:tc>
        <w:tc>
          <w:tcPr>
            <w:tcW w:w="5614" w:type="dxa"/>
            <w:vAlign w:val="center"/>
            <w:textDirection w:val="lrTb"/>
            <w:noWrap w:val="false"/>
          </w:tcPr>
          <w:p>
            <w:pPr>
              <w:jc w:val="center"/>
              <w:spacing w:line="440" w:lineRule="exact"/>
              <w:widowControl w:val="off"/>
              <w:tabs>
                <w:tab w:val="left" w:pos="480" w:leader="none"/>
                <w:tab w:val="left" w:pos="2009" w:leader="none"/>
              </w:tabs>
              <w:rPr>
                <w:rFonts w:hint="eastAsia" w:ascii="宋体" w:hAnsi="宋体" w:eastAsia="宋体" w:cs="宋体"/>
                <w:b w:val="0"/>
                <w:bCs/>
                <w:color w:val="auto"/>
                <w:sz w:val="24"/>
                <w:szCs w:val="24"/>
                <w:highlight w:val="none"/>
                <w:lang w:val="en-US" w:eastAsia="zh-CN" w:bidi="ar-SA"/>
              </w:rPr>
              <w:outlineLvl w:val="0"/>
            </w:pPr>
            <w:r/>
            <w:bookmarkStart w:id="10" w:name="OLE_LINK33"/>
            <w:r>
              <w:rPr>
                <w:rFonts w:hint="eastAsia" w:ascii="宋体" w:hAnsi="宋体" w:eastAsia="宋体" w:cs="宋体"/>
                <w:b w:val="0"/>
                <w:bCs/>
                <w:color w:val="auto"/>
                <w:sz w:val="24"/>
                <w:szCs w:val="24"/>
                <w:highlight w:val="none"/>
                <w:lang w:val="en-US" w:eastAsia="zh-CN" w:bidi="ar-SA"/>
              </w:rPr>
              <w:t xml:space="preserve">按招标文件填写 ，格式见附件</w:t>
            </w:r>
            <w:bookmarkEnd w:id="10"/>
            <w:r/>
            <w:r/>
          </w:p>
        </w:tc>
      </w:tr>
      <w:tr>
        <w:trPr>
          <w:trHeight w:val="548"/>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5</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11" w:name="OLE_LINK34"/>
            <w:r>
              <w:rPr>
                <w:rFonts w:hint="eastAsia" w:ascii="宋体" w:hAnsi="宋体" w:eastAsia="宋体" w:cs="宋体"/>
                <w:b w:val="0"/>
                <w:bCs/>
                <w:color w:val="auto"/>
                <w:sz w:val="24"/>
                <w:szCs w:val="24"/>
                <w:highlight w:val="none"/>
                <w:lang w:val="en-US" w:eastAsia="zh-CN" w:bidi="ar-SA"/>
              </w:rPr>
              <w:t xml:space="preserve">投标偏离表</w:t>
            </w:r>
            <w:bookmarkEnd w:id="11"/>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12" w:name="OLE_LINK35"/>
            <w:r>
              <w:rPr>
                <w:rFonts w:hint="eastAsia" w:ascii="宋体" w:hAnsi="宋体" w:eastAsia="宋体" w:cs="宋体"/>
                <w:b w:val="0"/>
                <w:bCs/>
                <w:color w:val="auto"/>
                <w:sz w:val="24"/>
                <w:szCs w:val="24"/>
                <w:highlight w:val="none"/>
                <w:lang w:val="en-US" w:eastAsia="zh-CN" w:bidi="ar-SA"/>
              </w:rPr>
              <w:t xml:space="preserve">按招标文件填写 ，格式见附件</w:t>
            </w:r>
            <w:bookmarkEnd w:id="12"/>
            <w:r/>
            <w:r/>
          </w:p>
        </w:tc>
      </w:tr>
      <w:tr>
        <w:trPr>
          <w:trHeight w:val="548"/>
        </w:trPr>
        <w:tc>
          <w:tcPr>
            <w:tcW w:w="645"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6</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13" w:name="OLE_LINK36"/>
            <w:r>
              <w:rPr>
                <w:rFonts w:hint="eastAsia" w:ascii="宋体" w:hAnsi="宋体" w:eastAsia="宋体" w:cs="宋体"/>
                <w:b w:val="0"/>
                <w:bCs/>
                <w:color w:val="auto"/>
                <w:sz w:val="24"/>
                <w:szCs w:val="24"/>
                <w:highlight w:val="none"/>
                <w:lang w:val="en-US" w:eastAsia="zh-CN" w:bidi="ar-SA"/>
              </w:rPr>
              <w:t xml:space="preserve">投标供应商基本情况表</w:t>
            </w:r>
            <w:bookmarkEnd w:id="13"/>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14" w:name="OLE_LINK37"/>
            <w:r>
              <w:rPr>
                <w:rFonts w:hint="eastAsia" w:ascii="宋体" w:hAnsi="宋体" w:eastAsia="宋体" w:cs="宋体"/>
                <w:b w:val="0"/>
                <w:bCs/>
                <w:color w:val="auto"/>
                <w:sz w:val="24"/>
                <w:szCs w:val="24"/>
                <w:highlight w:val="none"/>
                <w:lang w:val="en-US" w:eastAsia="zh-CN" w:bidi="ar-SA"/>
              </w:rPr>
              <w:t xml:space="preserve">按招标文件填写 ，格式见附件</w:t>
            </w:r>
            <w:bookmarkEnd w:id="14"/>
            <w:r/>
            <w:r/>
          </w:p>
        </w:tc>
      </w:tr>
      <w:tr>
        <w:trPr>
          <w:trHeight w:val="548"/>
        </w:trPr>
        <w:tc>
          <w:tcPr>
            <w:tcW w:w="645" w:type="dxa"/>
            <w:vAlign w:val="center"/>
            <w:textDirection w:val="lrTb"/>
            <w:noWrap w:val="false"/>
          </w:tcPr>
          <w:p>
            <w:pPr>
              <w:jc w:val="center"/>
              <w:spacing w:line="440" w:lineRule="exact"/>
              <w:widowControl w:val="off"/>
              <w:tabs>
                <w:tab w:val="left" w:pos="480" w:leader="none"/>
              </w:tabs>
              <w:rPr>
                <w:rFonts w:hint="default"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7</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lang w:val="en-US" w:eastAsia="zh-CN" w:bidi="ar-SA"/>
              </w:rPr>
              <w:t xml:space="preserve">满足采购需求</w:t>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lang w:val="en-US" w:eastAsia="zh-CN" w:bidi="ar-SA"/>
              </w:rPr>
              <w:t xml:space="preserve">满足采购文件第三章项目技术要求和有关说明，提供相关证明材料</w:t>
            </w:r>
            <w:r>
              <w:rPr>
                <w:rFonts w:hint="eastAsia" w:ascii="宋体" w:hAnsi="宋体" w:cs="宋体"/>
                <w:bCs/>
                <w:color w:val="auto"/>
                <w:sz w:val="24"/>
                <w:szCs w:val="24"/>
                <w:highlight w:val="none"/>
                <w:lang w:val="en-US" w:eastAsia="zh-CN" w:bidi="ar-SA"/>
              </w:rPr>
              <w:t xml:space="preserve">（如有）</w:t>
            </w:r>
            <w:r/>
          </w:p>
        </w:tc>
      </w:tr>
      <w:tr>
        <w:trPr>
          <w:trHeight w:val="582"/>
        </w:trPr>
        <w:tc>
          <w:tcPr>
            <w:tcW w:w="645" w:type="dxa"/>
            <w:vAlign w:val="center"/>
            <w:textDirection w:val="lrTb"/>
            <w:noWrap w:val="false"/>
          </w:tcPr>
          <w:p>
            <w:pPr>
              <w:jc w:val="center"/>
              <w:spacing w:line="440" w:lineRule="exact"/>
              <w:widowControl w:val="off"/>
              <w:tabs>
                <w:tab w:val="left" w:pos="480" w:leader="none"/>
              </w:tabs>
              <w:rPr>
                <w:rFonts w:hint="default" w:ascii="宋体" w:hAnsi="宋体" w:eastAsia="宋体" w:cs="宋体"/>
                <w:b w:val="0"/>
                <w:bCs/>
                <w:color w:val="auto"/>
                <w:sz w:val="24"/>
                <w:szCs w:val="24"/>
                <w:highlight w:val="none"/>
                <w:lang w:val="en-US" w:eastAsia="zh-CN" w:bidi="ar-SA"/>
              </w:rPr>
              <w:outlineLvl w:val="0"/>
            </w:pPr>
            <w:r>
              <w:rPr>
                <w:rFonts w:hint="eastAsia" w:ascii="宋体" w:hAnsi="宋体" w:eastAsia="宋体" w:cs="宋体"/>
                <w:b w:val="0"/>
                <w:bCs/>
                <w:color w:val="auto"/>
                <w:sz w:val="24"/>
                <w:szCs w:val="24"/>
                <w:highlight w:val="none"/>
                <w:lang w:val="en-US" w:eastAsia="zh-CN" w:bidi="ar-SA"/>
              </w:rPr>
              <w:t xml:space="preserve">8</w:t>
            </w:r>
            <w:r/>
          </w:p>
        </w:tc>
        <w:tc>
          <w:tcPr>
            <w:tcW w:w="2659"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15" w:name="OLE_LINK40"/>
            <w:r>
              <w:rPr>
                <w:rFonts w:hint="eastAsia" w:ascii="宋体" w:hAnsi="宋体" w:eastAsia="宋体" w:cs="宋体"/>
                <w:b w:val="0"/>
                <w:bCs/>
                <w:color w:val="auto"/>
                <w:sz w:val="24"/>
                <w:szCs w:val="24"/>
                <w:highlight w:val="none"/>
                <w:lang w:val="en-US" w:eastAsia="zh-CN" w:bidi="ar-SA"/>
              </w:rPr>
              <w:t xml:space="preserve">投标文件内容</w:t>
            </w:r>
            <w:bookmarkEnd w:id="15"/>
            <w:r/>
            <w:r/>
          </w:p>
        </w:tc>
        <w:tc>
          <w:tcPr>
            <w:tcW w:w="5614" w:type="dxa"/>
            <w:vAlign w:val="center"/>
            <w:textDirection w:val="lrTb"/>
            <w:noWrap w:val="false"/>
          </w:tcPr>
          <w:p>
            <w:pPr>
              <w:jc w:val="center"/>
              <w:spacing w:line="440" w:lineRule="exact"/>
              <w:widowControl w:val="off"/>
              <w:tabs>
                <w:tab w:val="left" w:pos="480" w:leader="none"/>
              </w:tabs>
              <w:rPr>
                <w:rFonts w:hint="eastAsia" w:ascii="宋体" w:hAnsi="宋体" w:eastAsia="宋体" w:cs="宋体"/>
                <w:b w:val="0"/>
                <w:bCs/>
                <w:color w:val="auto"/>
                <w:sz w:val="24"/>
                <w:szCs w:val="24"/>
                <w:highlight w:val="none"/>
                <w:lang w:val="en-US" w:eastAsia="zh-CN" w:bidi="ar-SA"/>
              </w:rPr>
              <w:outlineLvl w:val="0"/>
            </w:pPr>
            <w:r/>
            <w:bookmarkStart w:id="16" w:name="OLE_LINK41"/>
            <w:r>
              <w:rPr>
                <w:rFonts w:hint="eastAsia" w:ascii="宋体" w:hAnsi="宋体" w:eastAsia="宋体" w:cs="宋体"/>
                <w:b w:val="0"/>
                <w:bCs/>
                <w:color w:val="auto"/>
                <w:sz w:val="24"/>
                <w:szCs w:val="24"/>
                <w:highlight w:val="none"/>
                <w:lang w:val="en-US" w:eastAsia="zh-CN" w:bidi="ar-SA"/>
              </w:rPr>
              <w:t xml:space="preserve">不存在供应商须知第八条中的情形</w:t>
            </w:r>
            <w:bookmarkEnd w:id="16"/>
            <w:r/>
            <w:r/>
          </w:p>
        </w:tc>
      </w:tr>
    </w:tbl>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）异常低价投标（响应）审查</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（一）根据《关于推动解决政府采购异常低价问题的通知》（财库〔2026〕2号）要求，政府采购评审中出现下列情形之一的，评审委员会应当启动异常低价投标（响应）审查程序：</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①投标（响应）报价低于全部通过符合性审查供应商投标（响应）报价平均值50%的，即投标（响应 ）报价＜全部通过符合性审查供应商投标（响应）报价平均值×50%；</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②投标（响应）报价低于通过符合性审查的次低报价供应商投标（响应）报价50%的，即投标（响应 ）报价＜通过符合性审查的次低报价供应商投标（响应）报价×50%；</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③投标（响应）报价低于采购项目最高限价</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5%的，即投标（响应）报价＜采购项目最高限价×</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5% ;</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④评审委员会基于专业判断，认为供应商报价过低，有可能影响产品质量或者不能诚信履约的其他情形。</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财政部门在投诉处理、监督检查中发现评审委员会未按规定对异常低价开展审查的，依法予以纠正并追究评审专家的法律责任。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通过初审的，方可进入比较与评价程序，本项目采用综合评分法。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s="宋体"/>
          <w:bCs/>
          <w:color w:val="auto"/>
          <w:sz w:val="24"/>
          <w:szCs w:val="24"/>
          <w:highlight w:val="none"/>
        </w:rPr>
        <w:t xml:space="preserve">提供相同品牌产品且通过资格审查、符合性审查的不同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参加同一合同项下投标的，按一家</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计算，评审后得分最高的同品牌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获得评审排名资格；评审得分相同的，由采购人确定其中一个</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获得评审排名资格，其他同品牌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无评审排名资格。非单一产品采购项目，多家</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提供的核心产品品牌相同的，同上处理。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采购本国产品的支持政策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1）提供本国产品进行投标（报价）的供应商需在其投</w:t>
      </w:r>
      <w:r>
        <w:rPr>
          <w:rFonts w:hint="eastAsia" w:ascii="宋体" w:hAnsi="宋体" w:eastAsia="宋体" w:cs="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cs="宋体"/>
          <w:bCs/>
          <w:color w:val="auto"/>
          <w:sz w:val="24"/>
          <w:szCs w:val="24"/>
          <w:highlight w:val="none"/>
          <w:lang w:val="en-US" w:eastAsia="zh-CN"/>
        </w:rPr>
        <w:t xml:space="preserve">报价明细表</w:t>
      </w:r>
      <w:r>
        <w:rPr>
          <w:rFonts w:hint="eastAsia" w:ascii="宋体" w:hAnsi="宋体" w:eastAsia="宋体" w:cs="宋体"/>
          <w:bCs/>
          <w:color w:val="auto"/>
          <w:sz w:val="24"/>
          <w:szCs w:val="24"/>
          <w:highlight w:val="none"/>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1000000×[1-（10%+20%）]=700000元</w:t>
      </w:r>
      <w:r/>
    </w:p>
    <w:p>
      <w:pPr>
        <w:ind w:firstLine="480"/>
        <w:jc w:val="both"/>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评标标准：详见附件。</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（十）定标：</w:t>
      </w:r>
      <w:r/>
    </w:p>
    <w:p>
      <w:pPr>
        <w:ind w:left="0" w:firstLine="480"/>
        <w:jc w:val="both"/>
        <w:keepLines w:val="0"/>
        <w:keepNext w:val="0"/>
        <w:pageBreakBefore w:val="0"/>
        <w:spacing w:line="360" w:lineRule="auto"/>
        <w:widowControl w:val="off"/>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1．评标委员会根据招标文件规定的评标方法和评标标准进行评审，按招标文件的要求依法确定中标供应商。</w:t>
      </w:r>
      <w:r>
        <w:rPr>
          <w:rFonts w:hint="eastAsia" w:ascii="宋体" w:hAnsi="宋体" w:cs="宋体"/>
          <w:bCs/>
          <w:color w:val="auto"/>
          <w:spacing w:val="0"/>
          <w:sz w:val="24"/>
          <w:szCs w:val="24"/>
          <w:highlight w:val="none"/>
          <w:lang w:eastAsia="zh-CN"/>
        </w:rPr>
        <w:t xml:space="preserve">江苏正龙项目管理有限公司</w:t>
      </w:r>
      <w:r>
        <w:rPr>
          <w:rFonts w:hint="eastAsia" w:ascii="宋体" w:hAnsi="宋体" w:eastAsia="宋体" w:cs="宋体"/>
          <w:bCs/>
          <w:color w:val="auto"/>
          <w:spacing w:val="0"/>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cs="宋体"/>
          <w:bCs/>
          <w:color w:val="auto"/>
          <w:spacing w:val="0"/>
          <w:sz w:val="24"/>
          <w:szCs w:val="24"/>
          <w:highlight w:val="none"/>
          <w:lang w:eastAsia="zh-CN"/>
        </w:rPr>
        <w:t xml:space="preserve">江苏正龙项目管理有限公司</w:t>
      </w:r>
      <w:r>
        <w:rPr>
          <w:rFonts w:hint="eastAsia" w:ascii="宋体" w:hAnsi="宋体" w:eastAsia="宋体" w:cs="宋体"/>
          <w:bCs/>
          <w:color w:val="auto"/>
          <w:spacing w:val="0"/>
          <w:sz w:val="24"/>
          <w:szCs w:val="24"/>
          <w:highlight w:val="none"/>
        </w:rPr>
        <w:t xml:space="preserve">，并且针对同一采购程序环节的质疑，须在法定质疑期内一次性提出。质疑函的质疑事项应具体、明确，并有必要的事实依据和法律依据（格式详见中国政府采购网《政府采购供应商质疑函范本》）。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cs="宋体"/>
          <w:bCs/>
          <w:color w:val="auto"/>
          <w:spacing w:val="0"/>
          <w:sz w:val="24"/>
          <w:szCs w:val="24"/>
          <w:highlight w:val="none"/>
          <w:lang w:eastAsia="zh-CN"/>
        </w:rPr>
        <w:t xml:space="preserve">江苏正龙项目管理有限公司</w:t>
      </w:r>
      <w:r>
        <w:rPr>
          <w:rFonts w:hint="eastAsia" w:ascii="宋体" w:hAnsi="宋体" w:eastAsia="宋体" w:cs="宋体"/>
          <w:bCs/>
          <w:color w:val="auto"/>
          <w:spacing w:val="0"/>
          <w:sz w:val="24"/>
          <w:szCs w:val="24"/>
          <w:highlight w:val="none"/>
        </w:rPr>
        <w:t xml:space="preserve">将在收到符合上述要求的书面质疑后七个工作日内，对质疑内容</w:t>
      </w:r>
      <w:r>
        <w:rPr>
          <w:rFonts w:hint="eastAsia" w:ascii="宋体" w:hAnsi="宋体" w:cs="宋体"/>
          <w:bCs/>
          <w:color w:val="auto"/>
          <w:spacing w:val="0"/>
          <w:sz w:val="24"/>
          <w:szCs w:val="24"/>
          <w:highlight w:val="none"/>
          <w:lang w:eastAsia="zh-CN"/>
        </w:rPr>
        <w:t xml:space="preserve">作出</w:t>
      </w:r>
      <w:r>
        <w:rPr>
          <w:rFonts w:hint="eastAsia" w:ascii="宋体" w:hAnsi="宋体" w:eastAsia="宋体" w:cs="宋体"/>
          <w:bCs/>
          <w:color w:val="auto"/>
          <w:spacing w:val="0"/>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pacing w:val="0"/>
          <w:sz w:val="24"/>
          <w:szCs w:val="24"/>
          <w:highlight w:val="none"/>
          <w:lang w:eastAsia="zh-CN"/>
        </w:rPr>
        <w:t xml:space="preserve">江苏正龙项目管理有限公司</w:t>
      </w:r>
      <w:r>
        <w:rPr>
          <w:rFonts w:hint="eastAsia" w:ascii="宋体" w:hAnsi="宋体" w:eastAsia="宋体" w:cs="宋体"/>
          <w:bCs/>
          <w:color w:val="auto"/>
          <w:spacing w:val="0"/>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left="0" w:firstLine="480"/>
        <w:jc w:val="both"/>
        <w:keepLines w:val="0"/>
        <w:keepNext w:val="0"/>
        <w:pageBreakBefore w:val="0"/>
        <w:spacing w:line="360" w:lineRule="auto"/>
        <w:widowControl w:val="off"/>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2．</w:t>
      </w:r>
      <w:r>
        <w:rPr>
          <w:rFonts w:hint="eastAsia" w:ascii="宋体" w:hAnsi="宋体" w:cs="宋体"/>
          <w:bCs/>
          <w:color w:val="auto"/>
          <w:spacing w:val="0"/>
          <w:sz w:val="24"/>
          <w:szCs w:val="24"/>
          <w:highlight w:val="none"/>
          <w:lang w:eastAsia="zh-CN"/>
        </w:rPr>
        <w:t xml:space="preserve">江苏正龙项目管理有限公司</w:t>
      </w:r>
      <w:r>
        <w:rPr>
          <w:rFonts w:hint="eastAsia" w:ascii="宋体" w:hAnsi="宋体" w:eastAsia="宋体" w:cs="宋体"/>
          <w:bCs/>
          <w:color w:val="auto"/>
          <w:spacing w:val="0"/>
          <w:sz w:val="24"/>
          <w:szCs w:val="24"/>
          <w:highlight w:val="none"/>
        </w:rPr>
        <w:t xml:space="preserve">向中标供应商发中标通知书。</w:t>
      </w:r>
      <w:r/>
    </w:p>
    <w:p>
      <w:pPr>
        <w:ind w:left="0" w:firstLine="480"/>
        <w:jc w:val="both"/>
        <w:keepLines w:val="0"/>
        <w:keepNext w:val="0"/>
        <w:pageBreakBefore w:val="0"/>
        <w:spacing w:line="360" w:lineRule="auto"/>
        <w:widowControl w:val="off"/>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3．投标供应商电子投标文件将作为电子档案保存。</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（十一）废</w:t>
      </w:r>
      <w:r>
        <w:rPr>
          <w:rFonts w:hint="eastAsia" w:ascii="黑体" w:hAnsi="宋体" w:eastAsia="黑体" w:cs="Times New Roman"/>
          <w:bCs/>
          <w:color w:val="auto"/>
          <w:sz w:val="24"/>
          <w:szCs w:val="24"/>
          <w:highlight w:val="none"/>
          <w:lang w:val="en-US" w:eastAsia="zh-CN"/>
        </w:rPr>
        <w:t xml:space="preserve">标的</w:t>
      </w:r>
      <w:r>
        <w:rPr>
          <w:rFonts w:hint="eastAsia" w:ascii="黑体" w:hAnsi="宋体" w:eastAsia="黑体" w:cs="Times New Roman"/>
          <w:bCs/>
          <w:color w:val="auto"/>
          <w:spacing w:val="0"/>
          <w:sz w:val="24"/>
          <w:szCs w:val="24"/>
          <w:highlight w:val="none"/>
          <w:lang w:val="en-US" w:eastAsia="zh-CN"/>
        </w:rPr>
        <w:t xml:space="preserve">确认：</w:t>
      </w:r>
      <w:r/>
    </w:p>
    <w:p>
      <w:pPr>
        <w:ind w:left="0" w:firstLine="480"/>
        <w:jc w:val="both"/>
        <w:keepLines w:val="0"/>
        <w:keepNext w:val="0"/>
        <w:pageBreakBefore w:val="0"/>
        <w:spacing w:line="360" w:lineRule="auto"/>
        <w:widowControl w:val="off"/>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在招标采购中，出现下列情况之一的，应予废标：</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1．符合专业条件的投标供应商或者对招标文件作出实质性响应的投标供应商不足三家；</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2．出现影响采购公正的违法、违规行为；</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3．投标供应商的报价均超过采购预算，采购人不能支付的；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4．因重大变故，采购任务取消。</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（十二）中标</w:t>
      </w:r>
      <w:r>
        <w:rPr>
          <w:rFonts w:hint="eastAsia" w:ascii="黑体" w:hAnsi="宋体" w:eastAsia="黑体" w:cs="Times New Roman"/>
          <w:bCs/>
          <w:color w:val="auto"/>
          <w:sz w:val="24"/>
          <w:szCs w:val="24"/>
          <w:highlight w:val="none"/>
          <w:lang w:val="en-US" w:eastAsia="zh-CN"/>
        </w:rPr>
        <w:t xml:space="preserve">无效</w:t>
      </w:r>
      <w:r>
        <w:rPr>
          <w:rFonts w:hint="eastAsia" w:ascii="黑体" w:hAnsi="宋体" w:eastAsia="黑体" w:cs="Times New Roman"/>
          <w:bCs/>
          <w:color w:val="auto"/>
          <w:spacing w:val="0"/>
          <w:sz w:val="24"/>
          <w:szCs w:val="24"/>
          <w:highlight w:val="none"/>
          <w:lang w:val="en-US" w:eastAsia="zh-CN"/>
        </w:rPr>
        <w:t xml:space="preserve">的确认：</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（1）提供虚假材料谋取中标的；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（2）采取不正当手段诋毁、排挤其他投标供应商的；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（3）与招标采购单位、其他投标供应商恶意串通的；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w:t>
      </w:r>
      <w:r>
        <w:rPr>
          <w:rFonts w:hint="eastAsia" w:ascii="宋体" w:hAnsi="宋体" w:cs="宋体"/>
          <w:bCs/>
          <w:color w:val="auto"/>
          <w:spacing w:val="0"/>
          <w:sz w:val="24"/>
          <w:szCs w:val="24"/>
          <w:highlight w:val="none"/>
          <w:lang w:val="en-US" w:eastAsia="zh-CN"/>
        </w:rPr>
        <w:t xml:space="preserve">4</w:t>
      </w:r>
      <w:r>
        <w:rPr>
          <w:rFonts w:hint="eastAsia" w:ascii="宋体" w:hAnsi="宋体" w:eastAsia="宋体" w:cs="宋体"/>
          <w:bCs/>
          <w:color w:val="auto"/>
          <w:spacing w:val="0"/>
          <w:sz w:val="24"/>
          <w:szCs w:val="24"/>
          <w:highlight w:val="none"/>
        </w:rPr>
        <w:t xml:space="preserve">）向招标采购单位行贿或者提供其他不正当利益的；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w:t>
      </w:r>
      <w:r>
        <w:rPr>
          <w:rFonts w:hint="eastAsia" w:ascii="宋体" w:hAnsi="宋体" w:cs="宋体"/>
          <w:bCs/>
          <w:color w:val="auto"/>
          <w:spacing w:val="0"/>
          <w:sz w:val="24"/>
          <w:szCs w:val="24"/>
          <w:highlight w:val="none"/>
          <w:lang w:val="en-US" w:eastAsia="zh-CN"/>
        </w:rPr>
        <w:t xml:space="preserve">5</w:t>
      </w:r>
      <w:r>
        <w:rPr>
          <w:rFonts w:hint="eastAsia" w:ascii="宋体" w:hAnsi="宋体" w:eastAsia="宋体" w:cs="宋体"/>
          <w:bCs/>
          <w:color w:val="auto"/>
          <w:spacing w:val="0"/>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w:t>
      </w:r>
      <w:r>
        <w:rPr>
          <w:rFonts w:hint="eastAsia" w:ascii="宋体" w:hAnsi="宋体" w:cs="宋体"/>
          <w:bCs/>
          <w:color w:val="auto"/>
          <w:spacing w:val="0"/>
          <w:sz w:val="24"/>
          <w:szCs w:val="24"/>
          <w:highlight w:val="none"/>
          <w:lang w:val="en-US" w:eastAsia="zh-CN"/>
        </w:rPr>
        <w:t xml:space="preserve">6</w:t>
      </w:r>
      <w:r>
        <w:rPr>
          <w:rFonts w:hint="eastAsia" w:ascii="宋体" w:hAnsi="宋体" w:eastAsia="宋体" w:cs="宋体"/>
          <w:bCs/>
          <w:color w:val="auto"/>
          <w:spacing w:val="0"/>
          <w:sz w:val="24"/>
          <w:szCs w:val="24"/>
          <w:highlight w:val="none"/>
        </w:rPr>
        <w:t xml:space="preserve">）拒绝有关部门监督检查或者提供虚假情况的。</w:t>
      </w:r>
      <w:r/>
    </w:p>
    <w:p>
      <w:pPr>
        <w:ind w:left="0" w:firstLine="480"/>
        <w:jc w:val="both"/>
        <w:keepLines w:val="0"/>
        <w:keepNext w:val="0"/>
        <w:pageBreakBefore w:val="0"/>
        <w:spacing w:line="360" w:lineRule="auto"/>
        <w:widowControl w:val="off"/>
        <w:tabs>
          <w:tab w:val="left" w:pos="945" w:leader="none"/>
        </w:tabs>
        <w:rPr>
          <w:rFonts w:hint="eastAsia" w:ascii="宋体" w:hAnsi="宋体" w:eastAsia="宋体" w:cs="宋体"/>
          <w:bCs/>
          <w:color w:val="auto"/>
          <w:spacing w:val="0"/>
          <w:sz w:val="24"/>
          <w:szCs w:val="24"/>
          <w:highlight w:val="none"/>
        </w:rPr>
        <w:outlineLvl w:val="9"/>
      </w:pPr>
      <w:r>
        <w:rPr>
          <w:rFonts w:hint="eastAsia" w:ascii="宋体" w:hAnsi="宋体" w:eastAsia="宋体" w:cs="宋体"/>
          <w:bCs/>
          <w:color w:val="auto"/>
          <w:spacing w:val="0"/>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（十三）签订、履行合同：</w:t>
      </w:r>
      <w:r/>
    </w:p>
    <w:p>
      <w:pPr>
        <w:pStyle w:val="992"/>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1．采购人应当自中标通知书发出之日起三十日内，按照招标文件和中标供应商投标文件的约定，在</w:t>
      </w:r>
      <w:r>
        <w:rPr>
          <w:rFonts w:hint="eastAsia" w:ascii="宋体" w:hAnsi="宋体" w:eastAsia="宋体" w:cs="宋体"/>
          <w:color w:val="auto"/>
          <w:spacing w:val="0"/>
          <w:sz w:val="24"/>
          <w:szCs w:val="24"/>
          <w:highlight w:val="none"/>
          <w:lang w:eastAsia="zh-CN"/>
        </w:rPr>
        <w:t xml:space="preserve">江苏正龙项目管理有限公司</w:t>
      </w:r>
      <w:r>
        <w:rPr>
          <w:rFonts w:hint="eastAsia" w:ascii="宋体" w:hAnsi="宋体" w:eastAsia="宋体" w:cs="宋体"/>
          <w:color w:val="auto"/>
          <w:spacing w:val="0"/>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pacing w:val="0"/>
          <w:sz w:val="24"/>
          <w:szCs w:val="24"/>
          <w:highlight w:val="none"/>
          <w:lang w:eastAsia="zh-CN"/>
        </w:rPr>
        <w:t xml:space="preserve">江苏正龙项目管理有限公司</w:t>
      </w:r>
      <w:r>
        <w:rPr>
          <w:rFonts w:hint="eastAsia" w:ascii="宋体" w:hAnsi="宋体" w:eastAsia="宋体" w:cs="宋体"/>
          <w:color w:val="auto"/>
          <w:spacing w:val="0"/>
          <w:sz w:val="24"/>
          <w:szCs w:val="24"/>
          <w:highlight w:val="none"/>
        </w:rPr>
        <w:t xml:space="preserve">见证部分详见招标文件合同书（格式条款），见证后的格式条款不得</w:t>
      </w:r>
      <w:r>
        <w:rPr>
          <w:rFonts w:hint="eastAsia" w:ascii="宋体" w:hAnsi="宋体" w:eastAsia="宋体" w:cs="宋体"/>
          <w:color w:val="auto"/>
          <w:spacing w:val="0"/>
          <w:sz w:val="24"/>
          <w:szCs w:val="24"/>
          <w:highlight w:val="none"/>
          <w:lang w:eastAsia="zh-CN"/>
        </w:rPr>
        <w:t xml:space="preserve">做</w:t>
      </w:r>
      <w:r>
        <w:rPr>
          <w:rFonts w:hint="eastAsia" w:ascii="宋体" w:hAnsi="宋体" w:eastAsia="宋体" w:cs="宋体"/>
          <w:color w:val="auto"/>
          <w:spacing w:val="0"/>
          <w:sz w:val="24"/>
          <w:szCs w:val="24"/>
          <w:highlight w:val="none"/>
        </w:rPr>
        <w:t xml:space="preserve">任何修改。</w:t>
      </w:r>
      <w:r/>
    </w:p>
    <w:p>
      <w:pPr>
        <w:pStyle w:val="992"/>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2．中标方非因不可抗力未履行招、投标文件和合同规定的义务，一经查实，</w:t>
      </w:r>
      <w:r>
        <w:rPr>
          <w:rFonts w:hint="eastAsia" w:ascii="宋体" w:hAnsi="宋体" w:eastAsia="宋体" w:cs="宋体"/>
          <w:color w:val="auto"/>
          <w:spacing w:val="0"/>
          <w:sz w:val="24"/>
          <w:szCs w:val="24"/>
          <w:highlight w:val="none"/>
          <w:lang w:eastAsia="zh-CN"/>
        </w:rPr>
        <w:t xml:space="preserve">江苏正龙项目管理有限公司</w:t>
      </w:r>
      <w:r>
        <w:rPr>
          <w:rFonts w:hint="eastAsia" w:ascii="宋体" w:hAnsi="宋体" w:eastAsia="宋体" w:cs="宋体"/>
          <w:color w:val="auto"/>
          <w:spacing w:val="0"/>
          <w:sz w:val="24"/>
          <w:szCs w:val="24"/>
          <w:highlight w:val="none"/>
        </w:rPr>
        <w:t xml:space="preserve">将根据具体情况提请政府采购管理部门作出相应处理。</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（十四）</w:t>
      </w:r>
      <w:r>
        <w:rPr>
          <w:rFonts w:hint="eastAsia" w:ascii="黑体" w:hAnsi="宋体" w:eastAsia="黑体" w:cs="Times New Roman"/>
          <w:bCs/>
          <w:color w:val="auto"/>
          <w:sz w:val="24"/>
          <w:szCs w:val="24"/>
          <w:highlight w:val="none"/>
          <w:lang w:val="en-US" w:eastAsia="zh-CN"/>
        </w:rPr>
        <w:t xml:space="preserve">注意</w:t>
      </w:r>
      <w:r>
        <w:rPr>
          <w:rFonts w:hint="eastAsia" w:ascii="黑体" w:hAnsi="宋体" w:eastAsia="黑体" w:cs="Times New Roman"/>
          <w:bCs/>
          <w:color w:val="auto"/>
          <w:spacing w:val="0"/>
          <w:sz w:val="24"/>
          <w:szCs w:val="24"/>
          <w:highlight w:val="none"/>
          <w:lang w:val="en-US" w:eastAsia="zh-CN"/>
        </w:rPr>
        <w:t xml:space="preserve">事项：</w:t>
      </w:r>
      <w:r/>
    </w:p>
    <w:p>
      <w:pPr>
        <w:pStyle w:val="992"/>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中标供应商有下列情形之一的，情节严重的，由财政部门将其列入不良行为记录名单，在一至三年内禁止参加政府采购活动，并予以通报：</w:t>
      </w:r>
      <w:r/>
    </w:p>
    <w:p>
      <w:pPr>
        <w:pStyle w:val="992"/>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（1）中标后无正当理由不与采购人签订合同的；</w:t>
      </w:r>
      <w:r/>
    </w:p>
    <w:p>
      <w:pPr>
        <w:pStyle w:val="992"/>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（2）将中标项目转让给他人，或者在投标文件中未说明，且未经过采购人同意，将中标项目分包给他人的；</w:t>
      </w:r>
      <w:r/>
    </w:p>
    <w:p>
      <w:pPr>
        <w:pStyle w:val="992"/>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（3）拒绝履行合同义务的。</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（十五）中标服务费：</w:t>
      </w:r>
      <w:r/>
    </w:p>
    <w:p>
      <w:pPr>
        <w:pStyle w:val="992"/>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本项目代理费由</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人支付。</w:t>
      </w:r>
      <w:r>
        <w:rPr>
          <w:rFonts w:hint="eastAsia" w:ascii="宋体" w:hAnsi="宋体" w:eastAsia="宋体" w:cs="宋体"/>
          <w:color w:val="auto"/>
          <w:spacing w:val="0"/>
          <w:sz w:val="24"/>
          <w:szCs w:val="24"/>
          <w:highlight w:val="none"/>
          <w:lang w:val="en-US" w:eastAsia="zh-CN"/>
        </w:rPr>
        <w:t xml:space="preserve">招标代理服务费以中标金额为计算基数，采用差额定率累进计费方式，按下列费率的76%计取：100万以</w:t>
      </w:r>
      <w:r>
        <w:rPr>
          <w:rFonts w:hint="eastAsia" w:ascii="宋体" w:hAnsi="宋体" w:eastAsia="宋体" w:cs="宋体"/>
          <w:color w:val="auto"/>
          <w:spacing w:val="0"/>
          <w:sz w:val="24"/>
          <w:szCs w:val="24"/>
          <w:highlight w:val="none"/>
        </w:rPr>
        <w:t xml:space="preserve">下费率为1.5%，</w:t>
      </w:r>
      <w:r>
        <w:rPr>
          <w:rFonts w:hint="eastAsia" w:ascii="宋体" w:hAnsi="宋体" w:eastAsia="宋体" w:cs="宋体"/>
          <w:color w:val="auto"/>
          <w:spacing w:val="0"/>
          <w:sz w:val="24"/>
          <w:szCs w:val="24"/>
          <w:highlight w:val="none"/>
          <w:lang w:val="en-US" w:eastAsia="zh-CN"/>
        </w:rPr>
        <w:t xml:space="preserve">100万-500万</w:t>
      </w:r>
      <w:r>
        <w:rPr>
          <w:rFonts w:hint="eastAsia" w:ascii="宋体" w:hAnsi="宋体" w:eastAsia="宋体" w:cs="宋体"/>
          <w:color w:val="auto"/>
          <w:spacing w:val="0"/>
          <w:sz w:val="24"/>
          <w:szCs w:val="24"/>
          <w:highlight w:val="none"/>
        </w:rPr>
        <w:t xml:space="preserve">费率为</w:t>
      </w:r>
      <w:r>
        <w:rPr>
          <w:rFonts w:hint="eastAsia" w:ascii="宋体" w:hAnsi="宋体" w:eastAsia="宋体" w:cs="宋体"/>
          <w:color w:val="auto"/>
          <w:spacing w:val="0"/>
          <w:sz w:val="24"/>
          <w:szCs w:val="24"/>
          <w:highlight w:val="none"/>
          <w:lang w:val="en-US" w:eastAsia="zh-CN"/>
        </w:rPr>
        <w:t xml:space="preserve">1.1</w:t>
      </w:r>
      <w:r>
        <w:rPr>
          <w:rFonts w:hint="eastAsia" w:ascii="宋体" w:hAnsi="宋体" w:eastAsia="宋体" w:cs="宋体"/>
          <w:color w:val="auto"/>
          <w:spacing w:val="0"/>
          <w:sz w:val="24"/>
          <w:szCs w:val="24"/>
          <w:highlight w:val="none"/>
        </w:rPr>
        <w:t xml:space="preserve">%。</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（十六）合同融资、履约担保</w:t>
      </w:r>
      <w:r/>
    </w:p>
    <w:p>
      <w:pPr>
        <w:pStyle w:val="992"/>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1.根据国家扶持中小企业的有关政策，本次采购项目中标的供应商，如需要政府采购合同融资，请按锡财购【2020】17号文件执行。</w:t>
      </w:r>
      <w:r/>
    </w:p>
    <w:p>
      <w:pPr>
        <w:pStyle w:val="992"/>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合同融资，是指参与政府采购</w:t>
      </w:r>
      <w:r>
        <w:rPr>
          <w:rFonts w:hint="eastAsia" w:ascii="宋体" w:hAnsi="宋体" w:eastAsia="宋体" w:cs="宋体"/>
          <w:color w:val="auto"/>
          <w:spacing w:val="0"/>
          <w:sz w:val="24"/>
          <w:szCs w:val="24"/>
          <w:highlight w:val="none"/>
        </w:rPr>
        <w:t xml:space="preserve">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992"/>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中标、中标供应商可根据自身情况，自行决定是否选择采用合同融资形式，在无锡政府采购网——政采贷专栏提供的银行名录内自主选择合作银行。</w:t>
      </w:r>
      <w:r/>
    </w:p>
    <w:p>
      <w:pPr>
        <w:pStyle w:val="992"/>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履约担保，是指由专业担保机构为中标、中标供应商支付履约保证金的义务向采购人提供的保函担保。专业担保机构根据中标、中标供应商的中标（成交）通知书为凭据，进行资信审查后出具保函,中标、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pStyle w:val="992"/>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中标、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rPr>
          <w:rFonts w:hint="eastAsia"/>
          <w:color w:val="auto"/>
          <w:highlight w:val="none"/>
        </w:rPr>
      </w:pPr>
      <w:r>
        <w:rPr>
          <w:rFonts w:hint="eastAsia"/>
          <w:color w:val="auto"/>
          <w:highlight w:val="none"/>
        </w:rPr>
      </w:r>
      <w:r/>
    </w:p>
    <w:p>
      <w:pPr>
        <w:ind w:left="0" w:firstLine="480"/>
        <w:jc w:val="left"/>
        <w:keepLines w:val="0"/>
        <w:keepNext w:val="0"/>
        <w:pageBreakBefore w:val="0"/>
        <w:spacing w:line="360" w:lineRule="auto"/>
        <w:widowControl w:val="off"/>
        <w:rPr>
          <w:rFonts w:hint="eastAsia" w:ascii="宋体" w:hAnsi="宋体" w:eastAsia="宋体" w:cs="宋体"/>
          <w:bCs/>
          <w:color w:val="auto"/>
          <w:spacing w:val="0"/>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宋体" w:hAnsi="宋体" w:eastAsia="宋体" w:cs="宋体"/>
          <w:bCs/>
          <w:color w:val="auto"/>
          <w:spacing w:val="0"/>
          <w:sz w:val="24"/>
          <w:szCs w:val="24"/>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三．项目技术要求和有关说明</w:t>
      </w:r>
      <w:r/>
    </w:p>
    <w:p>
      <w:pPr>
        <w:ind w:firstLine="480"/>
        <w:keepLines w:val="0"/>
        <w:keepNext w:val="0"/>
        <w:pageBreakBefore w:val="0"/>
        <w:spacing w:after="5"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为</w:t>
      </w:r>
      <w:r>
        <w:rPr>
          <w:rFonts w:hint="eastAsia" w:ascii="宋体" w:hAnsi="宋体" w:cs="宋体"/>
          <w:color w:val="auto"/>
          <w:sz w:val="24"/>
          <w:szCs w:val="24"/>
          <w:highlight w:val="none"/>
          <w:lang w:val="en-US" w:eastAsia="zh-CN"/>
        </w:rPr>
        <w:t xml:space="preserve">锡东高级中学大成分校</w:t>
      </w:r>
      <w:r>
        <w:rPr>
          <w:rFonts w:hint="eastAsia" w:ascii="宋体" w:hAnsi="宋体" w:eastAsia="宋体" w:cs="宋体"/>
          <w:color w:val="auto"/>
          <w:sz w:val="24"/>
          <w:szCs w:val="24"/>
          <w:highlight w:val="none"/>
          <w:lang w:val="en-US" w:eastAsia="zh-CN"/>
        </w:rPr>
        <w:t xml:space="preserve">家具采购项目，</w:t>
      </w:r>
      <w:r>
        <w:rPr>
          <w:rFonts w:hint="eastAsia" w:ascii="宋体" w:hAnsi="宋体" w:eastAsia="宋体" w:cs="宋体"/>
          <w:color w:val="auto"/>
          <w:sz w:val="24"/>
          <w:szCs w:val="24"/>
          <w:highlight w:val="none"/>
        </w:rPr>
        <w:t xml:space="preserve">本项目核心产品为：</w:t>
      </w:r>
      <w:r>
        <w:rPr>
          <w:rFonts w:hint="eastAsia" w:ascii="宋体" w:hAnsi="宋体" w:cs="宋体"/>
          <w:b/>
          <w:bCs/>
          <w:color w:val="auto"/>
          <w:sz w:val="24"/>
          <w:szCs w:val="24"/>
          <w:highlight w:val="none"/>
          <w:lang w:val="en-US" w:eastAsia="zh-CN"/>
        </w:rPr>
        <w:t xml:space="preserve">手摇课桌椅</w:t>
      </w:r>
      <w:r>
        <w:rPr>
          <w:rFonts w:hint="eastAsia" w:ascii="宋体" w:hAnsi="宋体" w:eastAsia="宋体" w:cs="宋体"/>
          <w:color w:val="auto"/>
          <w:sz w:val="24"/>
          <w:szCs w:val="24"/>
          <w:highlight w:val="none"/>
        </w:rPr>
        <w:t xml:space="preserve">。投标人所投内容必须满足以下要求，不得有负偏离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若不满足视为无效投标文件</w:t>
      </w:r>
      <w:r>
        <w:rPr>
          <w:rFonts w:hint="eastAsia" w:ascii="宋体" w:hAnsi="宋体" w:eastAsia="宋体"/>
          <w:color w:val="auto"/>
          <w:sz w:val="24"/>
          <w:szCs w:val="24"/>
          <w:highlight w:val="none"/>
        </w:rPr>
        <w:t xml:space="preserve">。</w:t>
      </w:r>
      <w:r>
        <w:rPr>
          <w:rFonts w:hint="eastAsia" w:ascii="宋体" w:hAnsi="宋体" w:eastAsia="宋体" w:cs="宋体"/>
          <w:bCs/>
          <w:color w:val="auto"/>
          <w:sz w:val="24"/>
          <w:highlight w:val="none"/>
        </w:rPr>
        <w:t xml:space="preserve">项目需求如下：</w:t>
      </w:r>
      <w:r/>
    </w:p>
    <w:p>
      <w:pPr>
        <w:pStyle w:val="1116"/>
        <w:numPr>
          <w:ilvl w:val="1"/>
          <w:numId w:val="0"/>
        </w:numPr>
        <w:ind w:firstLine="482"/>
        <w:keepLines w:val="0"/>
        <w:keepNext w:val="0"/>
        <w:pageBreakBefore w:val="0"/>
        <w:rPr>
          <w:rFonts w:hint="eastAsia"/>
          <w:color w:val="auto"/>
          <w:highlight w:val="none"/>
        </w:rPr>
      </w:pPr>
      <w:r>
        <w:rPr>
          <w:rFonts w:hint="eastAsia" w:ascii="宋体" w:hAnsi="宋体" w:eastAsia="宋体" w:cs="宋体"/>
          <w:b/>
          <w:bCs/>
          <w:color w:val="auto"/>
          <w:sz w:val="24"/>
          <w:szCs w:val="24"/>
          <w:highlight w:val="none"/>
          <w:lang w:val="en-US" w:eastAsia="zh-CN"/>
        </w:rPr>
        <w:t xml:space="preserve">本项目属性：货物类</w:t>
      </w:r>
      <w:r>
        <w:rPr>
          <w:rFonts w:hint="eastAsia" w:ascii="宋体" w:eastAsia="宋体" w:cs="宋体"/>
          <w:b/>
          <w:bCs/>
          <w:color w:val="auto"/>
          <w:sz w:val="24"/>
          <w:szCs w:val="24"/>
          <w:highlight w:val="none"/>
          <w:lang w:val="en-US" w:eastAsia="zh-CN"/>
        </w:rPr>
        <w:t xml:space="preserve">。</w:t>
      </w:r>
      <w:r/>
    </w:p>
    <w:p>
      <w:pPr>
        <w:numPr>
          <w:ilvl w:val="0"/>
          <w:numId w:val="0"/>
        </w:numPr>
        <w:ind w:firstLine="482"/>
        <w:keepLines w:val="0"/>
        <w:keepNext w:val="0"/>
        <w:pageBreakBefore w:val="0"/>
        <w:spacing w:after="5"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rPr>
        <w:t xml:space="preserve">项目基本情况：</w:t>
      </w:r>
      <w:r/>
    </w:p>
    <w:p>
      <w:pPr>
        <w:pStyle w:val="1111"/>
        <w:ind w:firstLine="480"/>
        <w:jc w:val="left"/>
        <w:keepLines w:val="0"/>
        <w:keepNext w:val="0"/>
        <w:pageBreakBefore w:val="0"/>
        <w:spacing w:line="360" w:lineRule="auto"/>
        <w:tabs>
          <w:tab w:val="left" w:pos="1080" w:leader="none"/>
        </w:tabs>
        <w:rPr>
          <w:rFonts w:ascii="宋体" w:hAnsi="宋体" w:cs="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项目地址：</w:t>
      </w:r>
      <w:r>
        <w:rPr>
          <w:rFonts w:hint="eastAsia" w:ascii="宋体" w:hAnsi="宋体" w:cs="宋体"/>
          <w:color w:val="auto"/>
          <w:sz w:val="24"/>
          <w:szCs w:val="24"/>
          <w:highlight w:val="none"/>
          <w:lang w:val="en-US" w:eastAsia="zh-CN"/>
        </w:rPr>
        <w:t xml:space="preserve">锡东高级中学大成分校</w:t>
      </w:r>
      <w:r>
        <w:rPr>
          <w:rFonts w:hint="eastAsia" w:ascii="宋体" w:hAnsi="宋体" w:cs="宋体"/>
          <w:color w:val="auto"/>
          <w:sz w:val="24"/>
          <w:szCs w:val="24"/>
          <w:highlight w:val="none"/>
        </w:rPr>
        <w:t xml:space="preserve">。</w:t>
      </w:r>
      <w:r/>
    </w:p>
    <w:p>
      <w:pPr>
        <w:pStyle w:val="1111"/>
        <w:ind w:firstLine="480"/>
        <w:jc w:val="left"/>
        <w:keepLines w:val="0"/>
        <w:keepNext w:val="0"/>
        <w:pageBreakBefore w:val="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采购范围：清单范围内的</w:t>
      </w:r>
      <w:r>
        <w:rPr>
          <w:rFonts w:hint="eastAsia" w:ascii="宋体" w:hAnsi="宋体" w:cs="宋体"/>
          <w:color w:val="auto"/>
          <w:sz w:val="24"/>
          <w:szCs w:val="24"/>
          <w:highlight w:val="none"/>
          <w:lang w:val="en-US" w:eastAsia="zh-CN"/>
        </w:rPr>
        <w:t xml:space="preserve">锡东高级中学大成分校</w:t>
      </w:r>
      <w:r>
        <w:rPr>
          <w:rFonts w:hint="eastAsia" w:ascii="宋体" w:hAnsi="宋体" w:cs="宋体"/>
          <w:bCs/>
          <w:color w:val="auto"/>
          <w:sz w:val="24"/>
          <w:szCs w:val="24"/>
          <w:highlight w:val="none"/>
          <w:lang w:eastAsia="zh-CN"/>
        </w:rPr>
        <w:t xml:space="preserve">家具采购</w:t>
      </w:r>
      <w:r>
        <w:rPr>
          <w:rFonts w:hint="eastAsia" w:ascii="宋体" w:hAnsi="宋体" w:cs="宋体"/>
          <w:color w:val="auto"/>
          <w:sz w:val="24"/>
          <w:szCs w:val="24"/>
          <w:highlight w:val="none"/>
        </w:rPr>
        <w:t xml:space="preserve">。</w:t>
      </w:r>
      <w:r/>
    </w:p>
    <w:p>
      <w:pPr>
        <w:pStyle w:val="1111"/>
        <w:ind w:firstLine="480"/>
        <w:jc w:val="left"/>
        <w:keepLines w:val="0"/>
        <w:keepNext w:val="0"/>
        <w:pageBreakBefore w:val="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质量标准：所供货物达到国家及行业标准，满足采购需求，并按照</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要求安装调试到位。</w:t>
      </w:r>
      <w:r/>
    </w:p>
    <w:p>
      <w:pPr>
        <w:pStyle w:val="1111"/>
        <w:ind w:firstLine="480"/>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4.完工期限</w:t>
      </w:r>
      <w:r>
        <w:rPr>
          <w:rFonts w:hint="eastAsia" w:ascii="宋体" w:hAnsi="宋体" w:cs="宋体"/>
          <w:color w:val="auto"/>
          <w:sz w:val="24"/>
          <w:szCs w:val="24"/>
          <w:highlight w:val="none"/>
          <w:lang w:val="zh-CN"/>
        </w:rPr>
        <w:t xml:space="preserve">：签订合同后</w:t>
      </w:r>
      <w:r>
        <w:rPr>
          <w:rFonts w:hint="eastAsia" w:ascii="宋体" w:hAnsi="宋体" w:cs="宋体"/>
          <w:color w:val="auto"/>
          <w:sz w:val="24"/>
          <w:szCs w:val="24"/>
          <w:highlight w:val="none"/>
          <w:lang w:val="zh-CN" w:eastAsia="zh-CN"/>
        </w:rPr>
        <w:t xml:space="preserve">30日历</w:t>
      </w:r>
      <w:r>
        <w:rPr>
          <w:rFonts w:hint="eastAsia" w:ascii="宋体" w:hAnsi="宋体" w:cs="宋体"/>
          <w:color w:val="auto"/>
          <w:sz w:val="24"/>
          <w:szCs w:val="24"/>
          <w:highlight w:val="none"/>
          <w:lang w:val="zh-CN"/>
        </w:rPr>
        <w:t xml:space="preserve">天内完成</w:t>
      </w:r>
      <w:r>
        <w:rPr>
          <w:rFonts w:hint="eastAsia" w:ascii="宋体" w:hAnsi="宋体" w:cs="宋体"/>
          <w:color w:val="auto"/>
          <w:sz w:val="24"/>
          <w:szCs w:val="24"/>
          <w:highlight w:val="none"/>
          <w:lang w:val="zh-CN" w:eastAsia="zh-CN"/>
        </w:rPr>
        <w:t xml:space="preserve">全部家具</w:t>
      </w:r>
      <w:r>
        <w:rPr>
          <w:rFonts w:hint="eastAsia" w:ascii="宋体" w:hAnsi="宋体" w:cs="宋体"/>
          <w:color w:val="auto"/>
          <w:sz w:val="24"/>
          <w:szCs w:val="24"/>
          <w:highlight w:val="none"/>
          <w:lang w:val="zh-CN"/>
        </w:rPr>
        <w:t xml:space="preserve">的供货、安装以及与之配套的辅助工作，交付采购人使用（具体开始时间根据采购人通知为准）</w:t>
      </w:r>
      <w:r>
        <w:rPr>
          <w:rFonts w:hint="eastAsia" w:ascii="宋体" w:hAnsi="宋体" w:eastAsia="宋体"/>
          <w:color w:val="auto"/>
          <w:sz w:val="24"/>
          <w:szCs w:val="24"/>
          <w:highlight w:val="none"/>
          <w:lang w:eastAsia="zh-CN"/>
        </w:rPr>
        <w:t xml:space="preserve">。</w:t>
      </w:r>
      <w:r>
        <w:rPr>
          <w:rFonts w:hint="eastAsia" w:ascii="宋体" w:hAnsi="宋体" w:cs="宋体"/>
          <w:bCs/>
          <w:color w:val="auto"/>
          <w:sz w:val="24"/>
          <w:highlight w:val="none"/>
          <w:lang w:val="en-US" w:eastAsia="zh-CN"/>
        </w:rPr>
        <w:t xml:space="preserve">逾期</w:t>
      </w:r>
      <w:r>
        <w:rPr>
          <w:rFonts w:hint="eastAsia" w:ascii="宋体" w:hAnsi="宋体" w:cs="宋体"/>
          <w:bCs/>
          <w:color w:val="auto"/>
          <w:sz w:val="24"/>
          <w:highlight w:val="none"/>
        </w:rPr>
        <w:t xml:space="preserve">违约金</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因供货方导致</w:t>
      </w:r>
      <w:r>
        <w:rPr>
          <w:rFonts w:hint="eastAsia" w:ascii="宋体" w:hAnsi="宋体" w:cs="宋体"/>
          <w:bCs/>
          <w:color w:val="auto"/>
          <w:sz w:val="24"/>
          <w:highlight w:val="none"/>
          <w:lang w:val="en-US" w:eastAsia="zh-CN"/>
        </w:rPr>
        <w:t xml:space="preserve">供货期限</w:t>
      </w:r>
      <w:r>
        <w:rPr>
          <w:rFonts w:hint="eastAsia" w:ascii="宋体" w:hAnsi="宋体" w:cs="宋体"/>
          <w:bCs/>
          <w:color w:val="auto"/>
          <w:sz w:val="24"/>
          <w:highlight w:val="none"/>
        </w:rPr>
        <w:t xml:space="preserve">延误，每延误一天支付2万元违约金</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逾期超过10日历天的，</w:t>
      </w:r>
      <w:r>
        <w:rPr>
          <w:rFonts w:hint="eastAsia" w:ascii="宋体" w:hAnsi="宋体" w:cs="宋体"/>
          <w:bCs/>
          <w:color w:val="auto"/>
          <w:sz w:val="24"/>
          <w:highlight w:val="none"/>
          <w:lang w:val="en-US" w:eastAsia="zh-CN"/>
        </w:rPr>
        <w:t xml:space="preserve">采购人</w:t>
      </w:r>
      <w:r>
        <w:rPr>
          <w:rFonts w:hint="eastAsia" w:ascii="宋体" w:hAnsi="宋体" w:cs="宋体"/>
          <w:bCs/>
          <w:color w:val="auto"/>
          <w:sz w:val="24"/>
          <w:highlight w:val="none"/>
        </w:rPr>
        <w:t xml:space="preserve">有权</w:t>
      </w:r>
      <w:r>
        <w:rPr>
          <w:rFonts w:hint="eastAsia" w:ascii="宋体" w:hAnsi="宋体" w:cs="宋体"/>
          <w:bCs/>
          <w:color w:val="auto"/>
          <w:sz w:val="24"/>
          <w:highlight w:val="none"/>
          <w:lang w:val="en-US" w:eastAsia="zh-CN"/>
        </w:rPr>
        <w:t xml:space="preserve">无条件终止</w:t>
      </w:r>
      <w:r>
        <w:rPr>
          <w:rFonts w:hint="eastAsia" w:ascii="宋体" w:hAnsi="宋体" w:cs="宋体"/>
          <w:bCs/>
          <w:color w:val="auto"/>
          <w:sz w:val="24"/>
          <w:highlight w:val="none"/>
        </w:rPr>
        <w:t xml:space="preserve">合同</w:t>
      </w:r>
      <w:r>
        <w:rPr>
          <w:rFonts w:hint="eastAsia" w:ascii="宋体" w:hAnsi="宋体" w:cs="宋体"/>
          <w:bCs/>
          <w:color w:val="auto"/>
          <w:sz w:val="24"/>
          <w:highlight w:val="none"/>
          <w:lang w:eastAsia="zh-CN"/>
        </w:rPr>
        <w:t xml:space="preserve">。</w:t>
      </w:r>
      <w:r/>
    </w:p>
    <w:p>
      <w:pPr>
        <w:pStyle w:val="1111"/>
        <w:ind w:firstLine="480"/>
        <w:jc w:val="left"/>
        <w:keepLines w:val="0"/>
        <w:keepNext w:val="0"/>
        <w:pageBreakBefore w:val="0"/>
        <w:spacing w:line="360" w:lineRule="auto"/>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项目整体免费质保期：自验收合格之日起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p>
    <w:p>
      <w:pPr>
        <w:pStyle w:val="1111"/>
        <w:ind w:firstLine="480"/>
        <w:jc w:val="left"/>
        <w:keepLines w:val="0"/>
        <w:keepNext w:val="0"/>
        <w:pageBreakBefore w:val="0"/>
        <w:spacing w:line="360" w:lineRule="auto"/>
        <w:tabs>
          <w:tab w:val="left" w:pos="108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付款方式：</w:t>
      </w:r>
      <w:r>
        <w:rPr>
          <w:rFonts w:hint="eastAsia" w:ascii="宋体" w:hAnsi="宋体"/>
          <w:bCs/>
          <w:color w:val="auto"/>
          <w:sz w:val="24"/>
          <w:highlight w:val="none"/>
        </w:rPr>
        <w:t xml:space="preserve">所有货物运抵现场并安装调试完毕，验收合格后，办理移交手续，支付实际供货价款（实际供货数量</w:t>
      </w:r>
      <w:r>
        <w:rPr>
          <w:rFonts w:ascii="Arial" w:hAnsi="Arial" w:cs="Arial"/>
          <w:bCs/>
          <w:color w:val="auto"/>
          <w:sz w:val="24"/>
          <w:highlight w:val="none"/>
        </w:rPr>
        <w:t xml:space="preserve">×</w:t>
      </w:r>
      <w:r>
        <w:rPr>
          <w:rFonts w:hint="eastAsia" w:ascii="Arial" w:hAnsi="Arial" w:cs="Arial"/>
          <w:bCs/>
          <w:color w:val="auto"/>
          <w:sz w:val="24"/>
          <w:highlight w:val="none"/>
          <w:lang w:val="en-US" w:eastAsia="zh-CN"/>
        </w:rPr>
        <w:t xml:space="preserve">中标</w:t>
      </w:r>
      <w:r>
        <w:rPr>
          <w:rFonts w:hint="eastAsia" w:ascii="宋体" w:hAnsi="宋体"/>
          <w:bCs/>
          <w:color w:val="auto"/>
          <w:sz w:val="24"/>
          <w:highlight w:val="none"/>
        </w:rPr>
        <w:t xml:space="preserve">单价）的90%</w:t>
      </w:r>
      <w:r>
        <w:rPr>
          <w:rFonts w:hint="eastAsia" w:ascii="宋体" w:hAnsi="宋体"/>
          <w:bCs/>
          <w:color w:val="auto"/>
          <w:sz w:val="24"/>
          <w:highlight w:val="none"/>
          <w:lang w:eastAsia="zh-CN"/>
        </w:rPr>
        <w:t xml:space="preserve">；</w:t>
      </w:r>
      <w:r>
        <w:rPr>
          <w:rFonts w:hint="eastAsia" w:ascii="宋体" w:hAnsi="宋体" w:cs="宋体"/>
          <w:color w:val="auto"/>
          <w:sz w:val="24"/>
          <w:szCs w:val="24"/>
          <w:highlight w:val="none"/>
          <w:lang w:val="en-US" w:eastAsia="zh-CN"/>
        </w:rPr>
        <w:t xml:space="preserve">余款一年后付清</w:t>
      </w:r>
      <w:r>
        <w:rPr>
          <w:rFonts w:hint="eastAsia" w:ascii="宋体" w:hAnsi="宋体" w:cs="宋体"/>
          <w:color w:val="auto"/>
          <w:sz w:val="24"/>
          <w:szCs w:val="24"/>
          <w:highlight w:val="none"/>
          <w:lang w:val="en-US" w:eastAsia="zh-CN"/>
        </w:rPr>
        <w:t xml:space="preserve">。</w:t>
      </w:r>
      <w:r/>
    </w:p>
    <w:p>
      <w:pPr>
        <w:pStyle w:val="1111"/>
        <w:ind w:firstLine="480"/>
        <w:jc w:val="left"/>
        <w:keepLines w:val="0"/>
        <w:keepNext w:val="0"/>
        <w:pageBreakBefore w:val="0"/>
        <w:spacing w:line="360" w:lineRule="auto"/>
        <w:tabs>
          <w:tab w:val="left" w:pos="108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7.</w:t>
      </w:r>
      <w:r>
        <w:rPr>
          <w:rFonts w:hint="eastAsia" w:ascii="宋体" w:hAnsi="宋体" w:cs="宋体"/>
          <w:color w:val="auto"/>
          <w:sz w:val="24"/>
          <w:szCs w:val="24"/>
          <w:highlight w:val="none"/>
          <w:lang w:bidi="ar"/>
        </w:rPr>
        <w:t xml:space="preserve">标的</w:t>
      </w:r>
      <w:r>
        <w:rPr>
          <w:rFonts w:hint="eastAsia" w:ascii="宋体" w:hAnsi="宋体" w:cs="宋体"/>
          <w:color w:val="auto"/>
          <w:sz w:val="24"/>
          <w:szCs w:val="24"/>
          <w:highlight w:val="none"/>
          <w:lang w:val="en-US" w:eastAsia="zh-CN" w:bidi="ar"/>
        </w:rPr>
        <w:t xml:space="preserve">物</w:t>
      </w:r>
      <w:r>
        <w:rPr>
          <w:rFonts w:hint="eastAsia" w:ascii="宋体" w:hAnsi="宋体" w:cs="宋体"/>
          <w:color w:val="auto"/>
          <w:sz w:val="24"/>
          <w:szCs w:val="24"/>
          <w:highlight w:val="none"/>
          <w:lang w:bidi="ar"/>
        </w:rPr>
        <w:t xml:space="preserve">明细表</w:t>
      </w:r>
      <w:r>
        <w:rPr>
          <w:rFonts w:hint="eastAsia" w:ascii="宋体" w:hAnsi="宋体" w:cs="宋体"/>
          <w:color w:val="auto"/>
          <w:sz w:val="24"/>
          <w:szCs w:val="24"/>
          <w:highlight w:val="none"/>
        </w:rPr>
        <w:t xml:space="preserve">：本项目为货物采购，中小企业声明函所对应的采购标的名称及对应的中小企业划分标准所属行业如下表</w:t>
      </w:r>
      <w:r>
        <w:rPr>
          <w:rFonts w:hint="eastAsia" w:ascii="宋体" w:hAnsi="宋体" w:eastAsia="宋体" w:cs="宋体"/>
          <w:color w:val="auto"/>
          <w:sz w:val="24"/>
          <w:szCs w:val="24"/>
          <w:highlight w:val="none"/>
          <w:lang w:val="en-US" w:eastAsia="zh-CN" w:bidi="ar-SA"/>
        </w:rPr>
        <w:t xml:space="preserve">。</w:t>
      </w:r>
      <w:r/>
    </w:p>
    <w:tbl>
      <w:tblPr>
        <w:tblStyle w:val="801"/>
        <w:tblW w:w="9059" w:type="dxa"/>
        <w:jc w:val="center"/>
        <w:tblLayout w:type="fixed"/>
        <w:tblCellMar>
          <w:left w:w="108" w:type="dxa"/>
          <w:top w:w="0" w:type="dxa"/>
          <w:right w:w="108" w:type="dxa"/>
          <w:bottom w:w="0" w:type="dxa"/>
        </w:tblCellMar>
        <w:tblLook w:val="04A0" w:firstRow="1" w:lastRow="0" w:firstColumn="1" w:lastColumn="0" w:noHBand="0" w:noVBand="1"/>
      </w:tblPr>
      <w:tblGrid>
        <w:gridCol w:w="992"/>
        <w:gridCol w:w="2638"/>
        <w:gridCol w:w="2667"/>
        <w:gridCol w:w="2762"/>
      </w:tblGrid>
      <w:tr>
        <w:trPr>
          <w:jc w:val="center"/>
          <w:trHeight w:val="30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所属行业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侧柜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侧柜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阅读桌椅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rPr>
                <w:rFonts w:hint="eastAsia" w:ascii="宋体" w:hAnsi="宋体" w:cs="宋体"/>
                <w:i w:val="0"/>
                <w:iCs w:val="0"/>
                <w:color w:val="auto"/>
                <w:sz w:val="24"/>
                <w:szCs w:val="24"/>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电脑椅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简易会议桌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学生梯形桌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学生座椅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讲台（带脚轮）</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讲台椅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482"/>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手摇课桌椅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5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i w:val="0"/>
                <w:iCs w:val="0"/>
                <w:color w:val="auto"/>
                <w:sz w:val="24"/>
                <w:szCs w:val="24"/>
                <w:highlight w:val="none"/>
                <w:u w:val="none"/>
                <w:lang w:val="en-US" w:eastAsia="zh-CN" w:bidi="ar"/>
              </w:rPr>
              <w:t xml:space="preserve">讲台椅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侧柜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药</w:t>
            </w:r>
            <w:r>
              <w:rPr>
                <w:rFonts w:hint="eastAsia" w:ascii="宋体" w:hAnsi="宋体" w:cs="宋体"/>
                <w:i w:val="0"/>
                <w:iCs w:val="0"/>
                <w:color w:val="auto"/>
                <w:sz w:val="24"/>
                <w:szCs w:val="24"/>
                <w:highlight w:val="none"/>
                <w:u w:val="none"/>
                <w:lang w:val="en-US" w:eastAsia="zh-CN" w:bidi="ar"/>
              </w:rPr>
              <w:t xml:space="preserve">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屏风</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侧柜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塑料托盘</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藏书柜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侧柜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双人床</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双人床（加长）</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蚊帐架</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单人床</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书椅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办公桌4</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餐桌椅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keepLines w:val="0"/>
              <w:keepNext w:val="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教师餐桌椅</w:t>
            </w:r>
            <w:r/>
          </w:p>
        </w:tc>
        <w:tc>
          <w:tcPr>
            <w:shd w:val="clear" w:color="auto" w:fill="auto"/>
            <w:tcBorders>
              <w:top w:val="single" w:color="000000" w:sz="4" w:space="0"/>
              <w:left w:val="single" w:color="000000" w:sz="4" w:space="0"/>
              <w:bottom w:val="single" w:color="000000" w:sz="4" w:space="0"/>
              <w:right w:val="single" w:color="000000" w:sz="4" w:space="0"/>
            </w:tcBorders>
            <w:tcW w:w="26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工业（制造业）</w:t>
            </w:r>
            <w:r/>
          </w:p>
        </w:tc>
      </w:tr>
    </w:tbl>
    <w:p>
      <w:pPr>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111"/>
        <w:ind w:firstLine="480"/>
        <w:jc w:val="left"/>
        <w:keepLines w:val="0"/>
        <w:keepNext w:val="0"/>
        <w:pageBreakBefore w:val="0"/>
        <w:spacing w:line="360" w:lineRule="auto"/>
        <w:tabs>
          <w:tab w:val="left" w:pos="1080" w:leader="none"/>
        </w:tabs>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8.技术参数部分</w:t>
      </w:r>
      <w:r/>
    </w:p>
    <w:tbl>
      <w:tblPr>
        <w:tblStyle w:val="801"/>
        <w:tblW w:w="106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4"/>
        <w:gridCol w:w="764"/>
        <w:gridCol w:w="2796"/>
        <w:gridCol w:w="1131"/>
        <w:gridCol w:w="4133"/>
        <w:gridCol w:w="436"/>
        <w:gridCol w:w="695"/>
      </w:tblGrid>
      <w:tr>
        <w:trPr>
          <w:jc w:val="center"/>
          <w:trHeight w:val="480"/>
        </w:trPr>
        <w:tc>
          <w:tcPr>
            <w:shd w:val="clear" w:color="auto" w:fill="fee796"/>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fee796"/>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fee796"/>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图样（图样为参考图)</w:t>
            </w:r>
            <w:r/>
          </w:p>
        </w:tc>
        <w:tc>
          <w:tcPr>
            <w:shd w:val="clear" w:color="auto" w:fill="fee796"/>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规格（mm)</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w:t xml:space="preserve">(W×D×H)</w:t>
            </w:r>
            <w:r/>
          </w:p>
        </w:tc>
        <w:tc>
          <w:tcPr>
            <w:shd w:val="clear" w:color="auto" w:fill="fee796"/>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w:t>
            </w:r>
            <w:r/>
          </w:p>
        </w:tc>
        <w:tc>
          <w:tcPr>
            <w:shd w:val="clear" w:color="auto" w:fill="fee796"/>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fee796"/>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实验室五楼</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校长书记室</w:t>
            </w:r>
            <w:r/>
          </w:p>
        </w:tc>
      </w:tr>
      <w:tr>
        <w:trPr>
          <w:jc w:val="center"/>
          <w:trHeight w:val="232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-59690</wp:posOffset>
                      </wp:positionH>
                      <wp:positionV relativeFrom="paragraph">
                        <wp:posOffset>333375</wp:posOffset>
                      </wp:positionV>
                      <wp:extent cx="1769110" cy="878205"/>
                      <wp:effectExtent l="0" t="0" r="13970" b="5715"/>
                      <wp:wrapNone/>
                      <wp:docPr id="4" name="图片_11"/>
                      <wp:cNvGraphicFramePr/>
                      <a:graphic xmlns:a="http://schemas.openxmlformats.org/drawingml/2006/main">
                        <a:graphicData uri="http://schemas.openxmlformats.org/drawingml/2006/picture">
                          <pic:pic xmlns:pic="http://schemas.openxmlformats.org/drawingml/2006/picture">
                            <pic:nvPicPr>
                              <pic:cNvPr id="19" name="图片_11"/>
                              <pic:cNvPicPr/>
                              <pic:nvPr/>
                            </pic:nvPicPr>
                            <pic:blipFill>
                              <a:blip r:embed="rId16"/>
                              <a:stretch/>
                            </pic:blipFill>
                            <pic:spPr bwMode="auto">
                              <a:xfrm>
                                <a:off x="0" y="0"/>
                                <a:ext cx="1769110" cy="878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5408;o:allowoverlap:true;o:allowincell:true;mso-position-horizontal-relative:text;margin-left:-4.7pt;mso-position-horizontal:absolute;mso-position-vertical-relative:text;margin-top:26.2pt;mso-position-vertical:absolute;width:139.3pt;height:69.1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1800*900*750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1.材质：采用原木水曲柳直拼板，材质稳定，抗菌、防霉，不易变形，桌面厚度2.5cm，其余厚度1.6cm。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224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587375</wp:posOffset>
                      </wp:positionH>
                      <wp:positionV relativeFrom="paragraph">
                        <wp:posOffset>73025</wp:posOffset>
                      </wp:positionV>
                      <wp:extent cx="788035" cy="1269365"/>
                      <wp:effectExtent l="0" t="0" r="4445" b="10795"/>
                      <wp:wrapNone/>
                      <wp:docPr id="5" name="图片_6"/>
                      <wp:cNvGraphicFramePr/>
                      <a:graphic xmlns:a="http://schemas.openxmlformats.org/drawingml/2006/main">
                        <a:graphicData uri="http://schemas.openxmlformats.org/drawingml/2006/picture">
                          <pic:pic xmlns:pic="http://schemas.openxmlformats.org/drawingml/2006/picture">
                            <pic:nvPicPr>
                              <pic:cNvPr id="6" name="图片_6"/>
                              <pic:cNvPicPr/>
                              <pic:nvPr/>
                            </pic:nvPicPr>
                            <pic:blipFill>
                              <a:blip r:embed="rId17"/>
                              <a:stretch/>
                            </pic:blipFill>
                            <pic:spPr bwMode="auto">
                              <a:xfrm>
                                <a:off x="0" y="0"/>
                                <a:ext cx="788034" cy="1269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5408;o:allowoverlap:true;o:allowincell:true;mso-position-horizontal-relative:text;margin-left:46.2pt;mso-position-horizontal:absolute;mso-position-vertical-relative:text;margin-top:5.8pt;mso-position-vertical:absolute;width:62.0pt;height:99.9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670*600*1150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1.面料：网布面料，经过防污、抗菌、抗静电、耐色牢固、 抗强度等表面加工处理。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2.海绵：高密度 回弹海绵，软硬适中，回弹性能好，不变形，耐用度高。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3.曲木板：12mmE1级曲木板。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4.扶手：固定PP扶手。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5.耐磨性及其他理化性能均能达到合格标准。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6.脚轮：五星不锈钢脚轮</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224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702310</wp:posOffset>
                      </wp:positionH>
                      <wp:positionV relativeFrom="paragraph">
                        <wp:posOffset>169545</wp:posOffset>
                      </wp:positionV>
                      <wp:extent cx="630555" cy="1130935"/>
                      <wp:effectExtent l="0" t="0" r="9525" b="12065"/>
                      <wp:wrapNone/>
                      <wp:docPr id="6" name="图片_207"/>
                      <wp:cNvGraphicFramePr/>
                      <a:graphic xmlns:a="http://schemas.openxmlformats.org/drawingml/2006/main">
                        <a:graphicData uri="http://schemas.openxmlformats.org/drawingml/2006/picture">
                          <pic:pic xmlns:pic="http://schemas.openxmlformats.org/drawingml/2006/picture">
                            <pic:nvPicPr>
                              <pic:cNvPr id="18" name="图片_207"/>
                              <pic:cNvPicPr/>
                              <pic:nvPr/>
                            </pic:nvPicPr>
                            <pic:blipFill>
                              <a:blip r:embed="rId18"/>
                              <a:stretch/>
                            </pic:blipFill>
                            <pic:spPr bwMode="auto">
                              <a:xfrm>
                                <a:off x="0" y="0"/>
                                <a:ext cx="630555" cy="1130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5408;o:allowoverlap:true;o:allowincell:true;mso-position-horizontal-relative:text;margin-left:55.3pt;mso-position-horizontal:absolute;mso-position-vertical-relative:text;margin-top:13.3pt;mso-position-vertical:absolute;width:49.6pt;height:89.0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洽谈区</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67945</wp:posOffset>
                      </wp:positionH>
                      <wp:positionV relativeFrom="paragraph">
                        <wp:posOffset>71755</wp:posOffset>
                      </wp:positionV>
                      <wp:extent cx="1579880" cy="1136650"/>
                      <wp:effectExtent l="0" t="0" r="5080" b="6350"/>
                      <wp:wrapNone/>
                      <wp:docPr id="7" name="图片_192"/>
                      <wp:cNvGraphicFramePr/>
                      <a:graphic xmlns:a="http://schemas.openxmlformats.org/drawingml/2006/main">
                        <a:graphicData uri="http://schemas.openxmlformats.org/drawingml/2006/picture">
                          <pic:pic xmlns:pic="http://schemas.openxmlformats.org/drawingml/2006/picture">
                            <pic:nvPicPr>
                              <pic:cNvPr id="27" name="图片_192"/>
                              <pic:cNvPicPr/>
                              <pic:nvPr/>
                            </pic:nvPicPr>
                            <pic:blipFill>
                              <a:blip r:embed="rId19"/>
                              <a:stretch/>
                            </pic:blipFill>
                            <pic:spPr bwMode="auto">
                              <a:xfrm>
                                <a:off x="0" y="0"/>
                                <a:ext cx="1579880" cy="1136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5.3pt;mso-position-horizontal:absolute;mso-position-vertical-relative:text;margin-top:5.6pt;mso-position-vertical:absolute;width:124.4pt;height:89.5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2000*680*750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1.面料：采用西皮，透气性好、柔软且富于韧性。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2.海绵：采用高密度阻燃海绵，用抽纱或丝绒覆面，表面有防腐化和防变形保护膜。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3.框架：采用天然实木框架，无卷翘，变形，开裂，并经防腐、防蛀处理。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4.油漆：采用环保水性环保木器漆，五底三面工艺。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5.胶粘剂：采用环保绿色环保胶水。</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338455</wp:posOffset>
                      </wp:positionH>
                      <wp:positionV relativeFrom="paragraph">
                        <wp:posOffset>29210</wp:posOffset>
                      </wp:positionV>
                      <wp:extent cx="1270635" cy="1183640"/>
                      <wp:effectExtent l="0" t="0" r="9525" b="5080"/>
                      <wp:wrapNone/>
                      <wp:docPr id="8" name="图片_193"/>
                      <wp:cNvGraphicFramePr/>
                      <a:graphic xmlns:a="http://schemas.openxmlformats.org/drawingml/2006/main">
                        <a:graphicData uri="http://schemas.openxmlformats.org/drawingml/2006/picture">
                          <pic:pic xmlns:pic="http://schemas.openxmlformats.org/drawingml/2006/picture">
                            <pic:nvPicPr>
                              <pic:cNvPr id="21" name="图片_193"/>
                              <pic:cNvPicPr/>
                              <pic:nvPr/>
                            </pic:nvPicPr>
                            <pic:blipFill>
                              <a:blip r:embed="rId20"/>
                              <a:stretch/>
                            </pic:blipFill>
                            <pic:spPr bwMode="auto">
                              <a:xfrm>
                                <a:off x="0" y="0"/>
                                <a:ext cx="1270635" cy="1183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5408;o:allowoverlap:true;o:allowincell:true;mso-position-horizontal-relative:text;margin-left:26.6pt;mso-position-horizontal:absolute;mso-position-vertical-relative:text;margin-top:2.3pt;mso-position-vertical:absolute;width:100.0pt;height:93.2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770*680*750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1.面料：采用西皮，透气性好、柔软且富于韧性。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2.海绵：采用高密度阻燃海绵，用抽纱或丝绒覆面，表面有防腐化和防变形保护膜。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3.框架：采用天然实木框架，无卷翘，变形，开裂，并经防腐、防蛀处理。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4.油漆：采用环保水性环保木器漆，五底三面工艺。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5.胶粘剂：采用环保绿色环保胶水。</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183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-15875</wp:posOffset>
                      </wp:positionH>
                      <wp:positionV relativeFrom="paragraph">
                        <wp:posOffset>133350</wp:posOffset>
                      </wp:positionV>
                      <wp:extent cx="1695450" cy="837565"/>
                      <wp:effectExtent l="0" t="0" r="11430" b="635"/>
                      <wp:wrapNone/>
                      <wp:docPr id="9" name="图片_13"/>
                      <wp:cNvGraphicFramePr/>
                      <a:graphic xmlns:a="http://schemas.openxmlformats.org/drawingml/2006/main">
                        <a:graphicData uri="http://schemas.openxmlformats.org/drawingml/2006/picture">
                          <pic:pic xmlns:pic="http://schemas.openxmlformats.org/drawingml/2006/picture">
                            <pic:nvPicPr>
                              <pic:cNvPr id="7" name="图片_13"/>
                              <pic:cNvPicPr/>
                              <pic:nvPr/>
                            </pic:nvPicPr>
                            <pic:blipFill>
                              <a:blip r:embed="rId21"/>
                              <a:stretch/>
                            </pic:blipFill>
                            <pic:spPr bwMode="auto">
                              <a:xfrm>
                                <a:off x="0" y="0"/>
                                <a:ext cx="1695450" cy="837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1.2pt;mso-position-horizontal:absolute;mso-position-vertical-relative:text;margin-top:10.5pt;mso-position-vertical:absolute;width:133.5pt;height:66.0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1400*700*450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214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260350</wp:posOffset>
                      </wp:positionH>
                      <wp:positionV relativeFrom="paragraph">
                        <wp:posOffset>87630</wp:posOffset>
                      </wp:positionV>
                      <wp:extent cx="1263650" cy="1131570"/>
                      <wp:effectExtent l="0" t="0" r="1270" b="11430"/>
                      <wp:wrapNone/>
                      <wp:docPr id="10" name="图片_12"/>
                      <wp:cNvGraphicFramePr/>
                      <a:graphic xmlns:a="http://schemas.openxmlformats.org/drawingml/2006/main">
                        <a:graphicData uri="http://schemas.openxmlformats.org/drawingml/2006/picture">
                          <pic:pic xmlns:pic="http://schemas.openxmlformats.org/drawingml/2006/picture">
                            <pic:nvPicPr>
                              <pic:cNvPr id="5" name="图片_12"/>
                              <pic:cNvPicPr/>
                              <pic:nvPr/>
                            </pic:nvPicPr>
                            <pic:blipFill>
                              <a:blip r:embed="rId22"/>
                              <a:stretch/>
                            </pic:blipFill>
                            <pic:spPr bwMode="auto">
                              <a:xfrm>
                                <a:off x="0" y="0"/>
                                <a:ext cx="1263650" cy="1131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20.5pt;mso-position-horizontal:absolute;mso-position-vertical-relative:text;margin-top:6.9pt;mso-position-vertical:absolute;width:99.5pt;height:89.1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副校长室</w:t>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-13970</wp:posOffset>
                      </wp:positionH>
                      <wp:positionV relativeFrom="paragraph">
                        <wp:posOffset>383540</wp:posOffset>
                      </wp:positionV>
                      <wp:extent cx="1688465" cy="714375"/>
                      <wp:effectExtent l="0" t="0" r="3175" b="1905"/>
                      <wp:wrapNone/>
                      <wp:docPr id="11" name="图片_1"/>
                      <wp:cNvGraphicFramePr/>
                      <a:graphic xmlns:a="http://schemas.openxmlformats.org/drawingml/2006/main">
                        <a:graphicData uri="http://schemas.openxmlformats.org/drawingml/2006/picture">
                          <pic:pic xmlns:pic="http://schemas.openxmlformats.org/drawingml/2006/picture">
                            <pic:nvPicPr>
                              <pic:cNvPr id="22" name="图片_1"/>
                              <pic:cNvPicPr/>
                              <pic:nvPr/>
                            </pic:nvPicPr>
                            <pic:blipFill>
                              <a:blip r:embed="rId23"/>
                              <a:stretch/>
                            </pic:blipFill>
                            <pic:spPr bwMode="auto">
                              <a:xfrm>
                                <a:off x="0" y="0"/>
                                <a:ext cx="1688465" cy="714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5408;o:allowoverlap:true;o:allowincell:true;mso-position-horizontal-relative:text;margin-left:-1.1pt;mso-position-horizontal:absolute;mso-position-vertical-relative:text;margin-top:30.2pt;mso-position-vertical:absolute;width:132.9pt;height:56.2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1800*900*750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1.材质：采用原木水曲柳直拼板，材质稳定，抗菌、防霉，不易变形，桌面厚度2.5cm，其余厚度1.6cm。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524510</wp:posOffset>
                      </wp:positionH>
                      <wp:positionV relativeFrom="paragraph">
                        <wp:posOffset>28575</wp:posOffset>
                      </wp:positionV>
                      <wp:extent cx="788035" cy="1269365"/>
                      <wp:effectExtent l="0" t="0" r="4445" b="10795"/>
                      <wp:wrapNone/>
                      <wp:docPr id="12" name="图片_3"/>
                      <wp:cNvGraphicFramePr/>
                      <a:graphic xmlns:a="http://schemas.openxmlformats.org/drawingml/2006/main">
                        <a:graphicData uri="http://schemas.openxmlformats.org/drawingml/2006/picture">
                          <pic:pic xmlns:pic="http://schemas.openxmlformats.org/drawingml/2006/picture">
                            <pic:nvPicPr>
                              <pic:cNvPr id="23" name="图片_3"/>
                              <pic:cNvPicPr/>
                              <pic:nvPr/>
                            </pic:nvPicPr>
                            <pic:blipFill>
                              <a:blip r:embed="rId24"/>
                              <a:stretch/>
                            </pic:blipFill>
                            <pic:spPr bwMode="auto">
                              <a:xfrm>
                                <a:off x="0" y="0"/>
                                <a:ext cx="788034" cy="1269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41.3pt;mso-position-horizontal:absolute;mso-position-vertical-relative:text;margin-top:2.2pt;mso-position-vertical:absolute;width:62.0pt;height:99.9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670*600*1150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1.面料：网布面料，经过防污、抗菌、 抗静电、耐色牢固、 抗强度等表面加工处理。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2.海绵：高密度 回弹海绵，软硬适中，回弹性能好，不变形，耐用度高。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3.曲木板：12mmE1级曲木板。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4.扶手：固定PP扶手。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5.耐磨性及其他理化性能均能达到合格标准。                       </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6.脚轮：五星不锈钢脚轮</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574675</wp:posOffset>
                      </wp:positionH>
                      <wp:positionV relativeFrom="paragraph">
                        <wp:posOffset>119380</wp:posOffset>
                      </wp:positionV>
                      <wp:extent cx="630555" cy="1130935"/>
                      <wp:effectExtent l="0" t="0" r="9525" b="12065"/>
                      <wp:wrapNone/>
                      <wp:docPr id="13" name="图片_206"/>
                      <wp:cNvGraphicFramePr/>
                      <a:graphic xmlns:a="http://schemas.openxmlformats.org/drawingml/2006/main">
                        <a:graphicData uri="http://schemas.openxmlformats.org/drawingml/2006/picture">
                          <pic:pic xmlns:pic="http://schemas.openxmlformats.org/drawingml/2006/picture">
                            <pic:nvPicPr>
                              <pic:cNvPr id="24" name="图片_206"/>
                              <pic:cNvPicPr/>
                              <pic:nvPr/>
                            </pic:nvPicPr>
                            <pic:blipFill>
                              <a:blip r:embed="rId18"/>
                              <a:stretch/>
                            </pic:blipFill>
                            <pic:spPr bwMode="auto">
                              <a:xfrm>
                                <a:off x="0" y="0"/>
                                <a:ext cx="630555" cy="1130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5408;o:allowoverlap:true;o:allowincell:true;mso-position-horizontal-relative:text;margin-left:45.2pt;mso-position-horizontal:absolute;mso-position-vertical-relative:text;margin-top:9.4pt;mso-position-vertical:absolute;width:49.6pt;height:89.0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洽谈区</w:t>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305435</wp:posOffset>
                      </wp:positionH>
                      <wp:positionV relativeFrom="paragraph">
                        <wp:posOffset>70485</wp:posOffset>
                      </wp:positionV>
                      <wp:extent cx="1263650" cy="1131570"/>
                      <wp:effectExtent l="0" t="0" r="1270" b="11430"/>
                      <wp:wrapNone/>
                      <wp:docPr id="14" name="图片_22"/>
                      <wp:cNvGraphicFramePr/>
                      <a:graphic xmlns:a="http://schemas.openxmlformats.org/drawingml/2006/main">
                        <a:graphicData uri="http://schemas.openxmlformats.org/drawingml/2006/picture">
                          <pic:pic xmlns:pic="http://schemas.openxmlformats.org/drawingml/2006/picture">
                            <pic:nvPicPr>
                              <pic:cNvPr id="10" name="图片_22"/>
                              <pic:cNvPicPr/>
                              <pic:nvPr/>
                            </pic:nvPicPr>
                            <pic:blipFill>
                              <a:blip r:embed="rId22"/>
                              <a:stretch/>
                            </pic:blipFill>
                            <pic:spPr bwMode="auto">
                              <a:xfrm>
                                <a:off x="0" y="0"/>
                                <a:ext cx="1263650" cy="1131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5408;o:allowoverlap:true;o:allowincell:true;mso-position-horizontal-relative:text;margin-left:24.0pt;mso-position-horizontal:absolute;mso-position-vertical-relative:text;margin-top:5.5pt;mso-position-vertical:absolute;width:99.5pt;height:89.1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jc w:val="center"/>
          <w:trHeight w:val="65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304165</wp:posOffset>
                      </wp:positionH>
                      <wp:positionV relativeFrom="paragraph">
                        <wp:posOffset>20955</wp:posOffset>
                      </wp:positionV>
                      <wp:extent cx="960755" cy="534035"/>
                      <wp:effectExtent l="0" t="0" r="14604" b="14604"/>
                      <wp:wrapNone/>
                      <wp:docPr id="15" name="图片_193_SpCnt_1"/>
                      <wp:cNvGraphicFramePr/>
                      <a:graphic xmlns:a="http://schemas.openxmlformats.org/drawingml/2006/main">
                        <a:graphicData uri="http://schemas.openxmlformats.org/drawingml/2006/picture">
                          <pic:pic xmlns:pic="http://schemas.openxmlformats.org/drawingml/2006/picture">
                            <pic:nvPicPr>
                              <pic:cNvPr id="8" name="图片_193_SpCnt_1"/>
                              <pic:cNvPicPr/>
                              <pic:nvPr/>
                            </pic:nvPicPr>
                            <pic:blipFill>
                              <a:blip r:embed="rId25"/>
                              <a:stretch/>
                            </pic:blipFill>
                            <pic:spPr bwMode="auto">
                              <a:xfrm>
                                <a:off x="0" y="0"/>
                                <a:ext cx="960755" cy="534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5408;o:allowoverlap:true;o:allowincell:true;mso-position-horizontal-relative:text;margin-left:23.9pt;mso-position-horizontal:absolute;mso-position-vertical-relative:text;margin-top:1.6pt;mso-position-vertical:absolute;width:75.6pt;height:42.0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770*680*750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1.面料：采用西皮，透气性好、柔软且富于韧性。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2.海绵：采用高密度阻燃海绵，用抽纱或丝绒覆面，表面有防腐化和防变形保护膜。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3.框架：采用天然实木框架，无卷翘，变形，开裂，并经防腐、防蛀处理。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4.油漆：采用环保水性环保木器漆，五底三面工艺。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5.胶粘剂：采用环保绿色环保胶水。</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r>
      <w:tr>
        <w:trPr>
          <w:jc w:val="center"/>
          <w:trHeight w:val="179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-48895</wp:posOffset>
                      </wp:positionH>
                      <wp:positionV relativeFrom="paragraph">
                        <wp:posOffset>156210</wp:posOffset>
                      </wp:positionV>
                      <wp:extent cx="1695450" cy="837565"/>
                      <wp:effectExtent l="0" t="0" r="11430" b="635"/>
                      <wp:wrapNone/>
                      <wp:docPr id="16" name="图片_24"/>
                      <wp:cNvGraphicFramePr/>
                      <a:graphic xmlns:a="http://schemas.openxmlformats.org/drawingml/2006/main">
                        <a:graphicData uri="http://schemas.openxmlformats.org/drawingml/2006/picture">
                          <pic:pic xmlns:pic="http://schemas.openxmlformats.org/drawingml/2006/picture">
                            <pic:nvPicPr>
                              <pic:cNvPr id="26" name="图片_24"/>
                              <pic:cNvPicPr/>
                              <pic:nvPr/>
                            </pic:nvPicPr>
                            <pic:blipFill>
                              <a:blip r:embed="rId26"/>
                              <a:stretch/>
                            </pic:blipFill>
                            <pic:spPr bwMode="auto">
                              <a:xfrm>
                                <a:off x="0" y="0"/>
                                <a:ext cx="1695450" cy="837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5408;o:allowoverlap:true;o:allowincell:true;mso-position-horizontal-relative:text;margin-left:-3.8pt;mso-position-horizontal:absolute;mso-position-vertical-relative:text;margin-top:12.3pt;mso-position-vertical:absolute;width:133.5pt;height:66.0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1400*700*450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行政办公室</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276225</wp:posOffset>
                      </wp:positionH>
                      <wp:positionV relativeFrom="paragraph">
                        <wp:posOffset>72390</wp:posOffset>
                      </wp:positionV>
                      <wp:extent cx="1313180" cy="1141095"/>
                      <wp:effectExtent l="0" t="0" r="12700" b="1905"/>
                      <wp:wrapNone/>
                      <wp:docPr id="17" name="图片_19"/>
                      <wp:cNvGraphicFramePr/>
                      <a:graphic xmlns:a="http://schemas.openxmlformats.org/drawingml/2006/main">
                        <a:graphicData uri="http://schemas.openxmlformats.org/drawingml/2006/picture">
                          <pic:pic xmlns:pic="http://schemas.openxmlformats.org/drawingml/2006/picture">
                            <pic:nvPicPr>
                              <pic:cNvPr id="4" name="图片_19"/>
                              <pic:cNvPicPr/>
                              <pic:nvPr/>
                            </pic:nvPicPr>
                            <pic:blipFill>
                              <a:blip r:embed="rId27"/>
                              <a:stretch/>
                            </pic:blipFill>
                            <pic:spPr bwMode="auto">
                              <a:xfrm>
                                <a:off x="0" y="0"/>
                                <a:ext cx="1313180" cy="1141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5408;o:allowoverlap:true;o:allowincell:true;mso-position-horizontal-relative:text;margin-left:21.8pt;mso-position-horizontal:absolute;mso-position-vertical-relative:text;margin-top:5.7pt;mso-position-vertical:absolute;width:103.4pt;height:89.8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1.材质：采用原木水曲柳直拼板，材质稳定，抗菌、防霉，不易变形，桌面厚度2.5cm，其余厚度1.6cm。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234950</wp:posOffset>
                      </wp:positionH>
                      <wp:positionV relativeFrom="paragraph">
                        <wp:posOffset>11430</wp:posOffset>
                      </wp:positionV>
                      <wp:extent cx="1312545" cy="1176655"/>
                      <wp:effectExtent l="0" t="0" r="13335" b="12065"/>
                      <wp:wrapNone/>
                      <wp:docPr id="18" name="图片_18"/>
                      <wp:cNvGraphicFramePr/>
                      <a:graphic xmlns:a="http://schemas.openxmlformats.org/drawingml/2006/main">
                        <a:graphicData uri="http://schemas.openxmlformats.org/drawingml/2006/picture">
                          <pic:pic xmlns:pic="http://schemas.openxmlformats.org/drawingml/2006/picture">
                            <pic:nvPicPr>
                              <pic:cNvPr id="15" name="图片_18"/>
                              <pic:cNvPicPr/>
                              <pic:nvPr/>
                            </pic:nvPicPr>
                            <pic:blipFill>
                              <a:blip r:embed="rId28"/>
                              <a:stretch/>
                            </pic:blipFill>
                            <pic:spPr bwMode="auto">
                              <a:xfrm>
                                <a:off x="0" y="0"/>
                                <a:ext cx="1312545" cy="1176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5408;o:allowoverlap:true;o:allowincell:true;mso-position-horizontal-relative:text;margin-left:18.5pt;mso-position-horizontal:absolute;mso-position-vertical-relative:text;margin-top:0.9pt;mso-position-vertical:absolute;width:103.3pt;height:92.6pt;mso-wrap-distance-left:9.0pt;mso-wrap-distance-top:0.0pt;mso-wrap-distance-right:9.0pt;mso-wrap-distance-bottom:0.0pt;" stroked="f">
                      <v:path textboxrect="0,0,0,0"/>
                      <v:imagedata r:id="rId2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1500*300*1200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505460</wp:posOffset>
                      </wp:positionH>
                      <wp:positionV relativeFrom="paragraph">
                        <wp:posOffset>33655</wp:posOffset>
                      </wp:positionV>
                      <wp:extent cx="726440" cy="1195070"/>
                      <wp:effectExtent l="0" t="0" r="5080" b="8890"/>
                      <wp:wrapNone/>
                      <wp:docPr id="19" name="图片_27"/>
                      <wp:cNvGraphicFramePr/>
                      <a:graphic xmlns:a="http://schemas.openxmlformats.org/drawingml/2006/main">
                        <a:graphicData uri="http://schemas.openxmlformats.org/drawingml/2006/picture">
                          <pic:pic xmlns:pic="http://schemas.openxmlformats.org/drawingml/2006/picture">
                            <pic:nvPicPr>
                              <pic:cNvPr id="25" name="图片_27"/>
                              <pic:cNvPicPr/>
                              <pic:nvPr/>
                            </pic:nvPicPr>
                            <pic:blipFill>
                              <a:blip r:embed="rId29"/>
                              <a:stretch/>
                            </pic:blipFill>
                            <pic:spPr bwMode="auto">
                              <a:xfrm>
                                <a:off x="0" y="0"/>
                                <a:ext cx="72644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5408;o:allowoverlap:true;o:allowincell:true;mso-position-horizontal-relative:text;margin-left:39.8pt;mso-position-horizontal:absolute;mso-position-vertical-relative:text;margin-top:2.6pt;mso-position-vertical:absolute;width:57.2pt;height:94.1pt;mso-wrap-distance-left:9.0pt;mso-wrap-distance-top:0.0pt;mso-wrap-distance-right:9.0pt;mso-wrap-distance-bottom:0.0pt;" stroked="f">
                      <v:path textboxrect="0,0,0,0"/>
                      <v:imagedata r:id="rId2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670*600*1150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42365" cy="1125855"/>
                      <wp:effectExtent l="0" t="0" r="0" b="0"/>
                      <wp:wrapNone/>
                      <wp:docPr id="20" name="rect"/>
                      <wp:cNvGraphicFramePr/>
                      <a:graphic xmlns:a="http://schemas.openxmlformats.org/drawingml/2006/main">
                        <a:graphicData uri="http://schemas.openxmlformats.org/drawingml/2006/picture">
                          <pic:pic xmlns:pic="http://schemas.openxmlformats.org/drawingml/2006/picture">
                            <pic:nvPicPr>
                              <pic:cNvPr id="9" name="rect"/>
                              <pic:cNvPicPr/>
                              <pic:nvPr/>
                            </pic:nvPicPr>
                            <pic:blipFill>
                              <a:blip r:embed="rId30"/>
                              <a:stretch/>
                            </pic:blipFill>
                            <pic:spPr bwMode="auto">
                              <a:xfrm>
                                <a:off x="0" y="0"/>
                                <a:ext cx="1142365"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5408;o:allowoverlap:true;o:allowincell:true;mso-position-horizontal-relative:text;margin-left:0.0pt;mso-position-horizontal:absolute;mso-position-vertical-relative:text;margin-top:0.0pt;mso-position-vertical:absolute;width:89.9pt;height:88.6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3475" cy="1140460"/>
                      <wp:effectExtent l="0" t="0" r="0" b="0"/>
                      <wp:wrapNone/>
                      <wp:docPr id="21" name="rect_SpCnt_1"/>
                      <wp:cNvGraphicFramePr/>
                      <a:graphic xmlns:a="http://schemas.openxmlformats.org/drawingml/2006/main">
                        <a:graphicData uri="http://schemas.openxmlformats.org/drawingml/2006/picture">
                          <pic:pic xmlns:pic="http://schemas.openxmlformats.org/drawingml/2006/picture">
                            <pic:nvPicPr>
                              <pic:cNvPr id="20" name="rect_SpCnt_1"/>
                              <pic:cNvPicPr/>
                              <pic:nvPr/>
                            </pic:nvPicPr>
                            <pic:blipFill>
                              <a:blip r:embed="rId31"/>
                              <a:stretch/>
                            </pic:blipFill>
                            <pic:spPr bwMode="auto">
                              <a:xfrm>
                                <a:off x="0" y="0"/>
                                <a:ext cx="113347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5408;o:allowoverlap:true;o:allowincell:true;mso-position-horizontal-relative:text;margin-left:0.0pt;mso-position-horizontal:absolute;mso-position-vertical-relative:text;margin-top:0.0pt;mso-position-vertical:absolute;width:89.2pt;height:89.8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3475" cy="1125855"/>
                      <wp:effectExtent l="0" t="0" r="0" b="0"/>
                      <wp:wrapNone/>
                      <wp:docPr id="22" name="rect_SpCnt_2"/>
                      <wp:cNvGraphicFramePr/>
                      <a:graphic xmlns:a="http://schemas.openxmlformats.org/drawingml/2006/main">
                        <a:graphicData uri="http://schemas.openxmlformats.org/drawingml/2006/picture">
                          <pic:pic xmlns:pic="http://schemas.openxmlformats.org/drawingml/2006/picture">
                            <pic:nvPicPr>
                              <pic:cNvPr id="28" name="rect_SpCnt_2"/>
                              <pic:cNvPicPr/>
                              <pic:nvPr/>
                            </pic:nvPicPr>
                            <pic:blipFill>
                              <a:blip r:embed="rId32"/>
                              <a:stretch/>
                            </pic:blipFill>
                            <pic:spPr bwMode="auto">
                              <a:xfrm>
                                <a:off x="0" y="0"/>
                                <a:ext cx="1133475"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5408;o:allowoverlap:true;o:allowincell:true;mso-position-horizontal-relative:text;margin-left:0.0pt;mso-position-horizontal:absolute;mso-position-vertical-relative:text;margin-top:0.0pt;mso-position-vertical:absolute;width:89.2pt;height:88.6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46810" cy="1125855"/>
                      <wp:effectExtent l="0" t="0" r="0" b="0"/>
                      <wp:wrapNone/>
                      <wp:docPr id="23" name="rect_SpCnt_3"/>
                      <wp:cNvGraphicFramePr/>
                      <a:graphic xmlns:a="http://schemas.openxmlformats.org/drawingml/2006/main">
                        <a:graphicData uri="http://schemas.openxmlformats.org/drawingml/2006/picture">
                          <pic:pic xmlns:pic="http://schemas.openxmlformats.org/drawingml/2006/picture">
                            <pic:nvPicPr>
                              <pic:cNvPr id="11" name="rect_SpCnt_3"/>
                              <pic:cNvPicPr/>
                              <pic:nvPr/>
                            </pic:nvPicPr>
                            <pic:blipFill>
                              <a:blip r:embed="rId30"/>
                              <a:stretch/>
                            </pic:blipFill>
                            <pic:spPr bwMode="auto">
                              <a:xfrm>
                                <a:off x="0" y="0"/>
                                <a:ext cx="1146810"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5408;o:allowoverlap:true;o:allowincell:true;mso-position-horizontal-relative:text;margin-left:0.0pt;mso-position-horizontal:absolute;mso-position-vertical-relative:text;margin-top:0.0pt;mso-position-vertical:absolute;width:90.3pt;height:88.6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7920" cy="1125855"/>
                      <wp:effectExtent l="0" t="0" r="0" b="0"/>
                      <wp:wrapNone/>
                      <wp:docPr id="24" name="rect_SpCnt_4"/>
                      <wp:cNvGraphicFramePr/>
                      <a:graphic xmlns:a="http://schemas.openxmlformats.org/drawingml/2006/main">
                        <a:graphicData uri="http://schemas.openxmlformats.org/drawingml/2006/picture">
                          <pic:pic xmlns:pic="http://schemas.openxmlformats.org/drawingml/2006/picture">
                            <pic:nvPicPr>
                              <pic:cNvPr id="12" name="rect_SpCnt_4"/>
                              <pic:cNvPicPr/>
                              <pic:nvPr/>
                            </pic:nvPicPr>
                            <pic:blipFill>
                              <a:blip r:embed="rId32"/>
                              <a:stretch/>
                            </pic:blipFill>
                            <pic:spPr bwMode="auto">
                              <a:xfrm>
                                <a:off x="0" y="0"/>
                                <a:ext cx="1137920"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5408;o:allowoverlap:true;o:allowincell:true;mso-position-horizontal-relative:text;margin-left:0.0pt;mso-position-horizontal:absolute;mso-position-vertical-relative:text;margin-top:0.0pt;mso-position-vertical:absolute;width:89.6pt;height:88.6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1.面料：网布面料，经过防污、抗菌、 抗静电、耐色牢固、 抗强度等表面加工处理。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2.海绵：高密度 回弹海绵，软硬适中，回弹性能好，不变形，耐用度高。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3.曲木板：12mmE1级曲木板。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4.扶手：固定PP扶手。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5.耐磨性及其他理化性能均能达到合格标准。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6.脚轮：五星不锈钢脚轮</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495935</wp:posOffset>
                      </wp:positionH>
                      <wp:positionV relativeFrom="paragraph">
                        <wp:posOffset>76200</wp:posOffset>
                      </wp:positionV>
                      <wp:extent cx="630555" cy="1130935"/>
                      <wp:effectExtent l="0" t="0" r="9525" b="12065"/>
                      <wp:wrapNone/>
                      <wp:docPr id="25" name="图片_205"/>
                      <wp:cNvGraphicFramePr/>
                      <a:graphic xmlns:a="http://schemas.openxmlformats.org/drawingml/2006/main">
                        <a:graphicData uri="http://schemas.openxmlformats.org/drawingml/2006/picture">
                          <pic:pic xmlns:pic="http://schemas.openxmlformats.org/drawingml/2006/picture">
                            <pic:nvPicPr>
                              <pic:cNvPr id="13" name="图片_205"/>
                              <pic:cNvPicPr/>
                              <pic:nvPr/>
                            </pic:nvPicPr>
                            <pic:blipFill>
                              <a:blip r:embed="rId18"/>
                              <a:stretch/>
                            </pic:blipFill>
                            <pic:spPr bwMode="auto">
                              <a:xfrm>
                                <a:off x="0" y="0"/>
                                <a:ext cx="630555" cy="1130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5408;o:allowoverlap:true;o:allowincell:true;mso-position-horizontal-relative:text;margin-left:39.0pt;mso-position-horizontal:absolute;mso-position-vertical-relative:text;margin-top:6.0pt;mso-position-vertical:absolute;width:49.6pt;height:89.0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454025</wp:posOffset>
                      </wp:positionH>
                      <wp:positionV relativeFrom="paragraph">
                        <wp:posOffset>94615</wp:posOffset>
                      </wp:positionV>
                      <wp:extent cx="989330" cy="1079500"/>
                      <wp:effectExtent l="0" t="0" r="1270" b="2540"/>
                      <wp:wrapNone/>
                      <wp:docPr id="26" name="图片_20"/>
                      <wp:cNvGraphicFramePr/>
                      <a:graphic xmlns:a="http://schemas.openxmlformats.org/drawingml/2006/main">
                        <a:graphicData uri="http://schemas.openxmlformats.org/drawingml/2006/picture">
                          <pic:pic xmlns:pic="http://schemas.openxmlformats.org/drawingml/2006/picture">
                            <pic:nvPicPr>
                              <pic:cNvPr id="14" name="图片_20"/>
                              <pic:cNvPicPr/>
                              <pic:nvPr/>
                            </pic:nvPicPr>
                            <pic:blipFill>
                              <a:blip r:embed="rId33"/>
                              <a:stretch/>
                            </pic:blipFill>
                            <pic:spPr bwMode="auto">
                              <a:xfrm>
                                <a:off x="0" y="0"/>
                                <a:ext cx="989330" cy="1079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5408;o:allowoverlap:true;o:allowincell:true;mso-position-horizontal-relative:text;margin-left:35.8pt;mso-position-horizontal:absolute;mso-position-vertical-relative:text;margin-top:7.4pt;mso-position-vertical:absolute;width:77.9pt;height:85.0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453390</wp:posOffset>
                      </wp:positionH>
                      <wp:positionV relativeFrom="paragraph">
                        <wp:posOffset>123190</wp:posOffset>
                      </wp:positionV>
                      <wp:extent cx="1042670" cy="1058545"/>
                      <wp:effectExtent l="0" t="0" r="8890" b="8255"/>
                      <wp:wrapNone/>
                      <wp:docPr id="27" name="图片_23"/>
                      <wp:cNvGraphicFramePr/>
                      <a:graphic xmlns:a="http://schemas.openxmlformats.org/drawingml/2006/main">
                        <a:graphicData uri="http://schemas.openxmlformats.org/drawingml/2006/picture">
                          <pic:pic xmlns:pic="http://schemas.openxmlformats.org/drawingml/2006/picture">
                            <pic:nvPicPr>
                              <pic:cNvPr id="16" name="图片_23"/>
                              <pic:cNvPicPr/>
                              <pic:nvPr/>
                            </pic:nvPicPr>
                            <pic:blipFill>
                              <a:blip r:embed="rId34"/>
                              <a:stretch/>
                            </pic:blipFill>
                            <pic:spPr bwMode="auto">
                              <a:xfrm>
                                <a:off x="0" y="0"/>
                                <a:ext cx="1042670" cy="1058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5408;o:allowoverlap:true;o:allowincell:true;mso-position-horizontal-relative:text;margin-left:35.7pt;mso-position-horizontal:absolute;mso-position-vertical-relative:text;margin-top:9.7pt;mso-position-vertical:absolute;width:82.1pt;height:83.3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590*590*450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545465</wp:posOffset>
                      </wp:positionH>
                      <wp:positionV relativeFrom="paragraph">
                        <wp:posOffset>59690</wp:posOffset>
                      </wp:positionV>
                      <wp:extent cx="1139825" cy="1186815"/>
                      <wp:effectExtent l="0" t="0" r="3175" b="1905"/>
                      <wp:wrapNone/>
                      <wp:docPr id="28" name="图片_68"/>
                      <wp:cNvGraphicFramePr/>
                      <a:graphic xmlns:a="http://schemas.openxmlformats.org/drawingml/2006/main">
                        <a:graphicData uri="http://schemas.openxmlformats.org/drawingml/2006/picture">
                          <pic:pic xmlns:pic="http://schemas.openxmlformats.org/drawingml/2006/picture">
                            <pic:nvPicPr>
                              <pic:cNvPr id="17" name="图片_68"/>
                              <pic:cNvPicPr/>
                              <pic:nvPr/>
                            </pic:nvPicPr>
                            <pic:blipFill>
                              <a:blip r:embed="rId35"/>
                              <a:stretch/>
                            </pic:blipFill>
                            <pic:spPr bwMode="auto">
                              <a:xfrm>
                                <a:off x="0" y="0"/>
                                <a:ext cx="1139825"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5408;o:allowoverlap:true;o:allowincell:true;mso-position-horizontal-relative:text;margin-left:42.9pt;mso-position-horizontal:absolute;mso-position-vertical-relative:text;margin-top:4.7pt;mso-position-vertical:absolute;width:89.8pt;height:93.4pt;mso-wrap-distance-left:9.0pt;mso-wrap-distance-top:0.0pt;mso-wrap-distance-right:9.0pt;mso-wrap-distance-bottom:0.0pt;" stroked="f">
                      <v:path textboxrect="0,0,0,0"/>
                      <v:imagedata r:id="rId3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770*680*750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3475" cy="1140460"/>
                      <wp:effectExtent l="0" t="0" r="0" b="0"/>
                      <wp:wrapNone/>
                      <wp:docPr id="29" name="rect_SpCnt_5"/>
                      <wp:cNvGraphicFramePr/>
                      <a:graphic xmlns:a="http://schemas.openxmlformats.org/drawingml/2006/main">
                        <a:graphicData uri="http://schemas.openxmlformats.org/drawingml/2006/picture">
                          <pic:pic xmlns:pic="http://schemas.openxmlformats.org/drawingml/2006/picture">
                            <pic:nvPicPr>
                              <pic:cNvPr id="29" name="rect_SpCnt_5"/>
                              <pic:cNvPicPr/>
                              <pic:nvPr/>
                            </pic:nvPicPr>
                            <pic:blipFill>
                              <a:blip r:embed="rId36"/>
                              <a:stretch/>
                            </pic:blipFill>
                            <pic:spPr bwMode="auto">
                              <a:xfrm>
                                <a:off x="0" y="0"/>
                                <a:ext cx="113347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5408;o:allowoverlap:true;o:allowincell:true;mso-position-horizontal-relative:text;margin-left:0.0pt;mso-position-horizontal:absolute;mso-position-vertical-relative:text;margin-top:0.0pt;mso-position-vertical:absolute;width:89.2pt;height:89.8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7920" cy="1125855"/>
                      <wp:effectExtent l="0" t="0" r="0" b="0"/>
                      <wp:wrapNone/>
                      <wp:docPr id="30" name="rect_SpCnt_6"/>
                      <wp:cNvGraphicFramePr/>
                      <a:graphic xmlns:a="http://schemas.openxmlformats.org/drawingml/2006/main">
                        <a:graphicData uri="http://schemas.openxmlformats.org/drawingml/2006/picture">
                          <pic:pic xmlns:pic="http://schemas.openxmlformats.org/drawingml/2006/picture">
                            <pic:nvPicPr>
                              <pic:cNvPr id="30" name="rect_SpCnt_6"/>
                              <pic:cNvPicPr/>
                              <pic:nvPr/>
                            </pic:nvPicPr>
                            <pic:blipFill>
                              <a:blip r:embed="rId37"/>
                              <a:stretch/>
                            </pic:blipFill>
                            <pic:spPr bwMode="auto">
                              <a:xfrm>
                                <a:off x="0" y="0"/>
                                <a:ext cx="1137920"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5408;o:allowoverlap:true;o:allowincell:true;mso-position-horizontal-relative:text;margin-left:0.0pt;mso-position-horizontal:absolute;mso-position-vertical-relative:text;margin-top:0.0pt;mso-position-vertical:absolute;width:89.6pt;height:88.6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3475" cy="1125855"/>
                      <wp:effectExtent l="0" t="0" r="0" b="0"/>
                      <wp:wrapNone/>
                      <wp:docPr id="31" name="rect_SpCnt_7"/>
                      <wp:cNvGraphicFramePr/>
                      <a:graphic xmlns:a="http://schemas.openxmlformats.org/drawingml/2006/main">
                        <a:graphicData uri="http://schemas.openxmlformats.org/drawingml/2006/picture">
                          <pic:pic xmlns:pic="http://schemas.openxmlformats.org/drawingml/2006/picture">
                            <pic:nvPicPr>
                              <pic:cNvPr id="31" name="rect_SpCnt_7"/>
                              <pic:cNvPicPr/>
                              <pic:nvPr/>
                            </pic:nvPicPr>
                            <pic:blipFill>
                              <a:blip r:embed="rId38"/>
                              <a:stretch/>
                            </pic:blipFill>
                            <pic:spPr bwMode="auto">
                              <a:xfrm>
                                <a:off x="0" y="0"/>
                                <a:ext cx="1133475"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5408;o:allowoverlap:true;o:allowincell:true;mso-position-horizontal-relative:text;margin-left:0.0pt;mso-position-horizontal:absolute;mso-position-vertical-relative:text;margin-top:0.0pt;mso-position-vertical:absolute;width:89.2pt;height:88.6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46810" cy="1125855"/>
                      <wp:effectExtent l="0" t="0" r="0" b="0"/>
                      <wp:wrapNone/>
                      <wp:docPr id="32" name="rect_SpCnt_8"/>
                      <wp:cNvGraphicFramePr/>
                      <a:graphic xmlns:a="http://schemas.openxmlformats.org/drawingml/2006/main">
                        <a:graphicData uri="http://schemas.openxmlformats.org/drawingml/2006/picture">
                          <pic:pic xmlns:pic="http://schemas.openxmlformats.org/drawingml/2006/picture">
                            <pic:nvPicPr>
                              <pic:cNvPr id="33" name="rect_SpCnt_8"/>
                              <pic:cNvPicPr/>
                              <pic:nvPr/>
                            </pic:nvPicPr>
                            <pic:blipFill>
                              <a:blip r:embed="rId39"/>
                              <a:stretch/>
                            </pic:blipFill>
                            <pic:spPr bwMode="auto">
                              <a:xfrm>
                                <a:off x="0" y="0"/>
                                <a:ext cx="1146810"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5408;o:allowoverlap:true;o:allowincell:true;mso-position-horizontal-relative:text;margin-left:0.0pt;mso-position-horizontal:absolute;mso-position-vertical-relative:text;margin-top:0.0pt;mso-position-vertical:absolute;width:90.3pt;height:88.6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1.面料：采用西皮，透气性好、柔软且富于韧性。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2.海绵：采用高密度阻燃海绵，用抽纱或丝绒覆面，表面有防腐化和防变形保护膜。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3.框架：采用天然实木框架，无卷翘，变形，开裂，并经防腐、防蛀处理。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4.油漆：采用环保水性环保木器漆，五底三面工艺。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5.胶粘剂：采用环保绿色环保胶水。</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财务处、医务室、文印室、心理办公室等</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219710</wp:posOffset>
                      </wp:positionH>
                      <wp:positionV relativeFrom="paragraph">
                        <wp:posOffset>30480</wp:posOffset>
                      </wp:positionV>
                      <wp:extent cx="1313180" cy="1141095"/>
                      <wp:effectExtent l="0" t="0" r="12700" b="1905"/>
                      <wp:wrapNone/>
                      <wp:docPr id="33" name="图片_57"/>
                      <wp:cNvGraphicFramePr/>
                      <a:graphic xmlns:a="http://schemas.openxmlformats.org/drawingml/2006/main">
                        <a:graphicData uri="http://schemas.openxmlformats.org/drawingml/2006/picture">
                          <pic:pic xmlns:pic="http://schemas.openxmlformats.org/drawingml/2006/picture">
                            <pic:nvPicPr>
                              <pic:cNvPr id="32" name="图片_57"/>
                              <pic:cNvPicPr/>
                              <pic:nvPr/>
                            </pic:nvPicPr>
                            <pic:blipFill>
                              <a:blip r:embed="rId27"/>
                              <a:stretch/>
                            </pic:blipFill>
                            <pic:spPr bwMode="auto">
                              <a:xfrm>
                                <a:off x="0" y="0"/>
                                <a:ext cx="1313180" cy="1141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5408;o:allowoverlap:true;o:allowincell:true;mso-position-horizontal-relative:text;margin-left:17.3pt;mso-position-horizontal:absolute;mso-position-vertical-relative:text;margin-top:2.4pt;mso-position-vertical:absolute;width:103.4pt;height:89.8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1.材质：采用原木水曲柳直拼板，材质稳定，抗菌、防霉，不易变形，桌面厚度2.5cm，其余厚度1.6cm。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265430</wp:posOffset>
                      </wp:positionH>
                      <wp:positionV relativeFrom="paragraph">
                        <wp:posOffset>48260</wp:posOffset>
                      </wp:positionV>
                      <wp:extent cx="1312545" cy="1176655"/>
                      <wp:effectExtent l="0" t="0" r="13335" b="12065"/>
                      <wp:wrapNone/>
                      <wp:docPr id="34" name="图片_37"/>
                      <wp:cNvGraphicFramePr/>
                      <a:graphic xmlns:a="http://schemas.openxmlformats.org/drawingml/2006/main">
                        <a:graphicData uri="http://schemas.openxmlformats.org/drawingml/2006/picture">
                          <pic:pic xmlns:pic="http://schemas.openxmlformats.org/drawingml/2006/picture">
                            <pic:nvPicPr>
                              <pic:cNvPr id="34" name="图片_37"/>
                              <pic:cNvPicPr/>
                              <pic:nvPr/>
                            </pic:nvPicPr>
                            <pic:blipFill>
                              <a:blip r:embed="rId28"/>
                              <a:stretch/>
                            </pic:blipFill>
                            <pic:spPr bwMode="auto">
                              <a:xfrm>
                                <a:off x="0" y="0"/>
                                <a:ext cx="1312545" cy="1176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5408;o:allowoverlap:true;o:allowincell:true;mso-position-horizontal-relative:text;margin-left:20.9pt;mso-position-horizontal:absolute;mso-position-vertical-relative:text;margin-top:3.8pt;mso-position-vertical:absolute;width:103.3pt;height:92.6pt;mso-wrap-distance-left:9.0pt;mso-wrap-distance-top:0.0pt;mso-wrap-distance-right:9.0pt;mso-wrap-distance-bottom:0.0pt;" stroked="f">
                      <v:path textboxrect="0,0,0,0"/>
                      <v:imagedata r:id="rId2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1500*300*1200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505460</wp:posOffset>
                      </wp:positionH>
                      <wp:positionV relativeFrom="paragraph">
                        <wp:posOffset>33655</wp:posOffset>
                      </wp:positionV>
                      <wp:extent cx="726440" cy="1195070"/>
                      <wp:effectExtent l="0" t="0" r="5080" b="8890"/>
                      <wp:wrapNone/>
                      <wp:docPr id="35" name="图片_33"/>
                      <wp:cNvGraphicFramePr/>
                      <a:graphic xmlns:a="http://schemas.openxmlformats.org/drawingml/2006/main">
                        <a:graphicData uri="http://schemas.openxmlformats.org/drawingml/2006/picture">
                          <pic:pic xmlns:pic="http://schemas.openxmlformats.org/drawingml/2006/picture">
                            <pic:nvPicPr>
                              <pic:cNvPr id="35" name="图片_33"/>
                              <pic:cNvPicPr/>
                              <pic:nvPr/>
                            </pic:nvPicPr>
                            <pic:blipFill>
                              <a:blip r:embed="rId40"/>
                              <a:stretch/>
                            </pic:blipFill>
                            <pic:spPr bwMode="auto">
                              <a:xfrm>
                                <a:off x="0" y="0"/>
                                <a:ext cx="72644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5408;o:allowoverlap:true;o:allowincell:true;mso-position-horizontal-relative:text;margin-left:39.8pt;mso-position-horizontal:absolute;mso-position-vertical-relative:text;margin-top:2.6pt;mso-position-vertical:absolute;width:57.2pt;height:94.1pt;mso-wrap-distance-left:9.0pt;mso-wrap-distance-top:0.0pt;mso-wrap-distance-right:9.0pt;mso-wrap-distance-bottom:0.0pt;" stroked="f">
                      <v:path textboxrect="0,0,0,0"/>
                      <v:imagedata r:id="rId40"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670*600*1150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46810" cy="1125855"/>
                      <wp:effectExtent l="0" t="0" r="0" b="0"/>
                      <wp:wrapNone/>
                      <wp:docPr id="36" name="rect_SpCnt_9"/>
                      <wp:cNvGraphicFramePr/>
                      <a:graphic xmlns:a="http://schemas.openxmlformats.org/drawingml/2006/main">
                        <a:graphicData uri="http://schemas.openxmlformats.org/drawingml/2006/picture">
                          <pic:pic xmlns:pic="http://schemas.openxmlformats.org/drawingml/2006/picture">
                            <pic:nvPicPr>
                              <pic:cNvPr id="36" name="rect_SpCnt_9"/>
                              <pic:cNvPicPr/>
                              <pic:nvPr/>
                            </pic:nvPicPr>
                            <pic:blipFill>
                              <a:blip r:embed="rId41"/>
                              <a:stretch/>
                            </pic:blipFill>
                            <pic:spPr bwMode="auto">
                              <a:xfrm>
                                <a:off x="0" y="0"/>
                                <a:ext cx="1146810" cy="112585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5408;o:allowoverlap:true;o:allowincell:true;mso-position-horizontal-relative:text;margin-left:0.0pt;mso-position-horizontal:absolute;mso-position-vertical-relative:text;margin-top:0.0pt;mso-position-vertical:absolute;width:90.3pt;height:88.6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3475" cy="1140460"/>
                      <wp:effectExtent l="0" t="0" r="0" b="0"/>
                      <wp:wrapNone/>
                      <wp:docPr id="37" name="rect_SpCnt_10"/>
                      <wp:cNvGraphicFramePr/>
                      <a:graphic xmlns:a="http://schemas.openxmlformats.org/drawingml/2006/main">
                        <a:graphicData uri="http://schemas.openxmlformats.org/drawingml/2006/picture">
                          <pic:pic xmlns:pic="http://schemas.openxmlformats.org/drawingml/2006/picture">
                            <pic:nvPicPr>
                              <pic:cNvPr id="47" name="rect_SpCnt_10"/>
                              <pic:cNvPicPr/>
                              <pic:nvPr/>
                            </pic:nvPicPr>
                            <pic:blipFill>
                              <a:blip r:embed="rId42"/>
                              <a:stretch/>
                            </pic:blipFill>
                            <pic:spPr bwMode="auto">
                              <a:xfrm>
                                <a:off x="0" y="0"/>
                                <a:ext cx="113347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5408;o:allowoverlap:true;o:allowincell:true;mso-position-horizontal-relative:text;margin-left:0.0pt;mso-position-horizontal:absolute;mso-position-vertical-relative:text;margin-top:0.0pt;mso-position-vertical:absolute;width:89.2pt;height:89.8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42365" cy="1125855"/>
                      <wp:effectExtent l="0" t="0" r="0" b="0"/>
                      <wp:wrapNone/>
                      <wp:docPr id="38" name="rect_SpCnt_11"/>
                      <wp:cNvGraphicFramePr/>
                      <a:graphic xmlns:a="http://schemas.openxmlformats.org/drawingml/2006/main">
                        <a:graphicData uri="http://schemas.openxmlformats.org/drawingml/2006/picture">
                          <pic:pic xmlns:pic="http://schemas.openxmlformats.org/drawingml/2006/picture">
                            <pic:nvPicPr>
                              <pic:cNvPr id="41" name="rect_SpCnt_11"/>
                              <pic:cNvPicPr/>
                              <pic:nvPr/>
                            </pic:nvPicPr>
                            <pic:blipFill>
                              <a:blip r:embed="rId43"/>
                              <a:stretch/>
                            </pic:blipFill>
                            <pic:spPr bwMode="auto">
                              <a:xfrm>
                                <a:off x="0" y="0"/>
                                <a:ext cx="1142365"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5408;o:allowoverlap:true;o:allowincell:true;mso-position-horizontal-relative:text;margin-left:0.0pt;mso-position-horizontal:absolute;mso-position-vertical-relative:text;margin-top:0.0pt;mso-position-vertical:absolute;width:89.9pt;height:88.6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7920" cy="1125855"/>
                      <wp:effectExtent l="0" t="0" r="0" b="0"/>
                      <wp:wrapNone/>
                      <wp:docPr id="39" name="rect_SpCnt_12"/>
                      <wp:cNvGraphicFramePr/>
                      <a:graphic xmlns:a="http://schemas.openxmlformats.org/drawingml/2006/main">
                        <a:graphicData uri="http://schemas.openxmlformats.org/drawingml/2006/picture">
                          <pic:pic xmlns:pic="http://schemas.openxmlformats.org/drawingml/2006/picture">
                            <pic:nvPicPr>
                              <pic:cNvPr id="48" name="rect_SpCnt_12"/>
                              <pic:cNvPicPr/>
                              <pic:nvPr/>
                            </pic:nvPicPr>
                            <pic:blipFill>
                              <a:blip r:embed="rId44"/>
                              <a:stretch/>
                            </pic:blipFill>
                            <pic:spPr bwMode="auto">
                              <a:xfrm>
                                <a:off x="0" y="0"/>
                                <a:ext cx="1137920"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5408;o:allowoverlap:true;o:allowincell:true;mso-position-horizontal-relative:text;margin-left:0.0pt;mso-position-horizontal:absolute;mso-position-vertical-relative:text;margin-top:0.0pt;mso-position-vertical:absolute;width:89.6pt;height:88.6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3475" cy="1125855"/>
                      <wp:effectExtent l="0" t="0" r="0" b="0"/>
                      <wp:wrapNone/>
                      <wp:docPr id="40" name="rect_SpCnt_13"/>
                      <wp:cNvGraphicFramePr/>
                      <a:graphic xmlns:a="http://schemas.openxmlformats.org/drawingml/2006/main">
                        <a:graphicData uri="http://schemas.openxmlformats.org/drawingml/2006/picture">
                          <pic:pic xmlns:pic="http://schemas.openxmlformats.org/drawingml/2006/picture">
                            <pic:nvPicPr>
                              <pic:cNvPr id="38" name="rect_SpCnt_13"/>
                              <pic:cNvPicPr/>
                              <pic:nvPr/>
                            </pic:nvPicPr>
                            <pic:blipFill>
                              <a:blip r:embed="rId45"/>
                              <a:stretch/>
                            </pic:blipFill>
                            <pic:spPr bwMode="auto">
                              <a:xfrm>
                                <a:off x="0" y="0"/>
                                <a:ext cx="1133475"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5408;o:allowoverlap:true;o:allowincell:true;mso-position-horizontal-relative:text;margin-left:0.0pt;mso-position-horizontal:absolute;mso-position-vertical-relative:text;margin-top:0.0pt;mso-position-vertical:absolute;width:89.2pt;height:88.6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1.面料：网布面料，经过防污、抗菌、 抗静电、耐色牢固、 抗强度等表面加工处理。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2.海绵：高密度 回弹海绵，软硬适中，回弹性能好，不变形，耐用度高。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3.曲木板：12mmE1级曲木板。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4.扶手：固定PP扶手。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5.耐磨性及其他理化性能均能达到合格标准。                     </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   6.脚轮：五星不锈钢脚轮</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635635</wp:posOffset>
                      </wp:positionH>
                      <wp:positionV relativeFrom="paragraph">
                        <wp:posOffset>89535</wp:posOffset>
                      </wp:positionV>
                      <wp:extent cx="630555" cy="1130935"/>
                      <wp:effectExtent l="0" t="0" r="9525" b="12065"/>
                      <wp:wrapNone/>
                      <wp:docPr id="41" name="图片_204"/>
                      <wp:cNvGraphicFramePr/>
                      <a:graphic xmlns:a="http://schemas.openxmlformats.org/drawingml/2006/main">
                        <a:graphicData uri="http://schemas.openxmlformats.org/drawingml/2006/picture">
                          <pic:pic xmlns:pic="http://schemas.openxmlformats.org/drawingml/2006/picture">
                            <pic:nvPicPr>
                              <pic:cNvPr id="64" name="图片_204"/>
                              <pic:cNvPicPr/>
                              <pic:nvPr/>
                            </pic:nvPicPr>
                            <pic:blipFill>
                              <a:blip r:embed="rId18"/>
                              <a:stretch/>
                            </pic:blipFill>
                            <pic:spPr bwMode="auto">
                              <a:xfrm>
                                <a:off x="0" y="0"/>
                                <a:ext cx="630555" cy="1130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5408;o:allowoverlap:true;o:allowincell:true;mso-position-horizontal-relative:text;margin-left:50.0pt;mso-position-horizontal:absolute;mso-position-vertical-relative:text;margin-top:7.0pt;mso-position-vertical:absolute;width:49.6pt;height:89.0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556895</wp:posOffset>
                      </wp:positionH>
                      <wp:positionV relativeFrom="paragraph">
                        <wp:posOffset>96520</wp:posOffset>
                      </wp:positionV>
                      <wp:extent cx="989330" cy="1079500"/>
                      <wp:effectExtent l="0" t="0" r="1270" b="2540"/>
                      <wp:wrapNone/>
                      <wp:docPr id="42" name="图片_61"/>
                      <wp:cNvGraphicFramePr/>
                      <a:graphic xmlns:a="http://schemas.openxmlformats.org/drawingml/2006/main">
                        <a:graphicData uri="http://schemas.openxmlformats.org/drawingml/2006/picture">
                          <pic:pic xmlns:pic="http://schemas.openxmlformats.org/drawingml/2006/picture">
                            <pic:nvPicPr>
                              <pic:cNvPr id="57" name="图片_61"/>
                              <pic:cNvPicPr/>
                              <pic:nvPr/>
                            </pic:nvPicPr>
                            <pic:blipFill>
                              <a:blip r:embed="rId33"/>
                              <a:stretch/>
                            </pic:blipFill>
                            <pic:spPr bwMode="auto">
                              <a:xfrm>
                                <a:off x="0" y="0"/>
                                <a:ext cx="989330" cy="1079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5408;o:allowoverlap:true;o:allowincell:true;mso-position-horizontal-relative:text;margin-left:43.9pt;mso-position-horizontal:absolute;mso-position-vertical-relative:text;margin-top:7.6pt;mso-position-vertical:absolute;width:77.9pt;height:85.0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会议室（110㎡）</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71755</wp:posOffset>
                      </wp:positionH>
                      <wp:positionV relativeFrom="paragraph">
                        <wp:posOffset>22225</wp:posOffset>
                      </wp:positionV>
                      <wp:extent cx="1661160" cy="1172210"/>
                      <wp:effectExtent l="0" t="0" r="0" b="1270"/>
                      <wp:wrapNone/>
                      <wp:docPr id="43" name="图片_127"/>
                      <wp:cNvGraphicFramePr/>
                      <a:graphic xmlns:a="http://schemas.openxmlformats.org/drawingml/2006/main">
                        <a:graphicData uri="http://schemas.openxmlformats.org/drawingml/2006/picture">
                          <pic:pic xmlns:pic="http://schemas.openxmlformats.org/drawingml/2006/picture">
                            <pic:nvPicPr>
                              <pic:cNvPr id="53" name="图片_127"/>
                              <pic:cNvPicPr/>
                              <pic:nvPr/>
                            </pic:nvPicPr>
                            <pic:blipFill>
                              <a:blip r:embed="rId46"/>
                              <a:stretch/>
                            </pic:blipFill>
                            <pic:spPr bwMode="auto">
                              <a:xfrm>
                                <a:off x="0" y="0"/>
                                <a:ext cx="1661160" cy="1172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5408;o:allowoverlap:true;o:allowincell:true;mso-position-horizontal-relative:text;margin-left:5.6pt;mso-position-horizontal:absolute;mso-position-vertical-relative:text;margin-top:1.8pt;mso-position-vertical:absolute;width:130.8pt;height:92.3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9500x2000x760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                                                   1.木皮采用胡桃木厚度0.6mm木皮贴面；                      2.基材：E1级高密度基材，经高温烘干湿度每立方＜20%</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3.生产工艺：选用环保面漆，采用五底三面工艺，木皮贴面工艺采用鳞形拼花工艺、木纹清晰，色泽均匀</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563880</wp:posOffset>
                      </wp:positionH>
                      <wp:positionV relativeFrom="paragraph">
                        <wp:posOffset>13335</wp:posOffset>
                      </wp:positionV>
                      <wp:extent cx="791845" cy="1226185"/>
                      <wp:effectExtent l="0" t="0" r="635" b="8255"/>
                      <wp:wrapNone/>
                      <wp:docPr id="44" name="图片_100"/>
                      <wp:cNvGraphicFramePr/>
                      <a:graphic xmlns:a="http://schemas.openxmlformats.org/drawingml/2006/main">
                        <a:graphicData uri="http://schemas.openxmlformats.org/drawingml/2006/picture">
                          <pic:pic xmlns:pic="http://schemas.openxmlformats.org/drawingml/2006/picture">
                            <pic:nvPicPr>
                              <pic:cNvPr id="52" name="图片_100"/>
                              <pic:cNvPicPr/>
                              <pic:nvPr/>
                            </pic:nvPicPr>
                            <pic:blipFill>
                              <a:blip r:embed="rId47"/>
                              <a:stretch/>
                            </pic:blipFill>
                            <pic:spPr bwMode="auto">
                              <a:xfrm>
                                <a:off x="0" y="0"/>
                                <a:ext cx="791845" cy="122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5408;o:allowoverlap:true;o:allowincell:true;mso-position-horizontal-relative:text;margin-left:44.4pt;mso-position-horizontal:absolute;mso-position-vertical-relative:text;margin-top:1.1pt;mso-position-vertical:absolute;width:62.3pt;height:96.5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670*600*1150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1.面料：采用西皮，透气性好、柔软且富于韧性。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2.海绵：采用高密度阻燃海绵，用抽纱或丝绒覆面，表面有防腐化和防变型保护膜。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3.框架：采用天然实木框架，无卷翘，变形，开裂，并经防腐、防蛀处理。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4.油漆：采用环保水性环保木器漆，五底三面工艺。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5.胶粘剂：采用环保绿色环保胶水。</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586105</wp:posOffset>
                      </wp:positionH>
                      <wp:positionV relativeFrom="paragraph">
                        <wp:posOffset>28575</wp:posOffset>
                      </wp:positionV>
                      <wp:extent cx="906145" cy="1204595"/>
                      <wp:effectExtent l="0" t="0" r="8255" b="14604"/>
                      <wp:wrapNone/>
                      <wp:docPr id="45" name="图片_101"/>
                      <wp:cNvGraphicFramePr/>
                      <a:graphic xmlns:a="http://schemas.openxmlformats.org/drawingml/2006/main">
                        <a:graphicData uri="http://schemas.openxmlformats.org/drawingml/2006/picture">
                          <pic:pic xmlns:pic="http://schemas.openxmlformats.org/drawingml/2006/picture">
                            <pic:nvPicPr>
                              <pic:cNvPr id="37" name="图片_101"/>
                              <pic:cNvPicPr/>
                              <pic:nvPr/>
                            </pic:nvPicPr>
                            <pic:blipFill>
                              <a:blip r:embed="rId48"/>
                              <a:stretch/>
                            </pic:blipFill>
                            <pic:spPr bwMode="auto">
                              <a:xfrm>
                                <a:off x="0" y="0"/>
                                <a:ext cx="906145" cy="120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5408;o:allowoverlap:true;o:allowincell:true;mso-position-horizontal-relative:text;margin-left:46.1pt;mso-position-horizontal:absolute;mso-position-vertical-relative:text;margin-top:2.2pt;mso-position-vertical:absolute;width:71.3pt;height:94.8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570*550*1150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1.面料：采用西皮，透气性好、柔软且富于韧性。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2.海绵：采用高密度阻燃海绵，用抽纱或丝绒覆面，表面有防腐化和防变型保护膜。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3.框架：采用天然实木框架，无卷翘，变形，开裂，并经防腐、防蛀处理。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4.油漆：采用环保水性环保木器漆，五底三面工艺。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5.胶粘剂：采用环保绿色环保胶水。</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450215</wp:posOffset>
                      </wp:positionH>
                      <wp:positionV relativeFrom="paragraph">
                        <wp:posOffset>117475</wp:posOffset>
                      </wp:positionV>
                      <wp:extent cx="1226820" cy="1045845"/>
                      <wp:effectExtent l="0" t="0" r="7620" b="5715"/>
                      <wp:wrapNone/>
                      <wp:docPr id="46" name="图片_129"/>
                      <wp:cNvGraphicFramePr/>
                      <a:graphic xmlns:a="http://schemas.openxmlformats.org/drawingml/2006/main">
                        <a:graphicData uri="http://schemas.openxmlformats.org/drawingml/2006/picture">
                          <pic:pic xmlns:pic="http://schemas.openxmlformats.org/drawingml/2006/picture">
                            <pic:nvPicPr>
                              <pic:cNvPr id="62" name="图片_129"/>
                              <pic:cNvPicPr/>
                              <pic:nvPr/>
                            </pic:nvPicPr>
                            <pic:blipFill>
                              <a:blip r:embed="rId49"/>
                              <a:stretch/>
                            </pic:blipFill>
                            <pic:spPr bwMode="auto">
                              <a:xfrm>
                                <a:off x="0" y="0"/>
                                <a:ext cx="1226820" cy="1045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5408;o:allowoverlap:true;o:allowincell:true;mso-position-horizontal-relative:text;margin-left:35.4pt;mso-position-horizontal:absolute;mso-position-vertical-relative:text;margin-top:9.2pt;mso-position-vertical:absolute;width:96.6pt;height:82.3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1200*400*760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1.木皮采用胡桃木厚度0.6mm木皮贴面；                      2.基材：E1级高密度基材，经高温烘干湿度每立方＜20%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3.生产工艺：选用环保面漆，采用五底三面工艺，木皮贴面工艺采用鳞形拼花工艺、木纹清晰，色泽均匀</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研讨室（面积100㎡）</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4445</wp:posOffset>
                      </wp:positionH>
                      <wp:positionV relativeFrom="paragraph">
                        <wp:posOffset>31750</wp:posOffset>
                      </wp:positionV>
                      <wp:extent cx="1660525" cy="1061720"/>
                      <wp:effectExtent l="0" t="0" r="635" b="5080"/>
                      <wp:wrapNone/>
                      <wp:docPr id="47" name="图片_102"/>
                      <wp:cNvGraphicFramePr/>
                      <a:graphic xmlns:a="http://schemas.openxmlformats.org/drawingml/2006/main">
                        <a:graphicData uri="http://schemas.openxmlformats.org/drawingml/2006/picture">
                          <pic:pic xmlns:pic="http://schemas.openxmlformats.org/drawingml/2006/picture">
                            <pic:nvPicPr>
                              <pic:cNvPr id="39" name="图片_102"/>
                              <pic:cNvPicPr/>
                              <pic:nvPr/>
                            </pic:nvPicPr>
                            <pic:blipFill>
                              <a:blip r:embed="rId50"/>
                              <a:stretch/>
                            </pic:blipFill>
                            <pic:spPr bwMode="auto">
                              <a:xfrm>
                                <a:off x="0" y="0"/>
                                <a:ext cx="1660525" cy="1061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5408;o:allowoverlap:true;o:allowincell:true;mso-position-horizontal-relative:text;margin-left:0.3pt;mso-position-horizontal:absolute;mso-position-vertical-relative:text;margin-top:2.5pt;mso-position-vertical:absolute;width:130.8pt;height:83.6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8500*2000*760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基材：实木多层板，甲醛释放含量达到国标E0级标准，防火、防潮、耐 磨、耐酸碱、耐烫、耐污染。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五金件：采用连接件。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工艺：人造板件采用同色PVC封边，封边严密、平整、无脱胶、表面无胶渍；切口整齐，无崩茬。钢质脚架。</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313055</wp:posOffset>
                      </wp:positionH>
                      <wp:positionV relativeFrom="paragraph">
                        <wp:posOffset>25400</wp:posOffset>
                      </wp:positionV>
                      <wp:extent cx="1290320" cy="1236980"/>
                      <wp:effectExtent l="0" t="0" r="5080" b="12700"/>
                      <wp:wrapNone/>
                      <wp:docPr id="48" name="图片_103"/>
                      <wp:cNvGraphicFramePr/>
                      <a:graphic xmlns:a="http://schemas.openxmlformats.org/drawingml/2006/main">
                        <a:graphicData uri="http://schemas.openxmlformats.org/drawingml/2006/picture">
                          <pic:pic xmlns:pic="http://schemas.openxmlformats.org/drawingml/2006/picture">
                            <pic:nvPicPr>
                              <pic:cNvPr id="61" name="图片_103"/>
                              <pic:cNvPicPr/>
                              <pic:nvPr/>
                            </pic:nvPicPr>
                            <pic:blipFill>
                              <a:blip r:embed="rId51"/>
                              <a:stretch/>
                            </pic:blipFill>
                            <pic:spPr bwMode="auto">
                              <a:xfrm>
                                <a:off x="0" y="0"/>
                                <a:ext cx="1290319" cy="1236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5408;o:allowoverlap:true;o:allowincell:true;mso-position-horizontal-relative:text;margin-left:24.6pt;mso-position-horizontal:absolute;mso-position-vertical-relative:text;margin-top:2.0pt;mso-position-vertical:absolute;width:101.6pt;height:97.4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670*600*850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1.面料：采用西皮，透气性好、柔软且富于韧性。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2.海绵：采用高密度阻燃海绵，用抽纱或丝绒覆面，表面有防腐化和防变型保护膜。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3.椅架采用电镀不锈钢管折弯而成</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r>
      <w:tr>
        <w:trPr>
          <w:jc w:val="center"/>
          <w:trHeight w:val="212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339090</wp:posOffset>
                      </wp:positionH>
                      <wp:positionV relativeFrom="paragraph">
                        <wp:posOffset>78740</wp:posOffset>
                      </wp:positionV>
                      <wp:extent cx="812165" cy="1216025"/>
                      <wp:effectExtent l="0" t="0" r="10795" b="3175"/>
                      <wp:wrapNone/>
                      <wp:docPr id="49" name="图片_16"/>
                      <wp:cNvGraphicFramePr/>
                      <a:graphic xmlns:a="http://schemas.openxmlformats.org/drawingml/2006/main">
                        <a:graphicData uri="http://schemas.openxmlformats.org/drawingml/2006/picture">
                          <pic:pic xmlns:pic="http://schemas.openxmlformats.org/drawingml/2006/picture">
                            <pic:nvPicPr>
                              <pic:cNvPr id="50" name="图片_16"/>
                              <pic:cNvPicPr/>
                              <pic:nvPr/>
                            </pic:nvPicPr>
                            <pic:blipFill>
                              <a:blip r:embed="rId52"/>
                              <a:stretch/>
                            </pic:blipFill>
                            <pic:spPr bwMode="auto">
                              <a:xfrm>
                                <a:off x="0" y="0"/>
                                <a:ext cx="812165" cy="121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5408;o:allowoverlap:true;o:allowincell:true;mso-position-horizontal-relative:text;margin-left:26.7pt;mso-position-horizontal:absolute;mso-position-vertical-relative:text;margin-top:6.2pt;mso-position-vertical:absolute;width:63.9pt;height:95.8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540*530*850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1.面料：网布面料，经过防污、抗菌、 抗静电、耐色牢固、 抗强度等表面加工处理。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2.海绵：高密度 回弹海绵，软硬适中，回弹性能好，不变形，耐用度高。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3.曲木板：12mmE1级曲木板。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4.扶手：固定PP扶手。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5.耐磨性及其他理化性能均能达到合格标准。                        </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jc w:val="center"/>
          <w:trHeight w:val="2220"/>
        </w:trPr>
        <w:tc>
          <w:tcPr>
            <w:shd w:val="clear" w:color="auto" w:fill="auto"/>
            <w:tcBorders>
              <w:top w:val="single" w:color="000000" w:sz="4" w:space="0"/>
              <w:left w:val="single" w:color="000000" w:sz="4" w:space="0"/>
              <w:bottom w:val="single" w:color="000000" w:sz="4" w:space="0"/>
              <w:right w:val="non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条桌</w:t>
            </w:r>
            <w:r/>
          </w:p>
        </w:tc>
        <w:tc>
          <w:tcPr>
            <w:shd w:val="clear" w:color="auto" w:fill="auto"/>
            <w:tcBorders>
              <w:top w:val="single" w:color="000000" w:sz="4" w:space="0"/>
              <w:left w:val="none" w:color="000000" w:sz="4" w:space="0"/>
              <w:bottom w:val="single" w:color="000000" w:sz="4" w:space="0"/>
              <w:right w:val="non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100965</wp:posOffset>
                      </wp:positionH>
                      <wp:positionV relativeFrom="paragraph">
                        <wp:posOffset>99060</wp:posOffset>
                      </wp:positionV>
                      <wp:extent cx="1468755" cy="1031875"/>
                      <wp:effectExtent l="0" t="0" r="9525" b="4445"/>
                      <wp:wrapNone/>
                      <wp:docPr id="50" name="图片_15"/>
                      <wp:cNvGraphicFramePr/>
                      <a:graphic xmlns:a="http://schemas.openxmlformats.org/drawingml/2006/main">
                        <a:graphicData uri="http://schemas.openxmlformats.org/drawingml/2006/picture">
                          <pic:pic xmlns:pic="http://schemas.openxmlformats.org/drawingml/2006/picture">
                            <pic:nvPicPr>
                              <pic:cNvPr id="40" name="图片_15"/>
                              <pic:cNvPicPr/>
                              <pic:nvPr/>
                            </pic:nvPicPr>
                            <pic:blipFill>
                              <a:blip r:embed="rId53"/>
                              <a:stretch/>
                            </pic:blipFill>
                            <pic:spPr bwMode="auto">
                              <a:xfrm>
                                <a:off x="0" y="0"/>
                                <a:ext cx="1468755" cy="1031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5408;o:allowoverlap:true;o:allowincell:true;mso-position-horizontal-relative:text;margin-left:7.9pt;mso-position-horizontal:absolute;mso-position-vertical-relative:text;margin-top:7.8pt;mso-position-vertical:absolute;width:115.6pt;height:81.2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1.饰面：采用耐磨三聚氰胺浸渍纸饰面，防火、防污、耐磨、硬度高。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2.基材：采用E0级三聚氰胺板。          </w:t>
            </w:r>
            <w:r>
              <w:rPr>
                <w:rFonts w:hint="eastAsia" w:ascii="宋体" w:hAnsi="宋体" w:eastAsia="宋体" w:cs="宋体"/>
                <w:i w:val="0"/>
                <w:iCs w:val="0"/>
                <w:color w:val="auto"/>
                <w:sz w:val="22"/>
                <w:szCs w:val="22"/>
                <w:highlight w:val="none"/>
                <w:u w:val="none"/>
                <w:lang w:val="en-US" w:eastAsia="zh-CN" w:bidi="ar"/>
              </w:rPr>
              <w:t xml:space="preserve">                                                                                                 3.封边条：采用ABS封边，板材四面同色封边。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4.胶粘剂：采用环保胶水。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5.五金件：采用五金配件。                      </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档案室</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298450</wp:posOffset>
                      </wp:positionH>
                      <wp:positionV relativeFrom="paragraph">
                        <wp:posOffset>3810</wp:posOffset>
                      </wp:positionV>
                      <wp:extent cx="985520" cy="1214120"/>
                      <wp:effectExtent l="0" t="0" r="5080" b="5080"/>
                      <wp:wrapNone/>
                      <wp:docPr id="51" name="图片_54"/>
                      <wp:cNvGraphicFramePr/>
                      <a:graphic xmlns:a="http://schemas.openxmlformats.org/drawingml/2006/main">
                        <a:graphicData uri="http://schemas.openxmlformats.org/drawingml/2006/picture">
                          <pic:pic xmlns:pic="http://schemas.openxmlformats.org/drawingml/2006/picture">
                            <pic:nvPicPr>
                              <pic:cNvPr id="63" name="图片_54"/>
                              <pic:cNvPicPr/>
                              <pic:nvPr/>
                            </pic:nvPicPr>
                            <pic:blipFill>
                              <a:blip r:embed="rId54"/>
                              <a:stretch/>
                            </pic:blipFill>
                            <pic:spPr bwMode="auto">
                              <a:xfrm>
                                <a:off x="0" y="0"/>
                                <a:ext cx="985519" cy="121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5408;o:allowoverlap:true;o:allowincell:true;mso-position-horizontal-relative:text;margin-left:23.5pt;mso-position-horizontal:absolute;mso-position-vertical-relative:text;margin-top:0.3pt;mso-position-vertical:absolute;width:77.6pt;height:95.6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850*390*1800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一级冷轧钢板，厚度0.8mm，柜体表面采用质量上乘粉末，经过除油，水洗，酸洗，鳞化，二次鳞化，静电喷涂，高温固化等程序的严格处理。采用五金配件和锁具，具有防火，防腐且耐磨的特性。表面粉末无毒无味。</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阅读桌椅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76200</wp:posOffset>
                      </wp:positionH>
                      <wp:positionV relativeFrom="paragraph">
                        <wp:posOffset>42545</wp:posOffset>
                      </wp:positionV>
                      <wp:extent cx="1457960" cy="1045210"/>
                      <wp:effectExtent l="0" t="0" r="5080" b="6350"/>
                      <wp:wrapNone/>
                      <wp:docPr id="52" name="图片_61_SpCnt_1"/>
                      <wp:cNvGraphicFramePr/>
                      <a:graphic xmlns:a="http://schemas.openxmlformats.org/drawingml/2006/main">
                        <a:graphicData uri="http://schemas.openxmlformats.org/drawingml/2006/picture">
                          <pic:pic xmlns:pic="http://schemas.openxmlformats.org/drawingml/2006/picture">
                            <pic:nvPicPr>
                              <pic:cNvPr id="51" name="图片_61_SpCnt_1"/>
                              <pic:cNvPicPr/>
                              <pic:nvPr/>
                            </pic:nvPicPr>
                            <pic:blipFill>
                              <a:blip r:embed="rId55"/>
                              <a:stretch/>
                            </pic:blipFill>
                            <pic:spPr bwMode="auto">
                              <a:xfrm>
                                <a:off x="0" y="0"/>
                                <a:ext cx="1457960" cy="1045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5408;o:allowoverlap:true;o:allowincell:true;mso-position-horizontal-relative:text;margin-left:6.0pt;mso-position-horizontal:absolute;mso-position-vertical-relative:text;margin-top:3.3pt;mso-position-vertical:absolute;width:114.8pt;height:82.3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1200*600*760（一桌四椅）</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1.材质：采用原木水曲柳直拼板，材质稳定，抗菌、防霉，不易变形，桌面厚度2.5cm，桌脚厚度5*5cm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实验室四楼</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机房</w:t>
            </w:r>
            <w:r/>
          </w:p>
        </w:tc>
      </w:tr>
      <w:tr>
        <w:trPr>
          <w:jc w:val="center"/>
          <w:trHeight w:val="325"/>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228600</wp:posOffset>
                      </wp:positionH>
                      <wp:positionV relativeFrom="paragraph">
                        <wp:posOffset>104140</wp:posOffset>
                      </wp:positionV>
                      <wp:extent cx="1230630" cy="920115"/>
                      <wp:effectExtent l="0" t="0" r="3810" b="9525"/>
                      <wp:wrapNone/>
                      <wp:docPr id="53" name="图片_24_SpCnt_2"/>
                      <wp:cNvGraphicFramePr/>
                      <a:graphic xmlns:a="http://schemas.openxmlformats.org/drawingml/2006/main">
                        <a:graphicData uri="http://schemas.openxmlformats.org/drawingml/2006/picture">
                          <pic:pic xmlns:pic="http://schemas.openxmlformats.org/drawingml/2006/picture">
                            <pic:nvPicPr>
                              <pic:cNvPr id="65" name="图片_24_SpCnt_2"/>
                              <pic:cNvPicPr/>
                              <pic:nvPr/>
                            </pic:nvPicPr>
                            <pic:blipFill>
                              <a:blip r:embed="rId56"/>
                              <a:stretch/>
                            </pic:blipFill>
                            <pic:spPr bwMode="auto">
                              <a:xfrm>
                                <a:off x="0" y="0"/>
                                <a:ext cx="1230630" cy="920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5408;o:allowoverlap:true;o:allowincell:true;mso-position-horizontal-relative:text;margin-left:18.0pt;mso-position-horizontal:absolute;mso-position-vertical-relative:text;margin-top:8.2pt;mso-position-vertical:absolute;width:96.9pt;height:72.5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1100*750*1100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1：箱体采用复合材料一体成型技术，分体式设计。材料：2—1.2mm冷轧钢板，桌面、扶手采用20mm橡木材料表面做防划耐磨处理。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艺：讲台采用分体式结构流线型设计美观大方，主要部件采用一次成型技术和组件防刮伤工艺，整体采用激光无痕焊接，柜体边角采用流线圆弧设计，更好保护学生的安全，材料经过酸洗、磷化、除锈、防腐，静电喷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3、前、后门使用双卡锁具有极强的抗冲击力提高了设备安全性，LOGO装饰板，独特的开合式前门设计</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要求讲台只用一把锁实现全部控制。 </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167005</wp:posOffset>
                      </wp:positionH>
                      <wp:positionV relativeFrom="paragraph">
                        <wp:posOffset>74930</wp:posOffset>
                      </wp:positionV>
                      <wp:extent cx="1354455" cy="1074420"/>
                      <wp:effectExtent l="0" t="0" r="1905" b="7620"/>
                      <wp:wrapNone/>
                      <wp:docPr id="54" name="图片_107"/>
                      <wp:cNvGraphicFramePr/>
                      <a:graphic xmlns:a="http://schemas.openxmlformats.org/drawingml/2006/main">
                        <a:graphicData uri="http://schemas.openxmlformats.org/drawingml/2006/picture">
                          <pic:pic xmlns:pic="http://schemas.openxmlformats.org/drawingml/2006/picture">
                            <pic:nvPicPr>
                              <pic:cNvPr id="42" name="图片_107"/>
                              <pic:cNvPicPr/>
                              <pic:nvPr/>
                            </pic:nvPicPr>
                            <pic:blipFill>
                              <a:blip r:embed="rId57"/>
                              <a:stretch/>
                            </pic:blipFill>
                            <pic:spPr bwMode="auto">
                              <a:xfrm>
                                <a:off x="0" y="0"/>
                                <a:ext cx="1354455" cy="1074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5408;o:allowoverlap:true;o:allowincell:true;mso-position-horizontal-relative:text;margin-left:13.1pt;mso-position-horizontal:absolute;mso-position-vertical-relative:text;margin-top:5.9pt;mso-position-vertical:absolute;width:106.6pt;height:84.6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1.台面：采用符合E0级绿色环保实木多层板，25mm厚，原材料树种一致，经过防火、防烫、防划、防潮、防酸碱、防污等处理，密度≥760kg/m3,静曲张度≥51.2Mpa,吸水膨胀率≤8.1%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2.五金件：采用配套五金件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3.钢脚：高精度金属材质下脚，表面喷砂（细砂）处理，具有极强的附着力及抗腐蚀能力，化学性能稳定，耐脏好清洁， 细沙附着均匀，质感优良，装饰性好。</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电脑椅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724535</wp:posOffset>
                      </wp:positionH>
                      <wp:positionV relativeFrom="paragraph">
                        <wp:posOffset>101600</wp:posOffset>
                      </wp:positionV>
                      <wp:extent cx="763905" cy="942340"/>
                      <wp:effectExtent l="0" t="0" r="13335" b="2540"/>
                      <wp:wrapNone/>
                      <wp:docPr id="55" name="图片_108"/>
                      <wp:cNvGraphicFramePr/>
                      <a:graphic xmlns:a="http://schemas.openxmlformats.org/drawingml/2006/main">
                        <a:graphicData uri="http://schemas.openxmlformats.org/drawingml/2006/picture">
                          <pic:pic xmlns:pic="http://schemas.openxmlformats.org/drawingml/2006/picture">
                            <pic:nvPicPr>
                              <pic:cNvPr id="56" name="图片_108"/>
                              <pic:cNvPicPr/>
                              <pic:nvPr/>
                            </pic:nvPicPr>
                            <pic:blipFill>
                              <a:blip r:embed="rId58"/>
                              <a:stretch/>
                            </pic:blipFill>
                            <pic:spPr bwMode="auto">
                              <a:xfrm>
                                <a:off x="0" y="0"/>
                                <a:ext cx="763905" cy="942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5408;o:allowoverlap:true;o:allowincell:true;mso-position-horizontal-relative:text;margin-left:57.0pt;mso-position-horizontal:absolute;mso-position-vertical-relative:text;margin-top:8.0pt;mso-position-vertical:absolute;width:60.1pt;height:74.2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340×240×440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1.凳面：采用符合E0级绿色环保实木多层板，25mm厚，原材料树种一致，经过防火、防烫、防划、防潮、防酸碱、防污等处理，密度≥760kg/m3,静曲张度≥51.2Mpa,吸水膨胀率≤8.1%.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2.五金件：采用配套五金件，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3.钢脚：高精度金属材质下脚，表面喷砂（细砂）处理，具有极强的附着力及抗腐蚀能力，化学性能稳定，耐脏好清洁， 细沙附着均匀，质感优良，装饰性好。</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shd w:val="clear" w:color="auto" w:fill="fee796"/>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4715510</wp:posOffset>
                      </wp:positionH>
                      <wp:positionV relativeFrom="paragraph">
                        <wp:posOffset>0</wp:posOffset>
                      </wp:positionV>
                      <wp:extent cx="9525" cy="9525"/>
                      <wp:effectExtent l="0" t="0" r="0" b="0"/>
                      <wp:wrapNone/>
                      <wp:docPr id="56" name="图片_11_SpCnt_1"/>
                      <wp:cNvGraphicFramePr/>
                      <a:graphic xmlns:a="http://schemas.openxmlformats.org/drawingml/2006/main">
                        <a:graphicData uri="http://schemas.openxmlformats.org/drawingml/2006/picture">
                          <pic:pic xmlns:pic="http://schemas.openxmlformats.org/drawingml/2006/picture">
                            <pic:nvPicPr>
                              <pic:cNvPr id="58" name="图片_11_SpCnt_1"/>
                              <pic:cNvPicPr/>
                              <pic:nvPr/>
                            </pic:nvPicPr>
                            <pic:blipFill>
                              <a:blip r:embed="rId5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5408;o:allowoverlap:true;o:allowincell:true;mso-position-horizontal-relative:text;margin-left:371.3pt;mso-position-horizontal:absolute;mso-position-vertical-relative:text;margin-top:0.0pt;mso-position-vertical:absolute;width:0.8pt;height:0.8pt;mso-wrap-distance-left:9.0pt;mso-wrap-distance-top:0.0pt;mso-wrap-distance-right:9.0pt;mso-wrap-distance-bottom:0.0pt;" stroked="f">
                      <v:path textboxrect="0,0,0,0"/>
                      <v:imagedata r:id="rId59" o:title=""/>
                    </v:shape>
                  </w:pict>
                </mc:Fallback>
              </mc:AlternateContent>
            </w:r>
            <w:r>
              <w:rPr>
                <w:rFonts w:hint="eastAsia" w:ascii="宋体" w:hAnsi="宋体" w:eastAsia="宋体" w:cs="宋体"/>
                <w:b/>
                <w:bCs/>
                <w:i w:val="0"/>
                <w:iCs w:val="0"/>
                <w:color w:val="auto"/>
                <w:sz w:val="20"/>
                <w:szCs w:val="20"/>
                <w:highlight w:val="none"/>
                <w:u w:val="none"/>
                <w:lang w:val="en-US" w:eastAsia="zh-CN" w:bidi="ar"/>
              </w:rPr>
              <w:t xml:space="preserve">实验室一楼</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阶梯教室</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-39370</wp:posOffset>
                      </wp:positionH>
                      <wp:positionV relativeFrom="paragraph">
                        <wp:posOffset>220980</wp:posOffset>
                      </wp:positionV>
                      <wp:extent cx="1670685" cy="817245"/>
                      <wp:effectExtent l="0" t="0" r="5715" b="5715"/>
                      <wp:wrapNone/>
                      <wp:docPr id="57" name="Picture_8"/>
                      <wp:cNvGraphicFramePr/>
                      <a:graphic xmlns:a="http://schemas.openxmlformats.org/drawingml/2006/main">
                        <a:graphicData uri="http://schemas.openxmlformats.org/drawingml/2006/picture">
                          <pic:pic xmlns:pic="http://schemas.openxmlformats.org/drawingml/2006/picture">
                            <pic:nvPicPr>
                              <pic:cNvPr id="43" name="Picture_8"/>
                              <pic:cNvPicPr/>
                              <pic:nvPr/>
                            </pic:nvPicPr>
                            <pic:blipFill>
                              <a:blip r:embed="rId60"/>
                              <a:stretch/>
                            </pic:blipFill>
                            <pic:spPr bwMode="auto">
                              <a:xfrm>
                                <a:off x="0" y="0"/>
                                <a:ext cx="1670685" cy="817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65408;o:allowoverlap:true;o:allowincell:true;mso-position-horizontal-relative:text;margin-left:-3.1pt;mso-position-horizontal:absolute;mso-position-vertical-relative:text;margin-top:17.4pt;mso-position-vertical:absolute;width:131.5pt;height:64.3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2100*600*760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1.材质：采用原木水曲柳直拼板，材质稳定，抗菌、防霉，不易变形，桌面厚度2.5cm,其余厚度1.6cm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216535</wp:posOffset>
                      </wp:positionH>
                      <wp:positionV relativeFrom="paragraph">
                        <wp:posOffset>51435</wp:posOffset>
                      </wp:positionV>
                      <wp:extent cx="1054100" cy="1130300"/>
                      <wp:effectExtent l="0" t="0" r="12700" b="12700"/>
                      <wp:wrapNone/>
                      <wp:docPr id="58" name="图片_94"/>
                      <wp:cNvGraphicFramePr/>
                      <a:graphic xmlns:a="http://schemas.openxmlformats.org/drawingml/2006/main">
                        <a:graphicData uri="http://schemas.openxmlformats.org/drawingml/2006/picture">
                          <pic:pic xmlns:pic="http://schemas.openxmlformats.org/drawingml/2006/picture">
                            <pic:nvPicPr>
                              <pic:cNvPr id="44" name="图片_94"/>
                              <pic:cNvPicPr/>
                              <pic:nvPr/>
                            </pic:nvPicPr>
                            <pic:blipFill>
                              <a:blip r:embed="rId61"/>
                              <a:stretch/>
                            </pic:blipFill>
                            <pic:spPr bwMode="auto">
                              <a:xfrm>
                                <a:off x="0" y="0"/>
                                <a:ext cx="1054100" cy="1130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5408;o:allowoverlap:true;o:allowincell:true;mso-position-horizontal-relative:text;margin-left:17.1pt;mso-position-horizontal:absolute;mso-position-vertical-relative:text;margin-top:4.0pt;mso-position-vertical:absolute;width:83.0pt;height:89.0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670*600*1150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1.材料：采用橡胶木实木板材，经高温烘干湿度每立方＜20%</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生产工艺：采用环保油漆，经五底三面油漆工艺处理，木皮贴面工艺采用鳞形拼花工艺、木纹清晰，色泽均匀；                                                             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五金配件：选用</w:t>
            </w:r>
            <w:r>
              <w:rPr>
                <w:rFonts w:hint="eastAsia" w:ascii="宋体" w:hAnsi="宋体" w:cs="宋体"/>
                <w:i w:val="0"/>
                <w:iCs w:val="0"/>
                <w:color w:val="auto"/>
                <w:sz w:val="20"/>
                <w:szCs w:val="20"/>
                <w:highlight w:val="none"/>
                <w:u w:val="none"/>
                <w:lang w:val="en-US" w:eastAsia="zh-CN" w:bidi="ar"/>
              </w:rPr>
              <w:t xml:space="preserve">配套</w:t>
            </w:r>
            <w:r>
              <w:rPr>
                <w:rFonts w:hint="eastAsia" w:ascii="宋体" w:hAnsi="宋体" w:eastAsia="宋体" w:cs="宋体"/>
                <w:i w:val="0"/>
                <w:iCs w:val="0"/>
                <w:color w:val="auto"/>
                <w:sz w:val="20"/>
                <w:szCs w:val="20"/>
                <w:highlight w:val="none"/>
                <w:u w:val="none"/>
                <w:lang w:val="en-US" w:eastAsia="zh-CN" w:bidi="ar"/>
              </w:rPr>
              <w:t xml:space="preserve">铰链。</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330200</wp:posOffset>
                      </wp:positionH>
                      <wp:positionV relativeFrom="paragraph">
                        <wp:posOffset>56515</wp:posOffset>
                      </wp:positionV>
                      <wp:extent cx="792480" cy="1155065"/>
                      <wp:effectExtent l="0" t="0" r="0" b="3175"/>
                      <wp:wrapNone/>
                      <wp:docPr id="59" name="图片_96"/>
                      <wp:cNvGraphicFramePr/>
                      <a:graphic xmlns:a="http://schemas.openxmlformats.org/drawingml/2006/main">
                        <a:graphicData uri="http://schemas.openxmlformats.org/drawingml/2006/picture">
                          <pic:pic xmlns:pic="http://schemas.openxmlformats.org/drawingml/2006/picture">
                            <pic:nvPicPr>
                              <pic:cNvPr id="45" name="图片_96"/>
                              <pic:cNvPicPr/>
                              <pic:nvPr/>
                            </pic:nvPicPr>
                            <pic:blipFill>
                              <a:blip r:embed="rId62"/>
                              <a:stretch/>
                            </pic:blipFill>
                            <pic:spPr bwMode="auto">
                              <a:xfrm>
                                <a:off x="0" y="0"/>
                                <a:ext cx="792480" cy="1155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5408;o:allowoverlap:true;o:allowincell:true;mso-position-horizontal-relative:text;margin-left:26.0pt;mso-position-horizontal:absolute;mso-position-vertical-relative:text;margin-top:4.5pt;mso-position-vertical:absolute;width:62.4pt;height:90.9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650*470*1150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简易会议桌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224790</wp:posOffset>
                      </wp:positionH>
                      <wp:positionV relativeFrom="paragraph">
                        <wp:posOffset>57150</wp:posOffset>
                      </wp:positionV>
                      <wp:extent cx="1226820" cy="1045845"/>
                      <wp:effectExtent l="0" t="0" r="7620" b="5715"/>
                      <wp:wrapNone/>
                      <wp:docPr id="60" name="图片_129_SpCnt_1"/>
                      <wp:cNvGraphicFramePr/>
                      <a:graphic xmlns:a="http://schemas.openxmlformats.org/drawingml/2006/main">
                        <a:graphicData uri="http://schemas.openxmlformats.org/drawingml/2006/picture">
                          <pic:pic xmlns:pic="http://schemas.openxmlformats.org/drawingml/2006/picture">
                            <pic:nvPicPr>
                              <pic:cNvPr id="46" name="图片_129_SpCnt_1"/>
                              <pic:cNvPicPr/>
                              <pic:nvPr/>
                            </pic:nvPicPr>
                            <pic:blipFill>
                              <a:blip r:embed="rId63"/>
                              <a:stretch/>
                            </pic:blipFill>
                            <pic:spPr bwMode="auto">
                              <a:xfrm>
                                <a:off x="0" y="0"/>
                                <a:ext cx="1226820" cy="1045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5408;o:allowoverlap:true;o:allowincell:true;mso-position-horizontal-relative:text;margin-left:17.7pt;mso-position-horizontal:absolute;mso-position-vertical-relative:text;margin-top:4.5pt;mso-position-vertical:absolute;width:96.6pt;height:82.3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1200*400*760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1.材质：采用原木水曲柳直拼板，材质稳定，抗菌、防霉，不易变形，桌面厚度2.5cm，其余厚度1.6cm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r>
      <w:tr>
        <w:trPr>
          <w:jc w:val="center"/>
          <w:trHeight w:val="90"/>
        </w:trPr>
        <w:tc>
          <w:tcPr>
            <w:gridSpan w:val="7"/>
            <w:shd w:val="clear" w:color="auto" w:fill="auto"/>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合班教室（1间）</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学生梯形桌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-63500</wp:posOffset>
                      </wp:positionH>
                      <wp:positionV relativeFrom="paragraph">
                        <wp:posOffset>19685</wp:posOffset>
                      </wp:positionV>
                      <wp:extent cx="1724660" cy="1095375"/>
                      <wp:effectExtent l="0" t="0" r="12700" b="1905"/>
                      <wp:wrapNone/>
                      <wp:docPr id="61" name="图片_104"/>
                      <wp:cNvGraphicFramePr/>
                      <a:graphic xmlns:a="http://schemas.openxmlformats.org/drawingml/2006/main">
                        <a:graphicData uri="http://schemas.openxmlformats.org/drawingml/2006/picture">
                          <pic:pic xmlns:pic="http://schemas.openxmlformats.org/drawingml/2006/picture">
                            <pic:nvPicPr>
                              <pic:cNvPr id="49" name="图片_104"/>
                              <pic:cNvPicPr/>
                              <pic:nvPr/>
                            </pic:nvPicPr>
                            <pic:blipFill>
                              <a:blip r:embed="rId64"/>
                              <a:stretch/>
                            </pic:blipFill>
                            <pic:spPr bwMode="auto">
                              <a:xfrm>
                                <a:off x="0" y="0"/>
                                <a:ext cx="1724660"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5408;o:allowoverlap:true;o:allowincell:true;mso-position-horizontal-relative:text;margin-left:-5.0pt;mso-position-horizontal:absolute;mso-position-vertical-relative:text;margin-top:1.5pt;mso-position-vertical:absolute;width:135.8pt;height:86.2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1200*1200*760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1.面板：材质：桌面采用ABS塑钢注塑一次成形。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尺寸：长650*宽450*厚25mm（±5mm）。桌面采用人体工程学设计，胸前处带人性化凹槽，镶入一条15*30*0.8mm方管，并与面板底部平齐。桌面净重≧1.8kg。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2.书箱：材质：采用一级全新PP塑料，一体注塑成型。抗压、耐磨、耐冲击。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尺寸：外宽545mm*深度375mm*高度140mm（±5mm），净空宽度440mm*深350mm*高120mm（±5mm）。正前方带凹槽尺寸为440mm*30mm*8mm。书箱底部有32条透水槽缝设计。每条槽缝长42mm*宽7mm。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3.桌钢架：材质及形状：扁圆形冷轧钢管。焊接全为满焊。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尺寸：外管30*60*1.2mm扁圆钢管，内管25*50*1.2mm扁圆钢管，卧式底脚采用30*50*1.2mm扁圆冷轧钢管。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4.脚垫材质：采用pp塑料一体注塑而成，超级耐磨。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5.桌升降方式：采用蜗杆式手摇升降。</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学生座椅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379730</wp:posOffset>
                      </wp:positionH>
                      <wp:positionV relativeFrom="paragraph">
                        <wp:posOffset>22225</wp:posOffset>
                      </wp:positionV>
                      <wp:extent cx="741045" cy="1209040"/>
                      <wp:effectExtent l="0" t="0" r="5715" b="10160"/>
                      <wp:wrapNone/>
                      <wp:docPr id="62" name="图片_105"/>
                      <wp:cNvGraphicFramePr/>
                      <a:graphic xmlns:a="http://schemas.openxmlformats.org/drawingml/2006/main">
                        <a:graphicData uri="http://schemas.openxmlformats.org/drawingml/2006/picture">
                          <pic:pic xmlns:pic="http://schemas.openxmlformats.org/drawingml/2006/picture">
                            <pic:nvPicPr>
                              <pic:cNvPr id="54" name="图片_105"/>
                              <pic:cNvPicPr/>
                              <pic:nvPr/>
                            </pic:nvPicPr>
                            <pic:blipFill>
                              <a:blip r:embed="rId65"/>
                              <a:stretch/>
                            </pic:blipFill>
                            <pic:spPr bwMode="auto">
                              <a:xfrm>
                                <a:off x="0" y="0"/>
                                <a:ext cx="741045" cy="1209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5408;o:allowoverlap:true;o:allowincell:true;mso-position-horizontal-relative:text;margin-left:29.9pt;mso-position-horizontal:absolute;mso-position-vertical-relative:text;margin-top:1.8pt;mso-position-vertical:absolute;width:58.3pt;height:95.2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472*490*760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1.课椅靠背：材质：采用全新增强PP工程塑料注塑一次成型。尺寸：宽472mm*高490mm（±5mm）。提手尺寸：长100mm*宽37mm。附加功能：靠背设计有透气孔。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2.椅钢架：材质及形状：扁圆形冷轧钢管。焊接全为满焊。尺寸：外管30*60*1.2mm扁圆钢管，内管25*50*1.2mm扁圆钢管，卧式底脚采用25*54*1.5mm扁圆冷轧钢管。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3.椅子置物篮材质：采用直径7mm含以上铁条及直径4mm含以上铁条焊接而成。表面涂装：经高温粉体烤漆。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4.脚垫材质：采用pp塑料一体注塑而成，采用倒扣式安装，超级耐磨。                                                                                                                              椅升降方式：采用蜗杆式手摇升降。  </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r>
      <w:tr>
        <w:trPr>
          <w:jc w:val="center"/>
          <w:trHeight w:val="110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讲台（带脚轮）</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326390</wp:posOffset>
                      </wp:positionH>
                      <wp:positionV relativeFrom="paragraph">
                        <wp:posOffset>80645</wp:posOffset>
                      </wp:positionV>
                      <wp:extent cx="1102360" cy="1099820"/>
                      <wp:effectExtent l="0" t="0" r="10160" b="12700"/>
                      <wp:wrapNone/>
                      <wp:docPr id="63" name="图片_106"/>
                      <wp:cNvGraphicFramePr/>
                      <a:graphic xmlns:a="http://schemas.openxmlformats.org/drawingml/2006/main">
                        <a:graphicData uri="http://schemas.openxmlformats.org/drawingml/2006/picture">
                          <pic:pic xmlns:pic="http://schemas.openxmlformats.org/drawingml/2006/picture">
                            <pic:nvPicPr>
                              <pic:cNvPr id="55" name="图片_106"/>
                              <pic:cNvPicPr/>
                              <pic:nvPr/>
                            </pic:nvPicPr>
                            <pic:blipFill>
                              <a:blip r:embed="rId66"/>
                              <a:stretch/>
                            </pic:blipFill>
                            <pic:spPr bwMode="auto">
                              <a:xfrm>
                                <a:off x="0" y="0"/>
                                <a:ext cx="1102360" cy="1099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5408;o:allowoverlap:true;o:allowincell:true;mso-position-horizontal-relative:text;margin-left:25.7pt;mso-position-horizontal:absolute;mso-position-vertical-relative:text;margin-top:6.3pt;mso-position-vertical:absolute;width:86.8pt;height:86.6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1100*700*1050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1：箱体采用复合材料一体成型技术，分体式设计。材料：2—1.2mm冷轧钢板，桌面、扶手采用20mm橡木材料表面做防划耐磨处理。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艺：讲台采用分体式结构流线型设计美观大方，主要部件采用一次成型技术和组件防刮伤工艺，整体采用激光无痕焊接，柜体边角采用流线圆弧设计，更好保护学生的安全，材料经过酸洗、磷化、除锈、防腐，静电喷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3、前、后门使用双卡锁具有极强的抗冲击力提高了设备安全性，LOGO装饰板，独特的开合式前门设计</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要求讲台只用一把锁实现全部控制。 </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162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讲台椅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549910</wp:posOffset>
                      </wp:positionH>
                      <wp:positionV relativeFrom="paragraph">
                        <wp:posOffset>40005</wp:posOffset>
                      </wp:positionV>
                      <wp:extent cx="497840" cy="865505"/>
                      <wp:effectExtent l="0" t="0" r="5080" b="3175"/>
                      <wp:wrapNone/>
                      <wp:docPr id="64" name="图片_34"/>
                      <wp:cNvGraphicFramePr/>
                      <a:graphic xmlns:a="http://schemas.openxmlformats.org/drawingml/2006/main">
                        <a:graphicData uri="http://schemas.openxmlformats.org/drawingml/2006/picture">
                          <pic:pic xmlns:pic="http://schemas.openxmlformats.org/drawingml/2006/picture">
                            <pic:nvPicPr>
                              <pic:cNvPr id="59" name="图片_34"/>
                              <pic:cNvPicPr/>
                              <pic:nvPr/>
                            </pic:nvPicPr>
                            <pic:blipFill>
                              <a:blip r:embed="rId67"/>
                              <a:stretch/>
                            </pic:blipFill>
                            <pic:spPr bwMode="auto">
                              <a:xfrm>
                                <a:off x="0" y="0"/>
                                <a:ext cx="497840" cy="865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5408;o:allowoverlap:true;o:allowincell:true;mso-position-horizontal-relative:text;margin-left:43.3pt;mso-position-horizontal:absolute;mso-position-vertical-relative:text;margin-top:3.1pt;mso-position-vertical:absolute;width:39.2pt;height:68.1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400*470*950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凳面：采用PU皮革。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五金配件：采用</w:t>
            </w:r>
            <w:r>
              <w:rPr>
                <w:rFonts w:hint="eastAsia" w:ascii="宋体" w:hAnsi="宋体" w:cs="宋体"/>
                <w:i w:val="0"/>
                <w:iCs w:val="0"/>
                <w:color w:val="auto"/>
                <w:sz w:val="20"/>
                <w:szCs w:val="20"/>
                <w:highlight w:val="none"/>
                <w:u w:val="none"/>
                <w:lang w:val="en-US" w:eastAsia="zh-CN" w:bidi="ar"/>
              </w:rPr>
              <w:t xml:space="preserve">配套</w:t>
            </w:r>
            <w:r>
              <w:rPr>
                <w:rFonts w:hint="eastAsia" w:ascii="宋体" w:hAnsi="宋体" w:eastAsia="宋体" w:cs="宋体"/>
                <w:i w:val="0"/>
                <w:iCs w:val="0"/>
                <w:color w:val="auto"/>
                <w:sz w:val="20"/>
                <w:szCs w:val="20"/>
                <w:highlight w:val="none"/>
                <w:u w:val="none"/>
                <w:lang w:val="en-US" w:eastAsia="zh-CN" w:bidi="ar"/>
              </w:rPr>
              <w:t xml:space="preserve">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513080</wp:posOffset>
                      </wp:positionH>
                      <wp:positionV relativeFrom="paragraph">
                        <wp:posOffset>59690</wp:posOffset>
                      </wp:positionV>
                      <wp:extent cx="803910" cy="1141095"/>
                      <wp:effectExtent l="0" t="0" r="3810" b="1905"/>
                      <wp:wrapNone/>
                      <wp:docPr id="65" name="图片_17"/>
                      <wp:cNvGraphicFramePr/>
                      <a:graphic xmlns:a="http://schemas.openxmlformats.org/drawingml/2006/main">
                        <a:graphicData uri="http://schemas.openxmlformats.org/drawingml/2006/picture">
                          <pic:pic xmlns:pic="http://schemas.openxmlformats.org/drawingml/2006/picture">
                            <pic:nvPicPr>
                              <pic:cNvPr id="60" name="图片_17"/>
                              <pic:cNvPicPr/>
                              <pic:nvPr/>
                            </pic:nvPicPr>
                            <pic:blipFill>
                              <a:blip r:embed="rId68"/>
                              <a:stretch/>
                            </pic:blipFill>
                            <pic:spPr bwMode="auto">
                              <a:xfrm>
                                <a:off x="0" y="0"/>
                                <a:ext cx="803910" cy="1141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5408;o:allowoverlap:true;o:allowincell:true;mso-position-horizontal-relative:text;margin-left:40.4pt;mso-position-horizontal:absolute;mso-position-vertical-relative:text;margin-top:4.7pt;mso-position-vertical:absolute;width:63.3pt;height:89.8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座椅规格：580*740*1010                                                   </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背海棉：采用高密度冷发泡PU定型海棉。背海棉长度为715mm，宽度为470mm，高度为125mm,海棉密度为55KG/m³。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2、座海棉：采用高密度冷发泡PU定型海棉。座海棉长度为485mm，宽度为455mm，高度为150mm,海棉密度为60KG/m³。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3、背内板：采用夹板经模具压注成型。外型成弧型，美观大方，具有曲线美。尺寸规格：长度为660 mm，宽度为410mm，厚度为6mm。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4、背外板：采用高密度硬木多层板，经模具冷压注成型，不褪色，抗变型。背外板规格：长度为725 mm，宽度为520mm，厚度为15mm。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座外板：采用高密度硬木多层板经模具压注成型，尺寸规格：长度为460mm，宽度为430mm，厚度为15mm。外板具有121个∮10吸音孔与排气孔，吸音孔与排气孔中心距30mm，排气孔与板的最高点为76mm,自此室内的噪音有效降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6、回位功能：座内采用扭簧与阻尼器(慢回位)结构，持久耐用，而且无回位噪音。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7、扶手面：采用橡木厚度为26mm。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8、写字板：铝合金模具压铸支撑架，配内镶入式装置结构。写字板为实木中纤板基材. 长270*宽240*高18MM.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、侧板：采用PP（聚丙烯）/中纤板多元素复合材料经模具压注成型。厚度为2mm。安装方式为钉扣式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、扶手框：扶手框采用A级热轧板T2.0mm经模具冲压焊接成型其框架宽度80mm、长度403mm、高度355mm。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扶手脚架：采用铝合金经模具压注成型，无毛剌，无焊接，表面作防氧化处理后经高温喷涂处理附着力强，抗冲击、耐腐蚀、不生锈、不褪色、经久耐用，脚架高度：245mm、壁厚5mm；脚架顶端与扶手框链接位尺寸：160*65*80mm；脚板外长度：480mm，内长325MM脚板两端宽度分别40MM 厚度10MM高.脚架R宽度最宽40MM；脚架采用M8膨胀螺丝+M12膨胀胶二孔固定到地面，其脚板地脚孔前后、左右孔距分别为37.5MM，地脚塑料孔径12mm；脚架高度成R型弧形优美大气。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、座椅结构：采用两侧受力结构，使座包在外力作用与背相碰撞时受力点不在海绵上，而在座包两侧的角码上，从而更加耐用、牢固、更舒适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、座椅外形：设计符合人体工程学原理，舒适度好。</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14、面料：采用合格工程面料，进行阻燃处理。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15、前、后置杯架：采用PP压注成型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16、号码、行码牌：采用夜光材质.</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r>
      <w:tr>
        <w:trPr>
          <w:jc w:val="center"/>
          <w:trHeight w:val="140"/>
        </w:trPr>
        <w:tc>
          <w:tcPr>
            <w:gridSpan w:val="7"/>
            <w:shd w:val="clear" w:color="auto" w:fill="auto"/>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教学楼</w:t>
            </w:r>
            <w:r/>
          </w:p>
        </w:tc>
      </w:tr>
      <w:tr>
        <w:trPr>
          <w:jc w:val="center"/>
          <w:trHeight w:val="278"/>
        </w:trPr>
        <w:tc>
          <w:tcPr>
            <w:gridSpan w:val="7"/>
            <w:shd w:val="clear" w:color="auto" w:fill="auto"/>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教室</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手摇课桌椅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63500</wp:posOffset>
                      </wp:positionH>
                      <wp:positionV relativeFrom="paragraph">
                        <wp:posOffset>-33020</wp:posOffset>
                      </wp:positionV>
                      <wp:extent cx="1348740" cy="1172210"/>
                      <wp:effectExtent l="0" t="0" r="7620" b="1270"/>
                      <wp:wrapNone/>
                      <wp:docPr id="66" name="图片_2"/>
                      <wp:cNvGraphicFramePr/>
                      <a:graphic xmlns:a="http://schemas.openxmlformats.org/drawingml/2006/main">
                        <a:graphicData uri="http://schemas.openxmlformats.org/drawingml/2006/picture">
                          <pic:pic xmlns:pic="http://schemas.openxmlformats.org/drawingml/2006/picture">
                            <pic:nvPicPr>
                              <pic:cNvPr id="67" name="图片_2"/>
                              <pic:cNvPicPr/>
                              <pic:nvPr/>
                            </pic:nvPicPr>
                            <pic:blipFill>
                              <a:blip r:embed="rId69"/>
                              <a:stretch/>
                            </pic:blipFill>
                            <pic:spPr bwMode="auto">
                              <a:xfrm>
                                <a:off x="0" y="0"/>
                                <a:ext cx="1348740" cy="1172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65408;o:allowoverlap:true;o:allowincell:true;mso-position-horizontal-relative:text;margin-left:5.0pt;mso-position-horizontal:absolute;mso-position-vertical-relative:text;margin-top:-2.6pt;mso-position-vertical:absolute;width:106.2pt;height:92.3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650*450*760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9525" cy="9525"/>
                      <wp:effectExtent l="0" t="0" r="0" b="0"/>
                      <wp:wrapNone/>
                      <wp:docPr id="67" name="图片_11_SpCnt_2"/>
                      <wp:cNvGraphicFramePr/>
                      <a:graphic xmlns:a="http://schemas.openxmlformats.org/drawingml/2006/main">
                        <a:graphicData uri="http://schemas.openxmlformats.org/drawingml/2006/picture">
                          <pic:pic xmlns:pic="http://schemas.openxmlformats.org/drawingml/2006/picture">
                            <pic:nvPicPr>
                              <pic:cNvPr id="95" name="图片_11_SpCnt_2"/>
                              <pic:cNvPicPr/>
                              <pic:nvPr/>
                            </pic:nvPicPr>
                            <pic:blipFill>
                              <a:blip r:embed="rId7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6540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面板：材质：桌面采用ABS塑钢注塑一次成形。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尺寸：长650*宽450*厚25mm（±5mm）。桌面采用人体工程学设计，胸前处带人性化凹槽，镶入一条15*30*0.8mm方管，并与面板底部平齐。桌面净重≧1.8kg。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2.书箱：材质：采用一级全新PP塑料，一体注塑成型。抗压、耐磨、耐冲击。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尺寸：外宽545mm*深度375mm*高度140mm（±5mm），净空宽度440mm*深350mm*高120mm（±5mm）。正前方带凹槽尺寸为440mm*30mm*8mm。书箱底部有32条透水槽缝设计。每条槽缝长42mm*宽7mm。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3.桌钢架：材质及形状：扁圆形冷轧钢管。焊接全为满焊。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尺寸：外管30*60*1.2mm扁圆钢管，内管25*50*1.2mm扁圆钢管，卧式底脚采用30*50*1.2mm扁圆冷轧钢管。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4.脚垫材质：采用pp塑料一体注塑而成，超级耐磨。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5.桌升降方式：采用蜗杆式手摇升降。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6.课椅靠背：材质：采用全新增强PP工程塑料注塑一次成型。尺寸：宽472mm*高490mm（±5mm）。提手尺寸：长100mm*宽37mm。附加功能：靠背设计有透气孔。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7.椅钢架：材质及形状：扁圆形冷轧钢管。焊接全为满焊。尺寸：外管30*60*1.2mm扁圆钢管，内管25*50*1.2mm扁圆钢管，卧式底脚采用25*54*1.5mm扁圆冷轧钢管。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8.椅子置物篮材质：采用直径7mm含以上铁条及直径4mm含以上铁条焊接而成。表面涂装：经高温粉体烤漆。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9.脚垫材质：采用pp塑料一体注塑而成，采用倒扣式安装，超级耐磨。                                                                                                                        椅升降方式：采用蜗杆式手摇升降。  </w:t>
            </w:r>
            <w:r/>
          </w:p>
          <w:p>
            <w:pPr>
              <w:numPr>
                <w:numId w:val="0"/>
              </w:num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最终颜色需经采购人确认。</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w:t>
            </w:r>
            <w:r/>
          </w:p>
        </w:tc>
      </w:tr>
      <w:tr>
        <w:trPr>
          <w:jc w:val="center"/>
          <w:trHeight w:val="35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326390</wp:posOffset>
                      </wp:positionH>
                      <wp:positionV relativeFrom="paragraph">
                        <wp:posOffset>80645</wp:posOffset>
                      </wp:positionV>
                      <wp:extent cx="1102360" cy="1099820"/>
                      <wp:effectExtent l="0" t="0" r="10160" b="12700"/>
                      <wp:wrapNone/>
                      <wp:docPr id="68" name="图片_119"/>
                      <wp:cNvGraphicFramePr/>
                      <a:graphic xmlns:a="http://schemas.openxmlformats.org/drawingml/2006/main">
                        <a:graphicData uri="http://schemas.openxmlformats.org/drawingml/2006/picture">
                          <pic:pic xmlns:pic="http://schemas.openxmlformats.org/drawingml/2006/picture">
                            <pic:nvPicPr>
                              <pic:cNvPr id="70" name="图片_119"/>
                              <pic:cNvPicPr/>
                              <pic:nvPr/>
                            </pic:nvPicPr>
                            <pic:blipFill>
                              <a:blip r:embed="rId66"/>
                              <a:stretch/>
                            </pic:blipFill>
                            <pic:spPr bwMode="auto">
                              <a:xfrm>
                                <a:off x="0" y="0"/>
                                <a:ext cx="1102360" cy="1099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65408;o:allowoverlap:true;o:allowincell:true;mso-position-horizontal-relative:text;margin-left:25.7pt;mso-position-horizontal:absolute;mso-position-vertical-relative:text;margin-top:6.3pt;mso-position-vertical:absolute;width:86.8pt;height:86.6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1100*700*1050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箱体采用复合材料一体成型技术，分体式设计。材料：2—1.2mm冷轧钢板，桌面、扶手采用20mm橡木材料表面做防划耐磨处理。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工艺：讲台采用分体式结构流线型设计美观大方，主要部件采用一次成型技术和组件防刮伤工艺，整体采用激光无痕焊接，柜体边角采用流线圆弧设计，更好保护学生的安全，材料经过酸洗、磷化、除锈、防腐，静电喷涂。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前、后门使用双卡锁具有极强的抗冲击力提高了设备安全性，LOGO装饰板，独特的开合式前门设计</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要求讲台只用一把锁实现全部控制。  </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讲台椅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261620</wp:posOffset>
                      </wp:positionH>
                      <wp:positionV relativeFrom="paragraph">
                        <wp:posOffset>49530</wp:posOffset>
                      </wp:positionV>
                      <wp:extent cx="1061085" cy="1100455"/>
                      <wp:effectExtent l="0" t="0" r="5715" b="12065"/>
                      <wp:wrapNone/>
                      <wp:docPr id="69" name="图片_10"/>
                      <wp:cNvGraphicFramePr/>
                      <a:graphic xmlns:a="http://schemas.openxmlformats.org/drawingml/2006/main">
                        <a:graphicData uri="http://schemas.openxmlformats.org/drawingml/2006/picture">
                          <pic:pic xmlns:pic="http://schemas.openxmlformats.org/drawingml/2006/picture">
                            <pic:nvPicPr>
                              <pic:cNvPr id="93" name="图片_10"/>
                              <pic:cNvPicPr/>
                              <pic:nvPr/>
                            </pic:nvPicPr>
                            <pic:blipFill>
                              <a:blip r:embed="rId71"/>
                              <a:stretch/>
                            </pic:blipFill>
                            <pic:spPr bwMode="auto">
                              <a:xfrm>
                                <a:off x="0" y="0"/>
                                <a:ext cx="1061085" cy="1100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65408;o:allowoverlap:true;o:allowincell:true;mso-position-horizontal-relative:text;margin-left:20.6pt;mso-position-horizontal:absolute;mso-position-vertical-relative:text;margin-top:3.9pt;mso-position-vertical:absolute;width:83.5pt;height:86.6pt;mso-wrap-distance-left:9.0pt;mso-wrap-distance-top:0.0pt;mso-wrap-distance-right:9.0pt;mso-wrap-distance-bottom:0.0pt;" stroked="f">
                      <v:path textboxrect="0,0,0,0"/>
                      <v:imagedata r:id="rId7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390*390*850  </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1.材料：凳架采用40x40mm橡胶木实木木方，其余均采用18mmE0级AA级橡胶木实木指接板（不贴皮）。                                                         2.组件制作：根据产品规格选出合适的大小的木料进行断料、开料，对逐个部件进行四面刨加工，然后精磨进行精切，加工，再进行部件整体钉制成型，坚久耐用。为保证产品耐久度，不允许三合一结构组装。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4.五金配件：采用</w:t>
            </w:r>
            <w:r>
              <w:rPr>
                <w:rFonts w:hint="eastAsia" w:ascii="宋体" w:hAnsi="宋体" w:cs="宋体"/>
                <w:i w:val="0"/>
                <w:iCs w:val="0"/>
                <w:color w:val="auto"/>
                <w:sz w:val="20"/>
                <w:szCs w:val="20"/>
                <w:highlight w:val="none"/>
                <w:u w:val="none"/>
                <w:lang w:val="en-US" w:eastAsia="zh-CN" w:bidi="ar"/>
              </w:rPr>
              <w:t xml:space="preserve">配套</w:t>
            </w:r>
            <w:r>
              <w:rPr>
                <w:rFonts w:hint="eastAsia" w:ascii="宋体" w:hAnsi="宋体" w:eastAsia="宋体" w:cs="宋体"/>
                <w:i w:val="0"/>
                <w:iCs w:val="0"/>
                <w:color w:val="auto"/>
                <w:sz w:val="20"/>
                <w:szCs w:val="20"/>
                <w:highlight w:val="none"/>
                <w:u w:val="none"/>
                <w:lang w:val="en-US" w:eastAsia="zh-CN" w:bidi="ar"/>
              </w:rPr>
              <w:t xml:space="preserve">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477520</wp:posOffset>
                      </wp:positionH>
                      <wp:positionV relativeFrom="paragraph">
                        <wp:posOffset>53975</wp:posOffset>
                      </wp:positionV>
                      <wp:extent cx="767715" cy="1240155"/>
                      <wp:effectExtent l="0" t="0" r="9525" b="9525"/>
                      <wp:wrapNone/>
                      <wp:docPr id="70" name="图片_120"/>
                      <wp:cNvGraphicFramePr/>
                      <a:graphic xmlns:a="http://schemas.openxmlformats.org/drawingml/2006/main">
                        <a:graphicData uri="http://schemas.openxmlformats.org/drawingml/2006/picture">
                          <pic:pic xmlns:pic="http://schemas.openxmlformats.org/drawingml/2006/picture">
                            <pic:nvPicPr>
                              <pic:cNvPr id="89" name="图片_120"/>
                              <pic:cNvPicPr/>
                              <pic:nvPr/>
                            </pic:nvPicPr>
                            <pic:blipFill>
                              <a:blip r:embed="rId72"/>
                              <a:stretch/>
                            </pic:blipFill>
                            <pic:spPr bwMode="auto">
                              <a:xfrm>
                                <a:off x="0" y="0"/>
                                <a:ext cx="767715" cy="1240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65408;o:allowoverlap:true;o:allowincell:true;mso-position-horizontal-relative:text;margin-left:37.6pt;mso-position-horizontal:absolute;mso-position-vertical-relative:text;margin-top:4.2pt;mso-position-vertical:absolute;width:60.4pt;height:97.6pt;mso-wrap-distance-left:9.0pt;mso-wrap-distance-top:0.0pt;mso-wrap-distance-right:9.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办公室</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269875</wp:posOffset>
                      </wp:positionH>
                      <wp:positionV relativeFrom="paragraph">
                        <wp:posOffset>61595</wp:posOffset>
                      </wp:positionV>
                      <wp:extent cx="1313180" cy="1141730"/>
                      <wp:effectExtent l="0" t="0" r="12700" b="1270"/>
                      <wp:wrapNone/>
                      <wp:docPr id="71" name="图片_126"/>
                      <wp:cNvGraphicFramePr/>
                      <a:graphic xmlns:a="http://schemas.openxmlformats.org/drawingml/2006/main">
                        <a:graphicData uri="http://schemas.openxmlformats.org/drawingml/2006/picture">
                          <pic:pic xmlns:pic="http://schemas.openxmlformats.org/drawingml/2006/picture">
                            <pic:nvPicPr>
                              <pic:cNvPr id="96" name="图片_126"/>
                              <pic:cNvPicPr/>
                              <pic:nvPr/>
                            </pic:nvPicPr>
                            <pic:blipFill>
                              <a:blip r:embed="rId27"/>
                              <a:stretch/>
                            </pic:blipFill>
                            <pic:spPr bwMode="auto">
                              <a:xfrm>
                                <a:off x="0" y="0"/>
                                <a:ext cx="1313180" cy="1141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65408;o:allowoverlap:true;o:allowincell:true;mso-position-horizontal-relative:text;margin-left:21.2pt;mso-position-horizontal:absolute;mso-position-vertical-relative:text;margin-top:4.8pt;mso-position-vertical:absolute;width:103.4pt;height:89.9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1.材质：采用原木水曲柳直拼板，材质稳定，抗菌、防霉，不易变形，桌面厚度2.5cm，其余厚度1.6cm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270510</wp:posOffset>
                      </wp:positionH>
                      <wp:positionV relativeFrom="paragraph">
                        <wp:posOffset>48895</wp:posOffset>
                      </wp:positionV>
                      <wp:extent cx="1312545" cy="1176655"/>
                      <wp:effectExtent l="0" t="0" r="13335" b="12065"/>
                      <wp:wrapNone/>
                      <wp:docPr id="72" name="图片_123"/>
                      <wp:cNvGraphicFramePr/>
                      <a:graphic xmlns:a="http://schemas.openxmlformats.org/drawingml/2006/main">
                        <a:graphicData uri="http://schemas.openxmlformats.org/drawingml/2006/picture">
                          <pic:pic xmlns:pic="http://schemas.openxmlformats.org/drawingml/2006/picture">
                            <pic:nvPicPr>
                              <pic:cNvPr id="86" name="图片_123"/>
                              <pic:cNvPicPr/>
                              <pic:nvPr/>
                            </pic:nvPicPr>
                            <pic:blipFill>
                              <a:blip r:embed="rId28"/>
                              <a:stretch/>
                            </pic:blipFill>
                            <pic:spPr bwMode="auto">
                              <a:xfrm>
                                <a:off x="0" y="0"/>
                                <a:ext cx="1312545" cy="1176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65408;o:allowoverlap:true;o:allowincell:true;mso-position-horizontal-relative:text;margin-left:21.3pt;mso-position-horizontal:absolute;mso-position-vertical-relative:text;margin-top:3.8pt;mso-position-vertical:absolute;width:103.3pt;height:92.6pt;mso-wrap-distance-left:9.0pt;mso-wrap-distance-top:0.0pt;mso-wrap-distance-right:9.0pt;mso-wrap-distance-bottom:0.0pt;" stroked="f">
                      <v:path textboxrect="0,0,0,0"/>
                      <v:imagedata r:id="rId2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1500*300*1200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505460</wp:posOffset>
                      </wp:positionH>
                      <wp:positionV relativeFrom="paragraph">
                        <wp:posOffset>33655</wp:posOffset>
                      </wp:positionV>
                      <wp:extent cx="726440" cy="1195070"/>
                      <wp:effectExtent l="0" t="0" r="5080" b="8890"/>
                      <wp:wrapNone/>
                      <wp:docPr id="73" name="图片_156"/>
                      <wp:cNvGraphicFramePr/>
                      <a:graphic xmlns:a="http://schemas.openxmlformats.org/drawingml/2006/main">
                        <a:graphicData uri="http://schemas.openxmlformats.org/drawingml/2006/picture">
                          <pic:pic xmlns:pic="http://schemas.openxmlformats.org/drawingml/2006/picture">
                            <pic:nvPicPr>
                              <pic:cNvPr id="76" name="图片_156"/>
                              <pic:cNvPicPr/>
                              <pic:nvPr/>
                            </pic:nvPicPr>
                            <pic:blipFill>
                              <a:blip r:embed="rId73"/>
                              <a:stretch/>
                            </pic:blipFill>
                            <pic:spPr bwMode="auto">
                              <a:xfrm>
                                <a:off x="0" y="0"/>
                                <a:ext cx="72644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65408;o:allowoverlap:true;o:allowincell:true;mso-position-horizontal-relative:text;margin-left:39.8pt;mso-position-horizontal:absolute;mso-position-vertical-relative:text;margin-top:2.6pt;mso-position-vertical:absolute;width:57.2pt;height:94.1pt;mso-wrap-distance-left:9.0pt;mso-wrap-distance-top:0.0pt;mso-wrap-distance-right:9.0pt;mso-wrap-distance-bottom:0.0pt;" stroked="f">
                      <v:path textboxrect="0,0,0,0"/>
                      <v:imagedata r:id="rId7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670*600*1150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3475" cy="1125855"/>
                      <wp:effectExtent l="0" t="0" r="0" b="0"/>
                      <wp:wrapNone/>
                      <wp:docPr id="74" name="rect_SpCnt_24"/>
                      <wp:cNvGraphicFramePr/>
                      <a:graphic xmlns:a="http://schemas.openxmlformats.org/drawingml/2006/main">
                        <a:graphicData uri="http://schemas.openxmlformats.org/drawingml/2006/picture">
                          <pic:pic xmlns:pic="http://schemas.openxmlformats.org/drawingml/2006/picture">
                            <pic:nvPicPr>
                              <pic:cNvPr id="90" name="rect_SpCnt_24"/>
                              <pic:cNvPicPr/>
                              <pic:nvPr/>
                            </pic:nvPicPr>
                            <pic:blipFill>
                              <a:blip r:embed="rId32"/>
                              <a:stretch/>
                            </pic:blipFill>
                            <pic:spPr bwMode="auto">
                              <a:xfrm>
                                <a:off x="0" y="0"/>
                                <a:ext cx="1133475"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65408;o:allowoverlap:true;o:allowincell:true;mso-position-horizontal-relative:text;margin-left:0.0pt;mso-position-horizontal:absolute;mso-position-vertical-relative:text;margin-top:0.0pt;mso-position-vertical:absolute;width:89.2pt;height:88.6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42365" cy="1125855"/>
                      <wp:effectExtent l="0" t="0" r="0" b="0"/>
                      <wp:wrapNone/>
                      <wp:docPr id="75" name="rect_SpCnt_25"/>
                      <wp:cNvGraphicFramePr/>
                      <a:graphic xmlns:a="http://schemas.openxmlformats.org/drawingml/2006/main">
                        <a:graphicData uri="http://schemas.openxmlformats.org/drawingml/2006/picture">
                          <pic:pic xmlns:pic="http://schemas.openxmlformats.org/drawingml/2006/picture">
                            <pic:nvPicPr>
                              <pic:cNvPr id="80" name="rect_SpCnt_25"/>
                              <pic:cNvPicPr/>
                              <pic:nvPr/>
                            </pic:nvPicPr>
                            <pic:blipFill>
                              <a:blip r:embed="rId30"/>
                              <a:stretch/>
                            </pic:blipFill>
                            <pic:spPr bwMode="auto">
                              <a:xfrm>
                                <a:off x="0" y="0"/>
                                <a:ext cx="1142365"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65408;o:allowoverlap:true;o:allowincell:true;mso-position-horizontal-relative:text;margin-left:0.0pt;mso-position-horizontal:absolute;mso-position-vertical-relative:text;margin-top:0.0pt;mso-position-vertical:absolute;width:89.9pt;height:88.6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3475" cy="1140460"/>
                      <wp:effectExtent l="0" t="0" r="0" b="0"/>
                      <wp:wrapNone/>
                      <wp:docPr id="76" name="rect_SpCnt_26"/>
                      <wp:cNvGraphicFramePr/>
                      <a:graphic xmlns:a="http://schemas.openxmlformats.org/drawingml/2006/main">
                        <a:graphicData uri="http://schemas.openxmlformats.org/drawingml/2006/picture">
                          <pic:pic xmlns:pic="http://schemas.openxmlformats.org/drawingml/2006/picture">
                            <pic:nvPicPr>
                              <pic:cNvPr id="91" name="rect_SpCnt_26"/>
                              <pic:cNvPicPr/>
                              <pic:nvPr/>
                            </pic:nvPicPr>
                            <pic:blipFill>
                              <a:blip r:embed="rId31"/>
                              <a:stretch/>
                            </pic:blipFill>
                            <pic:spPr bwMode="auto">
                              <a:xfrm>
                                <a:off x="0" y="0"/>
                                <a:ext cx="113347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65408;o:allowoverlap:true;o:allowincell:true;mso-position-horizontal-relative:text;margin-left:0.0pt;mso-position-horizontal:absolute;mso-position-vertical-relative:text;margin-top:0.0pt;mso-position-vertical:absolute;width:89.2pt;height:89.8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46810" cy="1125855"/>
                      <wp:effectExtent l="0" t="0" r="0" b="0"/>
                      <wp:wrapNone/>
                      <wp:docPr id="77" name="rect_SpCnt_27"/>
                      <wp:cNvGraphicFramePr/>
                      <a:graphic xmlns:a="http://schemas.openxmlformats.org/drawingml/2006/main">
                        <a:graphicData uri="http://schemas.openxmlformats.org/drawingml/2006/picture">
                          <pic:pic xmlns:pic="http://schemas.openxmlformats.org/drawingml/2006/picture">
                            <pic:nvPicPr>
                              <pic:cNvPr id="87" name="rect_SpCnt_27"/>
                              <pic:cNvPicPr/>
                              <pic:nvPr/>
                            </pic:nvPicPr>
                            <pic:blipFill>
                              <a:blip r:embed="rId30"/>
                              <a:stretch/>
                            </pic:blipFill>
                            <pic:spPr bwMode="auto">
                              <a:xfrm>
                                <a:off x="0" y="0"/>
                                <a:ext cx="1146810"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65408;o:allowoverlap:true;o:allowincell:true;mso-position-horizontal-relative:text;margin-left:0.0pt;mso-position-horizontal:absolute;mso-position-vertical-relative:text;margin-top:0.0pt;mso-position-vertical:absolute;width:90.3pt;height:88.6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7920" cy="1125855"/>
                      <wp:effectExtent l="0" t="0" r="0" b="0"/>
                      <wp:wrapNone/>
                      <wp:docPr id="78" name="rect_SpCnt_28"/>
                      <wp:cNvGraphicFramePr/>
                      <a:graphic xmlns:a="http://schemas.openxmlformats.org/drawingml/2006/main">
                        <a:graphicData uri="http://schemas.openxmlformats.org/drawingml/2006/picture">
                          <pic:pic xmlns:pic="http://schemas.openxmlformats.org/drawingml/2006/picture">
                            <pic:nvPicPr>
                              <pic:cNvPr id="92" name="rect_SpCnt_28"/>
                              <pic:cNvPicPr/>
                              <pic:nvPr/>
                            </pic:nvPicPr>
                            <pic:blipFill>
                              <a:blip r:embed="rId32"/>
                              <a:stretch/>
                            </pic:blipFill>
                            <pic:spPr bwMode="auto">
                              <a:xfrm>
                                <a:off x="0" y="0"/>
                                <a:ext cx="1137920"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65408;o:allowoverlap:true;o:allowincell:true;mso-position-horizontal-relative:text;margin-left:0.0pt;mso-position-horizontal:absolute;mso-position-vertical-relative:text;margin-top:0.0pt;mso-position-vertical:absolute;width:89.6pt;height:88.6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1.面料：网布面料，经过防污、抗菌、 抗静电、耐色牢固、 抗强度等表面加工处理。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2.海绵：高密度 回弹海绵，软硬适中，回弹性能好，不变形，耐用度高。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3.曲木板：12mmE1级曲木板。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4.扶手：固定PP扶手。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5.耐磨性及其他理化性能均能达到合格标准。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6.脚轮：五星不锈钢脚轮</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388620</wp:posOffset>
                      </wp:positionH>
                      <wp:positionV relativeFrom="paragraph">
                        <wp:posOffset>125095</wp:posOffset>
                      </wp:positionV>
                      <wp:extent cx="989330" cy="1079500"/>
                      <wp:effectExtent l="0" t="0" r="1270" b="2540"/>
                      <wp:wrapNone/>
                      <wp:docPr id="79" name="图片_127_SpCnt_1"/>
                      <wp:cNvGraphicFramePr/>
                      <a:graphic xmlns:a="http://schemas.openxmlformats.org/drawingml/2006/main">
                        <a:graphicData uri="http://schemas.openxmlformats.org/drawingml/2006/picture">
                          <pic:pic xmlns:pic="http://schemas.openxmlformats.org/drawingml/2006/picture">
                            <pic:nvPicPr>
                              <pic:cNvPr id="78" name="图片_127_SpCnt_1"/>
                              <pic:cNvPicPr/>
                              <pic:nvPr/>
                            </pic:nvPicPr>
                            <pic:blipFill>
                              <a:blip r:embed="rId33"/>
                              <a:stretch/>
                            </pic:blipFill>
                            <pic:spPr bwMode="auto">
                              <a:xfrm>
                                <a:off x="0" y="0"/>
                                <a:ext cx="989330" cy="1079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65408;o:allowoverlap:true;o:allowincell:true;mso-position-horizontal-relative:text;margin-left:30.6pt;mso-position-horizontal:absolute;mso-position-vertical-relative:text;margin-top:9.8pt;mso-position-vertical:absolute;width:77.9pt;height:85.0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体育看台</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医务室</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591185</wp:posOffset>
                      </wp:positionH>
                      <wp:positionV relativeFrom="paragraph">
                        <wp:posOffset>19050</wp:posOffset>
                      </wp:positionV>
                      <wp:extent cx="927735" cy="1206500"/>
                      <wp:effectExtent l="0" t="0" r="1905" b="12700"/>
                      <wp:wrapNone/>
                      <wp:docPr id="80" name="Picture_3"/>
                      <wp:cNvGraphicFramePr/>
                      <a:graphic xmlns:a="http://schemas.openxmlformats.org/drawingml/2006/main">
                        <a:graphicData uri="http://schemas.openxmlformats.org/drawingml/2006/picture">
                          <pic:pic xmlns:pic="http://schemas.openxmlformats.org/drawingml/2006/picture">
                            <pic:nvPicPr>
                              <pic:cNvPr id="88" name="Picture_3"/>
                              <pic:cNvPicPr/>
                              <pic:nvPr/>
                            </pic:nvPicPr>
                            <pic:blipFill>
                              <a:blip r:embed="rId74"/>
                              <a:stretch/>
                            </pic:blipFill>
                            <pic:spPr bwMode="auto">
                              <a:xfrm>
                                <a:off x="0" y="0"/>
                                <a:ext cx="927735" cy="1206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65408;o:allowoverlap:true;o:allowincell:true;mso-position-horizontal-relative:text;margin-left:46.5pt;mso-position-horizontal:absolute;mso-position-vertical-relative:text;margin-top:1.5pt;mso-position-vertical:absolute;width:73.0pt;height:95.0pt;mso-wrap-distance-left:9.0pt;mso-wrap-distance-top:0.0pt;mso-wrap-distance-right:9.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1.材料：全部采用SUS304不锈钢定制，厚度0.8mm。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2.五金配件：采用</w:t>
            </w:r>
            <w:r>
              <w:rPr>
                <w:rFonts w:hint="eastAsia" w:ascii="宋体" w:hAnsi="宋体" w:cs="宋体"/>
                <w:i w:val="0"/>
                <w:iCs w:val="0"/>
                <w:color w:val="auto"/>
                <w:sz w:val="20"/>
                <w:szCs w:val="20"/>
                <w:highlight w:val="none"/>
                <w:u w:val="none"/>
                <w:lang w:val="en-US" w:eastAsia="zh-CN" w:bidi="ar"/>
              </w:rPr>
              <w:t xml:space="preserve">配套</w:t>
            </w:r>
            <w:r>
              <w:rPr>
                <w:rFonts w:hint="eastAsia" w:ascii="宋体" w:hAnsi="宋体" w:eastAsia="宋体" w:cs="宋体"/>
                <w:i w:val="0"/>
                <w:iCs w:val="0"/>
                <w:color w:val="auto"/>
                <w:sz w:val="20"/>
                <w:szCs w:val="20"/>
                <w:highlight w:val="none"/>
                <w:u w:val="none"/>
                <w:lang w:val="en-US" w:eastAsia="zh-CN" w:bidi="ar"/>
              </w:rPr>
              <w:t xml:space="preserve">五金配件，连接牢靠，经久耐用。 </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屏风</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426720</wp:posOffset>
                      </wp:positionH>
                      <wp:positionV relativeFrom="paragraph">
                        <wp:posOffset>51435</wp:posOffset>
                      </wp:positionV>
                      <wp:extent cx="1174115" cy="1126490"/>
                      <wp:effectExtent l="0" t="0" r="14604" b="1270"/>
                      <wp:wrapNone/>
                      <wp:docPr id="81" name="图片_59"/>
                      <wp:cNvGraphicFramePr/>
                      <a:graphic xmlns:a="http://schemas.openxmlformats.org/drawingml/2006/main">
                        <a:graphicData uri="http://schemas.openxmlformats.org/drawingml/2006/picture">
                          <pic:pic xmlns:pic="http://schemas.openxmlformats.org/drawingml/2006/picture">
                            <pic:nvPicPr>
                              <pic:cNvPr id="94" name="图片_59"/>
                              <pic:cNvPicPr/>
                              <pic:nvPr/>
                            </pic:nvPicPr>
                            <pic:blipFill>
                              <a:blip r:embed="rId75"/>
                              <a:stretch/>
                            </pic:blipFill>
                            <pic:spPr bwMode="auto">
                              <a:xfrm>
                                <a:off x="0" y="0"/>
                                <a:ext cx="1174115" cy="1126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65408;o:allowoverlap:true;o:allowincell:true;mso-position-horizontal-relative:text;margin-left:33.6pt;mso-position-horizontal:absolute;mso-position-vertical-relative:text;margin-top:4.0pt;mso-position-vertical:absolute;width:92.4pt;height:88.7pt;mso-wrap-distance-left:9.0pt;mso-wrap-distance-top:0.0pt;mso-wrap-distance-right:9.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2000*1800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加粗管材，不易变形，经久耐用，双层尼龙防水布料，健康舒适，符合科学</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335280</wp:posOffset>
                      </wp:positionH>
                      <wp:positionV relativeFrom="paragraph">
                        <wp:posOffset>59690</wp:posOffset>
                      </wp:positionV>
                      <wp:extent cx="1388745" cy="1089025"/>
                      <wp:effectExtent l="0" t="0" r="13335" b="8255"/>
                      <wp:wrapNone/>
                      <wp:docPr id="82" name="Picture_2_SpCnt_6"/>
                      <wp:cNvGraphicFramePr/>
                      <a:graphic xmlns:a="http://schemas.openxmlformats.org/drawingml/2006/main">
                        <a:graphicData uri="http://schemas.openxmlformats.org/drawingml/2006/picture">
                          <pic:pic xmlns:pic="http://schemas.openxmlformats.org/drawingml/2006/picture">
                            <pic:nvPicPr>
                              <pic:cNvPr id="97" name="Picture_2_SpCnt_6"/>
                              <pic:cNvPicPr/>
                              <pic:nvPr/>
                            </pic:nvPicPr>
                            <pic:blipFill>
                              <a:blip r:embed="rId76"/>
                              <a:stretch/>
                            </pic:blipFill>
                            <pic:spPr bwMode="auto">
                              <a:xfrm>
                                <a:off x="0" y="0"/>
                                <a:ext cx="1388745" cy="1089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65408;o:allowoverlap:true;o:allowincell:true;mso-position-horizontal-relative:text;margin-left:26.4pt;mso-position-horizontal:absolute;mso-position-vertical-relative:text;margin-top:4.7pt;mso-position-vertical:absolute;width:109.3pt;height:85.8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1800*600*780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1.材料：采用1.5mm厚度冷轧钢管焊接成型</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2.生产工艺：切割下料后焊接，然后采用塑粉静电喷塑成型</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3.五金配件：选用</w:t>
            </w:r>
            <w:r>
              <w:rPr>
                <w:rFonts w:hint="eastAsia" w:ascii="宋体" w:hAnsi="宋体" w:cs="宋体"/>
                <w:i w:val="0"/>
                <w:iCs w:val="0"/>
                <w:color w:val="auto"/>
                <w:sz w:val="20"/>
                <w:szCs w:val="20"/>
                <w:highlight w:val="none"/>
                <w:u w:val="none"/>
                <w:lang w:val="en-US" w:eastAsia="zh-CN" w:bidi="ar"/>
              </w:rPr>
              <w:t xml:space="preserve">配套</w:t>
            </w:r>
            <w:r>
              <w:rPr>
                <w:rFonts w:hint="eastAsia" w:ascii="宋体" w:hAnsi="宋体" w:eastAsia="宋体" w:cs="宋体"/>
                <w:i w:val="0"/>
                <w:iCs w:val="0"/>
                <w:color w:val="auto"/>
                <w:sz w:val="20"/>
                <w:szCs w:val="20"/>
                <w:highlight w:val="none"/>
                <w:u w:val="none"/>
                <w:lang w:val="en-US" w:eastAsia="zh-CN" w:bidi="ar"/>
              </w:rPr>
              <w:t xml:space="preserve">五金配件</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4.床垫采用6公分高弹海绵外包皮革材质。</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269875</wp:posOffset>
                      </wp:positionH>
                      <wp:positionV relativeFrom="paragraph">
                        <wp:posOffset>97790</wp:posOffset>
                      </wp:positionV>
                      <wp:extent cx="1313180" cy="1141730"/>
                      <wp:effectExtent l="0" t="0" r="12700" b="1270"/>
                      <wp:wrapNone/>
                      <wp:docPr id="83" name="图片_158"/>
                      <wp:cNvGraphicFramePr/>
                      <a:graphic xmlns:a="http://schemas.openxmlformats.org/drawingml/2006/main">
                        <a:graphicData uri="http://schemas.openxmlformats.org/drawingml/2006/picture">
                          <pic:pic xmlns:pic="http://schemas.openxmlformats.org/drawingml/2006/picture">
                            <pic:nvPicPr>
                              <pic:cNvPr id="69" name="图片_158"/>
                              <pic:cNvPicPr/>
                              <pic:nvPr/>
                            </pic:nvPicPr>
                            <pic:blipFill>
                              <a:blip r:embed="rId27"/>
                              <a:stretch/>
                            </pic:blipFill>
                            <pic:spPr bwMode="auto">
                              <a:xfrm>
                                <a:off x="0" y="0"/>
                                <a:ext cx="1313180" cy="1141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65408;o:allowoverlap:true;o:allowincell:true;mso-position-horizontal-relative:text;margin-left:21.2pt;mso-position-horizontal:absolute;mso-position-vertical-relative:text;margin-top:7.7pt;mso-position-vertical:absolute;width:103.4pt;height:89.9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1.材质：采用原木水曲柳直拼板，材质稳定，抗菌、防霉，不易变形，桌面厚度2.5cm，其余厚度1.6cm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288925</wp:posOffset>
                      </wp:positionH>
                      <wp:positionV relativeFrom="paragraph">
                        <wp:posOffset>8890</wp:posOffset>
                      </wp:positionV>
                      <wp:extent cx="1312545" cy="1176655"/>
                      <wp:effectExtent l="0" t="0" r="13335" b="12065"/>
                      <wp:wrapNone/>
                      <wp:docPr id="84" name="图片_157"/>
                      <wp:cNvGraphicFramePr/>
                      <a:graphic xmlns:a="http://schemas.openxmlformats.org/drawingml/2006/main">
                        <a:graphicData uri="http://schemas.openxmlformats.org/drawingml/2006/picture">
                          <pic:pic xmlns:pic="http://schemas.openxmlformats.org/drawingml/2006/picture">
                            <pic:nvPicPr>
                              <pic:cNvPr id="72" name="图片_157"/>
                              <pic:cNvPicPr/>
                              <pic:nvPr/>
                            </pic:nvPicPr>
                            <pic:blipFill>
                              <a:blip r:embed="rId77"/>
                              <a:stretch/>
                            </pic:blipFill>
                            <pic:spPr bwMode="auto">
                              <a:xfrm>
                                <a:off x="0" y="0"/>
                                <a:ext cx="1312545" cy="1176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65408;o:allowoverlap:true;o:allowincell:true;mso-position-horizontal-relative:text;margin-left:22.8pt;mso-position-horizontal:absolute;mso-position-vertical-relative:text;margin-top:0.7pt;mso-position-vertical:absolute;width:103.3pt;height:92.6pt;mso-wrap-distance-left:9.0pt;mso-wrap-distance-top:0.0pt;mso-wrap-distance-right:9.0pt;mso-wrap-distance-bottom:0.0pt;" stroked="f">
                      <v:path textboxrect="0,0,0,0"/>
                      <v:imagedata r:id="rId7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1500*300*1200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505460</wp:posOffset>
                      </wp:positionH>
                      <wp:positionV relativeFrom="paragraph">
                        <wp:posOffset>33655</wp:posOffset>
                      </wp:positionV>
                      <wp:extent cx="726440" cy="1195070"/>
                      <wp:effectExtent l="0" t="0" r="5080" b="8890"/>
                      <wp:wrapNone/>
                      <wp:docPr id="85" name="图片_176"/>
                      <wp:cNvGraphicFramePr/>
                      <a:graphic xmlns:a="http://schemas.openxmlformats.org/drawingml/2006/main">
                        <a:graphicData uri="http://schemas.openxmlformats.org/drawingml/2006/picture">
                          <pic:pic xmlns:pic="http://schemas.openxmlformats.org/drawingml/2006/picture">
                            <pic:nvPicPr>
                              <pic:cNvPr id="74" name="图片_176"/>
                              <pic:cNvPicPr/>
                              <pic:nvPr/>
                            </pic:nvPicPr>
                            <pic:blipFill>
                              <a:blip r:embed="rId73"/>
                              <a:stretch/>
                            </pic:blipFill>
                            <pic:spPr bwMode="auto">
                              <a:xfrm>
                                <a:off x="0" y="0"/>
                                <a:ext cx="72644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65408;o:allowoverlap:true;o:allowincell:true;mso-position-horizontal-relative:text;margin-left:39.8pt;mso-position-horizontal:absolute;mso-position-vertical-relative:text;margin-top:2.6pt;mso-position-vertical:absolute;width:57.2pt;height:94.1pt;mso-wrap-distance-left:9.0pt;mso-wrap-distance-top:0.0pt;mso-wrap-distance-right:9.0pt;mso-wrap-distance-bottom:0.0pt;" stroked="f">
                      <v:path textboxrect="0,0,0,0"/>
                      <v:imagedata r:id="rId7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670*600*1150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1.面料：网布面料，经过防污、抗菌、 抗静电、耐色牢固、抗强度等表面加工处理。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2.海绵：高密度 回弹海绵，软硬适中，回弹性能好，不变形，耐用度高。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3.曲木板：12mmE1级曲木板。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4.扶手：固定PP扶手。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5.耐磨性及其他理化性能均能达到合格标准。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6.脚轮：五星不锈钢脚轮</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615950</wp:posOffset>
                      </wp:positionH>
                      <wp:positionV relativeFrom="paragraph">
                        <wp:posOffset>89535</wp:posOffset>
                      </wp:positionV>
                      <wp:extent cx="630555" cy="1130935"/>
                      <wp:effectExtent l="0" t="0" r="9525" b="12065"/>
                      <wp:wrapNone/>
                      <wp:docPr id="86" name="图片_203"/>
                      <wp:cNvGraphicFramePr/>
                      <a:graphic xmlns:a="http://schemas.openxmlformats.org/drawingml/2006/main">
                        <a:graphicData uri="http://schemas.openxmlformats.org/drawingml/2006/picture">
                          <pic:pic xmlns:pic="http://schemas.openxmlformats.org/drawingml/2006/picture">
                            <pic:nvPicPr>
                              <pic:cNvPr id="101" name="图片_203"/>
                              <pic:cNvPicPr/>
                              <pic:nvPr/>
                            </pic:nvPicPr>
                            <pic:blipFill>
                              <a:blip r:embed="rId18"/>
                              <a:stretch/>
                            </pic:blipFill>
                            <pic:spPr bwMode="auto">
                              <a:xfrm>
                                <a:off x="0" y="0"/>
                                <a:ext cx="630555" cy="1130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65408;o:allowoverlap:true;o:allowincell:true;mso-position-horizontal-relative:text;margin-left:48.5pt;mso-position-horizontal:absolute;mso-position-vertical-relative:text;margin-top:7.0pt;mso-position-vertical:absolute;width:49.6pt;height:89.0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488315</wp:posOffset>
                      </wp:positionH>
                      <wp:positionV relativeFrom="paragraph">
                        <wp:posOffset>116840</wp:posOffset>
                      </wp:positionV>
                      <wp:extent cx="989330" cy="1079500"/>
                      <wp:effectExtent l="0" t="0" r="1270" b="2540"/>
                      <wp:wrapNone/>
                      <wp:docPr id="87" name="图片_159"/>
                      <wp:cNvGraphicFramePr/>
                      <a:graphic xmlns:a="http://schemas.openxmlformats.org/drawingml/2006/main">
                        <a:graphicData uri="http://schemas.openxmlformats.org/drawingml/2006/picture">
                          <pic:pic xmlns:pic="http://schemas.openxmlformats.org/drawingml/2006/picture">
                            <pic:nvPicPr>
                              <pic:cNvPr id="123" name="图片_159"/>
                              <pic:cNvPicPr/>
                              <pic:nvPr/>
                            </pic:nvPicPr>
                            <pic:blipFill>
                              <a:blip r:embed="rId33"/>
                              <a:stretch/>
                            </pic:blipFill>
                            <pic:spPr bwMode="auto">
                              <a:xfrm>
                                <a:off x="0" y="0"/>
                                <a:ext cx="989330" cy="1079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65408;o:allowoverlap:true;o:allowincell:true;mso-position-horizontal-relative:text;margin-left:38.4pt;mso-position-horizontal:absolute;mso-position-vertical-relative:text;margin-top:9.2pt;mso-position-vertical:absolute;width:77.9pt;height:85.0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仓库</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682625</wp:posOffset>
                      </wp:positionH>
                      <wp:positionV relativeFrom="paragraph">
                        <wp:posOffset>78105</wp:posOffset>
                      </wp:positionV>
                      <wp:extent cx="919480" cy="1013460"/>
                      <wp:effectExtent l="0" t="0" r="10160" b="7620"/>
                      <wp:wrapNone/>
                      <wp:docPr id="88" name="图片_65"/>
                      <wp:cNvGraphicFramePr/>
                      <a:graphic xmlns:a="http://schemas.openxmlformats.org/drawingml/2006/main">
                        <a:graphicData uri="http://schemas.openxmlformats.org/drawingml/2006/picture">
                          <pic:pic xmlns:pic="http://schemas.openxmlformats.org/drawingml/2006/picture">
                            <pic:nvPicPr>
                              <pic:cNvPr id="102" name="图片_65"/>
                              <pic:cNvPicPr/>
                              <pic:nvPr/>
                            </pic:nvPicPr>
                            <pic:blipFill>
                              <a:blip r:embed="rId78"/>
                              <a:stretch/>
                            </pic:blipFill>
                            <pic:spPr bwMode="auto">
                              <a:xfrm>
                                <a:off x="0" y="0"/>
                                <a:ext cx="919480" cy="1013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65408;o:allowoverlap:true;o:allowincell:true;mso-position-horizontal-relative:text;margin-left:53.8pt;mso-position-horizontal:absolute;mso-position-vertical-relative:text;margin-top:6.1pt;mso-position-vertical:absolute;width:72.4pt;height:79.8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1500*600*2000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1.钢板：冷轧钢卷板，厚度0.8mm，经过制模、落料、成型、焊接加工，采用全自动喷涂设备静电粉末喷涂，高温固化，并经过酸洗、磷化来清洁表面</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2.五金配件：采用</w:t>
            </w:r>
            <w:r>
              <w:rPr>
                <w:rFonts w:hint="eastAsia" w:ascii="宋体" w:hAnsi="宋体" w:cs="宋体"/>
                <w:i w:val="0"/>
                <w:iCs w:val="0"/>
                <w:color w:val="auto"/>
                <w:sz w:val="20"/>
                <w:szCs w:val="20"/>
                <w:highlight w:val="none"/>
                <w:u w:val="none"/>
                <w:lang w:val="en-US" w:eastAsia="zh-CN" w:bidi="ar"/>
              </w:rPr>
              <w:t xml:space="preserve">配套</w:t>
            </w:r>
            <w:r>
              <w:rPr>
                <w:rFonts w:hint="eastAsia" w:ascii="宋体" w:hAnsi="宋体" w:eastAsia="宋体" w:cs="宋体"/>
                <w:i w:val="0"/>
                <w:iCs w:val="0"/>
                <w:color w:val="auto"/>
                <w:sz w:val="20"/>
                <w:szCs w:val="20"/>
                <w:highlight w:val="none"/>
                <w:u w:val="none"/>
                <w:lang w:val="en-US" w:eastAsia="zh-CN" w:bidi="ar"/>
              </w:rPr>
              <w:t xml:space="preserve">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r>
      <w:tr>
        <w:trPr>
          <w:jc w:val="center"/>
          <w:trHeight w:val="1596"/>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塑料托盘</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146685</wp:posOffset>
                      </wp:positionH>
                      <wp:positionV relativeFrom="paragraph">
                        <wp:posOffset>-81915</wp:posOffset>
                      </wp:positionV>
                      <wp:extent cx="1353185" cy="653415"/>
                      <wp:effectExtent l="0" t="0" r="3175" b="1905"/>
                      <wp:wrapNone/>
                      <wp:docPr id="89" name="图片_17_SpCnt_1"/>
                      <wp:cNvGraphicFramePr/>
                      <a:graphic xmlns:a="http://schemas.openxmlformats.org/drawingml/2006/main">
                        <a:graphicData uri="http://schemas.openxmlformats.org/drawingml/2006/picture">
                          <pic:pic xmlns:pic="http://schemas.openxmlformats.org/drawingml/2006/picture">
                            <pic:nvPicPr>
                              <pic:cNvPr id="127" name="图片_17_SpCnt_1"/>
                              <pic:cNvPicPr/>
                              <pic:nvPr/>
                            </pic:nvPicPr>
                            <pic:blipFill>
                              <a:blip r:embed="rId79"/>
                              <a:stretch/>
                            </pic:blipFill>
                            <pic:spPr bwMode="auto">
                              <a:xfrm>
                                <a:off x="0" y="0"/>
                                <a:ext cx="1353185" cy="653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65408;o:allowoverlap:true;o:allowincell:true;mso-position-horizontal-relative:text;margin-left:11.5pt;mso-position-horizontal:absolute;mso-position-vertical-relative:text;margin-top:-6.4pt;mso-position-vertical:absolute;width:106.5pt;height:51.4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1200*1000*14</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1.一体成型塑料胶板 ，全新PP料</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图书信息楼三楼</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阅览室</w:t>
            </w:r>
            <w:r/>
          </w:p>
        </w:tc>
      </w:tr>
      <w:tr>
        <w:trPr>
          <w:jc w:val="center"/>
          <w:trHeight w:val="256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-52705</wp:posOffset>
                      </wp:positionH>
                      <wp:positionV relativeFrom="paragraph">
                        <wp:posOffset>152400</wp:posOffset>
                      </wp:positionV>
                      <wp:extent cx="1732280" cy="1265555"/>
                      <wp:effectExtent l="0" t="0" r="5080" b="14604"/>
                      <wp:wrapNone/>
                      <wp:docPr id="90" name="图片_208"/>
                      <wp:cNvGraphicFramePr/>
                      <a:graphic xmlns:a="http://schemas.openxmlformats.org/drawingml/2006/main">
                        <a:graphicData uri="http://schemas.openxmlformats.org/drawingml/2006/picture">
                          <pic:pic xmlns:pic="http://schemas.openxmlformats.org/drawingml/2006/picture">
                            <pic:nvPicPr>
                              <pic:cNvPr id="103" name="图片_208"/>
                              <pic:cNvPicPr/>
                              <pic:nvPr/>
                            </pic:nvPicPr>
                            <pic:blipFill>
                              <a:blip r:embed="rId80"/>
                              <a:stretch/>
                            </pic:blipFill>
                            <pic:spPr bwMode="auto">
                              <a:xfrm>
                                <a:off x="0" y="0"/>
                                <a:ext cx="1732280" cy="1265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65408;o:allowoverlap:true;o:allowincell:true;mso-position-horizontal-relative:text;margin-left:-4.1pt;mso-position-horizontal:absolute;mso-position-vertical-relative:text;margin-top:12.0pt;mso-position-vertical:absolute;width:136.4pt;height:99.6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1400*700*760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1.材质：采用原木水曲柳直拼板，材质稳定，抗菌、防霉，不易变形，桌面厚度2.5cm，其余厚度1.6cm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r>
      <w:tr>
        <w:trPr>
          <w:jc w:val="center"/>
          <w:trHeight w:val="2385"/>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445135</wp:posOffset>
                      </wp:positionH>
                      <wp:positionV relativeFrom="paragraph">
                        <wp:posOffset>65405</wp:posOffset>
                      </wp:positionV>
                      <wp:extent cx="948055" cy="1265555"/>
                      <wp:effectExtent l="0" t="0" r="12065" b="14604"/>
                      <wp:wrapNone/>
                      <wp:docPr id="91" name="图片_209"/>
                      <wp:cNvGraphicFramePr/>
                      <a:graphic xmlns:a="http://schemas.openxmlformats.org/drawingml/2006/main">
                        <a:graphicData uri="http://schemas.openxmlformats.org/drawingml/2006/picture">
                          <pic:pic xmlns:pic="http://schemas.openxmlformats.org/drawingml/2006/picture">
                            <pic:nvPicPr>
                              <pic:cNvPr id="128" name="图片_209"/>
                              <pic:cNvPicPr/>
                              <pic:nvPr/>
                            </pic:nvPicPr>
                            <pic:blipFill>
                              <a:blip r:embed="rId81"/>
                              <a:stretch/>
                            </pic:blipFill>
                            <pic:spPr bwMode="auto">
                              <a:xfrm>
                                <a:off x="0" y="0"/>
                                <a:ext cx="948055" cy="1265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65408;o:allowoverlap:true;o:allowincell:true;mso-position-horizontal-relative:text;margin-left:35.0pt;mso-position-horizontal:absolute;mso-position-vertical-relative:text;margin-top:5.1pt;mso-position-vertical:absolute;width:74.6pt;height:99.6pt;mso-wrap-distance-left:9.0pt;mso-wrap-distance-top:0.0pt;mso-wrap-distance-right:9.0pt;mso-wrap-distance-bottom:0.0pt;" stroked="f">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540*530*850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1.材料：凳架采用40x40mm橡胶木实木木方，其余均采用18mmE0级AA级橡胶木实木指接板（不贴皮）。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2.组件制作：根据产品规格选出合适的大小的木料进行断料、开料，对逐个部件进行四面刨加工，然后精磨进行精切，加工，再进行部件整体钉制成型，坚久耐用。为保证产品耐久度，不允许三合一结构组装。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4.五金配件：采用</w:t>
            </w:r>
            <w:r>
              <w:rPr>
                <w:rFonts w:hint="eastAsia" w:ascii="宋体" w:hAnsi="宋体" w:cs="宋体"/>
                <w:i w:val="0"/>
                <w:iCs w:val="0"/>
                <w:color w:val="auto"/>
                <w:sz w:val="20"/>
                <w:szCs w:val="20"/>
                <w:highlight w:val="none"/>
                <w:u w:val="none"/>
                <w:lang w:val="en-US" w:eastAsia="zh-CN" w:bidi="ar"/>
              </w:rPr>
              <w:t xml:space="preserve">配套</w:t>
            </w:r>
            <w:r>
              <w:rPr>
                <w:rFonts w:hint="eastAsia" w:ascii="宋体" w:hAnsi="宋体" w:eastAsia="宋体" w:cs="宋体"/>
                <w:i w:val="0"/>
                <w:iCs w:val="0"/>
                <w:color w:val="auto"/>
                <w:sz w:val="20"/>
                <w:szCs w:val="20"/>
                <w:highlight w:val="none"/>
                <w:u w:val="none"/>
                <w:lang w:val="en-US" w:eastAsia="zh-CN" w:bidi="ar"/>
              </w:rPr>
              <w:t xml:space="preserve">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r>
      <w:tr>
        <w:trPr>
          <w:jc w:val="center"/>
          <w:trHeight w:val="261"/>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藏书柜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256540</wp:posOffset>
                      </wp:positionH>
                      <wp:positionV relativeFrom="paragraph">
                        <wp:posOffset>80645</wp:posOffset>
                      </wp:positionV>
                      <wp:extent cx="1010285" cy="1233170"/>
                      <wp:effectExtent l="0" t="0" r="10795" b="1270"/>
                      <wp:wrapNone/>
                      <wp:docPr id="92" name="图片_34_SpCnt_1"/>
                      <wp:cNvGraphicFramePr/>
                      <a:graphic xmlns:a="http://schemas.openxmlformats.org/drawingml/2006/main">
                        <a:graphicData uri="http://schemas.openxmlformats.org/drawingml/2006/picture">
                          <pic:pic xmlns:pic="http://schemas.openxmlformats.org/drawingml/2006/picture">
                            <pic:nvPicPr>
                              <pic:cNvPr id="129" name="图片_34_SpCnt_1"/>
                              <pic:cNvPicPr/>
                              <pic:nvPr/>
                            </pic:nvPicPr>
                            <pic:blipFill>
                              <a:blip r:embed="rId82"/>
                              <a:stretch/>
                            </pic:blipFill>
                            <pic:spPr bwMode="auto">
                              <a:xfrm>
                                <a:off x="0" y="0"/>
                                <a:ext cx="1010285" cy="1233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65408;o:allowoverlap:true;o:allowincell:true;mso-position-horizontal-relative:text;margin-left:20.2pt;mso-position-horizontal:absolute;mso-position-vertical-relative:text;margin-top:6.3pt;mso-position-vertical:absolute;width:79.5pt;height:97.1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1300*550*1200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1.材质：采用原木水曲柳直拼板，材质稳定，抗菌、防霉，不易变形，桌面厚度2.5cm，其余厚度1.6cm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图书信息楼四楼</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图书馆</w:t>
            </w:r>
            <w:r/>
          </w:p>
        </w:tc>
      </w:tr>
      <w:tr>
        <w:trPr>
          <w:jc w:val="center"/>
          <w:trHeight w:val="193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245745</wp:posOffset>
                      </wp:positionH>
                      <wp:positionV relativeFrom="paragraph">
                        <wp:posOffset>40005</wp:posOffset>
                      </wp:positionV>
                      <wp:extent cx="1313180" cy="1141730"/>
                      <wp:effectExtent l="0" t="0" r="12700" b="1270"/>
                      <wp:wrapNone/>
                      <wp:docPr id="93" name="图片_211"/>
                      <wp:cNvGraphicFramePr/>
                      <a:graphic xmlns:a="http://schemas.openxmlformats.org/drawingml/2006/main">
                        <a:graphicData uri="http://schemas.openxmlformats.org/drawingml/2006/picture">
                          <pic:pic xmlns:pic="http://schemas.openxmlformats.org/drawingml/2006/picture">
                            <pic:nvPicPr>
                              <pic:cNvPr id="104" name="图片_211"/>
                              <pic:cNvPicPr/>
                              <pic:nvPr/>
                            </pic:nvPicPr>
                            <pic:blipFill>
                              <a:blip r:embed="rId27"/>
                              <a:stretch/>
                            </pic:blipFill>
                            <pic:spPr bwMode="auto">
                              <a:xfrm>
                                <a:off x="0" y="0"/>
                                <a:ext cx="1313180" cy="1141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65408;o:allowoverlap:true;o:allowincell:true;mso-position-horizontal-relative:text;margin-left:19.3pt;mso-position-horizontal:absolute;mso-position-vertical-relative:text;margin-top:3.1pt;mso-position-vertical:absolute;width:103.4pt;height:89.9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1.材质：采用原木水曲柳直拼板，材质稳定，抗菌、防霉，不易变形，桌面厚度2.5cm，其余厚度1.6cm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2028"/>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250190</wp:posOffset>
                      </wp:positionH>
                      <wp:positionV relativeFrom="paragraph">
                        <wp:posOffset>17780</wp:posOffset>
                      </wp:positionV>
                      <wp:extent cx="1312545" cy="1176655"/>
                      <wp:effectExtent l="0" t="0" r="13335" b="12065"/>
                      <wp:wrapNone/>
                      <wp:docPr id="94" name="图片_210"/>
                      <wp:cNvGraphicFramePr/>
                      <a:graphic xmlns:a="http://schemas.openxmlformats.org/drawingml/2006/main">
                        <a:graphicData uri="http://schemas.openxmlformats.org/drawingml/2006/picture">
                          <pic:pic xmlns:pic="http://schemas.openxmlformats.org/drawingml/2006/picture">
                            <pic:nvPicPr>
                              <pic:cNvPr id="116" name="图片_210"/>
                              <pic:cNvPicPr/>
                              <pic:nvPr/>
                            </pic:nvPicPr>
                            <pic:blipFill>
                              <a:blip r:embed="rId28"/>
                              <a:stretch/>
                            </pic:blipFill>
                            <pic:spPr bwMode="auto">
                              <a:xfrm>
                                <a:off x="0" y="0"/>
                                <a:ext cx="1312545" cy="1176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65408;o:allowoverlap:true;o:allowincell:true;mso-position-horizontal-relative:text;margin-left:19.7pt;mso-position-horizontal:absolute;mso-position-vertical-relative:text;margin-top:1.4pt;mso-position-vertical:absolute;width:103.3pt;height:92.6pt;mso-wrap-distance-left:9.0pt;mso-wrap-distance-top:0.0pt;mso-wrap-distance-right:9.0pt;mso-wrap-distance-bottom:0.0pt;" stroked="f">
                      <v:path textboxrect="0,0,0,0"/>
                      <v:imagedata r:id="rId2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1500*300*1200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505460</wp:posOffset>
                      </wp:positionH>
                      <wp:positionV relativeFrom="paragraph">
                        <wp:posOffset>33655</wp:posOffset>
                      </wp:positionV>
                      <wp:extent cx="726440" cy="1195070"/>
                      <wp:effectExtent l="0" t="0" r="5080" b="8890"/>
                      <wp:wrapNone/>
                      <wp:docPr id="95" name="图片_219"/>
                      <wp:cNvGraphicFramePr/>
                      <a:graphic xmlns:a="http://schemas.openxmlformats.org/drawingml/2006/main">
                        <a:graphicData uri="http://schemas.openxmlformats.org/drawingml/2006/picture">
                          <pic:pic xmlns:pic="http://schemas.openxmlformats.org/drawingml/2006/picture">
                            <pic:nvPicPr>
                              <pic:cNvPr id="118" name="图片_219"/>
                              <pic:cNvPicPr/>
                              <pic:nvPr/>
                            </pic:nvPicPr>
                            <pic:blipFill>
                              <a:blip r:embed="rId73"/>
                              <a:stretch/>
                            </pic:blipFill>
                            <pic:spPr bwMode="auto">
                              <a:xfrm>
                                <a:off x="0" y="0"/>
                                <a:ext cx="72644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65408;o:allowoverlap:true;o:allowincell:true;mso-position-horizontal-relative:text;margin-left:39.8pt;mso-position-horizontal:absolute;mso-position-vertical-relative:text;margin-top:2.6pt;mso-position-vertical:absolute;width:57.2pt;height:94.1pt;mso-wrap-distance-left:9.0pt;mso-wrap-distance-top:0.0pt;mso-wrap-distance-right:9.0pt;mso-wrap-distance-bottom:0.0pt;" stroked="f">
                      <v:path textboxrect="0,0,0,0"/>
                      <v:imagedata r:id="rId7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670*600*1150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1.面料：网布面料，经过防污、抗菌、 抗静电、耐色牢固、抗强度等表面加工处理。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2.海绵：高密度 回弹海绵，软硬适中，回弹性能好，不变形，耐用度高。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3.曲木板：12mmE1级曲木板。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4.扶手：固定PP扶手。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5.耐磨性及其他理化性能均能达到合格标准。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6.脚轮：五星不锈钢脚轮</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193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530225</wp:posOffset>
                      </wp:positionH>
                      <wp:positionV relativeFrom="paragraph">
                        <wp:posOffset>39370</wp:posOffset>
                      </wp:positionV>
                      <wp:extent cx="989330" cy="1079500"/>
                      <wp:effectExtent l="0" t="0" r="1270" b="2540"/>
                      <wp:wrapNone/>
                      <wp:docPr id="96" name="图片_212"/>
                      <wp:cNvGraphicFramePr/>
                      <a:graphic xmlns:a="http://schemas.openxmlformats.org/drawingml/2006/main">
                        <a:graphicData uri="http://schemas.openxmlformats.org/drawingml/2006/picture">
                          <pic:pic xmlns:pic="http://schemas.openxmlformats.org/drawingml/2006/picture">
                            <pic:nvPicPr>
                              <pic:cNvPr id="124" name="图片_212"/>
                              <pic:cNvPicPr/>
                              <pic:nvPr/>
                            </pic:nvPicPr>
                            <pic:blipFill>
                              <a:blip r:embed="rId33"/>
                              <a:stretch/>
                            </pic:blipFill>
                            <pic:spPr bwMode="auto">
                              <a:xfrm>
                                <a:off x="0" y="0"/>
                                <a:ext cx="989330" cy="1079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65408;o:allowoverlap:true;o:allowincell:true;mso-position-horizontal-relative:text;margin-left:41.8pt;mso-position-horizontal:absolute;mso-position-vertical-relative:text;margin-top:3.1pt;mso-position-vertical:absolute;width:77.9pt;height:85.0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800×400×800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jc w:val="center"/>
          <w:trHeight w:val="193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书架</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599440</wp:posOffset>
                      </wp:positionH>
                      <wp:positionV relativeFrom="paragraph">
                        <wp:posOffset>36830</wp:posOffset>
                      </wp:positionV>
                      <wp:extent cx="780415" cy="1139190"/>
                      <wp:effectExtent l="0" t="0" r="12065" b="3810"/>
                      <wp:wrapNone/>
                      <wp:docPr id="97" name="图片_48"/>
                      <wp:cNvGraphicFramePr/>
                      <a:graphic xmlns:a="http://schemas.openxmlformats.org/drawingml/2006/main">
                        <a:graphicData uri="http://schemas.openxmlformats.org/drawingml/2006/picture">
                          <pic:pic xmlns:pic="http://schemas.openxmlformats.org/drawingml/2006/picture">
                            <pic:nvPicPr>
                              <pic:cNvPr id="119" name="图片_48"/>
                              <pic:cNvPicPr/>
                              <pic:nvPr/>
                            </pic:nvPicPr>
                            <pic:blipFill>
                              <a:blip r:embed="rId83"/>
                              <a:stretch/>
                            </pic:blipFill>
                            <pic:spPr bwMode="auto">
                              <a:xfrm>
                                <a:off x="0" y="0"/>
                                <a:ext cx="780415" cy="1139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65408;o:allowoverlap:true;o:allowincell:true;mso-position-horizontal-relative:text;margin-left:47.2pt;mso-position-horizontal:absolute;mso-position-vertical-relative:text;margin-top:2.9pt;mso-position-vertical:absolute;width:61.4pt;height:89.7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900*450*2000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1.钢板：冷轧钢卷板，厚度0.8mm，经过制模、落料、成型、焊接加工，采用全自动喷涂设备静电粉末喷涂，高温固化，并经过酸洗、磷化来清洁表面                                             2.五金配件：采用五金配件，连接牢靠，经久耐用。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r>
      <w:tr>
        <w:trPr>
          <w:jc w:val="center"/>
          <w:trHeight w:val="90"/>
        </w:trPr>
        <w:tc>
          <w:tcPr>
            <w:gridSpan w:val="7"/>
            <w:shd w:val="clear" w:color="auto" w:fill="auto"/>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4715510</wp:posOffset>
                      </wp:positionH>
                      <wp:positionV relativeFrom="paragraph">
                        <wp:posOffset>0</wp:posOffset>
                      </wp:positionV>
                      <wp:extent cx="9525" cy="9525"/>
                      <wp:effectExtent l="0" t="0" r="0" b="0"/>
                      <wp:wrapNone/>
                      <wp:docPr id="98" name="图片_11_SpCnt_3"/>
                      <wp:cNvGraphicFramePr/>
                      <a:graphic xmlns:a="http://schemas.openxmlformats.org/drawingml/2006/main">
                        <a:graphicData uri="http://schemas.openxmlformats.org/drawingml/2006/picture">
                          <pic:pic xmlns:pic="http://schemas.openxmlformats.org/drawingml/2006/picture">
                            <pic:nvPicPr>
                              <pic:cNvPr id="109" name="图片_11_SpCnt_3"/>
                              <pic:cNvPicPr/>
                              <pic:nvPr/>
                            </pic:nvPicPr>
                            <pic:blipFill>
                              <a:blip r:embed="rId8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65408;o:allowoverlap:true;o:allowincell:true;mso-position-horizontal-relative:text;margin-left:371.3pt;mso-position-horizontal:absolute;mso-position-vertical-relative:text;margin-top:0.0pt;mso-position-vertical:absolute;width:0.8pt;height:0.8pt;mso-wrap-distance-left:9.0pt;mso-wrap-distance-top:0.0pt;mso-wrap-distance-right:9.0pt;mso-wrap-distance-bottom:0.0pt;" stroked="f">
                      <v:path textboxrect="0,0,0,0"/>
                      <v:imagedata r:id="rId84" o:title=""/>
                    </v:shape>
                  </w:pict>
                </mc:Fallback>
              </mc:AlternateContent>
            </w:r>
            <w:r>
              <w:rPr>
                <w:rFonts w:hint="eastAsia" w:ascii="宋体" w:hAnsi="宋体" w:eastAsia="宋体" w:cs="宋体"/>
                <w:b/>
                <w:bCs/>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4715510</wp:posOffset>
                      </wp:positionH>
                      <wp:positionV relativeFrom="paragraph">
                        <wp:posOffset>0</wp:posOffset>
                      </wp:positionV>
                      <wp:extent cx="9525" cy="9525"/>
                      <wp:effectExtent l="0" t="0" r="0" b="0"/>
                      <wp:wrapNone/>
                      <wp:docPr id="99" name="图片_11_SpCnt_4"/>
                      <wp:cNvGraphicFramePr/>
                      <a:graphic xmlns:a="http://schemas.openxmlformats.org/drawingml/2006/main">
                        <a:graphicData uri="http://schemas.openxmlformats.org/drawingml/2006/picture">
                          <pic:pic xmlns:pic="http://schemas.openxmlformats.org/drawingml/2006/picture">
                            <pic:nvPicPr>
                              <pic:cNvPr id="115" name="图片_11_SpCnt_4"/>
                              <pic:cNvPicPr/>
                              <pic:nvPr/>
                            </pic:nvPicPr>
                            <pic:blipFill>
                              <a:blip r:embed="rId8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65408;o:allowoverlap:true;o:allowincell:true;mso-position-horizontal-relative:text;margin-left:371.3pt;mso-position-horizontal:absolute;mso-position-vertical-relative:text;margin-top:0.0pt;mso-position-vertical:absolute;width:0.8pt;height:0.8pt;mso-wrap-distance-left:9.0pt;mso-wrap-distance-top:0.0pt;mso-wrap-distance-right:9.0pt;mso-wrap-distance-bottom:0.0pt;" stroked="f">
                      <v:path textboxrect="0,0,0,0"/>
                      <v:imagedata r:id="rId84" o:title=""/>
                    </v:shape>
                  </w:pict>
                </mc:Fallback>
              </mc:AlternateContent>
            </w:r>
            <w:r>
              <w:rPr>
                <w:rFonts w:hint="eastAsia" w:ascii="宋体" w:hAnsi="宋体" w:eastAsia="宋体" w:cs="宋体"/>
                <w:b/>
                <w:bCs/>
                <w:i w:val="0"/>
                <w:iCs w:val="0"/>
                <w:color w:val="auto"/>
                <w:sz w:val="20"/>
                <w:szCs w:val="20"/>
                <w:highlight w:val="none"/>
                <w:u w:val="none"/>
                <w:lang w:val="en-US" w:eastAsia="zh-CN" w:bidi="ar"/>
              </w:rPr>
              <w:t xml:space="preserve">公寓楼</w:t>
            </w:r>
            <w:r/>
          </w:p>
        </w:tc>
      </w:tr>
      <w:tr>
        <w:trPr>
          <w:jc w:val="center"/>
          <w:trHeight w:val="90"/>
        </w:trPr>
        <w:tc>
          <w:tcPr>
            <w:gridSpan w:val="7"/>
            <w:shd w:val="clear" w:color="auto" w:fill="auto"/>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学生公寓</w:t>
            </w:r>
            <w:r/>
          </w:p>
        </w:tc>
      </w:tr>
      <w:tr>
        <w:trPr>
          <w:jc w:val="center"/>
          <w:trHeight w:val="1427"/>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双人床</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eastAsia="zh-CN"/>
              </w:rPr>
              <w:suppressLineNumbers w:val="0"/>
            </w:pPr>
            <w:r>
              <w:rPr>
                <w:color w:val="auto"/>
                <w:highlight w:val="none"/>
              </w:rPr>
              <mc:AlternateContent>
                <mc:Choice Requires="wpg">
                  <w:drawing>
                    <wp:inline xmlns:wp="http://schemas.openxmlformats.org/drawingml/2006/wordprocessingDrawing" distT="0" distB="0" distL="0" distR="0">
                      <wp:extent cx="1628140" cy="1570355"/>
                      <wp:effectExtent l="0" t="0" r="2540" b="14604"/>
                      <wp:docPr id="10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
                              <pic:cNvPicPr>
                                <a:picLocks noChangeAspect="1"/>
                              </pic:cNvPicPr>
                              <pic:nvPr/>
                            </pic:nvPicPr>
                            <pic:blipFill>
                              <a:blip r:embed="rId85"/>
                              <a:stretch/>
                            </pic:blipFill>
                            <pic:spPr bwMode="auto">
                              <a:xfrm>
                                <a:off x="0" y="0"/>
                                <a:ext cx="1628140" cy="1570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128.2pt;height:123.6pt;mso-wrap-distance-left:0.0pt;mso-wrap-distance-top:0.0pt;mso-wrap-distance-right:0.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2050*1000*2010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1）立柱：四根立柱整体采用水曲柳实木，木方</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cm*</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cm。经干燥、防虫、防腐处理，不翘曲、变形，无节疤，无虫眼。</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2）四周护栏：采用环保实木多层板贴水曲柳实木皮，厚度不低于</w:t>
            </w:r>
            <w:r>
              <w:rPr>
                <w:rFonts w:hint="eastAsia" w:ascii="宋体" w:hAnsi="宋体" w:cs="宋体"/>
                <w:i w:val="0"/>
                <w:iCs w:val="0"/>
                <w:color w:val="auto"/>
                <w:sz w:val="21"/>
                <w:szCs w:val="21"/>
                <w:highlight w:val="none"/>
                <w:u w:val="none"/>
                <w:lang w:val="en-US" w:eastAsia="zh-CN" w:bidi="ar"/>
              </w:rPr>
              <w:t xml:space="preserve">18</w:t>
            </w:r>
            <w:r>
              <w:rPr>
                <w:rFonts w:hint="eastAsia" w:ascii="宋体" w:hAnsi="宋体" w:eastAsia="宋体" w:cs="宋体"/>
                <w:i w:val="0"/>
                <w:iCs w:val="0"/>
                <w:color w:val="auto"/>
                <w:sz w:val="21"/>
                <w:szCs w:val="21"/>
                <w:highlight w:val="none"/>
                <w:u w:val="none"/>
                <w:lang w:val="en-US" w:eastAsia="zh-CN" w:bidi="ar"/>
              </w:rPr>
              <w:t xml:space="preserve">mm。所有护栏高度不应低于300mm，下床床面高度420mm。上床底部离地高度1500mm，四周围栏开透气孔，阳角处做圆弧处理。中间敞开式鞋架。</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3）爬梯：采用水曲柳实木，每层踏步高360mm。</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4）封边：天然木皮封边条，厚度不低于1mm。</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5）木皮：木纹色部件采用≥0.4mm天然木皮贴面。</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6）油漆：采用水性环保油漆。</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7）导轨：阻尼静音滑轨。</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8）拉手：隐形拉手设计，板材铣槽。</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9）下铺带8个蚊帐挂钩。</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w:t>
            </w:r>
            <w:r/>
          </w:p>
        </w:tc>
      </w:tr>
      <w:tr>
        <w:trPr>
          <w:jc w:val="center"/>
          <w:trHeight w:val="202"/>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双人床（加长）</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eastAsia="zh-CN"/>
              </w:rPr>
              <w:suppressLineNumbers w:val="0"/>
            </w:pPr>
            <w:r>
              <w:rPr>
                <w:color w:val="auto"/>
                <w:highlight w:val="none"/>
              </w:rPr>
              <mc:AlternateContent>
                <mc:Choice Requires="wpg">
                  <w:drawing>
                    <wp:inline xmlns:wp="http://schemas.openxmlformats.org/drawingml/2006/wordprocessingDrawing" distT="0" distB="0" distL="0" distR="0">
                      <wp:extent cx="1628140" cy="1570355"/>
                      <wp:effectExtent l="0" t="0" r="2540" b="14604"/>
                      <wp:docPr id="10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
                              <pic:cNvPicPr>
                                <a:picLocks noChangeAspect="1"/>
                              </pic:cNvPicPr>
                              <pic:nvPr/>
                            </pic:nvPicPr>
                            <pic:blipFill>
                              <a:blip r:embed="rId85"/>
                              <a:stretch/>
                            </pic:blipFill>
                            <pic:spPr bwMode="auto">
                              <a:xfrm>
                                <a:off x="0" y="0"/>
                                <a:ext cx="1628140" cy="1570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128.2pt;height:123.6pt;mso-wrap-distance-left:0.0pt;mso-wrap-distance-top:0.0pt;mso-wrap-distance-right:0.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2150*1000*2010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1）立柱：四根立柱整体采用水曲柳实木，木方</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cm*</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cm。经干燥、防虫、防腐处理，不翘曲、变形，无节疤，无虫眼。</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2）四周护栏：采用环保实木多层板贴水曲柳实木皮，厚度不低于</w:t>
            </w:r>
            <w:r>
              <w:rPr>
                <w:rFonts w:hint="eastAsia" w:ascii="宋体" w:hAnsi="宋体" w:cs="宋体"/>
                <w:i w:val="0"/>
                <w:iCs w:val="0"/>
                <w:color w:val="auto"/>
                <w:sz w:val="21"/>
                <w:szCs w:val="21"/>
                <w:highlight w:val="none"/>
                <w:u w:val="none"/>
                <w:lang w:val="en-US" w:eastAsia="zh-CN" w:bidi="ar"/>
              </w:rPr>
              <w:t xml:space="preserve">18</w:t>
            </w:r>
            <w:r>
              <w:rPr>
                <w:rFonts w:hint="eastAsia" w:ascii="宋体" w:hAnsi="宋体" w:eastAsia="宋体" w:cs="宋体"/>
                <w:i w:val="0"/>
                <w:iCs w:val="0"/>
                <w:color w:val="auto"/>
                <w:sz w:val="21"/>
                <w:szCs w:val="21"/>
                <w:highlight w:val="none"/>
                <w:u w:val="none"/>
                <w:lang w:val="en-US" w:eastAsia="zh-CN" w:bidi="ar"/>
              </w:rPr>
              <w:t xml:space="preserve">mm。所有护栏高度不应低于300mm，下床床面高度420mm。上床底部离地高度1500mm，四周围栏开透气孔，阳角处做圆弧处理。中间敞开式鞋架。</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3）爬梯：采用水曲柳实木，每层踏步高360mm。</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4）封边：天然木皮封边条，厚度不低于1mm。</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5）木皮：木纹色部件采用≥0.4mm天然木皮贴面。</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6）油漆：采用水性环保油漆。</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7）导轨：阻尼静音滑轨。</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8）拉手：隐形拉手设计，板材铣槽。</w:t>
            </w:r>
            <w:r>
              <w:rPr>
                <w:rFonts w:hint="eastAsia" w:ascii="宋体" w:hAnsi="宋体" w:eastAsia="宋体" w:cs="宋体"/>
                <w:i w:val="0"/>
                <w:iCs w:val="0"/>
                <w:color w:val="auto"/>
                <w:sz w:val="21"/>
                <w:szCs w:val="21"/>
                <w:highlight w:val="none"/>
                <w:u w:val="none"/>
                <w:lang w:val="en-US" w:eastAsia="zh-CN" w:bidi="ar"/>
              </w:rPr>
              <w:br w:type="textWrapping" w:clear="all"/>
            </w:r>
            <w:r>
              <w:rPr>
                <w:rFonts w:hint="eastAsia" w:ascii="宋体" w:hAnsi="宋体" w:eastAsia="宋体" w:cs="宋体"/>
                <w:i w:val="0"/>
                <w:iCs w:val="0"/>
                <w:color w:val="auto"/>
                <w:sz w:val="21"/>
                <w:szCs w:val="21"/>
                <w:highlight w:val="none"/>
                <w:u w:val="none"/>
                <w:lang w:val="en-US" w:eastAsia="zh-CN" w:bidi="ar"/>
              </w:rPr>
              <w:t xml:space="preserve">9）下铺带8个蚊帐挂钩。</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r>
      <w:tr>
        <w:trPr>
          <w:jc w:val="center"/>
          <w:trHeight w:val="25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蚊帐架</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1905</wp:posOffset>
                      </wp:positionH>
                      <wp:positionV relativeFrom="paragraph">
                        <wp:posOffset>-234315</wp:posOffset>
                      </wp:positionV>
                      <wp:extent cx="1636395" cy="1315085"/>
                      <wp:effectExtent l="0" t="0" r="9525" b="10795"/>
                      <wp:wrapNone/>
                      <wp:docPr id="102" name="图片_4"/>
                      <wp:cNvGraphicFramePr/>
                      <a:graphic xmlns:a="http://schemas.openxmlformats.org/drawingml/2006/main">
                        <a:graphicData uri="http://schemas.openxmlformats.org/drawingml/2006/picture">
                          <pic:pic xmlns:pic="http://schemas.openxmlformats.org/drawingml/2006/picture">
                            <pic:nvPicPr>
                              <pic:cNvPr id="113" name="图片_4"/>
                              <pic:cNvPicPr/>
                              <pic:nvPr/>
                            </pic:nvPicPr>
                            <pic:blipFill>
                              <a:blip r:embed="rId86"/>
                              <a:stretch/>
                            </pic:blipFill>
                            <pic:spPr bwMode="auto">
                              <a:xfrm>
                                <a:off x="0" y="0"/>
                                <a:ext cx="1636395" cy="1315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65408;o:allowoverlap:true;o:allowincell:true;mso-position-horizontal-relative:text;margin-left:0.1pt;mso-position-horizontal:absolute;mso-position-vertical-relative:text;margin-top:-18.4pt;mso-position-vertical:absolute;width:128.8pt;height:103.5pt;mso-wrap-distance-left:9.0pt;mso-wrap-distance-top:0.0pt;mso-wrap-distance-right:9.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2050*1000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PP工程塑料，直径20mm，管壁厚度1.2mm，拼接式卡扣链接，耐弯折，抗老化，不易断裂</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210</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教师公寓</w:t>
            </w:r>
            <w:r/>
          </w:p>
        </w:tc>
      </w:tr>
      <w:tr>
        <w:trPr>
          <w:jc w:val="center"/>
          <w:trHeight w:val="248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单人床</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7620</wp:posOffset>
                      </wp:positionH>
                      <wp:positionV relativeFrom="paragraph">
                        <wp:posOffset>-64770</wp:posOffset>
                      </wp:positionV>
                      <wp:extent cx="1666875" cy="1405255"/>
                      <wp:effectExtent l="0" t="0" r="9525" b="12065"/>
                      <wp:wrapNone/>
                      <wp:docPr id="103" name="图片_89"/>
                      <wp:cNvGraphicFramePr/>
                      <a:graphic xmlns:a="http://schemas.openxmlformats.org/drawingml/2006/main">
                        <a:graphicData uri="http://schemas.openxmlformats.org/drawingml/2006/picture">
                          <pic:pic xmlns:pic="http://schemas.openxmlformats.org/drawingml/2006/picture">
                            <pic:nvPicPr>
                              <pic:cNvPr id="114" name="图片_89"/>
                              <pic:cNvPicPr/>
                              <pic:nvPr/>
                            </pic:nvPicPr>
                            <pic:blipFill>
                              <a:blip r:embed="rId87"/>
                              <a:stretch/>
                            </pic:blipFill>
                            <pic:spPr bwMode="auto">
                              <a:xfrm>
                                <a:off x="0" y="0"/>
                                <a:ext cx="1666875" cy="1405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65408;o:allowoverlap:true;o:allowincell:true;mso-position-horizontal-relative:text;margin-left:0.6pt;mso-position-horizontal:absolute;mso-position-vertical-relative:text;margin-top:-5.1pt;mso-position-vertical:absolute;width:131.2pt;height:110.6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1200x2000x850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45</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464820</wp:posOffset>
                      </wp:positionH>
                      <wp:positionV relativeFrom="paragraph">
                        <wp:posOffset>47625</wp:posOffset>
                      </wp:positionV>
                      <wp:extent cx="856615" cy="1144270"/>
                      <wp:effectExtent l="0" t="0" r="12065" b="13970"/>
                      <wp:wrapNone/>
                      <wp:docPr id="104" name="图片_154"/>
                      <wp:cNvGraphicFramePr/>
                      <a:graphic xmlns:a="http://schemas.openxmlformats.org/drawingml/2006/main">
                        <a:graphicData uri="http://schemas.openxmlformats.org/drawingml/2006/picture">
                          <pic:pic xmlns:pic="http://schemas.openxmlformats.org/drawingml/2006/picture">
                            <pic:nvPicPr>
                              <pic:cNvPr id="125" name="图片_154"/>
                              <pic:cNvPicPr/>
                              <pic:nvPr/>
                            </pic:nvPicPr>
                            <pic:blipFill>
                              <a:blip r:embed="rId88"/>
                              <a:stretch/>
                            </pic:blipFill>
                            <pic:spPr bwMode="auto">
                              <a:xfrm>
                                <a:off x="0" y="0"/>
                                <a:ext cx="856615" cy="1144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65408;o:allowoverlap:true;o:allowincell:true;mso-position-horizontal-relative:text;margin-left:36.6pt;mso-position-horizontal:absolute;mso-position-vertical-relative:text;margin-top:3.8pt;mso-position-vertical:absolute;width:67.5pt;height:90.1pt;mso-wrap-distance-left:9.0pt;mso-wrap-distance-top:0.0pt;mso-wrap-distance-right:9.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500*500*450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45</w:t>
            </w:r>
            <w:r/>
          </w:p>
        </w:tc>
      </w:tr>
      <w:tr>
        <w:trPr>
          <w:jc w:val="center"/>
          <w:trHeight w:val="243"/>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230505</wp:posOffset>
                      </wp:positionH>
                      <wp:positionV relativeFrom="paragraph">
                        <wp:posOffset>46990</wp:posOffset>
                      </wp:positionV>
                      <wp:extent cx="1190625" cy="1160145"/>
                      <wp:effectExtent l="0" t="0" r="13335" b="13335"/>
                      <wp:wrapNone/>
                      <wp:docPr id="105" name="Picture_8_SpCnt_1"/>
                      <wp:cNvGraphicFramePr/>
                      <a:graphic xmlns:a="http://schemas.openxmlformats.org/drawingml/2006/main">
                        <a:graphicData uri="http://schemas.openxmlformats.org/drawingml/2006/picture">
                          <pic:pic xmlns:pic="http://schemas.openxmlformats.org/drawingml/2006/picture">
                            <pic:nvPicPr>
                              <pic:cNvPr id="117" name="Picture_8_SpCnt_1"/>
                              <pic:cNvPicPr/>
                              <pic:nvPr/>
                            </pic:nvPicPr>
                            <pic:blipFill>
                              <a:blip r:embed="rId89"/>
                              <a:stretch/>
                            </pic:blipFill>
                            <pic:spPr bwMode="auto">
                              <a:xfrm>
                                <a:off x="0" y="0"/>
                                <a:ext cx="1190625" cy="1160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65408;o:allowoverlap:true;o:allowincell:true;mso-position-horizontal-relative:text;margin-left:18.1pt;mso-position-horizontal:absolute;mso-position-vertical-relative:text;margin-top:3.7pt;mso-position-vertical:absolute;width:93.8pt;height:91.3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1200*600*760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1.材质：采用原木水曲柳直拼板，材质稳定，抗菌、防霉，不易变形，桌面厚度2.5cm，其余厚度1.6cm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45</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380365</wp:posOffset>
                      </wp:positionH>
                      <wp:positionV relativeFrom="paragraph">
                        <wp:posOffset>24765</wp:posOffset>
                      </wp:positionV>
                      <wp:extent cx="995680" cy="1104265"/>
                      <wp:effectExtent l="0" t="0" r="10160" b="8255"/>
                      <wp:wrapNone/>
                      <wp:docPr id="106" name="图片_129_SpCnt_2"/>
                      <wp:cNvGraphicFramePr/>
                      <a:graphic xmlns:a="http://schemas.openxmlformats.org/drawingml/2006/main">
                        <a:graphicData uri="http://schemas.openxmlformats.org/drawingml/2006/picture">
                          <pic:pic xmlns:pic="http://schemas.openxmlformats.org/drawingml/2006/picture">
                            <pic:nvPicPr>
                              <pic:cNvPr id="120" name="图片_129_SpCnt_2"/>
                              <pic:cNvPicPr/>
                              <pic:nvPr/>
                            </pic:nvPicPr>
                            <pic:blipFill>
                              <a:blip r:embed="rId90"/>
                              <a:stretch/>
                            </pic:blipFill>
                            <pic:spPr bwMode="auto">
                              <a:xfrm>
                                <a:off x="0" y="0"/>
                                <a:ext cx="995680" cy="1104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65408;o:allowoverlap:true;o:allowincell:true;mso-position-horizontal-relative:text;margin-left:29.9pt;mso-position-horizontal:absolute;mso-position-vertical-relative:text;margin-top:1.9pt;mso-position-vertical:absolute;width:78.4pt;height:87.0pt;mso-wrap-distance-left:9.0pt;mso-wrap-distance-top:0.0pt;mso-wrap-distance-right:9.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540*530*850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1.材料：全部采用实木板材。                   2.组件制作：根据产品规格选出合适的大小的木料进行断料、开料，对逐个部件进行四面刨加工，然后精磨进行精切，加工，再进行部件整体钉制成型，坚久耐用。为保证产品耐久度，不允许三合一结构组装。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4.五金配件：采用五金配件，连接牢靠，经久耐用。 </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45</w:t>
            </w:r>
            <w:r/>
          </w:p>
        </w:tc>
      </w:tr>
      <w:tr>
        <w:trPr>
          <w:jc w:val="center"/>
          <w:trHeight w:val="25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147955</wp:posOffset>
                      </wp:positionH>
                      <wp:positionV relativeFrom="paragraph">
                        <wp:posOffset>37465</wp:posOffset>
                      </wp:positionV>
                      <wp:extent cx="1553210" cy="1169670"/>
                      <wp:effectExtent l="0" t="0" r="1270" b="3810"/>
                      <wp:wrapNone/>
                      <wp:docPr id="107" name="图片_221"/>
                      <wp:cNvGraphicFramePr/>
                      <a:graphic xmlns:a="http://schemas.openxmlformats.org/drawingml/2006/main">
                        <a:graphicData uri="http://schemas.openxmlformats.org/drawingml/2006/picture">
                          <pic:pic xmlns:pic="http://schemas.openxmlformats.org/drawingml/2006/picture">
                            <pic:nvPicPr>
                              <pic:cNvPr id="121" name="图片_221"/>
                              <pic:cNvPicPr/>
                              <pic:nvPr/>
                            </pic:nvPicPr>
                            <pic:blipFill>
                              <a:blip r:embed="rId91"/>
                              <a:stretch/>
                            </pic:blipFill>
                            <pic:spPr bwMode="auto">
                              <a:xfrm>
                                <a:off x="0" y="0"/>
                                <a:ext cx="1553210" cy="1169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65408;o:allowoverlap:true;o:allowincell:true;mso-position-horizontal-relative:text;margin-left:11.6pt;mso-position-horizontal:absolute;mso-position-vertical-relative:text;margin-top:2.9pt;mso-position-vertical:absolute;width:122.3pt;height:92.1pt;mso-wrap-distance-left:9.0pt;mso-wrap-distance-top:0.0pt;mso-wrap-distance-right:9.0pt;mso-wrap-distance-bottom:0.0pt;" stroked="f">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1400*700*760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1.材质：采用原木水曲柳直拼板，材质稳定，抗菌、防霉，不易变形，桌面厚度2.5cm，其余厚度1.6cm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1999"/>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579755</wp:posOffset>
                      </wp:positionH>
                      <wp:positionV relativeFrom="paragraph">
                        <wp:posOffset>43180</wp:posOffset>
                      </wp:positionV>
                      <wp:extent cx="812165" cy="1216025"/>
                      <wp:effectExtent l="0" t="0" r="10795" b="3175"/>
                      <wp:wrapNone/>
                      <wp:docPr id="108" name="图片_16_SpCnt_1"/>
                      <wp:cNvGraphicFramePr/>
                      <a:graphic xmlns:a="http://schemas.openxmlformats.org/drawingml/2006/main">
                        <a:graphicData uri="http://schemas.openxmlformats.org/drawingml/2006/picture">
                          <pic:pic xmlns:pic="http://schemas.openxmlformats.org/drawingml/2006/picture">
                            <pic:nvPicPr>
                              <pic:cNvPr id="126" name="图片_16_SpCnt_1"/>
                              <pic:cNvPicPr/>
                              <pic:nvPr/>
                            </pic:nvPicPr>
                            <pic:blipFill>
                              <a:blip r:embed="rId92"/>
                              <a:stretch/>
                            </pic:blipFill>
                            <pic:spPr bwMode="auto">
                              <a:xfrm>
                                <a:off x="0" y="0"/>
                                <a:ext cx="812165" cy="121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65408;o:allowoverlap:true;o:allowincell:true;mso-position-horizontal-relative:text;margin-left:45.6pt;mso-position-horizontal:absolute;mso-position-vertical-relative:text;margin-top:3.4pt;mso-position-vertical:absolute;width:63.9pt;height:95.8pt;mso-wrap-distance-left:9.0pt;mso-wrap-distance-top:0.0pt;mso-wrap-distance-right:9.0pt;mso-wrap-distance-bottom:0.0pt;" stroked="f">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540*530*850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46810" cy="1125855"/>
                      <wp:effectExtent l="0" t="0" r="0" b="0"/>
                      <wp:wrapNone/>
                      <wp:docPr id="109" name="rect_SpCnt_39"/>
                      <wp:cNvGraphicFramePr/>
                      <a:graphic xmlns:a="http://schemas.openxmlformats.org/drawingml/2006/main">
                        <a:graphicData uri="http://schemas.openxmlformats.org/drawingml/2006/picture">
                          <pic:pic xmlns:pic="http://schemas.openxmlformats.org/drawingml/2006/picture">
                            <pic:nvPicPr>
                              <pic:cNvPr id="122" name="rect_SpCnt_39"/>
                              <pic:cNvPicPr/>
                              <pic:nvPr/>
                            </pic:nvPicPr>
                            <pic:blipFill>
                              <a:blip r:embed="rId30"/>
                              <a:stretch/>
                            </pic:blipFill>
                            <pic:spPr bwMode="auto">
                              <a:xfrm>
                                <a:off x="0" y="0"/>
                                <a:ext cx="1146810"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65408;o:allowoverlap:true;o:allowincell:true;mso-position-horizontal-relative:text;margin-left:0.0pt;mso-position-horizontal:absolute;mso-position-vertical-relative:text;margin-top:0.0pt;mso-position-vertical:absolute;width:90.3pt;height:88.6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7920" cy="1125855"/>
                      <wp:effectExtent l="0" t="0" r="0" b="0"/>
                      <wp:wrapNone/>
                      <wp:docPr id="110" name="rect_SpCnt_40"/>
                      <wp:cNvGraphicFramePr/>
                      <a:graphic xmlns:a="http://schemas.openxmlformats.org/drawingml/2006/main">
                        <a:graphicData uri="http://schemas.openxmlformats.org/drawingml/2006/picture">
                          <pic:pic xmlns:pic="http://schemas.openxmlformats.org/drawingml/2006/picture">
                            <pic:nvPicPr>
                              <pic:cNvPr id="130" name="rect_SpCnt_40"/>
                              <pic:cNvPicPr/>
                              <pic:nvPr/>
                            </pic:nvPicPr>
                            <pic:blipFill>
                              <a:blip r:embed="rId93"/>
                              <a:stretch/>
                            </pic:blipFill>
                            <pic:spPr bwMode="auto">
                              <a:xfrm>
                                <a:off x="0" y="0"/>
                                <a:ext cx="1137920"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65408;o:allowoverlap:true;o:allowincell:true;mso-position-horizontal-relative:text;margin-left:0.0pt;mso-position-horizontal:absolute;mso-position-vertical-relative:text;margin-top:0.0pt;mso-position-vertical:absolute;width:89.6pt;height:88.6pt;mso-wrap-distance-left:9.0pt;mso-wrap-distance-top:0.0pt;mso-wrap-distance-right:9.0pt;mso-wrap-distance-bottom:0.0pt;" stroked="f">
                      <v:path textboxrect="0,0,0,0"/>
                      <v:imagedata r:id="rId93"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3475" cy="1140460"/>
                      <wp:effectExtent l="0" t="0" r="0" b="0"/>
                      <wp:wrapNone/>
                      <wp:docPr id="111" name="rect_SpCnt_41"/>
                      <wp:cNvGraphicFramePr/>
                      <a:graphic xmlns:a="http://schemas.openxmlformats.org/drawingml/2006/main">
                        <a:graphicData uri="http://schemas.openxmlformats.org/drawingml/2006/picture">
                          <pic:pic xmlns:pic="http://schemas.openxmlformats.org/drawingml/2006/picture">
                            <pic:nvPicPr>
                              <pic:cNvPr id="131" name="rect_SpCnt_41"/>
                              <pic:cNvPicPr/>
                              <pic:nvPr/>
                            </pic:nvPicPr>
                            <pic:blipFill>
                              <a:blip r:embed="rId31"/>
                              <a:stretch/>
                            </pic:blipFill>
                            <pic:spPr bwMode="auto">
                              <a:xfrm>
                                <a:off x="0" y="0"/>
                                <a:ext cx="113347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65408;o:allowoverlap:true;o:allowincell:true;mso-position-horizontal-relative:text;margin-left:0.0pt;mso-position-horizontal:absolute;mso-position-vertical-relative:text;margin-top:0.0pt;mso-position-vertical:absolute;width:89.2pt;height:89.8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133475" cy="1125855"/>
                      <wp:effectExtent l="0" t="0" r="0" b="0"/>
                      <wp:wrapNone/>
                      <wp:docPr id="112" name="rect_SpCnt_42"/>
                      <wp:cNvGraphicFramePr/>
                      <a:graphic xmlns:a="http://schemas.openxmlformats.org/drawingml/2006/main">
                        <a:graphicData uri="http://schemas.openxmlformats.org/drawingml/2006/picture">
                          <pic:pic xmlns:pic="http://schemas.openxmlformats.org/drawingml/2006/picture">
                            <pic:nvPicPr>
                              <pic:cNvPr id="132" name="rect_SpCnt_42"/>
                              <pic:cNvPicPr/>
                              <pic:nvPr/>
                            </pic:nvPicPr>
                            <pic:blipFill>
                              <a:blip r:embed="rId32"/>
                              <a:stretch/>
                            </pic:blipFill>
                            <pic:spPr bwMode="auto">
                              <a:xfrm>
                                <a:off x="0" y="0"/>
                                <a:ext cx="1133475" cy="1125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65408;o:allowoverlap:true;o:allowincell:true;mso-position-horizontal-relative:text;margin-left:0.0pt;mso-position-horizontal:absolute;mso-position-vertical-relative:text;margin-top:0.0pt;mso-position-vertical:absolute;width:89.2pt;height:88.6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1.面料：网布面料，经过防污、抗菌、 抗静电、耐色牢固、 抗强度等表面加工处理。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2.海绵：高密度 回弹海绵，软硬适中，回弹性能好，不变形，耐用度高。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3.曲木板：12mmE1级曲木板。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4.扶手：固定PP扶手。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5.耐磨性及其他理化性能均能达到合格标准。                        </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jc w:val="center"/>
          <w:trHeight w:val="90"/>
        </w:trPr>
        <w:tc>
          <w:tcPr>
            <w:gridSpan w:val="7"/>
            <w:shd w:val="clear" w:color="auto" w:fill="fee796"/>
            <w:tcBorders>
              <w:top w:val="single" w:color="000000" w:sz="4" w:space="0"/>
              <w:left w:val="single" w:color="000000" w:sz="4" w:space="0"/>
              <w:bottom w:val="single" w:color="000000" w:sz="4" w:space="0"/>
              <w:right w:val="none" w:color="000000" w:sz="4" w:space="0"/>
            </w:tcBorders>
            <w:tcW w:w="106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食堂</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餐桌椅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inline xmlns:wp="http://schemas.openxmlformats.org/drawingml/2006/wordprocessingDrawing" distT="0" distB="0" distL="0" distR="0">
                      <wp:extent cx="1752600" cy="1247775"/>
                      <wp:effectExtent l="0" t="0" r="0" b="1905"/>
                      <wp:docPr id="11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 descr="IMG_256"/>
                              <pic:cNvPicPr>
                                <a:picLocks noChangeAspect="1"/>
                              </pic:cNvPicPr>
                              <pic:nvPr/>
                            </pic:nvPicPr>
                            <pic:blipFill>
                              <a:blip r:embed="rId94"/>
                              <a:stretch/>
                            </pic:blipFill>
                            <pic:spPr bwMode="auto">
                              <a:xfrm>
                                <a:off x="0" y="0"/>
                                <a:ext cx="1752599" cy="1247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38.0pt;height:98.2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规格：1800*700*750，</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一.面板材质：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采用抗倍特一体成型；厚度12mm±1.0mm；耐80度以上高温。防水：浸水24小时后的膨胀指数不多于0.1mm，面板四周采用PE改性塑料挤出，弧边防撞设计，封边不使用胶水封边，利用内嵌式锯齿固定。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二．框架结构：</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椭圆形亮光铝管、圆形亮光铝管及方管亮光铝管组合时焊接而成。结构得需牢固，长间使用不得产生摇晃、松散的现象。焊接完成之铝管架，焊接部位得需牢固，需无脱焊、虚焊、焊穿；焊缝均匀，需无毛棱、锐棱、飞溅、裂纹等缺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2.尺寸：圆管Φ19mm*2.0mm±1mm、圆管Φ50mm*2.0mm±1mm、圆管Φ38mm*2.0mm±1mm；方管25mm*50mm*2.0mm±1mm。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表面涂装：焊接完成之铝管架，表面经酸洗、脱脂、磷化处理，耐腐蚀、防锈。外表采一级颗粒粉末，经高温粉体烤漆，附着力特强，不脱漆。涂层需无漏喷、锈蚀；涂层需光滑均匀，色泽一致，需无流挂、疙瘩、皱皮、飞漆等缺陷。涂层需平整光滑、清晰，需无明显粒子、涨边现象；应无明显加工痕迹、划痕、雾光、白棱、白点、鼓泡、油白、流挂、缩孔、刷毛、积粉和杂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三．坐垫要求：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1.坐垫材质：304不锈钢材质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2.尺寸：面板直径为30cm，座垫中心得需有内凹8mm设计，乘坐时舒适又耐用。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坐垫底下肘壁需一次弯管成型，结构得需牢固，长时间使用不得产生摇晃、松散的现象。坐下时，座椅的脚垫与地面接触作为支撑，坐垫可360度旋转。离开坐垫后，座椅可自动回弹升起归位。收纳时座椅的脚垫与地面无接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四，脚套：</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1、采用符合国家标准的PP耐冲击一级新料一体射出成型</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五，功能：座垫可以缓慢自动回弹，不需要人工操作操作回弹，方便人走开，座垫留在外面，产生安全问题。</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教师餐桌椅</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146685</wp:posOffset>
                      </wp:positionH>
                      <wp:positionV relativeFrom="paragraph">
                        <wp:posOffset>114300</wp:posOffset>
                      </wp:positionV>
                      <wp:extent cx="1555115" cy="1140460"/>
                      <wp:effectExtent l="0" t="0" r="14604" b="2540"/>
                      <wp:wrapNone/>
                      <wp:docPr id="114" name="图片_5"/>
                      <wp:cNvGraphicFramePr/>
                      <a:graphic xmlns:a="http://schemas.openxmlformats.org/drawingml/2006/main">
                        <a:graphicData uri="http://schemas.openxmlformats.org/drawingml/2006/picture">
                          <pic:pic xmlns:pic="http://schemas.openxmlformats.org/drawingml/2006/picture">
                            <pic:nvPicPr>
                              <pic:cNvPr id="134" name="图片_5"/>
                              <pic:cNvPicPr/>
                              <pic:nvPr/>
                            </pic:nvPicPr>
                            <pic:blipFill>
                              <a:blip r:embed="rId95"/>
                              <a:stretch/>
                            </pic:blipFill>
                            <pic:spPr bwMode="auto">
                              <a:xfrm>
                                <a:off x="0" y="0"/>
                                <a:ext cx="155511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65408;o:allowoverlap:true;o:allowincell:true;mso-position-horizontal-relative:text;margin-left:11.5pt;mso-position-horizontal:absolute;mso-position-vertical-relative:text;margin-top:9.0pt;mso-position-vertical:absolute;width:122.4pt;height:89.8pt;mso-wrap-distance-left:9.0pt;mso-wrap-distance-top:0.0pt;mso-wrap-distance-right:9.0pt;mso-wrap-distance-bottom:0.0pt;" stroked="f">
                      <v:path textboxrect="0,0,0,0"/>
                      <v:imagedata r:id="rId9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13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3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1.材质：采用原木水曲柳直拼板，材质稳定，抗菌、防霉，不易变形，厚度1.6cm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2.油漆：采用环保水性漆，三底二面油漆工艺，不可采用UV工艺；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3.整体一体式枪钉装配，五金配件连接坚固耐用；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4.其他：保留原木色设计，简约设计实用性强，视觉感温馨</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r>
    </w:tbl>
    <w:p>
      <w:pPr>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110"/>
        <w:ind w:left="0" w:firstLine="480"/>
        <w:keepLines w:val="0"/>
        <w:keepNext w:val="0"/>
        <w:pageBreakBefore w:val="0"/>
        <w:spacing w:line="360" w:lineRule="auto"/>
        <w:widowControl w:val="off"/>
        <w:rPr>
          <w:rFonts w:hint="eastAsia" w:ascii="宋体" w:hAnsi="宋体" w:eastAsia="宋体" w:cs="宋体"/>
          <w:bCs/>
          <w:color w:val="auto"/>
          <w:spacing w:val="0"/>
          <w:sz w:val="24"/>
          <w:szCs w:val="24"/>
          <w:highlight w:val="none"/>
          <w:lang w:val="en-US" w:eastAsia="zh-CN" w:bidi="ar-SA"/>
        </w:rPr>
      </w:pPr>
      <w:r>
        <w:rPr>
          <w:rFonts w:hint="eastAsia" w:ascii="宋体" w:hAnsi="宋体" w:eastAsia="宋体" w:cs="宋体"/>
          <w:bCs/>
          <w:color w:val="auto"/>
          <w:spacing w:val="0"/>
          <w:sz w:val="24"/>
          <w:szCs w:val="24"/>
          <w:highlight w:val="none"/>
          <w:lang w:val="en-US" w:eastAsia="zh-CN" w:bidi="ar-SA"/>
        </w:rPr>
        <w:t xml:space="preserve">注：①清单中图片款式仅作参考，投标供应商应按照清单中的规格、材质和工艺来进行投标。</w:t>
      </w:r>
      <w:r/>
    </w:p>
    <w:p>
      <w:pPr>
        <w:pStyle w:val="1110"/>
        <w:ind w:left="0" w:firstLine="480"/>
        <w:keepLines w:val="0"/>
        <w:keepNext w:val="0"/>
        <w:pageBreakBefore w:val="0"/>
        <w:spacing w:line="360" w:lineRule="auto"/>
        <w:widowControl w:val="off"/>
        <w:rPr>
          <w:rFonts w:hint="default" w:ascii="宋体" w:hAnsi="宋体" w:eastAsia="宋体" w:cs="宋体"/>
          <w:bCs/>
          <w:color w:val="auto"/>
          <w:spacing w:val="0"/>
          <w:sz w:val="24"/>
          <w:szCs w:val="24"/>
          <w:highlight w:val="none"/>
          <w:lang w:val="en-US" w:eastAsia="zh-CN" w:bidi="ar-SA"/>
        </w:rPr>
      </w:pPr>
      <w:r>
        <w:rPr>
          <w:rFonts w:hint="eastAsia" w:ascii="宋体" w:hAnsi="宋体" w:eastAsia="宋体" w:cs="宋体"/>
          <w:bCs/>
          <w:color w:val="auto"/>
          <w:spacing w:val="0"/>
          <w:sz w:val="24"/>
          <w:szCs w:val="24"/>
          <w:highlight w:val="none"/>
          <w:lang w:val="en-US" w:eastAsia="zh-CN" w:bidi="ar-SA"/>
        </w:rPr>
        <w:t xml:space="preserve">②需求中如涉及某项指标仅有一个数字而不含其他符号的（如以上、≥、≤），该项指标为最低标准（不具备唯一性），供应商可提供优于该指标参数的投标方案及报价。</w:t>
      </w:r>
      <w:r/>
    </w:p>
    <w:p>
      <w:pPr>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auto"/>
          <w:sz w:val="24"/>
          <w:szCs w:val="24"/>
          <w:highlight w:val="none"/>
          <w:lang w:val="en-US" w:eastAsia="zh-CN"/>
        </w:rPr>
      </w:pPr>
      <w:r>
        <w:rPr>
          <w:rFonts w:hint="default" w:ascii="Calibri" w:hAnsi="Calibri" w:eastAsia="宋体" w:cs="Calibri"/>
          <w:b/>
          <w:color w:val="auto"/>
          <w:sz w:val="24"/>
          <w:szCs w:val="24"/>
          <w:highlight w:val="none"/>
          <w:lang w:eastAsia="zh-CN"/>
        </w:rPr>
        <w:t xml:space="preserve">③</w:t>
      </w:r>
      <w:r>
        <w:rPr>
          <w:rFonts w:hint="eastAsia" w:ascii="宋体" w:hAnsi="宋体" w:eastAsia="宋体" w:cs="宋体"/>
          <w:b/>
          <w:color w:val="auto"/>
          <w:sz w:val="24"/>
          <w:szCs w:val="24"/>
          <w:highlight w:val="none"/>
          <w:lang w:val="en-US" w:eastAsia="zh-CN"/>
        </w:rPr>
        <w:t xml:space="preserve">主要产品相关执行标准及技术要求</w:t>
      </w:r>
      <w:r/>
    </w:p>
    <w:tbl>
      <w:tblPr>
        <w:tblStyle w:val="8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37"/>
      </w:tblGrid>
      <w:tr>
        <w:trPr/>
        <w:tc>
          <w:tcPr>
            <w:tcW w:w="10137" w:type="dxa"/>
            <w:textDirection w:val="lrTb"/>
            <w:noWrap w:val="false"/>
          </w:tcPr>
          <w:p>
            <w:pPr>
              <w:spacing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钢架</w:t>
            </w:r>
            <w:r>
              <w:rPr>
                <w:rFonts w:hint="eastAsia" w:ascii="宋体" w:hAnsi="宋体" w:eastAsia="宋体" w:cs="宋体"/>
                <w:color w:val="auto"/>
                <w:sz w:val="24"/>
                <w:szCs w:val="24"/>
                <w:highlight w:val="none"/>
              </w:rPr>
              <w:t xml:space="preserve">（抽检）采用的检测标准：</w:t>
            </w:r>
            <w:r>
              <w:rPr>
                <w:rFonts w:hint="eastAsia" w:ascii="宋体" w:hAnsi="宋体" w:cs="宋体"/>
                <w:color w:val="auto"/>
                <w:sz w:val="24"/>
                <w:szCs w:val="24"/>
                <w:highlight w:val="none"/>
                <w:lang w:val="en-US" w:eastAsia="zh-CN"/>
              </w:rPr>
              <w:t xml:space="preserve">GB/T 1741-2020、QB/T 4371-2012、GB/T 35607-2024。</w:t>
            </w:r>
            <w:r/>
          </w:p>
          <w:p>
            <w:pPr>
              <w:spacing w:after="0" w:line="36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检测内容包含：</w:t>
            </w:r>
            <w:r>
              <w:rPr>
                <w:rFonts w:hint="eastAsia" w:ascii="宋体" w:hAnsi="宋体" w:cs="宋体"/>
                <w:color w:val="auto"/>
                <w:sz w:val="24"/>
                <w:szCs w:val="24"/>
                <w:highlight w:val="none"/>
                <w:lang w:val="en-US" w:eastAsia="zh-CN"/>
              </w:rPr>
              <w:t xml:space="preserve">耐霉菌性等级至少包含2种霉菌达到2级；抗菌性能至少包含2种菌种≥90％；产品有害物质-家具涂层可迁移元素至少4种检测合格。</w:t>
            </w:r>
            <w:r/>
          </w:p>
        </w:tc>
      </w:tr>
      <w:tr>
        <w:trPr/>
        <w:tc>
          <w:tcPr>
            <w:tcW w:w="10137" w:type="dxa"/>
            <w:textDirection w:val="lrTb"/>
            <w:noWrap w:val="false"/>
          </w:tcPr>
          <w:p>
            <w:pPr>
              <w:spacing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304不锈钢</w:t>
            </w:r>
            <w:r>
              <w:rPr>
                <w:rFonts w:hint="eastAsia" w:ascii="宋体" w:hAnsi="宋体" w:cs="宋体"/>
                <w:color w:val="auto"/>
                <w:sz w:val="24"/>
                <w:szCs w:val="24"/>
                <w:highlight w:val="none"/>
                <w:lang w:val="en-US" w:eastAsia="zh-CN"/>
              </w:rPr>
              <w:t xml:space="preserve">（抽检）采用的检测标准：GB/T 10125-2021、GB/T 3280-2015、GB/T 228.1-2021。</w:t>
            </w:r>
            <w:r/>
          </w:p>
          <w:p>
            <w:pPr>
              <w:spacing w:after="0"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检测项目包含：铜加速乙酸盐雾试验（CASS试验）耐腐蚀等级达到6级；化学成分中至少有1种元素检测合格；抗拉强度≥515MPa。</w:t>
            </w:r>
            <w:r/>
          </w:p>
        </w:tc>
      </w:tr>
      <w:tr>
        <w:trPr>
          <w:trHeight w:val="1362"/>
        </w:trPr>
        <w:tc>
          <w:tcPr>
            <w:tcW w:w="10137" w:type="dxa"/>
            <w:textDirection w:val="lrTb"/>
            <w:noWrap w:val="false"/>
          </w:tcPr>
          <w:p>
            <w:pPr>
              <w:spacing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面料</w:t>
            </w:r>
            <w:r>
              <w:rPr>
                <w:rFonts w:hint="eastAsia" w:ascii="宋体" w:hAnsi="宋体" w:cs="宋体"/>
                <w:color w:val="auto"/>
                <w:sz w:val="24"/>
                <w:szCs w:val="24"/>
                <w:highlight w:val="none"/>
                <w:lang w:val="en-US" w:eastAsia="zh-CN"/>
              </w:rPr>
              <w:t xml:space="preserve">（抽检）采用的检测标准：QB/T 1952.1-2023、GB/T 2912.1-2009、GB/T 24346-2009</w:t>
            </w:r>
            <w:r/>
          </w:p>
          <w:p>
            <w:pPr>
              <w:spacing w:after="0"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检测内容包含：外观性能检测合格，甲醛含量75-0mg/kg，防霉性能包含至少一种霉菌检测达到2级。</w:t>
            </w:r>
            <w:r/>
          </w:p>
        </w:tc>
      </w:tr>
      <w:tr>
        <w:trPr/>
        <w:tc>
          <w:tcPr>
            <w:tcW w:w="10137" w:type="dxa"/>
            <w:textDirection w:val="lrTb"/>
            <w:noWrap w:val="false"/>
          </w:tcPr>
          <w:p>
            <w:pPr>
              <w:spacing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b/>
                <w:bCs/>
                <w:color w:val="auto"/>
                <w:sz w:val="24"/>
                <w:szCs w:val="24"/>
                <w:highlight w:val="none"/>
                <w:lang w:val="en-US" w:eastAsia="zh-CN"/>
              </w:rPr>
              <w:t xml:space="preserve">水性木器漆（面漆）</w:t>
            </w:r>
            <w:r>
              <w:rPr>
                <w:rFonts w:hint="eastAsia" w:ascii="宋体" w:hAnsi="宋体" w:cs="宋体"/>
                <w:color w:val="auto"/>
                <w:sz w:val="24"/>
                <w:szCs w:val="24"/>
                <w:highlight w:val="none"/>
                <w:lang w:val="en-US" w:eastAsia="zh-CN"/>
              </w:rPr>
              <w:t xml:space="preserve">（抽检）采用的检测标准：GB/T 23993-2009、GB/T 30647-2014、GB/T 23991-2009</w:t>
            </w:r>
            <w:r/>
          </w:p>
          <w:p>
            <w:pPr>
              <w:spacing w:after="0"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检测内容包含：甲醛含量≤100mg/kg；总铅含量≤90mg/kg；可溶性重金属含量（镉含量≤75mg/kg；铬含量≤60mg/kg；汞含量≤60mg/kg）。</w:t>
            </w:r>
            <w:r/>
          </w:p>
        </w:tc>
      </w:tr>
      <w:tr>
        <w:trPr/>
        <w:tc>
          <w:tcPr>
            <w:tcW w:w="10137" w:type="dxa"/>
            <w:textDirection w:val="lrTb"/>
            <w:noWrap w:val="false"/>
          </w:tcPr>
          <w:p>
            <w:pPr>
              <w:spacing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b/>
                <w:bCs/>
                <w:color w:val="auto"/>
                <w:sz w:val="24"/>
                <w:szCs w:val="24"/>
                <w:highlight w:val="none"/>
                <w:lang w:val="en-US" w:eastAsia="zh-CN"/>
              </w:rPr>
              <w:t xml:space="preserve">课桌椅</w:t>
            </w:r>
            <w:r>
              <w:rPr>
                <w:rFonts w:hint="eastAsia" w:ascii="宋体" w:hAnsi="宋体" w:cs="宋体"/>
                <w:color w:val="auto"/>
                <w:sz w:val="24"/>
                <w:szCs w:val="24"/>
                <w:highlight w:val="none"/>
                <w:lang w:val="en-US" w:eastAsia="zh-CN"/>
              </w:rPr>
              <w:t xml:space="preserve">（抽检）采用的检测标准：GB/T 1741-2020、GB/T 35607-2024</w:t>
            </w:r>
            <w:r/>
          </w:p>
          <w:p>
            <w:pPr>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检测内容包含：耐霉菌性等级至少包含3种霉菌达到2级；甲醛释放量检测合格。</w:t>
            </w:r>
            <w:r/>
          </w:p>
        </w:tc>
      </w:tr>
    </w:tbl>
    <w:p>
      <w:pPr>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（二）有关说明： </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1.投标报价包括中标供应商为实现合同目的所需的全部费用，包括但不限于货物及其配件、包装、运杂、保险、现场保管、装卸费（指定卸货地点）、安装调试、检测、售后服务、税金等从项目中标起到项目正式交付以及质保期内所发生的一切费用</w:t>
      </w:r>
      <w:r>
        <w:rPr>
          <w:rFonts w:hint="eastAsia" w:ascii="宋体" w:hAnsi="宋体" w:eastAsia="宋体" w:cs="宋体"/>
          <w:bCs/>
          <w:color w:val="auto"/>
          <w:sz w:val="24"/>
          <w:szCs w:val="24"/>
          <w:highlight w:val="none"/>
        </w:rPr>
        <w:t xml:space="preserve">。</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2.投标人必须在满足招标文件要求的基础上进行报价，如有技术偏离请于投标偏离表中说明。</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3.售后服务要求：</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免费质保（服务）期：自验收合格之日起3年，中标供应商须按国家“三包服务政策（包退、包换、包修）”和厂家条例提供货物整体保修、配件（含五金件）保修、耗材及易损件保修。质保期内原厂免费上门质保。保修期内产品质量问题在二次维修后仍不能正常运行的，能保证予以调换或提供同品牌、同型号的货物（服务）。</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故障响应时间：在货物保修期内，一旦发生质量问题，中标供应商接到电话后1小时服务响应，2小时内到达现场，并于24小时内解决问题。如果未能解决故障，中标供应商须提供同类可用产品或解决方案供采购人替代使用，直到故障排除，如需更换货物或送修，必须在2个工作日内解决。如果中标供应商在接到通知后12小时内没有答复，则视为承认质量问题并承担由此发生的一切费用。在质保期内发生问题，所有服务应免费。质保期满后的维修内容减免上门费及人工费等费用，仅按原材料的价格收取维修费用。</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（4）质保期内，除人为损坏和不可抗力外，</w:t>
      </w:r>
      <w:r>
        <w:rPr>
          <w:rFonts w:hint="eastAsia" w:ascii="宋体" w:hAnsi="宋体" w:cs="宋体"/>
          <w:bCs/>
          <w:color w:val="auto"/>
          <w:sz w:val="24"/>
          <w:szCs w:val="24"/>
          <w:highlight w:val="none"/>
          <w:lang w:val="en-US" w:eastAsia="zh-CN"/>
        </w:rPr>
        <w:t xml:space="preserve">其间</w:t>
      </w:r>
      <w:r>
        <w:rPr>
          <w:rFonts w:hint="eastAsia" w:ascii="宋体" w:hAnsi="宋体" w:eastAsia="宋体" w:cs="宋体"/>
          <w:bCs/>
          <w:color w:val="auto"/>
          <w:sz w:val="24"/>
          <w:szCs w:val="24"/>
          <w:highlight w:val="none"/>
          <w:lang w:val="en-US" w:eastAsia="zh-CN"/>
        </w:rPr>
        <w:t xml:space="preserve">所产生的任何维护或维修及更换配件的费用均由中标供应商承担。</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中标供应商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4.出现以下情况之一的，采购</w:t>
      </w:r>
      <w:r>
        <w:rPr>
          <w:rFonts w:hint="eastAsia" w:ascii="宋体" w:hAnsi="宋体" w:cs="宋体"/>
          <w:b/>
          <w:bCs w:val="0"/>
          <w:color w:val="auto"/>
          <w:sz w:val="24"/>
          <w:szCs w:val="24"/>
          <w:highlight w:val="none"/>
          <w:lang w:val="en-US" w:eastAsia="zh-CN"/>
        </w:rPr>
        <w:t xml:space="preserve">人</w:t>
      </w:r>
      <w:r>
        <w:rPr>
          <w:rFonts w:hint="eastAsia" w:ascii="宋体" w:hAnsi="宋体" w:eastAsia="宋体" w:cs="宋体"/>
          <w:b/>
          <w:bCs w:val="0"/>
          <w:color w:val="auto"/>
          <w:sz w:val="24"/>
          <w:szCs w:val="24"/>
          <w:highlight w:val="none"/>
          <w:lang w:val="en-US" w:eastAsia="zh-CN"/>
        </w:rPr>
        <w:t xml:space="preserve">有权依照法律程序解除合同</w:t>
      </w:r>
      <w:r>
        <w:rPr>
          <w:rFonts w:hint="eastAsia" w:ascii="宋体" w:hAnsi="宋体" w:cs="宋体"/>
          <w:b/>
          <w:bCs w:val="0"/>
          <w:color w:val="auto"/>
          <w:sz w:val="24"/>
          <w:szCs w:val="24"/>
          <w:highlight w:val="none"/>
          <w:lang w:val="en-US" w:eastAsia="zh-CN"/>
        </w:rPr>
        <w:t xml:space="preserve">，并</w:t>
      </w:r>
      <w:r>
        <w:rPr>
          <w:rFonts w:hint="eastAsia" w:ascii="宋体" w:hAnsi="宋体" w:eastAsia="宋体" w:cs="宋体"/>
          <w:b/>
          <w:bCs w:val="0"/>
          <w:color w:val="auto"/>
          <w:sz w:val="24"/>
          <w:szCs w:val="24"/>
          <w:highlight w:val="none"/>
          <w:lang w:val="en-US" w:eastAsia="zh-CN"/>
        </w:rPr>
        <w:t xml:space="preserve">追究中标</w:t>
      </w:r>
      <w:r>
        <w:rPr>
          <w:rFonts w:hint="eastAsia" w:ascii="宋体" w:hAnsi="宋体" w:cs="宋体"/>
          <w:b/>
          <w:bCs w:val="0"/>
          <w:color w:val="auto"/>
          <w:sz w:val="24"/>
          <w:szCs w:val="24"/>
          <w:highlight w:val="none"/>
          <w:lang w:val="en-US" w:eastAsia="zh-CN"/>
        </w:rPr>
        <w:t xml:space="preserve">供应商</w:t>
      </w:r>
      <w:r>
        <w:rPr>
          <w:rFonts w:hint="eastAsia" w:ascii="宋体" w:hAnsi="宋体" w:eastAsia="宋体" w:cs="宋体"/>
          <w:b/>
          <w:bCs w:val="0"/>
          <w:color w:val="auto"/>
          <w:sz w:val="24"/>
          <w:szCs w:val="24"/>
          <w:highlight w:val="none"/>
          <w:lang w:val="en-US" w:eastAsia="zh-CN"/>
        </w:rPr>
        <w:t xml:space="preserve">的法律责任</w:t>
      </w:r>
      <w:r>
        <w:rPr>
          <w:rFonts w:hint="eastAsia" w:ascii="宋体" w:hAnsi="宋体" w:cs="宋体"/>
          <w:b/>
          <w:bCs w:val="0"/>
          <w:color w:val="auto"/>
          <w:sz w:val="24"/>
          <w:szCs w:val="24"/>
          <w:highlight w:val="none"/>
          <w:lang w:val="en-US" w:eastAsia="zh-CN"/>
        </w:rPr>
        <w:t xml:space="preserve">，并</w:t>
      </w:r>
      <w:r>
        <w:rPr>
          <w:rFonts w:hint="eastAsia" w:ascii="宋体" w:hAnsi="宋体" w:eastAsia="宋体" w:cs="宋体"/>
          <w:b/>
          <w:bCs w:val="0"/>
          <w:color w:val="auto"/>
          <w:sz w:val="24"/>
          <w:szCs w:val="24"/>
          <w:highlight w:val="none"/>
          <w:lang w:val="en-US" w:eastAsia="zh-CN"/>
        </w:rPr>
        <w:t xml:space="preserve">提请采购管理部门作出相应处理</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并赔偿</w:t>
      </w:r>
      <w:r>
        <w:rPr>
          <w:rFonts w:hint="eastAsia" w:ascii="宋体" w:hAnsi="宋体" w:cs="宋体"/>
          <w:b/>
          <w:bCs w:val="0"/>
          <w:color w:val="auto"/>
          <w:sz w:val="24"/>
          <w:szCs w:val="24"/>
          <w:highlight w:val="none"/>
          <w:lang w:val="en-US" w:eastAsia="zh-CN"/>
        </w:rPr>
        <w:t xml:space="preserve">采购人</w:t>
      </w:r>
      <w:r>
        <w:rPr>
          <w:rFonts w:hint="eastAsia" w:ascii="宋体" w:hAnsi="宋体" w:eastAsia="宋体" w:cs="宋体"/>
          <w:b/>
          <w:bCs w:val="0"/>
          <w:color w:val="auto"/>
          <w:sz w:val="24"/>
          <w:szCs w:val="24"/>
          <w:highlight w:val="none"/>
          <w:lang w:val="en-US" w:eastAsia="zh-CN"/>
        </w:rPr>
        <w:t xml:space="preserve">因此产生的误期违约损失：</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（1）合同履行过程中，采购人有权对中标供应商</w:t>
      </w:r>
      <w:r>
        <w:rPr>
          <w:rFonts w:hint="eastAsia" w:ascii="宋体" w:hAnsi="宋体" w:eastAsia="宋体" w:cs="宋体"/>
          <w:b/>
          <w:bCs w:val="0"/>
          <w:color w:val="auto"/>
          <w:sz w:val="24"/>
          <w:szCs w:val="24"/>
          <w:highlight w:val="none"/>
          <w:lang w:val="en-US" w:eastAsia="zh-CN"/>
        </w:rPr>
        <w:t xml:space="preserve">提供的货物进行随机破坏性试验，如发现实物与清单特征描述所用材质不符，采购人有权要求中标供应商更换，若中标供应商未按时完成更换或更换后仍不满足采购人要求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试验结果有异议，可委托权威机构进行检测，所产生的检测及验收费用由过失方承担。（破坏性检测的货物，检测后重新装好，相关费用由中标供应商自行承担）</w:t>
      </w:r>
      <w:r>
        <w:rPr>
          <w:rFonts w:hint="eastAsia" w:ascii="宋体" w:hAnsi="宋体" w:cs="宋体"/>
          <w:b/>
          <w:bCs w:val="0"/>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货到现场后门窗封闭24小时后进行环保检测，如检测结果不满足环保要求的，中标供应商应限期进行整改，若中标供应商未按时完成整改或整改后仍不合格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检测结果有异议，可委托权威机构进行检测，所产生的检测及验收费用由过失方承担。</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（3）中标供应商</w:t>
      </w:r>
      <w:r>
        <w:rPr>
          <w:rFonts w:hint="eastAsia" w:ascii="宋体" w:hAnsi="宋体" w:cs="宋体"/>
          <w:b/>
          <w:bCs w:val="0"/>
          <w:color w:val="auto"/>
          <w:sz w:val="24"/>
          <w:szCs w:val="24"/>
          <w:highlight w:val="none"/>
          <w:lang w:val="en-US" w:eastAsia="zh-CN"/>
        </w:rPr>
        <w:t xml:space="preserve">所供货物</w:t>
      </w:r>
      <w:r>
        <w:rPr>
          <w:rFonts w:hint="eastAsia" w:ascii="宋体" w:hAnsi="宋体" w:eastAsia="宋体" w:cs="宋体"/>
          <w:b/>
          <w:bCs w:val="0"/>
          <w:color w:val="auto"/>
          <w:sz w:val="24"/>
          <w:szCs w:val="24"/>
          <w:highlight w:val="none"/>
          <w:lang w:val="en-US" w:eastAsia="zh-CN"/>
        </w:rPr>
        <w:t xml:space="preserve">必须按</w:t>
      </w:r>
      <w:r>
        <w:rPr>
          <w:rFonts w:hint="eastAsia" w:ascii="宋体" w:hAnsi="宋体" w:cs="宋体"/>
          <w:b/>
          <w:bCs w:val="0"/>
          <w:color w:val="auto"/>
          <w:sz w:val="24"/>
          <w:szCs w:val="24"/>
          <w:highlight w:val="none"/>
          <w:lang w:val="en-US" w:eastAsia="zh-CN"/>
        </w:rPr>
        <w:t xml:space="preserve">采购文件及投标文件中约定的</w:t>
      </w:r>
      <w:r>
        <w:rPr>
          <w:rFonts w:hint="eastAsia" w:ascii="宋体" w:hAnsi="宋体" w:eastAsia="宋体" w:cs="宋体"/>
          <w:b/>
          <w:bCs w:val="0"/>
          <w:color w:val="auto"/>
          <w:sz w:val="24"/>
          <w:szCs w:val="24"/>
          <w:highlight w:val="none"/>
          <w:lang w:val="en-US" w:eastAsia="zh-CN"/>
        </w:rPr>
        <w:t xml:space="preserve">实际参数</w:t>
      </w:r>
      <w:r>
        <w:rPr>
          <w:rFonts w:hint="eastAsia" w:ascii="宋体" w:hAnsi="宋体" w:cs="宋体"/>
          <w:b/>
          <w:bCs w:val="0"/>
          <w:color w:val="auto"/>
          <w:sz w:val="24"/>
          <w:szCs w:val="24"/>
          <w:highlight w:val="none"/>
          <w:lang w:val="en-US" w:eastAsia="zh-CN"/>
        </w:rPr>
        <w:t xml:space="preserve">进行</w:t>
      </w:r>
      <w:r>
        <w:rPr>
          <w:rFonts w:hint="eastAsia" w:ascii="宋体" w:hAnsi="宋体" w:eastAsia="宋体" w:cs="宋体"/>
          <w:b/>
          <w:bCs w:val="0"/>
          <w:color w:val="auto"/>
          <w:sz w:val="24"/>
          <w:szCs w:val="24"/>
          <w:highlight w:val="none"/>
          <w:lang w:val="en-US" w:eastAsia="zh-CN"/>
        </w:rPr>
        <w:t xml:space="preserve">供货</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货物运送到场地后，采购人有权委托第三方法定检验机构进行抽检验收，并出具书面检验报告。若检测不</w:t>
      </w:r>
      <w:r>
        <w:rPr>
          <w:rFonts w:hint="eastAsia" w:ascii="宋体" w:hAnsi="宋体" w:cs="宋体"/>
          <w:b/>
          <w:bCs w:val="0"/>
          <w:color w:val="auto"/>
          <w:sz w:val="24"/>
          <w:szCs w:val="24"/>
          <w:highlight w:val="none"/>
          <w:lang w:val="en-US" w:eastAsia="zh-CN"/>
        </w:rPr>
        <w:t xml:space="preserve">达标（包括：实际供货产品与承诺参数不符、检测指标不合格等）</w:t>
      </w:r>
      <w:r>
        <w:rPr>
          <w:rFonts w:hint="eastAsia" w:ascii="宋体" w:hAnsi="宋体" w:eastAsia="宋体" w:cs="宋体"/>
          <w:b/>
          <w:bCs w:val="0"/>
          <w:color w:val="auto"/>
          <w:sz w:val="24"/>
          <w:szCs w:val="24"/>
          <w:highlight w:val="none"/>
          <w:lang w:val="en-US" w:eastAsia="zh-CN"/>
        </w:rPr>
        <w:t xml:space="preserve">，中标供应商应限期进行整改</w:t>
      </w:r>
      <w:r>
        <w:rPr>
          <w:rFonts w:hint="eastAsia" w:ascii="宋体" w:hAnsi="宋体" w:cs="宋体"/>
          <w:b/>
          <w:bCs w:val="0"/>
          <w:color w:val="auto"/>
          <w:sz w:val="24"/>
          <w:szCs w:val="24"/>
          <w:highlight w:val="none"/>
          <w:lang w:val="en-US" w:eastAsia="zh-CN"/>
        </w:rPr>
        <w:t xml:space="preserve">（整改期限计入项目总体完工期限）。</w:t>
      </w:r>
      <w:r>
        <w:rPr>
          <w:rFonts w:hint="eastAsia" w:ascii="宋体" w:hAnsi="宋体" w:eastAsia="宋体" w:cs="宋体"/>
          <w:b/>
          <w:bCs w:val="0"/>
          <w:color w:val="auto"/>
          <w:sz w:val="24"/>
          <w:szCs w:val="24"/>
          <w:highlight w:val="none"/>
          <w:lang w:val="en-US" w:eastAsia="zh-CN"/>
        </w:rPr>
        <w:t xml:space="preserve">若中标供应商未按时完成整改或整改后仍不</w:t>
      </w:r>
      <w:r>
        <w:rPr>
          <w:rFonts w:hint="eastAsia" w:ascii="宋体" w:hAnsi="宋体" w:cs="宋体"/>
          <w:b/>
          <w:bCs w:val="0"/>
          <w:color w:val="auto"/>
          <w:sz w:val="24"/>
          <w:szCs w:val="24"/>
          <w:highlight w:val="none"/>
          <w:lang w:val="en-US" w:eastAsia="zh-CN"/>
        </w:rPr>
        <w:t xml:space="preserve">达标</w:t>
      </w:r>
      <w:r>
        <w:rPr>
          <w:rFonts w:hint="eastAsia" w:ascii="宋体" w:hAnsi="宋体" w:eastAsia="宋体" w:cs="宋体"/>
          <w:b/>
          <w:bCs w:val="0"/>
          <w:color w:val="auto"/>
          <w:sz w:val="24"/>
          <w:szCs w:val="24"/>
          <w:highlight w:val="none"/>
          <w:lang w:val="en-US" w:eastAsia="zh-CN"/>
        </w:rPr>
        <w:t xml:space="preserve">的，则采购人有权要求中标供应商支付合同总价款20%的违约金（采购人有权在应付中标供应商的款项中直接扣除赔偿金和违约金，不足扣除部分，采购人有权向中标供应商追偿）；情节严重的终止合同，由此造成的一切损失由中标供应商承担。如果双方对验收结果有异议，可委托权威机构进行检测，所产生的检测及验收费用由过失方承担。如发现产品材质与招标要求不符，出现以次充好的情况，则取消供应商的中标资格，扣除全额履约保证金并终止合同</w:t>
      </w:r>
      <w:r>
        <w:rPr>
          <w:rFonts w:hint="eastAsia" w:ascii="宋体" w:hAnsi="宋体" w:cs="宋体"/>
          <w:b/>
          <w:bCs w:val="0"/>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8.本项目合同履行地点：</w:t>
      </w:r>
      <w:r>
        <w:rPr>
          <w:rFonts w:hint="eastAsia" w:ascii="宋体" w:hAnsi="宋体" w:cs="宋体"/>
          <w:bCs/>
          <w:color w:val="auto"/>
          <w:sz w:val="24"/>
          <w:szCs w:val="24"/>
          <w:highlight w:val="none"/>
          <w:lang w:val="en-US" w:eastAsia="zh-CN"/>
        </w:rPr>
        <w:t xml:space="preserve">锡东高级中学大成分校校区内</w:t>
      </w:r>
      <w:r>
        <w:rPr>
          <w:rFonts w:hint="eastAsia" w:ascii="宋体" w:hAnsi="宋体" w:eastAsia="宋体" w:cs="宋体"/>
          <w:bCs/>
          <w:color w:val="auto"/>
          <w:sz w:val="24"/>
          <w:szCs w:val="24"/>
          <w:highlight w:val="none"/>
          <w:lang w:val="en-US" w:eastAsia="zh-CN"/>
        </w:rPr>
        <w:t xml:space="preserve">，具体地点以合同书约定为准。中标供应商必须按采购人要求将本项目中货物送到指定地点（包括可能的分布范围），并分地实施安装调试。</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.采购人有权对中标供应商的生产厂家进行现场考察，若发现中标供应商不具备生产供货能力或存在弄虚作假等情况，采购人有权提请采购管理部门作出相应处理。</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供应商必须按照采购方采购需求（以采购方提供的需求清单为准）提供相应数量的配件，所提供的配件必须为原厂生产，完全符合配件所使用生产厂商的质量要求。其各项技术性能指标、质量标准应满足企业标准（行业标准），满足使用要求。</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11.服务标准：</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（1）包装要求：</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中标供应商提供的配件每个最小包装单元必须齐全有效，并且配件完好、无破损。配件的包装需由中标供应商自行解决，不得向采购人另外收取包装相关费用。中标供应商没有明确要求收回的配件包装，采购人不予保存。</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（2）安全要求</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中标供应商在采购人工作区域送货、服务时，施工人员、车辆及工具需遵守采购人的各项安全规定，遵守采购人工作区域的消防管理规定，自觉接受消防安全检查，并保持工作场地整齐、清洁。</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12.安装及调试：</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中标供应商应派经采购人认可的有经验和能力、具有相应资质的技术人员，负责所供货物的安装调试工作，在安装期间应充分了解安装进度要求，解决安装中出现的技术问题。</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（1）安装及调试所需专用工具设施物料由中标供应商自备、自费运到现场，完工后自费搬走。</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（2）安装及调试完成后，验收按国家有关规范标准（国家无验收规范标准的按双方合同规定的要求）进行。</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13.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对于国家或地方技术质量监督抽查不合格及因自身质量问题造成严重后果的配件，中标供应商需进行换货或返修，直至符合相关要求，其间造成影响采购人维修进度的或造成采购方设备损伤的，由中标供应商负责承担全部责任及连带责任。</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根据质量缺陷的具体情况，中标供应商应对检验存在质量缺陷或安装使用后无法恢复设备使用性能的配件，应做出让步接收或退货等处理措施。对包装变形、破损、泄漏的配件进行及时更换。必要时服务项目完成后应出具工作记录或检验测试文件。</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采购人将委托检测机构对家具安装场地进行密封检测，检测指标应符合相关规范要求，如不符合要求，中标供应商应整改至合格，检测费用及整改费用由中标供应商承担</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并赔偿</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lang w:val="en-US" w:eastAsia="zh-CN"/>
        </w:rPr>
        <w:t xml:space="preserve">因此产生的误期违约损失。</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default"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14.</w:t>
      </w:r>
      <w:r>
        <w:rPr>
          <w:rFonts w:hint="eastAsia" w:ascii="宋体" w:hAnsi="宋体" w:eastAsia="宋体" w:cs="宋体"/>
          <w:b w:val="0"/>
          <w:bCs/>
          <w:color w:val="auto"/>
          <w:sz w:val="24"/>
          <w:szCs w:val="24"/>
          <w:highlight w:val="none"/>
          <w:lang w:val="en-US" w:eastAsia="zh-CN" w:bidi="ar-SA"/>
        </w:rPr>
        <w:t xml:space="preserve">中标供应商须按签约合同价的10%提供履约保证金。中标供应商和采购人签订合同时应提交履约保函证明。</w:t>
      </w:r>
      <w:r/>
    </w:p>
    <w:p>
      <w:pPr>
        <w:ind w:firstLine="3520"/>
        <w:rPr>
          <w:rFonts w:ascii="宋体" w:hAnsi="宋体" w:cs="宋体"/>
          <w:b/>
          <w:bCs/>
          <w:color w:val="auto"/>
          <w:sz w:val="52"/>
          <w:szCs w:val="52"/>
          <w:highlight w:val="none"/>
        </w:rPr>
      </w:pPr>
      <w:r>
        <w:rPr>
          <w:rFonts w:ascii="宋体" w:hAnsi="宋体" w:cs="宋体"/>
          <w:b/>
          <w:bCs/>
          <w:color w:val="auto"/>
          <w:sz w:val="52"/>
          <w:szCs w:val="5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bookmarkStart w:id="24" w:name="_GoBack"/>
      <w:r/>
      <w:bookmarkEnd w:id="24"/>
      <w:r/>
      <w:r/>
    </w:p>
    <w:p>
      <w:pPr>
        <w:jc w:val="left"/>
        <w:spacing w:line="24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附件1：</w:t>
      </w:r>
      <w:r/>
    </w:p>
    <w:p>
      <w:pPr>
        <w:jc w:val="center"/>
        <w:spacing w:line="360" w:lineRule="auto"/>
        <w:rPr>
          <w:rFonts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lang w:val="zh-CN"/>
        </w:rPr>
        <w:t xml:space="preserve">商品包装政府采购需求标准（ 试行）</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一、适用范围</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本标准规定了商品使用的塑料、纸质、木质等包装材料的环保要求。</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二、商品包装环保要求</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1.商品包装层数不得超过3 层，空隙率不大于 40%；</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2.商品包装尽可能使用单一材质的包装材料，如因功能需求必须使用不同材质，不同材质间应便于分离；</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3.商品包装中铅、汞、镉、六价铬的总含量应不大于100mg/kg；</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4.商品包装印刷使用的油墨中挥发性有机化合物（VOCs）含量应不大于 5g（以重量计）；</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5.塑料材质商品包装上呈现的印刷颜色不得超过 6色；</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6.纸质商品包装应使用 75%以上的可再生纤维原料生产；</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7.木质商品包装的原料应来源于可持续性森林。</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三、检测方法</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1.商品包装中重金属（铅、汞、铜、六价铬）总量的检测按照 GB/T 10004-2008《包装用塑料复合膜、袋干法复合挤出复合》规定的方法进行。</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2.商品包装印刷使用的油墨中挥发性有机化合物（VOCs）的检测按照GB/T 23986-2009《色漆和清漆挥发性有机化合物（VOC）含量的测定 气相色谱法》规定的方法进行。</w:t>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br w:type="page" w:clear="all"/>
      </w:r>
      <w:r/>
    </w:p>
    <w:p>
      <w:pPr>
        <w:jc w:val="left"/>
        <w:spacing w:line="360" w:lineRule="auto"/>
        <w:rPr>
          <w:rFonts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附件2：</w:t>
      </w:r>
      <w:r/>
    </w:p>
    <w:p>
      <w:pPr>
        <w:jc w:val="center"/>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快递包装政府采购需求标准（试行）</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一、适用范围</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本标准中的快递包装主要指快递封装材料，包括封套、胶带、面单、包装袋/箱、填充物、集装袋、周转箱等。</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二、快递包装环保要求</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1.快递包装中重金属 （铅、汞、锡、六价铬） 总量应不大于100mg/kg；</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2.快递包装印刷使用的油墨中不应添加邻苯二甲酸酐，其挥发性有机化合物（VOCs）含量应不大于5g（以重量计）；</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3.快递包装中使用纸基材的包装材料，纸基材中的有机氯的含量应不大于 150 mg/kg；</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6.快递中使用的充气类填充物不得使用聚氯乙烯作为原料，且原料为单一材质制成，生物分解率大于 60%；</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7.快递中使用的集装袋应为单一材质制成，其重复使用次数应不小于80 次；</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8.快递中应使用幅宽不大于45mm 的生物降解胶带；</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9.快递包装中不得使用溶剂型</w:t>
      </w:r>
      <w:r>
        <w:rPr>
          <w:rFonts w:hint="eastAsia" w:ascii="宋体" w:hAnsi="宋体" w:cs="宋体"/>
          <w:color w:val="auto"/>
          <w:sz w:val="24"/>
          <w:szCs w:val="24"/>
          <w:highlight w:val="none"/>
          <w:lang w:val="zh-CN"/>
        </w:rPr>
        <w:t xml:space="preserve">胶黏剂</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10.快递应使用电子面单；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11.直接使用商品包装作为快递包装的商品，其商品包装满足《商品包装政府采购需求标准（试行）》即可；</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12.快递包装产品质量和封装方式应符合相关国家或行业标准技术指标要求。</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三、检测方法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1.快递包装中重金属（铅、汞、镉、六价铬）总量的检测按照 GB/T 10004-2008《包装用塑料复合膜、袋干法复合、挤出复合》规定的方法进行。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2.快递包装印刷使用的油墨中挥发性有机化合物（VOCs）的检测按照 GB/T 23986-2009《色漆和清漆 挥发性有机化合物（VOC）含量的测定 气相色谱法》规定的方法进行。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3.快递包装所使用的塑料包装的生物降解率的检测按照 GB/T 20197-2006《降解塑料的定义、分类、标识和降解性能要求》规定的方法进行。</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4.快递包装使用纸基材的包装材料中有机氯的检测按照 GB/T 22904-2008《纸浆、纸和纸板总氯和有机氯的检定》规定的方法进行。</w:t>
      </w:r>
      <w:r/>
    </w:p>
    <w:p>
      <w:pPr>
        <w:ind w:firstLine="480"/>
        <w:spacing w:line="360" w:lineRule="auto"/>
        <w:rPr>
          <w:rFonts w:ascii="宋体" w:hAnsi="宋体" w:cs="宋体"/>
          <w:color w:val="auto"/>
          <w:sz w:val="32"/>
          <w:szCs w:val="32"/>
          <w:highlight w:val="none"/>
        </w:rPr>
      </w:pPr>
      <w:r>
        <w:rPr>
          <w:rFonts w:hint="eastAsia" w:ascii="宋体" w:hAnsi="宋体" w:eastAsia="宋体" w:cs="宋体"/>
          <w:color w:val="auto"/>
          <w:sz w:val="24"/>
          <w:szCs w:val="24"/>
          <w:highlight w:val="none"/>
          <w:lang w:val="zh-CN"/>
        </w:rPr>
        <w:t xml:space="preserve">5.快递包装中使用的生物降解胶带的生物降解率的检测按照 GB/T19277.1《受控堆肥条件下材料最终需氧生物分解能力的测定采用测定释放的二氧化碳的方法 第1部分：通用方法》规定的方法进行</w:t>
      </w:r>
      <w:r/>
    </w:p>
    <w:p>
      <w:pPr>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jc w:val="left"/>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附：政府采购政策（包括但不限于下列具体政策要求）</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rPr>
          <w:rFonts w:hint="eastAsia" w:ascii="宋体" w:hAnsi="宋体" w:eastAsia="宋体" w:cs="宋体"/>
          <w:b w:val="0"/>
          <w:bCs/>
          <w:color w:val="auto"/>
          <w:sz w:val="24"/>
          <w:szCs w:val="24"/>
          <w:highlight w:val="none"/>
          <w:lang w:val="en-US" w:eastAsia="zh-CN" w:bidi="ar-SA"/>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rPr>
          <w:rFonts w:hint="eastAsia" w:ascii="宋体" w:hAnsi="宋体" w:cs="宋体"/>
          <w:b w:val="0"/>
          <w:bCs/>
          <w:color w:val="auto"/>
          <w:sz w:val="24"/>
          <w:szCs w:val="24"/>
          <w:highlight w:val="none"/>
          <w:lang w:val="en-US" w:eastAsia="zh-CN" w:bidi="ar-SA"/>
        </w:rPr>
        <w:t xml:space="preserve">。</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w:t>
      </w:r>
      <w:r/>
    </w:p>
    <w:p>
      <w:pPr>
        <w:ind w:firstLine="482"/>
        <w:keepLines w:val="0"/>
        <w:keepNext w:val="0"/>
        <w:pageBreakBefore w:val="0"/>
        <w:spacing w:line="336" w:lineRule="auto"/>
        <w:widowControl w:val="off"/>
        <w:tabs>
          <w:tab w:val="left" w:pos="945" w:leader="none"/>
          <w:tab w:val="left" w:pos="11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2"/>
        <w:keepLines w:val="0"/>
        <w:keepNext w:val="0"/>
        <w:pageBreakBefore w:val="0"/>
        <w:spacing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auto"/>
          <w:sz w:val="24"/>
          <w:szCs w:val="24"/>
          <w:highlight w:val="none"/>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.中标、成交供应商可采用合同融资形式，中标人可凭政府采购合同办理融资贷款，详见政府采购网“政采贷”专栏。</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b/>
          <w:bCs/>
          <w:color w:val="auto"/>
          <w:sz w:val="24"/>
          <w:szCs w:val="24"/>
          <w:highlight w:val="none"/>
          <w:lang w:val="en"/>
        </w:rPr>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lang w:val="en"/>
        </w:rPr>
        <w:t xml:space="preserve">政府采购中实施本国产品标准及相关政策</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本项目对采购本国产品给予政策支持，具体内容见招标文件“二、供应商须知 </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
        </w:rPr>
        <w:t xml:space="preserve">评标方法”。</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rPr>
      </w:r>
      <w:r/>
    </w:p>
    <w:p>
      <w:pPr>
        <w:pStyle w:val="809"/>
        <w:ind w:left="0" w:firstLine="0"/>
        <w:jc w:val="center"/>
        <w:rPr>
          <w:rFonts w:hint="eastAsia" w:eastAsia="宋体"/>
          <w:color w:val="auto"/>
          <w:highlight w:val="none"/>
          <w:lang w:eastAsia="zh-CN"/>
        </w:rPr>
        <w:sectPr>
          <w:footerReference w:type="default" r:id="rId14"/>
          <w:footnotePr/>
          <w:endnotePr/>
          <w:type w:val="nextPage"/>
          <w:pgSz w:w="11906" w:h="16838" w:orient="portrait"/>
          <w:pgMar w:top="567" w:right="851" w:bottom="567" w:left="1134" w:header="624" w:footer="907" w:gutter="0"/>
          <w:cols w:num="1" w:sep="0" w:space="1701" w:equalWidth="1"/>
          <w:docGrid w:linePitch="360"/>
        </w:sectPr>
      </w:pPr>
      <w:r>
        <w:rPr>
          <w:rFonts w:hint="eastAsia" w:eastAsia="宋体"/>
          <w:color w:val="auto"/>
          <w:highlight w:val="none"/>
          <w:lang w:eastAsia="zh-CN"/>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四．合同书（格式文本）</w:t>
      </w:r>
      <w:r/>
    </w:p>
    <w:p>
      <w:pPr>
        <w:pStyle w:val="806"/>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pStyle w:val="806"/>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政府采购货物买卖合同</w:t>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left="420" w:firstLine="0"/>
        <w:jc w:val="both"/>
        <w:widowControl w:val="off"/>
        <w:rPr>
          <w:rFonts w:ascii="等线" w:hAnsi="等线" w:eastAsia="等线" w:cs="Times New Roman"/>
          <w:color w:val="auto"/>
          <w:sz w:val="32"/>
          <w:szCs w:val="32"/>
          <w:highlight w:val="none"/>
          <w:lang w:eastAsia="zh-CN"/>
        </w:rPr>
      </w:pPr>
      <w:r>
        <w:rPr>
          <w:rFonts w:hint="eastAsia" w:ascii="宋体" w:hAnsi="宋体" w:eastAsia="等线" w:cs="宋体"/>
          <w:color w:val="auto"/>
          <w:sz w:val="32"/>
          <w:szCs w:val="32"/>
          <w:highlight w:val="none"/>
          <w:lang w:eastAsia="zh-CN"/>
        </w:rPr>
        <w:t xml:space="preserve">项目名称：</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合同编号：</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甲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乙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签订时间：</w:t>
      </w:r>
      <w:r>
        <w:rPr>
          <w:rFonts w:hint="eastAsia" w:ascii="等线" w:hAnsi="等线" w:eastAsia="等线" w:cs="Times New Roman"/>
          <w:color w:val="auto"/>
          <w:sz w:val="32"/>
          <w:szCs w:val="32"/>
          <w:highlight w:val="none"/>
          <w:u w:val="single"/>
          <w:lang w:eastAsia="zh-CN"/>
        </w:rPr>
        <w:t xml:space="preserve">      </w:t>
      </w:r>
      <w:r>
        <w:rPr>
          <w:rFonts w:ascii="等线" w:hAnsi="等线" w:eastAsia="等线" w:cs="Times New Roman"/>
          <w:color w:val="auto"/>
          <w:sz w:val="32"/>
          <w:szCs w:val="32"/>
          <w:highlight w:val="none"/>
          <w:u w:val="single"/>
          <w:lang w:eastAsia="zh-CN"/>
        </w:rPr>
        <w:t xml:space="preserve">           </w:t>
      </w:r>
      <w:r>
        <w:rPr>
          <w:rFonts w:hint="eastAsia" w:ascii="等线" w:hAnsi="等线" w:eastAsia="等线" w:cs="Times New Roman"/>
          <w:color w:val="auto"/>
          <w:sz w:val="32"/>
          <w:szCs w:val="32"/>
          <w:highlight w:val="none"/>
          <w:u w:val="single"/>
          <w:lang w:eastAsia="zh-CN"/>
        </w:rPr>
        <w:t xml:space="preserve">            </w:t>
      </w:r>
      <w:r/>
    </w:p>
    <w:p>
      <w:pPr>
        <w:ind w:firstLine="0"/>
        <w:jc w:val="both"/>
        <w:spacing w:line="240" w:lineRule="auto"/>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szCs w:val="22"/>
          <w:highlight w:val="none"/>
          <w:lang w:eastAsia="zh-CN"/>
        </w:rPr>
      </w:r>
      <w:r/>
    </w:p>
    <w:p>
      <w:pPr>
        <w:ind w:firstLine="0"/>
        <w:jc w:val="both"/>
        <w:spacing w:line="240" w:lineRule="auto"/>
        <w:widowControl w:val="off"/>
        <w:rPr>
          <w:rFonts w:ascii="等线" w:hAnsi="等线" w:eastAsia="黑体" w:cs="Times New Roman"/>
          <w:color w:val="auto"/>
          <w:sz w:val="44"/>
          <w:szCs w:val="44"/>
          <w:highlight w:val="none"/>
          <w:lang w:eastAsia="zh-CN"/>
        </w:rPr>
      </w:pPr>
      <w:r>
        <w:rPr>
          <w:rFonts w:ascii="等线" w:hAnsi="等线" w:eastAsia="黑体" w:cs="Times New Roman"/>
          <w:color w:val="auto"/>
          <w:sz w:val="44"/>
          <w:szCs w:val="44"/>
          <w:highlight w:val="none"/>
          <w:lang w:eastAsia="zh-CN"/>
        </w:rPr>
        <w:br w:type="page" w:clear="all"/>
      </w:r>
      <w:r/>
    </w:p>
    <w:p>
      <w:pPr>
        <w:ind w:firstLine="0"/>
        <w:jc w:val="center"/>
        <w:spacing w:line="240" w:lineRule="auto"/>
        <w:widowControl w:val="off"/>
        <w:rPr>
          <w:rFonts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使 用 说 明</w:t>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ascii="仿宋_GB2312" w:hAnsi="仿宋_GB2312" w:eastAsia="仿宋_GB2312" w:cs="仿宋_GB2312"/>
          <w:color w:val="auto"/>
          <w:sz w:val="32"/>
          <w:szCs w:val="32"/>
          <w:highlight w:val="none"/>
          <w:lang w:eastAsia="zh-CN"/>
        </w:rPr>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1.本合同标准文本适用于购买现成货物的采购项目，不包括需要供应商定制开发、创新研发的货物采购项目。</w:t>
      </w:r>
      <w:r/>
    </w:p>
    <w:p>
      <w:pPr>
        <w:ind w:firstLine="0"/>
        <w:jc w:val="both"/>
        <w:spacing w:line="240" w:lineRule="auto"/>
        <w:widowControl w:val="off"/>
        <w:rPr>
          <w:rFonts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   </w:t>
      </w:r>
      <w:r>
        <w:rPr>
          <w:rFonts w:hint="eastAsia" w:ascii="仿宋_GB2312" w:hAnsi="仿宋_GB2312" w:eastAsia="仿宋_GB2312" w:cs="仿宋_GB2312"/>
          <w:color w:val="auto"/>
          <w:sz w:val="32"/>
          <w:szCs w:val="32"/>
          <w:highlight w:val="none"/>
          <w:lang w:eastAsia="zh-CN"/>
        </w:rPr>
        <w:t xml:space="preserve">2.本合同标准文本为政府采购货物买卖合同编制提供参考，可以结合采购项目具体情况，对文本做必要的调整修订后使用。</w:t>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3.本合同标准文本各条款中，如涉及填写多家供应商、制造商，多种采购标的、分包主要内容等信息的，可根据采购项目具体情况添加信息项。</w:t>
      </w:r>
      <w:r/>
    </w:p>
    <w:p>
      <w:pPr>
        <w:ind w:firstLine="880"/>
        <w:jc w:val="both"/>
        <w:spacing w:line="240" w:lineRule="auto"/>
        <w:widowControl w:val="off"/>
        <w:rPr>
          <w:rFonts w:ascii="等线" w:hAnsi="等线" w:eastAsia="黑体" w:cs="Times New Roman"/>
          <w:color w:val="auto"/>
          <w:sz w:val="44"/>
          <w:szCs w:val="44"/>
          <w:highlight w:val="none"/>
          <w:lang w:eastAsia="zh-CN"/>
        </w:rPr>
        <w:sectPr>
          <w:footnotePr/>
          <w:endnotePr/>
          <w:type w:val="nextPage"/>
          <w:pgSz w:w="11906" w:h="16838" w:orient="portrait"/>
          <w:pgMar w:top="1440" w:right="992" w:bottom="1440" w:left="992" w:header="851" w:footer="992" w:gutter="0"/>
          <w:cols w:num="1" w:sep="0" w:space="425" w:equalWidth="1"/>
          <w:docGrid w:linePitch="360"/>
        </w:sectPr>
      </w:pPr>
      <w:r>
        <w:rPr>
          <w:rFonts w:ascii="等线" w:hAnsi="等线" w:eastAsia="黑体" w:cs="Times New Roman"/>
          <w:color w:val="auto"/>
          <w:sz w:val="44"/>
          <w:szCs w:val="44"/>
          <w:highlight w:val="none"/>
          <w:lang w:eastAsia="zh-CN"/>
        </w:rPr>
      </w:r>
      <w:r/>
    </w:p>
    <w:p>
      <w:pPr>
        <w:ind w:firstLine="0"/>
        <w:jc w:val="center"/>
        <w:keepLines/>
        <w:keepNext/>
        <w:spacing w:before="360" w:after="200" w:line="400" w:lineRule="exact"/>
        <w:widowControl w:val="off"/>
        <w:rPr>
          <w:rFonts w:ascii="黑体" w:hAnsi="华文中宋" w:eastAsia="黑体"/>
          <w:color w:val="auto"/>
          <w:sz w:val="28"/>
          <w:szCs w:val="28"/>
          <w:highlight w:val="none"/>
          <w:lang w:eastAsia="zh-CN"/>
        </w:rPr>
        <w:outlineLvl w:val="1"/>
      </w:pPr>
      <w:r/>
      <w:bookmarkStart w:id="17" w:name="_Toc22209"/>
      <w:r>
        <w:rPr>
          <w:rFonts w:hint="eastAsia" w:ascii="黑体" w:hAnsi="黑体" w:eastAsia="黑体"/>
          <w:color w:val="auto"/>
          <w:sz w:val="28"/>
          <w:szCs w:val="28"/>
          <w:highlight w:val="none"/>
          <w:lang w:eastAsia="zh-CN"/>
        </w:rPr>
        <w:t xml:space="preserve">第一节 </w:t>
      </w:r>
      <w:r>
        <w:rPr>
          <w:rFonts w:hint="eastAsia" w:ascii="黑体" w:hAnsi="华文中宋" w:eastAsia="黑体"/>
          <w:color w:val="auto"/>
          <w:sz w:val="28"/>
          <w:szCs w:val="28"/>
          <w:highlight w:val="none"/>
          <w:lang w:eastAsia="zh-CN"/>
        </w:rPr>
        <w:t xml:space="preserve">政府采购合同协议书</w:t>
      </w:r>
      <w:bookmarkEnd w:id="17"/>
      <w:r/>
      <w:r/>
    </w:p>
    <w:p>
      <w:pPr>
        <w:ind w:firstLine="0"/>
        <w:jc w:val="both"/>
        <w:spacing w:line="400" w:lineRule="exact"/>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甲方（全称）：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采购人、受采购人委托签订合同的单位或采购文件约定的合同甲方）</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乙方1（全称）：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（供应商）</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乙方2（全称）：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等线" w:hAnsi="等线" w:eastAsia="等线" w:cs="Times New Roman"/>
          <w:color w:val="auto"/>
          <w:sz w:val="21"/>
          <w:szCs w:val="22"/>
          <w:highlight w:val="none"/>
          <w:lang w:eastAsia="zh-CN"/>
        </w:rPr>
        <w:t xml:space="preserve">乙方</w:t>
      </w:r>
      <w:r>
        <w:rPr>
          <w:rFonts w:hint="eastAsia" w:ascii="宋体" w:hAnsi="宋体" w:eastAsia="等线" w:cs="Times New Roman"/>
          <w:color w:val="auto"/>
          <w:sz w:val="21"/>
          <w:highlight w:val="none"/>
          <w:lang w:eastAsia="zh-CN"/>
        </w:rPr>
        <w:t xml:space="preserve">3</w:t>
      </w:r>
      <w:r>
        <w:rPr>
          <w:rFonts w:hint="eastAsia" w:ascii="等线" w:hAnsi="等线" w:eastAsia="等线" w:cs="Times New Roman"/>
          <w:color w:val="auto"/>
          <w:sz w:val="21"/>
          <w:szCs w:val="22"/>
          <w:highlight w:val="none"/>
          <w:lang w:eastAsia="zh-CN"/>
        </w:rPr>
        <w:t xml:space="preserve">（全称）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ascii="等线" w:hAnsi="等线" w:cs="Times New Roman"/>
          <w:color w:val="auto"/>
          <w:sz w:val="21"/>
          <w:szCs w:val="22"/>
          <w:highlight w:val="none"/>
          <w:lang w:eastAsia="zh-CN"/>
        </w:rPr>
      </w:pPr>
      <w:r>
        <w:rPr>
          <w:rFonts w:ascii="等线" w:hAnsi="等线" w:cs="Times New Roman"/>
          <w:color w:val="auto"/>
          <w:sz w:val="21"/>
          <w:szCs w:val="22"/>
          <w:highlight w:val="none"/>
          <w:lang w:eastAsia="zh-CN"/>
        </w:rPr>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项目信息</w:t>
      </w:r>
      <w:r/>
    </w:p>
    <w:p>
      <w:pPr>
        <w:numPr>
          <w:ilvl w:val="0"/>
          <w:numId w:val="7"/>
        </w:numPr>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采购项目名称：</w:t>
      </w:r>
      <w:r>
        <w:rPr>
          <w:rFonts w:hint="eastAsia" w:ascii="宋体" w:hAnsi="宋体" w:eastAsia="等线" w:cs="Times New Roman"/>
          <w:color w:val="auto"/>
          <w:sz w:val="21"/>
          <w:highlight w:val="none"/>
          <w:u w:val="single"/>
          <w:lang w:eastAsia="zh-CN"/>
        </w:rPr>
        <w:t xml:space="preserve">                                         </w:t>
      </w:r>
      <w:r/>
    </w:p>
    <w:p>
      <w:pPr>
        <w:numPr>
          <w:ilvl w:val="255"/>
          <w:numId w:val="0"/>
        </w:numPr>
        <w:ind w:firstLine="420"/>
        <w:jc w:val="both"/>
        <w:spacing w:line="400" w:lineRule="exact"/>
        <w:widowControl w:val="off"/>
        <w:tabs>
          <w:tab w:val="left" w:pos="999"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采购项目编号：</w:t>
      </w:r>
      <w:r>
        <w:rPr>
          <w:rFonts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（2）采购计划编号：</w:t>
      </w:r>
      <w:r>
        <w:rPr>
          <w:rFonts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lang w:eastAsia="zh-CN"/>
        </w:rPr>
        <w:t xml:space="preserve"> </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（3）项目内容：</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采购标的及数量（台/套</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个</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架</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组等</w:t>
      </w:r>
      <w:r>
        <w:rPr>
          <w:rFonts w:hint="eastAsia" w:ascii="宋体" w:hAnsi="宋体" w:eastAsia="等线" w:cs="Times New Roman"/>
          <w:color w:val="auto"/>
          <w:sz w:val="21"/>
          <w:highlight w:val="none"/>
          <w:lang w:eastAsia="zh-CN"/>
        </w:rPr>
        <w:t xml:space="preserve">）：</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highlight w:val="none"/>
          <w:lang w:val="en"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品牌：</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lang w:val="en" w:eastAsia="zh-CN"/>
        </w:rPr>
        <w:t xml:space="preserve">     </w:t>
      </w:r>
      <w:r>
        <w:rPr>
          <w:rFonts w:hint="eastAsia" w:ascii="宋体" w:hAnsi="宋体" w:eastAsia="等线" w:cs="宋体"/>
          <w:color w:val="auto"/>
          <w:sz w:val="21"/>
          <w:highlight w:val="none"/>
          <w:lang w:eastAsia="zh-CN"/>
        </w:rPr>
        <w:t xml:space="preserve">规格型号：</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p>
    <w:p>
      <w:pPr>
        <w:ind w:firstLine="945"/>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采购标的的技术要求、商务要求具体见附件。</w:t>
      </w:r>
      <w:r/>
    </w:p>
    <w:p>
      <w:pPr>
        <w:numPr>
          <w:ilvl w:val="255"/>
          <w:numId w:val="0"/>
        </w:numPr>
        <w:ind w:firstLine="420"/>
        <w:jc w:val="both"/>
        <w:spacing w:line="400" w:lineRule="exact"/>
        <w:widowControl w:val="off"/>
        <w:rPr>
          <w:rFonts w:ascii="宋体" w:hAnsi="宋体" w:eastAsia="等线" w:cs="宋体"/>
          <w:color w:val="auto"/>
          <w:sz w:val="21"/>
          <w:highlight w:val="none"/>
          <w:lang w:eastAsia="zh-CN"/>
        </w:rPr>
      </w:pPr>
      <w:r>
        <w:rPr>
          <w:rFonts w:hint="eastAsia" w:ascii="汉仪书宋二S" w:hAnsi="汉仪书宋二S" w:eastAsia="汉仪书宋二S" w:cs="汉仪书宋二S"/>
          <w:color w:val="auto"/>
          <w:sz w:val="21"/>
          <w:highlight w:val="none"/>
          <w:lang w:eastAsia="zh-CN"/>
        </w:rPr>
        <w:t xml:space="preserve">①</w:t>
      </w:r>
      <w:r>
        <w:rPr>
          <w:rFonts w:hint="eastAsia" w:ascii="宋体" w:hAnsi="宋体" w:eastAsia="等线" w:cs="宋体"/>
          <w:color w:val="auto"/>
          <w:sz w:val="21"/>
          <w:highlight w:val="none"/>
          <w:lang w:eastAsia="zh-CN"/>
        </w:rPr>
        <w:t xml:space="preserve">涉及信息类产品，请填写该产品关键部件的品牌、型号：</w:t>
      </w:r>
      <w:r/>
    </w:p>
    <w:p>
      <w:pPr>
        <w:numPr>
          <w:ilvl w:val="255"/>
          <w:numId w:val="0"/>
        </w:num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     标的名称：</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     关键部件：</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品牌：</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型号：</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hint="eastAsia" w:ascii="汉仪书宋二S" w:hAnsi="汉仪书宋二S" w:eastAsia="汉仪书宋二S" w:cs="汉仪书宋二S"/>
          <w:color w:val="auto"/>
          <w:sz w:val="21"/>
          <w:highlight w:val="none"/>
          <w:lang w:eastAsia="zh-CN"/>
        </w:rPr>
        <w:t xml:space="preserve">②</w:t>
      </w:r>
      <w:r>
        <w:rPr>
          <w:rFonts w:hint="eastAsia" w:ascii="宋体" w:hAnsi="宋体" w:cs="宋体"/>
          <w:color w:val="auto"/>
          <w:sz w:val="21"/>
          <w:highlight w:val="none"/>
          <w:lang w:eastAsia="zh-CN"/>
        </w:rPr>
        <w:t xml:space="preserve">涉及车辆采购，请填写是否属于新能源汽车：</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是，《政府采购品目分类目录》底级品目名称：</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数量：</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金额：</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宋体" w:hAnsi="宋体" w:cs="宋体"/>
          <w:color w:val="auto"/>
          <w:sz w:val="21"/>
          <w:highlight w:val="none"/>
          <w:lang w:val="en" w:eastAsia="zh-CN"/>
        </w:rPr>
        <w:t xml:space="preserve">4</w:t>
      </w:r>
      <w:r>
        <w:rPr>
          <w:rFonts w:hint="eastAsia" w:ascii="宋体" w:hAnsi="宋体" w:cs="宋体"/>
          <w:color w:val="auto"/>
          <w:sz w:val="21"/>
          <w:highlight w:val="none"/>
          <w:lang w:eastAsia="zh-CN"/>
        </w:rPr>
        <w:t xml:space="preserve">）政府采购组织形式：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政府集中采购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部门集中采购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分散采购</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val="en" w:eastAsia="zh-CN"/>
        </w:rPr>
        <w:t xml:space="preserve">5</w:t>
      </w:r>
      <w:r>
        <w:rPr>
          <w:rFonts w:hint="eastAsia" w:ascii="宋体" w:hAnsi="宋体" w:cs="宋体"/>
          <w:color w:val="auto"/>
          <w:sz w:val="21"/>
          <w:highlight w:val="none"/>
          <w:lang w:eastAsia="zh-CN"/>
        </w:rPr>
        <w:t xml:space="preserve">）政府采购方式：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公开招标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邀请招标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竞争性谈判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竞争性磋商</w:t>
      </w:r>
      <w:r/>
    </w:p>
    <w:p>
      <w:pPr>
        <w:numPr>
          <w:ilvl w:val="255"/>
          <w:numId w:val="0"/>
        </w:numPr>
        <w:ind w:firstLine="440"/>
        <w:spacing w:line="400" w:lineRule="exact"/>
        <w:rPr>
          <w:rFonts w:ascii="宋体" w:hAnsi="宋体" w:cs="宋体"/>
          <w:color w:val="auto"/>
          <w:sz w:val="21"/>
          <w:highlight w:val="none"/>
          <w:u w:val="single"/>
          <w:lang w:eastAsia="zh-CN"/>
        </w:rPr>
      </w:pPr>
      <w:r>
        <w:rPr>
          <w:rFonts w:hint="eastAsia" w:ascii="宋体" w:hAnsi="宋体" w:eastAsia="华文楷体" w:cs="宋体"/>
          <w:color w:val="auto"/>
          <w:sz w:val="22"/>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询价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单一来源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框架协议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其他：</w:t>
      </w:r>
      <w:r>
        <w:rPr>
          <w:rFonts w:hint="eastAsia" w:ascii="宋体" w:hAnsi="宋体" w:cs="宋体"/>
          <w:color w:val="auto"/>
          <w:sz w:val="21"/>
          <w:highlight w:val="none"/>
          <w:u w:val="single"/>
          <w:lang w:eastAsia="zh-CN"/>
        </w:rPr>
        <w:t xml:space="preserve">          </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（注：在框架协议采购的第二阶段，可选择使用该合同文本）</w:t>
      </w:r>
      <w:r/>
    </w:p>
    <w:p>
      <w:pPr>
        <w:numPr>
          <w:ilvl w:val="255"/>
          <w:numId w:val="0"/>
        </w:numPr>
        <w:ind w:firstLine="440"/>
        <w:spacing w:line="400" w:lineRule="exact"/>
        <w:rPr>
          <w:rFonts w:ascii="宋体" w:hAnsi="宋体" w:cs="Times New Roman"/>
          <w:color w:val="auto"/>
          <w:sz w:val="21"/>
          <w:highlight w:val="none"/>
          <w:lang w:eastAsia="zh-CN"/>
        </w:rPr>
      </w:pPr>
      <w:r>
        <w:rPr>
          <w:rFonts w:hint="eastAsia" w:ascii="宋体" w:hAnsi="宋体" w:eastAsia="华文楷体" w:cs="华文楷体"/>
          <w:color w:val="auto"/>
          <w:sz w:val="22"/>
          <w:highlight w:val="none"/>
          <w:lang w:eastAsia="zh-CN"/>
        </w:rPr>
        <w:t xml:space="preserve"> （</w:t>
      </w:r>
      <w:r>
        <w:rPr>
          <w:rFonts w:ascii="宋体" w:hAnsi="宋体" w:eastAsia="华文楷体" w:cs="华文楷体"/>
          <w:color w:val="auto"/>
          <w:sz w:val="22"/>
          <w:highlight w:val="none"/>
          <w:lang w:val="en" w:eastAsia="zh-CN"/>
        </w:rPr>
        <w:t xml:space="preserve">6</w:t>
      </w:r>
      <w:r>
        <w:rPr>
          <w:rFonts w:hint="eastAsia" w:ascii="宋体" w:hAnsi="宋体" w:eastAsia="华文楷体" w:cs="华文楷体"/>
          <w:color w:val="auto"/>
          <w:sz w:val="22"/>
          <w:highlight w:val="none"/>
          <w:lang w:eastAsia="zh-CN"/>
        </w:rPr>
        <w:t xml:space="preserve">）</w:t>
      </w:r>
      <w:r>
        <w:rPr>
          <w:rFonts w:hint="eastAsia" w:ascii="宋体" w:hAnsi="宋体" w:cs="Times New Roman"/>
          <w:color w:val="auto"/>
          <w:sz w:val="21"/>
          <w:highlight w:val="none"/>
          <w:lang w:eastAsia="zh-CN"/>
        </w:rPr>
        <w:t xml:space="preserve">中标（成交）采购标的制造商是否为中小企业：</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jc w:val="both"/>
        <w:spacing w:line="400" w:lineRule="exact"/>
        <w:widowControl w:val="off"/>
        <w:rPr>
          <w:rFonts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本合同是否为专门面向中小企业的采购合同（中小企业预留合同）：</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ind w:firstLine="420"/>
        <w:jc w:val="both"/>
        <w:spacing w:line="400" w:lineRule="exact"/>
        <w:widowControl w:val="off"/>
        <w:rPr>
          <w:rFonts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若本项目不专门面向中小企业采购，是否给予小微企业评审优惠：</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ind w:firstLine="420"/>
        <w:jc w:val="both"/>
        <w:spacing w:line="400" w:lineRule="exact"/>
        <w:widowControl w:val="off"/>
        <w:rPr>
          <w:rFonts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中标（成交）采购标的制造商是否为残疾人福利性单位：</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0"/>
        <w:jc w:val="both"/>
        <w:spacing w:line="400" w:lineRule="exact"/>
        <w:widowControl w:val="off"/>
        <w:rPr>
          <w:rFonts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中标（成交）采购标的制造商是否为监狱企业：</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w:t>
      </w:r>
      <w:r>
        <w:rPr>
          <w:rFonts w:ascii="宋体" w:hAnsi="宋体" w:eastAsia="等线" w:cs="Times New Roman"/>
          <w:color w:val="auto"/>
          <w:sz w:val="21"/>
          <w:highlight w:val="none"/>
          <w:lang w:val="en" w:eastAsia="zh-CN"/>
        </w:rPr>
        <w:t xml:space="preserve">7</w:t>
      </w:r>
      <w:r>
        <w:rPr>
          <w:rFonts w:hint="eastAsia" w:ascii="宋体" w:hAnsi="宋体" w:eastAsia="等线" w:cs="Times New Roman"/>
          <w:color w:val="auto"/>
          <w:sz w:val="21"/>
          <w:highlight w:val="none"/>
          <w:lang w:eastAsia="zh-CN"/>
        </w:rPr>
        <w:t xml:space="preserve">）合同是否分包：</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þ</w:t>
      </w:r>
      <w:r>
        <w:rPr>
          <w:rFonts w:hint="eastAsia" w:ascii="宋体" w:hAnsi="宋体" w:eastAsia="等线" w:cs="Times New Roman"/>
          <w:iCs/>
          <w:color w:val="auto"/>
          <w:sz w:val="21"/>
          <w:highlight w:val="none"/>
          <w:lang w:eastAsia="zh-CN"/>
        </w:rPr>
        <w:t xml:space="preserve">否</w:t>
      </w:r>
      <w:r/>
    </w:p>
    <w:p>
      <w:pPr>
        <w:ind w:firstLine="84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分包主要内容：</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分包供应商/制造商名称（如供应商和制造商不同，请分别填写）：</w:t>
      </w:r>
      <w:r/>
    </w:p>
    <w:p>
      <w:pPr>
        <w:ind w:firstLine="84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分包供应商/制造商类型（如果供应商和制造商不同，只填写制造商类型）：</w:t>
      </w:r>
      <w:r/>
    </w:p>
    <w:p>
      <w:pPr>
        <w:ind w:firstLine="840"/>
        <w:jc w:val="both"/>
        <w:spacing w:line="400" w:lineRule="exact"/>
        <w:widowControl w:val="off"/>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大型企业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中型企业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小微型企业  </w:t>
      </w:r>
      <w:r/>
    </w:p>
    <w:p>
      <w:pPr>
        <w:ind w:firstLine="840"/>
        <w:jc w:val="both"/>
        <w:spacing w:line="400" w:lineRule="exact"/>
        <w:widowControl w:val="off"/>
        <w:rPr>
          <w:rFonts w:ascii="等线" w:hAnsi="等线" w:eastAsia="华文楷体" w:cs="Times New Roman"/>
          <w:color w:val="auto"/>
          <w:sz w:val="21"/>
          <w:szCs w:val="22"/>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残疾人福利性单位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监狱企业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p>
    <w:p>
      <w:pPr>
        <w:numPr>
          <w:ilvl w:val="255"/>
          <w:numId w:val="0"/>
        </w:numPr>
        <w:ind w:firstLine="420"/>
        <w:jc w:val="both"/>
        <w:spacing w:line="400" w:lineRule="exact"/>
        <w:widowControl w:val="off"/>
        <w:rPr>
          <w:rFonts w:ascii="宋体" w:hAnsi="宋体" w:eastAsia="等线" w:cs="宋体"/>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w:t>
      </w:r>
      <w:r>
        <w:rPr>
          <w:rFonts w:ascii="宋体" w:hAnsi="宋体" w:eastAsia="等线" w:cs="宋体"/>
          <w:color w:val="auto"/>
          <w:sz w:val="21"/>
          <w:highlight w:val="none"/>
          <w:lang w:val="en" w:eastAsia="zh-CN"/>
        </w:rPr>
        <w:t xml:space="preserve">8</w:t>
      </w:r>
      <w:r>
        <w:rPr>
          <w:rFonts w:hint="eastAsia" w:ascii="宋体" w:hAnsi="宋体" w:eastAsia="等线" w:cs="宋体"/>
          <w:color w:val="auto"/>
          <w:sz w:val="21"/>
          <w:highlight w:val="none"/>
          <w:lang w:eastAsia="zh-CN"/>
        </w:rPr>
        <w:t xml:space="preserve">）中标（成交）供应商是否为外商投资企业：</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否</w:t>
      </w:r>
      <w:r/>
    </w:p>
    <w:p>
      <w:pPr>
        <w:ind w:firstLine="440"/>
        <w:spacing w:line="400" w:lineRule="exact"/>
        <w:tabs>
          <w:tab w:val="left" w:pos="1340" w:leader="none"/>
        </w:tabs>
        <w:rPr>
          <w:rFonts w:ascii="宋体" w:hAnsi="宋体" w:cs="宋体"/>
          <w:color w:val="auto"/>
          <w:sz w:val="21"/>
          <w:highlight w:val="none"/>
          <w:u w:val="single"/>
          <w:lang w:eastAsia="zh-CN"/>
        </w:rPr>
      </w:pPr>
      <w:r>
        <w:rPr>
          <w:rFonts w:hint="eastAsia" w:ascii="宋体" w:hAnsi="宋体" w:cs="宋体"/>
          <w:color w:val="auto"/>
          <w:sz w:val="21"/>
          <w:highlight w:val="none"/>
          <w:lang w:eastAsia="zh-CN"/>
        </w:rPr>
        <w:t xml:space="preserve">     外商投资企业类型：</w:t>
      </w:r>
      <w:r>
        <w:rPr>
          <w:rFonts w:ascii="Wingdings" w:hAnsi="Wingdings" w:eastAsia="Wingdings" w:cs="Wingdings"/>
          <w:iCs/>
          <w:color w:val="auto"/>
          <w:sz w:val="21"/>
          <w:highlight w:val="none"/>
          <w:lang w:eastAsia="zh-CN"/>
        </w:rPr>
        <w:t xml:space="preserve"></w:t>
      </w:r>
      <w:r>
        <w:rPr>
          <w:rFonts w:hint="eastAsia" w:ascii="宋体" w:hAnsi="宋体" w:cs="宋体"/>
          <w:color w:val="auto"/>
          <w:sz w:val="21"/>
          <w:highlight w:val="none"/>
          <w:lang w:eastAsia="zh-CN"/>
        </w:rPr>
        <w:t xml:space="preserve">全部由外国投资者投资  </w:t>
      </w:r>
      <w:r>
        <w:rPr>
          <w:rFonts w:ascii="Wingdings" w:hAnsi="Wingdings" w:eastAsia="Wingdings" w:cs="Wingdings"/>
          <w:iCs/>
          <w:color w:val="auto"/>
          <w:sz w:val="21"/>
          <w:highlight w:val="none"/>
          <w:lang w:eastAsia="zh-CN"/>
        </w:rPr>
        <w:t xml:space="preserve"></w:t>
      </w:r>
      <w:r>
        <w:rPr>
          <w:rFonts w:hint="eastAsia" w:ascii="宋体" w:hAnsi="宋体" w:cs="宋体"/>
          <w:iCs/>
          <w:color w:val="auto"/>
          <w:sz w:val="21"/>
          <w:highlight w:val="none"/>
          <w:lang w:eastAsia="zh-CN"/>
        </w:rPr>
        <w:t xml:space="preserve">部分由外国投资者投资</w:t>
      </w:r>
      <w:r/>
    </w:p>
    <w:p>
      <w:pPr>
        <w:numPr>
          <w:ilvl w:val="255"/>
          <w:numId w:val="0"/>
        </w:numPr>
        <w:ind w:firstLine="420"/>
        <w:jc w:val="both"/>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eastAsia="等线" w:cs="宋体"/>
          <w:color w:val="auto"/>
          <w:sz w:val="21"/>
          <w:highlight w:val="none"/>
          <w:lang w:val="en" w:eastAsia="zh-CN"/>
        </w:rPr>
        <w:t xml:space="preserve">9</w:t>
      </w:r>
      <w:r>
        <w:rPr>
          <w:rFonts w:hint="eastAsia" w:ascii="宋体" w:hAnsi="宋体" w:cs="宋体"/>
          <w:color w:val="auto"/>
          <w:sz w:val="21"/>
          <w:highlight w:val="none"/>
          <w:lang w:eastAsia="zh-CN"/>
        </w:rPr>
        <w:t xml:space="preserve">）是否涉及进口产品：</w:t>
      </w:r>
      <w:r/>
    </w:p>
    <w:p>
      <w:pPr>
        <w:numPr>
          <w:ilvl w:val="255"/>
          <w:numId w:val="0"/>
        </w:numPr>
        <w:ind w:firstLine="420"/>
        <w:jc w:val="both"/>
        <w:spacing w:line="400" w:lineRule="exact"/>
        <w:widowControl w:val="off"/>
        <w:rPr>
          <w:rFonts w:ascii="宋体" w:hAnsi="宋体" w:cs="宋体"/>
          <w:color w:val="auto"/>
          <w:sz w:val="21"/>
          <w:highlight w:val="none"/>
          <w:u w:val="single"/>
          <w:lang w:eastAsia="zh-CN"/>
        </w:rPr>
      </w:pPr>
      <w:r>
        <w:rPr>
          <w:rFonts w:hint="eastAsia" w:ascii="宋体" w:hAnsi="宋体" w:eastAsia="等线"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w:t>
      </w:r>
      <w:r>
        <w:rPr>
          <w:rFonts w:hint="eastAsia" w:ascii="宋体" w:hAnsi="宋体" w:eastAsia="等线" w:cs="宋体"/>
          <w:color w:val="auto"/>
          <w:sz w:val="21"/>
          <w:highlight w:val="none"/>
          <w:lang w:eastAsia="zh-CN"/>
        </w:rPr>
        <w:t xml:space="preserve">《政府采购品目分类目录》底级品目名称</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rPr>
          <w:rFonts w:hint="eastAsia" w:ascii="宋体" w:hAnsi="宋体" w:eastAsia="等线" w:cs="宋体"/>
          <w:color w:val="auto"/>
          <w:sz w:val="21"/>
          <w:highlight w:val="none"/>
          <w:lang w:eastAsia="zh-CN"/>
        </w:rPr>
        <w:t xml:space="preserve">金额：</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p>
    <w:p>
      <w:pPr>
        <w:numPr>
          <w:ilvl w:val="255"/>
          <w:numId w:val="0"/>
        </w:numPr>
        <w:ind w:firstLine="42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宋体"/>
          <w:color w:val="auto"/>
          <w:sz w:val="21"/>
          <w:highlight w:val="none"/>
          <w:lang w:eastAsia="zh-CN"/>
        </w:rPr>
        <w:t xml:space="preserve">        国别：</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rPr>
          <w:rFonts w:hint="eastAsia" w:ascii="宋体" w:hAnsi="宋体" w:cs="宋体"/>
          <w:color w:val="auto"/>
          <w:sz w:val="21"/>
          <w:highlight w:val="none"/>
          <w:lang w:eastAsia="zh-CN"/>
        </w:rPr>
        <w:t xml:space="preserve">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规格型号：</w:t>
      </w:r>
      <w:r>
        <w:rPr>
          <w:rFonts w:hint="eastAsia" w:ascii="宋体" w:hAnsi="宋体" w:cs="宋体"/>
          <w:color w:val="auto"/>
          <w:sz w:val="21"/>
          <w:highlight w:val="none"/>
          <w:u w:val="single"/>
          <w:lang w:eastAsia="zh-CN"/>
        </w:rPr>
        <w:t xml:space="preserve">        </w:t>
      </w:r>
      <w:r>
        <w:rPr>
          <w:rFonts w:hint="eastAsia" w:ascii="宋体" w:hAnsi="宋体" w:cs="Times New Roman"/>
          <w:color w:val="auto"/>
          <w:sz w:val="21"/>
          <w:highlight w:val="non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0</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是否涉及节能产品：</w:t>
      </w:r>
      <w:r/>
    </w:p>
    <w:p>
      <w:pPr>
        <w:numPr>
          <w:ilvl w:val="255"/>
          <w:numId w:val="0"/>
        </w:numPr>
        <w:ind w:firstLine="420"/>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《节能产品政府采购品目清单》的底级品目名称：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ind w:firstLine="420"/>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ind w:firstLine="420"/>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cs="Times New Roman"/>
          <w:color w:val="auto"/>
          <w:sz w:val="21"/>
          <w:highlight w:val="none"/>
          <w:lang w:eastAsia="zh-CN"/>
        </w:rPr>
        <w:t xml:space="preserve">是否涉及</w:t>
      </w:r>
      <w:r>
        <w:rPr>
          <w:rFonts w:hint="eastAsia" w:ascii="宋体" w:hAnsi="宋体" w:eastAsia="等线" w:cs="Times New Roman"/>
          <w:color w:val="auto"/>
          <w:sz w:val="21"/>
          <w:highlight w:val="none"/>
          <w:lang w:eastAsia="zh-CN"/>
        </w:rPr>
        <w:t xml:space="preserve">环境标志</w:t>
      </w:r>
      <w:r>
        <w:rPr>
          <w:rFonts w:hint="eastAsia" w:ascii="宋体" w:hAnsi="宋体" w:cs="Times New Roman"/>
          <w:color w:val="auto"/>
          <w:sz w:val="21"/>
          <w:highlight w:val="none"/>
          <w:lang w:eastAsia="zh-CN"/>
        </w:rPr>
        <w:t xml:space="preserve">产品：</w:t>
      </w:r>
      <w:r/>
    </w:p>
    <w:p>
      <w:pPr>
        <w:numPr>
          <w:ilvl w:val="255"/>
          <w:numId w:val="0"/>
        </w:numPr>
        <w:ind w:firstLine="420"/>
        <w:jc w:val="both"/>
        <w:spacing w:line="400" w:lineRule="exact"/>
        <w:widowControl w:val="off"/>
        <w:tabs>
          <w:tab w:val="left" w:pos="740" w:leader="none"/>
        </w:tabs>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《环境标志产品政府采购品目清单》的底级品目名称：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ind w:firstLine="420"/>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ind w:firstLine="420"/>
        <w:jc w:val="both"/>
        <w:spacing w:line="400" w:lineRule="exact"/>
        <w:widowControl w:val="off"/>
        <w:tabs>
          <w:tab w:val="left" w:pos="740" w:leader="none"/>
        </w:tabs>
        <w:rPr>
          <w:rFonts w:ascii="宋体" w:hAnsi="宋体" w:eastAsia="等线"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spacing w:line="400" w:lineRule="exact"/>
        <w:rPr>
          <w:rFonts w:ascii="宋体" w:hAnsi="宋体" w:cs="Times New Roman"/>
          <w:color w:val="auto"/>
          <w:sz w:val="21"/>
          <w:highlight w:val="none"/>
          <w:lang w:eastAsia="zh-CN"/>
        </w:rPr>
      </w:pPr>
      <w:r>
        <w:rPr>
          <w:rFonts w:hint="eastAsia" w:ascii="宋体" w:hAnsi="宋体" w:eastAsia="华文楷体" w:cs="华文楷体"/>
          <w:color w:val="auto"/>
          <w:sz w:val="21"/>
          <w:highlight w:val="none"/>
          <w:lang w:eastAsia="zh-CN"/>
        </w:rPr>
        <w:t xml:space="preserve">          </w:t>
      </w:r>
      <w:r>
        <w:rPr>
          <w:rFonts w:hint="eastAsia" w:ascii="宋体" w:hAnsi="宋体" w:cs="Times New Roman"/>
          <w:color w:val="auto"/>
          <w:sz w:val="21"/>
          <w:highlight w:val="none"/>
          <w:lang w:eastAsia="zh-CN"/>
        </w:rPr>
        <w:t xml:space="preserve">是否涉及绿色产品： </w:t>
      </w:r>
      <w:r/>
    </w:p>
    <w:p>
      <w:pPr>
        <w:ind w:firstLine="420"/>
        <w:spacing w:line="400" w:lineRule="exact"/>
        <w:rPr>
          <w:rFonts w:ascii="宋体" w:hAnsi="宋体" w:cs="华文楷体"/>
          <w:color w:val="auto"/>
          <w:sz w:val="22"/>
          <w:highlight w:val="none"/>
          <w:u w:val="singl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是，绿色产品政府采购相关政策确定的底级品目名称：</w:t>
      </w:r>
      <w:r>
        <w:rPr>
          <w:rFonts w:hint="eastAsia" w:ascii="宋体" w:hAnsi="宋体" w:cs="华文楷体"/>
          <w:color w:val="auto"/>
          <w:sz w:val="22"/>
          <w:highlight w:val="none"/>
          <w:u w:val="single"/>
          <w:lang w:eastAsia="zh-CN"/>
        </w:rPr>
        <w:t xml:space="preserve">         </w:t>
      </w:r>
      <w:r/>
    </w:p>
    <w:p>
      <w:pPr>
        <w:numPr>
          <w:ilvl w:val="255"/>
          <w:numId w:val="0"/>
        </w:numPr>
        <w:ind w:firstLine="420"/>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ind w:firstLine="420"/>
        <w:spacing w:line="400" w:lineRule="exact"/>
        <w:rPr>
          <w:rFonts w:ascii="宋体" w:hAnsi="宋体" w:eastAsia="华文楷体" w:cs="华文楷体"/>
          <w:color w:val="auto"/>
          <w:sz w:val="21"/>
          <w:highlight w:val="non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1</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涉及商品包装和快递包装的，是否参考</w:t>
      </w:r>
      <w:r>
        <w:rPr>
          <w:rFonts w:hint="eastAsia" w:ascii="宋体" w:hAnsi="宋体" w:eastAsia="等线" w:cs="Times New Roman"/>
          <w:color w:val="auto"/>
          <w:sz w:val="21"/>
          <w:highlight w:val="none"/>
          <w:lang w:eastAsia="zh-CN"/>
        </w:rPr>
        <w:t xml:space="preserve">《商品包装政府采购需求标准（试行）》《快递包装政府采购需求标准（试行）》</w:t>
      </w:r>
      <w:r>
        <w:rPr>
          <w:rFonts w:hint="eastAsia" w:ascii="宋体" w:hAnsi="宋体" w:cs="Times New Roman"/>
          <w:color w:val="auto"/>
          <w:sz w:val="21"/>
          <w:highlight w:val="none"/>
          <w:lang w:eastAsia="zh-CN"/>
        </w:rPr>
        <w:t xml:space="preserve">明确产品及相关快递服务的具体包装要求：</w:t>
      </w:r>
      <w:r/>
    </w:p>
    <w:p>
      <w:pPr>
        <w:numPr>
          <w:ilvl w:val="255"/>
          <w:numId w:val="0"/>
        </w:numPr>
        <w:ind w:firstLine="420"/>
        <w:jc w:val="both"/>
        <w:spacing w:line="400" w:lineRule="exact"/>
        <w:widowControl w:val="off"/>
        <w:rPr>
          <w:rFonts w:ascii="宋体" w:hAnsi="宋体"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不涉及</w:t>
      </w:r>
      <w:r/>
    </w:p>
    <w:p>
      <w:pPr>
        <w:numPr>
          <w:ilvl w:val="0"/>
          <w:numId w:val="6"/>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合同金额</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（1）合同金额小写：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分包金额（如有）小写：</w:t>
      </w:r>
      <w:r>
        <w:rPr>
          <w:rFonts w:hint="eastAsia" w:ascii="宋体" w:hAnsi="宋体" w:eastAsia="等线" w:cs="Times New Roman"/>
          <w:color w:val="auto"/>
          <w:sz w:val="21"/>
          <w:highlight w:val="none"/>
          <w:u w:val="single"/>
          <w:lang w:eastAsia="zh-CN"/>
        </w:rPr>
        <w:t xml:space="preserve">           /        </w:t>
      </w:r>
      <w:r/>
    </w:p>
    <w:p>
      <w:pPr>
        <w:ind w:firstLine="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             </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（注：固定单价合同应填写单价和最高限价）</w:t>
      </w:r>
      <w:r/>
    </w:p>
    <w:p>
      <w:pPr>
        <w:numPr>
          <w:ilvl w:val="255"/>
          <w:numId w:val="0"/>
        </w:num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（2）合同定价方式（采用组合定价方式的，可以勾选多项）：</w:t>
      </w:r>
      <w:r/>
    </w:p>
    <w:p>
      <w:pPr>
        <w:ind w:firstLine="42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固定总价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固定单价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固定费率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成本补偿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绩效激励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Calibri" w:hAnsi="Calibri" w:cs="Times New Roman"/>
          <w:color w:val="auto"/>
          <w:sz w:val="21"/>
          <w:szCs w:val="22"/>
          <w:highlight w:val="none"/>
          <w:lang w:eastAsia="zh-CN"/>
        </w:rPr>
      </w:pPr>
      <w:r>
        <w:rPr>
          <w:rFonts w:hint="eastAsia" w:ascii="宋体" w:hAnsi="宋体" w:cs="Times New Roman"/>
          <w:color w:val="auto"/>
          <w:sz w:val="21"/>
          <w:szCs w:val="22"/>
          <w:highlight w:val="none"/>
          <w:lang w:eastAsia="zh-CN"/>
        </w:rPr>
        <w:t xml:space="preserve">（3）付款方式（按项目实际勾选填写）：</w:t>
      </w:r>
      <w:r/>
    </w:p>
    <w:p>
      <w:pPr>
        <w:ind w:firstLine="630"/>
        <w:jc w:val="both"/>
        <w:spacing w:line="400" w:lineRule="exact"/>
        <w:widowControl w:val="off"/>
        <w:rPr>
          <w:rFonts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全额付款：</w:t>
      </w:r>
      <w:r>
        <w:rPr>
          <w:rFonts w:hint="eastAsia" w:ascii="宋体" w:hAnsi="宋体" w:eastAsia="等线" w:cs="Times New Roman"/>
          <w:color w:val="auto"/>
          <w:sz w:val="21"/>
          <w:highlight w:val="none"/>
          <w:u w:val="single"/>
          <w:lang w:eastAsia="zh-CN"/>
        </w:rPr>
        <w:t xml:space="preserve">     （应明确一次性支付合同款项的条件）                    </w:t>
      </w:r>
      <w:r/>
    </w:p>
    <w:p>
      <w:pPr>
        <w:ind w:firstLine="630"/>
        <w:jc w:val="both"/>
        <w:spacing w:line="400" w:lineRule="exact"/>
        <w:widowControl w:val="off"/>
        <w:rPr>
          <w:rFonts w:ascii="等线" w:hAnsi="等线" w:eastAsia="等线" w:cs="Times New Roman"/>
          <w:color w:val="auto"/>
          <w:sz w:val="21"/>
          <w:szCs w:val="22"/>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分期付款：</w:t>
      </w:r>
      <w:r>
        <w:rPr>
          <w:rFonts w:hint="eastAsia" w:ascii="宋体" w:hAnsi="宋体" w:eastAsia="等线" w:cs="Times New Roman"/>
          <w:color w:val="auto"/>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color w:val="auto"/>
          <w:sz w:val="21"/>
          <w:highlight w:val="none"/>
          <w:lang w:eastAsia="zh-CN"/>
        </w:rPr>
        <w:t xml:space="preserve">，其中涉及预付款的：</w:t>
      </w:r>
      <w:r>
        <w:rPr>
          <w:rFonts w:hint="eastAsia" w:ascii="宋体" w:hAnsi="宋体" w:eastAsia="等线" w:cs="Times New Roman"/>
          <w:color w:val="auto"/>
          <w:sz w:val="21"/>
          <w:highlight w:val="none"/>
          <w:u w:val="single"/>
          <w:lang w:eastAsia="zh-CN"/>
        </w:rPr>
        <w:t xml:space="preserve"> （应明确预付款的支付比例和支付条件） </w:t>
      </w:r>
      <w:r/>
    </w:p>
    <w:p>
      <w:pPr>
        <w:ind w:firstLine="630"/>
        <w:jc w:val="both"/>
        <w:spacing w:line="400" w:lineRule="exact"/>
        <w:widowControl w:val="off"/>
        <w:rPr>
          <w:rFonts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成本补偿：</w:t>
      </w:r>
      <w:r>
        <w:rPr>
          <w:rFonts w:hint="eastAsia" w:ascii="宋体" w:hAnsi="宋体" w:eastAsia="等线" w:cs="Times New Roman"/>
          <w:color w:val="auto"/>
          <w:sz w:val="21"/>
          <w:highlight w:val="none"/>
          <w:u w:val="single"/>
          <w:lang w:eastAsia="zh-CN"/>
        </w:rPr>
        <w:t xml:space="preserve">      （应明确按照成本补偿方式的支付方式和支付条件）   </w:t>
      </w:r>
      <w:r/>
    </w:p>
    <w:p>
      <w:pPr>
        <w:ind w:firstLine="630"/>
        <w:jc w:val="both"/>
        <w:spacing w:line="400" w:lineRule="exact"/>
        <w:widowControl w:val="off"/>
        <w:rPr>
          <w:rFonts w:ascii="宋体" w:hAnsi="宋体" w:eastAsia="等线"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绩效激励：</w:t>
      </w:r>
      <w:r>
        <w:rPr>
          <w:rFonts w:hint="eastAsia" w:ascii="宋体" w:hAnsi="宋体" w:eastAsia="等线" w:cs="Times New Roman"/>
          <w:color w:val="auto"/>
          <w:sz w:val="21"/>
          <w:highlight w:val="none"/>
          <w:u w:val="single"/>
          <w:lang w:eastAsia="zh-CN"/>
        </w:rPr>
        <w:t xml:space="preserve">      （应明确按照绩效激励方式的支付方式和支付条件）   </w:t>
      </w:r>
      <w:r/>
    </w:p>
    <w:p>
      <w:pPr>
        <w:numPr>
          <w:ilvl w:val="0"/>
          <w:numId w:val="6"/>
        </w:numPr>
        <w:jc w:val="both"/>
        <w:spacing w:line="400" w:lineRule="exact"/>
        <w:widowControl w:val="off"/>
        <w:rPr>
          <w:rFonts w:ascii="宋体" w:hAnsi="宋体" w:eastAsia="等线" w:cs="Times New Roman"/>
          <w:b/>
          <w:color w:val="auto"/>
          <w:sz w:val="21"/>
          <w:highlight w:val="none"/>
          <w:u w:val="single"/>
          <w:lang w:eastAsia="zh-CN"/>
        </w:rPr>
      </w:pPr>
      <w:r>
        <w:rPr>
          <w:rFonts w:hint="eastAsia" w:ascii="宋体" w:hAnsi="宋体" w:eastAsia="等线" w:cs="Times New Roman"/>
          <w:b/>
          <w:color w:val="auto"/>
          <w:sz w:val="21"/>
          <w:highlight w:val="none"/>
          <w:lang w:eastAsia="zh-CN"/>
        </w:rPr>
        <w:t xml:space="preserve">合同履行</w:t>
      </w:r>
      <w:r/>
    </w:p>
    <w:p>
      <w:pPr>
        <w:ind w:firstLine="420"/>
        <w:jc w:val="both"/>
        <w:spacing w:line="400" w:lineRule="exact"/>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（1）起始日期：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日，完成日期：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w:t>
      </w:r>
      <w:r/>
    </w:p>
    <w:p>
      <w:p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（2）履约地点</w:t>
      </w:r>
      <w:r>
        <w:rPr>
          <w:rFonts w:hint="eastAsia" w:ascii="宋体" w:hAnsi="宋体" w:eastAsia="等线" w:cs="宋体"/>
          <w:bCs/>
          <w:color w:val="auto"/>
          <w:sz w:val="21"/>
          <w:highlight w:val="none"/>
          <w:lang w:eastAsia="zh-CN"/>
        </w:rPr>
        <w:t xml:space="preserve">：</w:t>
      </w:r>
      <w:r>
        <w:rPr>
          <w:rFonts w:hint="eastAsia" w:ascii="宋体" w:hAnsi="宋体" w:eastAsia="等线" w:cs="宋体"/>
          <w:color w:val="auto"/>
          <w:sz w:val="21"/>
          <w:highlight w:val="none"/>
          <w:u w:val="single"/>
          <w:lang w:eastAsia="zh-CN"/>
        </w:rPr>
        <w:t xml:space="preserve">                             </w:t>
      </w:r>
      <w:r/>
    </w:p>
    <w:p>
      <w:pPr>
        <w:ind w:firstLine="420"/>
        <w:jc w:val="both"/>
        <w:spacing w:line="400" w:lineRule="exact"/>
        <w:widowControl w:val="off"/>
        <w:rPr>
          <w:rFonts w:ascii="宋体" w:hAnsi="宋体" w:cs="宋体"/>
          <w:color w:val="auto"/>
          <w:sz w:val="21"/>
          <w:highlight w:val="none"/>
          <w:lang w:eastAsia="zh-CN"/>
        </w:rPr>
      </w:pPr>
      <w:r>
        <w:rPr>
          <w:rFonts w:hint="eastAsia" w:ascii="宋体" w:hAnsi="宋体" w:eastAsia="等线" w:cs="宋体"/>
          <w:bCs/>
          <w:color w:val="auto"/>
          <w:sz w:val="21"/>
          <w:highlight w:val="none"/>
          <w:lang w:eastAsia="zh-CN"/>
        </w:rPr>
        <w:t xml:space="preserve">（3）履约担保：</w:t>
      </w:r>
      <w:r>
        <w:rPr>
          <w:rFonts w:hint="eastAsia" w:ascii="宋体" w:hAnsi="宋体" w:cs="宋体"/>
          <w:color w:val="auto"/>
          <w:sz w:val="21"/>
          <w:szCs w:val="22"/>
          <w:highlight w:val="none"/>
          <w:lang w:eastAsia="zh-CN"/>
        </w:rPr>
        <w:t xml:space="preserve">是否收取履约保证金：</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ind w:firstLine="440"/>
        <w:spacing w:line="400" w:lineRule="exact"/>
        <w:rPr>
          <w:rFonts w:ascii="宋体" w:hAnsi="宋体" w:eastAsia="等线" w:cs="宋体"/>
          <w:bCs/>
          <w:color w:val="auto"/>
          <w:sz w:val="21"/>
          <w:highlight w:val="none"/>
          <w:lang w:eastAsia="zh-CN"/>
        </w:rPr>
      </w:pPr>
      <w:r>
        <w:rPr>
          <w:rFonts w:hint="eastAsia" w:ascii="宋体" w:hAnsi="宋体" w:eastAsia="华文楷体" w:cs="宋体"/>
          <w:bCs/>
          <w:color w:val="auto"/>
          <w:sz w:val="22"/>
          <w:highlight w:val="none"/>
          <w:lang w:eastAsia="zh-CN"/>
        </w:rPr>
        <w:t xml:space="preserve">  </w:t>
      </w:r>
      <w:r>
        <w:rPr>
          <w:rFonts w:hint="eastAsia" w:ascii="宋体" w:hAnsi="宋体" w:eastAsia="等线" w:cs="宋体"/>
          <w:bCs/>
          <w:color w:val="auto"/>
          <w:sz w:val="21"/>
          <w:highlight w:val="none"/>
          <w:lang w:eastAsia="zh-CN"/>
        </w:rPr>
        <w:t xml:space="preserve">收取履约保证金形式：</w:t>
      </w:r>
      <w:r>
        <w:rPr>
          <w:rFonts w:hint="eastAsia" w:ascii="宋体" w:hAnsi="宋体" w:eastAsia="等线" w:cs="宋体"/>
          <w:bCs/>
          <w:color w:val="auto"/>
          <w:sz w:val="21"/>
          <w:highlight w:val="none"/>
          <w:u w:val="single"/>
          <w:lang w:eastAsia="zh-CN"/>
        </w:rPr>
        <w:t xml:space="preserve">以履约保函形式缴纳或提交。</w:t>
      </w:r>
      <w:r>
        <w:rPr>
          <w:rFonts w:hint="eastAsia" w:ascii="宋体" w:hAnsi="宋体" w:eastAsia="等线" w:cs="宋体"/>
          <w:bCs/>
          <w:color w:val="auto"/>
          <w:sz w:val="21"/>
          <w:highlight w:val="none"/>
          <w:lang w:eastAsia="zh-CN"/>
        </w:rPr>
        <w:t xml:space="preserve">                            </w:t>
      </w:r>
      <w:r/>
    </w:p>
    <w:p>
      <w:pPr>
        <w:ind w:firstLine="44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收取履约保证金金额：</w:t>
      </w:r>
      <w:r>
        <w:rPr>
          <w:rFonts w:hint="eastAsia" w:ascii="宋体" w:hAnsi="宋体" w:eastAsia="等线" w:cs="宋体"/>
          <w:bCs/>
          <w:color w:val="auto"/>
          <w:sz w:val="21"/>
          <w:highlight w:val="none"/>
          <w:u w:val="single"/>
          <w:lang w:eastAsia="zh-CN"/>
        </w:rPr>
        <w:t xml:space="preserve">合同价款的10%  </w:t>
      </w:r>
      <w:r>
        <w:rPr>
          <w:rFonts w:hint="eastAsia" w:ascii="宋体" w:hAnsi="宋体" w:eastAsia="等线" w:cs="宋体"/>
          <w:bCs/>
          <w:color w:val="auto"/>
          <w:sz w:val="21"/>
          <w:highlight w:val="none"/>
          <w:lang w:eastAsia="zh-CN"/>
        </w:rPr>
        <w:t xml:space="preserve">                          </w:t>
      </w:r>
      <w:r/>
    </w:p>
    <w:p>
      <w:pPr>
        <w:ind w:firstLine="420"/>
        <w:jc w:val="both"/>
        <w:spacing w:line="400" w:lineRule="exact"/>
        <w:widowControl w:val="off"/>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履约担保期限：</w:t>
      </w:r>
      <w:r>
        <w:rPr>
          <w:rFonts w:hint="eastAsia" w:ascii="宋体" w:hAnsi="宋体" w:eastAsia="等线" w:cs="宋体"/>
          <w:bCs/>
          <w:color w:val="auto"/>
          <w:sz w:val="21"/>
          <w:highlight w:val="none"/>
          <w:u w:val="single"/>
          <w:lang w:eastAsia="zh-CN"/>
        </w:rPr>
        <w:t xml:space="preserve">货物安装、调试、验收合格后10个工作日内退还。</w:t>
      </w:r>
      <w:r>
        <w:rPr>
          <w:rFonts w:hint="eastAsia" w:ascii="宋体" w:hAnsi="宋体" w:eastAsia="等线" w:cs="宋体"/>
          <w:bCs/>
          <w:color w:val="auto"/>
          <w:sz w:val="21"/>
          <w:highlight w:val="none"/>
          <w:lang w:eastAsia="zh-CN"/>
        </w:rPr>
        <w:t xml:space="preserve">                                  </w:t>
      </w:r>
      <w:r/>
    </w:p>
    <w:p>
      <w:pPr>
        <w:ind w:firstLine="63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履约保证金的缴纳时间：</w:t>
      </w:r>
      <w:r>
        <w:rPr>
          <w:rFonts w:hint="eastAsia" w:ascii="宋体" w:hAnsi="宋体" w:eastAsia="等线" w:cs="宋体"/>
          <w:bCs/>
          <w:color w:val="auto"/>
          <w:sz w:val="21"/>
          <w:highlight w:val="none"/>
          <w:u w:val="single"/>
          <w:lang w:eastAsia="zh-CN"/>
        </w:rPr>
        <w:t xml:space="preserve"> 乙方在签订合同后5个工作日内，向甲方提交履约保证金。</w:t>
      </w:r>
      <w:r>
        <w:rPr>
          <w:rFonts w:hint="eastAsia" w:ascii="宋体" w:hAnsi="宋体" w:eastAsia="等线" w:cs="宋体"/>
          <w:bCs/>
          <w:color w:val="auto"/>
          <w:sz w:val="21"/>
          <w:highlight w:val="none"/>
          <w:lang w:eastAsia="zh-CN"/>
        </w:rPr>
        <w:t xml:space="preserve">                           </w:t>
      </w:r>
      <w:r/>
    </w:p>
    <w:p>
      <w:pPr>
        <w:ind w:firstLine="63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退付办法：</w:t>
      </w:r>
      <w:r>
        <w:rPr>
          <w:rFonts w:hint="eastAsia" w:ascii="宋体" w:hAnsi="宋体" w:eastAsia="等线" w:cs="宋体"/>
          <w:bCs/>
          <w:color w:val="auto"/>
          <w:sz w:val="21"/>
          <w:highlight w:val="none"/>
          <w:u w:val="single"/>
          <w:lang w:eastAsia="zh-CN"/>
        </w:rPr>
        <w:t xml:space="preserve">与乙方提交履约保证金的方式相同。</w:t>
      </w:r>
      <w:r>
        <w:rPr>
          <w:rFonts w:hint="eastAsia" w:ascii="宋体" w:hAnsi="宋体" w:eastAsia="等线" w:cs="宋体"/>
          <w:bCs/>
          <w:color w:val="auto"/>
          <w:sz w:val="21"/>
          <w:highlight w:val="none"/>
          <w:lang w:eastAsia="zh-CN"/>
        </w:rPr>
        <w:t xml:space="preserve">                                      </w:t>
      </w:r>
      <w:r/>
    </w:p>
    <w:p>
      <w:pPr>
        <w:ind w:left="3360" w:hanging="2730"/>
        <w:spacing w:line="400" w:lineRule="exact"/>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履约保证金不予退还的情形：</w:t>
      </w:r>
      <w:r>
        <w:rPr>
          <w:rFonts w:hint="eastAsia" w:ascii="宋体" w:hAnsi="宋体" w:eastAsia="等线" w:cs="宋体"/>
          <w:bCs/>
          <w:color w:val="auto"/>
          <w:sz w:val="21"/>
          <w:highlight w:val="none"/>
          <w:u w:val="single"/>
          <w:lang w:eastAsia="zh-CN"/>
        </w:rPr>
        <w:t xml:space="preserve">①由于乙方的原因不能履约的，②在履行合同期间发生重大安全事故，给甲方造成不良影响和严重经济损失的。</w:t>
      </w:r>
      <w:r/>
    </w:p>
    <w:p>
      <w:pPr>
        <w:ind w:firstLine="630"/>
        <w:jc w:val="both"/>
        <w:spacing w:line="400" w:lineRule="exact"/>
        <w:widowControl w:val="off"/>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逾期退还履约保证金的违约责任：</w:t>
      </w:r>
      <w:r>
        <w:rPr>
          <w:rFonts w:hint="eastAsia" w:ascii="宋体" w:hAnsi="宋体" w:eastAsia="等线" w:cs="宋体"/>
          <w:bCs/>
          <w:color w:val="auto"/>
          <w:sz w:val="21"/>
          <w:highlight w:val="none"/>
          <w:u w:val="single"/>
          <w:lang w:eastAsia="zh-CN"/>
        </w:rPr>
        <w:t xml:space="preserve">承担履约保证金金额千分之二/天的违约金。 </w:t>
      </w:r>
      <w:r/>
    </w:p>
    <w:p>
      <w:pPr>
        <w:ind w:firstLine="420"/>
        <w:jc w:val="both"/>
        <w:spacing w:line="400" w:lineRule="exact"/>
        <w:widowControl w:val="off"/>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（4）分期履行要求：</w:t>
      </w:r>
      <w:r>
        <w:rPr>
          <w:rFonts w:hint="eastAsia" w:ascii="宋体" w:hAnsi="宋体" w:eastAsia="等线" w:cs="宋体"/>
          <w:bCs/>
          <w:color w:val="auto"/>
          <w:sz w:val="21"/>
          <w:highlight w:val="none"/>
          <w:u w:val="single"/>
          <w:lang w:eastAsia="zh-CN"/>
        </w:rPr>
        <w:t xml:space="preserve">                                                        </w:t>
      </w:r>
      <w:r/>
    </w:p>
    <w:p>
      <w:p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bCs/>
          <w:color w:val="auto"/>
          <w:sz w:val="21"/>
          <w:highlight w:val="none"/>
          <w:lang w:eastAsia="zh-CN"/>
        </w:rPr>
        <w:t xml:space="preserve">（5）风险处置措施和替代方案：</w:t>
      </w:r>
      <w:r>
        <w:rPr>
          <w:rFonts w:hint="eastAsia" w:ascii="宋体" w:hAnsi="宋体" w:eastAsia="等线" w:cs="宋体"/>
          <w:color w:val="auto"/>
          <w:sz w:val="21"/>
          <w:highlight w:val="none"/>
          <w:u w:val="single"/>
          <w:lang w:eastAsia="zh-CN"/>
        </w:rPr>
        <w:t xml:space="preserve">                                                               </w:t>
      </w:r>
      <w:r/>
    </w:p>
    <w:p>
      <w:pPr>
        <w:numPr>
          <w:ilvl w:val="0"/>
          <w:numId w:val="6"/>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合同验收</w:t>
      </w:r>
      <w:r/>
    </w:p>
    <w:p>
      <w:pPr>
        <w:numPr>
          <w:ilvl w:val="0"/>
          <w:numId w:val="8"/>
        </w:numPr>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验收组织方式：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自行组织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委托第三方组织</w:t>
      </w:r>
      <w:r/>
    </w:p>
    <w:p>
      <w:pPr>
        <w:ind w:firstLine="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验收主体：</w:t>
      </w:r>
      <w:r>
        <w:rPr>
          <w:rFonts w:hint="eastAsia" w:ascii="宋体" w:hAnsi="宋体" w:eastAsia="等线" w:cs="Times New Roman"/>
          <w:bCs/>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是否邀请本项目的其他供应商参加验收：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是否邀请专家参加验收：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是否邀请服务对象参加验收：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是否邀请第三方检测机构参加验收：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是否进行抽查检测：</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是，抽查比例：</w:t>
      </w:r>
      <w:r>
        <w:rPr>
          <w:rFonts w:hint="eastAsia" w:ascii="宋体" w:hAnsi="宋体" w:eastAsia="等线" w:cs="Times New Roman"/>
          <w:bCs/>
          <w:color w:val="auto"/>
          <w:sz w:val="21"/>
          <w:highlight w:val="none"/>
          <w:u w:val="single"/>
          <w:lang w:eastAsia="zh-CN"/>
        </w:rPr>
        <w:t xml:space="preserve">        </w:t>
      </w: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cs="Times New Roman"/>
          <w:bCs/>
          <w:color w:val="auto"/>
          <w:sz w:val="21"/>
          <w:highlight w:val="none"/>
          <w:u w:val="single"/>
          <w:lang w:eastAsia="zh-CN"/>
        </w:rPr>
      </w:pPr>
      <w:r>
        <w:rPr>
          <w:rFonts w:hint="eastAsia" w:ascii="宋体" w:hAnsi="宋体" w:cs="Times New Roman"/>
          <w:bCs/>
          <w:color w:val="auto"/>
          <w:sz w:val="21"/>
          <w:highlight w:val="none"/>
          <w:lang w:eastAsia="zh-CN"/>
        </w:rPr>
        <w:t xml:space="preserve">是否存在破坏性检测：</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是，</w:t>
      </w:r>
      <w:r>
        <w:rPr>
          <w:rFonts w:hint="eastAsia" w:ascii="宋体" w:hAnsi="宋体" w:cs="Times New Roman"/>
          <w:bCs/>
          <w:color w:val="auto"/>
          <w:sz w:val="21"/>
          <w:highlight w:val="none"/>
          <w:u w:val="single"/>
          <w:lang w:eastAsia="zh-CN"/>
        </w:rPr>
        <w:t xml:space="preserve">（应明确对被破坏的检测产品的处理方式）</w:t>
      </w:r>
      <w:r/>
    </w:p>
    <w:p>
      <w:pPr>
        <w:ind w:firstLine="840"/>
        <w:jc w:val="both"/>
        <w:spacing w:line="400" w:lineRule="exact"/>
        <w:widowControl w:val="off"/>
        <w:rPr>
          <w:rFonts w:ascii="宋体" w:hAnsi="宋体" w:cs="Times New Roman"/>
          <w:bCs/>
          <w:color w:val="auto"/>
          <w:sz w:val="21"/>
          <w:highlight w:val="none"/>
          <w:lang w:eastAsia="zh-CN"/>
        </w:rPr>
      </w:pPr>
      <w:r>
        <w:rPr>
          <w:rFonts w:hint="eastAsia" w:ascii="宋体" w:hAnsi="宋体"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验收组织的其他事项：</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（2）履约验收时间：</w:t>
      </w:r>
      <w:r>
        <w:rPr>
          <w:rFonts w:hint="eastAsia" w:ascii="宋体" w:hAnsi="宋体" w:eastAsia="等线" w:cs="Times New Roman"/>
          <w:bCs/>
          <w:color w:val="auto"/>
          <w:sz w:val="21"/>
          <w:highlight w:val="none"/>
          <w:u w:val="single"/>
          <w:lang w:eastAsia="zh-CN"/>
        </w:rPr>
        <w:t xml:space="preserve">（计划于何时验收/供应商提出验收申请之日起   日内组织验收） </w:t>
      </w:r>
      <w:r/>
    </w:p>
    <w:p>
      <w:pPr>
        <w:ind w:firstLine="42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（3）履约验收方式：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一次性验收         </w:t>
      </w:r>
      <w:r/>
    </w:p>
    <w:p>
      <w:pPr>
        <w:ind w:firstLine="0"/>
        <w:jc w:val="both"/>
        <w:spacing w:line="400" w:lineRule="exact"/>
        <w:widowControl w:val="off"/>
        <w:rPr>
          <w:rFonts w:ascii="宋体" w:hAnsi="宋体"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分期/分项验收：</w:t>
      </w:r>
      <w:r>
        <w:rPr>
          <w:rFonts w:hint="eastAsia" w:ascii="宋体" w:hAnsi="宋体" w:eastAsia="等线" w:cs="Times New Roman"/>
          <w:bCs/>
          <w:color w:val="auto"/>
          <w:sz w:val="21"/>
          <w:highlight w:val="none"/>
          <w:u w:val="single"/>
          <w:lang w:eastAsia="zh-CN"/>
        </w:rPr>
        <w:t xml:space="preserve"> （应明确分期</w:t>
      </w:r>
      <w:r>
        <w:rPr>
          <w:rFonts w:ascii="宋体" w:hAnsi="宋体" w:eastAsia="等线" w:cs="Times New Roman"/>
          <w:bCs/>
          <w:color w:val="auto"/>
          <w:sz w:val="21"/>
          <w:highlight w:val="none"/>
          <w:u w:val="single"/>
          <w:lang w:val="en" w:eastAsia="zh-CN"/>
        </w:rPr>
        <w:t xml:space="preserve">/</w:t>
      </w:r>
      <w:r>
        <w:rPr>
          <w:rFonts w:hint="eastAsia" w:ascii="宋体" w:hAnsi="宋体" w:eastAsia="等线" w:cs="Times New Roman"/>
          <w:bCs/>
          <w:color w:val="auto"/>
          <w:sz w:val="21"/>
          <w:highlight w:val="none"/>
          <w:u w:val="single"/>
          <w:lang w:val="en" w:eastAsia="zh-CN"/>
        </w:rPr>
        <w:t xml:space="preserve">分项验收的工作安排</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（4）履约验收程序：</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（5）履约验收的内容：</w:t>
      </w:r>
      <w:r>
        <w:rPr>
          <w:rFonts w:hint="eastAsia" w:ascii="宋体" w:hAnsi="宋体" w:eastAsia="等线" w:cs="Times New Roman"/>
          <w:bCs/>
          <w:color w:val="auto"/>
          <w:sz w:val="21"/>
          <w:highlight w:val="none"/>
          <w:u w:val="single"/>
          <w:lang w:eastAsia="zh-CN"/>
        </w:rPr>
        <w:t xml:space="preserve"> （应当包括每一项技术和商务要求的履约情况，特别是落实政府采购扶持中小企业，支持绿色发展和乡村振兴等政策情况）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（6）履约验收标准：</w:t>
      </w:r>
      <w:r>
        <w:rPr>
          <w:rFonts w:hint="eastAsia" w:ascii="宋体" w:hAnsi="宋体" w:eastAsia="等线" w:cs="Times New Roman"/>
          <w:bCs/>
          <w:color w:val="auto"/>
          <w:sz w:val="21"/>
          <w:highlight w:val="none"/>
          <w:u w:val="singl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bCs/>
          <w:color w:val="auto"/>
          <w:sz w:val="21"/>
          <w:highlight w:val="none"/>
          <w:lang w:eastAsia="zh-CN"/>
        </w:rPr>
        <w:t xml:space="preserve">（7）是否以采购活动中供应商提供的样品作为参考：</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否</w:t>
      </w:r>
      <w:r/>
    </w:p>
    <w:p>
      <w:pPr>
        <w:ind w:firstLine="420"/>
        <w:jc w:val="both"/>
        <w:spacing w:line="400" w:lineRule="exact"/>
        <w:widowControl w:val="off"/>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（8）履约验收其他事项：</w:t>
      </w:r>
      <w:r>
        <w:rPr>
          <w:rFonts w:hint="eastAsia" w:ascii="宋体" w:hAnsi="宋体" w:eastAsia="等线" w:cs="宋体"/>
          <w:bCs/>
          <w:color w:val="auto"/>
          <w:sz w:val="21"/>
          <w:highlight w:val="none"/>
          <w:u w:val="single"/>
          <w:lang w:eastAsia="zh-CN"/>
        </w:rPr>
        <w:t xml:space="preserve">      （产权过户登记等）          </w:t>
      </w:r>
      <w:r/>
    </w:p>
    <w:p>
      <w:pPr>
        <w:numPr>
          <w:ilvl w:val="0"/>
          <w:numId w:val="6"/>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组成合同的文件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本协议书与下列文件一起构成合同文件，如下述文件之间有任何抵触、矛盾或歧义，应按以下顺序解释：</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（1）政府采购合同协议书及其变更、补充协议</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（2）政府采购合同专用条款</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（3）政府采购合同通用条款</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（4）中标（成交）通知书</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（5）投标（响应）文件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（6）采购文件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（7）有关技术文件，图纸</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（8）国家法律、行政法规和规章制度规定或合同约定的作为合同组成部分的其他文件</w:t>
      </w:r>
      <w:r/>
    </w:p>
    <w:p>
      <w:pPr>
        <w:numPr>
          <w:ilvl w:val="0"/>
          <w:numId w:val="6"/>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合同生效</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本合同自</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生效。</w:t>
      </w:r>
      <w:r/>
    </w:p>
    <w:p>
      <w:pPr>
        <w:numPr>
          <w:ilvl w:val="0"/>
          <w:numId w:val="6"/>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合同份数</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本合同一式</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份，甲方执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份，乙方执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份，均具有同等法律效力。</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合同订立时间：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月</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日</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合同订立地点：</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附件：具体标的及其技术要求和商务要求、联合协议、分包意向协议等。</w:t>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Calibri" w:hAnsi="Calibri" w:cs="Times New Roman"/>
          <w:color w:val="auto"/>
          <w:sz w:val="21"/>
          <w:szCs w:val="22"/>
          <w:highlight w:val="none"/>
          <w:lang w:eastAsia="zh-CN"/>
        </w:rPr>
      </w:pPr>
      <w:r>
        <w:rPr>
          <w:rFonts w:ascii="Calibri" w:hAnsi="Calibri" w:cs="Times New Roman"/>
          <w:color w:val="auto"/>
          <w:sz w:val="21"/>
          <w:szCs w:val="22"/>
          <w:highlight w:val="none"/>
          <w:lang w:eastAsia="zh-CN"/>
        </w:rPr>
      </w:r>
      <w:r/>
    </w:p>
    <w:tbl>
      <w:tblPr>
        <w:tblStyle w:val="80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869"/>
        <w:gridCol w:w="2353"/>
        <w:gridCol w:w="251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0"/>
              <w:jc w:val="center"/>
              <w:spacing w:line="300" w:lineRule="exact"/>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highlight w:val="none"/>
                <w:lang w:eastAsia="zh-CN"/>
              </w:rPr>
              <w:t xml:space="preserve">甲方</w:t>
            </w:r>
            <w:r>
              <w:rPr>
                <w:rFonts w:hint="eastAsia" w:ascii="等线" w:hAnsi="等线" w:eastAsia="等线" w:cs="Times New Roman"/>
                <w:color w:val="auto"/>
                <w:sz w:val="21"/>
                <w:highlight w:val="none"/>
                <w:lang w:eastAsia="zh-CN"/>
              </w:rPr>
              <w:t xml:space="preserve">（采购人</w:t>
            </w:r>
            <w:r>
              <w:rPr>
                <w:rFonts w:hint="eastAsia" w:ascii="宋体" w:hAnsi="宋体" w:eastAsia="等线" w:cs="Times New Roman"/>
                <w:color w:val="auto"/>
                <w:sz w:val="21"/>
                <w:highlight w:val="none"/>
                <w:lang w:eastAsia="zh-CN"/>
              </w:rPr>
              <w:t xml:space="preserve">、受采购人委托签订合同的单位或</w:t>
            </w:r>
            <w:r>
              <w:rPr>
                <w:rFonts w:hint="eastAsia" w:ascii="等线" w:hAnsi="等线" w:eastAsia="等线" w:cs="Times New Roman"/>
                <w:color w:val="auto"/>
                <w:sz w:val="21"/>
                <w:highlight w:val="none"/>
                <w:lang w:eastAsia="zh-CN"/>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0"/>
              <w:jc w:val="center"/>
              <w:spacing w:line="300" w:lineRule="exact"/>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highlight w:val="none"/>
                <w:lang w:eastAsia="zh-CN"/>
              </w:rPr>
              <w:t xml:space="preserve">乙方</w:t>
            </w:r>
            <w:r>
              <w:rPr>
                <w:rFonts w:hint="eastAsia" w:ascii="等线" w:hAnsi="等线" w:eastAsia="等线" w:cs="Times New Roman"/>
                <w:color w:val="auto"/>
                <w:sz w:val="21"/>
                <w:highlight w:val="none"/>
                <w:lang w:eastAsia="zh-CN"/>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单位名称</w:t>
            </w:r>
            <w:r>
              <w:rPr>
                <w:rFonts w:hint="eastAsia" w:ascii="等线" w:hAnsi="等线" w:eastAsia="等线" w:cs="Times New Roman"/>
                <w:color w:val="auto"/>
                <w:sz w:val="21"/>
                <w:highlight w:val="none"/>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单位名称</w:t>
            </w:r>
            <w:r>
              <w:rPr>
                <w:rFonts w:hint="eastAsia" w:ascii="等线" w:hAnsi="等线" w:eastAsia="等线" w:cs="Times New Roman"/>
                <w:color w:val="auto"/>
                <w:sz w:val="21"/>
                <w:highlight w:val="none"/>
                <w:lang w:eastAsia="zh-CN"/>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法定代表人</w:t>
            </w:r>
            <w:r/>
          </w:p>
          <w:p>
            <w:pPr>
              <w:ind w:firstLine="10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或其</w:t>
            </w:r>
            <w:r>
              <w:rPr>
                <w:rFonts w:ascii="等线" w:hAnsi="等线" w:eastAsia="等线" w:cs="Times New Roman"/>
                <w:color w:val="auto"/>
                <w:sz w:val="21"/>
                <w:highlight w:val="none"/>
                <w:lang w:eastAsia="zh-CN"/>
              </w:rPr>
              <w:t xml:space="preserve">委托代理人</w:t>
            </w:r>
            <w:r>
              <w:rPr>
                <w:rFonts w:hint="eastAsia" w:ascii="等线" w:hAnsi="等线" w:eastAsia="等线" w:cs="Times New Roman"/>
                <w:color w:val="auto"/>
                <w:sz w:val="21"/>
                <w:highlight w:val="none"/>
                <w:lang w:eastAsia="zh-CN"/>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法定代表人</w:t>
            </w:r>
            <w:r/>
          </w:p>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或其</w:t>
            </w:r>
            <w:r>
              <w:rPr>
                <w:rFonts w:ascii="等线" w:hAnsi="等线" w:eastAsia="等线" w:cs="Times New Roman"/>
                <w:color w:val="auto"/>
                <w:sz w:val="21"/>
                <w:highlight w:val="none"/>
                <w:lang w:eastAsia="zh-CN"/>
              </w:rPr>
              <w:t xml:space="preserve">委托代理人</w:t>
            </w:r>
            <w:r>
              <w:rPr>
                <w:rFonts w:hint="eastAsia" w:ascii="等线" w:hAnsi="等线" w:eastAsia="等线" w:cs="Times New Roman"/>
                <w:color w:val="auto"/>
                <w:sz w:val="21"/>
                <w:highlight w:val="none"/>
                <w:lang w:eastAsia="zh-CN"/>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widowControl w:val="off"/>
              <w:rPr>
                <w:rFonts w:ascii="等线" w:hAnsi="等线" w:eastAsia="等线" w:cs="Times New Roman"/>
                <w:color w:val="auto"/>
                <w:spacing w:val="20"/>
                <w:sz w:val="21"/>
                <w:highlight w:val="none"/>
                <w:lang w:eastAsia="zh-CN"/>
              </w:rPr>
            </w:pPr>
            <w:r>
              <w:rPr>
                <w:rFonts w:ascii="等线" w:hAnsi="等线" w:eastAsia="等线" w:cs="Times New Roman"/>
                <w:color w:val="auto"/>
                <w:spacing w:val="20"/>
                <w:sz w:val="21"/>
                <w:highlight w:val="none"/>
                <w:lang w:eastAsia="zh-CN"/>
              </w:rPr>
            </w:r>
            <w:r/>
          </w:p>
        </w:tc>
      </w:tr>
      <w:tr>
        <w:trPr>
          <w:trHeight w:val="586"/>
        </w:trPr>
        <w:tc>
          <w:tcPr>
            <w:gridSpan w:val="4"/>
            <w:tcBorders>
              <w:top w:val="single" w:color="auto" w:sz="2" w:space="0"/>
            </w:tcBorders>
            <w:tcW w:w="5000" w:type="pct"/>
            <w:vAlign w:val="center"/>
            <w:textDirection w:val="lrTb"/>
            <w:noWrap w:val="false"/>
          </w:tcPr>
          <w:p>
            <w:pPr>
              <w:ind w:firstLine="0"/>
              <w:spacing w:before="156"/>
              <w:widowControl w:val="off"/>
              <w:rPr>
                <w:rFonts w:ascii="等线" w:hAnsi="等线" w:eastAsia="等线" w:cs="Times New Roman"/>
                <w:color w:val="auto"/>
                <w:spacing w:val="20"/>
                <w:sz w:val="21"/>
                <w:highlight w:val="none"/>
                <w:lang w:eastAsia="zh-CN"/>
              </w:rPr>
            </w:pPr>
            <w:r>
              <w:rPr>
                <w:rFonts w:hint="eastAsia" w:ascii="宋体" w:hAnsi="宋体" w:eastAsia="等线" w:cs="Times New Roman"/>
                <w:color w:val="auto"/>
                <w:sz w:val="21"/>
                <w:highlight w:val="none"/>
                <w:lang w:eastAsia="zh-CN"/>
              </w:rPr>
              <w:t xml:space="preserve">注：涉及联合体或其他合同主体的信息应按上表格式加列。</w:t>
            </w:r>
            <w:r/>
          </w:p>
        </w:tc>
      </w:tr>
    </w:tbl>
    <w:p>
      <w:pPr>
        <w:ind w:firstLine="0"/>
        <w:jc w:val="center"/>
        <w:keepLines/>
        <w:keepNext/>
        <w:spacing w:before="156" w:after="200" w:line="240" w:lineRule="auto"/>
        <w:widowControl w:val="off"/>
        <w:rPr>
          <w:rFonts w:ascii="黑体" w:hAnsi="黑体" w:eastAsia="黑体"/>
          <w:color w:val="auto"/>
          <w:sz w:val="28"/>
          <w:szCs w:val="28"/>
          <w:highlight w:val="none"/>
          <w:lang w:eastAsia="zh-CN"/>
        </w:rPr>
        <w:outlineLvl w:val="1"/>
      </w:pPr>
      <w:r>
        <w:rPr>
          <w:rFonts w:ascii="宋体" w:hAnsi="宋体" w:eastAsia="Arial"/>
          <w:color w:val="auto"/>
          <w:sz w:val="21"/>
          <w:highlight w:val="none"/>
          <w:u w:val="single"/>
          <w:lang w:eastAsia="zh-CN"/>
        </w:rPr>
        <w:br w:type="page" w:clear="all"/>
      </w:r>
      <w:bookmarkStart w:id="18" w:name="_Toc27624"/>
      <w:r>
        <w:rPr>
          <w:rFonts w:hint="eastAsia" w:ascii="黑体" w:hAnsi="黑体" w:eastAsia="黑体"/>
          <w:color w:val="auto"/>
          <w:sz w:val="28"/>
          <w:szCs w:val="28"/>
          <w:highlight w:val="none"/>
          <w:lang w:eastAsia="zh-CN"/>
        </w:rPr>
        <w:t xml:space="preserve">第二节 政府采购合同通用条款</w:t>
      </w:r>
      <w:bookmarkEnd w:id="18"/>
      <w:r/>
      <w:r/>
    </w:p>
    <w:p>
      <w:pPr>
        <w:ind w:firstLine="0"/>
        <w:keepLines w:val="0"/>
        <w:keepNext w:val="0"/>
        <w:pageBreakBefore w:val="0"/>
        <w:spacing w:line="360" w:lineRule="auto"/>
        <w:widowControl w:val="off"/>
        <w:tabs>
          <w:tab w:val="left" w:pos="8820" w:leader="none"/>
          <w:tab w:val="left" w:pos="9345" w:leader="none"/>
          <w:tab w:val="left" w:pos="9765" w:leader="none"/>
        </w:tabs>
        <w:rPr>
          <w:rFonts w:ascii="宋体" w:hAnsi="宋体" w:cs="宋体"/>
          <w:b/>
          <w:bCs/>
          <w:color w:val="auto"/>
          <w:szCs w:val="22"/>
          <w:highlight w:val="none"/>
          <w:lang w:eastAsia="zh-CN"/>
        </w:rPr>
      </w:pPr>
      <w:r>
        <w:rPr>
          <w:rFonts w:hint="eastAsia" w:ascii="宋体" w:hAnsi="宋体" w:cs="宋体"/>
          <w:b/>
          <w:color w:val="auto"/>
          <w:szCs w:val="22"/>
          <w:highlight w:val="none"/>
          <w:lang w:eastAsia="zh-CN"/>
        </w:rPr>
        <w:t xml:space="preserve">1. </w:t>
      </w:r>
      <w:r>
        <w:rPr>
          <w:rFonts w:hint="eastAsia" w:ascii="宋体" w:hAnsi="宋体" w:cs="宋体"/>
          <w:b/>
          <w:bCs/>
          <w:color w:val="auto"/>
          <w:szCs w:val="22"/>
          <w:highlight w:val="none"/>
          <w:lang w:eastAsia="zh-CN"/>
        </w:rPr>
        <w:t xml:space="preserve">定义</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1.1合同当事人</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（1）采购人（以下称甲方）是指使用财政性资金，通过政府采购方式向供应商购买货物及其相关服务的国家机关、事业单位、团体组织。</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（2）供应商（以下称乙方）是指参加政府采购活动并且中标（成交），向采购人提供合同约定的货物及其相关服务的法人、非法人组织或者自然人。</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（3）其他合同主体是指除采购人和供应商以外，</w:t>
      </w:r>
      <w:r>
        <w:rPr>
          <w:rFonts w:hint="eastAsia" w:ascii="宋体" w:hAnsi="宋体" w:cs="宋体"/>
          <w:bCs/>
          <w:color w:val="auto"/>
          <w:sz w:val="21"/>
          <w:highlight w:val="none"/>
          <w:lang w:eastAsia="zh-CN"/>
        </w:rPr>
        <w:t xml:space="preserve">依法参与合同缔结或履行，享有权利、承担义务的合同当事人</w:t>
      </w:r>
      <w:r>
        <w:rPr>
          <w:rFonts w:hint="eastAsia" w:ascii="宋体" w:hAnsi="宋体" w:cs="宋体"/>
          <w:color w:val="auto"/>
          <w:sz w:val="21"/>
          <w:highlight w:val="none"/>
          <w:lang w:eastAsia="zh-CN"/>
        </w:rPr>
        <w:t xml:space="preserve">。</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1.2本合同下列术语应解释为：</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（1）“合同”系指</w:t>
      </w:r>
      <w:r>
        <w:rPr>
          <w:rFonts w:hint="eastAsia" w:ascii="宋体" w:hAnsi="宋体" w:cs="宋体"/>
          <w:bCs/>
          <w:color w:val="auto"/>
          <w:sz w:val="21"/>
          <w:highlight w:val="none"/>
          <w:lang w:eastAsia="zh-CN"/>
        </w:rPr>
        <w:t xml:space="preserve">合同当事人意思表示达成一致的任何协议，包括签署的</w:t>
      </w:r>
      <w:r>
        <w:rPr>
          <w:rFonts w:hint="eastAsia" w:ascii="宋体" w:hAnsi="宋体" w:cs="宋体"/>
          <w:color w:val="auto"/>
          <w:sz w:val="21"/>
          <w:highlight w:val="none"/>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（2）“合同价款”系指根据本合同规定乙方在全面履行合同义务后甲方应支付给乙方的价款。</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（3）“货物”系指乙方根据本合同规定须向甲方提供的各种形态和种类的物品，包括原材料、设备、产品（包括软件）及相关的备品备件、工具、手册及</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技术资料和材料等。</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（4）“相关服务”系指根据合同规定，乙方应提供的与货物有关的技术、管理和</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义务。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（7）其他术语解释，见【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auto"/>
          <w:szCs w:val="22"/>
          <w:highlight w:val="none"/>
          <w:lang w:eastAsia="zh-CN"/>
        </w:rPr>
      </w:pPr>
      <w:r>
        <w:rPr>
          <w:rFonts w:hint="eastAsia" w:ascii="宋体" w:hAnsi="宋体" w:cs="宋体"/>
          <w:b/>
          <w:color w:val="auto"/>
          <w:szCs w:val="22"/>
          <w:highlight w:val="none"/>
          <w:lang w:val="en-US" w:eastAsia="zh-CN"/>
        </w:rPr>
        <w:t xml:space="preserve">2.</w:t>
      </w:r>
      <w:r>
        <w:rPr>
          <w:rFonts w:hint="eastAsia" w:ascii="宋体" w:hAnsi="宋体" w:cs="宋体"/>
          <w:b/>
          <w:color w:val="auto"/>
          <w:szCs w:val="22"/>
          <w:highlight w:val="none"/>
          <w:lang w:eastAsia="zh-CN"/>
        </w:rPr>
        <w:t xml:space="preserve"> 合同标的及金额</w:t>
      </w:r>
      <w:r/>
    </w:p>
    <w:p>
      <w:pPr>
        <w:ind w:firstLine="420"/>
        <w:keepLines w:val="0"/>
        <w:keepNext w:val="0"/>
        <w:pageBreakBefore w:val="0"/>
        <w:spacing w:line="360" w:lineRule="auto"/>
        <w:widowControl w:val="off"/>
        <w:rPr>
          <w:rFonts w:ascii="宋体" w:hAnsi="宋体" w:cs="宋体"/>
          <w:b/>
          <w:bCs/>
          <w:i/>
          <w:iCs/>
          <w:color w:val="auto"/>
          <w:sz w:val="21"/>
          <w:highlight w:val="none"/>
          <w:lang w:eastAsia="zh-CN"/>
        </w:rPr>
      </w:pPr>
      <w:r>
        <w:rPr>
          <w:rFonts w:hint="eastAsia" w:ascii="宋体" w:hAnsi="宋体" w:cs="宋体"/>
          <w:color w:val="auto"/>
          <w:sz w:val="21"/>
          <w:highlight w:val="none"/>
          <w:lang w:eastAsia="zh-CN"/>
        </w:rPr>
        <w:t xml:space="preserve">2.1 合同标的及金额应与中标（成交）结果一致。乙方为履行本合同而发生的所有费用均应包含在合同价款中，甲方不再另行支付</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任何费用。</w:t>
      </w:r>
      <w:r/>
    </w:p>
    <w:p>
      <w:pPr>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auto"/>
          <w:szCs w:val="22"/>
          <w:highlight w:val="none"/>
          <w:lang w:val="en-US" w:eastAsia="zh-CN"/>
        </w:rPr>
      </w:pPr>
      <w:r>
        <w:rPr>
          <w:rFonts w:hint="eastAsia" w:ascii="宋体" w:hAnsi="宋体" w:cs="宋体"/>
          <w:b/>
          <w:color w:val="auto"/>
          <w:szCs w:val="22"/>
          <w:highlight w:val="none"/>
          <w:lang w:val="en-US" w:eastAsia="zh-CN"/>
        </w:rPr>
        <w:t xml:space="preserve">3. 履行合同的时间、地点和方式</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3.1 乙方应当在约定的时间、地点，按照约定方式履行合同。</w:t>
      </w:r>
      <w:r/>
    </w:p>
    <w:p>
      <w:pPr>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auto"/>
          <w:szCs w:val="22"/>
          <w:highlight w:val="none"/>
          <w:lang w:val="en-US" w:eastAsia="zh-CN"/>
        </w:rPr>
      </w:pPr>
      <w:r>
        <w:rPr>
          <w:rFonts w:hint="eastAsia" w:ascii="宋体" w:hAnsi="宋体" w:cs="宋体"/>
          <w:b/>
          <w:color w:val="auto"/>
          <w:szCs w:val="22"/>
          <w:highlight w:val="none"/>
          <w:lang w:val="en-US" w:eastAsia="zh-CN"/>
        </w:rPr>
        <w:t xml:space="preserve">4. 甲方的权利和义务</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4.3 甲方有权要求乙方对缺陷部分予以修复，并按合同约定享有货物保修及其他合同约定的权利。</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4.4 甲方应当按照合同约定及时对交付的货物进行验收，未在【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】约定的期限内对乙方履约提出任何异议或者向乙方作出任何说明的，视为验收通过。</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4.5 甲方应当根据合同约定及时向乙方支付合同价款，不得以内部人员变更、履行内部付款流程等为由，拒绝或迟延支付。</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4.6 国家法律法规规定及【</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】约定应由甲方承担的其他义务和责任。</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5. 乙方的权利和义务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5.1 签署合同后，乙方应确定项目负责人（或项目联系人），负责与本合同有关的事务。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keepLines w:val="0"/>
        <w:keepNext w:val="0"/>
        <w:pageBreakBefore w:val="0"/>
        <w:spacing w:line="360" w:lineRule="auto"/>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5.3乙方有权根据合同约定向甲方收取合同价款。</w:t>
      </w:r>
      <w:r/>
    </w:p>
    <w:p>
      <w:pPr>
        <w:ind w:firstLine="422"/>
        <w:jc w:val="both"/>
        <w:keepLines w:val="0"/>
        <w:keepNext w:val="0"/>
        <w:pageBreakBefore w:val="0"/>
        <w:spacing w:line="360" w:lineRule="auto"/>
        <w:widowControl w:val="off"/>
        <w:rPr>
          <w:rFonts w:ascii="宋体" w:hAnsi="宋体" w:cs="宋体"/>
          <w:color w:val="auto"/>
          <w:sz w:val="22"/>
          <w:szCs w:val="20"/>
          <w:highlight w:val="none"/>
          <w:lang w:eastAsia="zh-CN"/>
        </w:rPr>
      </w:pPr>
      <w:r>
        <w:rPr>
          <w:rFonts w:hint="eastAsia" w:ascii="宋体" w:hAnsi="宋体" w:cs="宋体"/>
          <w:color w:val="auto"/>
          <w:sz w:val="22"/>
          <w:szCs w:val="20"/>
          <w:highlight w:val="none"/>
          <w:lang w:eastAsia="zh-CN"/>
        </w:rPr>
        <w:t xml:space="preserve">5.4国家法律法规规定及</w:t>
      </w:r>
      <w:r>
        <w:rPr>
          <w:rFonts w:hint="eastAsia" w:ascii="宋体" w:hAnsi="宋体" w:cs="宋体"/>
          <w:b/>
          <w:bCs/>
          <w:color w:val="auto"/>
          <w:sz w:val="22"/>
          <w:szCs w:val="20"/>
          <w:highlight w:val="none"/>
          <w:lang w:eastAsia="zh-CN"/>
        </w:rPr>
        <w:t xml:space="preserve">【政府采购合同专用条款】</w:t>
      </w:r>
      <w:r>
        <w:rPr>
          <w:rFonts w:hint="eastAsia" w:ascii="宋体" w:hAnsi="宋体" w:cs="宋体"/>
          <w:color w:val="auto"/>
          <w:sz w:val="22"/>
          <w:szCs w:val="20"/>
          <w:highlight w:val="none"/>
          <w:lang w:eastAsia="zh-CN"/>
        </w:rPr>
        <w:t xml:space="preserve">约定应由乙方承担的其他义务和责任。</w:t>
      </w:r>
      <w:r/>
    </w:p>
    <w:p>
      <w:pPr>
        <w:numPr>
          <w:ilvl w:val="0"/>
          <w:numId w:val="9"/>
        </w:numPr>
        <w:jc w:val="both"/>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合同履行</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6.1 甲乙双方应当按照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约定顺序履行合同义务；如果没有先后顺序的，应当同时履行。</w:t>
      </w:r>
      <w:r/>
    </w:p>
    <w:p>
      <w:pPr>
        <w:ind w:firstLine="420"/>
        <w:keepLines w:val="0"/>
        <w:keepNext w:val="0"/>
        <w:pageBreakBefore w:val="0"/>
        <w:spacing w:line="360" w:lineRule="auto"/>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7. 货物包装、运输、保险和交付要求</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7.1 本合同</w:t>
      </w:r>
      <w:r>
        <w:rPr>
          <w:rFonts w:hint="eastAsia" w:ascii="宋体" w:hAnsi="宋体" w:cs="宋体"/>
          <w:bCs/>
          <w:color w:val="auto"/>
          <w:sz w:val="21"/>
          <w:highlight w:val="none"/>
          <w:lang w:eastAsia="zh-CN"/>
        </w:rPr>
        <w:t xml:space="preserve">涉及商品包装、快递包装的，</w:t>
      </w:r>
      <w:r>
        <w:rPr>
          <w:rFonts w:hint="eastAsia" w:ascii="宋体" w:hAnsi="宋体" w:cs="宋体"/>
          <w:color w:val="auto"/>
          <w:sz w:val="21"/>
          <w:highlight w:val="none"/>
          <w:lang w:eastAsia="zh-CN"/>
        </w:rPr>
        <w:t xml:space="preserve">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包装应适应远距离运输、防潮、防震、防锈和防野蛮装卸等要求，确保货物安全无损地运抵</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约定的</w:t>
      </w:r>
      <w:r>
        <w:rPr>
          <w:rFonts w:hint="eastAsia" w:ascii="宋体" w:hAnsi="宋体" w:cs="宋体"/>
          <w:color w:val="auto"/>
          <w:sz w:val="21"/>
          <w:highlight w:val="none"/>
          <w:lang w:eastAsia="zh-CN"/>
        </w:rPr>
        <w:t xml:space="preserve">指定现场。</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7.2 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乙方负责办理将货物运抵本合同规定的交货地点，并装卸、交付至甲方的一切运输事项，相关费用应包含在合同价款中。</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7.3 货物保险要求按</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规定执行</w:t>
      </w:r>
      <w:r>
        <w:rPr>
          <w:rFonts w:hint="eastAsia" w:ascii="宋体" w:hAnsi="宋体" w:cs="宋体"/>
          <w:color w:val="auto"/>
          <w:sz w:val="21"/>
          <w:highlight w:val="none"/>
          <w:lang w:eastAsia="zh-CN"/>
        </w:rPr>
        <w:t xml:space="preserve">。</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7.5 乙方在运输到达之前应提前通知甲方，并提示货物运输装卸的注意事项，甲方配合乙方做好货物的接收工作。</w:t>
      </w:r>
      <w:r/>
    </w:p>
    <w:p>
      <w:pPr>
        <w:ind w:firstLine="44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7.6 如因包装、运输问题导致货物损毁、丢失或者品质下降，甲方有权要求降价、换货、拒收部分或整批货物，由此产生的费用和损失，均由乙方承担。</w:t>
      </w:r>
      <w:r/>
    </w:p>
    <w:p>
      <w:pPr>
        <w:ind w:firstLine="0"/>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8. 质量标准和保证</w:t>
      </w:r>
      <w:r/>
    </w:p>
    <w:p>
      <w:pPr>
        <w:ind w:firstLine="420"/>
        <w:keepLines w:val="0"/>
        <w:keepNext w:val="0"/>
        <w:pageBreakBefore w:val="0"/>
        <w:spacing w:line="360" w:lineRule="auto"/>
        <w:widowControl w:val="off"/>
        <w:rPr>
          <w:rFonts w:ascii="宋体" w:hAnsi="宋体" w:cs="宋体"/>
          <w:b/>
          <w:color w:val="auto"/>
          <w:sz w:val="21"/>
          <w:highlight w:val="none"/>
          <w:lang w:eastAsia="zh-CN"/>
        </w:rPr>
      </w:pPr>
      <w:r>
        <w:rPr>
          <w:rFonts w:hint="eastAsia" w:ascii="宋体" w:hAnsi="宋体" w:cs="宋体"/>
          <w:color w:val="auto"/>
          <w:sz w:val="21"/>
          <w:highlight w:val="none"/>
          <w:lang w:eastAsia="zh-CN"/>
        </w:rPr>
        <w:t xml:space="preserve">8.1 质量标准</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（2）采用中华人民共和国法定计量单位。</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（3）乙方所提供的货物应符合国家有关安全、环保、卫生的规定。</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8.2 保证</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规定或乙方书面承诺（两者以较长的为准）的质量保证期内，本保证保持有效。</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（2）在质量保证期内所发现的缺陷，甲方应尽快以书面形式通知乙方。</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（3）乙方收到通知后，应在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规定的响应时间内以合理的速度免费维修或更换有缺陷的货物或部件。</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keepLines w:val="0"/>
        <w:keepNext w:val="0"/>
        <w:pageBreakBefore w:val="0"/>
        <w:spacing w:line="360" w:lineRule="auto"/>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9. 权利瑕疵担保</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9.1 乙方保证对其出售的货物享有合法的权利。</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9.2 </w:t>
      </w:r>
      <w:r>
        <w:rPr>
          <w:rFonts w:hint="eastAsia" w:ascii="宋体" w:hAnsi="宋体" w:cs="宋体"/>
          <w:color w:val="auto"/>
          <w:sz w:val="21"/>
          <w:szCs w:val="15"/>
          <w:highlight w:val="none"/>
          <w:lang w:eastAsia="zh-CN"/>
        </w:rPr>
        <w:t xml:space="preserve">乙方保证在交付的货物上不存在抵押权等担保物权。</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9.3 如甲方使用上述货物构成对第三人侵权的，则由乙方承担全部责任。</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10. 知识产权保护</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10.1 乙方对其所销售的货物应当享有知识产权或经权利人合法授权，保证没有侵犯任何第三人的知识产权等权利。</w:t>
      </w:r>
      <w:bookmarkStart w:id="19" w:name="_Hlk163047038"/>
      <w:r>
        <w:rPr>
          <w:rFonts w:hint="eastAsia" w:ascii="宋体" w:hAnsi="宋体" w:cs="宋体"/>
          <w:color w:val="auto"/>
          <w:sz w:val="21"/>
          <w:szCs w:val="15"/>
          <w:highlight w:val="none"/>
          <w:lang w:eastAsia="zh-CN"/>
        </w:rPr>
        <w:t xml:space="preserve">因违反前述约定对第三人构成侵权的，应当由乙方向第三人承担法律责任；甲方依法向第三人赔偿后，有权向乙方追偿。甲方有其他损失的，乙方应当赔偿</w:t>
      </w:r>
      <w:bookmarkEnd w:id="19"/>
      <w:r>
        <w:rPr>
          <w:rFonts w:hint="eastAsia" w:ascii="宋体" w:hAnsi="宋体" w:cs="宋体"/>
          <w:color w:val="auto"/>
          <w:sz w:val="21"/>
          <w:highlight w:val="none"/>
          <w:lang w:eastAsia="zh-CN"/>
        </w:rPr>
        <w:t xml:space="preserve">。</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11. 保密义务</w:t>
      </w:r>
      <w:r/>
    </w:p>
    <w:p>
      <w:pPr>
        <w:ind w:firstLine="420"/>
        <w:keepLines w:val="0"/>
        <w:keepNext w:val="0"/>
        <w:pageBreakBefore w:val="0"/>
        <w:spacing w:line="360" w:lineRule="auto"/>
        <w:widowControl w:val="off"/>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中约定。</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12. 合同价款支付</w:t>
      </w:r>
      <w:r/>
    </w:p>
    <w:p>
      <w:pPr>
        <w:ind w:firstLine="420"/>
        <w:keepLines w:val="0"/>
        <w:keepNext w:val="0"/>
        <w:pageBreakBefore w:val="0"/>
        <w:spacing w:line="360" w:lineRule="auto"/>
        <w:widowControl w:val="off"/>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12.1 合同价款支付按照国库集中支付制度及财政管理相关规定执行。</w:t>
      </w:r>
      <w:r/>
    </w:p>
    <w:p>
      <w:pPr>
        <w:ind w:firstLine="420"/>
        <w:jc w:val="both"/>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12.2 付款方式：</w:t>
      </w:r>
      <w:r/>
    </w:p>
    <w:p>
      <w:pPr>
        <w:ind w:firstLine="420"/>
        <w:jc w:val="both"/>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ascii="宋体" w:hAnsi="宋体" w:cs="宋体"/>
          <w:color w:val="auto"/>
          <w:sz w:val="21"/>
          <w:szCs w:val="15"/>
          <w:highlight w:val="none"/>
          <w:lang w:eastAsia="zh-CN"/>
        </w:rPr>
      </w:pPr>
      <w:r>
        <w:rPr>
          <w:rFonts w:hint="eastAsia" w:ascii="宋体" w:hAnsi="宋体" w:cs="宋体"/>
          <w:color w:val="auto"/>
          <w:sz w:val="21"/>
          <w:szCs w:val="15"/>
          <w:highlight w:val="none"/>
          <w:u w:val="single"/>
          <w:lang w:eastAsia="zh-CN"/>
        </w:rPr>
        <w:t xml:space="preserve">所有货物运抵现场并安装调试完毕，验收合格后，办理移交手续，支付实际供货价款（实际供货数量×中标单价）的90%；余款一年后付清。每次付款前乙方需提交相应的付款发票，甲方原则上应当自收到发票后10个工作日内将资金支付到合同约定的乙方账户。若乙方未能按期开具发票，甲方可顺延付款。</w:t>
      </w:r>
      <w:r/>
    </w:p>
    <w:p>
      <w:pPr>
        <w:ind w:firstLine="0"/>
        <w:jc w:val="both"/>
        <w:keepLines w:val="0"/>
        <w:keepNext w:val="0"/>
        <w:pageBreakBefore w:val="0"/>
        <w:spacing w:line="36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13. 履约保证金</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13.1 </w:t>
      </w:r>
      <w:r>
        <w:rPr>
          <w:rFonts w:hint="eastAsia" w:ascii="宋体" w:hAnsi="宋体" w:cs="宋体"/>
          <w:color w:val="auto"/>
          <w:sz w:val="21"/>
          <w:szCs w:val="15"/>
          <w:highlight w:val="none"/>
          <w:lang w:eastAsia="zh-CN"/>
        </w:rPr>
        <w:t xml:space="preserve">乙方应当以支票、汇票、本票或者金融机构、担保机构出具的保函等非现金形式提交。</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13.2 如果乙方出现</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约定情形的</w:t>
      </w:r>
      <w:r>
        <w:rPr>
          <w:rFonts w:hint="eastAsia" w:ascii="宋体" w:hAnsi="宋体" w:cs="宋体"/>
          <w:color w:val="auto"/>
          <w:sz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keepLines w:val="0"/>
        <w:keepNext w:val="0"/>
        <w:pageBreakBefore w:val="0"/>
        <w:spacing w:line="360" w:lineRule="auto"/>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13.3 甲方在项目通过验收后按照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规定的时间内将履约保证金退还乙方；逾期退还的，乙方可要求甲方支付违约金，违约金按照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规定支付。</w:t>
      </w:r>
      <w:r/>
    </w:p>
    <w:p>
      <w:pPr>
        <w:ind w:firstLine="0"/>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bCs/>
          <w:color w:val="auto"/>
          <w:szCs w:val="22"/>
          <w:highlight w:val="none"/>
          <w:lang w:eastAsia="zh-CN"/>
        </w:rPr>
        <w:t xml:space="preserve">14. </w:t>
      </w:r>
      <w:r>
        <w:rPr>
          <w:rFonts w:hint="eastAsia" w:ascii="宋体" w:hAnsi="宋体" w:cs="宋体"/>
          <w:b/>
          <w:color w:val="auto"/>
          <w:szCs w:val="22"/>
          <w:highlight w:val="none"/>
          <w:lang w:eastAsia="zh-CN"/>
        </w:rPr>
        <w:t xml:space="preserve">售后服务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14.1 除项目不涉及或采购活动中明确约定无须承担外，乙方还应提供下列服务：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（1）货物的现场移动、安装、调试、启动监督及技术支持；</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（2）提供货物组装和维修所需的专用工具和辅助材料；</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highlight w:val="none"/>
          <w:lang w:eastAsia="zh-CN"/>
        </w:rPr>
        <w:t xml:space="preserve">约定的期限内对所有的货物实施运行监督、维修，但前提条件是该服务并不能免除乙方在质量保证期内所承担的义务；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（4）在制造商所在地或指定现场就货物的安装、启动、运营、维护、废弃处置等对甲方操作人员进行培训</w:t>
      </w:r>
      <w:r>
        <w:rPr>
          <w:rFonts w:hint="eastAsia" w:ascii="宋体" w:hAnsi="宋体" w:cs="宋体"/>
          <w:color w:val="auto"/>
          <w:sz w:val="21"/>
          <w:szCs w:val="15"/>
          <w:highlight w:val="none"/>
          <w:lang w:eastAsia="zh-CN"/>
        </w:rPr>
        <w:t xml:space="preserve">；</w:t>
      </w:r>
      <w:r/>
    </w:p>
    <w:p>
      <w:pPr>
        <w:ind w:firstLine="44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（5）依照法律、行政法规的规定或者按照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约定，货物在有效使用年限届满后应予回收的，乙方负有自行或者委托第三人对货物予以回收的义务；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规定由乙方提供的其他服务。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14.2 乙方提供的售后服务的费用已包含在合同价款中，甲方不再另行支付。</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15. 违约责任</w:t>
      </w:r>
      <w:r/>
    </w:p>
    <w:p>
      <w:pPr>
        <w:ind w:firstLine="420"/>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15.1质量瑕疵的违约责任</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乙方提供的产品不符合合同约定的质量标准或存在产品质量缺陷，甲方有权要求乙方根据</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要求</w:t>
      </w:r>
      <w:r>
        <w:rPr>
          <w:rFonts w:hint="eastAsia" w:ascii="宋体" w:hAnsi="宋体" w:cs="宋体"/>
          <w:color w:val="auto"/>
          <w:sz w:val="21"/>
          <w:highlight w:val="none"/>
          <w:lang w:eastAsia="zh-CN"/>
        </w:rPr>
        <w:t xml:space="preserve">及时修理、重作、更换，并承担由此给甲方造成的损失。</w:t>
      </w:r>
      <w:r/>
    </w:p>
    <w:p>
      <w:pPr>
        <w:ind w:firstLine="420"/>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15.2 迟延交货的违约责任</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规定执行。如果涉及公共利益，且赔偿金额无法弥补公共利益损失，甲方可要求继续履行或者采取其他补救措施。</w:t>
      </w:r>
      <w:r/>
    </w:p>
    <w:p>
      <w:pPr>
        <w:ind w:left="0"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15.3 迟延支付的违约责任</w:t>
      </w:r>
      <w:r/>
    </w:p>
    <w:p>
      <w:pPr>
        <w:ind w:left="0"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甲方存在迟延支付乙方合同款项的，应当承担</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规定的逾期付款利息。</w:t>
      </w:r>
      <w:r/>
    </w:p>
    <w:p>
      <w:pPr>
        <w:ind w:left="0"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bCs/>
          <w:color w:val="auto"/>
          <w:sz w:val="21"/>
          <w:highlight w:val="none"/>
          <w:lang w:eastAsia="zh-CN"/>
        </w:rPr>
        <w:t xml:space="preserve">15.4其他违约责任根据项目实际需要按</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（1）需方内部工作安排、计划调整等自身原因；</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（2）中央、省、市、区级政策变动，以及规划、计划调整等外部原因；</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（3）其他需方原因。</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本合同对合同变更、中止或终止合同有其他特殊约定的，按该特殊约定执行。</w:t>
      </w:r>
      <w:r/>
    </w:p>
    <w:p>
      <w:pPr>
        <w:numPr>
          <w:ilvl w:val="0"/>
          <w:numId w:val="10"/>
        </w:numPr>
        <w:jc w:val="both"/>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合同变更、中止与终止</w:t>
      </w:r>
      <w:r/>
    </w:p>
    <w:p>
      <w:pPr>
        <w:ind w:firstLine="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16.1合同的变更</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16.2合同的终止</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（1）合同履行过程中因乙方就采购文件、采购过程或结果提起投诉的，甲方认为有必要的，可以中止合同的履行。</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keepLines w:val="0"/>
        <w:keepNext w:val="0"/>
        <w:pageBreakBefore w:val="0"/>
        <w:spacing w:line="360" w:lineRule="auto"/>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（4）甲方不得以行政区划调整、政府换届、机构或者职能调整以及相关责任人更替为由终止合同。</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16.3合同的终止</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（1）合同因有效期限届满而终止；</w:t>
      </w:r>
      <w:r/>
    </w:p>
    <w:p>
      <w:pPr>
        <w:ind w:firstLine="42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（2）乙方未按合同约定履行，构成根本性违约的，甲方有权终止合同，并追究乙方的违约责任。</w:t>
      </w:r>
      <w:r/>
    </w:p>
    <w:p>
      <w:pPr>
        <w:ind w:firstLine="440"/>
        <w:keepLines w:val="0"/>
        <w:keepNext w:val="0"/>
        <w:pageBreakBefore w:val="0"/>
        <w:spacing w:line="360" w:lineRule="auto"/>
        <w:widowControl w:val="off"/>
        <w:rPr>
          <w:rFonts w:ascii="宋体" w:hAnsi="宋体" w:cs="宋体"/>
          <w:color w:val="auto"/>
          <w:sz w:val="22"/>
          <w:highlight w:val="none"/>
          <w:lang w:eastAsia="zh-CN"/>
        </w:rPr>
      </w:pPr>
      <w:r>
        <w:rPr>
          <w:rFonts w:hint="eastAsia" w:ascii="宋体" w:hAnsi="宋体" w:cs="宋体"/>
          <w:color w:val="auto"/>
          <w:sz w:val="22"/>
          <w:highlight w:val="none"/>
          <w:lang w:eastAsia="zh-CN"/>
        </w:rPr>
        <w:t xml:space="preserve">16.4 </w:t>
      </w:r>
      <w:r>
        <w:rPr>
          <w:rFonts w:hint="eastAsia" w:ascii="宋体" w:hAnsi="宋体" w:cs="宋体"/>
          <w:color w:val="auto"/>
          <w:sz w:val="21"/>
          <w:highlight w:val="none"/>
          <w:lang w:eastAsia="zh-CN"/>
        </w:rPr>
        <w:t xml:space="preserve">涉及国家利益、社会公共利益的情形</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17. 合同分包</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17.1 乙方不得将合同转包给其他供应商。涉及合同分包的，乙方应根据采购文件和投标（响应）文件规定进行合同分包。</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17.2 乙方执行政府采购政策向中小企业依法分包的，乙方应当按采购文件和投标（响应）文件签订分包意向协议，分包意向协议属于本合同组成部分。</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18. 不可抗力</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18.1 不可抗力是指合同双方不能预见、不能避免且不能克服的客观情况。</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18.2 任何一方对由于不可抗力造成的部分或全部不能履行合同不承担违约责任。但迟延履行后发生不可抗力的，不能免除责任。</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19. 解决争议的方法</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19.2 选择仲裁的，应在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中明确仲裁机构及仲裁地；通过诉讼方式解决的，可以在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中进一步约定选择与争议有实际联系的地点的人民法院管辖，但管辖法院的约定不得违反级别管辖和专属管辖的规定。</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19.3 如甲乙双方有争议的事项不影响合同其他部分的履行，在争议解决期间，合同其他部分应当继续履行。</w:t>
      </w:r>
      <w:r/>
    </w:p>
    <w:p>
      <w:pPr>
        <w:ind w:firstLine="0"/>
        <w:keepLines w:val="0"/>
        <w:keepNext w:val="0"/>
        <w:pageBreakBefore w:val="0"/>
        <w:spacing w:line="360" w:lineRule="auto"/>
        <w:widowControl w:val="off"/>
        <w:rPr>
          <w:rFonts w:ascii="宋体" w:hAnsi="宋体" w:cs="宋体"/>
          <w:color w:val="auto"/>
          <w:szCs w:val="22"/>
          <w:highlight w:val="none"/>
          <w:lang w:eastAsia="zh-CN"/>
        </w:rPr>
      </w:pPr>
      <w:r>
        <w:rPr>
          <w:rFonts w:hint="eastAsia" w:ascii="宋体" w:hAnsi="宋体" w:cs="宋体"/>
          <w:b/>
          <w:color w:val="auto"/>
          <w:szCs w:val="22"/>
          <w:highlight w:val="none"/>
          <w:lang w:eastAsia="zh-CN"/>
        </w:rPr>
        <w:t xml:space="preserve">20. 政府采购政策</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20.1 </w:t>
      </w:r>
      <w:r>
        <w:rPr>
          <w:rFonts w:hint="eastAsia" w:ascii="宋体" w:hAnsi="宋体" w:cs="宋体"/>
          <w:color w:val="auto"/>
          <w:sz w:val="21"/>
          <w:szCs w:val="22"/>
          <w:highlight w:val="none"/>
          <w:lang w:val="en-GB" w:eastAsia="zh-CN"/>
        </w:rPr>
        <w:t xml:space="preserve">本合同应当按照规定执行政府采购政策。</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20.2 本合同依法执行政府采购政策的方式和内容，属于合同履约验收的范围。</w:t>
      </w:r>
      <w:r>
        <w:rPr>
          <w:rFonts w:hint="eastAsia" w:ascii="宋体" w:hAnsi="宋体" w:cs="宋体"/>
          <w:color w:val="auto"/>
          <w:sz w:val="21"/>
          <w:szCs w:val="22"/>
          <w:highlight w:val="none"/>
          <w:lang w:eastAsia="zh-CN"/>
        </w:rPr>
        <w:t xml:space="preserve">甲乙双方</w:t>
      </w:r>
      <w:r>
        <w:rPr>
          <w:rFonts w:hint="eastAsia" w:ascii="宋体" w:hAnsi="宋体" w:cs="宋体"/>
          <w:color w:val="auto"/>
          <w:sz w:val="21"/>
          <w:szCs w:val="22"/>
          <w:highlight w:val="none"/>
          <w:lang w:val="en-GB" w:eastAsia="zh-CN"/>
        </w:rPr>
        <w:t xml:space="preserve">未按规定要求执行政府采购政策造成损失的</w:t>
      </w:r>
      <w:r>
        <w:rPr>
          <w:rFonts w:hint="eastAsia" w:ascii="宋体" w:hAnsi="宋体" w:cs="宋体"/>
          <w:color w:val="auto"/>
          <w:sz w:val="21"/>
          <w:highlight w:val="none"/>
          <w:lang w:eastAsia="zh-CN"/>
        </w:rPr>
        <w:t xml:space="preserve">，有过错的一方应当承担赔偿责任，双方都有过错的，各自承担相应的责任。</w:t>
      </w:r>
      <w:r/>
    </w:p>
    <w:p>
      <w:pPr>
        <w:ind w:firstLine="42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21. 法律适用</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21.1 本合同的订立、生效、解释、履行及与本合同有关的争议解决，均适用法律、行政法规。</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21.2 本合同条款与法律、行政法规的强制性规定不一致的，双方当事人应当按照法律、行政法规的强制性规定修改本合同的相关条款。</w:t>
      </w:r>
      <w:r/>
    </w:p>
    <w:p>
      <w:pPr>
        <w:numPr>
          <w:ilvl w:val="255"/>
          <w:numId w:val="0"/>
        </w:numPr>
        <w:ind w:firstLine="482"/>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22. 通知</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22.1 本合同任何一方向对方发出的通知、信件、数据电文等，应当发送至本合同第一部分《政府采购合同协议书》所约定的通讯地址、联系人、联系电话或电子邮箱。</w:t>
      </w:r>
      <w:r/>
    </w:p>
    <w:p>
      <w:pPr>
        <w:ind w:firstLine="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22.2 一方当事人变更名称、住所、联系人、联系电话或电子邮箱等信息的，应当在变更后3日内及时书面通知对方，对方实际收到变更通知前的送达仍为有效送达。</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22.3本合同一方给另一方的通知均应采用书面形式，传真或快递送到本合同中规定的对方的地址和办理签收手续。</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22.4通知以送达之日或通知书中规定的生效之日起生效，两者中以较迟之日为准。</w:t>
      </w:r>
      <w:r/>
    </w:p>
    <w:p>
      <w:pPr>
        <w:numPr>
          <w:ilvl w:val="0"/>
          <w:numId w:val="11"/>
        </w:numPr>
        <w:jc w:val="both"/>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合同未尽事项</w:t>
      </w:r>
      <w:r/>
    </w:p>
    <w:p>
      <w:pPr>
        <w:ind w:firstLine="420"/>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23.1合同未尽事项见</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w:t>
      </w:r>
      <w:r/>
    </w:p>
    <w:p>
      <w:pPr>
        <w:ind w:firstLine="0"/>
        <w:keepLines w:val="0"/>
        <w:keepNext w:val="0"/>
        <w:pageBreakBefore w:val="0"/>
        <w:spacing w:line="360" w:lineRule="auto"/>
        <w:widowControl w:val="off"/>
        <w:rPr>
          <w:rFonts w:ascii="宋体" w:hAnsi="宋体" w:cs="宋体"/>
          <w:color w:val="auto"/>
          <w:sz w:val="28"/>
          <w:szCs w:val="28"/>
          <w:highlight w:val="none"/>
          <w:lang w:eastAsia="zh-CN"/>
        </w:rPr>
      </w:pPr>
      <w:r>
        <w:rPr>
          <w:rFonts w:hint="eastAsia" w:ascii="宋体" w:hAnsi="宋体" w:cs="宋体"/>
          <w:bCs/>
          <w:color w:val="auto"/>
          <w:sz w:val="21"/>
          <w:highlight w:val="none"/>
          <w:lang w:eastAsia="zh-CN"/>
        </w:rPr>
        <w:t xml:space="preserve">    23.2 合同附件与合同正文具有同等的法律效力。</w:t>
      </w:r>
      <w:bookmarkStart w:id="20" w:name="_Toc20313"/>
      <w:r/>
      <w:r/>
    </w:p>
    <w:p>
      <w:pPr>
        <w:ind w:firstLine="0"/>
        <w:jc w:val="center"/>
        <w:spacing w:line="240" w:lineRule="auto"/>
        <w:widowControl w:val="off"/>
        <w:rPr>
          <w:rFonts w:ascii="黑体" w:hAnsi="华文中宋" w:eastAsia="黑体" w:cs="Times New Roman"/>
          <w:color w:val="auto"/>
          <w:sz w:val="28"/>
          <w:szCs w:val="28"/>
          <w:highlight w:val="none"/>
          <w:lang w:eastAsia="zh-CN"/>
        </w:rPr>
      </w:pPr>
      <w:r>
        <w:rPr>
          <w:rFonts w:hint="eastAsia" w:ascii="黑体" w:hAnsi="华文中宋" w:eastAsia="黑体" w:cs="Times New Roman"/>
          <w:color w:val="auto"/>
          <w:sz w:val="28"/>
          <w:szCs w:val="28"/>
          <w:highlight w:val="none"/>
          <w:lang w:eastAsia="zh-CN"/>
        </w:rPr>
        <w:br w:type="page" w:clear="all"/>
      </w:r>
      <w:r/>
    </w:p>
    <w:p>
      <w:pPr>
        <w:ind w:firstLine="0"/>
        <w:jc w:val="center"/>
        <w:keepLines/>
        <w:keepNext/>
        <w:spacing w:before="360" w:after="200" w:line="240" w:lineRule="auto"/>
        <w:widowControl w:val="off"/>
        <w:rPr>
          <w:rFonts w:ascii="黑体" w:hAnsi="华文中宋" w:eastAsia="黑体"/>
          <w:color w:val="auto"/>
          <w:sz w:val="28"/>
          <w:szCs w:val="28"/>
          <w:highlight w:val="none"/>
          <w:lang w:eastAsia="zh-CN"/>
        </w:rPr>
        <w:outlineLvl w:val="1"/>
      </w:pPr>
      <w:r>
        <w:rPr>
          <w:rFonts w:hint="eastAsia" w:ascii="黑体" w:hAnsi="华文中宋" w:eastAsia="黑体"/>
          <w:color w:val="auto"/>
          <w:sz w:val="28"/>
          <w:szCs w:val="28"/>
          <w:highlight w:val="none"/>
          <w:lang w:eastAsia="zh-CN"/>
        </w:rPr>
        <w:t xml:space="preserve">第三节 政府采购合同专用条款</w:t>
      </w:r>
      <w:bookmarkEnd w:id="20"/>
      <w:r/>
      <w:r/>
    </w:p>
    <w:tbl>
      <w:tblPr>
        <w:tblStyle w:val="801"/>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99"/>
        <w:gridCol w:w="1950"/>
        <w:gridCol w:w="5788"/>
      </w:tblGrid>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第1.2（6）项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联合体具体要求</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607"/>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第1.2（7）项</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其他术语解释</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第4.4款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履约验收中甲方提出异议或作出说明的期限</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第4.6款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约定甲方承担的其他义务和责任</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第5.4款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约定乙方承担的其他义务和责任</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第6.1款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履行合同义务的顺序</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r>
      <w:tr>
        <w:trPr>
          <w:trHeight w:val="670"/>
        </w:trPr>
        <w:tc>
          <w:tcPr>
            <w:tcW w:w="1799" w:type="dxa"/>
            <w:vAlign w:val="center"/>
            <w:vMerge w:val="restart"/>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包装特殊要求</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szCs w:val="22"/>
                <w:highlight w:val="none"/>
                <w:lang w:eastAsia="zh-CN"/>
              </w:rPr>
            </w:r>
            <w:r/>
          </w:p>
        </w:tc>
      </w:tr>
      <w:tr>
        <w:trPr>
          <w:trHeight w:val="670"/>
        </w:trPr>
        <w:tc>
          <w:tcPr>
            <w:tcW w:w="1799" w:type="dxa"/>
            <w:vAlign w:val="center"/>
            <w:vMerge w:val="continue"/>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指定现场</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szCs w:val="22"/>
                <w:highlight w:val="none"/>
                <w:lang w:eastAsia="zh-CN"/>
              </w:rPr>
            </w:r>
            <w:r/>
          </w:p>
        </w:tc>
      </w:tr>
      <w:tr>
        <w:trPr>
          <w:trHeight w:val="775"/>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第7.2款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运输特殊要求</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szCs w:val="22"/>
                <w:highlight w:val="none"/>
                <w:lang w:eastAsia="zh-CN"/>
              </w:rPr>
            </w:r>
            <w:r/>
          </w:p>
        </w:tc>
      </w:tr>
      <w:tr>
        <w:trPr>
          <w:trHeight w:val="670"/>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第7.3款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保险要求</w:t>
            </w:r>
            <w:r/>
          </w:p>
        </w:tc>
        <w:tc>
          <w:tcPr>
            <w:tcW w:w="5788" w:type="dxa"/>
            <w:vAlign w:val="center"/>
            <w:textDirection w:val="lrTb"/>
            <w:noWrap w:val="false"/>
          </w:tcPr>
          <w:p>
            <w:pPr>
              <w:ind w:firstLine="0"/>
              <w:jc w:val="both"/>
              <w:spacing w:line="240" w:lineRule="auto"/>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szCs w:val="22"/>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第8.2（1）项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质量保证期</w:t>
            </w:r>
            <w:r/>
          </w:p>
        </w:tc>
        <w:tc>
          <w:tcPr>
            <w:tcW w:w="5788" w:type="dxa"/>
            <w:vAlign w:val="center"/>
            <w:textDirection w:val="lrTb"/>
            <w:noWrap w:val="false"/>
          </w:tcPr>
          <w:p>
            <w:pPr>
              <w:ind w:firstLine="42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第8.2（3）项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货物质量缺陷</w:t>
            </w:r>
            <w:r/>
          </w:p>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响应时间</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第二节</w:t>
            </w:r>
            <w:r/>
          </w:p>
          <w:p>
            <w:pPr>
              <w:ind w:firstLine="0"/>
              <w:jc w:val="center"/>
              <w:spacing w:line="400" w:lineRule="exact"/>
              <w:rPr>
                <w:rFonts w:ascii="华文楷体" w:hAnsi="华文楷体" w:eastAsia="华文楷体" w:cs="华文楷体"/>
                <w:color w:val="auto"/>
                <w:sz w:val="22"/>
                <w:highlight w:val="none"/>
                <w:lang w:eastAsia="zh-CN"/>
              </w:rPr>
            </w:pPr>
            <w:r>
              <w:rPr>
                <w:rFonts w:hint="eastAsia" w:ascii="宋体" w:hAnsi="宋体" w:cs="宋体"/>
                <w:color w:val="auto"/>
                <w:sz w:val="22"/>
                <w:highlight w:val="none"/>
                <w:lang w:eastAsia="zh-CN"/>
              </w:rPr>
              <w:t xml:space="preserve">第11.1款</w:t>
            </w:r>
            <w:r/>
          </w:p>
        </w:tc>
        <w:tc>
          <w:tcPr>
            <w:tcW w:w="1950" w:type="dxa"/>
            <w:vAlign w:val="center"/>
            <w:textDirection w:val="lrTb"/>
            <w:noWrap w:val="false"/>
          </w:tcPr>
          <w:p>
            <w:pPr>
              <w:ind w:firstLine="0"/>
              <w:jc w:val="both"/>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其他应当保密的信息</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00"/>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第12.2款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合同价款支付时间</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00"/>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第13.2款</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履约保证金不予退还的情形</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第13.3款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履约保证金退还时间及逾期退还的违约金</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88"/>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第14.1（3）项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运行监督、维修期限</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88"/>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第14.1（5）项</w:t>
            </w:r>
            <w:r/>
          </w:p>
        </w:tc>
        <w:tc>
          <w:tcPr>
            <w:tcW w:w="1950"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货物回收的约定</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第14.1（6）项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乙方提供的其他服务</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修理、重做、更换相关具体规定</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第15.2（2）项</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迟延交货赔偿费</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u w:val="single"/>
                <w:lang w:eastAsia="zh-CN"/>
              </w:rPr>
            </w:pPr>
            <w:r>
              <w:rPr>
                <w:rFonts w:ascii="宋体" w:hAnsi="宋体" w:eastAsia="等线" w:cs="Times New Roman"/>
                <w:color w:val="auto"/>
                <w:sz w:val="21"/>
                <w:highlight w:val="none"/>
                <w:u w:val="single"/>
                <w:lang w:eastAsia="zh-CN"/>
              </w:rPr>
            </w:r>
            <w:r/>
          </w:p>
        </w:tc>
      </w:tr>
      <w:tr>
        <w:trPr>
          <w:trHeight w:val="739"/>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第15.3款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逾期付款利息</w:t>
            </w:r>
            <w:r/>
          </w:p>
        </w:tc>
        <w:tc>
          <w:tcPr>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u w:val="single"/>
                <w:lang w:eastAsia="zh-CN"/>
              </w:rPr>
            </w:pPr>
            <w:r>
              <w:rPr>
                <w:rFonts w:ascii="宋体" w:hAnsi="宋体" w:eastAsia="等线" w:cs="Times New Roman"/>
                <w:color w:val="auto"/>
                <w:sz w:val="21"/>
                <w:highlight w:val="none"/>
                <w:u w:val="single"/>
                <w:lang w:eastAsia="zh-CN"/>
              </w:rPr>
            </w:r>
            <w:r/>
          </w:p>
        </w:tc>
      </w:tr>
      <w:tr>
        <w:trPr>
          <w:trHeight w:val="880"/>
        </w:trPr>
        <w:tc>
          <w:tcPr>
            <w:tcBorders>
              <w:bottom w:val="single" w:color="auto" w:sz="2" w:space="0"/>
              <w:right w:val="single" w:color="auto" w:sz="2" w:space="0"/>
            </w:tcBorders>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第15.4款</w:t>
            </w:r>
            <w:r/>
          </w:p>
        </w:tc>
        <w:tc>
          <w:tcPr>
            <w:tcBorders>
              <w:left w:val="single" w:color="auto" w:sz="2" w:space="0"/>
              <w:bottom w:val="single" w:color="auto" w:sz="2" w:space="0"/>
              <w:right w:val="single" w:color="auto" w:sz="2" w:space="0"/>
            </w:tcBorders>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其他违约责任</w:t>
            </w:r>
            <w:r/>
          </w:p>
        </w:tc>
        <w:tc>
          <w:tcPr>
            <w:tcBorders>
              <w:left w:val="single" w:color="auto" w:sz="2" w:space="0"/>
              <w:bottom w:val="single" w:color="auto" w:sz="2" w:space="0"/>
            </w:tcBorders>
            <w:tcW w:w="5788" w:type="dxa"/>
            <w:vAlign w:val="center"/>
            <w:textDirection w:val="lrTb"/>
            <w:noWrap w:val="false"/>
          </w:tcPr>
          <w:p>
            <w:pPr>
              <w:ind w:firstLine="0"/>
              <w:spacing w:line="240" w:lineRule="auto"/>
              <w:widowControl w:val="off"/>
              <w:rPr>
                <w:rFonts w:ascii="宋体" w:hAnsi="宋体" w:eastAsia="等线" w:cs="Times New Roman"/>
                <w:color w:val="auto"/>
                <w:sz w:val="21"/>
                <w:highlight w:val="none"/>
                <w:u w:val="single"/>
                <w:lang w:eastAsia="zh-CN"/>
              </w:rPr>
            </w:pPr>
            <w:r>
              <w:rPr>
                <w:rFonts w:ascii="宋体" w:hAnsi="宋体" w:eastAsia="等线" w:cs="Times New Roman"/>
                <w:color w:val="auto"/>
                <w:sz w:val="21"/>
                <w:highlight w:val="none"/>
                <w:u w:val="single"/>
                <w:lang w:eastAsia="zh-CN"/>
              </w:rPr>
            </w:r>
            <w:r/>
          </w:p>
        </w:tc>
      </w:tr>
      <w:tr>
        <w:trPr>
          <w:trHeight w:val="90"/>
        </w:trPr>
        <w:tc>
          <w:tcPr>
            <w:tcBorders>
              <w:top w:val="single" w:color="auto" w:sz="2" w:space="0"/>
              <w:right w:val="single" w:color="auto" w:sz="2" w:space="0"/>
            </w:tcBorders>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第19.2款</w:t>
            </w:r>
            <w:r/>
          </w:p>
        </w:tc>
        <w:tc>
          <w:tcPr>
            <w:tcBorders>
              <w:top w:val="single" w:color="auto" w:sz="2" w:space="0"/>
              <w:left w:val="single" w:color="auto" w:sz="2" w:space="0"/>
              <w:right w:val="single" w:color="auto" w:sz="2" w:space="0"/>
            </w:tcBorders>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解决争议的方法</w:t>
            </w:r>
            <w:r/>
          </w:p>
        </w:tc>
        <w:tc>
          <w:tcPr>
            <w:tcBorders>
              <w:top w:val="single" w:color="auto" w:sz="2" w:space="0"/>
              <w:left w:val="single" w:color="auto" w:sz="2" w:space="0"/>
            </w:tcBorders>
            <w:tcW w:w="5788" w:type="dxa"/>
            <w:vAlign w:val="center"/>
            <w:textDirection w:val="lrTb"/>
            <w:noWrap w:val="false"/>
          </w:tcPr>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因本合同及合同有关事项发生的争议，按下列第</w:t>
            </w:r>
            <w:r>
              <w:rPr>
                <w:rFonts w:hint="eastAsia" w:ascii="宋体" w:hAnsi="宋体" w:cs="宋体"/>
                <w:iCs/>
                <w:color w:val="auto"/>
                <w:sz w:val="21"/>
                <w:highlight w:val="none"/>
                <w:u w:val="single"/>
                <w:lang w:eastAsia="zh-CN"/>
              </w:rPr>
              <w:t xml:space="preserve">  </w:t>
            </w:r>
            <w:r>
              <w:rPr>
                <w:rFonts w:hint="eastAsia" w:ascii="宋体" w:hAnsi="宋体" w:cs="宋体"/>
                <w:iCs/>
                <w:color w:val="auto"/>
                <w:sz w:val="21"/>
                <w:highlight w:val="none"/>
                <w:lang w:eastAsia="zh-CN"/>
              </w:rPr>
              <w:t xml:space="preserve">种方式解决：</w:t>
            </w:r>
            <w:r/>
          </w:p>
          <w:p>
            <w:pPr>
              <w:ind w:firstLine="0"/>
              <w:spacing w:line="400" w:lineRule="exact"/>
              <w:widowControl w:val="off"/>
              <w:rPr>
                <w:rFonts w:ascii="宋体" w:hAnsi="宋体" w:cs="宋体"/>
                <w:iCs/>
                <w:color w:val="auto"/>
                <w:sz w:val="21"/>
                <w:highlight w:val="none"/>
                <w:lang w:eastAsia="zh-CN"/>
              </w:rPr>
            </w:pPr>
            <w:r>
              <w:rPr>
                <w:rFonts w:hint="eastAsia" w:ascii="宋体" w:hAnsi="宋体" w:cs="宋体"/>
                <w:iCs/>
                <w:color w:val="auto"/>
                <w:sz w:val="21"/>
                <w:highlight w:val="none"/>
                <w:lang w:eastAsia="zh-CN"/>
              </w:rPr>
              <w:t xml:space="preserve">（1）向</w:t>
            </w:r>
            <w:r>
              <w:rPr>
                <w:rFonts w:hint="eastAsia" w:ascii="宋体" w:hAnsi="宋体" w:cs="宋体"/>
                <w:iCs/>
                <w:color w:val="auto"/>
                <w:sz w:val="21"/>
                <w:highlight w:val="none"/>
                <w:u w:val="single"/>
                <w:lang w:eastAsia="zh-CN"/>
              </w:rPr>
              <w:t xml:space="preserve">                    </w:t>
            </w:r>
            <w:r>
              <w:rPr>
                <w:rFonts w:hint="eastAsia" w:ascii="宋体" w:hAnsi="宋体" w:cs="宋体"/>
                <w:iCs/>
                <w:color w:val="auto"/>
                <w:sz w:val="21"/>
                <w:highlight w:val="none"/>
                <w:lang w:eastAsia="zh-CN"/>
              </w:rPr>
              <w:t xml:space="preserve">仲裁委员会申请仲裁，仲裁地点为</w:t>
            </w:r>
            <w:r>
              <w:rPr>
                <w:rFonts w:hint="eastAsia" w:ascii="宋体" w:hAnsi="宋体" w:cs="宋体"/>
                <w:iCs/>
                <w:color w:val="auto"/>
                <w:sz w:val="21"/>
                <w:highlight w:val="none"/>
                <w:u w:val="single"/>
                <w:lang w:eastAsia="zh-CN"/>
              </w:rPr>
              <w:t xml:space="preserve">          </w:t>
            </w:r>
            <w:r>
              <w:rPr>
                <w:rFonts w:hint="eastAsia" w:ascii="宋体" w:hAnsi="宋体" w:cs="宋体"/>
                <w:iCs/>
                <w:color w:val="auto"/>
                <w:sz w:val="21"/>
                <w:highlight w:val="none"/>
                <w:lang w:eastAsia="zh-CN"/>
              </w:rPr>
              <w:t xml:space="preserve">；</w:t>
            </w:r>
            <w:r/>
          </w:p>
          <w:p>
            <w:pPr>
              <w:ind w:firstLine="0"/>
              <w:spacing w:line="240" w:lineRule="auto"/>
              <w:widowControl w:val="off"/>
              <w:rPr>
                <w:rFonts w:ascii="宋体" w:hAnsi="宋体" w:eastAsia="等线" w:cs="Times New Roman"/>
                <w:color w:val="auto"/>
                <w:sz w:val="21"/>
                <w:highlight w:val="none"/>
                <w:u w:val="single"/>
                <w:lang w:eastAsia="zh-CN"/>
              </w:rPr>
            </w:pPr>
            <w:r>
              <w:rPr>
                <w:rFonts w:hint="eastAsia" w:ascii="宋体" w:hAnsi="宋体" w:cs="宋体"/>
                <w:iCs/>
                <w:color w:val="auto"/>
                <w:sz w:val="21"/>
                <w:highlight w:val="none"/>
                <w:lang w:eastAsia="zh-CN"/>
              </w:rPr>
              <w:t xml:space="preserve">（2）向</w:t>
            </w:r>
            <w:r>
              <w:rPr>
                <w:rFonts w:hint="eastAsia" w:ascii="宋体" w:hAnsi="宋体" w:cs="宋体"/>
                <w:iCs/>
                <w:color w:val="auto"/>
                <w:sz w:val="21"/>
                <w:highlight w:val="none"/>
                <w:u w:val="single"/>
                <w:lang w:eastAsia="zh-CN"/>
              </w:rPr>
              <w:t xml:space="preserve">                    </w:t>
            </w:r>
            <w:r>
              <w:rPr>
                <w:rFonts w:hint="eastAsia" w:ascii="宋体" w:hAnsi="宋体" w:cs="宋体"/>
                <w:iCs/>
                <w:color w:val="auto"/>
                <w:sz w:val="21"/>
                <w:highlight w:val="none"/>
                <w:lang w:eastAsia="zh-CN"/>
              </w:rPr>
              <w:t xml:space="preserve">人民法院起诉。</w:t>
            </w:r>
            <w:r/>
          </w:p>
        </w:tc>
      </w:tr>
      <w:tr>
        <w:trPr>
          <w:trHeight w:val="773"/>
        </w:trPr>
        <w:tc>
          <w:tcPr>
            <w:tcW w:w="1799" w:type="dxa"/>
            <w:vAlign w:val="center"/>
            <w:textDirection w:val="lrTb"/>
            <w:noWrap w:val="false"/>
          </w:tcPr>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第二节</w:t>
            </w:r>
            <w:r/>
          </w:p>
          <w:p>
            <w:pPr>
              <w:ind w:firstLine="0"/>
              <w:jc w:val="center"/>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第23.1款</w:t>
            </w:r>
            <w:r/>
          </w:p>
        </w:tc>
        <w:tc>
          <w:tcPr>
            <w:tcW w:w="1950" w:type="dxa"/>
            <w:vAlign w:val="center"/>
            <w:textDirection w:val="lrTb"/>
            <w:noWrap w:val="false"/>
          </w:tcPr>
          <w:p>
            <w:pPr>
              <w:ind w:firstLine="0"/>
              <w:spacing w:line="240" w:lineRule="auto"/>
              <w:widowControl w:val="off"/>
              <w:rPr>
                <w:rFonts w:ascii="宋体" w:hAnsi="宋体" w:eastAsia="等线" w:cs="Times New Roman"/>
                <w:color w:val="auto"/>
                <w:sz w:val="21"/>
                <w:highlight w:val="none"/>
                <w:lang w:eastAsia="zh-CN"/>
              </w:rPr>
            </w:pPr>
            <w:r>
              <w:rPr>
                <w:rFonts w:hint="eastAsia" w:ascii="宋体" w:hAnsi="宋体" w:eastAsia="等线" w:cs="Times New Roman"/>
                <w:bCs/>
                <w:color w:val="auto"/>
                <w:sz w:val="21"/>
                <w:highlight w:val="none"/>
                <w:lang w:eastAsia="zh-CN"/>
              </w:rPr>
              <w:t xml:space="preserve">其他专用条款</w:t>
            </w:r>
            <w:r/>
          </w:p>
        </w:tc>
        <w:tc>
          <w:tcPr>
            <w:tcW w:w="5788" w:type="dxa"/>
            <w:vAlign w:val="center"/>
            <w:textDirection w:val="lrTb"/>
            <w:noWrap w:val="false"/>
          </w:tcPr>
          <w:p>
            <w:pPr>
              <w:ind w:firstLine="0"/>
              <w:spacing w:line="240" w:lineRule="auto"/>
              <w:widowControl w:val="off"/>
              <w:rPr>
                <w:rFonts w:ascii="宋体" w:hAnsi="宋体" w:cs="Times New Roman"/>
                <w:color w:val="auto"/>
                <w:sz w:val="21"/>
                <w:highlight w:val="none"/>
                <w:lang w:eastAsia="zh-CN"/>
              </w:rPr>
            </w:pPr>
            <w:r>
              <w:rPr>
                <w:rFonts w:ascii="宋体" w:hAnsi="宋体" w:cs="Times New Roman"/>
                <w:color w:val="auto"/>
                <w:sz w:val="21"/>
                <w:highlight w:val="none"/>
                <w:lang w:eastAsia="zh-CN"/>
              </w:rPr>
            </w:r>
            <w:r/>
          </w:p>
        </w:tc>
      </w:tr>
    </w:tbl>
    <w:p>
      <w:pPr>
        <w:ind w:firstLine="0"/>
        <w:widowControl w:val="off"/>
        <w:rPr>
          <w:rFonts w:ascii="宋体" w:hAnsi="宋体" w:cs="宋体"/>
          <w:b/>
          <w:bCs/>
          <w:color w:val="auto"/>
          <w:sz w:val="36"/>
          <w:szCs w:val="36"/>
          <w:highlight w:val="none"/>
          <w:lang w:eastAsia="zh-CN"/>
        </w:rPr>
      </w:pPr>
      <w:r>
        <w:rPr>
          <w:rFonts w:ascii="宋体" w:hAnsi="宋体" w:cs="宋体"/>
          <w:b/>
          <w:bCs/>
          <w:color w:val="auto"/>
          <w:sz w:val="36"/>
          <w:szCs w:val="36"/>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jc w:val="left"/>
        <w:spacing w:line="360"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六．附件</w:t>
      </w:r>
      <w:r/>
    </w:p>
    <w:p>
      <w:pPr>
        <w:jc w:val="left"/>
        <w:keepLines w:val="0"/>
        <w:keepNext w:val="0"/>
        <w:pageBreakBefore w:val="0"/>
        <w:spacing w:line="336" w:lineRule="auto"/>
        <w:widowControl w:val="off"/>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附件一：评分标准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2"/>
      </w:pPr>
      <w:r>
        <w:rPr>
          <w:rFonts w:hint="eastAsia" w:ascii="宋体" w:hAnsi="宋体" w:cs="宋体"/>
          <w:bCs/>
          <w:color w:val="auto"/>
          <w:szCs w:val="24"/>
          <w:highlight w:val="none"/>
          <w:lang w:eastAsia="zh-CN"/>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（一</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评分项目及分值（总分100分）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）价格分               </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0分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）商务资信分           14分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）技术分               </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4分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）政策加分              2分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各项目评分标准</w:t>
      </w:r>
      <w:r/>
    </w:p>
    <w:p>
      <w:pPr>
        <w:ind w:right="0" w:firstLine="482"/>
        <w:jc w:val="left"/>
        <w:keepLines w:val="0"/>
        <w:keepNext w:val="0"/>
        <w:pageBreakBefore w:val="0"/>
        <w:spacing w:line="336" w:lineRule="auto"/>
        <w:widowControl w:val="off"/>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bookmarkStart w:id="21" w:name="OLE_LINK42"/>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bookmarkEnd w:id="21"/>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投标报价得分=(评标基准价／投标报价)×价格权值×100</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价格扣除：</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促进本国产品优惠政策：依法对本国产品给予价格评审优惠，对本国产品的报价给予20%的价格扣除，用扣除后的价格参与评审。</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color w:val="auto"/>
          <w:sz w:val="24"/>
          <w:szCs w:val="24"/>
          <w:highlight w:val="none"/>
        </w:rPr>
        <w:outlineLvl w:val="9"/>
      </w:pPr>
      <w:r>
        <w:rPr>
          <w:rFonts w:hint="eastAsia" w:ascii="宋体" w:hAnsi="宋体" w:eastAsia="宋体" w:cs="宋体"/>
          <w:b/>
          <w:bCs w:val="0"/>
          <w:color w:val="auto"/>
          <w:sz w:val="24"/>
          <w:szCs w:val="24"/>
          <w:highlight w:val="none"/>
        </w:rPr>
        <w:t xml:space="preserve">异常低价投标（响应）审查：</w:t>
      </w:r>
      <w:r>
        <w:rPr>
          <w:rFonts w:hint="eastAsia" w:ascii="宋体" w:hAnsi="宋体" w:eastAsia="宋体" w:cs="宋体"/>
          <w:b w:val="0"/>
          <w:bCs/>
          <w:color w:val="auto"/>
          <w:sz w:val="24"/>
          <w:szCs w:val="24"/>
          <w:highlight w:val="none"/>
        </w:rPr>
        <w:t xml:space="preserve">评标委员会认定投标人的报价明显过低，有可能影响产品质量或者不能诚信履约的，应当按照《关于推动解决政府采购异常低价问题的通知》（财库〔2026〕2号）要求，启动异常低价投标（响应）审查程序。（具体详见采购文件“二、投标供应商须知”）</w:t>
      </w:r>
      <w:r>
        <w:rPr>
          <w:rFonts w:hint="eastAsia" w:ascii="宋体" w:hAnsi="宋体" w:eastAsia="宋体" w:cs="宋体"/>
          <w:b w:val="0"/>
          <w:bCs/>
          <w:color w:val="auto"/>
          <w:sz w:val="24"/>
          <w:szCs w:val="24"/>
          <w:highlight w:val="none"/>
        </w:rPr>
        <w:t xml:space="preserve">。</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（二）商务资信分（</w:t>
      </w:r>
      <w:r>
        <w:rPr>
          <w:rFonts w:hint="eastAsia" w:ascii="宋体" w:hAnsi="宋体" w:cs="宋体"/>
          <w:b/>
          <w:bCs/>
          <w:color w:val="auto"/>
          <w:sz w:val="24"/>
          <w:highlight w:val="none"/>
          <w:lang w:val="en-US" w:eastAsia="zh-CN"/>
        </w:rPr>
        <w:t xml:space="preserve">14</w:t>
      </w:r>
      <w:r>
        <w:rPr>
          <w:rFonts w:hint="eastAsia" w:ascii="宋体" w:hAnsi="宋体" w:cs="宋体"/>
          <w:b/>
          <w:bCs/>
          <w:color w:val="auto"/>
          <w:sz w:val="24"/>
          <w:highlight w:val="none"/>
        </w:rPr>
        <w:t xml:space="preserve">分）</w:t>
      </w:r>
      <w:r/>
    </w:p>
    <w:p>
      <w:pPr>
        <w:ind w:firstLine="480"/>
        <w:spacing w:line="44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业绩（</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w:t>
      </w:r>
      <w:r>
        <w:rPr>
          <w:rFonts w:hint="eastAsia" w:ascii="宋体" w:hAnsi="宋体" w:cs="宋体"/>
          <w:bCs/>
          <w:color w:val="auto"/>
          <w:sz w:val="24"/>
          <w:highlight w:val="none"/>
          <w:lang w:eastAsia="zh-CN"/>
        </w:rPr>
        <w:t xml:space="preserve">：</w:t>
      </w:r>
      <w:r/>
    </w:p>
    <w:p>
      <w:pPr>
        <w:ind w:firstLine="480"/>
        <w:spacing w:line="44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投标</w:t>
      </w: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自202</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年1月1日</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含</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以来（以合同签订时间为准）</w:t>
      </w:r>
      <w:r>
        <w:rPr>
          <w:rFonts w:hint="eastAsia" w:ascii="宋体" w:hAnsi="宋体" w:cs="宋体"/>
          <w:bCs/>
          <w:color w:val="auto"/>
          <w:sz w:val="24"/>
          <w:highlight w:val="none"/>
          <w:lang w:val="en-US" w:eastAsia="zh-CN"/>
        </w:rPr>
        <w:t xml:space="preserve">承担过类似供货业绩的</w:t>
      </w:r>
      <w:r>
        <w:rPr>
          <w:rFonts w:hint="eastAsia" w:ascii="宋体" w:hAnsi="宋体" w:cs="宋体"/>
          <w:bCs/>
          <w:color w:val="auto"/>
          <w:sz w:val="24"/>
          <w:highlight w:val="none"/>
        </w:rPr>
        <w:t xml:space="preserve">，每</w:t>
      </w:r>
      <w:r>
        <w:rPr>
          <w:rFonts w:hint="eastAsia" w:ascii="宋体" w:hAnsi="宋体" w:cs="宋体"/>
          <w:bCs/>
          <w:color w:val="auto"/>
          <w:sz w:val="24"/>
          <w:highlight w:val="none"/>
          <w:lang w:val="en-US" w:eastAsia="zh-CN"/>
        </w:rPr>
        <w:t xml:space="preserve">提供1份有效业绩</w:t>
      </w:r>
      <w:r>
        <w:rPr>
          <w:rFonts w:hint="eastAsia" w:ascii="宋体" w:hAnsi="宋体" w:cs="宋体"/>
          <w:bCs/>
          <w:color w:val="auto"/>
          <w:sz w:val="24"/>
          <w:highlight w:val="none"/>
        </w:rPr>
        <w:t xml:space="preserve">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w:t>
      </w:r>
      <w:r>
        <w:rPr>
          <w:rFonts w:hint="eastAsia" w:ascii="宋体" w:hAnsi="宋体" w:cs="宋体"/>
          <w:bCs/>
          <w:color w:val="auto"/>
          <w:sz w:val="24"/>
          <w:highlight w:val="none"/>
          <w:lang w:val="en-US" w:eastAsia="zh-CN"/>
        </w:rPr>
        <w:t xml:space="preserve">本项</w:t>
      </w:r>
      <w:r>
        <w:rPr>
          <w:rFonts w:hint="eastAsia" w:ascii="宋体" w:hAnsi="宋体" w:cs="宋体"/>
          <w:bCs/>
          <w:color w:val="auto"/>
          <w:sz w:val="24"/>
          <w:highlight w:val="none"/>
        </w:rPr>
        <w:t xml:space="preserve">最高</w:t>
      </w:r>
      <w:r>
        <w:rPr>
          <w:rFonts w:hint="eastAsia" w:ascii="宋体" w:hAnsi="宋体" w:cs="宋体"/>
          <w:bCs/>
          <w:color w:val="auto"/>
          <w:sz w:val="24"/>
          <w:highlight w:val="none"/>
          <w:lang w:val="en-US" w:eastAsia="zh-CN"/>
        </w:rPr>
        <w:t xml:space="preserve">得2</w:t>
      </w:r>
      <w:r>
        <w:rPr>
          <w:rFonts w:hint="eastAsia" w:ascii="宋体" w:hAnsi="宋体" w:cs="宋体"/>
          <w:bCs/>
          <w:color w:val="auto"/>
          <w:sz w:val="24"/>
          <w:highlight w:val="none"/>
        </w:rPr>
        <w:t xml:space="preserve">分</w:t>
      </w:r>
      <w:r>
        <w:rPr>
          <w:rFonts w:hint="eastAsia" w:ascii="宋体" w:hAnsi="宋体" w:cs="宋体"/>
          <w:bCs/>
          <w:color w:val="auto"/>
          <w:sz w:val="24"/>
          <w:highlight w:val="none"/>
          <w:lang w:eastAsia="zh-CN"/>
        </w:rPr>
        <w:t xml:space="preserve">。【提供</w:t>
      </w:r>
      <w:r>
        <w:rPr>
          <w:rFonts w:hint="eastAsia" w:ascii="宋体" w:hAnsi="宋体" w:cs="宋体"/>
          <w:bCs/>
          <w:color w:val="auto"/>
          <w:sz w:val="24"/>
          <w:highlight w:val="none"/>
          <w:lang w:val="en-US" w:eastAsia="zh-CN"/>
        </w:rPr>
        <w:t xml:space="preserve">有效</w:t>
      </w:r>
      <w:r>
        <w:rPr>
          <w:rFonts w:hint="eastAsia" w:ascii="宋体" w:hAnsi="宋体" w:cs="宋体"/>
          <w:bCs/>
          <w:color w:val="auto"/>
          <w:sz w:val="24"/>
          <w:highlight w:val="none"/>
          <w:lang w:eastAsia="zh-CN"/>
        </w:rPr>
        <w:t xml:space="preserve">的</w:t>
      </w:r>
      <w:r>
        <w:rPr>
          <w:rFonts w:hint="eastAsia" w:ascii="宋体" w:hAnsi="宋体" w:cs="宋体"/>
          <w:bCs/>
          <w:color w:val="auto"/>
          <w:sz w:val="24"/>
          <w:highlight w:val="none"/>
          <w:lang w:val="en-US" w:eastAsia="zh-CN"/>
        </w:rPr>
        <w:t xml:space="preserve">合同原件</w:t>
      </w:r>
      <w:r>
        <w:rPr>
          <w:rFonts w:hint="eastAsia" w:ascii="宋体" w:hAnsi="宋体" w:cs="宋体"/>
          <w:bCs/>
          <w:color w:val="auto"/>
          <w:sz w:val="24"/>
          <w:highlight w:val="none"/>
          <w:lang w:eastAsia="zh-CN"/>
        </w:rPr>
        <w:t xml:space="preserve">扫描件上传至系统中并加盖公章，时间以合同签订时间为准，未提供或提供不全不得分</w:t>
      </w:r>
      <w:r>
        <w:rPr>
          <w:rFonts w:hint="eastAsia" w:ascii="宋体" w:hAnsi="宋体" w:eastAsia="宋体" w:cs="宋体"/>
          <w:bCs/>
          <w:color w:val="auto"/>
          <w:sz w:val="24"/>
          <w:highlight w:val="none"/>
          <w:lang w:eastAsia="zh-CN"/>
        </w:rPr>
        <w:t xml:space="preserve">】</w:t>
      </w:r>
      <w:r/>
    </w:p>
    <w:p>
      <w:pPr>
        <w:ind w:firstLine="480"/>
        <w:spacing w:line="44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相关证书（</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w:t>
      </w:r>
      <w:r/>
    </w:p>
    <w:p>
      <w:pPr>
        <w:ind w:firstLine="480"/>
        <w:spacing w:line="440" w:lineRule="exact"/>
        <w:rPr>
          <w:rFonts w:hint="default" w:ascii="宋体" w:hAnsi="宋体" w:eastAsia="宋体" w:cs="宋体"/>
          <w:bCs/>
          <w:color w:val="auto"/>
          <w:sz w:val="24"/>
          <w:highlight w:val="none"/>
          <w:lang w:val="en-US" w:eastAsia="zh-CN"/>
        </w:rPr>
      </w:pPr>
      <w:r>
        <w:rPr>
          <w:rFonts w:hint="default" w:ascii="宋体" w:hAnsi="宋体" w:eastAsia="宋体" w:cs="宋体"/>
          <w:bCs/>
          <w:color w:val="auto"/>
          <w:sz w:val="24"/>
          <w:highlight w:val="none"/>
          <w:lang w:val="en-US" w:eastAsia="zh-CN"/>
        </w:rPr>
        <w:t xml:space="preserve">①</w:t>
      </w:r>
      <w:r>
        <w:rPr>
          <w:rFonts w:hint="eastAsia" w:ascii="宋体" w:hAnsi="宋体" w:cs="宋体"/>
          <w:bCs/>
          <w:color w:val="auto"/>
          <w:sz w:val="24"/>
          <w:highlight w:val="none"/>
        </w:rPr>
        <w:t xml:space="preserve">投标</w:t>
      </w:r>
      <w:r>
        <w:rPr>
          <w:rFonts w:hint="eastAsia" w:ascii="宋体" w:hAnsi="宋体" w:cs="宋体"/>
          <w:bCs/>
          <w:color w:val="auto"/>
          <w:sz w:val="24"/>
          <w:highlight w:val="none"/>
          <w:lang w:val="en-US" w:eastAsia="zh-CN"/>
        </w:rPr>
        <w:t xml:space="preserve">供应商</w:t>
      </w:r>
      <w:r>
        <w:rPr>
          <w:rFonts w:hint="default" w:ascii="宋体" w:hAnsi="宋体" w:eastAsia="宋体" w:cs="宋体"/>
          <w:bCs/>
          <w:color w:val="auto"/>
          <w:sz w:val="24"/>
          <w:highlight w:val="none"/>
          <w:lang w:val="en-US" w:eastAsia="zh-CN"/>
        </w:rPr>
        <w:t xml:space="preserve">或其生产厂家（制造商）</w:t>
      </w:r>
      <w:r>
        <w:rPr>
          <w:rFonts w:hint="eastAsia" w:ascii="宋体" w:hAnsi="宋体" w:cs="宋体"/>
          <w:bCs/>
          <w:color w:val="auto"/>
          <w:sz w:val="24"/>
          <w:highlight w:val="none"/>
          <w:lang w:val="en-US" w:eastAsia="zh-CN"/>
        </w:rPr>
        <w:t xml:space="preserve">具备</w:t>
      </w:r>
      <w:r>
        <w:rPr>
          <w:rFonts w:hint="default" w:ascii="宋体" w:hAnsi="宋体" w:eastAsia="宋体" w:cs="宋体"/>
          <w:bCs/>
          <w:color w:val="auto"/>
          <w:sz w:val="24"/>
          <w:highlight w:val="none"/>
          <w:lang w:val="en-US" w:eastAsia="zh-CN"/>
        </w:rPr>
        <w:t xml:space="preserve">有效期内的有害物质限量认证证书的得</w:t>
      </w:r>
      <w:r>
        <w:rPr>
          <w:rFonts w:hint="eastAsia" w:ascii="宋体" w:hAnsi="宋体" w:cs="宋体"/>
          <w:bCs/>
          <w:color w:val="auto"/>
          <w:sz w:val="24"/>
          <w:highlight w:val="none"/>
          <w:lang w:val="en-US" w:eastAsia="zh-CN"/>
        </w:rPr>
        <w:t xml:space="preserve">1</w:t>
      </w:r>
      <w:r>
        <w:rPr>
          <w:rFonts w:hint="default" w:ascii="宋体" w:hAnsi="宋体" w:eastAsia="宋体" w:cs="宋体"/>
          <w:bCs/>
          <w:color w:val="auto"/>
          <w:sz w:val="24"/>
          <w:highlight w:val="none"/>
          <w:lang w:val="en-US" w:eastAsia="zh-CN"/>
        </w:rPr>
        <w:t xml:space="preserve">分，本项最高得</w:t>
      </w:r>
      <w:r>
        <w:rPr>
          <w:rFonts w:hint="eastAsia" w:ascii="宋体" w:hAnsi="宋体" w:cs="宋体"/>
          <w:bCs/>
          <w:color w:val="auto"/>
          <w:sz w:val="24"/>
          <w:highlight w:val="none"/>
          <w:lang w:val="en-US" w:eastAsia="zh-CN"/>
        </w:rPr>
        <w:t xml:space="preserve">1</w:t>
      </w:r>
      <w:r>
        <w:rPr>
          <w:rFonts w:hint="default" w:ascii="宋体" w:hAnsi="宋体" w:eastAsia="宋体" w:cs="宋体"/>
          <w:bCs/>
          <w:color w:val="auto"/>
          <w:sz w:val="24"/>
          <w:highlight w:val="none"/>
          <w:lang w:val="en-US" w:eastAsia="zh-CN"/>
        </w:rPr>
        <w:t xml:space="preserve">分。</w:t>
      </w:r>
      <w:r/>
    </w:p>
    <w:p>
      <w:pPr>
        <w:ind w:firstLine="480"/>
        <w:spacing w:line="44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②</w:t>
      </w:r>
      <w:r>
        <w:rPr>
          <w:rFonts w:hint="eastAsia" w:ascii="宋体" w:hAnsi="宋体" w:cs="宋体"/>
          <w:bCs/>
          <w:color w:val="auto"/>
          <w:sz w:val="24"/>
          <w:highlight w:val="none"/>
        </w:rPr>
        <w:t xml:space="preserve">投标</w:t>
      </w:r>
      <w:r>
        <w:rPr>
          <w:rFonts w:hint="eastAsia" w:ascii="宋体" w:hAnsi="宋体" w:cs="宋体"/>
          <w:bCs/>
          <w:color w:val="auto"/>
          <w:sz w:val="24"/>
          <w:highlight w:val="none"/>
          <w:lang w:val="en-US" w:eastAsia="zh-CN"/>
        </w:rPr>
        <w:t xml:space="preserve">供应商</w:t>
      </w:r>
      <w:r>
        <w:rPr>
          <w:rFonts w:hint="default" w:ascii="宋体" w:hAnsi="宋体" w:eastAsia="宋体" w:cs="宋体"/>
          <w:bCs/>
          <w:color w:val="auto"/>
          <w:sz w:val="24"/>
          <w:highlight w:val="none"/>
          <w:lang w:val="en-US" w:eastAsia="zh-CN"/>
        </w:rPr>
        <w:t xml:space="preserve">或其生产厂家（制造商）</w:t>
      </w:r>
      <w:r>
        <w:rPr>
          <w:rFonts w:hint="eastAsia" w:ascii="宋体" w:hAnsi="宋体" w:cs="宋体"/>
          <w:bCs/>
          <w:color w:val="auto"/>
          <w:sz w:val="24"/>
          <w:highlight w:val="none"/>
          <w:lang w:val="en-US" w:eastAsia="zh-CN"/>
        </w:rPr>
        <w:t xml:space="preserve">具备</w:t>
      </w:r>
      <w:r>
        <w:rPr>
          <w:rFonts w:hint="default" w:ascii="宋体" w:hAnsi="宋体" w:eastAsia="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人类工效学认证证书的得</w:t>
      </w: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lang w:val="en-US" w:eastAsia="zh-CN"/>
        </w:rPr>
        <w:t xml:space="preserve">分</w:t>
      </w:r>
      <w:r>
        <w:rPr>
          <w:rFonts w:hint="default" w:ascii="宋体" w:hAnsi="宋体" w:eastAsia="宋体" w:cs="宋体"/>
          <w:bCs/>
          <w:color w:val="auto"/>
          <w:sz w:val="24"/>
          <w:highlight w:val="none"/>
          <w:lang w:val="en-US" w:eastAsia="zh-CN"/>
        </w:rPr>
        <w:t xml:space="preserve">，本项最高得</w:t>
      </w:r>
      <w:r>
        <w:rPr>
          <w:rFonts w:hint="eastAsia" w:ascii="宋体" w:hAnsi="宋体" w:cs="宋体"/>
          <w:bCs/>
          <w:color w:val="auto"/>
          <w:sz w:val="24"/>
          <w:highlight w:val="none"/>
          <w:lang w:val="en-US" w:eastAsia="zh-CN"/>
        </w:rPr>
        <w:t xml:space="preserve">1</w:t>
      </w:r>
      <w:r>
        <w:rPr>
          <w:rFonts w:hint="default" w:ascii="宋体" w:hAnsi="宋体" w:eastAsia="宋体" w:cs="宋体"/>
          <w:bCs/>
          <w:color w:val="auto"/>
          <w:sz w:val="24"/>
          <w:highlight w:val="none"/>
          <w:lang w:val="en-US" w:eastAsia="zh-CN"/>
        </w:rPr>
        <w:t xml:space="preserve">分。</w:t>
      </w:r>
      <w:r/>
    </w:p>
    <w:p>
      <w:pPr>
        <w:ind w:firstLine="482"/>
        <w:spacing w:line="440" w:lineRule="exact"/>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highlight w:val="none"/>
          <w:lang w:val="en-US" w:eastAsia="zh-CN"/>
        </w:rPr>
        <w:t xml:space="preserve">注：有效期内证书扫描件及“全国认证认可信息公共服务平台” http://cx.cnca.cn 查询截图上传至系统中并加盖公章，不提供或提供不全不得分</w:t>
      </w:r>
      <w:r>
        <w:rPr>
          <w:rFonts w:hint="eastAsia" w:ascii="宋体" w:hAnsi="宋体" w:eastAsia="宋体" w:cs="宋体"/>
          <w:b/>
          <w:bCs w:val="0"/>
          <w:color w:val="auto"/>
          <w:sz w:val="24"/>
          <w:szCs w:val="24"/>
          <w:highlight w:val="none"/>
          <w:lang w:val="en-US" w:eastAsia="zh-CN" w:bidi="ar-SA"/>
        </w:rPr>
        <w:t xml:space="preserve">。认证产品名称与上述名称不同，但内容实质相同的视作等同</w:t>
      </w:r>
      <w:r>
        <w:rPr>
          <w:rFonts w:hint="eastAsia" w:ascii="宋体" w:hAnsi="宋体" w:cs="宋体"/>
          <w:b/>
          <w:bCs w:val="0"/>
          <w:color w:val="auto"/>
          <w:sz w:val="24"/>
          <w:szCs w:val="24"/>
          <w:highlight w:val="none"/>
          <w:lang w:val="en-US" w:eastAsia="zh-CN" w:bidi="ar-SA"/>
        </w:rPr>
        <w:t xml:space="preserve">。</w:t>
      </w:r>
      <w:r/>
    </w:p>
    <w:p>
      <w:pPr>
        <w:ind w:firstLine="480"/>
        <w:spacing w:line="44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3、检测报告（10分）：</w:t>
      </w:r>
      <w:r/>
    </w:p>
    <w:p>
      <w:pPr>
        <w:ind w:firstLine="480"/>
        <w:spacing w:line="44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投标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需出具包含下列材料及检测项的权威检测报告原件扫描件上传至</w:t>
      </w:r>
      <w:r>
        <w:rPr>
          <w:rFonts w:hint="eastAsia" w:ascii="宋体" w:hAnsi="宋体" w:cs="宋体"/>
          <w:bCs/>
          <w:color w:val="auto"/>
          <w:sz w:val="24"/>
          <w:highlight w:val="none"/>
          <w:lang w:val="en-US" w:eastAsia="zh-CN"/>
        </w:rPr>
        <w:t xml:space="preserve">投标文件</w:t>
      </w:r>
      <w:r>
        <w:rPr>
          <w:rFonts w:hint="eastAsia" w:ascii="宋体" w:hAnsi="宋体" w:eastAsia="宋体" w:cs="宋体"/>
          <w:bCs/>
          <w:color w:val="auto"/>
          <w:sz w:val="24"/>
          <w:highlight w:val="none"/>
          <w:lang w:val="en-US" w:eastAsia="zh-CN"/>
        </w:rPr>
        <w:t xml:space="preserve">中并加盖电子公章，检测报告由CMA认证的检验中心出具且必须清晰、完整（含封底和封面），检测报告不完整的视为无效，受检单位须为投标</w:t>
      </w:r>
      <w:r>
        <w:rPr>
          <w:rFonts w:hint="eastAsia" w:ascii="宋体" w:hAnsi="宋体" w:cs="宋体"/>
          <w:bCs/>
          <w:color w:val="auto"/>
          <w:sz w:val="24"/>
          <w:highlight w:val="none"/>
          <w:lang w:val="en-US" w:eastAsia="zh-CN"/>
        </w:rPr>
        <w:t xml:space="preserve">供应商或其生产厂家（制造商）</w:t>
      </w:r>
      <w:r>
        <w:rPr>
          <w:rFonts w:hint="eastAsia" w:ascii="宋体" w:hAnsi="宋体" w:eastAsia="宋体" w:cs="宋体"/>
          <w:bCs/>
          <w:color w:val="auto"/>
          <w:sz w:val="24"/>
          <w:highlight w:val="none"/>
          <w:lang w:val="en-US" w:eastAsia="zh-CN"/>
        </w:rPr>
        <w:t xml:space="preserve">，每份检测报告满足该项要求的，得分项目参数必须在《投标偏离表》</w:t>
      </w:r>
      <w:r>
        <w:rPr>
          <w:rFonts w:hint="eastAsia" w:ascii="宋体" w:hAnsi="宋体" w:cs="宋体"/>
          <w:bCs/>
          <w:color w:val="auto"/>
          <w:sz w:val="24"/>
          <w:highlight w:val="none"/>
          <w:lang w:val="en-US" w:eastAsia="zh-CN"/>
        </w:rPr>
        <w:t xml:space="preserve">填报</w:t>
      </w:r>
      <w:r>
        <w:rPr>
          <w:rFonts w:hint="eastAsia" w:ascii="宋体" w:hAnsi="宋体" w:eastAsia="宋体" w:cs="宋体"/>
          <w:bCs/>
          <w:color w:val="auto"/>
          <w:sz w:val="24"/>
          <w:highlight w:val="none"/>
          <w:lang w:val="en-US" w:eastAsia="zh-CN"/>
        </w:rPr>
        <w:t xml:space="preserve">内容中填写并注明为正偏离，未按要求提供证明材料和不按要求填写的，不得分，</w:t>
      </w:r>
      <w:r>
        <w:rPr>
          <w:rFonts w:hint="eastAsia" w:ascii="宋体" w:hAnsi="宋体" w:cs="宋体"/>
          <w:bCs/>
          <w:color w:val="auto"/>
          <w:sz w:val="24"/>
          <w:highlight w:val="none"/>
          <w:lang w:val="en-US" w:eastAsia="zh-CN"/>
        </w:rPr>
        <w:t xml:space="preserve">本项</w:t>
      </w:r>
      <w:r>
        <w:rPr>
          <w:rFonts w:hint="eastAsia" w:ascii="宋体" w:hAnsi="宋体" w:eastAsia="宋体" w:cs="宋体"/>
          <w:bCs/>
          <w:color w:val="auto"/>
          <w:sz w:val="24"/>
          <w:highlight w:val="none"/>
          <w:lang w:val="en-US" w:eastAsia="zh-CN"/>
        </w:rPr>
        <w:t xml:space="preserve">满分</w:t>
      </w:r>
      <w:r>
        <w:rPr>
          <w:rFonts w:hint="eastAsia" w:ascii="宋体" w:hAnsi="宋体" w:cs="宋体"/>
          <w:bCs/>
          <w:color w:val="auto"/>
          <w:sz w:val="24"/>
          <w:highlight w:val="none"/>
          <w:lang w:val="en-US" w:eastAsia="zh-CN"/>
        </w:rPr>
        <w:t xml:space="preserve">10</w:t>
      </w:r>
      <w:r>
        <w:rPr>
          <w:rFonts w:hint="eastAsia" w:ascii="宋体" w:hAnsi="宋体" w:eastAsia="宋体" w:cs="宋体"/>
          <w:bCs/>
          <w:color w:val="auto"/>
          <w:sz w:val="24"/>
          <w:highlight w:val="none"/>
          <w:lang w:val="en-US" w:eastAsia="zh-CN"/>
        </w:rPr>
        <w:t xml:space="preserve">分。</w:t>
      </w:r>
      <w:r/>
    </w:p>
    <w:tbl>
      <w:tblPr>
        <w:tblStyle w:val="801"/>
        <w:tblW w:w="9037" w:type="dxa"/>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703"/>
        <w:gridCol w:w="2711"/>
        <w:gridCol w:w="2914"/>
      </w:tblGrid>
      <w:tr>
        <w:trPr>
          <w:trHeight w:val="9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0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采购需求的参数要求</w:t>
            </w:r>
            <w:r/>
          </w:p>
        </w:tc>
        <w:tc>
          <w:tcPr>
            <w:gridSpan w:val="2"/>
            <w:tcBorders>
              <w:top w:val="single" w:color="000000" w:sz="4" w:space="0"/>
              <w:left w:val="single" w:color="000000" w:sz="4" w:space="0"/>
              <w:bottom w:val="single" w:color="000000" w:sz="4" w:space="0"/>
              <w:right w:val="single" w:color="000000" w:sz="4" w:space="0"/>
            </w:tcBorders>
            <w:tcW w:w="56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评审内容</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gridSpan w:val="3"/>
            <w:tcBorders>
              <w:top w:val="single" w:color="000000" w:sz="4" w:space="0"/>
              <w:left w:val="single" w:color="000000" w:sz="4" w:space="0"/>
              <w:bottom w:val="single" w:color="000000" w:sz="4" w:space="0"/>
              <w:right w:val="single" w:color="000000" w:sz="4" w:space="0"/>
            </w:tcBorders>
            <w:tcW w:w="8328" w:type="dxa"/>
            <w:vAlign w:val="center"/>
            <w:textDirection w:val="lrTb"/>
            <w:noWrap w:val="false"/>
          </w:tcPr>
          <w:p>
            <w:pPr>
              <w:spacing w:line="360" w:lineRule="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钢架</w:t>
            </w:r>
            <w:r>
              <w:rPr>
                <w:rFonts w:hint="eastAsia" w:ascii="宋体" w:hAnsi="宋体" w:eastAsia="宋体" w:cs="宋体"/>
                <w:color w:val="auto"/>
                <w:sz w:val="24"/>
                <w:szCs w:val="24"/>
                <w:highlight w:val="none"/>
              </w:rPr>
              <w:t xml:space="preserve">（抽检）采用的检测标准：</w:t>
            </w:r>
            <w:r>
              <w:rPr>
                <w:rFonts w:hint="eastAsia" w:ascii="宋体" w:hAnsi="宋体" w:cs="宋体"/>
                <w:color w:val="auto"/>
                <w:sz w:val="24"/>
                <w:szCs w:val="24"/>
                <w:highlight w:val="none"/>
                <w:lang w:val="en-US" w:eastAsia="zh-CN"/>
              </w:rPr>
              <w:t xml:space="preserve">GB/T 1741-2020、QB/T 4371-2012、GB/T 35607-2024。</w:t>
            </w:r>
            <w:r/>
          </w:p>
        </w:tc>
      </w:tr>
      <w:tr>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03"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钢架</w:t>
            </w:r>
            <w:r>
              <w:rPr>
                <w:rFonts w:hint="eastAsia" w:ascii="宋体" w:hAnsi="宋体" w:eastAsia="宋体" w:cs="宋体"/>
                <w:color w:val="auto"/>
                <w:sz w:val="24"/>
                <w:szCs w:val="24"/>
                <w:highlight w:val="none"/>
                <w:lang w:eastAsia="zh-CN"/>
              </w:rPr>
              <w:t xml:space="preserve">（抽检）</w:t>
            </w:r>
            <w:r>
              <w:rPr>
                <w:rFonts w:hint="eastAsia" w:ascii="宋体" w:hAnsi="宋体" w:eastAsia="宋体" w:cs="宋体"/>
                <w:color w:val="auto"/>
                <w:sz w:val="24"/>
                <w:szCs w:val="24"/>
                <w:highlight w:val="none"/>
              </w:rPr>
              <w:t xml:space="preserve">检测报告：检测内容包含：</w:t>
            </w:r>
            <w:r>
              <w:rPr>
                <w:rFonts w:hint="eastAsia" w:ascii="宋体" w:hAnsi="宋体" w:cs="宋体"/>
                <w:color w:val="auto"/>
                <w:sz w:val="24"/>
                <w:szCs w:val="24"/>
                <w:highlight w:val="none"/>
                <w:lang w:val="en-US" w:eastAsia="zh-CN"/>
              </w:rPr>
              <w:t xml:space="preserve">耐霉菌性等级至少包含2种霉菌达到2级；抗菌性能至少包含2种菌种≥90％；产品有害物质-家具涂层可迁移元素至少4种检测合格。</w:t>
            </w:r>
            <w:r/>
          </w:p>
        </w:tc>
        <w:tc>
          <w:tcPr>
            <w:tcBorders>
              <w:top w:val="single" w:color="000000" w:sz="4" w:space="0"/>
              <w:left w:val="single" w:color="000000" w:sz="4" w:space="0"/>
              <w:bottom w:val="single" w:color="000000" w:sz="4" w:space="0"/>
              <w:right w:val="single" w:color="000000" w:sz="4" w:space="0"/>
            </w:tcBorders>
            <w:tcW w:w="2711" w:type="dxa"/>
            <w:vAlign w:val="top"/>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钢架</w:t>
            </w:r>
            <w:r>
              <w:rPr>
                <w:rFonts w:hint="eastAsia" w:ascii="宋体" w:hAnsi="宋体" w:eastAsia="宋体" w:cs="宋体"/>
                <w:color w:val="auto"/>
                <w:sz w:val="24"/>
                <w:szCs w:val="24"/>
                <w:highlight w:val="none"/>
                <w:lang w:val="en-US" w:eastAsia="zh-CN"/>
              </w:rPr>
              <w:t xml:space="preserve">（抽检）检测报告：检测内容包含：</w:t>
            </w:r>
            <w:r>
              <w:rPr>
                <w:rFonts w:hint="eastAsia" w:ascii="宋体" w:hAnsi="宋体" w:cs="宋体"/>
                <w:color w:val="auto"/>
                <w:sz w:val="24"/>
                <w:szCs w:val="24"/>
                <w:highlight w:val="none"/>
                <w:lang w:val="en-US" w:eastAsia="zh-CN"/>
              </w:rPr>
              <w:t xml:space="preserve">耐霉菌性等级至少包含2种霉菌达到1级；抗菌性能至少包含2种菌种≥95％；产品有害物质-家具涂层可迁移元素至少6种检测合格。</w:t>
            </w:r>
            <w:r/>
          </w:p>
          <w:p>
            <w:pPr>
              <w:pStyle w:val="1110"/>
              <w:ind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满足以上要求的得</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14" w:type="dxa"/>
            <w:vAlign w:val="top"/>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钢架</w:t>
            </w:r>
            <w:r>
              <w:rPr>
                <w:rFonts w:hint="eastAsia" w:ascii="宋体" w:hAnsi="宋体" w:eastAsia="宋体" w:cs="宋体"/>
                <w:color w:val="auto"/>
                <w:sz w:val="24"/>
                <w:szCs w:val="24"/>
                <w:highlight w:val="none"/>
                <w:lang w:val="en-US" w:eastAsia="zh-CN"/>
              </w:rPr>
              <w:t xml:space="preserve">（抽检）检测报告：检测内容包含：</w:t>
            </w:r>
            <w:r>
              <w:rPr>
                <w:rFonts w:hint="eastAsia" w:ascii="宋体" w:hAnsi="宋体" w:cs="宋体"/>
                <w:color w:val="auto"/>
                <w:sz w:val="24"/>
                <w:szCs w:val="24"/>
                <w:highlight w:val="none"/>
                <w:lang w:val="en-US" w:eastAsia="zh-CN"/>
              </w:rPr>
              <w:t xml:space="preserve">耐霉菌性等级至少包含2种霉菌达到0级；抗菌性能至少包含2种菌种≥99％；产品有害物质-家具涂层可迁移元素至少8种检测合格。</w:t>
            </w:r>
            <w:r/>
          </w:p>
          <w:p>
            <w:pPr>
              <w:pStyle w:val="1110"/>
              <w:ind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rPr>
              <w:t xml:space="preserve">满足以上要求的得</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p>
          <w:p>
            <w:pPr>
              <w:pStyle w:val="1110"/>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gridSpan w:val="3"/>
            <w:tcBorders>
              <w:top w:val="single" w:color="000000" w:sz="4" w:space="0"/>
              <w:left w:val="single" w:color="000000" w:sz="4" w:space="0"/>
              <w:bottom w:val="single" w:color="000000" w:sz="4" w:space="0"/>
              <w:right w:val="single" w:color="000000" w:sz="4" w:space="0"/>
            </w:tcBorders>
            <w:tcW w:w="8328"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304不锈钢</w:t>
            </w:r>
            <w:r>
              <w:rPr>
                <w:rFonts w:hint="eastAsia" w:ascii="宋体" w:hAnsi="宋体" w:eastAsia="宋体" w:cs="宋体"/>
                <w:color w:val="auto"/>
                <w:sz w:val="24"/>
                <w:szCs w:val="24"/>
                <w:highlight w:val="none"/>
              </w:rPr>
              <w:t xml:space="preserve">（抽检）采用的检测标准：</w:t>
            </w:r>
            <w:r>
              <w:rPr>
                <w:rFonts w:hint="eastAsia" w:ascii="宋体" w:hAnsi="宋体" w:cs="宋体"/>
                <w:color w:val="auto"/>
                <w:sz w:val="24"/>
                <w:szCs w:val="24"/>
                <w:highlight w:val="none"/>
                <w:lang w:val="en-US" w:eastAsia="zh-CN"/>
              </w:rPr>
              <w:t xml:space="preserve">GB/T 10125-2021、GB/T 3280-2015、GB/T 228.1-2021</w:t>
            </w:r>
            <w:r>
              <w:rPr>
                <w:rFonts w:hint="eastAsia" w:ascii="宋体" w:hAnsi="宋体" w:eastAsia="宋体" w:cs="宋体"/>
                <w:color w:val="auto"/>
                <w:sz w:val="24"/>
                <w:szCs w:val="24"/>
                <w:highlight w:val="none"/>
              </w:rPr>
              <w:t xml:space="preserve">。</w:t>
            </w:r>
            <w:r/>
          </w:p>
        </w:tc>
      </w:tr>
      <w:tr>
        <w:trPr>
          <w:trHeight w:val="413"/>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03" w:type="dxa"/>
            <w:vAlign w:val="top"/>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304不锈钢</w:t>
            </w:r>
            <w:r>
              <w:rPr>
                <w:rFonts w:hint="eastAsia" w:ascii="宋体" w:hAnsi="宋体" w:eastAsia="宋体" w:cs="宋体"/>
                <w:color w:val="auto"/>
                <w:sz w:val="24"/>
                <w:szCs w:val="24"/>
                <w:highlight w:val="none"/>
              </w:rPr>
              <w:t xml:space="preserve">（抽检）检测报告：检测项目包含：</w:t>
            </w:r>
            <w:r>
              <w:rPr>
                <w:rFonts w:hint="eastAsia" w:ascii="宋体" w:hAnsi="宋体" w:cs="宋体"/>
                <w:color w:val="auto"/>
                <w:sz w:val="24"/>
                <w:szCs w:val="24"/>
                <w:highlight w:val="none"/>
                <w:lang w:val="en-US" w:eastAsia="zh-CN"/>
              </w:rPr>
              <w:t xml:space="preserve">铜加速乙酸盐雾试验（CASS试验）耐腐蚀等级达到6级；化学成分中至少有1种元素检测合格；抗拉强度≥515MPa。</w:t>
            </w:r>
            <w:r/>
          </w:p>
        </w:tc>
        <w:tc>
          <w:tcPr>
            <w:tcBorders>
              <w:top w:val="single" w:color="000000" w:sz="4" w:space="0"/>
              <w:left w:val="single" w:color="000000" w:sz="4" w:space="0"/>
              <w:bottom w:val="single" w:color="000000" w:sz="4" w:space="0"/>
              <w:right w:val="single" w:color="000000" w:sz="4" w:space="0"/>
            </w:tcBorders>
            <w:tcW w:w="271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304不锈钢</w:t>
            </w:r>
            <w:r>
              <w:rPr>
                <w:rFonts w:hint="eastAsia" w:ascii="宋体" w:hAnsi="宋体" w:eastAsia="宋体" w:cs="宋体"/>
                <w:color w:val="auto"/>
                <w:sz w:val="24"/>
                <w:szCs w:val="24"/>
                <w:highlight w:val="none"/>
              </w:rPr>
              <w:t xml:space="preserve">（抽检）检测报告：检测项目包含：</w:t>
            </w:r>
            <w:r>
              <w:rPr>
                <w:rFonts w:hint="eastAsia" w:ascii="宋体" w:hAnsi="宋体" w:cs="宋体"/>
                <w:color w:val="auto"/>
                <w:sz w:val="24"/>
                <w:szCs w:val="24"/>
                <w:highlight w:val="none"/>
                <w:lang w:val="en-US" w:eastAsia="zh-CN"/>
              </w:rPr>
              <w:t xml:space="preserve">铜加速乙酸盐雾试验（CASS试验）耐腐蚀等级达到8级；化学成分中至少有3种元素检测合格；抗拉强度≥515MPa。</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满足以上要求的得</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14" w:type="dxa"/>
            <w:vAlign w:val="top"/>
            <w:textDirection w:val="lrTb"/>
            <w:noWrap w:val="false"/>
          </w:tcPr>
          <w:p>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304不锈钢</w:t>
            </w:r>
            <w:r>
              <w:rPr>
                <w:rFonts w:hint="eastAsia" w:ascii="宋体" w:hAnsi="宋体" w:eastAsia="宋体" w:cs="宋体"/>
                <w:color w:val="auto"/>
                <w:sz w:val="24"/>
                <w:szCs w:val="24"/>
                <w:highlight w:val="none"/>
              </w:rPr>
              <w:t xml:space="preserve">（抽检）检测报告：检测项目包含：</w:t>
            </w:r>
            <w:r>
              <w:rPr>
                <w:rFonts w:hint="eastAsia" w:ascii="宋体" w:hAnsi="宋体" w:cs="宋体"/>
                <w:color w:val="auto"/>
                <w:sz w:val="24"/>
                <w:szCs w:val="24"/>
                <w:highlight w:val="none"/>
                <w:lang w:val="en-US" w:eastAsia="zh-CN"/>
              </w:rPr>
              <w:t xml:space="preserve">铜加速乙酸盐雾试验（CASS试验）耐腐蚀等级达到10级；化学成分中至少有5种元素检测合格；抗拉强度≥515MPa。</w:t>
            </w:r>
            <w:r/>
          </w:p>
          <w:p>
            <w:pPr>
              <w:pStyle w:val="1110"/>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110"/>
              <w:ind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满足以上要求的得</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gridSpan w:val="3"/>
            <w:tcBorders>
              <w:top w:val="single" w:color="000000" w:sz="4" w:space="0"/>
              <w:left w:val="single" w:color="000000" w:sz="4" w:space="0"/>
              <w:bottom w:val="single" w:color="auto" w:sz="4" w:space="0"/>
              <w:right w:val="single" w:color="000000" w:sz="4" w:space="0"/>
            </w:tcBorders>
            <w:tcW w:w="8328" w:type="dxa"/>
            <w:vAlign w:val="center"/>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面料</w:t>
            </w:r>
            <w:r>
              <w:rPr>
                <w:rFonts w:hint="eastAsia" w:ascii="宋体" w:hAnsi="宋体" w:eastAsia="宋体" w:cs="宋体"/>
                <w:color w:val="auto"/>
                <w:sz w:val="24"/>
                <w:szCs w:val="24"/>
                <w:highlight w:val="none"/>
              </w:rPr>
              <w:t xml:space="preserve">（抽检）</w:t>
            </w:r>
            <w:r>
              <w:rPr>
                <w:rFonts w:hint="eastAsia" w:ascii="宋体" w:hAnsi="宋体" w:eastAsia="宋体" w:cs="宋体"/>
                <w:color w:val="auto"/>
                <w:sz w:val="24"/>
                <w:szCs w:val="24"/>
                <w:highlight w:val="none"/>
              </w:rPr>
              <w:t xml:space="preserve">采用的检测标准：</w:t>
            </w:r>
            <w:r>
              <w:rPr>
                <w:rFonts w:hint="eastAsia" w:ascii="宋体" w:hAnsi="宋体" w:eastAsia="宋体" w:cs="宋体"/>
                <w:color w:val="auto"/>
                <w:sz w:val="24"/>
                <w:szCs w:val="24"/>
                <w:highlight w:val="none"/>
              </w:rPr>
              <w:t xml:space="preserve">QB/T 1952.1-20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、GB/T 2912.1-2009、GB/T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24346-2009</w:t>
            </w:r>
            <w:r/>
          </w:p>
        </w:tc>
      </w:tr>
      <w:tr>
        <w:trPr>
          <w:trHeight w:val="551"/>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2703" w:type="dxa"/>
            <w:vAlign w:val="top"/>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面料（抽检）检测报告：检测内容包含：</w:t>
            </w:r>
            <w:r>
              <w:rPr>
                <w:rFonts w:hint="eastAsia" w:ascii="宋体" w:hAnsi="宋体" w:eastAsia="宋体" w:cs="宋体"/>
                <w:color w:val="auto"/>
                <w:sz w:val="24"/>
                <w:szCs w:val="24"/>
                <w:highlight w:val="none"/>
              </w:rPr>
              <w:t xml:space="preserve">外观性能检测合格，</w:t>
            </w:r>
            <w:r>
              <w:rPr>
                <w:rFonts w:hint="eastAsia" w:ascii="宋体" w:hAnsi="宋体" w:eastAsia="宋体" w:cs="宋体"/>
                <w:bCs/>
                <w:color w:val="auto"/>
                <w:sz w:val="24"/>
                <w:szCs w:val="24"/>
                <w:highlight w:val="none"/>
              </w:rPr>
              <w:t xml:space="preserve">甲醛含量</w:t>
            </w:r>
            <w:r>
              <w:rPr>
                <w:rFonts w:hint="eastAsia" w:ascii="宋体" w:hAnsi="宋体" w:eastAsia="宋体" w:cs="宋体"/>
                <w:b/>
                <w:color w:val="auto"/>
                <w:sz w:val="24"/>
                <w:szCs w:val="24"/>
                <w:highlight w:val="none"/>
              </w:rPr>
              <w:t xml:space="preserve">75-0mg/kg</w:t>
            </w:r>
            <w:r>
              <w:rPr>
                <w:rFonts w:hint="eastAsia" w:ascii="宋体" w:hAnsi="宋体" w:eastAsia="宋体" w:cs="宋体"/>
                <w:bCs/>
                <w:color w:val="auto"/>
                <w:sz w:val="24"/>
                <w:szCs w:val="24"/>
                <w:highlight w:val="none"/>
              </w:rPr>
              <w:t xml:space="preserve">，防霉性能包含</w:t>
            </w:r>
            <w:r>
              <w:rPr>
                <w:rFonts w:hint="eastAsia" w:ascii="宋体" w:hAnsi="宋体" w:eastAsia="宋体" w:cs="宋体"/>
                <w:bCs/>
                <w:color w:val="auto"/>
                <w:sz w:val="24"/>
                <w:szCs w:val="24"/>
                <w:highlight w:val="none"/>
                <w:lang w:val="en-US" w:eastAsia="zh-CN"/>
              </w:rPr>
              <w:t xml:space="preserve">至少一种霉菌</w:t>
            </w:r>
            <w:r>
              <w:rPr>
                <w:rFonts w:hint="eastAsia" w:ascii="宋体" w:hAnsi="宋体" w:eastAsia="宋体" w:cs="宋体"/>
                <w:bCs/>
                <w:color w:val="auto"/>
                <w:sz w:val="24"/>
                <w:szCs w:val="24"/>
                <w:highlight w:val="none"/>
              </w:rPr>
              <w:t xml:space="preserve">检测达到</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级</w:t>
            </w:r>
            <w:r>
              <w:rPr>
                <w:rFonts w:hint="eastAsia" w:ascii="宋体" w:hAnsi="宋体" w:eastAsia="宋体" w:cs="宋体"/>
                <w:bCs/>
                <w:color w:val="auto"/>
                <w:sz w:val="24"/>
                <w:szCs w:val="24"/>
                <w:highlight w:val="none"/>
              </w:rPr>
              <w:t xml:space="preserve">。</w:t>
            </w:r>
            <w:r/>
          </w:p>
        </w:tc>
        <w:tc>
          <w:tcPr>
            <w:tcBorders>
              <w:top w:val="single" w:color="auto" w:sz="4" w:space="0"/>
              <w:left w:val="single" w:color="000000" w:sz="4" w:space="0"/>
              <w:bottom w:val="single" w:color="000000" w:sz="4" w:space="0"/>
              <w:right w:val="single" w:color="000000" w:sz="4" w:space="0"/>
            </w:tcBorders>
            <w:tcW w:w="271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面料（抽检）检测报告：检测</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包含：</w:t>
            </w:r>
            <w:r>
              <w:rPr>
                <w:rFonts w:hint="eastAsia" w:ascii="宋体" w:hAnsi="宋体" w:eastAsia="宋体" w:cs="宋体"/>
                <w:color w:val="auto"/>
                <w:sz w:val="24"/>
                <w:szCs w:val="24"/>
                <w:highlight w:val="none"/>
              </w:rPr>
              <w:t xml:space="preserve">外观性能检测合格，纺织产品的基本安全技术要求（甲醛含量）</w:t>
            </w:r>
            <w:r>
              <w:rPr>
                <w:rFonts w:hint="eastAsia" w:ascii="宋体" w:hAnsi="宋体" w:eastAsia="宋体" w:cs="宋体"/>
                <w:b/>
                <w:color w:val="auto"/>
                <w:sz w:val="24"/>
                <w:szCs w:val="24"/>
                <w:highlight w:val="none"/>
              </w:rPr>
              <w:t xml:space="preserve">75-0mg/kg</w:t>
            </w:r>
            <w:r>
              <w:rPr>
                <w:rFonts w:hint="eastAsia" w:ascii="宋体" w:hAnsi="宋体" w:eastAsia="宋体" w:cs="宋体"/>
                <w:color w:val="auto"/>
                <w:sz w:val="24"/>
                <w:szCs w:val="24"/>
                <w:highlight w:val="none"/>
              </w:rPr>
              <w:t xml:space="preserve">检测合格，防霉性能包含</w:t>
            </w:r>
            <w:r>
              <w:rPr>
                <w:rFonts w:hint="eastAsia" w:ascii="宋体" w:hAnsi="宋体" w:eastAsia="宋体" w:cs="宋体"/>
                <w:bCs/>
                <w:color w:val="auto"/>
                <w:sz w:val="24"/>
                <w:szCs w:val="24"/>
                <w:highlight w:val="none"/>
                <w:lang w:val="en-US" w:eastAsia="zh-CN"/>
              </w:rPr>
              <w:t xml:space="preserve">至少一种霉菌</w:t>
            </w:r>
            <w:r>
              <w:rPr>
                <w:rFonts w:hint="eastAsia" w:ascii="宋体" w:hAnsi="宋体" w:eastAsia="宋体" w:cs="宋体"/>
                <w:color w:val="auto"/>
                <w:sz w:val="24"/>
                <w:szCs w:val="24"/>
                <w:highlight w:val="none"/>
              </w:rPr>
              <w:t xml:space="preserve">检测达到</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级</w:t>
            </w:r>
            <w:r>
              <w:rPr>
                <w:rFonts w:hint="eastAsia" w:ascii="宋体" w:hAnsi="宋体" w:eastAsia="宋体" w:cs="宋体"/>
                <w:color w:val="auto"/>
                <w:sz w:val="24"/>
                <w:szCs w:val="24"/>
                <w:highlight w:val="none"/>
              </w:rPr>
              <w:t xml:space="preserve">。</w:t>
            </w:r>
            <w:r/>
          </w:p>
          <w:p>
            <w:pPr>
              <w:pStyle w:val="1110"/>
              <w:ind w:firstLine="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满足以上要求的得</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tc>
        <w:tc>
          <w:tcPr>
            <w:tcBorders>
              <w:top w:val="single" w:color="auto" w:sz="4" w:space="0"/>
              <w:left w:val="single" w:color="000000" w:sz="4" w:space="0"/>
              <w:bottom w:val="single" w:color="000000" w:sz="4" w:space="0"/>
              <w:right w:val="single" w:color="000000" w:sz="4" w:space="0"/>
            </w:tcBorders>
            <w:tcW w:w="2914" w:type="dxa"/>
            <w:vAlign w:val="top"/>
            <w:textDirection w:val="lrTb"/>
            <w:noWrap w:val="false"/>
          </w:tcPr>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面料（抽检）检测报告：检测</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包含：</w:t>
            </w:r>
            <w:r>
              <w:rPr>
                <w:rFonts w:hint="eastAsia" w:ascii="宋体" w:hAnsi="宋体" w:eastAsia="宋体" w:cs="宋体"/>
                <w:color w:val="auto"/>
                <w:sz w:val="24"/>
                <w:szCs w:val="24"/>
                <w:highlight w:val="none"/>
              </w:rPr>
              <w:t xml:space="preserve">外观性能检测合格，纺织产品的基本安全技术要求（甲醛含量）</w:t>
            </w:r>
            <w:r>
              <w:rPr>
                <w:rFonts w:hint="eastAsia" w:ascii="宋体" w:hAnsi="宋体" w:eastAsia="宋体" w:cs="宋体"/>
                <w:b/>
                <w:color w:val="auto"/>
                <w:sz w:val="24"/>
                <w:szCs w:val="24"/>
                <w:highlight w:val="none"/>
              </w:rPr>
              <w:t xml:space="preserve">75-0mg/kg</w:t>
            </w:r>
            <w:r>
              <w:rPr>
                <w:rFonts w:hint="eastAsia" w:ascii="宋体" w:hAnsi="宋体" w:eastAsia="宋体" w:cs="宋体"/>
                <w:color w:val="auto"/>
                <w:sz w:val="24"/>
                <w:szCs w:val="24"/>
                <w:highlight w:val="none"/>
              </w:rPr>
              <w:t xml:space="preserve">检测合格，防霉性能包含</w:t>
            </w:r>
            <w:r>
              <w:rPr>
                <w:rFonts w:hint="eastAsia" w:ascii="宋体" w:hAnsi="宋体" w:eastAsia="宋体" w:cs="宋体"/>
                <w:bCs/>
                <w:color w:val="auto"/>
                <w:sz w:val="24"/>
                <w:szCs w:val="24"/>
                <w:highlight w:val="none"/>
                <w:lang w:val="en-US" w:eastAsia="zh-CN"/>
              </w:rPr>
              <w:t xml:space="preserve">至少一种霉菌</w:t>
            </w:r>
            <w:r>
              <w:rPr>
                <w:rFonts w:hint="eastAsia" w:ascii="宋体" w:hAnsi="宋体" w:eastAsia="宋体" w:cs="宋体"/>
                <w:color w:val="auto"/>
                <w:sz w:val="24"/>
                <w:szCs w:val="24"/>
                <w:highlight w:val="none"/>
              </w:rPr>
              <w:t xml:space="preserve">检测达到</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级</w:t>
            </w:r>
            <w:r>
              <w:rPr>
                <w:rFonts w:hint="eastAsia" w:ascii="宋体" w:hAnsi="宋体" w:eastAsia="宋体" w:cs="宋体"/>
                <w:color w:val="auto"/>
                <w:sz w:val="24"/>
                <w:szCs w:val="24"/>
                <w:highlight w:val="none"/>
                <w:lang w:eastAsia="zh-CN"/>
              </w:rPr>
              <w:t xml:space="preserve">。</w:t>
            </w:r>
            <w:r/>
          </w:p>
          <w:p>
            <w:pPr>
              <w:pStyle w:val="1110"/>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0"/>
              <w:ind w:firstLine="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满足以上要求的得</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gridSpan w:val="3"/>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水性木器漆（面漆）</w:t>
            </w:r>
            <w:r>
              <w:rPr>
                <w:rFonts w:hint="eastAsia" w:ascii="宋体" w:hAnsi="宋体" w:eastAsia="宋体" w:cs="宋体"/>
                <w:color w:val="auto"/>
                <w:sz w:val="24"/>
                <w:szCs w:val="24"/>
                <w:highlight w:val="none"/>
              </w:rPr>
              <w:t xml:space="preserve">（抽检）采用的检测标准：</w:t>
            </w:r>
            <w:r>
              <w:rPr>
                <w:rFonts w:hint="eastAsia" w:ascii="宋体" w:hAnsi="宋体" w:eastAsia="宋体" w:cs="宋体"/>
                <w:color w:val="auto"/>
                <w:sz w:val="24"/>
                <w:szCs w:val="24"/>
                <w:highlight w:val="none"/>
                <w:lang w:val="en-US" w:eastAsia="zh-CN"/>
              </w:rPr>
              <w:t xml:space="preserve">GB/T 23993-2009、GB/T 30647-2014、GB/T 23991-2009</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03" w:type="dxa"/>
            <w:vAlign w:val="top"/>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水性木器漆（面漆）</w:t>
            </w:r>
            <w:r>
              <w:rPr>
                <w:rFonts w:hint="eastAsia" w:ascii="宋体" w:hAnsi="宋体" w:eastAsia="宋体" w:cs="宋体"/>
                <w:bCs/>
                <w:color w:val="auto"/>
                <w:sz w:val="24"/>
                <w:szCs w:val="24"/>
                <w:highlight w:val="none"/>
              </w:rPr>
              <w:t xml:space="preserve">（抽检）检测报告：检测内容包含：</w:t>
            </w:r>
            <w:r>
              <w:rPr>
                <w:rFonts w:hint="eastAsia" w:ascii="宋体" w:hAnsi="宋体" w:eastAsia="宋体" w:cs="宋体"/>
                <w:bCs/>
                <w:color w:val="auto"/>
                <w:sz w:val="24"/>
                <w:szCs w:val="24"/>
                <w:highlight w:val="none"/>
                <w:lang w:val="en-US" w:eastAsia="zh-CN"/>
              </w:rPr>
              <w:t xml:space="preserve">甲醛含量≤100mg/kg；总铅含量≤90mg/kg；可溶性重金属含量（镉含量≤75mg/kg；铬含量≤60mg/kg；汞含量≤60mg/kg）</w:t>
            </w:r>
            <w:r>
              <w:rPr>
                <w:rFonts w:hint="eastAsia" w:ascii="宋体" w:hAnsi="宋体" w:cs="宋体"/>
                <w:bCs/>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2711" w:type="dxa"/>
            <w:vAlign w:val="top"/>
            <w:textDirection w:val="lrTb"/>
            <w:noWrap w:val="false"/>
          </w:tcPr>
          <w:p>
            <w:pPr>
              <w:pStyle w:val="1110"/>
              <w:ind w:left="0" w:firstLine="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水性木器漆（面漆）</w:t>
            </w:r>
            <w:r>
              <w:rPr>
                <w:rFonts w:hint="eastAsia" w:ascii="宋体" w:hAnsi="宋体" w:eastAsia="宋体" w:cs="宋体"/>
                <w:bCs/>
                <w:color w:val="auto"/>
                <w:sz w:val="24"/>
                <w:szCs w:val="24"/>
                <w:highlight w:val="none"/>
              </w:rPr>
              <w:t xml:space="preserve">（抽检）检测报告：检测内容包含：</w:t>
            </w:r>
            <w:r>
              <w:rPr>
                <w:rFonts w:hint="eastAsia" w:ascii="宋体" w:hAnsi="宋体" w:eastAsia="宋体" w:cs="宋体"/>
                <w:bCs/>
                <w:color w:val="auto"/>
                <w:sz w:val="24"/>
                <w:szCs w:val="24"/>
                <w:highlight w:val="none"/>
                <w:lang w:val="en-US" w:eastAsia="zh-CN"/>
              </w:rPr>
              <w:t xml:space="preserve">甲醛含量≤</w:t>
            </w:r>
            <w:r>
              <w:rPr>
                <w:rFonts w:hint="eastAsia" w:ascii="宋体" w:hAnsi="宋体" w:cs="宋体"/>
                <w:bCs/>
                <w:color w:val="auto"/>
                <w:sz w:val="24"/>
                <w:szCs w:val="24"/>
                <w:highlight w:val="none"/>
                <w:lang w:val="en-US" w:eastAsia="zh-CN"/>
              </w:rPr>
              <w:t xml:space="preserve">50</w:t>
            </w:r>
            <w:r>
              <w:rPr>
                <w:rFonts w:hint="eastAsia" w:ascii="宋体" w:hAnsi="宋体" w:eastAsia="宋体" w:cs="宋体"/>
                <w:bCs/>
                <w:color w:val="auto"/>
                <w:sz w:val="24"/>
                <w:szCs w:val="24"/>
                <w:highlight w:val="none"/>
                <w:lang w:val="en-US" w:eastAsia="zh-CN"/>
              </w:rPr>
              <w:t xml:space="preserve">mg/kg；总铅含量≤</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mg/kg；可溶性重金属含量（镉含量≤</w:t>
            </w:r>
            <w:r>
              <w:rPr>
                <w:rFonts w:hint="eastAsia" w:ascii="宋体" w:hAnsi="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en-US" w:eastAsia="zh-CN"/>
              </w:rPr>
              <w:t xml:space="preserve">mg/kg；铬含量≤</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mg/kg；汞含量≤</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mg/kg）。</w:t>
            </w:r>
            <w:r/>
          </w:p>
          <w:p>
            <w:pPr>
              <w:pStyle w:val="1110"/>
              <w:ind w:firstLine="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满足以上要求的得</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14" w:type="dxa"/>
            <w:vAlign w:val="top"/>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水性木器漆（面漆）</w:t>
            </w:r>
            <w:r>
              <w:rPr>
                <w:rFonts w:hint="eastAsia" w:ascii="宋体" w:hAnsi="宋体" w:eastAsia="宋体" w:cs="宋体"/>
                <w:color w:val="auto"/>
                <w:sz w:val="24"/>
                <w:szCs w:val="24"/>
                <w:highlight w:val="none"/>
              </w:rPr>
              <w:t xml:space="preserve">（抽检）检测报告：检测</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rPr>
              <w:t xml:space="preserve">包含：</w:t>
            </w:r>
            <w:r>
              <w:rPr>
                <w:rFonts w:hint="eastAsia" w:ascii="宋体" w:hAnsi="宋体" w:eastAsia="宋体" w:cs="宋体"/>
                <w:bCs/>
                <w:color w:val="auto"/>
                <w:sz w:val="24"/>
                <w:szCs w:val="24"/>
                <w:highlight w:val="none"/>
                <w:lang w:val="en-US" w:eastAsia="zh-CN"/>
              </w:rPr>
              <w:t xml:space="preserve">甲醛含量≤10mg/kg；总铅含量≤5mg/kg；可溶性重金属含量（镉含量≤0.22mg/kg；铬含量≤0.2mg/kg；汞含量≤0.5mg/kg）</w:t>
            </w:r>
            <w:r>
              <w:rPr>
                <w:rFonts w:hint="eastAsia" w:ascii="宋体" w:hAnsi="宋体" w:cs="宋体"/>
                <w:bCs/>
                <w:color w:val="auto"/>
                <w:sz w:val="24"/>
                <w:szCs w:val="24"/>
                <w:highlight w:val="none"/>
                <w:lang w:val="en-US" w:eastAsia="zh-CN"/>
              </w:rPr>
              <w:t xml:space="preserve">。</w:t>
            </w:r>
            <w:r/>
          </w:p>
          <w:p>
            <w:pPr>
              <w:pStyle w:val="1110"/>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10"/>
              <w:ind w:firstLine="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满足以上要求的得</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tc>
      </w:tr>
      <w:tr>
        <w:trPr>
          <w:trHeight w:val="336"/>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94"/>
              <w:jc w:val="center"/>
              <w:rPr>
                <w:rFonts w:hint="eastAsia" w:ascii="宋体" w:hAnsi="宋体" w:eastAsia="宋体" w:cs="宋体"/>
                <w:color w:val="auto"/>
                <w:sz w:val="24"/>
                <w:szCs w:val="24"/>
                <w:highlight w:val="none"/>
                <w:lang w:eastAsia="zh-CN"/>
              </w:rPr>
            </w:pPr>
            <w:r>
              <w:rPr>
                <w:rFonts w:hint="eastAsia" w:ascii="宋体" w:hAnsi="宋体" w:eastAsia="宋体" w:cs="宋体"/>
                <w:b w:val="0"/>
                <w:color w:val="auto"/>
                <w:sz w:val="24"/>
                <w:szCs w:val="24"/>
                <w:highlight w:val="none"/>
                <w:lang w:val="en-US" w:eastAsia="zh-CN"/>
              </w:rPr>
              <w:t xml:space="preserve">5</w:t>
            </w:r>
            <w:r/>
          </w:p>
        </w:tc>
        <w:tc>
          <w:tcPr>
            <w:gridSpan w:val="3"/>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pStyle w:val="1110"/>
              <w:ind w:firstLine="0"/>
              <w:rPr>
                <w:rFonts w:hint="default"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课桌椅</w:t>
            </w:r>
            <w:r>
              <w:rPr>
                <w:rFonts w:hint="eastAsia" w:ascii="宋体" w:hAnsi="宋体" w:eastAsia="宋体" w:cs="宋体"/>
                <w:color w:val="auto"/>
                <w:sz w:val="24"/>
                <w:szCs w:val="24"/>
                <w:highlight w:val="none"/>
              </w:rPr>
              <w:t xml:space="preserve">（抽检）采用的检测标准：</w:t>
            </w:r>
            <w:r>
              <w:rPr>
                <w:rFonts w:hint="eastAsia" w:ascii="宋体" w:hAnsi="宋体" w:eastAsia="宋体" w:cs="宋体"/>
                <w:color w:val="auto"/>
                <w:sz w:val="24"/>
                <w:szCs w:val="24"/>
                <w:highlight w:val="none"/>
                <w:lang w:val="en-US" w:eastAsia="zh-CN"/>
              </w:rPr>
              <w:t xml:space="preserve">GB/T 1741-2020、GB/T 35607-2024</w:t>
            </w:r>
            <w:r/>
          </w:p>
        </w:tc>
      </w:tr>
      <w:tr>
        <w:trPr>
          <w:trHeight w:val="587"/>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9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03" w:type="dxa"/>
            <w:vAlign w:val="top"/>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课桌椅</w:t>
            </w:r>
            <w:r>
              <w:rPr>
                <w:rFonts w:hint="eastAsia" w:ascii="宋体" w:hAnsi="宋体" w:eastAsia="宋体" w:cs="宋体"/>
                <w:color w:val="auto"/>
                <w:sz w:val="24"/>
                <w:szCs w:val="24"/>
                <w:highlight w:val="none"/>
              </w:rPr>
              <w:t xml:space="preserve">（抽检）检测报告：检测内容包含：</w:t>
            </w:r>
            <w:r>
              <w:rPr>
                <w:rFonts w:hint="eastAsia" w:ascii="宋体" w:hAnsi="宋体" w:cs="宋体"/>
                <w:color w:val="auto"/>
                <w:sz w:val="24"/>
                <w:szCs w:val="24"/>
                <w:highlight w:val="none"/>
                <w:lang w:val="en-US" w:eastAsia="zh-CN"/>
              </w:rPr>
              <w:t xml:space="preserve">耐霉菌性等级至少包含3种霉菌达到2级；甲醛释放量检测合格。</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11"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课桌椅</w:t>
            </w:r>
            <w:r>
              <w:rPr>
                <w:rFonts w:hint="eastAsia" w:ascii="宋体" w:hAnsi="宋体" w:eastAsia="宋体" w:cs="宋体"/>
                <w:color w:val="auto"/>
                <w:sz w:val="24"/>
                <w:szCs w:val="24"/>
                <w:highlight w:val="none"/>
              </w:rPr>
              <w:t xml:space="preserve">（抽检）检测报告：检测内容包含：</w:t>
            </w:r>
            <w:r>
              <w:rPr>
                <w:rFonts w:hint="eastAsia" w:ascii="宋体" w:hAnsi="宋体" w:cs="宋体"/>
                <w:color w:val="auto"/>
                <w:sz w:val="24"/>
                <w:szCs w:val="24"/>
                <w:highlight w:val="none"/>
                <w:lang w:val="en-US" w:eastAsia="zh-CN"/>
              </w:rPr>
              <w:t xml:space="preserve">耐霉菌性等级至少包含3种霉菌达到1级；甲醛释放量检测合格。</w:t>
            </w:r>
            <w:r/>
          </w:p>
          <w:p>
            <w:pPr>
              <w:pStyle w:val="1110"/>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满足以上要求的得</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14" w:type="dxa"/>
            <w:vAlign w:val="top"/>
            <w:textDirection w:val="lrTb"/>
            <w:noWrap w:val="false"/>
          </w:tcPr>
          <w:p>
            <w:pPr>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课桌椅</w:t>
            </w:r>
            <w:r>
              <w:rPr>
                <w:rFonts w:hint="eastAsia" w:ascii="宋体" w:hAnsi="宋体" w:eastAsia="宋体" w:cs="宋体"/>
                <w:color w:val="auto"/>
                <w:sz w:val="24"/>
                <w:szCs w:val="24"/>
                <w:highlight w:val="none"/>
              </w:rPr>
              <w:t xml:space="preserve">（抽检）检测报告：检测内容包含：</w:t>
            </w:r>
            <w:r>
              <w:rPr>
                <w:rFonts w:hint="eastAsia" w:ascii="宋体" w:hAnsi="宋体" w:cs="宋体"/>
                <w:color w:val="auto"/>
                <w:sz w:val="24"/>
                <w:szCs w:val="24"/>
                <w:highlight w:val="none"/>
                <w:lang w:val="en-US" w:eastAsia="zh-CN"/>
              </w:rPr>
              <w:t xml:space="preserve">耐霉菌性等级至少包含3种霉菌达到0级；甲醛释放量检测合格。</w:t>
            </w:r>
            <w:r/>
          </w:p>
          <w:p>
            <w:pPr>
              <w:pStyle w:val="1110"/>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满足以上要求的得</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p>
        </w:tc>
      </w:tr>
    </w:tbl>
    <w:p>
      <w:pPr>
        <w:spacing w:line="440" w:lineRule="exact"/>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注：1</w:t>
      </w:r>
      <w:r>
        <w:rPr>
          <w:rFonts w:hint="eastAsia" w:ascii="宋体" w:hAnsi="宋体" w:cs="宋体"/>
          <w:b/>
          <w:bCs/>
          <w:color w:val="auto"/>
          <w:sz w:val="20"/>
          <w:szCs w:val="20"/>
          <w:highlight w:val="none"/>
          <w:lang w:val="en-US" w:eastAsia="zh-CN"/>
        </w:rPr>
        <w:t xml:space="preserve">.</w:t>
      </w:r>
      <w:r>
        <w:rPr>
          <w:rFonts w:hint="eastAsia" w:ascii="宋体" w:hAnsi="宋体" w:cs="宋体"/>
          <w:b/>
          <w:bCs/>
          <w:color w:val="auto"/>
          <w:sz w:val="20"/>
          <w:szCs w:val="20"/>
          <w:highlight w:val="none"/>
        </w:rPr>
        <w:t xml:space="preserve">投标文件中的检测报告材料必须清晰且完整含封底及封面，仅提供局部内容的检测报告视为无效，提供的检测报告上的检测项目名称与上述名称不同，但内容实际相同的视作等同。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（三）技术方案（</w:t>
      </w:r>
      <w:r>
        <w:rPr>
          <w:rFonts w:hint="eastAsia" w:ascii="宋体" w:hAnsi="宋体" w:cs="宋体"/>
          <w:b/>
          <w:bCs/>
          <w:color w:val="auto"/>
          <w:sz w:val="24"/>
          <w:highlight w:val="none"/>
          <w:lang w:val="en-US" w:eastAsia="zh-CN"/>
        </w:rPr>
        <w:t xml:space="preserve">44</w:t>
      </w:r>
      <w:r>
        <w:rPr>
          <w:rFonts w:hint="eastAsia" w:ascii="宋体" w:hAnsi="宋体" w:cs="宋体"/>
          <w:b/>
          <w:bCs/>
          <w:color w:val="auto"/>
          <w:sz w:val="24"/>
          <w:highlight w:val="none"/>
        </w:rPr>
        <w:t xml:space="preserve">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项目实施</w:t>
      </w:r>
      <w:r>
        <w:rPr>
          <w:rFonts w:hint="eastAsia" w:ascii="宋体" w:hAnsi="宋体" w:cs="宋体"/>
          <w:color w:val="auto"/>
          <w:sz w:val="24"/>
          <w:highlight w:val="none"/>
          <w:lang w:val="en-US" w:eastAsia="zh-CN"/>
        </w:rPr>
        <w:t xml:space="preserve">方案</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分）：①前期对接、交货方案：至少包括前期样品确认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项目实施</w:t>
      </w:r>
      <w:r>
        <w:rPr>
          <w:rFonts w:hint="eastAsia" w:ascii="宋体" w:hAnsi="宋体" w:cs="宋体"/>
          <w:color w:val="auto"/>
          <w:sz w:val="24"/>
          <w:highlight w:val="none"/>
        </w:rPr>
        <w:t xml:space="preserve">进度方案；②产品生产质量控制措施；③生产工艺及质量标准；④供货组织及运输安排；⑤应急方案。</w:t>
      </w:r>
      <w:r/>
    </w:p>
    <w:p>
      <w:pPr>
        <w:ind w:firstLine="480"/>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投标供应商须针对上述①、②、③、④、⑤条评分内容分别进行阐述，阐述内容须满足采购需求。</w:t>
      </w:r>
      <w:r>
        <w:rPr>
          <w:rFonts w:hint="eastAsia" w:ascii="宋体" w:hAnsi="宋体" w:eastAsia="宋体" w:cs="宋体"/>
          <w:color w:val="auto"/>
          <w:sz w:val="24"/>
          <w:szCs w:val="24"/>
          <w:highlight w:val="none"/>
          <w:lang w:val="en-US" w:eastAsia="zh-CN"/>
        </w:rPr>
        <w:t xml:space="preserve">内容不存在瑕疵的该条得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分；内容存在</w:t>
      </w:r>
      <w:r>
        <w:rPr>
          <w:rFonts w:hint="eastAsia" w:ascii="宋体" w:hAnsi="宋体" w:cs="宋体"/>
          <w:color w:val="auto"/>
          <w:sz w:val="24"/>
          <w:szCs w:val="24"/>
          <w:highlight w:val="none"/>
          <w:lang w:val="en-US" w:eastAsia="zh-CN"/>
        </w:rPr>
        <w:t xml:space="preserve">1处</w:t>
      </w:r>
      <w:r>
        <w:rPr>
          <w:rFonts w:hint="eastAsia" w:ascii="宋体" w:hAnsi="宋体" w:eastAsia="宋体" w:cs="宋体"/>
          <w:color w:val="auto"/>
          <w:sz w:val="24"/>
          <w:szCs w:val="24"/>
          <w:highlight w:val="none"/>
          <w:lang w:val="en-US" w:eastAsia="zh-CN"/>
        </w:rPr>
        <w:t xml:space="preserve">瑕疵的该条得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分；未提供方案或不满足项目需求书要求或内容存在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处及以上瑕疵的该条得0分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本项满分10分。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安装、调试（</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①进场</w:t>
      </w:r>
      <w:r>
        <w:rPr>
          <w:rFonts w:hint="eastAsia" w:ascii="宋体" w:hAnsi="宋体" w:eastAsia="宋体" w:cs="宋体"/>
          <w:color w:val="auto"/>
          <w:sz w:val="24"/>
          <w:szCs w:val="24"/>
          <w:highlight w:val="none"/>
        </w:rPr>
        <w:t xml:space="preserve">准备</w:t>
      </w:r>
      <w:r>
        <w:rPr>
          <w:rFonts w:hint="eastAsia" w:ascii="宋体" w:hAnsi="宋体" w:eastAsia="宋体" w:cs="宋体"/>
          <w:color w:val="auto"/>
          <w:sz w:val="24"/>
          <w:szCs w:val="24"/>
          <w:highlight w:val="none"/>
          <w:lang w:val="en-US" w:eastAsia="zh-CN"/>
        </w:rPr>
        <w:t xml:space="preserve">及进度</w:t>
      </w:r>
      <w:r>
        <w:rPr>
          <w:rFonts w:hint="eastAsia" w:ascii="宋体" w:hAnsi="宋体" w:eastAsia="宋体" w:cs="宋体"/>
          <w:color w:val="auto"/>
          <w:sz w:val="24"/>
          <w:szCs w:val="24"/>
          <w:highlight w:val="none"/>
        </w:rPr>
        <w:t xml:space="preserve">控制措施</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②</w:t>
      </w:r>
      <w:r>
        <w:rPr>
          <w:rFonts w:hint="eastAsia" w:ascii="宋体" w:hAnsi="宋体" w:eastAsia="宋体" w:cs="宋体"/>
          <w:color w:val="auto"/>
          <w:sz w:val="24"/>
          <w:szCs w:val="24"/>
          <w:highlight w:val="none"/>
        </w:rPr>
        <w:t xml:space="preserve">机械设备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材料投入计划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t xml:space="preserve">安装人员组织方案；</w:t>
      </w:r>
      <w:r>
        <w:rPr>
          <w:rFonts w:hint="eastAsia" w:ascii="宋体" w:hAnsi="宋体" w:cs="宋体"/>
          <w:color w:val="auto"/>
          <w:sz w:val="24"/>
          <w:szCs w:val="24"/>
          <w:highlight w:val="none"/>
          <w:lang w:val="en-US" w:eastAsia="zh-CN"/>
        </w:rPr>
        <w:t xml:space="preserve">④</w:t>
      </w:r>
      <w:r>
        <w:rPr>
          <w:rFonts w:hint="eastAsia" w:ascii="宋体" w:hAnsi="宋体" w:cs="宋体"/>
          <w:color w:val="auto"/>
          <w:sz w:val="24"/>
          <w:highlight w:val="none"/>
        </w:rPr>
        <w:t xml:space="preserve">产品安装与调试及技术支撑方案；</w:t>
      </w:r>
      <w:r>
        <w:rPr>
          <w:rFonts w:hint="eastAsia" w:ascii="宋体" w:hAnsi="宋体" w:cs="宋体"/>
          <w:color w:val="auto"/>
          <w:sz w:val="24"/>
          <w:highlight w:val="none"/>
          <w:lang w:val="en-US" w:eastAsia="zh-CN"/>
        </w:rPr>
        <w:t xml:space="preserve">⑤</w:t>
      </w:r>
      <w:r>
        <w:rPr>
          <w:rFonts w:hint="eastAsia" w:ascii="宋体" w:hAnsi="宋体" w:cs="宋体"/>
          <w:color w:val="auto"/>
          <w:sz w:val="24"/>
          <w:highlight w:val="none"/>
        </w:rPr>
        <w:t xml:space="preserve">安全文明安装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⑥</w:t>
      </w:r>
      <w:r>
        <w:rPr>
          <w:rFonts w:hint="eastAsia" w:ascii="宋体" w:hAnsi="宋体" w:cs="宋体"/>
          <w:color w:val="auto"/>
          <w:sz w:val="24"/>
          <w:highlight w:val="none"/>
        </w:rPr>
        <w:t xml:space="preserve">环境保护措施；</w:t>
      </w:r>
      <w:r>
        <w:rPr>
          <w:rFonts w:hint="eastAsia" w:ascii="宋体" w:hAnsi="宋体" w:cs="宋体"/>
          <w:color w:val="auto"/>
          <w:sz w:val="24"/>
          <w:highlight w:val="none"/>
          <w:lang w:val="en-US" w:eastAsia="zh-CN"/>
        </w:rPr>
        <w:t xml:space="preserve">⑦</w:t>
      </w:r>
      <w:r>
        <w:rPr>
          <w:rFonts w:hint="eastAsia" w:ascii="宋体" w:hAnsi="宋体" w:eastAsia="宋体" w:cs="宋体"/>
          <w:color w:val="auto"/>
          <w:sz w:val="24"/>
          <w:szCs w:val="24"/>
          <w:highlight w:val="none"/>
        </w:rPr>
        <w:t xml:space="preserve">质量保证措施跟确保工程质量</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措施</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投标供应商须针对上述①、②、③、④、⑤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⑥、⑦</w:t>
      </w:r>
      <w:r>
        <w:rPr>
          <w:rFonts w:hint="eastAsia" w:ascii="宋体" w:hAnsi="宋体" w:cs="宋体"/>
          <w:color w:val="auto"/>
          <w:sz w:val="24"/>
          <w:highlight w:val="none"/>
        </w:rPr>
        <w:t xml:space="preserve">条评分内容分别进行阐述，阐述内容须满足采购需求。</w:t>
      </w:r>
      <w:r>
        <w:rPr>
          <w:rFonts w:hint="eastAsia" w:ascii="宋体" w:hAnsi="宋体" w:eastAsia="宋体" w:cs="宋体"/>
          <w:color w:val="auto"/>
          <w:sz w:val="24"/>
          <w:szCs w:val="24"/>
          <w:highlight w:val="none"/>
          <w:lang w:val="en-US" w:eastAsia="zh-CN"/>
        </w:rPr>
        <w:t xml:space="preserve">内容不存在瑕疵的该条得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分；内容存在</w:t>
      </w:r>
      <w:r>
        <w:rPr>
          <w:rFonts w:hint="eastAsia" w:ascii="宋体" w:hAnsi="宋体" w:cs="宋体"/>
          <w:color w:val="auto"/>
          <w:sz w:val="24"/>
          <w:szCs w:val="24"/>
          <w:highlight w:val="none"/>
          <w:lang w:val="en-US" w:eastAsia="zh-CN"/>
        </w:rPr>
        <w:t xml:space="preserve">1处</w:t>
      </w:r>
      <w:r>
        <w:rPr>
          <w:rFonts w:hint="eastAsia" w:ascii="宋体" w:hAnsi="宋体" w:eastAsia="宋体" w:cs="宋体"/>
          <w:color w:val="auto"/>
          <w:sz w:val="24"/>
          <w:szCs w:val="24"/>
          <w:highlight w:val="none"/>
          <w:lang w:val="en-US" w:eastAsia="zh-CN"/>
        </w:rPr>
        <w:t xml:space="preserve">瑕疵的该条得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分；未提供方案或不满足项目需求书要求或内容存在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处及以上瑕疵的该条得0分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本项满分14分。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质量管理方案及保障措施（</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分）：①产品质量保障方案及措施；②质量控制的方法、工具与重点；③本项目主要技术岗位人员框架与安排；④生产现场管理质量保障措施；⑤原材料采购及保障方案。</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投标供应商须针对上述①、②、③、④、⑤条评分内容分别进行阐述，阐述内容须满足采购需求。</w:t>
      </w:r>
      <w:r>
        <w:rPr>
          <w:rFonts w:hint="eastAsia" w:ascii="宋体" w:hAnsi="宋体" w:eastAsia="宋体" w:cs="宋体"/>
          <w:color w:val="auto"/>
          <w:sz w:val="24"/>
          <w:szCs w:val="24"/>
          <w:highlight w:val="none"/>
          <w:lang w:val="en-US" w:eastAsia="zh-CN"/>
        </w:rPr>
        <w:t xml:space="preserve">内容不存在瑕疵的该条得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分；内容存在</w:t>
      </w:r>
      <w:r>
        <w:rPr>
          <w:rFonts w:hint="eastAsia" w:ascii="宋体" w:hAnsi="宋体" w:cs="宋体"/>
          <w:color w:val="auto"/>
          <w:sz w:val="24"/>
          <w:szCs w:val="24"/>
          <w:highlight w:val="none"/>
          <w:lang w:val="en-US" w:eastAsia="zh-CN"/>
        </w:rPr>
        <w:t xml:space="preserve">1处</w:t>
      </w:r>
      <w:r>
        <w:rPr>
          <w:rFonts w:hint="eastAsia" w:ascii="宋体" w:hAnsi="宋体" w:eastAsia="宋体" w:cs="宋体"/>
          <w:color w:val="auto"/>
          <w:sz w:val="24"/>
          <w:szCs w:val="24"/>
          <w:highlight w:val="none"/>
          <w:lang w:val="en-US" w:eastAsia="zh-CN"/>
        </w:rPr>
        <w:t xml:space="preserve">瑕疵的该条得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分；未提供方案或不满足项目需求书要求或内容存在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处及以上瑕疵的该条得0分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本项满分10分</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售后服务管理及措施（</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分）：①售后服务承诺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包括</w:t>
      </w:r>
      <w:r>
        <w:rPr>
          <w:rFonts w:hint="eastAsia" w:ascii="宋体" w:hAnsi="宋体" w:eastAsia="宋体" w:cs="宋体"/>
          <w:color w:val="auto"/>
          <w:sz w:val="24"/>
          <w:szCs w:val="24"/>
          <w:highlight w:val="none"/>
        </w:rPr>
        <w:t xml:space="preserve">产品质量保证承诺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故障解决能力等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；②</w:t>
      </w:r>
      <w:r>
        <w:rPr>
          <w:rFonts w:hint="eastAsia" w:ascii="宋体" w:hAnsi="宋体" w:eastAsia="宋体" w:cs="宋体"/>
          <w:color w:val="auto"/>
          <w:sz w:val="24"/>
          <w:szCs w:val="24"/>
          <w:highlight w:val="none"/>
        </w:rPr>
        <w:t xml:space="preserve">应急服务响应时间</w:t>
      </w:r>
      <w:r>
        <w:rPr>
          <w:rFonts w:hint="eastAsia" w:ascii="宋体" w:hAnsi="宋体" w:cs="宋体"/>
          <w:color w:val="auto"/>
          <w:sz w:val="24"/>
          <w:highlight w:val="none"/>
        </w:rPr>
        <w:t xml:space="preserve">；③</w:t>
      </w:r>
      <w:r>
        <w:rPr>
          <w:rFonts w:hint="eastAsia" w:ascii="宋体" w:hAnsi="宋体" w:cs="宋体"/>
          <w:color w:val="auto"/>
          <w:sz w:val="24"/>
          <w:highlight w:val="none"/>
          <w:lang w:val="en-US" w:eastAsia="zh-CN"/>
        </w:rPr>
        <w:t xml:space="preserve">售后服务人员保障及管理体系；④</w:t>
      </w:r>
      <w:r>
        <w:rPr>
          <w:rFonts w:hint="eastAsia" w:ascii="宋体" w:hAnsi="宋体" w:eastAsia="宋体" w:cs="宋体"/>
          <w:color w:val="auto"/>
          <w:sz w:val="24"/>
          <w:szCs w:val="24"/>
          <w:highlight w:val="none"/>
        </w:rPr>
        <w:t xml:space="preserve">现场服务措施</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⑤</w:t>
      </w:r>
      <w:r>
        <w:rPr>
          <w:rFonts w:hint="eastAsia" w:ascii="宋体" w:hAnsi="宋体" w:eastAsia="宋体" w:cs="宋体"/>
          <w:color w:val="auto"/>
          <w:sz w:val="24"/>
          <w:szCs w:val="24"/>
          <w:highlight w:val="none"/>
        </w:rPr>
        <w:t xml:space="preserve">售后服务流程介绍</w:t>
      </w:r>
      <w:r>
        <w:rPr>
          <w:rFonts w:hint="eastAsia" w:ascii="宋体" w:hAnsi="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投标供应商须针对上述①、②、③、④</w:t>
      </w:r>
      <w:r>
        <w:rPr>
          <w:rFonts w:hint="eastAsia" w:ascii="宋体" w:hAnsi="宋体" w:cs="宋体"/>
          <w:color w:val="auto"/>
          <w:sz w:val="24"/>
          <w:highlight w:val="none"/>
        </w:rPr>
        <w:t xml:space="preserve">、⑤</w:t>
      </w:r>
      <w:r>
        <w:rPr>
          <w:rFonts w:hint="eastAsia" w:ascii="宋体" w:hAnsi="宋体" w:eastAsia="宋体" w:cs="宋体"/>
          <w:color w:val="auto"/>
          <w:sz w:val="24"/>
          <w:highlight w:val="none"/>
        </w:rPr>
        <w:t xml:space="preserve">条评分内容分别进行阐述，阐述内容须满足采购需求。</w:t>
      </w:r>
      <w:r>
        <w:rPr>
          <w:rFonts w:hint="eastAsia" w:ascii="宋体" w:hAnsi="宋体" w:eastAsia="宋体" w:cs="宋体"/>
          <w:color w:val="auto"/>
          <w:sz w:val="24"/>
          <w:highlight w:val="none"/>
          <w:lang w:val="en-US" w:eastAsia="zh-CN"/>
        </w:rPr>
        <w:t xml:space="preserve">内容不存在瑕疵的该条得2分；内容存在1处瑕疵的该条得1分；未提供方案或不满足项目需求书要求或内容存在2处及以上瑕疵的该条得0分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本项满分</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分。</w:t>
      </w:r>
      <w:r/>
    </w:p>
    <w:p>
      <w:pPr>
        <w:ind w:firstLine="482"/>
        <w:spacing w:line="440" w:lineRule="exact"/>
        <w:rPr>
          <w:rFonts w:hint="eastAsia"/>
          <w:color w:val="auto"/>
          <w:highlight w:val="none"/>
        </w:rPr>
      </w:pPr>
      <w:r>
        <w:rPr>
          <w:rFonts w:hint="eastAsia" w:ascii="宋体" w:hAnsi="宋体" w:eastAsia="宋体" w:cs="宋体"/>
          <w:b/>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440" w:lineRule="exact"/>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）政策加分（</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投标供应商所投产品属于节能产品政府采购品目清单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出具的、处于有效期之内的节能产品认证证书、环境标志产品认证证书。有1项得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注：同一产品同时具备节能产品认证证书、环境标志产品认证证书的，不重复计分。投标时提供认证证书扫描件。</w:t>
      </w:r>
      <w:r/>
    </w:p>
    <w:p>
      <w:pPr>
        <w:contextualSpacing/>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r>
        <w:rPr>
          <w:rFonts w:hint="eastAsia" w:ascii="宋体" w:hAnsi="宋体" w:eastAsia="宋体" w:cs="Times New Roman"/>
          <w:bCs/>
          <w:color w:val="auto"/>
          <w:sz w:val="24"/>
          <w:szCs w:val="24"/>
          <w:highlight w:val="none"/>
          <w:lang w:val="en-US" w:eastAsia="zh-CN"/>
        </w:rPr>
        <w:t xml:space="preserve">。</w:t>
      </w:r>
      <w:r/>
    </w:p>
    <w:p>
      <w:pPr>
        <w:pStyle w:val="1037"/>
        <w:ind w:left="0" w:right="0" w:firstLine="480"/>
        <w:jc w:val="left"/>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1037"/>
        <w:ind w:left="0"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未列入本评分细则的其他条件不作为评分内容。</w:t>
      </w:r>
      <w:r/>
    </w:p>
    <w:p>
      <w:pPr>
        <w:pStyle w:val="1037"/>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Style w:val="1037"/>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宋体" w:hAnsi="宋体" w:eastAsia="宋体" w:cs="宋体"/>
          <w:color w:val="auto"/>
          <w:sz w:val="24"/>
          <w:szCs w:val="24"/>
          <w:highlight w:val="none"/>
          <w:lang w:val="en-US" w:eastAsia="zh-CN"/>
        </w:rPr>
      </w:r>
      <w:r/>
    </w:p>
    <w:p>
      <w:pPr>
        <w:jc w:val="left"/>
        <w:keepLines w:val="0"/>
        <w:keepNext w:val="0"/>
        <w:pageBreakBefore w:val="0"/>
        <w:spacing w:line="360" w:lineRule="auto"/>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附件二：投标文件格式</w:t>
      </w:r>
      <w:r/>
    </w:p>
    <w:p>
      <w:pPr>
        <w:rPr>
          <w:rFonts w:ascii="黑体" w:eastAsia="黑体"/>
          <w:bCs/>
          <w:color w:val="auto"/>
          <w:sz w:val="32"/>
          <w:highlight w:val="none"/>
        </w:rPr>
        <w:outlineLvl w:val="9"/>
      </w:pPr>
      <w:r>
        <w:rPr>
          <w:rFonts w:ascii="黑体" w:eastAsia="黑体"/>
          <w:bCs/>
          <w:color w:val="auto"/>
          <w:sz w:val="32"/>
          <w:highlight w:val="none"/>
        </w:rPr>
      </w:r>
      <w:r/>
    </w:p>
    <w:p>
      <w:pPr>
        <w:rPr>
          <w:rFonts w:ascii="黑体" w:eastAsia="黑体"/>
          <w:bCs/>
          <w:color w:val="auto"/>
          <w:sz w:val="32"/>
          <w:highlight w:val="none"/>
        </w:rPr>
        <w:outlineLvl w:val="9"/>
      </w:pPr>
      <w:r>
        <w:rPr>
          <w:rFonts w:ascii="黑体" w:eastAsia="黑体"/>
          <w:bCs/>
          <w:color w:val="auto"/>
          <w:sz w:val="32"/>
          <w:highlight w:val="none"/>
        </w:rPr>
      </w:r>
      <w:r/>
    </w:p>
    <w:p>
      <w:pPr>
        <w:jc w:val="center"/>
        <w:rPr>
          <w:rFonts w:ascii="黑体" w:eastAsia="黑体"/>
          <w:bCs/>
          <w:color w:val="auto"/>
          <w:sz w:val="52"/>
          <w:szCs w:val="52"/>
          <w:highlight w:val="none"/>
        </w:rPr>
        <w:outlineLvl w:val="9"/>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outlineLvl w:val="9"/>
      </w:pPr>
      <w:r>
        <w:rPr>
          <w:rFonts w:ascii="黑体" w:eastAsia="黑体"/>
          <w:bCs/>
          <w:color w:val="auto"/>
          <w:sz w:val="72"/>
          <w:highlight w:val="none"/>
        </w:rPr>
      </w:r>
      <w:r/>
    </w:p>
    <w:p>
      <w:pPr>
        <w:jc w:val="center"/>
        <w:rPr>
          <w:rFonts w:ascii="黑体" w:eastAsia="黑体"/>
          <w:bCs/>
          <w:color w:val="auto"/>
          <w:sz w:val="52"/>
          <w:szCs w:val="52"/>
          <w:highlight w:val="none"/>
        </w:rPr>
        <w:outlineLvl w:val="9"/>
      </w:pPr>
      <w:r>
        <w:rPr>
          <w:rFonts w:hint="eastAsia" w:ascii="黑体" w:eastAsia="黑体"/>
          <w:bCs/>
          <w:color w:val="auto"/>
          <w:sz w:val="52"/>
          <w:szCs w:val="52"/>
          <w:highlight w:val="none"/>
        </w:rPr>
        <w:t xml:space="preserve">标</w:t>
      </w:r>
      <w:r/>
    </w:p>
    <w:p>
      <w:pPr>
        <w:jc w:val="center"/>
        <w:rPr>
          <w:rFonts w:ascii="黑体" w:hAnsi="Times New Roman" w:eastAsia="黑体" w:cs="Times New Roman"/>
          <w:bCs/>
          <w:color w:val="auto"/>
          <w:sz w:val="72"/>
          <w:highlight w:val="none"/>
        </w:rPr>
        <w:outlineLvl w:val="9"/>
      </w:pPr>
      <w:r>
        <w:rPr>
          <w:rFonts w:ascii="黑体" w:hAnsi="Times New Roman" w:eastAsia="黑体" w:cs="Times New Roman"/>
          <w:bCs/>
          <w:color w:val="auto"/>
          <w:sz w:val="72"/>
          <w:highlight w:val="none"/>
        </w:rPr>
      </w:r>
      <w:r/>
    </w:p>
    <w:p>
      <w:pPr>
        <w:jc w:val="center"/>
        <w:rPr>
          <w:rFonts w:ascii="黑体" w:eastAsia="黑体"/>
          <w:bCs/>
          <w:color w:val="auto"/>
          <w:sz w:val="52"/>
          <w:szCs w:val="52"/>
          <w:highlight w:val="none"/>
        </w:rPr>
        <w:outlineLvl w:val="9"/>
      </w:pPr>
      <w:r>
        <w:rPr>
          <w:rFonts w:hint="eastAsia" w:ascii="黑体" w:eastAsia="黑体"/>
          <w:bCs/>
          <w:color w:val="auto"/>
          <w:sz w:val="52"/>
          <w:szCs w:val="52"/>
          <w:highlight w:val="none"/>
        </w:rPr>
        <w:t xml:space="preserve">文</w:t>
      </w:r>
      <w:r/>
    </w:p>
    <w:p>
      <w:pPr>
        <w:jc w:val="center"/>
        <w:rPr>
          <w:rFonts w:ascii="黑体" w:hAnsi="Times New Roman" w:eastAsia="黑体" w:cs="Times New Roman"/>
          <w:bCs/>
          <w:color w:val="auto"/>
          <w:sz w:val="72"/>
          <w:highlight w:val="none"/>
        </w:rPr>
        <w:outlineLvl w:val="9"/>
      </w:pPr>
      <w:r>
        <w:rPr>
          <w:rFonts w:ascii="黑体" w:hAnsi="Times New Roman" w:eastAsia="黑体" w:cs="Times New Roman"/>
          <w:bCs/>
          <w:color w:val="auto"/>
          <w:sz w:val="72"/>
          <w:highlight w:val="none"/>
        </w:rPr>
      </w:r>
      <w:r/>
    </w:p>
    <w:p>
      <w:pPr>
        <w:jc w:val="center"/>
        <w:rPr>
          <w:rFonts w:ascii="黑体" w:eastAsia="黑体"/>
          <w:bCs/>
          <w:color w:val="auto"/>
          <w:sz w:val="52"/>
          <w:szCs w:val="52"/>
          <w:highlight w:val="none"/>
        </w:rPr>
        <w:outlineLvl w:val="9"/>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outlineLvl w:val="9"/>
      </w:pPr>
      <w:r>
        <w:rPr>
          <w:rFonts w:ascii="楷体_GB2312" w:eastAsia="楷体_GB2312"/>
          <w:bCs/>
          <w:color w:val="auto"/>
          <w:sz w:val="72"/>
          <w:highlight w:val="none"/>
        </w:rPr>
      </w:r>
      <w:r/>
    </w:p>
    <w:p>
      <w:pPr>
        <w:rPr>
          <w:rFonts w:ascii="楷体_GB2312" w:eastAsia="楷体_GB2312"/>
          <w:bCs/>
          <w:color w:val="auto"/>
          <w:sz w:val="28"/>
          <w:highlight w:val="none"/>
        </w:rPr>
        <w:outlineLvl w:val="9"/>
      </w:pPr>
      <w:r>
        <w:rPr>
          <w:rFonts w:ascii="楷体_GB2312" w:eastAsia="楷体_GB2312"/>
          <w:bCs/>
          <w:color w:val="auto"/>
          <w:sz w:val="28"/>
          <w:highlight w:val="none"/>
        </w:rPr>
      </w:r>
      <w:r/>
    </w:p>
    <w:p>
      <w:pPr>
        <w:ind w:firstLine="560"/>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采购项目编号：</w:t>
      </w:r>
      <w:r/>
    </w:p>
    <w:p>
      <w:pPr>
        <w:ind w:firstLine="560"/>
        <w:rPr>
          <w:rFonts w:hint="eastAsia" w:ascii="黑体" w:eastAsia="黑体"/>
          <w:bCs/>
          <w:color w:val="auto"/>
          <w:sz w:val="28"/>
          <w:szCs w:val="28"/>
          <w:highlight w:val="none"/>
          <w:lang w:eastAsia="zh-CN"/>
        </w:rPr>
        <w:outlineLvl w:val="9"/>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江苏省锡东高级中学大成分校家具采购项目</w:t>
      </w:r>
      <w:r/>
    </w:p>
    <w:p>
      <w:pPr>
        <w:ind w:firstLine="560"/>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投标供应商：</w:t>
      </w:r>
      <w:r/>
    </w:p>
    <w:p>
      <w:pPr>
        <w:rPr>
          <w:rFonts w:ascii="黑体" w:eastAsia="黑体"/>
          <w:bCs/>
          <w:color w:val="auto"/>
          <w:sz w:val="32"/>
          <w:highlight w:val="none"/>
        </w:rPr>
        <w:outlineLvl w:val="9"/>
      </w:pPr>
      <w:r>
        <w:rPr>
          <w:rFonts w:ascii="黑体" w:eastAsia="黑体"/>
          <w:bCs/>
          <w:color w:val="auto"/>
          <w:sz w:val="32"/>
          <w:highlight w:val="none"/>
        </w:rPr>
      </w:r>
      <w:r/>
    </w:p>
    <w:p>
      <w:pPr>
        <w:jc w:val="center"/>
        <w:rPr>
          <w:rFonts w:hint="eastAsia" w:ascii="黑体" w:eastAsia="黑体"/>
          <w:bCs/>
          <w:color w:val="auto"/>
          <w:sz w:val="36"/>
          <w:szCs w:val="36"/>
          <w:highlight w:val="none"/>
        </w:rPr>
        <w:outlineLvl w:val="9"/>
      </w:pPr>
      <w:r>
        <w:rPr>
          <w:rFonts w:hint="eastAsia" w:ascii="黑体" w:eastAsia="黑体"/>
          <w:bCs/>
          <w:color w:val="auto"/>
          <w:sz w:val="36"/>
          <w:szCs w:val="36"/>
          <w:highlight w:val="none"/>
          <w:lang w:eastAsia="zh-CN"/>
        </w:rPr>
        <w:t xml:space="preserve">二○二</w:t>
      </w:r>
      <w:r>
        <w:rPr>
          <w:rFonts w:hint="eastAsia" w:ascii="黑体" w:eastAsia="黑体"/>
          <w:bCs/>
          <w:color w:val="auto"/>
          <w:sz w:val="36"/>
          <w:szCs w:val="36"/>
          <w:highlight w:val="none"/>
          <w:lang w:val="en-US" w:eastAsia="zh-CN"/>
        </w:rPr>
        <w:t xml:space="preserve">六</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jc w:val="center"/>
        <w:rPr>
          <w:rFonts w:ascii="黑体" w:eastAsia="黑体"/>
          <w:bCs/>
          <w:color w:val="auto"/>
          <w:sz w:val="36"/>
          <w:szCs w:val="36"/>
          <w:highlight w:val="none"/>
        </w:rPr>
        <w:outlineLvl w:val="9"/>
      </w:pPr>
      <w:r>
        <w:rPr>
          <w:rFonts w:ascii="黑体" w:eastAsia="黑体"/>
          <w:bCs/>
          <w:color w:val="auto"/>
          <w:sz w:val="36"/>
          <w:szCs w:val="36"/>
          <w:highlight w:val="none"/>
        </w:rPr>
      </w:r>
      <w:r/>
    </w:p>
    <w:p>
      <w:pPr>
        <w:ind w:firstLine="480"/>
        <w:rPr>
          <w:rFonts w:hint="eastAsia"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bookmarkStart w:id="22" w:name="一．报价函（格式）"/>
      <w:r/>
      <w:bookmarkEnd w:id="22"/>
      <w:r/>
      <w:r/>
    </w:p>
    <w:p>
      <w:pPr>
        <w:rPr>
          <w:rFonts w:ascii="黑体" w:hAnsi="宋体" w:eastAsia="黑体"/>
          <w:bCs/>
          <w:color w:val="auto"/>
          <w:sz w:val="24"/>
          <w:szCs w:val="24"/>
          <w:highlight w:val="none"/>
        </w:rPr>
        <w:outlineLvl w:val="2"/>
      </w:pP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outlineLvl w:val="9"/>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outlineLvl w:val="9"/>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江苏正龙项目管理有限公司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outlineLvl w:val="9"/>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12"/>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94"/>
          <w:bCs/>
          <w:color w:val="auto"/>
          <w:highlight w:val="none"/>
        </w:rPr>
        <w:outlineLvl w:val="9"/>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江苏正龙项目管理有限公司</w:t>
      </w:r>
      <w:r>
        <w:rPr>
          <w:rFonts w:hint="eastAsia" w:ascii="宋体" w:hAnsi="宋体"/>
          <w:bCs/>
          <w:color w:val="auto"/>
          <w:sz w:val="24"/>
          <w:szCs w:val="24"/>
          <w:highlight w:val="none"/>
        </w:rPr>
        <w:t xml:space="preserve">在招标文件中要求的文件、资料。</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我方认为贵中心有权决定中标者。</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outlineLvl w:val="9"/>
      </w:pPr>
      <w:r>
        <w:rPr>
          <w:rFonts w:ascii="宋体"/>
          <w:bCs/>
          <w:color w:val="auto"/>
          <w:sz w:val="24"/>
          <w:szCs w:val="24"/>
          <w:highlight w:val="none"/>
        </w:rPr>
      </w:r>
      <w:r/>
    </w:p>
    <w:p>
      <w:pPr>
        <w:ind w:firstLine="480"/>
        <w:spacing w:line="40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投标供应商（盖章）：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ascii="宋体" w:hAnsi="宋体"/>
          <w:bCs/>
          <w:color w:val="auto"/>
          <w:sz w:val="24"/>
          <w:szCs w:val="24"/>
          <w:highlight w:val="none"/>
        </w:rPr>
        <w:outlineLvl w:val="9"/>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ind w:firstLine="480"/>
        <w:spacing w:line="400" w:lineRule="exact"/>
        <w:rPr>
          <w:rFonts w:ascii="宋体" w:hAnsi="宋体"/>
          <w:bCs/>
          <w:color w:val="auto"/>
          <w:sz w:val="24"/>
          <w:szCs w:val="24"/>
          <w:highlight w:val="none"/>
        </w:rPr>
        <w:outlineLvl w:val="9"/>
      </w:pPr>
      <w:r>
        <w:rPr>
          <w:rFonts w:ascii="宋体" w:hAnsi="宋体"/>
          <w:bCs/>
          <w:color w:val="auto"/>
          <w:sz w:val="24"/>
          <w:szCs w:val="24"/>
          <w:highlight w:val="none"/>
        </w:rPr>
      </w:r>
      <w:r/>
    </w:p>
    <w:p>
      <w:pPr>
        <w:ind w:firstLine="480"/>
        <w:rPr>
          <w:rFonts w:hint="eastAsia"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auto"/>
          <w:sz w:val="24"/>
          <w:szCs w:val="24"/>
          <w:highlight w:val="non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（二）（投标供应商）关于资格的声明函（格式）：</w:t>
      </w:r>
      <w:r/>
    </w:p>
    <w:p>
      <w:pPr>
        <w:spacing w:line="360" w:lineRule="auto"/>
        <w:rPr>
          <w:rFonts w:ascii="黑体" w:eastAsia="黑体"/>
          <w:bCs/>
          <w:color w:val="auto"/>
          <w:sz w:val="36"/>
          <w:highlight w:val="none"/>
        </w:rPr>
        <w:outlineLvl w:val="9"/>
      </w:pPr>
      <w:r>
        <w:rPr>
          <w:rFonts w:ascii="黑体" w:eastAsia="黑体"/>
          <w:bCs/>
          <w:color w:val="auto"/>
          <w:sz w:val="36"/>
          <w:highlight w:val="none"/>
        </w:rPr>
      </w:r>
      <w:r/>
    </w:p>
    <w:p>
      <w:pPr>
        <w:jc w:val="center"/>
        <w:rPr>
          <w:rFonts w:ascii="黑体" w:eastAsia="黑体"/>
          <w:bCs/>
          <w:color w:val="auto"/>
          <w:sz w:val="28"/>
          <w:szCs w:val="28"/>
          <w:highlight w:val="none"/>
        </w:rPr>
        <w:outlineLvl w:val="9"/>
      </w:pPr>
      <w:r/>
      <w:bookmarkStart w:id="23" w:name="报价方关于资格的声明函（格式）"/>
      <w:r/>
      <w:bookmarkEnd w:id="23"/>
      <w:r>
        <w:rPr>
          <w:rFonts w:hint="eastAsia" w:ascii="黑体" w:eastAsia="黑体"/>
          <w:bCs/>
          <w:color w:val="auto"/>
          <w:sz w:val="28"/>
          <w:szCs w:val="28"/>
          <w:highlight w:val="none"/>
        </w:rPr>
        <w:t xml:space="preserve">关于资格的声明函</w:t>
      </w:r>
      <w:r/>
    </w:p>
    <w:p>
      <w:pPr>
        <w:jc w:val="center"/>
        <w:spacing w:line="480" w:lineRule="auto"/>
        <w:rPr>
          <w:rFonts w:ascii="宋体"/>
          <w:bCs/>
          <w:color w:val="auto"/>
          <w:sz w:val="24"/>
          <w:szCs w:val="24"/>
          <w:highlight w:val="none"/>
        </w:rPr>
        <w:outlineLvl w:val="9"/>
      </w:pP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outlineLvl w:val="9"/>
      </w:pPr>
      <w:r>
        <w:rPr>
          <w:rFonts w:hint="eastAsia" w:ascii="宋体" w:hAnsi="宋体"/>
          <w:bCs/>
          <w:color w:val="auto"/>
          <w:sz w:val="24"/>
          <w:szCs w:val="24"/>
          <w:highlight w:val="none"/>
          <w:lang w:eastAsia="zh-CN"/>
        </w:rPr>
        <w:t xml:space="preserve">江苏正龙项目管理有限公司</w:t>
      </w:r>
      <w:r>
        <w:rPr>
          <w:rFonts w:hint="eastAsia" w:ascii="宋体" w:hAnsi="宋体"/>
          <w:bCs/>
          <w:color w:val="auto"/>
          <w:sz w:val="24"/>
          <w:szCs w:val="24"/>
          <w:highlight w:val="none"/>
        </w:rPr>
        <w:t xml:space="preserve">：</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我公司（单位）</w:t>
      </w:r>
      <w:r>
        <w:rPr>
          <w:rFonts w:hint="eastAsia" w:ascii="宋体" w:hAnsi="宋体" w:eastAsia="宋体" w:cs="宋体"/>
          <w:bCs/>
          <w:color w:val="auto"/>
          <w:sz w:val="24"/>
          <w:szCs w:val="24"/>
          <w:highlight w:val="none"/>
        </w:rPr>
        <w:t xml:space="preserve">愿针对本次</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lang w:val="en-US" w:eastAsia="zh-CN"/>
        </w:rPr>
        <w:t xml:space="preserve">项目</w:t>
      </w:r>
      <w:r>
        <w:rPr>
          <w:rFonts w:hint="eastAsia" w:ascii="宋体" w:hAnsi="宋体" w:eastAsia="宋体" w:cs="宋体"/>
          <w:bCs/>
          <w:color w:val="auto"/>
          <w:sz w:val="24"/>
          <w:szCs w:val="24"/>
          <w:highlight w:val="none"/>
        </w:rPr>
        <w:t xml:space="preserve">进行投标</w:t>
      </w:r>
      <w:r>
        <w:rPr>
          <w:rFonts w:hint="eastAsia" w:ascii="宋体" w:hAnsi="宋体" w:cs="宋体"/>
          <w:bCs/>
          <w:color w:val="auto"/>
          <w:sz w:val="24"/>
          <w:highlight w:val="none"/>
        </w:rPr>
        <w:t xml:space="preserve">。</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我公司符合《中华人民共和国政府采购法》第二十二条的规定，在此郑重承诺具备以下条件：</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（一）具有独立承担民事责任的能力；</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（二）具有良好的商业信誉和健全的财务会计制度；</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（三）具有履行合同所必需的设备和专业技术能力；</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（四）有依法缴纳税收和社会保障资金的良好记录；</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（五）近三年内，在经营活动中没有重大违法记录；</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（六）投标文件中所有关于投标资格的文件、证明、陈述均是真实的、准确的。</w:t>
      </w:r>
      <w:r/>
    </w:p>
    <w:p>
      <w:pPr>
        <w:ind w:firstLine="480"/>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若有违背，我公司（单位）愿意承担由此而产生的一切后果。</w:t>
      </w:r>
      <w:r/>
    </w:p>
    <w:p>
      <w:pPr>
        <w:spacing w:line="460" w:lineRule="exact"/>
        <w:rPr>
          <w:rFonts w:ascii="宋体" w:hAnsi="宋体" w:cs="宋体"/>
          <w:bCs/>
          <w:color w:val="auto"/>
          <w:sz w:val="24"/>
          <w:highlight w:val="none"/>
        </w:rPr>
      </w:pPr>
      <w:r>
        <w:rPr>
          <w:rFonts w:ascii="宋体" w:hAnsi="宋体" w:cs="宋体"/>
          <w:bCs/>
          <w:color w:val="auto"/>
          <w:sz w:val="24"/>
          <w:highlight w:val="none"/>
        </w:rPr>
      </w:r>
      <w:r/>
    </w:p>
    <w:p>
      <w:pPr>
        <w:pStyle w:val="1125"/>
        <w:spacing w:line="460" w:lineRule="exact"/>
        <w:rPr>
          <w:rFonts w:ascii="宋体" w:hAnsi="宋体" w:cs="宋体"/>
          <w:bCs/>
          <w:color w:val="auto"/>
          <w:sz w:val="24"/>
          <w:highlight w:val="none"/>
        </w:rPr>
      </w:pPr>
      <w:r>
        <w:rPr>
          <w:rFonts w:ascii="宋体" w:hAnsi="宋体" w:cs="宋体"/>
          <w:bCs/>
          <w:color w:val="auto"/>
          <w:sz w:val="24"/>
          <w:highlight w:val="none"/>
        </w:rPr>
      </w:r>
      <w:r/>
    </w:p>
    <w:p>
      <w:pPr>
        <w:pStyle w:val="1125"/>
        <w:spacing w:line="460" w:lineRule="exact"/>
        <w:rPr>
          <w:rFonts w:ascii="宋体" w:hAnsi="宋体" w:cs="宋体"/>
          <w:bCs/>
          <w:color w:val="auto"/>
          <w:sz w:val="24"/>
          <w:highlight w:val="none"/>
        </w:rPr>
      </w:pPr>
      <w:r>
        <w:rPr>
          <w:rFonts w:ascii="宋体" w:hAnsi="宋体" w:cs="宋体"/>
          <w:bCs/>
          <w:color w:val="auto"/>
          <w:sz w:val="24"/>
          <w:highlight w:val="none"/>
        </w:rPr>
      </w:r>
      <w:r/>
    </w:p>
    <w:p>
      <w:pPr>
        <w:pStyle w:val="1125"/>
        <w:spacing w:line="460" w:lineRule="exact"/>
        <w:rPr>
          <w:rFonts w:ascii="宋体" w:hAnsi="宋体" w:cs="宋体"/>
          <w:bCs/>
          <w:color w:val="auto"/>
          <w:sz w:val="24"/>
          <w:highlight w:val="none"/>
        </w:rPr>
      </w:pPr>
      <w:r>
        <w:rPr>
          <w:rFonts w:ascii="宋体" w:hAnsi="宋体" w:cs="宋体"/>
          <w:bCs/>
          <w:color w:val="auto"/>
          <w:sz w:val="24"/>
          <w:highlight w:val="none"/>
        </w:rPr>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日期：</w:t>
      </w:r>
      <w:r/>
    </w:p>
    <w:p>
      <w:pPr>
        <w:ind w:firstLine="480"/>
        <w:rPr>
          <w:rFonts w:ascii="宋体" w:hAnsi="宋体" w:cs="宋体"/>
          <w:bCs/>
          <w:color w:val="auto"/>
          <w:sz w:val="24"/>
          <w:highlight w:val="none"/>
        </w:rPr>
        <w:outlineLvl w:val="0"/>
      </w:pPr>
      <w:r>
        <w:rPr>
          <w:rFonts w:ascii="宋体" w:hAnsi="宋体" w:cs="宋体"/>
          <w:bCs/>
          <w:color w:val="auto"/>
          <w:sz w:val="24"/>
          <w:highlight w:val="none"/>
        </w:rPr>
      </w:r>
      <w:r/>
    </w:p>
    <w:p>
      <w:pPr>
        <w:ind w:firstLine="480"/>
        <w:rPr>
          <w:rFonts w:ascii="宋体" w:hAnsi="宋体" w:cs="宋体"/>
          <w:bCs/>
          <w:color w:val="auto"/>
          <w:sz w:val="24"/>
          <w:highlight w:val="none"/>
        </w:rPr>
        <w:outlineLvl w:val="0"/>
      </w:pPr>
      <w:r>
        <w:rPr>
          <w:rFonts w:ascii="宋体" w:hAnsi="宋体" w:cs="宋体"/>
          <w:bCs/>
          <w:color w:val="auto"/>
          <w:sz w:val="24"/>
          <w:highlight w:val="none"/>
        </w:rPr>
      </w:r>
      <w:r/>
    </w:p>
    <w:p>
      <w:pPr>
        <w:ind w:firstLine="480"/>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（三）（投标供应商）法定代表人授权委托书（格式）：</w:t>
      </w:r>
      <w:r/>
    </w:p>
    <w:p>
      <w:pPr>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法定代表人授权委托书</w:t>
      </w:r>
      <w:r/>
    </w:p>
    <w:p>
      <w:pPr>
        <w:spacing w:line="48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spacing w:line="48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采购项目编号：</w:t>
      </w:r>
      <w:r/>
    </w:p>
    <w:p>
      <w:pPr>
        <w:jc w:val="center"/>
        <w:spacing w:line="48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日期：</w:t>
      </w:r>
      <w:r/>
    </w:p>
    <w:p>
      <w:pPr>
        <w:spacing w:line="600" w:lineRule="exact"/>
        <w:rPr>
          <w:rFonts w:hint="eastAsia" w:ascii="宋体"/>
          <w:bCs/>
          <w:color w:val="auto"/>
          <w:sz w:val="24"/>
          <w:szCs w:val="24"/>
          <w:highlight w:val="none"/>
        </w:rPr>
        <w:outlineLvl w:val="9"/>
      </w:pPr>
      <w:r>
        <w:rPr>
          <w:rFonts w:hint="eastAsia" w:ascii="宋体" w:hAnsi="宋体"/>
          <w:bCs/>
          <w:color w:val="auto"/>
          <w:sz w:val="24"/>
          <w:szCs w:val="24"/>
          <w:highlight w:val="none"/>
          <w:lang w:eastAsia="zh-CN"/>
        </w:rPr>
        <w:t xml:space="preserve">江苏正龙项目管理有限公司</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outlineLvl w:val="9"/>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val="en-US" w:eastAsia="zh-CN"/>
        </w:rPr>
        <w:t xml:space="preserve">采购项目编号：                 </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outlineLvl w:val="9"/>
      </w:pPr>
      <w:r>
        <w:rPr>
          <w:rFonts w:ascii="宋体"/>
          <w:bCs/>
          <w:color w:val="auto"/>
          <w:sz w:val="24"/>
          <w:szCs w:val="24"/>
          <w:highlight w:val="none"/>
        </w:rPr>
      </w:r>
      <w:r/>
    </w:p>
    <w:p>
      <w:pPr>
        <w:ind w:firstLine="3240"/>
        <w:spacing w:line="580" w:lineRule="exact"/>
        <w:rPr>
          <w:rFonts w:ascii="宋体"/>
          <w:bCs/>
          <w:color w:val="auto"/>
          <w:sz w:val="24"/>
          <w:szCs w:val="24"/>
          <w:highlight w:val="none"/>
        </w:rPr>
        <w:outlineLvl w:val="9"/>
      </w:pPr>
      <w:r>
        <w:rPr>
          <w:rFonts w:ascii="宋体"/>
          <w:bCs/>
          <w:color w:val="auto"/>
          <w:sz w:val="24"/>
          <w:szCs w:val="24"/>
          <w:highlight w:val="none"/>
        </w:rPr>
      </w:r>
      <w:r/>
    </w:p>
    <w:p>
      <w:pPr>
        <w:ind w:firstLine="3240"/>
        <w:spacing w:line="580" w:lineRule="exact"/>
        <w:rPr>
          <w:rFonts w:asci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outlineLvl w:val="9"/>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outlineLvl w:val="9"/>
      </w:pPr>
      <w:r>
        <w:rPr>
          <w:rFonts w:ascii="宋体"/>
          <w:bCs/>
          <w:color w:val="auto"/>
          <w:sz w:val="24"/>
          <w:szCs w:val="24"/>
          <w:highlight w:val="none"/>
        </w:rPr>
      </w:r>
      <w:r/>
    </w:p>
    <w:p>
      <w:pPr>
        <w:ind w:firstLine="420"/>
        <w:spacing w:line="580" w:lineRule="exact"/>
        <w:rPr>
          <w:rFonts w:ascii="宋体"/>
          <w:bCs/>
          <w:color w:val="auto"/>
          <w:sz w:val="24"/>
          <w:szCs w:val="24"/>
          <w:highlight w:val="none"/>
        </w:rPr>
        <w:outlineLvl w:val="9"/>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供应商法定代表人身份证扫描件：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115" name="文本框 7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upright="1"/>
                    </wps:wsp>
                  </a:graphicData>
                </a:graphic>
              </wp:anchor>
            </w:drawing>
          </mc:Choice>
          <mc:Fallback>
            <w:pict>
              <v:shape id="shape 114" o:spid="_x0000_s114" o:spt="202" type="#_x0000_t202" style="position:absolute;z-index:251661312;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2943860</wp:posOffset>
                </wp:positionH>
                <wp:positionV relativeFrom="paragraph">
                  <wp:posOffset>0</wp:posOffset>
                </wp:positionV>
                <wp:extent cx="2679700" cy="1584960"/>
                <wp:effectExtent l="4445" t="4445" r="13335" b="10795"/>
                <wp:wrapNone/>
                <wp:docPr id="116" name="文本框 71"/>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w="1778" cap="flat" cmpd="sng">
                          <a:solidFill>
                            <a:srgbClr val="000000"/>
                          </a:solidFill>
                          <a:prstDash val="solid"/>
                          <a:round/>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upright="1"/>
                    </wps:wsp>
                  </a:graphicData>
                </a:graphic>
              </wp:anchor>
            </w:drawing>
          </mc:Choice>
          <mc:Fallback>
            <w:pict>
              <v:shape id="shape 115" o:spid="_x0000_s115" o:spt="202" type="#_x0000_t202" style="position:absolute;z-index:251662336;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w:t>
      </w:r>
      <w:r>
        <w:rPr>
          <w:rFonts w:hint="eastAsia" w:ascii="宋体" w:hAnsi="宋体" w:eastAsia="宋体" w:cs="宋体"/>
          <w:b/>
          <w:bCs/>
          <w:color w:val="auto"/>
          <w:sz w:val="24"/>
          <w:szCs w:val="24"/>
          <w:highlight w:val="none"/>
        </w:rPr>
        <w:t xml:space="preserve">人</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szCs w:val="24"/>
          <w:highlight w:val="none"/>
        </w:rPr>
        <w:t xml:space="preserve"> </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102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5"/>
        <w:ind w:firstLine="48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法定代表人授权代表身份证扫描件：（法定代表人亲自参与投标的除外）</w:t>
      </w:r>
      <w:r/>
    </w:p>
    <w:p>
      <w:pPr>
        <w:pStyle w:val="10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5"/>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17" name="文本框 75"/>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upright="1"/>
                    </wps:wsp>
                  </a:graphicData>
                </a:graphic>
              </wp:anchor>
            </w:drawing>
          </mc:Choice>
          <mc:Fallback>
            <w:pict>
              <v:shape id="shape 116" o:spid="_x0000_s116" o:spt="202" type="#_x0000_t202" style="position:absolute;z-index:251663360;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8" name="文本框 68"/>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w="1778" cap="flat" cmpd="sng">
                          <a:solidFill>
                            <a:srgbClr val="000000"/>
                          </a:solidFill>
                          <a:prstDash val="solid"/>
                          <a:round/>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upright="1"/>
                    </wps:wsp>
                  </a:graphicData>
                </a:graphic>
              </wp:anchor>
            </w:drawing>
          </mc:Choice>
          <mc:Fallback>
            <w:pict>
              <v:shape id="shape 117" o:spid="_x0000_s117" o:spt="202" type="#_x0000_t202" style="position:absolute;z-index:251664384;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strokeweight="0.14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pStyle w:val="102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2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1087"/>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5"/>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ind w:firstLine="480"/>
        <w:rPr>
          <w:rFonts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ascii="黑体" w:hAnsi="宋体" w:eastAsia="黑体"/>
          <w:bCs/>
          <w:color w:val="auto"/>
          <w:sz w:val="24"/>
          <w:szCs w:val="24"/>
          <w:highlight w:val="non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（四）（投标供应商）中小企业声明函（格式）：</w:t>
      </w:r>
      <w:r/>
    </w:p>
    <w:p>
      <w:pPr>
        <w:spacing w:line="48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9"/>
      </w:pPr>
      <w:r>
        <w:rPr>
          <w:rFonts w:ascii="黑体" w:eastAsia="黑体"/>
          <w:bCs/>
          <w:color w:val="auto"/>
          <w:sz w:val="28"/>
          <w:szCs w:val="28"/>
          <w:highlight w:val="none"/>
        </w:rPr>
        <w:t xml:space="preserve">中小企业声明函（</w:t>
      </w:r>
      <w:r>
        <w:rPr>
          <w:rFonts w:hint="eastAsia" w:ascii="黑体" w:eastAsia="黑体"/>
          <w:bCs/>
          <w:color w:val="auto"/>
          <w:sz w:val="28"/>
          <w:szCs w:val="28"/>
          <w:highlight w:val="none"/>
        </w:rPr>
        <w:t xml:space="preserve">货物</w:t>
      </w:r>
      <w:r>
        <w:rPr>
          <w:rFonts w:ascii="黑体" w:eastAsia="黑体"/>
          <w:bCs/>
          <w:color w:val="auto"/>
          <w:sz w:val="28"/>
          <w:szCs w:val="28"/>
          <w:highlight w:val="none"/>
        </w:rPr>
        <w:t xml:space="preserve">）</w:t>
      </w:r>
      <w:r/>
    </w:p>
    <w:p>
      <w:pPr>
        <w:ind w:firstLine="480"/>
        <w:jc w:val="left"/>
        <w:spacing w:line="360" w:lineRule="auto"/>
        <w:widowControl/>
        <w:rPr>
          <w:rFonts w:hint="eastAsia" w:ascii="宋体" w:hAnsi="宋体" w:eastAsia="宋体" w:cs="宋体"/>
          <w:color w:val="auto"/>
          <w:sz w:val="24"/>
          <w:highlight w:val="none"/>
        </w:rPr>
      </w:pPr>
      <w:r>
        <w:rPr>
          <w:rFonts w:ascii="宋体" w:hAnsi="宋体"/>
          <w:bCs/>
          <w:color w:val="auto"/>
          <w:sz w:val="24"/>
          <w:szCs w:val="24"/>
          <w:highlight w:val="none"/>
        </w:rPr>
        <w:t xml:space="preserve">本</w:t>
      </w:r>
      <w:r>
        <w:rPr>
          <w:rFonts w:hint="eastAsia" w:ascii="宋体" w:hAnsi="宋体" w:eastAsia="宋体" w:cs="宋体"/>
          <w:color w:val="auto"/>
          <w:sz w:val="24"/>
          <w:highlight w:val="none"/>
          <w:lang w:bidi="ar"/>
        </w:rPr>
        <w:t xml:space="preserve">公司（联合体）郑重声明，根据《政府采购促进中小企业发展管理办法》（财库﹝2020﹞46 号）的规定，本公司</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参加</w:t>
      </w:r>
      <w:r>
        <w:rPr>
          <w:rFonts w:hint="eastAsia" w:ascii="宋体" w:hAnsi="宋体" w:eastAsia="宋体" w:cs="宋体"/>
          <w:i/>
          <w:color w:val="auto"/>
          <w:sz w:val="24"/>
          <w:highlight w:val="none"/>
          <w:u w:val="single"/>
          <w:lang w:bidi="ar"/>
        </w:rPr>
        <w:t xml:space="preserve">（单位名称）</w:t>
      </w:r>
      <w:r>
        <w:rPr>
          <w:rFonts w:hint="eastAsia" w:ascii="宋体" w:hAnsi="宋体" w:eastAsia="宋体" w:cs="宋体"/>
          <w:color w:val="auto"/>
          <w:sz w:val="24"/>
          <w:highlight w:val="none"/>
          <w:lang w:bidi="ar"/>
        </w:rPr>
        <w:t xml:space="preserve">的</w:t>
      </w:r>
      <w:r>
        <w:rPr>
          <w:rFonts w:hint="eastAsia" w:ascii="宋体" w:hAnsi="宋体" w:eastAsia="宋体" w:cs="宋体"/>
          <w:i/>
          <w:color w:val="auto"/>
          <w:sz w:val="24"/>
          <w:highlight w:val="none"/>
          <w:u w:val="single"/>
          <w:lang w:bidi="ar"/>
        </w:rPr>
        <w:t xml:space="preserve">（项目名称）</w:t>
      </w:r>
      <w:r>
        <w:rPr>
          <w:rFonts w:hint="eastAsia" w:ascii="宋体" w:hAnsi="宋体" w:eastAsia="宋体" w:cs="宋体"/>
          <w:color w:val="auto"/>
          <w:sz w:val="24"/>
          <w:highlight w:val="none"/>
          <w:lang w:bidi="ar"/>
        </w:rPr>
        <w:t xml:space="preserve">采购活动，</w:t>
      </w:r>
      <w:r>
        <w:rPr>
          <w:rFonts w:hint="eastAsia" w:ascii="宋体" w:hAnsi="宋体" w:eastAsia="宋体" w:cs="宋体"/>
          <w:color w:val="auto"/>
          <w:sz w:val="24"/>
          <w:highlight w:val="none"/>
        </w:rPr>
        <w:t xml:space="preserve">提供的货物全部由符合政策要求的中小企业制造。企业的具体情况如下</w:t>
      </w:r>
      <w:r>
        <w:rPr>
          <w:rFonts w:hint="eastAsia" w:ascii="宋体" w:hAnsi="宋体" w:eastAsia="宋体" w:cs="宋体"/>
          <w:color w:val="auto"/>
          <w:sz w:val="24"/>
          <w:highlight w:val="none"/>
          <w:lang w:bidi="ar"/>
        </w:rPr>
        <w:t xml:space="preserve">：</w:t>
      </w:r>
      <w:r/>
    </w:p>
    <w:p>
      <w:pPr>
        <w:numPr>
          <w:ilvl w:val="0"/>
          <w:numId w:val="0"/>
        </w:num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SA"/>
        </w:rPr>
        <w:t xml:space="preserve">1.</w:t>
      </w:r>
      <w:r>
        <w:rPr>
          <w:rFonts w:hint="eastAsia" w:ascii="宋体" w:hAnsi="宋体" w:eastAsia="宋体" w:cs="宋体"/>
          <w:color w:val="auto"/>
          <w:sz w:val="24"/>
          <w:highlight w:val="none"/>
          <w:u w:val="single"/>
          <w:lang w:bidi="ar"/>
        </w:rPr>
        <w:t xml:space="preserve">    （标的名称）</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（采购文件中明确的所属行业）行业；制造商为</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（企业名称），从业人员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 ，属于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（中型企业、小型企业、微型企业）；</w:t>
      </w:r>
      <w:r/>
    </w:p>
    <w:p>
      <w:pPr>
        <w:numPr>
          <w:ilvl w:val="0"/>
          <w:numId w:val="0"/>
        </w:num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ar-SA"/>
        </w:rPr>
        <w:t xml:space="preserve">2.</w:t>
      </w:r>
      <w:r>
        <w:rPr>
          <w:rFonts w:hint="eastAsia" w:ascii="宋体" w:hAnsi="宋体" w:eastAsia="宋体" w:cs="宋体"/>
          <w:color w:val="auto"/>
          <w:sz w:val="24"/>
          <w:highlight w:val="none"/>
          <w:u w:val="single"/>
          <w:lang w:bidi="ar"/>
        </w:rPr>
        <w:t xml:space="preserve">    （标的名称</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（采购文件中明确的所属行业）行业；制造商为</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（企业名称），从业人员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 ，属于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（中型企业、小型企业、微型企业）；</w:t>
      </w:r>
      <w:r/>
    </w:p>
    <w:p>
      <w:pPr>
        <w:numPr>
          <w:ilvl w:val="0"/>
          <w:numId w:val="0"/>
        </w:numPr>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u w:val="single"/>
          <w:lang w:bidi="ar"/>
        </w:rPr>
        <w:t xml:space="preserve">    （标的名称），属于    （采购文件中明确的所属行业）行业；制造商为        </w:t>
      </w:r>
      <w:r/>
    </w:p>
    <w:p>
      <w:pPr>
        <w:numPr>
          <w:ilvl w:val="0"/>
          <w:numId w:val="0"/>
        </w:numPr>
        <w:jc w:val="left"/>
        <w:spacing w:line="360" w:lineRule="auto"/>
        <w:widowControl/>
        <w:rPr>
          <w:rFonts w:hint="eastAsia" w:ascii="宋体" w:hAnsi="宋体" w:eastAsia="宋体" w:cs="宋体"/>
          <w:color w:val="auto"/>
          <w:sz w:val="24"/>
          <w:highlight w:val="none"/>
          <w:u w:val="single"/>
          <w:lang w:eastAsia="zh-CN" w:bidi="ar"/>
        </w:rPr>
      </w:pPr>
      <w:r>
        <w:rPr>
          <w:rFonts w:hint="eastAsia" w:ascii="宋体" w:hAnsi="宋体" w:eastAsia="宋体" w:cs="宋体"/>
          <w:color w:val="auto"/>
          <w:sz w:val="24"/>
          <w:highlight w:val="none"/>
          <w:lang w:bidi="ar"/>
        </w:rPr>
        <w:t xml:space="preserve">（企业名称），从业人员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 ，属于</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（中型企业、小型企业、微型企业）</w:t>
      </w:r>
      <w:r>
        <w:rPr>
          <w:rFonts w:hint="eastAsia" w:ascii="宋体" w:hAnsi="宋体" w:eastAsia="宋体" w:cs="宋体"/>
          <w:color w:val="auto"/>
          <w:sz w:val="24"/>
          <w:highlight w:val="none"/>
          <w:u w:val="none"/>
          <w:lang w:eastAsia="zh-CN" w:bidi="ar"/>
        </w:rPr>
        <w:t xml:space="preserve">；</w:t>
      </w:r>
      <w:r/>
    </w:p>
    <w:p>
      <w:pPr>
        <w:numPr>
          <w:ilvl w:val="0"/>
          <w:numId w:val="0"/>
        </w:numPr>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cs="宋体"/>
          <w:color w:val="auto"/>
          <w:sz w:val="24"/>
          <w:highlight w:val="none"/>
          <w:lang w:val="en-US" w:eastAsia="zh-CN" w:bidi="ar"/>
        </w:rPr>
        <w:t xml:space="preserve"> </w:t>
      </w:r>
      <w:r>
        <w:rPr>
          <w:rFonts w:hint="eastAsia" w:ascii="宋体" w:hAnsi="宋体" w:eastAsia="宋体" w:cs="宋体"/>
          <w:color w:val="auto"/>
          <w:sz w:val="24"/>
          <w:highlight w:val="none"/>
          <w:u w:val="none"/>
          <w:lang w:bidi="ar"/>
        </w:rPr>
        <w:t xml:space="preserve">……</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57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企业名称（盖章）： </w:t>
      </w:r>
      <w:r/>
    </w:p>
    <w:p>
      <w:pPr>
        <w:ind w:firstLine="672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    期：</w:t>
      </w:r>
      <w:r/>
    </w:p>
    <w:p>
      <w:pPr>
        <w:pStyle w:val="833"/>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r/>
    </w:p>
    <w:p>
      <w:pPr>
        <w:ind w:firstLine="42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ind w:firstLine="42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（2）从业人员、营业收入、资产总额填报上一年度数据，无上一年度数据的新成立企业可不填报。</w:t>
      </w:r>
      <w:r/>
    </w:p>
    <w:p>
      <w:pPr>
        <w:ind w:firstLine="42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（3）在货物采购项目中，供应商提供的货物既有中小企业制造货物，也有大型企业制造货物的，不享受本办法规定的中小企业扶持政策。</w:t>
      </w:r>
      <w:r/>
    </w:p>
    <w:p>
      <w:pPr>
        <w:ind w:firstLine="420"/>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
        <w:rPr>
          <w:color w:val="auto"/>
          <w:highlight w:val="none"/>
        </w:rPr>
        <w:outlineLvl w:val="9"/>
      </w:pPr>
      <w:r>
        <w:rPr>
          <w:rFonts w:hint="eastAsia" w:ascii="宋体" w:hAnsi="宋体" w:eastAsia="宋体" w:cs="宋体"/>
          <w:color w:val="auto"/>
          <w:sz w:val="24"/>
          <w:szCs w:val="24"/>
          <w:highlight w:val="none"/>
          <w:lang w:val="en-US" w:eastAsia="zh-CN" w:bidi="ar-SA"/>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而且要和报价明细表等的相关内容相互保持一致。漏填标的、填写的制造商名称与报价明细表不一致、未按采购标的逐项声明等情形，可能会导致《中小企业声明函》被作无效处理，由此带来的后果由供应商自行承担</w:t>
      </w:r>
      <w:r>
        <w:rPr>
          <w:rFonts w:hint="eastAsia"/>
          <w:color w:val="auto"/>
          <w:highlight w:val="none"/>
        </w:rPr>
        <w:t xml:space="preserve">。</w:t>
      </w:r>
      <w:r/>
    </w:p>
    <w:p>
      <w:pPr>
        <w:rPr>
          <w:rFonts w:hint="eastAsia"/>
          <w:color w:val="auto"/>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color w:val="auto"/>
          <w:highlight w:val="non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（五）（投标供应商）残疾人福利性单位声明函（格式）：</w:t>
      </w:r>
      <w:r/>
    </w:p>
    <w:p>
      <w:pPr>
        <w:spacing w:line="480" w:lineRule="auto"/>
        <w:rPr>
          <w:rFonts w:ascii="宋体"/>
          <w:bCs/>
          <w:color w:val="auto"/>
          <w:sz w:val="24"/>
          <w:szCs w:val="24"/>
          <w:highlight w:val="none"/>
        </w:rPr>
        <w:outlineLvl w:val="9"/>
      </w:pPr>
      <w:r>
        <w:rPr>
          <w:rFonts w:ascii="宋体"/>
          <w:bCs/>
          <w:color w:val="auto"/>
          <w:sz w:val="24"/>
          <w:szCs w:val="24"/>
          <w:highlight w:val="none"/>
        </w:rPr>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outlineLvl w:val="9"/>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outlineLvl w:val="9"/>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outlineLvl w:val="9"/>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outlineLvl w:val="9"/>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outlineLvl w:val="9"/>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outlineLvl w:val="9"/>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9"/>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auto"/>
          <w:sz w:val="24"/>
          <w:szCs w:val="24"/>
          <w:highlight w:val="non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（六）服务保障承诺书（格式）：</w:t>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80" w:lineRule="auto"/>
        <w:rPr>
          <w:rFonts w:ascii="宋体" w:hAnsi="宋体"/>
          <w:color w:val="auto"/>
          <w:sz w:val="24"/>
          <w:szCs w:val="24"/>
          <w:highlight w:val="none"/>
        </w:rPr>
        <w:outlineLvl w:val="9"/>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（投标供应商名称）针</w:t>
      </w:r>
      <w:r>
        <w:rPr>
          <w:rFonts w:hint="eastAsia" w:ascii="宋体" w:hAnsi="宋体"/>
          <w:bCs/>
          <w:color w:val="auto"/>
          <w:sz w:val="24"/>
          <w:szCs w:val="24"/>
          <w:highlight w:val="none"/>
        </w:rPr>
        <w:t xml:space="preserve">对本项目（采购项目编号</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outlineLvl w:val="9"/>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对本项目（采购项目编号</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rFonts w:hint="eastAsia" w:ascii="宋体" w:hAnsi="宋体"/>
          <w:bCs/>
          <w:color w:val="auto"/>
          <w:sz w:val="24"/>
          <w:szCs w:val="24"/>
          <w:highlight w:val="none"/>
          <w:u w:val="none"/>
        </w:rPr>
        <w:t xml:space="preserve">www.creditchina.gov.cn</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4、</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outlineLvl w:val="9"/>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outlineLvl w:val="9"/>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outlineLvl w:val="9"/>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法定代表人或法定代表人授权代表签字或盖章：</w:t>
      </w:r>
      <w:r/>
    </w:p>
    <w:p>
      <w:pPr>
        <w:ind w:firstLine="4862"/>
        <w:spacing w:line="480" w:lineRule="auto"/>
        <w:rPr>
          <w:rFonts w:hint="eastAsia" w:ascii="宋体" w:hAnsi="宋体" w:eastAsia="宋体"/>
          <w:bCs/>
          <w:color w:val="auto"/>
          <w:sz w:val="24"/>
          <w:szCs w:val="24"/>
          <w:highlight w:val="none"/>
          <w:lang w:val="en-US" w:eastAsia="zh-CN"/>
        </w:rPr>
        <w:outlineLvl w:val="9"/>
      </w:pPr>
      <w:r>
        <w:rPr>
          <w:rFonts w:hint="eastAsia" w:ascii="宋体" w:hAnsi="宋体"/>
          <w:bCs/>
          <w:color w:val="auto"/>
          <w:sz w:val="24"/>
          <w:szCs w:val="24"/>
          <w:highlight w:val="none"/>
          <w:lang w:val="en-US" w:eastAsia="zh-CN"/>
        </w:rPr>
        <w:t xml:space="preserve">日期：</w:t>
      </w:r>
      <w:r/>
    </w:p>
    <w:p>
      <w:pPr>
        <w:ind w:firstLine="480"/>
        <w:spacing w:line="480" w:lineRule="auto"/>
        <w:rPr>
          <w:rFonts w:ascii="宋体" w:hAnsi="宋体"/>
          <w:bCs/>
          <w:color w:val="auto"/>
          <w:sz w:val="24"/>
          <w:szCs w:val="24"/>
          <w:highlight w:val="none"/>
        </w:rPr>
        <w:outlineLvl w:val="9"/>
      </w:pPr>
      <w:r>
        <w:rPr>
          <w:rFonts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t xml:space="preserve">注：以上内容由投标单位根据采购要求可自行完善。</w:t>
      </w:r>
      <w:r/>
    </w:p>
    <w:p>
      <w:pPr>
        <w:ind w:firstLine="480"/>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jc w:val="left"/>
        <w:rPr>
          <w:rFonts w:hint="eastAsia"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auto"/>
          <w:sz w:val="24"/>
          <w:szCs w:val="24"/>
          <w:highlight w:val="non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（七）开标一览表（格式）：</w:t>
      </w:r>
      <w:r/>
    </w:p>
    <w:p>
      <w:pPr>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采购项目编号：</w:t>
      </w:r>
      <w:r>
        <w:rPr>
          <w:rFonts w:hint="eastAsia" w:ascii="宋体" w:hAnsi="宋体" w:cs="宋体"/>
          <w:b w:val="0"/>
          <w:bCs/>
          <w:color w:val="auto"/>
          <w:sz w:val="24"/>
          <w:szCs w:val="24"/>
          <w:highlight w:val="none"/>
          <w:lang w:eastAsia="zh-CN"/>
        </w:rPr>
        <w:t xml:space="preserve">JSZC-320205-ZLZL-G2026-0002</w:t>
      </w:r>
      <w:r/>
    </w:p>
    <w:p>
      <w:pPr>
        <w:spacing w:line="360" w:lineRule="auto"/>
        <w:rPr>
          <w:rFonts w:hint="eastAsia" w:ascii="宋体" w:hAnsi="宋体" w:eastAsia="宋体" w:cs="宋体"/>
          <w:b w:val="0"/>
          <w:bCs/>
          <w:color w:val="auto"/>
          <w:sz w:val="24"/>
          <w:szCs w:val="24"/>
          <w:highlight w:val="none"/>
          <w:u w:val="none"/>
          <w:lang w:eastAsia="zh-CN"/>
        </w:rPr>
      </w:pPr>
      <w:r>
        <w:rPr>
          <w:rFonts w:hint="eastAsia" w:ascii="宋体" w:hAnsi="宋体" w:eastAsia="宋体" w:cs="宋体"/>
          <w:b w:val="0"/>
          <w:bCs/>
          <w:color w:val="auto"/>
          <w:sz w:val="24"/>
          <w:szCs w:val="24"/>
          <w:highlight w:val="none"/>
          <w:u w:val="none"/>
          <w:lang w:eastAsia="zh-CN"/>
        </w:rPr>
      </w:r>
      <w:r/>
    </w:p>
    <w:p>
      <w:pPr>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 xml:space="preserve">货币单位：人民币元</w:t>
      </w:r>
      <w:r/>
    </w:p>
    <w:p>
      <w:pPr>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r>
      <w:r/>
    </w:p>
    <w:tbl>
      <w:tblPr>
        <w:tblStyle w:val="801"/>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3712" w:type="dxa"/>
            <w:vAlign w:val="center"/>
            <w:textDirection w:val="lrTb"/>
            <w:noWrap w:val="false"/>
          </w:tcPr>
          <w:p>
            <w:pPr>
              <w:jc w:val="center"/>
              <w:spacing w:line="360" w:lineRule="auto"/>
              <w:rPr>
                <w:rFonts w:ascii="宋体" w:hAnsi="宋体" w:eastAsia="宋体" w:cs="宋体"/>
                <w:color w:val="auto"/>
                <w:sz w:val="24"/>
                <w:szCs w:val="24"/>
                <w:highlight w:val="none"/>
                <w:u w:val="none"/>
                <w:lang w:val="en-US"/>
              </w:rPr>
            </w:pPr>
            <w:r>
              <w:rPr>
                <w:rFonts w:hint="eastAsia" w:ascii="宋体" w:hAnsi="宋体" w:eastAsia="宋体" w:cs="宋体"/>
                <w:bCs/>
                <w:color w:val="auto"/>
                <w:sz w:val="24"/>
                <w:szCs w:val="24"/>
                <w:highlight w:val="none"/>
                <w:u w:val="none"/>
                <w:lang w:val="en-US" w:eastAsia="zh-CN"/>
              </w:rPr>
              <w:t xml:space="preserve">项目内容</w:t>
            </w:r>
            <w:r/>
          </w:p>
        </w:tc>
        <w:tc>
          <w:tcPr>
            <w:tcW w:w="3712" w:type="dxa"/>
            <w:vAlign w:val="center"/>
            <w:textDirection w:val="lrTb"/>
            <w:noWrap w:val="false"/>
          </w:tcPr>
          <w:p>
            <w:pPr>
              <w:jc w:val="center"/>
              <w:spacing w:line="360" w:lineRule="auto"/>
              <w:rPr>
                <w:rFonts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总价（小写）</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712"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371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总价（大写）</w:t>
            </w:r>
            <w:r/>
          </w:p>
        </w:tc>
        <w:tc>
          <w:tcPr>
            <w:gridSpan w:val="2"/>
            <w:tcW w:w="742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 xml:space="preserve">核心产品品牌</w:t>
            </w:r>
            <w:r/>
          </w:p>
        </w:tc>
        <w:tc>
          <w:tcPr>
            <w:gridSpan w:val="2"/>
            <w:tcW w:w="742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投标人公章          </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电子签章</w:t>
      </w:r>
      <w:r>
        <w:rPr>
          <w:rFonts w:hint="eastAsia" w:ascii="宋体" w:hAnsi="宋体" w:eastAsia="宋体" w:cs="宋体"/>
          <w:b w:val="0"/>
          <w:bCs/>
          <w:color w:val="auto"/>
          <w:sz w:val="24"/>
          <w:szCs w:val="24"/>
          <w:highlight w:val="none"/>
        </w:rPr>
        <w:t xml:space="preserve">）</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spacing w:before="5"/>
        <w:rPr>
          <w:rFonts w:hint="eastAsia"/>
          <w:b/>
          <w:bCs/>
          <w:color w:val="auto"/>
          <w:sz w:val="24"/>
          <w:szCs w:val="24"/>
          <w:highlight w:val="none"/>
        </w:rPr>
        <w:outlineLvl w:val="9"/>
      </w:pPr>
      <w:r>
        <w:rPr>
          <w:rFonts w:hint="eastAsia" w:ascii="宋体" w:hAnsi="宋体" w:cs="宋体"/>
          <w:b/>
          <w:bCs/>
          <w:color w:val="auto"/>
          <w:sz w:val="24"/>
          <w:szCs w:val="24"/>
          <w:highlight w:val="none"/>
          <w:u w:val="none"/>
        </w:rPr>
        <w:t xml:space="preserve">注：</w:t>
      </w:r>
      <w:r>
        <w:rPr>
          <w:rFonts w:hint="eastAsia" w:ascii="宋体" w:hAnsi="宋体" w:eastAsia="宋体" w:cs="宋体"/>
          <w:b/>
          <w:bCs/>
          <w:color w:val="auto"/>
          <w:sz w:val="24"/>
          <w:szCs w:val="24"/>
          <w:highlight w:val="none"/>
          <w:u w:val="none"/>
          <w:lang w:val="en-US" w:eastAsia="zh-CN"/>
        </w:rPr>
        <w:t xml:space="preserve">评标时一律按苏采云系统自带的开标一览表中内容为准，开标一览表中必须盖章。</w:t>
      </w:r>
      <w:r/>
    </w:p>
    <w:p>
      <w:pPr>
        <w:spacing w:line="400" w:lineRule="exact"/>
        <w:rPr>
          <w:rFonts w:ascii="黑体" w:eastAsia="黑体"/>
          <w:bCs/>
          <w:color w:val="auto"/>
          <w:sz w:val="32"/>
          <w:highlight w:val="none"/>
        </w:rPr>
        <w:outlineLvl w:val="9"/>
      </w:pPr>
      <w:r>
        <w:rPr>
          <w:rFonts w:ascii="黑体" w:eastAsia="黑体"/>
          <w:bCs/>
          <w:color w:val="auto"/>
          <w:sz w:val="32"/>
          <w:highlight w:val="none"/>
        </w:rPr>
      </w:r>
      <w:r/>
    </w:p>
    <w:p>
      <w:pPr>
        <w:jc w:val="left"/>
        <w:rPr>
          <w:rFonts w:hint="eastAsia" w:ascii="黑体" w:hAnsi="宋体" w:eastAsia="黑体"/>
          <w:bCs/>
          <w:color w:val="auto"/>
          <w:sz w:val="24"/>
          <w:szCs w:val="24"/>
          <w:highlight w:val="none"/>
          <w:u w:val="singl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auto"/>
          <w:sz w:val="24"/>
          <w:szCs w:val="24"/>
          <w:highlight w:val="none"/>
          <w:u w:val="singl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（八）投标报价明细表（格式）</w:t>
      </w:r>
      <w:r>
        <w:rPr>
          <w:rFonts w:hint="eastAsia" w:ascii="黑体" w:hAnsi="宋体" w:eastAsia="黑体"/>
          <w:bCs/>
          <w:color w:val="auto"/>
          <w:sz w:val="24"/>
          <w:szCs w:val="24"/>
          <w:highlight w:val="none"/>
        </w:rPr>
        <w:t xml:space="preserve">：</w:t>
      </w:r>
      <w:r/>
    </w:p>
    <w:p>
      <w:pPr>
        <w:jc w:val="center"/>
        <w:spacing w:line="400" w:lineRule="exact"/>
        <w:rPr>
          <w:rFonts w:hint="eastAsia" w:ascii="黑体" w:hAnsi="Times New Roman" w:eastAsia="黑体" w:cs="Times New Roman"/>
          <w:bCs/>
          <w:color w:val="auto"/>
          <w:sz w:val="24"/>
          <w:szCs w:val="24"/>
          <w:highlight w:val="none"/>
        </w:rPr>
        <w:outlineLvl w:val="9"/>
      </w:pPr>
      <w:r>
        <w:rPr>
          <w:rFonts w:hint="eastAsia" w:ascii="黑体" w:hAnsi="Times New Roman" w:eastAsia="黑体" w:cs="Times New Roman"/>
          <w:bCs/>
          <w:color w:val="auto"/>
          <w:sz w:val="24"/>
          <w:szCs w:val="24"/>
          <w:highlight w:val="none"/>
        </w:rPr>
      </w:r>
      <w:r/>
    </w:p>
    <w:p>
      <w:pPr>
        <w:jc w:val="center"/>
        <w:spacing w:line="400" w:lineRule="exact"/>
        <w:rPr>
          <w:rFonts w:hint="eastAsia" w:ascii="黑体" w:hAnsi="Times New Roman" w:eastAsia="黑体" w:cs="Times New Roman"/>
          <w:bCs/>
          <w:color w:val="auto"/>
          <w:sz w:val="24"/>
          <w:szCs w:val="24"/>
          <w:highlight w:val="none"/>
        </w:rPr>
        <w:outlineLvl w:val="9"/>
      </w:pPr>
      <w:r>
        <w:rPr>
          <w:rFonts w:hint="eastAsia" w:ascii="黑体" w:hAnsi="Times New Roman" w:eastAsia="黑体" w:cs="Times New Roman"/>
          <w:bCs/>
          <w:color w:val="auto"/>
          <w:sz w:val="24"/>
          <w:szCs w:val="24"/>
          <w:highlight w:val="none"/>
        </w:rPr>
      </w:r>
      <w:r/>
    </w:p>
    <w:p>
      <w:pPr>
        <w:jc w:val="center"/>
        <w:spacing w:line="400" w:lineRule="exact"/>
        <w:rPr>
          <w:rFonts w:hint="eastAsia" w:ascii="黑体" w:hAnsi="Times New Roman" w:eastAsia="黑体" w:cs="Times New Roman"/>
          <w:bCs/>
          <w:color w:val="auto"/>
          <w:sz w:val="24"/>
          <w:szCs w:val="24"/>
          <w:highlight w:val="none"/>
        </w:rPr>
        <w:outlineLvl w:val="9"/>
      </w:pPr>
      <w:r>
        <w:rPr>
          <w:rFonts w:hint="eastAsia" w:ascii="黑体" w:hAnsi="Times New Roman" w:eastAsia="黑体" w:cs="Times New Roman"/>
          <w:bCs/>
          <w:color w:val="auto"/>
          <w:sz w:val="24"/>
          <w:szCs w:val="24"/>
          <w:highlight w:val="none"/>
        </w:rPr>
        <w:t xml:space="preserve">报价明细表</w:t>
      </w:r>
      <w:r/>
    </w:p>
    <w:p>
      <w:pPr>
        <w:spacing w:line="400" w:lineRule="exact"/>
        <w:rPr>
          <w:rFonts w:hint="eastAsia" w:ascii="黑体" w:hAnsi="Times New Roman" w:eastAsia="黑体" w:cs="Times New Roman"/>
          <w:bCs/>
          <w:color w:val="auto"/>
          <w:sz w:val="24"/>
          <w:szCs w:val="24"/>
          <w:highlight w:val="none"/>
          <w:lang w:eastAsia="zh-CN"/>
        </w:rPr>
        <w:outlineLvl w:val="9"/>
      </w:pPr>
      <w:r>
        <w:rPr>
          <w:rFonts w:hint="eastAsia" w:ascii="黑体" w:hAnsi="Times New Roman" w:eastAsia="黑体" w:cs="Times New Roman"/>
          <w:bCs/>
          <w:color w:val="auto"/>
          <w:sz w:val="24"/>
          <w:szCs w:val="24"/>
          <w:highlight w:val="none"/>
        </w:rPr>
        <w:t xml:space="preserve">投标供应商名称（盖章）                      项目编号：</w:t>
      </w:r>
      <w:r/>
    </w:p>
    <w:p>
      <w:pPr>
        <w:pStyle w:val="1033"/>
        <w:ind w:firstLine="0"/>
        <w:jc w:val="left"/>
        <w:rPr>
          <w:rFonts w:hAnsi="宋体" w:cs="宋体"/>
          <w:bCs/>
          <w:color w:val="auto"/>
          <w:sz w:val="24"/>
          <w:szCs w:val="22"/>
          <w:highlight w:val="none"/>
        </w:rPr>
        <w:outlineLvl w:val="9"/>
      </w:pPr>
      <w:r>
        <w:rPr>
          <w:rFonts w:hAnsi="宋体" w:cs="宋体"/>
          <w:bCs/>
          <w:color w:val="auto"/>
          <w:sz w:val="24"/>
          <w:szCs w:val="22"/>
          <w:highlight w:val="none"/>
        </w:rPr>
      </w:r>
      <w:r/>
    </w:p>
    <w:tbl>
      <w:tblPr>
        <w:tblStyle w:val="80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525"/>
        <w:gridCol w:w="630"/>
        <w:gridCol w:w="1230"/>
        <w:gridCol w:w="1043"/>
        <w:gridCol w:w="1837"/>
        <w:gridCol w:w="900"/>
        <w:gridCol w:w="1170"/>
        <w:gridCol w:w="1215"/>
        <w:gridCol w:w="1080"/>
      </w:tblGrid>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品牌</w:t>
            </w:r>
            <w:r>
              <w:rPr>
                <w:rFonts w:hint="eastAsia" w:ascii="宋体" w:hAnsi="宋体" w:cs="宋体"/>
                <w:color w:val="auto"/>
                <w:sz w:val="18"/>
                <w:szCs w:val="18"/>
                <w:highlight w:val="none"/>
                <w:lang w:eastAsia="zh-CN" w:bidi="ar"/>
              </w:rPr>
              <w:t xml:space="preserve">、</w:t>
            </w:r>
            <w:r>
              <w:rPr>
                <w:rFonts w:hint="eastAsia" w:ascii="宋体" w:hAnsi="宋体" w:cs="宋体"/>
                <w:color w:val="auto"/>
                <w:sz w:val="18"/>
                <w:szCs w:val="18"/>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val="en-US" w:eastAsia="zh-CN"/>
              </w:rPr>
              <w:t xml:space="preserve">制造商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jc w:val="center"/>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widowControl/>
              <w:rPr>
                <w:rStyle w:val="1117"/>
                <w:color w:val="auto"/>
                <w:highlight w:val="none"/>
                <w:lang w:bidi="ar"/>
              </w:rPr>
            </w:pPr>
            <w:r>
              <w:rPr>
                <w:rFonts w:hint="eastAsia" w:ascii="宋体" w:hAnsi="宋体" w:cs="宋体"/>
                <w:color w:val="auto"/>
                <w:sz w:val="18"/>
                <w:szCs w:val="18"/>
                <w:highlight w:val="none"/>
                <w:lang w:bidi="ar"/>
              </w:rPr>
              <w:t xml:space="preserve">分项</w:t>
            </w:r>
            <w:r>
              <w:rPr>
                <w:rStyle w:val="1117"/>
                <w:color w:val="auto"/>
                <w:highlight w:val="none"/>
                <w:lang w:bidi="ar"/>
              </w:rPr>
              <w:t xml:space="preserve">  </w:t>
            </w:r>
            <w:r/>
          </w:p>
          <w:p>
            <w:pPr>
              <w:jc w:val="center"/>
              <w:widowControl/>
              <w:rPr>
                <w:rFonts w:hint="eastAsia" w:ascii="宋体" w:hAnsi="宋体" w:cs="宋体"/>
                <w:color w:val="auto"/>
                <w:sz w:val="18"/>
                <w:szCs w:val="18"/>
                <w:highlight w:val="none"/>
              </w:rPr>
            </w:pPr>
            <w:r>
              <w:rPr>
                <w:rStyle w:val="1117"/>
                <w:color w:val="auto"/>
                <w:highlight w:val="none"/>
                <w:lang w:bidi="ar"/>
              </w:rPr>
              <w:t xml:space="preserve"> </w:t>
            </w:r>
            <w:r>
              <w:rPr>
                <w:rFonts w:hint="eastAsia" w:ascii="宋体" w:hAnsi="宋体" w:cs="宋体"/>
                <w:color w:val="auto"/>
                <w:sz w:val="18"/>
                <w:szCs w:val="18"/>
                <w:highlight w:val="none"/>
                <w:lang w:bidi="ar"/>
              </w:rPr>
              <w:t xml:space="preserve">总报价</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jc w:val="center"/>
              <w:widowControl/>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jc w:val="center"/>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837" w:type="dxa"/>
            <w:vAlign w:val="center"/>
            <w:textDirection w:val="lrTb"/>
            <w:noWrap w:val="false"/>
          </w:tcPr>
          <w:p>
            <w:pPr>
              <w:jc w:val="center"/>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jc w:val="center"/>
              <w:rPr>
                <w:rFonts w:hint="eastAsia" w:ascii="黑体" w:hAnsi="宋体" w:eastAsia="黑体" w:cs="黑体"/>
                <w:b/>
                <w:color w:val="auto"/>
                <w:szCs w:val="21"/>
                <w:highlight w:val="none"/>
              </w:rPr>
            </w:pPr>
            <w:r>
              <w:rPr>
                <w:rFonts w:hint="eastAsia" w:ascii="黑体" w:hAnsi="宋体" w:eastAsia="黑体" w:cs="黑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r>
      <w:tr>
        <w:trPr>
          <w:trHeight w:val="4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jc w:val="center"/>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jc w:val="center"/>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jc w:val="center"/>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jc w:val="center"/>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6</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jc w:val="cente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jc w:val="center"/>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jc w:val="center"/>
              <w:spacing w:line="360" w:lineRule="auto"/>
              <w:rPr>
                <w:rFonts w:hint="eastAsia" w:ascii="黑体" w:hAnsi="宋体" w:eastAsia="黑体" w:cs="黑体"/>
                <w:b/>
                <w:color w:val="auto"/>
                <w:sz w:val="24"/>
                <w:highlight w:val="none"/>
                <w:lang w:eastAsia="zh-CN"/>
              </w:rPr>
            </w:pPr>
            <w:r>
              <w:rPr>
                <w:rFonts w:hint="eastAsia" w:ascii="黑体" w:hAnsi="宋体" w:eastAsia="黑体" w:cs="黑体"/>
                <w:b/>
                <w:color w:val="auto"/>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jc w:val="center"/>
              <w:spacing w:line="360" w:lineRule="auto"/>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spacing w:line="360" w:lineRule="auto"/>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jc w:val="center"/>
              <w:widowControl/>
              <w:rPr>
                <w:rFonts w:hint="eastAsia" w:ascii="宋体" w:hAnsi="宋体" w:cs="宋体"/>
                <w:color w:val="auto"/>
                <w:sz w:val="22"/>
                <w:szCs w:val="22"/>
                <w:highlight w:val="none"/>
              </w:rPr>
            </w:pPr>
            <w:r>
              <w:rPr>
                <w:rFonts w:ascii="宋体" w:hAnsi="宋体"/>
                <w:color w:val="auto"/>
                <w:highlight w:val="none"/>
              </w:rPr>
              <w:t xml:space="preserve">…</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jc w:val="center"/>
              <w:widowControl/>
              <w:rPr>
                <w:rFonts w:hint="eastAsia" w:ascii="宋体" w:hAnsi="宋体" w:eastAsia="宋体" w:cs="宋体"/>
                <w:color w:val="auto"/>
                <w:sz w:val="18"/>
                <w:szCs w:val="18"/>
                <w:highlight w:val="none"/>
                <w:lang w:bidi="ar"/>
              </w:rPr>
            </w:pPr>
            <w:r>
              <w:rPr>
                <w:rFonts w:hint="eastAsia" w:ascii="宋体" w:hAnsi="宋体" w:eastAsia="宋体" w:cs="宋体"/>
                <w:color w:val="auto"/>
                <w:sz w:val="18"/>
                <w:szCs w:val="18"/>
                <w:highlight w:val="none"/>
                <w:lang w:bidi="ar"/>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r>
      <w:tr>
        <w:trPr>
          <w:trHeight w:val="500"/>
        </w:trPr>
        <w:tc>
          <w:tcPr>
            <w:gridSpan w:val="4"/>
            <w:tcBorders>
              <w:top w:val="single" w:color="000000" w:sz="4" w:space="0"/>
              <w:left w:val="single" w:color="000000" w:sz="4" w:space="0"/>
              <w:bottom w:val="single" w:color="000000" w:sz="4" w:space="0"/>
              <w:right w:val="single" w:color="auto" w:sz="4" w:space="0"/>
            </w:tcBorders>
            <w:tcMar>
              <w:left w:w="15" w:type="dxa"/>
              <w:top w:w="15" w:type="dxa"/>
              <w:right w:w="15" w:type="dxa"/>
            </w:tcMar>
            <w:tcW w:w="3428" w:type="dxa"/>
            <w:vAlign w:val="center"/>
            <w:textDirection w:val="lrTb"/>
            <w:noWrap/>
          </w:tcPr>
          <w:p>
            <w:pPr>
              <w:jc w:val="center"/>
              <w:rPr>
                <w:rFonts w:hint="eastAsia" w:ascii="宋体" w:hAnsi="宋体" w:cs="宋体"/>
                <w:color w:val="auto"/>
                <w:sz w:val="24"/>
                <w:highlight w:val="none"/>
              </w:rPr>
            </w:pPr>
            <w:r>
              <w:rPr>
                <w:rFonts w:hint="eastAsia" w:ascii="宋体" w:hAnsi="宋体" w:eastAsia="宋体" w:cs="宋体"/>
                <w:b/>
                <w:bCs/>
                <w:color w:val="auto"/>
                <w:sz w:val="24"/>
                <w:highlight w:val="none"/>
              </w:rPr>
              <w:t xml:space="preserve">合计（元）</w:t>
            </w:r>
            <w:r/>
          </w:p>
        </w:tc>
        <w:tc>
          <w:tcPr>
            <w:gridSpan w:val="5"/>
            <w:tcBorders>
              <w:top w:val="single" w:color="auto" w:sz="4" w:space="0"/>
              <w:left w:val="single" w:color="auto" w:sz="4" w:space="0"/>
              <w:bottom w:val="single" w:color="auto" w:sz="4" w:space="0"/>
              <w:right w:val="single" w:color="000000" w:sz="4" w:space="0"/>
            </w:tcBorders>
            <w:tcMar>
              <w:left w:w="15" w:type="dxa"/>
              <w:top w:w="15" w:type="dxa"/>
              <w:right w:w="15" w:type="dxa"/>
            </w:tcMar>
            <w:tcW w:w="6202" w:type="dxa"/>
            <w:vAlign w:val="center"/>
            <w:textDirection w:val="lrTb"/>
            <w:noWrap w:val="false"/>
          </w:tcPr>
          <w:p>
            <w:pPr>
              <w:jc w:val="center"/>
              <w:rPr>
                <w:rFonts w:hint="eastAsia" w:ascii="黑体" w:hAnsi="宋体" w:eastAsia="黑体" w:cs="黑体"/>
                <w:b/>
                <w:color w:val="auto"/>
                <w:sz w:val="24"/>
                <w:highlight w:val="none"/>
              </w:rPr>
            </w:pPr>
            <w:r>
              <w:rPr>
                <w:rFonts w:hint="eastAsia" w:ascii="黑体" w:hAnsi="宋体" w:eastAsia="黑体" w:cs="黑体"/>
                <w:b/>
                <w:color w:val="auto"/>
                <w:sz w:val="24"/>
                <w:highlight w:val="none"/>
              </w:rPr>
            </w:r>
            <w:r/>
          </w:p>
        </w:tc>
      </w:tr>
      <w:tr>
        <w:trPr>
          <w:trHeight w:val="500"/>
        </w:trPr>
        <w:tc>
          <w:tcPr>
            <w:gridSpan w:val="4"/>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3428" w:type="dxa"/>
            <w:vAlign w:val="center"/>
            <w:textDirection w:val="lrTb"/>
            <w:noWrap/>
          </w:tcPr>
          <w:p>
            <w:pPr>
              <w:pStyle w:val="1176"/>
              <w:ind w:right="57" w:firstLine="420"/>
              <w:jc w:val="center"/>
              <w:widowControl w:val="off"/>
              <w:tabs>
                <w:tab w:val="clear" w:pos="4153" w:leader="none"/>
                <w:tab w:val="clear" w:pos="8306" w:leader="none"/>
              </w:tabs>
              <w:rPr>
                <w:rFonts w:hint="eastAsia" w:ascii="宋体" w:hAnsi="宋体" w:eastAsia="宋体" w:cs="宋体"/>
                <w:b/>
                <w:bCs/>
                <w:color w:val="auto"/>
                <w:sz w:val="24"/>
                <w:szCs w:val="18"/>
                <w:highlight w:val="none"/>
                <w:lang w:val="en-US" w:eastAsia="zh-CN" w:bidi="ar-SA"/>
              </w:rPr>
              <w:pBdr>
                <w:bottom w:val="none" w:color="auto" w:sz="0" w:space="0"/>
              </w:pBdr>
            </w:pPr>
            <w:r>
              <w:rPr>
                <w:rFonts w:hint="eastAsia" w:ascii="宋体" w:hAnsi="宋体" w:eastAsia="宋体" w:cs="宋体"/>
                <w:b/>
                <w:bCs/>
                <w:color w:val="auto"/>
                <w:sz w:val="24"/>
                <w:szCs w:val="18"/>
                <w:highlight w:val="none"/>
                <w:lang w:val="en-US" w:eastAsia="zh-CN" w:bidi="ar-SA"/>
              </w:rPr>
              <w:t xml:space="preserve">完工期</w:t>
            </w:r>
            <w:r/>
          </w:p>
        </w:tc>
        <w:tc>
          <w:tcPr>
            <w:gridSpan w:val="5"/>
            <w:shd w:val="clear" w:color="auto" w:fill="auto"/>
            <w:tcBorders>
              <w:top w:val="single" w:color="auto" w:sz="4" w:space="0"/>
              <w:left w:val="single" w:color="auto" w:sz="4" w:space="0"/>
              <w:bottom w:val="single" w:color="auto" w:sz="4" w:space="0"/>
              <w:right w:val="single" w:color="000000" w:sz="4" w:space="0"/>
            </w:tcBorders>
            <w:tcMar>
              <w:left w:w="15" w:type="dxa"/>
              <w:top w:w="15" w:type="dxa"/>
              <w:right w:w="15" w:type="dxa"/>
            </w:tcMar>
            <w:tcW w:w="6202" w:type="dxa"/>
            <w:vAlign w:val="center"/>
            <w:textDirection w:val="lrTb"/>
            <w:noWrap w:val="false"/>
          </w:tcPr>
          <w:p>
            <w:pPr>
              <w:jc w:val="center"/>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bidi="ar-SA"/>
              </w:rPr>
              <w:t xml:space="preserve">合同签订生效之日起</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个日历日内交货并安装调试完毕</w:t>
            </w:r>
            <w:r/>
          </w:p>
        </w:tc>
      </w:tr>
      <w:tr>
        <w:trPr>
          <w:trHeight w:val="500"/>
        </w:trPr>
        <w:tc>
          <w:tcPr>
            <w:gridSpan w:val="4"/>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3428" w:type="dxa"/>
            <w:vAlign w:val="center"/>
            <w:textDirection w:val="lrTb"/>
            <w:noWrap/>
          </w:tcPr>
          <w:p>
            <w:pPr>
              <w:pStyle w:val="1176"/>
              <w:ind w:right="57" w:firstLine="420"/>
              <w:jc w:val="center"/>
              <w:widowControl w:val="off"/>
              <w:tabs>
                <w:tab w:val="clear" w:pos="4153" w:leader="none"/>
                <w:tab w:val="clear" w:pos="8306" w:leader="none"/>
              </w:tabs>
              <w:rPr>
                <w:rFonts w:hint="eastAsia" w:ascii="宋体" w:hAnsi="宋体" w:eastAsia="宋体" w:cs="宋体"/>
                <w:b/>
                <w:bCs/>
                <w:color w:val="auto"/>
                <w:sz w:val="24"/>
                <w:szCs w:val="18"/>
                <w:highlight w:val="none"/>
                <w:lang w:val="en-US" w:eastAsia="zh-CN" w:bidi="ar-SA"/>
              </w:rPr>
              <w:pBdr>
                <w:bottom w:val="none" w:color="auto" w:sz="0" w:space="0"/>
              </w:pBdr>
            </w:pPr>
            <w:r>
              <w:rPr>
                <w:rFonts w:hint="eastAsia" w:ascii="宋体" w:hAnsi="宋体" w:eastAsia="宋体" w:cs="宋体"/>
                <w:b/>
                <w:bCs/>
                <w:color w:val="auto"/>
                <w:sz w:val="24"/>
                <w:szCs w:val="18"/>
                <w:highlight w:val="none"/>
                <w:lang w:val="en-US" w:eastAsia="zh-CN" w:bidi="ar-SA"/>
              </w:rPr>
              <w:t xml:space="preserve">项目整体免费质保期</w:t>
            </w:r>
            <w:r/>
          </w:p>
        </w:tc>
        <w:tc>
          <w:tcPr>
            <w:gridSpan w:val="5"/>
            <w:shd w:val="clear" w:color="auto" w:fill="auto"/>
            <w:tcBorders>
              <w:top w:val="single" w:color="auto" w:sz="4" w:space="0"/>
              <w:left w:val="single" w:color="auto" w:sz="4" w:space="0"/>
              <w:bottom w:val="single" w:color="auto" w:sz="4" w:space="0"/>
              <w:right w:val="single" w:color="000000" w:sz="4" w:space="0"/>
            </w:tcBorders>
            <w:tcMar>
              <w:left w:w="15" w:type="dxa"/>
              <w:top w:w="15" w:type="dxa"/>
              <w:right w:w="15" w:type="dxa"/>
            </w:tcMar>
            <w:tcW w:w="6202" w:type="dxa"/>
            <w:vAlign w:val="center"/>
            <w:textDirection w:val="lrTb"/>
            <w:noWrap w:val="false"/>
          </w:tcPr>
          <w:p>
            <w:pPr>
              <w:jc w:val="center"/>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8"/>
                <w:highlight w:val="none"/>
                <w:lang w:val="en-US" w:eastAsia="zh-CN" w:bidi="ar-SA"/>
              </w:rPr>
              <w:t xml:space="preserve">项目经最终验收合格之日起____年</w:t>
            </w:r>
            <w:r/>
          </w:p>
        </w:tc>
      </w:tr>
      <w:tr>
        <w:trPr>
          <w:trHeight w:val="500"/>
        </w:trPr>
        <w:tc>
          <w:tcPr>
            <w:gridSpan w:val="9"/>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30" w:type="dxa"/>
            <w:vAlign w:val="center"/>
            <w:textDirection w:val="lrTb"/>
            <w:noWrap/>
          </w:tcPr>
          <w:p>
            <w:pPr>
              <w:jc w:val="left"/>
              <w:spacing w:line="288"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投标人承诺：</w:t>
            </w:r>
            <w:r/>
          </w:p>
          <w:p>
            <w:pPr>
              <w:jc w:val="center"/>
              <w:rPr>
                <w:rFonts w:hint="eastAsia" w:ascii="宋体" w:hAnsi="宋体" w:eastAsia="宋体" w:cs="宋体"/>
                <w:b/>
                <w:color w:val="auto"/>
                <w:sz w:val="24"/>
                <w:highlight w:val="none"/>
              </w:rPr>
            </w:pPr>
            <w:r>
              <w:rPr>
                <w:rFonts w:hint="eastAsia" w:ascii="宋体" w:hAnsi="宋体" w:eastAsia="宋体" w:cs="宋体"/>
                <w:bCs/>
                <w:color w:val="auto"/>
                <w:sz w:val="28"/>
                <w:szCs w:val="28"/>
                <w:highlight w:val="none"/>
                <w:lang w:val="en-US" w:eastAsia="zh-CN" w:bidi="ar-SA"/>
              </w:rPr>
              <w:t xml:space="preserve">本采购项目或采购包中提供的符合本国产品标准的产品</w:t>
            </w:r>
            <w:r>
              <w:rPr>
                <w:rFonts w:hint="eastAsia" w:ascii="宋体" w:hAnsi="宋体" w:eastAsia="宋体" w:cs="宋体"/>
                <w:b/>
                <w:bCs/>
                <w:color w:val="auto"/>
                <w:sz w:val="28"/>
                <w:szCs w:val="28"/>
                <w:highlight w:val="none"/>
                <w:lang w:val="en-US" w:eastAsia="zh-CN" w:bidi="ar-SA"/>
              </w:rPr>
              <w:t xml:space="preserve">成本之和</w:t>
            </w:r>
            <w:r>
              <w:rPr>
                <w:rFonts w:hint="eastAsia" w:ascii="宋体" w:hAnsi="宋体" w:eastAsia="宋体" w:cs="宋体"/>
                <w:bCs/>
                <w:color w:val="auto"/>
                <w:sz w:val="28"/>
                <w:szCs w:val="28"/>
                <w:highlight w:val="none"/>
                <w:lang w:val="en-US" w:eastAsia="zh-CN" w:bidi="ar-SA"/>
              </w:rPr>
              <w:t xml:space="preserve">占提供的全部产品</w:t>
            </w:r>
            <w:r>
              <w:rPr>
                <w:rFonts w:hint="eastAsia" w:ascii="宋体" w:hAnsi="宋体" w:eastAsia="宋体" w:cs="宋体"/>
                <w:b/>
                <w:bCs/>
                <w:color w:val="auto"/>
                <w:sz w:val="28"/>
                <w:szCs w:val="28"/>
                <w:highlight w:val="none"/>
                <w:lang w:val="en-US" w:eastAsia="zh-CN" w:bidi="ar-SA"/>
              </w:rPr>
              <w:t xml:space="preserve">成本之和</w:t>
            </w:r>
            <w:r>
              <w:rPr>
                <w:rFonts w:hint="eastAsia" w:ascii="宋体" w:hAnsi="宋体" w:eastAsia="宋体" w:cs="宋体"/>
                <w:bCs/>
                <w:color w:val="auto"/>
                <w:sz w:val="28"/>
                <w:szCs w:val="28"/>
                <w:highlight w:val="none"/>
                <w:lang w:val="en-US" w:eastAsia="zh-CN" w:bidi="ar-SA"/>
              </w:rPr>
              <w:t xml:space="preserve">的比例：</w:t>
            </w:r>
            <w:r>
              <w:rPr>
                <w:rFonts w:hint="eastAsia" w:ascii="宋体" w:hAnsi="宋体" w:eastAsia="宋体" w:cs="宋体"/>
                <w:bCs/>
                <w:color w:val="auto"/>
                <w:sz w:val="28"/>
                <w:szCs w:val="28"/>
                <w:highlight w:val="none"/>
                <w:u w:val="single"/>
                <w:lang w:val="en-US" w:eastAsia="zh-CN" w:bidi="ar-SA"/>
              </w:rPr>
              <w:t xml:space="preserve">      </w:t>
            </w:r>
            <w:r>
              <w:rPr>
                <w:rFonts w:hint="eastAsia" w:ascii="宋体" w:hAnsi="宋体" w:eastAsia="宋体" w:cs="宋体"/>
                <w:bCs/>
                <w:color w:val="auto"/>
                <w:sz w:val="28"/>
                <w:szCs w:val="28"/>
                <w:highlight w:val="none"/>
                <w:lang w:val="en-US" w:eastAsia="zh-CN" w:bidi="ar-SA"/>
              </w:rPr>
              <w:t xml:space="preserve">%</w:t>
            </w:r>
            <w:r/>
          </w:p>
        </w:tc>
      </w:tr>
      <w:tr>
        <w:trPr>
          <w:trHeight w:val="312"/>
        </w:trPr>
        <w:tc>
          <w:tcPr>
            <w:gridSpan w:val="2"/>
            <w:tcBorders>
              <w:top w:val="single" w:color="000000" w:sz="4" w:space="0"/>
              <w:left w:val="single" w:color="000000" w:sz="4" w:space="0"/>
              <w:right w:val="single" w:color="000000" w:sz="4" w:space="0"/>
            </w:tcBorders>
            <w:tcMar>
              <w:left w:w="15" w:type="dxa"/>
              <w:top w:w="15" w:type="dxa"/>
              <w:right w:w="15" w:type="dxa"/>
            </w:tcMar>
            <w:tcW w:w="1155" w:type="dxa"/>
            <w:vAlign w:val="center"/>
            <w:vMerge w:val="restart"/>
            <w:textDirection w:val="lrTb"/>
            <w:noWrap w:val="false"/>
          </w:tcPr>
          <w:p>
            <w:pPr>
              <w:jc w:val="center"/>
              <w:rPr>
                <w:rFonts w:hint="eastAsia" w:ascii="宋体" w:hAnsi="宋体" w:cs="宋体"/>
                <w:b/>
                <w:color w:val="auto"/>
                <w:sz w:val="24"/>
                <w:highlight w:val="none"/>
              </w:rPr>
            </w:pPr>
            <w:r>
              <w:rPr>
                <w:rFonts w:hint="eastAsia" w:ascii="宋体" w:hAnsi="宋体" w:cs="宋体"/>
                <w:b/>
                <w:color w:val="auto"/>
                <w:sz w:val="24"/>
                <w:highlight w:val="none"/>
              </w:rPr>
            </w:r>
            <w:r/>
          </w:p>
        </w:tc>
        <w:tc>
          <w:tcPr>
            <w:gridSpan w:val="7"/>
            <w:tcBorders>
              <w:top w:val="single" w:color="000000" w:sz="4" w:space="0"/>
              <w:left w:val="single" w:color="000000" w:sz="4" w:space="0"/>
              <w:right w:val="single" w:color="000000" w:sz="4" w:space="0"/>
            </w:tcBorders>
            <w:tcMar>
              <w:left w:w="15" w:type="dxa"/>
              <w:top w:w="15" w:type="dxa"/>
              <w:right w:w="15" w:type="dxa"/>
            </w:tcMar>
            <w:tcW w:w="8475" w:type="dxa"/>
            <w:vAlign w:val="center"/>
            <w:vMerge w:val="restart"/>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bl>
    <w:p>
      <w:pPr>
        <w:ind w:right="-511"/>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spacing w:after="120" w:line="420" w:lineRule="exact"/>
        <w:tabs>
          <w:tab w:val="left" w:pos="0" w:leader="none"/>
        </w:tabs>
        <w:rPr>
          <w:b/>
          <w:bCs/>
          <w:color w:val="auto"/>
          <w:sz w:val="24"/>
          <w:highlight w:val="none"/>
        </w:rPr>
      </w:pPr>
      <w:r>
        <w:rPr>
          <w:rFonts w:hint="eastAsia" w:ascii="宋体" w:hAnsi="宋体" w:eastAsia="宋体" w:cs="宋体"/>
          <w:b/>
          <w:color w:val="auto"/>
          <w:sz w:val="24"/>
          <w:szCs w:val="24"/>
          <w:highlight w:val="none"/>
        </w:rPr>
        <w:t xml:space="preserve">日期：</w:t>
      </w:r>
      <w:r/>
    </w:p>
    <w:p>
      <w:pPr>
        <w:ind w:firstLine="527"/>
        <w:spacing w:line="400" w:lineRule="exact"/>
        <w:rPr>
          <w:rFonts w:hint="eastAsia" w:ascii="宋体" w:hAnsi="宋体"/>
          <w:bCs/>
          <w:color w:val="auto"/>
          <w:szCs w:val="21"/>
          <w:highlight w:val="none"/>
        </w:rPr>
        <w:outlineLvl w:val="0"/>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上述报价表不限于此，结合第三章项目要求和有关说明详细清单自行编制。</w:t>
      </w:r>
      <w:r/>
    </w:p>
    <w:p>
      <w:pPr>
        <w:ind w:firstLine="525"/>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（1）投标供应商应当根据“项目技术要求和有关说明”的内容在上表中详细填写；</w:t>
      </w:r>
      <w:r/>
    </w:p>
    <w:p>
      <w:pPr>
        <w:ind w:firstLine="525"/>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（2）表格不够可自行延长，但不得改变文本格式；</w:t>
      </w:r>
      <w:r/>
    </w:p>
    <w:p>
      <w:pPr>
        <w:ind w:firstLine="525"/>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（3）投标供应商对所报相关数据的真实性负责；</w:t>
      </w:r>
      <w:r/>
    </w:p>
    <w:p>
      <w:pPr>
        <w:ind w:firstLine="525"/>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（4）该报价包括实施本项目所需的全部设备、辅助材料、人工费、服务费、运输费、税金、安装调试费及其他一切费用。如有漏项，均由中标人承担；以上报价为含税价</w:t>
      </w:r>
      <w:r/>
    </w:p>
    <w:p>
      <w:pPr>
        <w:ind w:firstLine="525"/>
        <w:spacing w:line="400" w:lineRule="exact"/>
        <w:rPr>
          <w:rFonts w:hint="eastAsia" w:ascii="宋体" w:hAnsi="宋体"/>
          <w:bCs/>
          <w:color w:val="auto"/>
          <w:szCs w:val="21"/>
          <w:highlight w:val="none"/>
        </w:rPr>
        <w:outlineLvl w:val="0"/>
      </w:pPr>
      <w:r>
        <w:rPr>
          <w:rFonts w:hint="eastAsia" w:ascii="宋体" w:hAnsi="宋体"/>
          <w:bCs/>
          <w:color w:val="auto"/>
          <w:szCs w:val="21"/>
          <w:highlight w:val="none"/>
        </w:rPr>
        <w:t xml:space="preserve">（5）当采</w:t>
      </w:r>
      <w:r>
        <w:rPr>
          <w:rFonts w:hint="eastAsia" w:ascii="宋体" w:hAnsi="宋体"/>
          <w:bCs/>
          <w:color w:val="auto"/>
          <w:szCs w:val="21"/>
          <w:highlight w:val="none"/>
        </w:rPr>
        <w:t xml:space="preserve">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二章第五条第三点“对本国产品的支持政策”）</w:t>
      </w:r>
      <w:r/>
    </w:p>
    <w:p>
      <w:pPr>
        <w:ind w:firstLine="525"/>
        <w:spacing w:line="400" w:lineRule="exact"/>
        <w:rPr>
          <w:rFonts w:ascii="宋体"/>
          <w:bCs/>
          <w:color w:val="auto"/>
          <w:szCs w:val="21"/>
          <w:highlight w:val="none"/>
        </w:rPr>
        <w:outlineLvl w:val="0"/>
      </w:pPr>
      <w:r>
        <w:rPr>
          <w:rFonts w:hint="eastAsia" w:ascii="宋体" w:hAnsi="宋体"/>
          <w:bCs/>
          <w:color w:val="auto"/>
          <w:szCs w:val="21"/>
          <w:highlight w:val="non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ind w:firstLine="5280"/>
        <w:spacing w:line="360" w:lineRule="auto"/>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jc w:val="left"/>
        <w:rPr>
          <w:rFonts w:hint="eastAsia" w:ascii="黑体" w:hAnsi="宋体" w:eastAsia="黑体"/>
          <w:bCs/>
          <w:color w:val="auto"/>
          <w:sz w:val="24"/>
          <w:szCs w:val="24"/>
          <w:highlight w:val="none"/>
        </w:rPr>
        <w:outlineLvl w:val="9"/>
      </w:pPr>
      <w:r>
        <w:rPr>
          <w:rFonts w:hint="eastAsia" w:ascii="黑体" w:hAnsi="宋体" w:eastAsia="黑体"/>
          <w:bCs/>
          <w:color w:val="auto"/>
          <w:sz w:val="24"/>
          <w:szCs w:val="24"/>
          <w:highlight w:val="none"/>
        </w:rPr>
      </w:r>
      <w:r/>
    </w:p>
    <w:p>
      <w:pPr>
        <w:jc w:val="left"/>
        <w:rPr>
          <w:rFonts w:hint="eastAsia"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hint="eastAsia" w:ascii="黑体" w:hAnsi="宋体" w:eastAsia="黑体"/>
          <w:bCs/>
          <w:color w:val="auto"/>
          <w:sz w:val="24"/>
          <w:szCs w:val="24"/>
          <w:highlight w:val="non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en-US" w:eastAsia="zh-CN"/>
        </w:rPr>
        <w:t xml:space="preserve">九</w:t>
      </w:r>
      <w:r>
        <w:rPr>
          <w:rFonts w:hint="eastAsia" w:ascii="黑体" w:hAnsi="宋体" w:eastAsia="黑体" w:cs="Times New Roman"/>
          <w:bCs/>
          <w:color w:val="auto"/>
          <w:sz w:val="24"/>
          <w:szCs w:val="24"/>
          <w:highlight w:val="none"/>
        </w:rPr>
        <w:t xml:space="preserve">）投标偏离表（格式）：</w:t>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00" w:lineRule="exact"/>
        <w:rPr>
          <w:rFonts w:hint="eastAsia" w:ascii="宋体" w:hAnsi="宋体"/>
          <w:b/>
          <w:color w:val="auto"/>
          <w:sz w:val="24"/>
          <w:highlight w:val="none"/>
        </w:rPr>
        <w:outlineLvl w:val="0"/>
      </w:pPr>
      <w:r>
        <w:rPr>
          <w:rFonts w:hint="eastAsia" w:ascii="黑体" w:eastAsia="黑体"/>
          <w:bCs/>
          <w:color w:val="auto"/>
          <w:sz w:val="28"/>
          <w:szCs w:val="28"/>
          <w:highlight w:val="none"/>
          <w:lang w:val="en-US" w:eastAsia="zh-CN"/>
        </w:rPr>
        <w:t xml:space="preserve">投标</w:t>
      </w:r>
      <w:r>
        <w:rPr>
          <w:rFonts w:hint="eastAsia" w:ascii="黑体" w:eastAsia="黑体"/>
          <w:bCs/>
          <w:color w:val="auto"/>
          <w:sz w:val="28"/>
          <w:szCs w:val="28"/>
          <w:highlight w:val="none"/>
        </w:rPr>
        <w:t xml:space="preserve">偏离表</w:t>
      </w:r>
      <w:r/>
    </w:p>
    <w:p>
      <w:pPr>
        <w:spacing w:line="400" w:lineRule="exact"/>
        <w:rPr>
          <w:rFonts w:hint="eastAsia" w:ascii="黑体" w:eastAsia="黑体"/>
          <w:bCs/>
          <w:color w:val="auto"/>
          <w:sz w:val="24"/>
          <w:highlight w:val="none"/>
        </w:rPr>
      </w:pPr>
      <w:r>
        <w:rPr>
          <w:rFonts w:hint="eastAsia" w:ascii="黑体" w:eastAsia="黑体"/>
          <w:bCs/>
          <w:color w:val="auto"/>
          <w:sz w:val="24"/>
          <w:highlight w:val="none"/>
        </w:rPr>
      </w:r>
      <w:r/>
    </w:p>
    <w:p>
      <w:pPr>
        <w:pStyle w:val="832"/>
        <w:ind w:left="0" w:firstLine="0"/>
        <w:rPr>
          <w:rFonts w:hint="eastAsia" w:ascii="黑体" w:eastAsia="黑体"/>
          <w:bCs/>
          <w:color w:val="auto"/>
          <w:sz w:val="24"/>
          <w:highlight w:val="none"/>
        </w:rPr>
      </w:pPr>
      <w:r>
        <w:rPr>
          <w:rFonts w:hint="eastAsia" w:ascii="宋体" w:hAnsi="宋体" w:eastAsia="宋体" w:cs="宋体"/>
          <w:bCs/>
          <w:color w:val="auto"/>
          <w:sz w:val="24"/>
          <w:highlight w:val="none"/>
        </w:rPr>
        <w:t xml:space="preserve">投标人名称（公章）：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采购编号：</w:t>
      </w:r>
      <w:r/>
    </w:p>
    <w:p>
      <w:pPr>
        <w:jc w:val="both"/>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tbl>
      <w:tblPr>
        <w:tblStyle w:val="801"/>
        <w:tblW w:w="9070" w:type="dxa"/>
        <w:tblInd w:w="38" w:type="dxa"/>
        <w:tblLayout w:type="fixed"/>
        <w:tblCellMar>
          <w:left w:w="15" w:type="dxa"/>
          <w:top w:w="15" w:type="dxa"/>
          <w:right w:w="15" w:type="dxa"/>
          <w:bottom w:w="0" w:type="dxa"/>
        </w:tblCellMar>
        <w:tblLook w:val="04A0" w:firstRow="1" w:lastRow="0" w:firstColumn="1" w:lastColumn="0" w:noHBand="0" w:noVBand="1"/>
      </w:tblPr>
      <w:tblGrid>
        <w:gridCol w:w="1852"/>
        <w:gridCol w:w="2339"/>
        <w:gridCol w:w="2249"/>
        <w:gridCol w:w="26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630"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ascii="宋体" w:hAnsi="宋体" w:cs="宋体"/>
                <w:bCs/>
                <w:color w:val="auto"/>
                <w:highlight w:val="none"/>
              </w:rPr>
            </w:pPr>
            <w:r>
              <w:rPr>
                <w:rFonts w:hint="eastAsia" w:ascii="宋体"/>
                <w:b/>
                <w:bCs w:val="0"/>
                <w:color w:val="auto"/>
                <w:highlight w:val="none"/>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630"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jc w:val="center"/>
              <w:rPr>
                <w:rFonts w:ascii="宋体" w:hAnsi="宋体" w:cs="宋体"/>
                <w:bCs/>
                <w:color w:val="auto"/>
                <w:highlight w:val="none"/>
              </w:rPr>
            </w:pPr>
            <w:r>
              <w:rPr>
                <w:rFonts w:hint="eastAsia" w:ascii="宋体"/>
                <w:bCs/>
                <w:color w:val="auto"/>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630"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ascii="宋体" w:hAnsi="宋体" w:cs="宋体"/>
                <w:bCs/>
                <w:color w:val="auto"/>
                <w:highlight w:val="none"/>
              </w:rPr>
            </w:pPr>
            <w:r>
              <w:rPr>
                <w:rFonts w:hint="eastAsia" w:ascii="宋体"/>
                <w:b/>
                <w:bCs w:val="0"/>
                <w:color w:val="auto"/>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2339" w:type="dxa"/>
            <w:vAlign w:val="center"/>
            <w:textDirection w:val="lrTb"/>
            <w:noWrap w:val="false"/>
          </w:tcPr>
          <w:p>
            <w:pPr>
              <w:rPr>
                <w:rFonts w:ascii="宋体" w:hAnsi="宋体" w:cs="宋体"/>
                <w:bCs/>
                <w:color w:val="auto"/>
                <w:highlight w:val="none"/>
              </w:rPr>
            </w:pPr>
            <w:r>
              <w:rPr>
                <w:rFonts w:ascii="宋体" w:hAnsi="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jc w:val="center"/>
              <w:rPr>
                <w:rFonts w:ascii="宋体" w:hAnsi="宋体" w:cs="宋体"/>
                <w:bCs/>
                <w:color w:val="auto"/>
                <w:highlight w:val="none"/>
              </w:rPr>
            </w:pPr>
            <w:r>
              <w:rPr>
                <w:rFonts w:hint="eastAsia" w:ascii="宋体" w:hAnsi="宋体" w:cs="宋体"/>
                <w:color w:val="auto"/>
                <w:szCs w:val="22"/>
                <w:highlight w:val="none"/>
              </w:rPr>
              <w:t xml:space="preserve">响应</w:t>
            </w:r>
            <w:r>
              <w:rPr>
                <w:rFonts w:hint="eastAsia" w:ascii="宋体" w:hAnsi="宋体" w:cs="宋体"/>
                <w:color w:val="auto"/>
                <w:szCs w:val="22"/>
                <w:highlight w:val="none"/>
                <w:lang w:val="en-US" w:eastAsia="zh-CN"/>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2630" w:type="dxa"/>
            <w:vAlign w:val="center"/>
            <w:textDirection w:val="lrTb"/>
            <w:noWrap w:val="false"/>
          </w:tcPr>
          <w:p>
            <w:pPr>
              <w:jc w:val="center"/>
              <w:rPr>
                <w:rFonts w:ascii="宋体" w:hAnsi="宋体" w:cs="宋体"/>
                <w:bCs/>
                <w:color w:val="auto"/>
                <w:highlight w:val="none"/>
              </w:rPr>
            </w:pPr>
            <w:r>
              <w:rPr>
                <w:rFonts w:ascii="宋体" w:hAnsi="宋体" w:cs="宋体"/>
                <w:bCs/>
                <w:color w:val="auto"/>
                <w:highlight w:val="none"/>
              </w:rPr>
            </w:r>
            <w:r/>
          </w:p>
        </w:tc>
      </w:tr>
    </w:tbl>
    <w:p>
      <w:pPr>
        <w:rPr>
          <w:rFonts w:ascii="宋体" w:hAnsi="宋体" w:cs="宋体"/>
          <w:bCs/>
          <w:color w:val="auto"/>
          <w:sz w:val="24"/>
          <w:highlight w:val="none"/>
        </w:rPr>
        <w:outlineLvl w:val="0"/>
      </w:pPr>
      <w:r>
        <w:rPr>
          <w:rFonts w:hint="eastAsia" w:ascii="宋体" w:hAnsi="宋体" w:cs="宋体"/>
          <w:bCs/>
          <w:color w:val="auto"/>
          <w:sz w:val="24"/>
          <w:highlight w:val="none"/>
        </w:rPr>
        <w:t xml:space="preserve">注：</w:t>
      </w:r>
      <w:r>
        <w:rPr>
          <w:rFonts w:hint="eastAsia" w:ascii="宋体" w:hAnsi="宋体" w:cs="宋体"/>
          <w:bCs/>
          <w:color w:val="auto"/>
          <w:sz w:val="24"/>
          <w:highlight w:val="none"/>
        </w:rPr>
        <w:t xml:space="preserve">（1）本表不得删除；</w:t>
      </w:r>
      <w:r/>
    </w:p>
    <w:p>
      <w:pPr>
        <w:ind w:firstLine="480"/>
        <w:rPr>
          <w:rFonts w:ascii="宋体" w:hAnsi="宋体" w:cs="宋体"/>
          <w:bCs/>
          <w:color w:val="auto"/>
          <w:sz w:val="24"/>
          <w:highlight w:val="none"/>
        </w:rPr>
        <w:outlineLvl w:val="0"/>
      </w:pPr>
      <w:r>
        <w:rPr>
          <w:rFonts w:hint="eastAsia" w:ascii="宋体" w:hAnsi="宋体" w:cs="宋体"/>
          <w:bCs/>
          <w:color w:val="auto"/>
          <w:sz w:val="24"/>
          <w:highlight w:val="none"/>
        </w:rPr>
        <w:t xml:space="preserve">（2）如无任何偏离，请于本表 “偏离说明”中注明“无偏离”；</w:t>
      </w:r>
      <w:r/>
    </w:p>
    <w:p>
      <w:pPr>
        <w:ind w:firstLine="480"/>
        <w:rPr>
          <w:rFonts w:hint="eastAsia" w:ascii="宋体" w:hAnsi="宋体" w:eastAsia="宋体" w:cs="宋体"/>
          <w:bCs/>
          <w:color w:val="auto"/>
          <w:sz w:val="24"/>
          <w:highlight w:val="none"/>
          <w:lang w:eastAsia="zh-CN"/>
        </w:rPr>
        <w:outlineLvl w:val="0"/>
      </w:pPr>
      <w:r>
        <w:rPr>
          <w:rFonts w:hint="eastAsia" w:ascii="宋体" w:hAnsi="宋体" w:cs="宋体"/>
          <w:bCs/>
          <w:color w:val="auto"/>
          <w:sz w:val="24"/>
          <w:highlight w:val="none"/>
        </w:rPr>
        <w:t xml:space="preserve">（3）如有偏离项，请于本表中列明偏离内容，如需要可自行延长，其余无偏离内容</w:t>
      </w:r>
      <w:r>
        <w:rPr>
          <w:rFonts w:hint="eastAsia" w:ascii="宋体" w:hAnsi="宋体" w:cs="宋体"/>
          <w:bCs/>
          <w:color w:val="auto"/>
          <w:sz w:val="24"/>
          <w:highlight w:val="none"/>
          <w:lang w:eastAsia="zh-CN"/>
        </w:rPr>
        <w:t xml:space="preserve">无需</w:t>
      </w:r>
      <w:r>
        <w:rPr>
          <w:rFonts w:hint="eastAsia" w:ascii="宋体" w:hAnsi="宋体" w:cs="宋体"/>
          <w:bCs/>
          <w:color w:val="auto"/>
          <w:sz w:val="24"/>
          <w:highlight w:val="none"/>
        </w:rPr>
        <w:t xml:space="preserve">赘述</w:t>
      </w:r>
      <w:r>
        <w:rPr>
          <w:rFonts w:hint="eastAsia" w:ascii="宋体" w:hAnsi="宋体" w:cs="宋体"/>
          <w:bCs/>
          <w:color w:val="auto"/>
          <w:sz w:val="24"/>
          <w:highlight w:val="none"/>
          <w:lang w:eastAsia="zh-CN"/>
        </w:rPr>
        <w:t xml:space="preserve">；</w:t>
      </w:r>
      <w:r/>
    </w:p>
    <w:p>
      <w:pPr>
        <w:ind w:firstLine="480"/>
        <w:rPr>
          <w:rFonts w:ascii="宋体" w:hAnsi="宋体" w:cs="宋体"/>
          <w:bCs/>
          <w:color w:val="auto"/>
          <w:sz w:val="24"/>
          <w:highlight w:val="none"/>
        </w:rPr>
        <w:outlineLvl w:val="0"/>
      </w:pPr>
      <w:r>
        <w:rPr>
          <w:rFonts w:hint="eastAsia" w:ascii="宋体" w:hAnsi="宋体" w:cs="宋体"/>
          <w:bCs/>
          <w:color w:val="auto"/>
          <w:sz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ascii="宋体" w:hAnsi="宋体" w:cs="宋体"/>
          <w:bCs/>
          <w:color w:val="auto"/>
          <w:sz w:val="24"/>
          <w:highlight w:val="none"/>
        </w:rPr>
        <w:outlineLvl w:val="0"/>
      </w:pPr>
      <w:r>
        <w:rPr>
          <w:rFonts w:hint="eastAsia" w:ascii="宋体" w:hAnsi="宋体" w:cs="宋体"/>
          <w:bCs/>
          <w:color w:val="auto"/>
          <w:sz w:val="24"/>
          <w:highlight w:val="none"/>
        </w:rPr>
        <w:t xml:space="preserve">（5）表格不够可自行延长，但不得改变文本格式。</w:t>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ind w:firstLine="420"/>
        <w:rPr>
          <w:rFonts w:ascii="黑体" w:hAnsi="宋体" w:eastAsia="黑体"/>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outlineLvl w:val="9"/>
      </w:pPr>
      <w:r>
        <w:rPr>
          <w:rFonts w:ascii="黑体" w:hAnsi="宋体" w:eastAsia="黑体"/>
          <w:bCs/>
          <w:color w:val="auto"/>
          <w:sz w:val="24"/>
          <w:szCs w:val="24"/>
          <w:highlight w:val="none"/>
        </w:rPr>
      </w:r>
      <w:r/>
    </w:p>
    <w:p>
      <w:pPr>
        <w:rPr>
          <w:rFonts w:hint="eastAsia" w:ascii="黑体" w:hAnsi="宋体" w:eastAsia="黑体" w:cs="Times New Roman"/>
          <w:bCs/>
          <w:color w:val="auto"/>
          <w:sz w:val="24"/>
          <w:szCs w:val="24"/>
          <w:highlight w:val="none"/>
        </w:rPr>
        <w:outlineLvl w:val="2"/>
      </w:pPr>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en-US" w:eastAsia="zh-CN"/>
        </w:rPr>
        <w:t xml:space="preserve">十</w:t>
      </w:r>
      <w:r>
        <w:rPr>
          <w:rFonts w:hint="eastAsia" w:ascii="黑体" w:hAnsi="宋体" w:eastAsia="黑体" w:cs="Times New Roman"/>
          <w:bCs/>
          <w:color w:val="auto"/>
          <w:sz w:val="24"/>
          <w:szCs w:val="24"/>
          <w:highlight w:val="none"/>
        </w:rPr>
        <w:t xml:space="preserve">）投标供应商</w:t>
      </w:r>
      <w:r>
        <w:rPr>
          <w:rFonts w:hint="eastAsia" w:ascii="黑体" w:hAnsi="宋体" w:eastAsia="黑体" w:cs="Times New Roman"/>
          <w:bCs/>
          <w:color w:val="auto"/>
          <w:sz w:val="24"/>
          <w:szCs w:val="24"/>
          <w:highlight w:val="none"/>
          <w:lang w:val="en-US" w:eastAsia="zh-CN"/>
        </w:rPr>
        <w:t xml:space="preserve">基本</w:t>
      </w:r>
      <w:r>
        <w:rPr>
          <w:rFonts w:hint="eastAsia" w:ascii="黑体" w:hAnsi="宋体" w:eastAsia="黑体" w:cs="Times New Roman"/>
          <w:bCs/>
          <w:color w:val="auto"/>
          <w:sz w:val="24"/>
          <w:szCs w:val="24"/>
          <w:highlight w:val="none"/>
        </w:rPr>
        <w:t xml:space="preserve">情况表（格式）</w:t>
      </w:r>
      <w:r/>
    </w:p>
    <w:p>
      <w:pPr>
        <w:pStyle w:val="1193"/>
        <w:ind w:firstLine="0"/>
        <w:jc w:val="center"/>
        <w:rPr>
          <w:rFonts w:hint="eastAsia" w:ascii="宋体" w:hAnsi="宋体" w:cs="宋体"/>
          <w:b/>
          <w:color w:val="auto"/>
          <w:sz w:val="28"/>
          <w:szCs w:val="28"/>
          <w:highlight w:val="none"/>
        </w:rPr>
      </w:pPr>
      <w:r>
        <w:rPr>
          <w:rFonts w:hint="eastAsia" w:ascii="黑体" w:hAnsi="Times New Roman" w:eastAsia="黑体" w:cs="Times New Roman"/>
          <w:bCs/>
          <w:color w:val="auto"/>
          <w:sz w:val="28"/>
          <w:szCs w:val="28"/>
          <w:highlight w:val="none"/>
          <w:lang w:val="en-US" w:eastAsia="zh-CN" w:bidi="ar-SA"/>
        </w:rPr>
        <w:t xml:space="preserve">投标供应商</w:t>
      </w:r>
      <w:r>
        <w:rPr>
          <w:rFonts w:hint="eastAsia" w:ascii="黑体" w:eastAsia="黑体" w:cs="Times New Roman"/>
          <w:bCs/>
          <w:color w:val="auto"/>
          <w:sz w:val="28"/>
          <w:szCs w:val="28"/>
          <w:highlight w:val="none"/>
          <w:lang w:val="en-US" w:eastAsia="zh-CN" w:bidi="ar-SA"/>
        </w:rPr>
        <w:t xml:space="preserve">基本</w:t>
      </w:r>
      <w:r>
        <w:rPr>
          <w:rFonts w:hint="eastAsia" w:ascii="黑体" w:hAnsi="Times New Roman" w:eastAsia="黑体" w:cs="Times New Roman"/>
          <w:bCs/>
          <w:color w:val="auto"/>
          <w:sz w:val="28"/>
          <w:szCs w:val="28"/>
          <w:highlight w:val="none"/>
          <w:lang w:val="en-US" w:eastAsia="zh-CN" w:bidi="ar-SA"/>
        </w:rPr>
        <w:t xml:space="preserve">情况表</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0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法定代表人</w:t>
            </w:r>
            <w:r/>
          </w:p>
        </w:tc>
        <w:tc>
          <w:tcPr>
            <w:tcW w:w="1925"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c>
          <w:tcPr>
            <w:tcW w:w="1537"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成立日期</w:t>
            </w:r>
            <w:r/>
          </w:p>
        </w:tc>
        <w:tc>
          <w:tcPr>
            <w:tcW w:w="3216"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Height w:val="503"/>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企业地址</w:t>
            </w:r>
            <w:r/>
          </w:p>
        </w:tc>
        <w:tc>
          <w:tcPr>
            <w:tcW w:w="1925"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c>
          <w:tcPr>
            <w:tcW w:w="1537"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注册资本</w:t>
            </w:r>
            <w:r/>
          </w:p>
        </w:tc>
        <w:tc>
          <w:tcPr>
            <w:tcW w:w="3216" w:type="dxa"/>
            <w:vAlign w:val="top"/>
            <w:textDirection w:val="lrTb"/>
            <w:noWrap w:val="false"/>
          </w:tcPr>
          <w:p>
            <w:pPr>
              <w:ind w:firstLine="2160"/>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万元</w:t>
            </w:r>
            <w:r/>
          </w:p>
        </w:tc>
      </w:tr>
      <w:tr>
        <w:trPr>
          <w:cantSplit/>
          <w:jc w:val="center"/>
          <w:trHeight w:val="528"/>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经营范围</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Height w:val="541"/>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开户行</w:t>
            </w:r>
            <w:r/>
          </w:p>
        </w:tc>
        <w:tc>
          <w:tcPr>
            <w:tcW w:w="1925"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c>
          <w:tcPr>
            <w:tcW w:w="1537"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银行账号</w:t>
            </w:r>
            <w:r/>
          </w:p>
        </w:tc>
        <w:tc>
          <w:tcPr>
            <w:tcW w:w="3216"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Height w:val="541"/>
        </w:trPr>
        <w:tc>
          <w:tcPr>
            <w:tcW w:w="2590" w:type="dxa"/>
            <w:vAlign w:val="center"/>
            <w:textDirection w:val="lrTb"/>
            <w:noWrap w:val="false"/>
          </w:tcPr>
          <w:p>
            <w:pPr>
              <w:jc w:val="both"/>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资产总计</w:t>
            </w:r>
            <w:r/>
          </w:p>
        </w:tc>
        <w:tc>
          <w:tcPr>
            <w:tcW w:w="1925" w:type="dxa"/>
            <w:vAlign w:val="center"/>
            <w:textDirection w:val="lrTb"/>
            <w:noWrap w:val="false"/>
          </w:tcPr>
          <w:p>
            <w:pPr>
              <w:jc w:val="center"/>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      万元</w:t>
            </w:r>
            <w:r/>
          </w:p>
        </w:tc>
        <w:tc>
          <w:tcPr>
            <w:tcW w:w="1537" w:type="dxa"/>
            <w:vAlign w:val="center"/>
            <w:textDirection w:val="lrTb"/>
            <w:noWrap w:val="false"/>
          </w:tcPr>
          <w:p>
            <w:pPr>
              <w:jc w:val="both"/>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净资产</w:t>
            </w:r>
            <w:r/>
          </w:p>
        </w:tc>
        <w:tc>
          <w:tcPr>
            <w:tcW w:w="3216" w:type="dxa"/>
            <w:vAlign w:val="center"/>
            <w:textDirection w:val="lrTb"/>
            <w:noWrap w:val="false"/>
          </w:tcPr>
          <w:p>
            <w:pPr>
              <w:jc w:val="center"/>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万元</w:t>
            </w:r>
            <w:r/>
          </w:p>
        </w:tc>
      </w:tr>
      <w:tr>
        <w:trPr>
          <w:cantSplit/>
          <w:jc w:val="center"/>
          <w:trHeight w:val="515"/>
        </w:trPr>
        <w:tc>
          <w:tcPr>
            <w:tcW w:w="2590" w:type="dxa"/>
            <w:vAlign w:val="center"/>
            <w:textDirection w:val="lrTb"/>
            <w:noWrap w:val="false"/>
          </w:tcPr>
          <w:p>
            <w:pPr>
              <w:jc w:val="both"/>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股东权益</w:t>
            </w:r>
            <w:r/>
          </w:p>
        </w:tc>
        <w:tc>
          <w:tcPr>
            <w:tcW w:w="1925" w:type="dxa"/>
            <w:vAlign w:val="center"/>
            <w:textDirection w:val="lrTb"/>
            <w:noWrap w:val="false"/>
          </w:tcPr>
          <w:p>
            <w:pPr>
              <w:jc w:val="center"/>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     万元</w:t>
            </w:r>
            <w:r/>
          </w:p>
        </w:tc>
        <w:tc>
          <w:tcPr>
            <w:tcW w:w="1537" w:type="dxa"/>
            <w:vAlign w:val="center"/>
            <w:textDirection w:val="lrTb"/>
            <w:noWrap w:val="false"/>
          </w:tcPr>
          <w:p>
            <w:pPr>
              <w:jc w:val="both"/>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主营收入</w:t>
            </w:r>
            <w:r/>
          </w:p>
        </w:tc>
        <w:tc>
          <w:tcPr>
            <w:tcW w:w="3216" w:type="dxa"/>
            <w:vAlign w:val="center"/>
            <w:textDirection w:val="lrTb"/>
            <w:noWrap w:val="false"/>
          </w:tcPr>
          <w:p>
            <w:pPr>
              <w:jc w:val="center"/>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2025年     万元</w:t>
            </w:r>
            <w:r/>
          </w:p>
        </w:tc>
      </w:tr>
      <w:tr>
        <w:trPr>
          <w:cantSplit/>
          <w:jc w:val="center"/>
          <w:trHeight w:val="564"/>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实现利润</w:t>
            </w:r>
            <w:r/>
          </w:p>
        </w:tc>
        <w:tc>
          <w:tcPr>
            <w:tcW w:w="1925"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2025年     万元</w:t>
            </w:r>
            <w:r/>
          </w:p>
        </w:tc>
        <w:tc>
          <w:tcPr>
            <w:tcW w:w="1537"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c>
          <w:tcPr>
            <w:tcW w:w="3216"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营业面积</w:t>
            </w:r>
            <w:r/>
          </w:p>
        </w:tc>
        <w:tc>
          <w:tcPr>
            <w:tcW w:w="1925" w:type="dxa"/>
            <w:vAlign w:val="center"/>
            <w:textDirection w:val="lrTb"/>
            <w:noWrap w:val="false"/>
          </w:tcPr>
          <w:p>
            <w:pPr>
              <w:jc w:val="both"/>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         平方米</w:t>
            </w:r>
            <w:r/>
          </w:p>
        </w:tc>
        <w:tc>
          <w:tcPr>
            <w:tcW w:w="1537"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其中：</w:t>
            </w:r>
            <w:r/>
          </w:p>
        </w:tc>
        <w:tc>
          <w:tcPr>
            <w:tcW w:w="3216"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自有面积平方米</w:t>
            </w:r>
            <w:r/>
          </w:p>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承租面积平方米</w:t>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单位简历及内设机构情况</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Height w:val="703"/>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单位优势及特长</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近三年来完成或正在履行的重大合同情况</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最近2年内在经营过程中受到何种奖励或处分</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（包括解决方式和结果）</w:t>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获得技术认证的工程师及简介</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r>
        <w:trPr>
          <w:cantSplit/>
          <w:jc w:val="center"/>
          <w:trHeight w:val="947"/>
        </w:trPr>
        <w:tc>
          <w:tcPr>
            <w:tcW w:w="2590"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其他需要说明的情况</w:t>
            </w:r>
            <w:r/>
          </w:p>
        </w:tc>
        <w:tc>
          <w:tcPr>
            <w:gridSpan w:val="3"/>
            <w:tcW w:w="6678" w:type="dxa"/>
            <w:vAlign w:val="top"/>
            <w:textDirection w:val="lrTb"/>
            <w:noWrap w:val="false"/>
          </w:tcPr>
          <w:p>
            <w:pPr>
              <w:jc w:val="left"/>
              <w:spacing w:line="276" w:lineRule="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r>
            <w:r/>
          </w:p>
        </w:tc>
      </w:tr>
    </w:tbl>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7"/>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黑体" w:hAnsi="宋体" w:eastAsia="黑体" w:cs="Times New Roman"/>
          <w:bCs/>
          <w:color w:val="auto"/>
          <w:sz w:val="24"/>
          <w:szCs w:val="24"/>
          <w:highlight w:val="none"/>
          <w:lang w:eastAsia="zh-CN"/>
        </w:rPr>
        <w:outlineLvl w:val="2"/>
      </w:pP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rPr>
        <w:t xml:space="preserve">十</w:t>
      </w:r>
      <w:r>
        <w:rPr>
          <w:rFonts w:hint="eastAsia" w:ascii="黑体" w:hAnsi="宋体" w:eastAsia="黑体" w:cs="Times New Roman"/>
          <w:bCs/>
          <w:color w:val="auto"/>
          <w:sz w:val="24"/>
          <w:szCs w:val="24"/>
          <w:highlight w:val="none"/>
          <w:lang w:val="en-US" w:eastAsia="zh-CN"/>
        </w:rPr>
        <w:t xml:space="preserve">一</w:t>
      </w:r>
      <w:r>
        <w:rPr>
          <w:rFonts w:hint="eastAsia" w:ascii="黑体" w:hAnsi="宋体" w:eastAsia="黑体" w:cs="Times New Roman"/>
          <w:bCs/>
          <w:color w:val="auto"/>
          <w:sz w:val="24"/>
          <w:szCs w:val="24"/>
          <w:highlight w:val="none"/>
        </w:rPr>
        <w:t xml:space="preserve">）关于符合本国产品标准的声明函（格式）</w:t>
      </w:r>
      <w:r>
        <w:rPr>
          <w:rFonts w:hint="eastAsia" w:ascii="黑体" w:hAnsi="宋体" w:eastAsia="黑体" w:cs="Times New Roman"/>
          <w:bCs/>
          <w:color w:val="auto"/>
          <w:sz w:val="24"/>
          <w:szCs w:val="24"/>
          <w:highlight w:val="none"/>
          <w:lang w:eastAsia="zh-CN"/>
        </w:rPr>
        <w:t xml:space="preserve">：</w:t>
      </w:r>
      <w:r/>
    </w:p>
    <w:p>
      <w:pPr>
        <w:ind w:firstLine="0"/>
        <w:jc w:val="center"/>
        <w:spacing w:line="240" w:lineRule="auto"/>
        <w:widowControl w:val="off"/>
        <w:rPr>
          <w:rFonts w:ascii="黑体" w:hAnsi="黑体" w:eastAsia="黑体" w:cs="Times New Roman"/>
          <w:bCs/>
          <w:color w:val="auto"/>
          <w:sz w:val="28"/>
          <w:szCs w:val="28"/>
          <w:highlight w:val="none"/>
          <w:lang w:eastAsia="zh-CN"/>
        </w:rPr>
      </w:pPr>
      <w:r>
        <w:rPr>
          <w:rFonts w:hint="eastAsia" w:ascii="黑体" w:hAnsi="黑体" w:eastAsia="黑体" w:cs="Times New Roman"/>
          <w:bCs/>
          <w:color w:val="auto"/>
          <w:sz w:val="28"/>
          <w:szCs w:val="28"/>
          <w:highlight w:val="none"/>
          <w:lang w:eastAsia="zh-CN"/>
        </w:rPr>
        <w:t xml:space="preserve">关于符合本国产品标准的声明函</w:t>
      </w:r>
      <w:r/>
    </w:p>
    <w:p>
      <w:pPr>
        <w:pStyle w:val="825"/>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r>
      <w:r/>
    </w:p>
    <w:p>
      <w:pPr>
        <w:pStyle w:val="825"/>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5"/>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1.（产品名称1）¹，生产厂为（厂名）²，厂址为（生产厂址）。（产品名称1）的中国境内生产的组件成本占比≥（规定比例）³。（产品名称1）的（关键组件）⁴在中国境内生产。（产品名称1）的（关键工序）⁵在中国境内完成。</w:t>
      </w:r>
      <w:r/>
    </w:p>
    <w:p>
      <w:pPr>
        <w:pStyle w:val="825"/>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825"/>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w:t>
      </w:r>
      <w:r/>
    </w:p>
    <w:p>
      <w:pPr>
        <w:pStyle w:val="825"/>
        <w:ind w:left="0" w:right="0" w:firstLine="420"/>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本公司（单位）对上述声明内容的真实性负责。如有虚假，愿承担相应法律责任。</w:t>
      </w:r>
      <w:r/>
    </w:p>
    <w:p>
      <w:pPr>
        <w:pStyle w:val="825"/>
        <w:ind w:left="0" w:right="0" w:firstLine="420"/>
        <w:jc w:val="right"/>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公司（单位）名称（盖章）：      </w:t>
      </w:r>
      <w:r/>
    </w:p>
    <w:p>
      <w:pPr>
        <w:pStyle w:val="825"/>
        <w:ind w:left="0" w:right="0" w:firstLine="420"/>
        <w:jc w:val="right"/>
        <w:keepLines w:val="0"/>
        <w:keepNext w:val="0"/>
        <w:pageBreakBefore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SA"/>
        </w:rPr>
        <w:t xml:space="preserve">日期：　　　　　年　　月　日</w:t>
      </w:r>
      <w:r/>
    </w:p>
    <w:p>
      <w:pPr>
        <w:tabs>
          <w:tab w:val="center" w:pos="487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tabs>
          <w:tab w:val="center" w:pos="487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tabs>
          <w:tab w:val="center" w:pos="487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tabs>
          <w:tab w:val="center" w:pos="487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pStyle w:val="809"/>
        <w:ind w:left="440" w:hanging="440"/>
        <w:spacing w:before="100" w:beforeAutospacing="1" w:after="100" w:afterAutospacing="1"/>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注：</w:t>
      </w:r>
      <w:r/>
    </w:p>
    <w:p>
      <w:pPr>
        <w:pStyle w:val="809"/>
        <w:ind w:left="440" w:hanging="440"/>
        <w:spacing w:before="100" w:beforeAutospacing="1" w:after="100" w:afterAutospacing="1"/>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1.产品如有型号，请在“产品名称”栏一并填写。</w:t>
      </w:r>
      <w:r/>
    </w:p>
    <w:p>
      <w:pPr>
        <w:pStyle w:val="809"/>
        <w:ind w:left="440" w:hanging="440"/>
        <w:spacing w:before="100" w:beforeAutospacing="1" w:after="100" w:afterAutospacing="1"/>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2.生产厂名与厂址应与生产厂营业执照载明的相关信息保持一致。</w:t>
      </w:r>
      <w:r/>
    </w:p>
    <w:p>
      <w:pPr>
        <w:pStyle w:val="809"/>
        <w:ind w:left="440" w:hanging="440"/>
        <w:spacing w:before="100" w:beforeAutospacing="1" w:after="100" w:afterAutospacing="1"/>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3.该产品的中国境内生产的组件成本占比相关要求实施前，“规定比例”栏可不填，下同。</w:t>
      </w:r>
      <w:r/>
    </w:p>
    <w:p>
      <w:pPr>
        <w:pStyle w:val="809"/>
        <w:ind w:left="0" w:firstLine="0"/>
        <w:spacing w:before="100" w:beforeAutospacing="1" w:after="100" w:afterAutospacing="1"/>
        <w:widowControl/>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lang w:eastAsia="zh-CN"/>
        </w:rPr>
        <w:t xml:space="preserve">（在分产品确定的中国境内生产组件成本占比要求正式实施前，只要产品符合“在中华人民共和国关境内完成制造、加工或组装”的基本条件，即可视同为本国产品，无需填写具体的比例数值）</w:t>
      </w:r>
      <w:r/>
    </w:p>
    <w:p>
      <w:pPr>
        <w:pStyle w:val="809"/>
        <w:ind w:left="440" w:hanging="440"/>
        <w:spacing w:before="100" w:beforeAutospacing="1" w:after="100" w:afterAutospacing="1"/>
        <w:widowControl/>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4.该产品的关键组件要求实施前，“关键组件”栏可不填，下同。</w:t>
      </w:r>
      <w:r/>
    </w:p>
    <w:p>
      <w:pPr>
        <w:pStyle w:val="809"/>
        <w:ind w:left="440" w:hanging="440"/>
        <w:spacing w:before="100" w:beforeAutospacing="1" w:after="100" w:afterAutospacing="1"/>
        <w:widowControl/>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 xml:space="preserve">5.该产品的关键工序要求实施前，“关键工序”栏可不填，下同。</w:t>
      </w:r>
      <w:r/>
    </w:p>
    <w:p>
      <w:pPr>
        <w:rPr>
          <w:rFonts w:hint="eastAsia" w:ascii="黑体" w:hAnsi="宋体" w:eastAsia="黑体" w:cs="Times New Roman"/>
          <w:bCs/>
          <w:color w:val="auto"/>
          <w:sz w:val="24"/>
          <w:szCs w:val="24"/>
          <w:highlight w:val="none"/>
          <w:lang w:eastAsia="zh-CN"/>
        </w:rPr>
        <w:outlineLvl w:val="2"/>
      </w:pPr>
      <w:r>
        <w:rPr>
          <w:rFonts w:hint="eastAsia" w:ascii="黑体" w:hAnsi="宋体" w:eastAsia="黑体" w:cs="Times New Roman"/>
          <w:bCs/>
          <w:color w:val="auto"/>
          <w:sz w:val="24"/>
          <w:szCs w:val="24"/>
          <w:highlight w:val="none"/>
          <w:lang w:eastAsia="zh-CN"/>
        </w:rPr>
      </w:r>
      <w:r/>
    </w:p>
    <w:sectPr>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Wingdings">
    <w:panose1 w:val="05000000000000000000"/>
  </w:font>
  <w:font w:name="华文楷体">
    <w:panose1 w:val="02010600040101010101"/>
  </w:font>
  <w:font w:name="SimSun">
    <w:panose1 w:val="02010600030101010101"/>
  </w:font>
  <w:font w:name="隶书">
    <w:panose1 w:val="02010509060101010101"/>
  </w:font>
  <w:font w:name="文鼎CS中宋">
    <w:panose1 w:val="020B0503020202020204"/>
  </w:font>
  <w:font w:name="Tahoma">
    <w:panose1 w:val="020B0604030504040204"/>
  </w:font>
  <w:font w:name="Garamond">
    <w:panose1 w:val="02020404030301010803"/>
  </w:font>
  <w:font w:name="等线">
    <w:panose1 w:val="02010600030101010101"/>
  </w:font>
  <w:font w:name="仿宋">
    <w:panose1 w:val="02010609060101010101"/>
  </w:font>
  <w:font w:name="微软雅黑">
    <w:panose1 w:val="020B0503020204020204"/>
  </w:font>
  <w:font w:name="Calibri">
    <w:panose1 w:val="020F0502020204030204"/>
  </w:font>
  <w:font w:name="Symbol">
    <w:panose1 w:val="05050102010706020507"/>
  </w:font>
  <w:font w:name="新宋体">
    <w:panose1 w:val="02010609030101010101"/>
  </w:font>
  <w:font w:name="Cambria Math">
    <w:panose1 w:val="02040503050406030204"/>
  </w:font>
  <w:font w:name="Calibri Light">
    <w:panose1 w:val="020F0302020204030204"/>
  </w:font>
  <w:font w:name="ˎ̥">
    <w:panose1 w:val="020B0503020202020204"/>
  </w:font>
  <w:font w:name="楷体_GB2312">
    <w:panose1 w:val="02010609060101010101"/>
  </w:font>
  <w:font w:name="华文细黑">
    <w:panose1 w:val="02010600040101010101"/>
  </w:font>
  <w:font w:name="Cambria">
    <w:panose1 w:val="02040503050406030204"/>
  </w:font>
  <w:font w:name="Courier New">
    <w:panose1 w:val="02070309020205020404"/>
  </w:font>
  <w:font w:name="黑体">
    <w:panose1 w:val="02010609060101010101"/>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rPr>
        <w:rStyle w:val="1091"/>
      </w:rPr>
      <w:framePr w:wrap="around" w:vAnchor="text" w:hAnchor="margin" w:xAlign="center" w:y="1"/>
    </w:pPr>
    <w:r>
      <w:rPr>
        <w:rStyle w:val="1091"/>
      </w:rPr>
      <w:fldChar w:fldCharType="begin"/>
    </w:r>
    <w:r>
      <w:rPr>
        <w:rStyle w:val="1091"/>
      </w:rPr>
      <w:instrText xml:space="preserve">PAGE  </w:instrText>
    </w:r>
    <w:r>
      <w:rPr>
        <w:rStyle w:val="1091"/>
      </w:rPr>
      <w:fldChar w:fldCharType="separate"/>
    </w:r>
    <w:r>
      <w:rPr>
        <w:rStyle w:val="1091"/>
      </w:rPr>
      <w:t xml:space="preserve">1</w:t>
    </w:r>
    <w:r>
      <w:rPr>
        <w:rStyle w:val="1091"/>
      </w:rPr>
      <w:fldChar w:fldCharType="end"/>
    </w:r>
    <w:r/>
  </w:p>
  <w:p>
    <w:pPr>
      <w:pStyle w:val="105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1775" cy="28448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1741" cy="284772"/>
                      </a:xfrm>
                      <a:prstGeom prst="rect">
                        <a:avLst/>
                      </a:prstGeom>
                      <a:noFill/>
                      <a:ln>
                        <a:noFill/>
                      </a:ln>
                    </wps:spPr>
                    <wps:txbx>
                      <w:txbxContent>
                        <w:p>
                          <w:pPr>
                            <w:pStyle w:val="105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2pt;height:22.4pt;mso-wrap-distance-left:9.0pt;mso-wrap-distance-top:0.0pt;mso-wrap-distance-right:9.0pt;mso-wrap-distance-bottom:0.0pt;visibility:visible;" filled="f" stroked="f">
              <v:textbox inset="0,0,0,0">
                <w:txbxContent>
                  <w:p>
                    <w:pPr>
                      <w:pStyle w:val="105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right"/>
      <w:tabs>
        <w:tab w:val="center" w:pos="4524" w:leader="none"/>
        <w:tab w:val="right" w:pos="9048" w:leader="none"/>
      </w:tabs>
      <w:rPr>
        <w:rFonts w:hint="eastAsia" w:ascii="宋体" w:hAnsi="宋体"/>
        <w:lang w:eastAsia="zh-CN"/>
      </w:rPr>
    </w:pPr>
    <w:r>
      <w:rPr>
        <w:rFonts w:hint="eastAsia"/>
      </w:rPr>
      <w:t xml:space="preserve">   </w:t>
    </w:r>
    <w:r>
      <w:rPr>
        <w:rFonts w:hint="eastAsia"/>
        <w:lang w:val="en-US" w:eastAsia="zh-CN"/>
      </w:rPr>
      <w:t xml:space="preserve">                                                 </w:t>
    </w:r>
    <w:r>
      <w:rPr>
        <w:rFonts w:hint="eastAsia" w:ascii="宋体" w:hAnsi="宋体"/>
        <w:lang w:eastAsia="zh-CN"/>
      </w:rPr>
      <w:t xml:space="preserve">江苏省锡东高级中学大成分校家具采购项目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left"/>
      <w:tabs>
        <w:tab w:val="center" w:pos="4524" w:leader="none"/>
        <w:tab w:val="right" w:pos="9048" w:leader="none"/>
      </w:tabs>
    </w:pPr>
    <w:r>
      <w:rPr>
        <w:rFonts w:hint="eastAsia" w:ascii="宋体" w:hAnsi="宋体"/>
        <w:lang w:eastAsia="zh-CN"/>
      </w:rPr>
      <w:t xml:space="preserve">JSZC-320214-WXZB-G2024-0006</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无锡高新区（新吴区）2024年度土壤污染状况调查报告技术评估服务项目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pStyle w:val="1059"/>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8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11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0"/>
  </w:num>
  <w:num w:numId="4">
    <w:abstractNumId w:val="4"/>
  </w:num>
  <w:num w:numId="5">
    <w:abstractNumId w:val="1"/>
  </w:num>
  <w:num w:numId="6">
    <w:abstractNumId w:val="11"/>
  </w:num>
  <w:num w:numId="7">
    <w:abstractNumId w:val="7"/>
  </w:num>
  <w:num w:numId="8">
    <w:abstractNumId w:val="9"/>
  </w:num>
  <w:num w:numId="9">
    <w:abstractNumId w:val="5"/>
  </w:num>
  <w:num w:numId="10">
    <w:abstractNumId w:val="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link w:val="1163"/>
    <w:uiPriority w:val="0"/>
    <w:qFormat/>
    <w:pPr>
      <w:jc w:val="both"/>
      <w:widowControl w:val="off"/>
    </w:pPr>
    <w:rPr>
      <w:rFonts w:hint="default" w:ascii="Times New Roman" w:hAnsi="Times New Roman" w:eastAsia="宋体" w:cs="Times New Roman"/>
      <w:sz w:val="21"/>
      <w:lang w:val="en-US" w:eastAsia="zh-CN" w:bidi="ar-SA"/>
    </w:rPr>
  </w:style>
  <w:style w:type="paragraph" w:styleId="791">
    <w:name w:val="Heading 1"/>
    <w:basedOn w:val="790"/>
    <w:next w:val="790"/>
    <w:link w:val="834"/>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35"/>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790"/>
    <w:link w:val="836"/>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37"/>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38"/>
    <w:uiPriority w:val="9"/>
    <w:unhideWhenUsed/>
    <w:qFormat/>
    <w:pPr>
      <w:keepLines/>
      <w:keepNext/>
      <w:spacing w:before="320" w:after="200"/>
      <w:outlineLvl w:val="4"/>
    </w:pPr>
    <w:rPr>
      <w:rFonts w:ascii="Arial" w:hAnsi="Arial" w:eastAsia="Arial" w:cs="Arial"/>
      <w:b/>
      <w:bCs/>
      <w:sz w:val="24"/>
      <w:szCs w:val="24"/>
    </w:rPr>
  </w:style>
  <w:style w:type="paragraph" w:styleId="796">
    <w:name w:val="Heading 6"/>
    <w:basedOn w:val="790"/>
    <w:next w:val="790"/>
    <w:link w:val="839"/>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41"/>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42"/>
    <w:uiPriority w:val="9"/>
    <w:unhideWhenUsed/>
    <w:qFormat/>
    <w:pPr>
      <w:keepLines/>
      <w:keepNext/>
      <w:spacing w:before="320" w:after="200"/>
      <w:outlineLvl w:val="8"/>
    </w:pPr>
    <w:rPr>
      <w:rFonts w:ascii="Arial" w:hAnsi="Arial" w:eastAsia="Arial" w:cs="Arial"/>
      <w:i/>
      <w:iCs/>
      <w:sz w:val="21"/>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basedOn w:val="790"/>
    <w:next w:val="790"/>
    <w:uiPriority w:val="39"/>
    <w:unhideWhenUsed/>
    <w:qFormat/>
    <w:pPr>
      <w:ind w:left="1701" w:right="0" w:firstLine="0"/>
      <w:spacing w:after="57"/>
    </w:pPr>
  </w:style>
  <w:style w:type="paragraph" w:styleId="803">
    <w:name w:val="Normal Indent"/>
    <w:basedOn w:val="790"/>
    <w:uiPriority w:val="0"/>
    <w:unhideWhenUsed/>
    <w:qFormat/>
    <w:pPr>
      <w:ind w:firstLine="420"/>
    </w:pPr>
    <w:rPr>
      <w:szCs w:val="24"/>
    </w:rPr>
  </w:style>
  <w:style w:type="paragraph" w:styleId="804">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annotation text"/>
    <w:basedOn w:val="790"/>
    <w:uiPriority w:val="99"/>
    <w:semiHidden/>
    <w:unhideWhenUsed/>
    <w:qFormat/>
    <w:pPr>
      <w:jc w:val="left"/>
    </w:pPr>
  </w:style>
  <w:style w:type="paragraph" w:styleId="806">
    <w:name w:val="Body Text"/>
    <w:basedOn w:val="790"/>
    <w:next w:val="790"/>
    <w:uiPriority w:val="99"/>
    <w:qFormat/>
    <w:rPr>
      <w:rFonts w:ascii="华文中宋" w:eastAsia="华文中宋"/>
      <w:bCs/>
      <w:sz w:val="28"/>
    </w:rPr>
  </w:style>
  <w:style w:type="paragraph" w:styleId="807">
    <w:name w:val="Body Text Indent"/>
    <w:basedOn w:val="790"/>
    <w:next w:val="808"/>
    <w:uiPriority w:val="0"/>
    <w:qFormat/>
    <w:pPr>
      <w:ind w:left="156"/>
      <w:spacing w:line="300" w:lineRule="auto"/>
      <w:widowControl/>
    </w:pPr>
    <w:rPr>
      <w:rFonts w:ascii="仿宋_GB2312" w:eastAsia="仿宋_GB2312"/>
      <w:sz w:val="28"/>
      <w:szCs w:val="20"/>
    </w:rPr>
  </w:style>
  <w:style w:type="paragraph" w:styleId="808">
    <w:name w:val="envelope return"/>
    <w:basedOn w:val="790"/>
    <w:uiPriority w:val="0"/>
    <w:qFormat/>
    <w:rPr>
      <w:rFonts w:ascii="Arial" w:hAnsi="Arial"/>
    </w:rPr>
  </w:style>
  <w:style w:type="paragraph" w:styleId="809">
    <w:name w:val="index 4"/>
    <w:basedOn w:val="790"/>
    <w:next w:val="790"/>
    <w:uiPriority w:val="99"/>
    <w:qFormat/>
    <w:pPr>
      <w:ind w:left="600"/>
    </w:pPr>
    <w:rPr>
      <w:szCs w:val="24"/>
    </w:rPr>
  </w:style>
  <w:style w:type="paragraph" w:styleId="810">
    <w:name w:val="toc 5"/>
    <w:basedOn w:val="790"/>
    <w:next w:val="790"/>
    <w:uiPriority w:val="39"/>
    <w:unhideWhenUsed/>
    <w:qFormat/>
    <w:pPr>
      <w:ind w:left="1134" w:right="0" w:firstLine="0"/>
      <w:spacing w:after="57"/>
    </w:pPr>
  </w:style>
  <w:style w:type="paragraph" w:styleId="811">
    <w:name w:val="toc 3"/>
    <w:basedOn w:val="790"/>
    <w:next w:val="790"/>
    <w:uiPriority w:val="39"/>
    <w:unhideWhenUsed/>
    <w:qFormat/>
    <w:pPr>
      <w:ind w:left="567" w:right="0" w:firstLine="0"/>
      <w:spacing w:after="57"/>
    </w:pPr>
  </w:style>
  <w:style w:type="paragraph" w:styleId="812">
    <w:name w:val="Plain Text"/>
    <w:basedOn w:val="790"/>
    <w:uiPriority w:val="0"/>
    <w:qFormat/>
    <w:rPr>
      <w:rFonts w:ascii="宋体" w:hAnsi="Courier New"/>
      <w:szCs w:val="21"/>
    </w:rPr>
  </w:style>
  <w:style w:type="paragraph" w:styleId="813">
    <w:name w:val="toc 8"/>
    <w:basedOn w:val="790"/>
    <w:next w:val="790"/>
    <w:uiPriority w:val="39"/>
    <w:unhideWhenUsed/>
    <w:qFormat/>
    <w:pPr>
      <w:ind w:left="1984" w:right="0" w:firstLine="0"/>
      <w:spacing w:after="57"/>
    </w:pPr>
  </w:style>
  <w:style w:type="paragraph" w:styleId="814">
    <w:name w:val="endnote text"/>
    <w:basedOn w:val="790"/>
    <w:link w:val="979"/>
    <w:uiPriority w:val="99"/>
    <w:semiHidden/>
    <w:unhideWhenUsed/>
    <w:qFormat/>
    <w:pPr>
      <w:spacing w:after="0" w:line="240" w:lineRule="auto"/>
    </w:pPr>
    <w:rPr>
      <w:sz w:val="20"/>
    </w:rPr>
  </w:style>
  <w:style w:type="paragraph" w:styleId="815">
    <w:name w:val="Footer"/>
    <w:basedOn w:val="790"/>
    <w:next w:val="790"/>
    <w:link w:val="852"/>
    <w:uiPriority w:val="99"/>
    <w:unhideWhenUsed/>
    <w:qFormat/>
    <w:pPr>
      <w:spacing w:after="0" w:line="240" w:lineRule="auto"/>
      <w:tabs>
        <w:tab w:val="center" w:pos="7143" w:leader="none"/>
        <w:tab w:val="right" w:pos="14287" w:leader="none"/>
      </w:tabs>
    </w:pPr>
  </w:style>
  <w:style w:type="paragraph" w:styleId="816">
    <w:name w:val="Header"/>
    <w:basedOn w:val="790"/>
    <w:link w:val="850"/>
    <w:uiPriority w:val="99"/>
    <w:unhideWhenUsed/>
    <w:qFormat/>
    <w:pPr>
      <w:spacing w:after="0" w:line="240" w:lineRule="auto"/>
      <w:tabs>
        <w:tab w:val="center" w:pos="7143" w:leader="none"/>
        <w:tab w:val="right" w:pos="14287" w:leader="none"/>
      </w:tabs>
    </w:pPr>
  </w:style>
  <w:style w:type="paragraph" w:styleId="817">
    <w:name w:val="toc 1"/>
    <w:basedOn w:val="790"/>
    <w:next w:val="790"/>
    <w:uiPriority w:val="39"/>
    <w:unhideWhenUsed/>
    <w:qFormat/>
    <w:pPr>
      <w:ind w:left="0" w:right="0" w:firstLine="0"/>
      <w:spacing w:after="57"/>
    </w:pPr>
  </w:style>
  <w:style w:type="paragraph" w:styleId="818">
    <w:name w:val="toc 4"/>
    <w:basedOn w:val="790"/>
    <w:next w:val="790"/>
    <w:uiPriority w:val="39"/>
    <w:unhideWhenUsed/>
    <w:qFormat/>
    <w:pPr>
      <w:ind w:left="850" w:right="0" w:firstLine="0"/>
      <w:spacing w:after="57"/>
    </w:pPr>
  </w:style>
  <w:style w:type="paragraph" w:styleId="819">
    <w:name w:val="Subtitle"/>
    <w:basedOn w:val="790"/>
    <w:next w:val="790"/>
    <w:link w:val="845"/>
    <w:uiPriority w:val="11"/>
    <w:qFormat/>
    <w:pPr>
      <w:spacing w:before="200" w:after="200"/>
    </w:pPr>
    <w:rPr>
      <w:sz w:val="24"/>
      <w:szCs w:val="24"/>
    </w:rPr>
  </w:style>
  <w:style w:type="paragraph" w:styleId="820">
    <w:name w:val="footnote text"/>
    <w:basedOn w:val="790"/>
    <w:link w:val="978"/>
    <w:uiPriority w:val="99"/>
    <w:semiHidden/>
    <w:unhideWhenUsed/>
    <w:qFormat/>
    <w:pPr>
      <w:spacing w:after="40" w:line="240" w:lineRule="auto"/>
    </w:pPr>
    <w:rPr>
      <w:sz w:val="18"/>
    </w:rPr>
  </w:style>
  <w:style w:type="paragraph" w:styleId="821">
    <w:name w:val="toc 6"/>
    <w:basedOn w:val="790"/>
    <w:next w:val="790"/>
    <w:uiPriority w:val="39"/>
    <w:unhideWhenUsed/>
    <w:qFormat/>
    <w:pPr>
      <w:ind w:left="1417" w:right="0" w:firstLine="0"/>
      <w:spacing w:after="57"/>
    </w:pPr>
  </w:style>
  <w:style w:type="paragraph" w:styleId="822">
    <w:name w:val="table of figures"/>
    <w:basedOn w:val="790"/>
    <w:next w:val="790"/>
    <w:uiPriority w:val="99"/>
    <w:unhideWhenUsed/>
    <w:qFormat/>
    <w:pPr>
      <w:spacing w:after="0" w:afterAutospacing="0"/>
    </w:pPr>
  </w:style>
  <w:style w:type="paragraph" w:styleId="823">
    <w:name w:val="toc 2"/>
    <w:basedOn w:val="790"/>
    <w:next w:val="790"/>
    <w:uiPriority w:val="39"/>
    <w:unhideWhenUsed/>
    <w:qFormat/>
    <w:pPr>
      <w:ind w:left="283" w:right="0" w:firstLine="0"/>
      <w:spacing w:after="57"/>
    </w:pPr>
  </w:style>
  <w:style w:type="paragraph" w:styleId="824">
    <w:name w:val="toc 9"/>
    <w:basedOn w:val="790"/>
    <w:next w:val="790"/>
    <w:uiPriority w:val="39"/>
    <w:unhideWhenUsed/>
    <w:qFormat/>
    <w:pPr>
      <w:ind w:left="2268" w:right="0" w:firstLine="0"/>
      <w:spacing w:after="57"/>
    </w:pPr>
  </w:style>
  <w:style w:type="paragraph" w:styleId="825">
    <w:name w:val="Normal (Web)"/>
    <w:basedOn w:val="790"/>
    <w:uiPriority w:val="99"/>
    <w:semiHidden/>
    <w:unhideWhenUsed/>
    <w:qFormat/>
    <w:pPr>
      <w:jc w:val="left"/>
      <w:spacing w:beforeAutospacing="1" w:afterAutospacing="1"/>
    </w:pPr>
    <w:rPr>
      <w:sz w:val="24"/>
    </w:rPr>
  </w:style>
  <w:style w:type="paragraph" w:styleId="826">
    <w:name w:val="Title"/>
    <w:basedOn w:val="790"/>
    <w:next w:val="790"/>
    <w:link w:val="844"/>
    <w:uiPriority w:val="10"/>
    <w:qFormat/>
    <w:pPr>
      <w:contextualSpacing/>
      <w:spacing w:before="300" w:after="200"/>
    </w:pPr>
    <w:rPr>
      <w:sz w:val="48"/>
      <w:szCs w:val="48"/>
    </w:rPr>
  </w:style>
  <w:style w:type="paragraph" w:styleId="827">
    <w:name w:val="Body Text First Indent 2"/>
    <w:basedOn w:val="807"/>
    <w:uiPriority w:val="0"/>
    <w:qFormat/>
    <w:pPr>
      <w:ind w:left="420" w:firstLine="420"/>
      <w:spacing w:after="120" w:line="240" w:lineRule="auto"/>
      <w:widowControl w:val="off"/>
    </w:pPr>
    <w:rPr>
      <w:rFonts w:ascii="Cambria" w:hAnsi="Cambria" w:eastAsia="华文细黑"/>
      <w:sz w:val="21"/>
    </w:rPr>
  </w:style>
  <w:style w:type="table" w:styleId="8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footnote reference"/>
    <w:uiPriority w:val="99"/>
    <w:unhideWhenUsed/>
    <w:qFormat/>
    <w:rPr>
      <w:vertAlign w:val="superscript"/>
    </w:rPr>
  </w:style>
  <w:style w:type="paragraph" w:styleId="832" w:customStyle="1">
    <w:name w:val="索引 41"/>
    <w:basedOn w:val="790"/>
    <w:next w:val="790"/>
    <w:uiPriority w:val="0"/>
    <w:unhideWhenUsed/>
    <w:qFormat/>
    <w:pPr>
      <w:ind w:left="600"/>
    </w:pPr>
  </w:style>
  <w:style w:type="paragraph" w:styleId="833" w:customStyle="1">
    <w:name w:val="TOC Heading1"/>
    <w:next w:val="790"/>
    <w:uiPriority w:val="0"/>
    <w:qFormat/>
    <w:rPr>
      <w:rFonts w:hint="default" w:ascii="Times New Roman" w:hAnsi="Times New Roman" w:eastAsia="宋体" w:cs="Times New Roman"/>
      <w:sz w:val="32"/>
      <w:lang w:val="en-US" w:eastAsia="zh-CN" w:bidi="ar-SA"/>
    </w:rPr>
  </w:style>
  <w:style w:type="character" w:styleId="834" w:customStyle="1">
    <w:name w:val="Heading 1 Char"/>
    <w:link w:val="791"/>
    <w:uiPriority w:val="9"/>
    <w:qFormat/>
    <w:rPr>
      <w:rFonts w:ascii="Arial" w:hAnsi="Arial" w:eastAsia="Arial" w:cs="Arial"/>
      <w:sz w:val="40"/>
      <w:szCs w:val="40"/>
    </w:rPr>
  </w:style>
  <w:style w:type="character" w:styleId="835" w:customStyle="1">
    <w:name w:val="Heading 2 Char"/>
    <w:link w:val="792"/>
    <w:uiPriority w:val="9"/>
    <w:qFormat/>
    <w:rPr>
      <w:rFonts w:ascii="Arial" w:hAnsi="Arial" w:eastAsia="Arial" w:cs="Arial"/>
      <w:sz w:val="34"/>
    </w:rPr>
  </w:style>
  <w:style w:type="character" w:styleId="836" w:customStyle="1">
    <w:name w:val="Heading 3 Char"/>
    <w:link w:val="793"/>
    <w:uiPriority w:val="9"/>
    <w:qFormat/>
    <w:rPr>
      <w:rFonts w:ascii="Arial" w:hAnsi="Arial" w:eastAsia="Arial" w:cs="Arial"/>
      <w:sz w:val="30"/>
      <w:szCs w:val="30"/>
    </w:rPr>
  </w:style>
  <w:style w:type="character" w:styleId="837" w:customStyle="1">
    <w:name w:val="Heading 4 Char"/>
    <w:link w:val="794"/>
    <w:uiPriority w:val="9"/>
    <w:qFormat/>
    <w:rPr>
      <w:rFonts w:ascii="Arial" w:hAnsi="Arial" w:eastAsia="Arial" w:cs="Arial"/>
      <w:b/>
      <w:bCs/>
      <w:sz w:val="26"/>
      <w:szCs w:val="26"/>
    </w:rPr>
  </w:style>
  <w:style w:type="character" w:styleId="838" w:customStyle="1">
    <w:name w:val="Heading 5 Char"/>
    <w:link w:val="795"/>
    <w:uiPriority w:val="9"/>
    <w:qFormat/>
    <w:rPr>
      <w:rFonts w:ascii="Arial" w:hAnsi="Arial" w:eastAsia="Arial" w:cs="Arial"/>
      <w:b/>
      <w:bCs/>
      <w:sz w:val="24"/>
      <w:szCs w:val="24"/>
    </w:rPr>
  </w:style>
  <w:style w:type="character" w:styleId="839" w:customStyle="1">
    <w:name w:val="Heading 6 Char"/>
    <w:link w:val="796"/>
    <w:uiPriority w:val="9"/>
    <w:qFormat/>
    <w:rPr>
      <w:rFonts w:ascii="Arial" w:hAnsi="Arial" w:eastAsia="Arial" w:cs="Arial"/>
      <w:b/>
      <w:bCs/>
      <w:sz w:val="22"/>
      <w:szCs w:val="22"/>
    </w:rPr>
  </w:style>
  <w:style w:type="character" w:styleId="840" w:customStyle="1">
    <w:name w:val="Heading 7 Char"/>
    <w:link w:val="797"/>
    <w:uiPriority w:val="9"/>
    <w:qFormat/>
    <w:rPr>
      <w:rFonts w:ascii="Arial" w:hAnsi="Arial" w:eastAsia="Arial" w:cs="Arial"/>
      <w:b/>
      <w:bCs/>
      <w:i/>
      <w:iCs/>
      <w:sz w:val="22"/>
      <w:szCs w:val="22"/>
    </w:rPr>
  </w:style>
  <w:style w:type="character" w:styleId="841" w:customStyle="1">
    <w:name w:val="Heading 8 Char"/>
    <w:link w:val="798"/>
    <w:uiPriority w:val="9"/>
    <w:qFormat/>
    <w:rPr>
      <w:rFonts w:ascii="Arial" w:hAnsi="Arial" w:eastAsia="Arial" w:cs="Arial"/>
      <w:i/>
      <w:iCs/>
      <w:sz w:val="22"/>
      <w:szCs w:val="22"/>
    </w:rPr>
  </w:style>
  <w:style w:type="character" w:styleId="842" w:customStyle="1">
    <w:name w:val="Heading 9 Char"/>
    <w:link w:val="799"/>
    <w:uiPriority w:val="9"/>
    <w:qFormat/>
    <w:rPr>
      <w:rFonts w:ascii="Arial" w:hAnsi="Arial" w:eastAsia="Arial" w:cs="Arial"/>
      <w:i/>
      <w:iCs/>
      <w:sz w:val="21"/>
      <w:szCs w:val="21"/>
    </w:rPr>
  </w:style>
  <w:style w:type="paragraph" w:styleId="843">
    <w:name w:val="No Spacing"/>
    <w:uiPriority w:val="1"/>
    <w:qFormat/>
    <w:pPr>
      <w:spacing w:before="0" w:after="0" w:line="240" w:lineRule="auto"/>
    </w:pPr>
    <w:rPr>
      <w:rFonts w:hint="default" w:ascii="Times New Roman" w:hAnsi="Times New Roman" w:eastAsia="宋体" w:cs="Times New Roman"/>
    </w:rPr>
  </w:style>
  <w:style w:type="character" w:styleId="844" w:customStyle="1">
    <w:name w:val="Title Char"/>
    <w:link w:val="826"/>
    <w:uiPriority w:val="10"/>
    <w:qFormat/>
    <w:rPr>
      <w:sz w:val="48"/>
      <w:szCs w:val="48"/>
    </w:rPr>
  </w:style>
  <w:style w:type="character" w:styleId="845" w:customStyle="1">
    <w:name w:val="Subtitle Char"/>
    <w:link w:val="819"/>
    <w:uiPriority w:val="11"/>
    <w:qFormat/>
    <w:rPr>
      <w:sz w:val="24"/>
      <w:szCs w:val="24"/>
    </w:rPr>
  </w:style>
  <w:style w:type="paragraph" w:styleId="846">
    <w:name w:val="Quote"/>
    <w:basedOn w:val="790"/>
    <w:next w:val="790"/>
    <w:link w:val="847"/>
    <w:uiPriority w:val="29"/>
    <w:qFormat/>
    <w:pPr>
      <w:ind w:left="720" w:right="720"/>
    </w:pPr>
    <w:rPr>
      <w:i/>
    </w:rPr>
  </w:style>
  <w:style w:type="character" w:styleId="847" w:customStyle="1">
    <w:name w:val="Quote Char"/>
    <w:link w:val="846"/>
    <w:uiPriority w:val="29"/>
    <w:qFormat/>
    <w:rPr>
      <w:i/>
    </w:rPr>
  </w:style>
  <w:style w:type="paragraph" w:styleId="848">
    <w:name w:val="Intense Quote"/>
    <w:basedOn w:val="790"/>
    <w:next w:val="790"/>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Intense Quote Char"/>
    <w:link w:val="848"/>
    <w:uiPriority w:val="30"/>
    <w:qFormat/>
    <w:rPr>
      <w:i/>
    </w:rPr>
  </w:style>
  <w:style w:type="character" w:styleId="850" w:customStyle="1">
    <w:name w:val="Header Char"/>
    <w:link w:val="816"/>
    <w:uiPriority w:val="99"/>
    <w:qFormat/>
  </w:style>
  <w:style w:type="character" w:styleId="851" w:customStyle="1">
    <w:name w:val="Footer Char"/>
    <w:link w:val="815"/>
    <w:uiPriority w:val="99"/>
    <w:qFormat/>
  </w:style>
  <w:style w:type="character" w:styleId="852" w:customStyle="1">
    <w:name w:val="Caption Char"/>
    <w:link w:val="815"/>
    <w:uiPriority w:val="99"/>
    <w:qFormat/>
  </w:style>
  <w:style w:type="table" w:styleId="8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Footnote Text Char"/>
    <w:link w:val="820"/>
    <w:uiPriority w:val="99"/>
    <w:qFormat/>
    <w:rPr>
      <w:sz w:val="18"/>
    </w:rPr>
  </w:style>
  <w:style w:type="character" w:styleId="979" w:customStyle="1">
    <w:name w:val="Endnote Text Char"/>
    <w:link w:val="814"/>
    <w:uiPriority w:val="99"/>
    <w:qFormat/>
    <w:rPr>
      <w:sz w:val="20"/>
    </w:rPr>
  </w:style>
  <w:style w:type="paragraph" w:styleId="980" w:customStyle="1">
    <w:name w:val="TOC Heading"/>
    <w:uiPriority w:val="39"/>
    <w:unhideWhenUsed/>
    <w:qFormat/>
    <w:rPr>
      <w:rFonts w:hint="default" w:ascii="Times New Roman" w:hAnsi="Times New Roman" w:eastAsia="宋体" w:cs="Times New Roman"/>
    </w:rPr>
  </w:style>
  <w:style w:type="paragraph" w:styleId="981" w:customStyle="1">
    <w:name w:val="标题 11"/>
    <w:basedOn w:val="790"/>
    <w:next w:val="790"/>
    <w:link w:val="997"/>
    <w:uiPriority w:val="0"/>
    <w:qFormat/>
    <w:pPr>
      <w:jc w:val="center"/>
      <w:keepNext/>
      <w:outlineLvl w:val="0"/>
    </w:pPr>
    <w:rPr>
      <w:rFonts w:ascii="楷体_GB2312" w:eastAsia="楷体_GB2312"/>
      <w:b/>
      <w:sz w:val="28"/>
    </w:rPr>
  </w:style>
  <w:style w:type="paragraph" w:styleId="982" w:customStyle="1">
    <w:name w:val="标题 21"/>
    <w:basedOn w:val="790"/>
    <w:next w:val="790"/>
    <w:link w:val="998"/>
    <w:uiPriority w:val="0"/>
    <w:qFormat/>
    <w:pPr>
      <w:jc w:val="center"/>
      <w:keepNext/>
      <w:outlineLvl w:val="1"/>
    </w:pPr>
    <w:rPr>
      <w:rFonts w:ascii="楷体_GB2312" w:eastAsia="楷体_GB2312"/>
      <w:b/>
      <w:bCs/>
      <w:sz w:val="18"/>
    </w:rPr>
  </w:style>
  <w:style w:type="paragraph" w:styleId="983" w:customStyle="1">
    <w:name w:val="标题 31"/>
    <w:basedOn w:val="790"/>
    <w:next w:val="790"/>
    <w:link w:val="999"/>
    <w:uiPriority w:val="0"/>
    <w:qFormat/>
    <w:pPr>
      <w:jc w:val="center"/>
      <w:keepNext/>
      <w:outlineLvl w:val="2"/>
    </w:pPr>
    <w:rPr>
      <w:rFonts w:eastAsia="楷体_GB2312"/>
      <w:b/>
      <w:bCs/>
      <w:sz w:val="15"/>
    </w:rPr>
  </w:style>
  <w:style w:type="paragraph" w:styleId="984" w:customStyle="1">
    <w:name w:val="标题 41"/>
    <w:basedOn w:val="790"/>
    <w:next w:val="790"/>
    <w:link w:val="1000"/>
    <w:uiPriority w:val="0"/>
    <w:qFormat/>
    <w:pPr>
      <w:jc w:val="center"/>
      <w:keepNext/>
      <w:outlineLvl w:val="3"/>
    </w:pPr>
    <w:rPr>
      <w:rFonts w:eastAsia="楷体_GB2312"/>
      <w:b/>
      <w:bCs/>
      <w:sz w:val="13"/>
    </w:rPr>
  </w:style>
  <w:style w:type="paragraph" w:styleId="985" w:customStyle="1">
    <w:name w:val="标题 51"/>
    <w:basedOn w:val="790"/>
    <w:next w:val="790"/>
    <w:link w:val="1001"/>
    <w:uiPriority w:val="99"/>
    <w:qFormat/>
    <w:pPr>
      <w:numPr>
        <w:ilvl w:val="0"/>
        <w:numId w:val="1"/>
      </w:numPr>
      <w:keepNext/>
      <w:outlineLvl w:val="4"/>
    </w:pPr>
    <w:rPr>
      <w:rFonts w:ascii="楷体_GB2312" w:eastAsia="楷体_GB2312"/>
      <w:bCs/>
      <w:sz w:val="28"/>
    </w:rPr>
  </w:style>
  <w:style w:type="paragraph" w:styleId="986" w:customStyle="1">
    <w:name w:val="标题 61"/>
    <w:basedOn w:val="790"/>
    <w:next w:val="790"/>
    <w:link w:val="1002"/>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87" w:customStyle="1">
    <w:name w:val="标题 71"/>
    <w:basedOn w:val="790"/>
    <w:next w:val="790"/>
    <w:link w:val="1003"/>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88" w:customStyle="1">
    <w:name w:val="标题 81"/>
    <w:basedOn w:val="790"/>
    <w:next w:val="790"/>
    <w:link w:val="1004"/>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89" w:customStyle="1">
    <w:name w:val="标题 91"/>
    <w:basedOn w:val="790"/>
    <w:next w:val="790"/>
    <w:link w:val="1005"/>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90" w:customStyle="1">
    <w:name w:val="默认段落字体1"/>
    <w:link w:val="790"/>
    <w:uiPriority w:val="1"/>
    <w:unhideWhenUsed/>
    <w:qFormat/>
  </w:style>
  <w:style w:type="table" w:styleId="991" w:customStyle="1">
    <w:name w:val="普通表格1"/>
    <w:uiPriority w:val="99"/>
    <w:unhideWhenUsed/>
    <w:qFormat/>
    <w:tblPr/>
  </w:style>
  <w:style w:type="paragraph" w:styleId="992" w:customStyle="1">
    <w:name w:val="正文首行缩进 21"/>
    <w:basedOn w:val="993"/>
    <w:next w:val="790"/>
    <w:link w:val="996"/>
    <w:uiPriority w:val="0"/>
    <w:qFormat/>
    <w:pPr>
      <w:ind w:firstLine="210"/>
      <w:spacing w:after="120"/>
    </w:pPr>
    <w:rPr>
      <w:rFonts w:ascii="Cambria Math" w:hAnsi="新宋体" w:eastAsia="Cambria Math"/>
      <w:b w:val="0"/>
      <w:color w:val="000000"/>
      <w:spacing w:val="-8"/>
      <w:sz w:val="21"/>
    </w:rPr>
  </w:style>
  <w:style w:type="paragraph" w:styleId="993" w:customStyle="1">
    <w:name w:val="正文文本缩进1"/>
    <w:basedOn w:val="790"/>
    <w:next w:val="994"/>
    <w:link w:val="995"/>
    <w:uiPriority w:val="0"/>
    <w:qFormat/>
    <w:pPr>
      <w:ind w:firstLine="576"/>
    </w:pPr>
    <w:rPr>
      <w:b/>
      <w:sz w:val="30"/>
    </w:rPr>
  </w:style>
  <w:style w:type="paragraph" w:styleId="994" w:customStyle="1">
    <w:name w:val="寄信人地址1"/>
    <w:basedOn w:val="790"/>
    <w:uiPriority w:val="99"/>
    <w:unhideWhenUsed/>
    <w:qFormat/>
    <w:rPr>
      <w:rFonts w:hint="eastAsia" w:ascii="Arial" w:hAnsi="Arial"/>
      <w:sz w:val="24"/>
      <w:szCs w:val="24"/>
    </w:rPr>
  </w:style>
  <w:style w:type="character" w:styleId="995" w:customStyle="1">
    <w:name w:val="正文文本缩进 Char"/>
    <w:link w:val="993"/>
    <w:uiPriority w:val="0"/>
    <w:qFormat/>
    <w:rPr>
      <w:rFonts w:ascii="Times New Roman" w:hAnsi="Times New Roman" w:eastAsia="宋体" w:cs="Times New Roman"/>
      <w:b/>
      <w:sz w:val="30"/>
      <w:szCs w:val="20"/>
    </w:rPr>
  </w:style>
  <w:style w:type="character" w:styleId="996" w:customStyle="1">
    <w:name w:val="正文首行缩进 2 Char"/>
    <w:link w:val="992"/>
    <w:uiPriority w:val="0"/>
    <w:qFormat/>
    <w:rPr>
      <w:rFonts w:ascii="Cambria Math" w:hAnsi="新宋体" w:eastAsia="Cambria Math" w:cs="Times New Roman"/>
      <w:color w:val="000000"/>
      <w:spacing w:val="-8"/>
      <w:sz w:val="21"/>
      <w:szCs w:val="20"/>
    </w:rPr>
  </w:style>
  <w:style w:type="character" w:styleId="997" w:customStyle="1">
    <w:name w:val="标题 1 Char"/>
    <w:link w:val="981"/>
    <w:uiPriority w:val="0"/>
    <w:qFormat/>
    <w:rPr>
      <w:rFonts w:ascii="楷体_GB2312" w:hAnsi="Times New Roman" w:eastAsia="楷体_GB2312" w:cs="Times New Roman"/>
      <w:b/>
      <w:sz w:val="28"/>
      <w:szCs w:val="20"/>
    </w:rPr>
  </w:style>
  <w:style w:type="character" w:styleId="998" w:customStyle="1">
    <w:name w:val="标题 2 Char"/>
    <w:link w:val="982"/>
    <w:uiPriority w:val="0"/>
    <w:qFormat/>
    <w:rPr>
      <w:rFonts w:ascii="楷体_GB2312" w:hAnsi="Times New Roman" w:eastAsia="楷体_GB2312" w:cs="Times New Roman"/>
      <w:b/>
      <w:bCs/>
      <w:sz w:val="18"/>
      <w:szCs w:val="20"/>
    </w:rPr>
  </w:style>
  <w:style w:type="character" w:styleId="999" w:customStyle="1">
    <w:name w:val="标题 3 Char"/>
    <w:link w:val="983"/>
    <w:uiPriority w:val="0"/>
    <w:qFormat/>
    <w:rPr>
      <w:rFonts w:ascii="Times New Roman" w:hAnsi="Times New Roman" w:eastAsia="楷体_GB2312" w:cs="Times New Roman"/>
      <w:b/>
      <w:bCs/>
      <w:sz w:val="15"/>
      <w:szCs w:val="20"/>
    </w:rPr>
  </w:style>
  <w:style w:type="character" w:styleId="1000" w:customStyle="1">
    <w:name w:val="标题 4 Char"/>
    <w:link w:val="984"/>
    <w:uiPriority w:val="0"/>
    <w:qFormat/>
    <w:rPr>
      <w:rFonts w:ascii="Times New Roman" w:hAnsi="Times New Roman" w:eastAsia="楷体_GB2312" w:cs="Times New Roman"/>
      <w:b/>
      <w:bCs/>
      <w:sz w:val="13"/>
      <w:szCs w:val="20"/>
    </w:rPr>
  </w:style>
  <w:style w:type="character" w:styleId="1001" w:customStyle="1">
    <w:name w:val="标题 5 Char"/>
    <w:link w:val="985"/>
    <w:uiPriority w:val="99"/>
    <w:qFormat/>
    <w:rPr>
      <w:rFonts w:ascii="楷体_GB2312" w:hAnsi="Times New Roman" w:eastAsia="楷体_GB2312"/>
      <w:bCs/>
      <w:sz w:val="28"/>
    </w:rPr>
  </w:style>
  <w:style w:type="character" w:styleId="1002" w:customStyle="1">
    <w:name w:val="标题 6 Char"/>
    <w:link w:val="986"/>
    <w:uiPriority w:val="0"/>
    <w:qFormat/>
    <w:rPr>
      <w:rFonts w:ascii="Arial" w:hAnsi="Arial" w:eastAsia="黑体"/>
      <w:b/>
      <w:sz w:val="24"/>
      <w:szCs w:val="24"/>
    </w:rPr>
  </w:style>
  <w:style w:type="character" w:styleId="1003" w:customStyle="1">
    <w:name w:val="标题 7 Char"/>
    <w:link w:val="987"/>
    <w:uiPriority w:val="0"/>
    <w:qFormat/>
    <w:rPr>
      <w:rFonts w:ascii="Times New Roman" w:hAnsi="Times New Roman"/>
      <w:b/>
      <w:sz w:val="24"/>
      <w:szCs w:val="24"/>
    </w:rPr>
  </w:style>
  <w:style w:type="character" w:styleId="1004" w:customStyle="1">
    <w:name w:val="标题 8 Char"/>
    <w:link w:val="988"/>
    <w:uiPriority w:val="0"/>
    <w:qFormat/>
    <w:rPr>
      <w:rFonts w:ascii="Arial" w:hAnsi="Arial" w:eastAsia="黑体"/>
      <w:sz w:val="24"/>
      <w:szCs w:val="24"/>
    </w:rPr>
  </w:style>
  <w:style w:type="character" w:styleId="1005" w:customStyle="1">
    <w:name w:val="标题 9 Char"/>
    <w:link w:val="989"/>
    <w:uiPriority w:val="0"/>
    <w:qFormat/>
    <w:rPr>
      <w:rFonts w:ascii="Arial" w:hAnsi="Arial" w:eastAsia="黑体"/>
      <w:sz w:val="21"/>
      <w:szCs w:val="24"/>
    </w:rPr>
  </w:style>
  <w:style w:type="paragraph" w:styleId="1006" w:customStyle="1">
    <w:name w:val="列表 31"/>
    <w:basedOn w:val="790"/>
    <w:uiPriority w:val="0"/>
    <w:qFormat/>
    <w:pPr>
      <w:ind w:left="1260" w:hanging="420"/>
    </w:pPr>
    <w:rPr>
      <w:rFonts w:hAnsi="宋体"/>
      <w:color w:val="000000"/>
      <w:spacing w:val="-8"/>
    </w:rPr>
  </w:style>
  <w:style w:type="paragraph" w:styleId="1007" w:customStyle="1">
    <w:name w:val="目录 71"/>
    <w:basedOn w:val="790"/>
    <w:next w:val="790"/>
    <w:uiPriority w:val="0"/>
    <w:qFormat/>
    <w:pPr>
      <w:ind w:left="1260" w:firstLine="420"/>
      <w:jc w:val="left"/>
      <w:spacing w:line="288" w:lineRule="auto"/>
    </w:pPr>
    <w:rPr>
      <w:sz w:val="18"/>
      <w:szCs w:val="18"/>
    </w:rPr>
  </w:style>
  <w:style w:type="paragraph" w:styleId="1008" w:customStyle="1">
    <w:name w:val="索引 81"/>
    <w:basedOn w:val="790"/>
    <w:next w:val="790"/>
    <w:uiPriority w:val="0"/>
    <w:qFormat/>
    <w:pPr>
      <w:ind w:left="1400"/>
    </w:pPr>
  </w:style>
  <w:style w:type="paragraph" w:styleId="1009" w:customStyle="1">
    <w:name w:val="正文缩进11"/>
    <w:basedOn w:val="790"/>
    <w:link w:val="1010"/>
    <w:uiPriority w:val="0"/>
    <w:unhideWhenUsed/>
    <w:qFormat/>
    <w:pPr>
      <w:ind w:firstLine="420"/>
    </w:pPr>
    <w:rPr>
      <w:szCs w:val="24"/>
    </w:rPr>
  </w:style>
  <w:style w:type="character" w:styleId="1010" w:customStyle="1">
    <w:name w:val="正文缩进 Char"/>
    <w:link w:val="1009"/>
    <w:uiPriority w:val="0"/>
    <w:qFormat/>
    <w:rPr>
      <w:rFonts w:ascii="Times New Roman" w:hAnsi="Times New Roman"/>
      <w:sz w:val="21"/>
      <w:szCs w:val="24"/>
    </w:rPr>
  </w:style>
  <w:style w:type="paragraph" w:styleId="1011" w:customStyle="1">
    <w:name w:val="题注1"/>
    <w:basedOn w:val="790"/>
    <w:next w:val="790"/>
    <w:uiPriority w:val="0"/>
    <w:qFormat/>
    <w:rPr>
      <w:rFonts w:ascii="Arial" w:hAnsi="Arial" w:eastAsia="黑体" w:cs="Arial"/>
      <w:sz w:val="20"/>
    </w:rPr>
  </w:style>
  <w:style w:type="paragraph" w:styleId="1012" w:customStyle="1">
    <w:name w:val="索引 51"/>
    <w:basedOn w:val="790"/>
    <w:next w:val="790"/>
    <w:uiPriority w:val="0"/>
    <w:unhideWhenUsed/>
    <w:qFormat/>
    <w:pPr>
      <w:ind w:left="800"/>
    </w:pPr>
  </w:style>
  <w:style w:type="paragraph" w:styleId="1013" w:customStyle="1">
    <w:name w:val="列表项目符号1"/>
    <w:basedOn w:val="790"/>
    <w:uiPriority w:val="0"/>
    <w:qFormat/>
    <w:pPr>
      <w:ind w:left="360" w:firstLine="200"/>
      <w:tabs>
        <w:tab w:val="left" w:pos="360" w:leader="none"/>
      </w:tabs>
    </w:pPr>
    <w:rPr>
      <w:rFonts w:hAnsi="宋体"/>
      <w:color w:val="000000"/>
      <w:spacing w:val="-8"/>
    </w:rPr>
  </w:style>
  <w:style w:type="paragraph" w:styleId="1014" w:customStyle="1">
    <w:name w:val="文档结构图1"/>
    <w:basedOn w:val="790"/>
    <w:link w:val="1015"/>
    <w:uiPriority w:val="0"/>
    <w:qFormat/>
    <w:pPr>
      <w:shd w:val="clear" w:color="auto" w:fill="000080"/>
    </w:pPr>
    <w:rPr>
      <w:sz w:val="20"/>
    </w:rPr>
  </w:style>
  <w:style w:type="character" w:styleId="1015" w:customStyle="1">
    <w:name w:val="文档结构图 Char"/>
    <w:link w:val="1014"/>
    <w:uiPriority w:val="0"/>
    <w:qFormat/>
    <w:rPr>
      <w:rFonts w:ascii="Times New Roman" w:hAnsi="Times New Roman" w:eastAsia="宋体" w:cs="Times New Roman"/>
      <w:szCs w:val="20"/>
      <w:shd w:val="clear" w:color="auto" w:fill="000080"/>
    </w:rPr>
  </w:style>
  <w:style w:type="paragraph" w:styleId="1016" w:customStyle="1">
    <w:name w:val="批注文字1"/>
    <w:basedOn w:val="790"/>
    <w:link w:val="1017"/>
    <w:uiPriority w:val="0"/>
    <w:qFormat/>
    <w:pPr>
      <w:jc w:val="left"/>
    </w:pPr>
    <w:rPr>
      <w:sz w:val="20"/>
      <w:szCs w:val="24"/>
    </w:rPr>
  </w:style>
  <w:style w:type="character" w:styleId="1017" w:customStyle="1">
    <w:name w:val="批注文字 Char"/>
    <w:link w:val="1016"/>
    <w:uiPriority w:val="0"/>
    <w:qFormat/>
    <w:rPr>
      <w:rFonts w:ascii="Times New Roman" w:hAnsi="Times New Roman" w:eastAsia="宋体" w:cs="Times New Roman"/>
      <w:szCs w:val="24"/>
    </w:rPr>
  </w:style>
  <w:style w:type="paragraph" w:styleId="1018" w:customStyle="1">
    <w:name w:val="索引 61"/>
    <w:basedOn w:val="790"/>
    <w:next w:val="790"/>
    <w:uiPriority w:val="0"/>
    <w:qFormat/>
    <w:pPr>
      <w:ind w:left="1000"/>
    </w:pPr>
  </w:style>
  <w:style w:type="paragraph" w:styleId="1019" w:customStyle="1">
    <w:name w:val="称呼1"/>
    <w:basedOn w:val="790"/>
    <w:next w:val="790"/>
    <w:link w:val="1020"/>
    <w:uiPriority w:val="0"/>
    <w:qFormat/>
    <w:pPr>
      <w:ind w:firstLine="420"/>
      <w:spacing w:after="20" w:line="288" w:lineRule="auto"/>
    </w:pPr>
    <w:rPr>
      <w:sz w:val="28"/>
      <w:szCs w:val="24"/>
    </w:rPr>
  </w:style>
  <w:style w:type="character" w:styleId="1020" w:customStyle="1">
    <w:name w:val="称呼 Char"/>
    <w:link w:val="1019"/>
    <w:uiPriority w:val="0"/>
    <w:qFormat/>
    <w:rPr>
      <w:rFonts w:ascii="Times New Roman" w:hAnsi="Times New Roman"/>
      <w:sz w:val="28"/>
      <w:szCs w:val="24"/>
    </w:rPr>
  </w:style>
  <w:style w:type="paragraph" w:styleId="1021" w:customStyle="1">
    <w:name w:val="正文文本 31"/>
    <w:basedOn w:val="790"/>
    <w:link w:val="1022"/>
    <w:uiPriority w:val="0"/>
    <w:qFormat/>
    <w:pPr>
      <w:jc w:val="center"/>
      <w:spacing w:after="20" w:line="288" w:lineRule="auto"/>
    </w:pPr>
    <w:rPr>
      <w:b/>
      <w:bCs/>
      <w:sz w:val="24"/>
      <w:szCs w:val="24"/>
    </w:rPr>
  </w:style>
  <w:style w:type="character" w:styleId="1022" w:customStyle="1">
    <w:name w:val="正文文本 3 Char"/>
    <w:link w:val="1021"/>
    <w:uiPriority w:val="0"/>
    <w:qFormat/>
    <w:rPr>
      <w:rFonts w:ascii="Times New Roman" w:hAnsi="Times New Roman"/>
      <w:b/>
      <w:bCs/>
      <w:sz w:val="24"/>
      <w:szCs w:val="24"/>
    </w:rPr>
  </w:style>
  <w:style w:type="paragraph" w:styleId="1023" w:customStyle="1">
    <w:name w:val="结束语1"/>
    <w:basedOn w:val="790"/>
    <w:link w:val="1024"/>
    <w:uiPriority w:val="0"/>
    <w:qFormat/>
    <w:pPr>
      <w:ind w:left="100" w:firstLine="420"/>
      <w:spacing w:after="20" w:line="288" w:lineRule="auto"/>
    </w:pPr>
    <w:rPr>
      <w:sz w:val="28"/>
      <w:szCs w:val="24"/>
    </w:rPr>
  </w:style>
  <w:style w:type="character" w:styleId="1024" w:customStyle="1">
    <w:name w:val="结束语 Char"/>
    <w:link w:val="1023"/>
    <w:uiPriority w:val="0"/>
    <w:qFormat/>
    <w:rPr>
      <w:rFonts w:ascii="Times New Roman" w:hAnsi="Times New Roman"/>
      <w:sz w:val="28"/>
      <w:szCs w:val="24"/>
    </w:rPr>
  </w:style>
  <w:style w:type="paragraph" w:styleId="1025" w:customStyle="1">
    <w:name w:val="正文文本1"/>
    <w:basedOn w:val="790"/>
    <w:next w:val="1026"/>
    <w:link w:val="1034"/>
    <w:uiPriority w:val="0"/>
    <w:qFormat/>
    <w:rPr>
      <w:rFonts w:ascii="华文中宋" w:eastAsia="华文中宋"/>
      <w:bCs/>
      <w:sz w:val="28"/>
    </w:rPr>
  </w:style>
  <w:style w:type="paragraph" w:styleId="1026" w:customStyle="1">
    <w:name w:val="一级条标题"/>
    <w:basedOn w:val="1027"/>
    <w:next w:val="1033"/>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27" w:customStyle="1">
    <w:name w:val="章标题"/>
    <w:next w:val="1028"/>
    <w:uiPriority w:val="0"/>
    <w:qFormat/>
    <w:pPr>
      <w:jc w:val="both"/>
      <w:outlineLvl w:val="1"/>
    </w:pPr>
    <w:rPr>
      <w:rFonts w:hint="default" w:ascii="黑体" w:hAnsi="Times New Roman" w:eastAsia="黑体" w:cs="Times New Roman"/>
      <w:sz w:val="21"/>
      <w:lang w:val="en-US" w:eastAsia="zh-CN" w:bidi="ar-SA"/>
    </w:rPr>
  </w:style>
  <w:style w:type="paragraph" w:styleId="1028" w:customStyle="1">
    <w:name w:val="正文1"/>
    <w:basedOn w:val="1029"/>
    <w:next w:val="1025"/>
    <w:uiPriority w:val="0"/>
    <w:qFormat/>
    <w:pPr>
      <w:ind w:right="1" w:firstLine="584"/>
      <w:spacing w:line="588" w:lineRule="exact"/>
    </w:pPr>
    <w:rPr>
      <w:rFonts w:ascii="宋体" w:hAnsi="宋体" w:cs="宋体"/>
      <w:color w:val="000000"/>
      <w:sz w:val="24"/>
      <w:shd w:val="clear" w:color="auto" w:fill="000080"/>
    </w:rPr>
  </w:style>
  <w:style w:type="paragraph" w:styleId="1029" w:customStyle="1">
    <w:name w:val="正文11"/>
    <w:next w:val="10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目录 11"/>
    <w:basedOn w:val="1031"/>
    <w:next w:val="1029"/>
    <w:uiPriority w:val="0"/>
    <w:qFormat/>
    <w:pPr>
      <w:spacing w:before="120" w:after="120" w:line="288" w:lineRule="auto"/>
      <w:tabs>
        <w:tab w:val="right" w:pos="8296" w:leader="dot"/>
      </w:tabs>
    </w:pPr>
    <w:rPr>
      <w:rFonts w:ascii="黑体" w:hAnsi="宋体" w:eastAsia="黑体"/>
      <w:caps/>
      <w:sz w:val="30"/>
      <w:szCs w:val="30"/>
    </w:rPr>
  </w:style>
  <w:style w:type="paragraph" w:styleId="1031" w:customStyle="1">
    <w:name w:val="正文12"/>
    <w:next w:val="1032"/>
    <w:uiPriority w:val="0"/>
    <w:qFormat/>
    <w:pPr>
      <w:jc w:val="both"/>
      <w:widowControl w:val="off"/>
    </w:pPr>
    <w:rPr>
      <w:rFonts w:hint="default" w:ascii="Calibri" w:hAnsi="Calibri" w:eastAsia="Calibri" w:cs="Times New Roman"/>
      <w:sz w:val="21"/>
      <w:szCs w:val="24"/>
      <w:lang w:val="en-US" w:eastAsia="zh-CN" w:bidi="ar-SA"/>
    </w:rPr>
  </w:style>
  <w:style w:type="paragraph" w:styleId="1032" w:customStyle="1">
    <w:name w:val="文本块11"/>
    <w:basedOn w:val="1031"/>
    <w:uiPriority w:val="0"/>
    <w:qFormat/>
    <w:pPr>
      <w:ind w:left="1440" w:right="1440"/>
      <w:spacing w:after="120"/>
    </w:pPr>
    <w:rPr>
      <w:rFonts w:ascii="Times New Roman" w:hAnsi="Times New Roman" w:eastAsia="宋体"/>
    </w:rPr>
  </w:style>
  <w:style w:type="paragraph" w:styleId="1033" w:customStyle="1">
    <w:name w:val="段"/>
    <w:next w:val="790"/>
    <w:uiPriority w:val="0"/>
    <w:qFormat/>
    <w:pPr>
      <w:ind w:firstLine="200"/>
      <w:jc w:val="both"/>
    </w:pPr>
    <w:rPr>
      <w:rFonts w:hint="default" w:ascii="宋体" w:hAnsi="Times New Roman" w:eastAsia="宋体" w:cs="Times New Roman"/>
      <w:sz w:val="21"/>
      <w:lang w:val="en-US" w:eastAsia="zh-CN" w:bidi="ar-SA"/>
    </w:rPr>
  </w:style>
  <w:style w:type="character" w:styleId="1034" w:customStyle="1">
    <w:name w:val="正文文本 Char"/>
    <w:link w:val="1025"/>
    <w:uiPriority w:val="0"/>
    <w:qFormat/>
    <w:rPr>
      <w:rFonts w:ascii="华文中宋" w:hAnsi="Times New Roman" w:eastAsia="华文中宋" w:cs="Times New Roman"/>
      <w:bCs/>
      <w:sz w:val="28"/>
      <w:szCs w:val="20"/>
    </w:rPr>
  </w:style>
  <w:style w:type="paragraph" w:styleId="1035" w:customStyle="1">
    <w:name w:val="列表 21"/>
    <w:basedOn w:val="790"/>
    <w:uiPriority w:val="0"/>
    <w:qFormat/>
    <w:pPr>
      <w:ind w:left="840" w:hanging="420"/>
    </w:pPr>
    <w:rPr>
      <w:rFonts w:hAnsi="宋体"/>
      <w:color w:val="000000"/>
      <w:spacing w:val="-8"/>
    </w:rPr>
  </w:style>
  <w:style w:type="paragraph" w:styleId="1036" w:customStyle="1">
    <w:name w:val="列表接续1"/>
    <w:basedOn w:val="790"/>
    <w:uiPriority w:val="0"/>
    <w:qFormat/>
    <w:pPr>
      <w:ind w:left="420" w:firstLine="448"/>
      <w:spacing w:after="120"/>
    </w:pPr>
    <w:rPr>
      <w:rFonts w:hAnsi="宋体"/>
      <w:color w:val="000000"/>
      <w:spacing w:val="-8"/>
    </w:rPr>
  </w:style>
  <w:style w:type="paragraph" w:styleId="1037" w:customStyle="1">
    <w:name w:val="文本块1"/>
    <w:basedOn w:val="790"/>
    <w:uiPriority w:val="0"/>
    <w:qFormat/>
    <w:pPr>
      <w:ind w:left="420" w:right="33"/>
      <w:jc w:val="left"/>
    </w:pPr>
    <w:rPr>
      <w:sz w:val="24"/>
    </w:rPr>
  </w:style>
  <w:style w:type="paragraph" w:styleId="1038" w:customStyle="1">
    <w:name w:val="列表项目符号 21"/>
    <w:basedOn w:val="790"/>
    <w:uiPriority w:val="0"/>
    <w:qFormat/>
    <w:pPr>
      <w:ind w:left="780" w:firstLine="200"/>
      <w:tabs>
        <w:tab w:val="left" w:pos="780" w:leader="none"/>
      </w:tabs>
    </w:pPr>
    <w:rPr>
      <w:rFonts w:hAnsi="宋体"/>
      <w:color w:val="000000"/>
      <w:spacing w:val="-8"/>
    </w:rPr>
  </w:style>
  <w:style w:type="paragraph" w:styleId="1039" w:customStyle="1">
    <w:name w:val="目录 51"/>
    <w:basedOn w:val="790"/>
    <w:next w:val="790"/>
    <w:uiPriority w:val="0"/>
    <w:qFormat/>
    <w:pPr>
      <w:ind w:left="840" w:firstLine="420"/>
      <w:jc w:val="left"/>
      <w:spacing w:line="288" w:lineRule="auto"/>
    </w:pPr>
    <w:rPr>
      <w:sz w:val="18"/>
      <w:szCs w:val="18"/>
    </w:rPr>
  </w:style>
  <w:style w:type="paragraph" w:styleId="1040" w:customStyle="1">
    <w:name w:val="目录 31"/>
    <w:basedOn w:val="790"/>
    <w:next w:val="790"/>
    <w:uiPriority w:val="0"/>
    <w:qFormat/>
    <w:pPr>
      <w:ind w:left="420" w:firstLine="420"/>
      <w:jc w:val="left"/>
      <w:spacing w:line="288" w:lineRule="auto"/>
    </w:pPr>
    <w:rPr>
      <w:iCs/>
      <w:sz w:val="20"/>
    </w:rPr>
  </w:style>
  <w:style w:type="paragraph" w:styleId="1041" w:customStyle="1">
    <w:name w:val="纯文本11"/>
    <w:basedOn w:val="790"/>
    <w:link w:val="1042"/>
    <w:uiPriority w:val="0"/>
    <w:qFormat/>
    <w:rPr>
      <w:rFonts w:ascii="宋体" w:hAnsi="Courier New"/>
      <w:szCs w:val="21"/>
    </w:rPr>
  </w:style>
  <w:style w:type="character" w:styleId="1042" w:customStyle="1">
    <w:name w:val="纯文本 Char"/>
    <w:link w:val="1041"/>
    <w:uiPriority w:val="0"/>
    <w:qFormat/>
    <w:rPr>
      <w:rFonts w:ascii="宋体" w:hAnsi="Courier New"/>
      <w:sz w:val="21"/>
      <w:szCs w:val="21"/>
    </w:rPr>
  </w:style>
  <w:style w:type="paragraph" w:styleId="1043" w:customStyle="1">
    <w:name w:val="列表项目符号 51"/>
    <w:basedOn w:val="790"/>
    <w:uiPriority w:val="0"/>
    <w:qFormat/>
    <w:pPr>
      <w:ind w:left="2040" w:hanging="360"/>
      <w:spacing w:line="360" w:lineRule="exact"/>
      <w:widowControl/>
      <w:tabs>
        <w:tab w:val="left" w:pos="2040" w:leader="none"/>
      </w:tabs>
    </w:pPr>
    <w:rPr>
      <w:rFonts w:eastAsia="楷体_GB2312"/>
      <w:sz w:val="24"/>
    </w:rPr>
  </w:style>
  <w:style w:type="paragraph" w:styleId="1044" w:customStyle="1">
    <w:name w:val="目录 81"/>
    <w:basedOn w:val="790"/>
    <w:next w:val="790"/>
    <w:uiPriority w:val="0"/>
    <w:qFormat/>
    <w:pPr>
      <w:ind w:left="1470" w:firstLine="420"/>
      <w:jc w:val="left"/>
      <w:spacing w:line="288" w:lineRule="auto"/>
    </w:pPr>
    <w:rPr>
      <w:sz w:val="18"/>
      <w:szCs w:val="18"/>
    </w:rPr>
  </w:style>
  <w:style w:type="paragraph" w:styleId="1045" w:customStyle="1">
    <w:name w:val="索引 31"/>
    <w:basedOn w:val="790"/>
    <w:next w:val="790"/>
    <w:uiPriority w:val="0"/>
    <w:qFormat/>
    <w:pPr>
      <w:ind w:left="400"/>
    </w:pPr>
  </w:style>
  <w:style w:type="paragraph" w:styleId="1046" w:customStyle="1">
    <w:name w:val="日期1"/>
    <w:basedOn w:val="790"/>
    <w:next w:val="790"/>
    <w:link w:val="1047"/>
    <w:uiPriority w:val="0"/>
    <w:qFormat/>
    <w:rPr>
      <w:rFonts w:eastAsia="黑体"/>
      <w:b/>
      <w:sz w:val="36"/>
    </w:rPr>
  </w:style>
  <w:style w:type="character" w:styleId="1047" w:customStyle="1">
    <w:name w:val="日期 Char"/>
    <w:link w:val="1046"/>
    <w:uiPriority w:val="0"/>
    <w:qFormat/>
    <w:rPr>
      <w:rFonts w:ascii="Times New Roman" w:hAnsi="Times New Roman" w:eastAsia="黑体" w:cs="Times New Roman"/>
      <w:b/>
      <w:sz w:val="36"/>
      <w:szCs w:val="20"/>
    </w:rPr>
  </w:style>
  <w:style w:type="paragraph" w:styleId="1048" w:customStyle="1">
    <w:name w:val="正文文本缩进 21"/>
    <w:basedOn w:val="790"/>
    <w:link w:val="1049"/>
    <w:uiPriority w:val="0"/>
    <w:qFormat/>
    <w:pPr>
      <w:ind w:left="900"/>
    </w:pPr>
    <w:rPr>
      <w:rFonts w:ascii="楷体_GB2312" w:eastAsia="楷体_GB2312"/>
      <w:b/>
      <w:sz w:val="28"/>
    </w:rPr>
  </w:style>
  <w:style w:type="character" w:styleId="1049" w:customStyle="1">
    <w:name w:val="正文文本缩进 2 Char"/>
    <w:link w:val="1048"/>
    <w:uiPriority w:val="0"/>
    <w:qFormat/>
    <w:rPr>
      <w:rFonts w:ascii="楷体_GB2312" w:hAnsi="Times New Roman" w:eastAsia="楷体_GB2312" w:cs="Times New Roman"/>
      <w:b/>
      <w:sz w:val="28"/>
      <w:szCs w:val="20"/>
    </w:rPr>
  </w:style>
  <w:style w:type="paragraph" w:styleId="1050" w:customStyle="1">
    <w:name w:val="批注框文本1"/>
    <w:basedOn w:val="790"/>
    <w:link w:val="1051"/>
    <w:uiPriority w:val="0"/>
    <w:unhideWhenUsed/>
    <w:qFormat/>
    <w:rPr>
      <w:sz w:val="18"/>
      <w:szCs w:val="18"/>
    </w:rPr>
  </w:style>
  <w:style w:type="character" w:styleId="1051" w:customStyle="1">
    <w:name w:val="批注框文本 Char"/>
    <w:link w:val="1050"/>
    <w:uiPriority w:val="0"/>
    <w:qFormat/>
    <w:rPr>
      <w:rFonts w:ascii="Times New Roman" w:hAnsi="Times New Roman" w:eastAsia="宋体" w:cs="Times New Roman"/>
      <w:sz w:val="18"/>
      <w:szCs w:val="18"/>
    </w:rPr>
  </w:style>
  <w:style w:type="paragraph" w:styleId="1052" w:customStyle="1">
    <w:name w:val="页脚1"/>
    <w:basedOn w:val="790"/>
    <w:link w:val="1053"/>
    <w:uiPriority w:val="99"/>
    <w:unhideWhenUsed/>
    <w:qFormat/>
    <w:pPr>
      <w:jc w:val="left"/>
      <w:tabs>
        <w:tab w:val="center" w:pos="4153" w:leader="none"/>
        <w:tab w:val="right" w:pos="8306" w:leader="none"/>
      </w:tabs>
    </w:pPr>
    <w:rPr>
      <w:sz w:val="18"/>
      <w:szCs w:val="18"/>
    </w:rPr>
  </w:style>
  <w:style w:type="character" w:styleId="1053" w:customStyle="1">
    <w:name w:val="页脚 Char"/>
    <w:link w:val="1052"/>
    <w:uiPriority w:val="99"/>
    <w:qFormat/>
    <w:rPr>
      <w:sz w:val="18"/>
      <w:szCs w:val="18"/>
    </w:rPr>
  </w:style>
  <w:style w:type="paragraph" w:styleId="1054" w:customStyle="1">
    <w:name w:val="页眉11"/>
    <w:basedOn w:val="790"/>
    <w:link w:val="105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55" w:customStyle="1">
    <w:name w:val="页眉 Char"/>
    <w:link w:val="1054"/>
    <w:uiPriority w:val="99"/>
    <w:qFormat/>
    <w:rPr>
      <w:sz w:val="18"/>
      <w:szCs w:val="18"/>
    </w:rPr>
  </w:style>
  <w:style w:type="paragraph" w:styleId="1056" w:customStyle="1">
    <w:name w:val="目录 41"/>
    <w:basedOn w:val="790"/>
    <w:next w:val="790"/>
    <w:uiPriority w:val="0"/>
    <w:qFormat/>
    <w:pPr>
      <w:ind w:left="630" w:firstLine="420"/>
      <w:jc w:val="left"/>
      <w:spacing w:line="288" w:lineRule="auto"/>
    </w:pPr>
    <w:rPr>
      <w:sz w:val="18"/>
      <w:szCs w:val="18"/>
    </w:rPr>
  </w:style>
  <w:style w:type="paragraph" w:styleId="1057" w:customStyle="1">
    <w:name w:val="副标题1"/>
    <w:basedOn w:val="790"/>
    <w:next w:val="790"/>
    <w:link w:val="1058"/>
    <w:uiPriority w:val="0"/>
    <w:qFormat/>
    <w:pPr>
      <w:jc w:val="left"/>
      <w:outlineLvl w:val="1"/>
    </w:pPr>
    <w:rPr>
      <w:rFonts w:ascii="Calibri Light" w:hAnsi="Calibri Light" w:eastAsia="仿宋"/>
      <w:b/>
      <w:bCs/>
      <w:sz w:val="28"/>
      <w:szCs w:val="32"/>
    </w:rPr>
  </w:style>
  <w:style w:type="character" w:styleId="1058" w:customStyle="1">
    <w:name w:val="副标题 Char"/>
    <w:link w:val="1057"/>
    <w:uiPriority w:val="0"/>
    <w:qFormat/>
    <w:rPr>
      <w:rFonts w:ascii="Calibri Light" w:hAnsi="Calibri Light" w:eastAsia="仿宋"/>
      <w:b/>
      <w:bCs/>
      <w:sz w:val="28"/>
      <w:szCs w:val="32"/>
    </w:rPr>
  </w:style>
  <w:style w:type="paragraph" w:styleId="1059" w:customStyle="1">
    <w:name w:val="列表1"/>
    <w:basedOn w:val="790"/>
    <w:uiPriority w:val="0"/>
    <w:qFormat/>
    <w:pPr>
      <w:numPr>
        <w:ilvl w:val="0"/>
        <w:numId w:val="2"/>
      </w:numPr>
      <w:spacing w:after="20" w:line="288" w:lineRule="auto"/>
      <w:tabs>
        <w:tab w:val="left" w:pos="420" w:leader="none"/>
      </w:tabs>
    </w:pPr>
    <w:rPr>
      <w:rFonts w:ascii="Calibri" w:hAnsi="Calibri"/>
      <w:lang w:val="en-GB"/>
    </w:rPr>
  </w:style>
  <w:style w:type="paragraph" w:styleId="1060" w:customStyle="1">
    <w:name w:val="脚注文本1"/>
    <w:basedOn w:val="790"/>
    <w:link w:val="1061"/>
    <w:uiPriority w:val="0"/>
    <w:qFormat/>
    <w:pPr>
      <w:ind w:firstLine="425"/>
      <w:jc w:val="left"/>
      <w:spacing w:before="120" w:line="360" w:lineRule="auto"/>
    </w:pPr>
    <w:rPr>
      <w:sz w:val="18"/>
    </w:rPr>
  </w:style>
  <w:style w:type="character" w:styleId="1061" w:customStyle="1">
    <w:name w:val="脚注文本 Char"/>
    <w:link w:val="1060"/>
    <w:uiPriority w:val="0"/>
    <w:qFormat/>
    <w:rPr>
      <w:rFonts w:ascii="Times New Roman" w:hAnsi="Times New Roman"/>
      <w:sz w:val="18"/>
    </w:rPr>
  </w:style>
  <w:style w:type="paragraph" w:styleId="1062" w:customStyle="1">
    <w:name w:val="目录 61"/>
    <w:basedOn w:val="790"/>
    <w:next w:val="790"/>
    <w:uiPriority w:val="0"/>
    <w:qFormat/>
    <w:pPr>
      <w:ind w:left="1050" w:firstLine="420"/>
      <w:jc w:val="left"/>
      <w:spacing w:line="288" w:lineRule="auto"/>
    </w:pPr>
    <w:rPr>
      <w:sz w:val="18"/>
      <w:szCs w:val="18"/>
    </w:rPr>
  </w:style>
  <w:style w:type="paragraph" w:styleId="1063" w:customStyle="1">
    <w:name w:val="列表 51"/>
    <w:basedOn w:val="790"/>
    <w:uiPriority w:val="0"/>
    <w:qFormat/>
    <w:pPr>
      <w:ind w:left="2100" w:hanging="420"/>
    </w:pPr>
    <w:rPr>
      <w:rFonts w:hAnsi="宋体"/>
      <w:color w:val="000000"/>
      <w:spacing w:val="-8"/>
    </w:rPr>
  </w:style>
  <w:style w:type="paragraph" w:styleId="1064" w:customStyle="1">
    <w:name w:val="正文文本缩进 31"/>
    <w:basedOn w:val="790"/>
    <w:link w:val="1065"/>
    <w:uiPriority w:val="0"/>
    <w:qFormat/>
    <w:pPr>
      <w:ind w:left="359" w:firstLine="359"/>
    </w:pPr>
    <w:rPr>
      <w:sz w:val="20"/>
    </w:rPr>
  </w:style>
  <w:style w:type="character" w:styleId="1065" w:customStyle="1">
    <w:name w:val="正文文本缩进 3 Char"/>
    <w:link w:val="1064"/>
    <w:uiPriority w:val="0"/>
    <w:qFormat/>
    <w:rPr>
      <w:rFonts w:ascii="Times New Roman" w:hAnsi="Times New Roman" w:eastAsia="宋体" w:cs="Times New Roman"/>
      <w:szCs w:val="20"/>
    </w:rPr>
  </w:style>
  <w:style w:type="paragraph" w:styleId="1066" w:customStyle="1">
    <w:name w:val="索引 71"/>
    <w:basedOn w:val="790"/>
    <w:next w:val="790"/>
    <w:uiPriority w:val="0"/>
    <w:qFormat/>
    <w:pPr>
      <w:ind w:left="1200"/>
    </w:pPr>
  </w:style>
  <w:style w:type="paragraph" w:styleId="1067" w:customStyle="1">
    <w:name w:val="索引 91"/>
    <w:basedOn w:val="790"/>
    <w:next w:val="790"/>
    <w:uiPriority w:val="0"/>
    <w:qFormat/>
    <w:pPr>
      <w:ind w:left="1600"/>
    </w:pPr>
  </w:style>
  <w:style w:type="paragraph" w:styleId="1068" w:customStyle="1">
    <w:name w:val="目录 21"/>
    <w:basedOn w:val="790"/>
    <w:next w:val="790"/>
    <w:uiPriority w:val="0"/>
    <w:qFormat/>
    <w:pPr>
      <w:ind w:left="210" w:firstLine="420"/>
      <w:jc w:val="left"/>
      <w:spacing w:line="288" w:lineRule="auto"/>
    </w:pPr>
    <w:rPr>
      <w:smallCaps/>
      <w:sz w:val="20"/>
    </w:rPr>
  </w:style>
  <w:style w:type="paragraph" w:styleId="1069" w:customStyle="1">
    <w:name w:val="目录 91"/>
    <w:basedOn w:val="790"/>
    <w:next w:val="790"/>
    <w:uiPriority w:val="0"/>
    <w:qFormat/>
    <w:pPr>
      <w:ind w:left="1680" w:firstLine="420"/>
      <w:jc w:val="left"/>
      <w:spacing w:line="288" w:lineRule="auto"/>
    </w:pPr>
    <w:rPr>
      <w:sz w:val="18"/>
      <w:szCs w:val="18"/>
    </w:rPr>
  </w:style>
  <w:style w:type="paragraph" w:styleId="1070" w:customStyle="1">
    <w:name w:val="正文文本 21"/>
    <w:basedOn w:val="790"/>
    <w:link w:val="1071"/>
    <w:uiPriority w:val="0"/>
    <w:qFormat/>
    <w:pPr>
      <w:spacing w:after="120" w:line="480" w:lineRule="auto"/>
    </w:pPr>
    <w:rPr>
      <w:sz w:val="20"/>
    </w:rPr>
  </w:style>
  <w:style w:type="character" w:styleId="1071" w:customStyle="1">
    <w:name w:val="正文文本 2 Char"/>
    <w:link w:val="1070"/>
    <w:uiPriority w:val="0"/>
    <w:qFormat/>
    <w:rPr>
      <w:rFonts w:ascii="Times New Roman" w:hAnsi="Times New Roman" w:eastAsia="宋体" w:cs="Times New Roman"/>
      <w:szCs w:val="20"/>
    </w:rPr>
  </w:style>
  <w:style w:type="paragraph" w:styleId="1072" w:customStyle="1">
    <w:name w:val="列表 41"/>
    <w:basedOn w:val="790"/>
    <w:uiPriority w:val="0"/>
    <w:qFormat/>
    <w:pPr>
      <w:ind w:left="1680" w:hanging="420"/>
    </w:pPr>
    <w:rPr>
      <w:rFonts w:hAnsi="宋体"/>
      <w:color w:val="000000"/>
      <w:spacing w:val="-8"/>
    </w:rPr>
  </w:style>
  <w:style w:type="paragraph" w:styleId="1073" w:customStyle="1">
    <w:name w:val="列表接续 21"/>
    <w:basedOn w:val="790"/>
    <w:uiPriority w:val="0"/>
    <w:qFormat/>
    <w:pPr>
      <w:ind w:left="840" w:firstLine="448"/>
      <w:spacing w:after="120"/>
    </w:pPr>
    <w:rPr>
      <w:rFonts w:hAnsi="宋体"/>
      <w:color w:val="000000"/>
      <w:spacing w:val="-8"/>
    </w:rPr>
  </w:style>
  <w:style w:type="paragraph" w:styleId="1074" w:customStyle="1">
    <w:name w:val="信息标题1"/>
    <w:basedOn w:val="1025"/>
    <w:link w:val="1075"/>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075" w:customStyle="1">
    <w:name w:val="信息标题 Char"/>
    <w:link w:val="1074"/>
    <w:uiPriority w:val="0"/>
    <w:qFormat/>
    <w:rPr>
      <w:rFonts w:ascii="Garamond" w:hAnsi="Garamond"/>
      <w:color w:val="000000"/>
      <w:spacing w:val="-8"/>
      <w:sz w:val="18"/>
      <w:lang w:bidi="he-IL"/>
    </w:rPr>
  </w:style>
  <w:style w:type="paragraph" w:styleId="1076" w:customStyle="1">
    <w:name w:val="HTML 预设格式1"/>
    <w:basedOn w:val="790"/>
    <w:link w:val="107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77" w:customStyle="1">
    <w:name w:val="HTML 预设格式 Char"/>
    <w:link w:val="1076"/>
    <w:uiPriority w:val="0"/>
    <w:qFormat/>
    <w:rPr>
      <w:rFonts w:ascii="黑体" w:hAnsi="Courier New" w:eastAsia="黑体"/>
    </w:rPr>
  </w:style>
  <w:style w:type="paragraph" w:styleId="1078" w:customStyle="1">
    <w:name w:val="普通(网站)1"/>
    <w:basedOn w:val="790"/>
    <w:link w:val="1079"/>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079" w:customStyle="1">
    <w:name w:val="普通(网站) Char"/>
    <w:link w:val="1078"/>
    <w:uiPriority w:val="0"/>
    <w:qFormat/>
    <w:rPr>
      <w:rFonts w:ascii="宋体" w:hAnsi="宋体"/>
      <w:sz w:val="24"/>
      <w:szCs w:val="24"/>
    </w:rPr>
  </w:style>
  <w:style w:type="paragraph" w:styleId="1080" w:customStyle="1">
    <w:name w:val="列表接续 31"/>
    <w:basedOn w:val="790"/>
    <w:uiPriority w:val="0"/>
    <w:qFormat/>
    <w:pPr>
      <w:ind w:left="1260" w:firstLine="448"/>
      <w:spacing w:after="120"/>
    </w:pPr>
    <w:rPr>
      <w:rFonts w:hAnsi="宋体"/>
      <w:color w:val="000000"/>
      <w:spacing w:val="-8"/>
    </w:rPr>
  </w:style>
  <w:style w:type="paragraph" w:styleId="1081" w:customStyle="1">
    <w:name w:val="索引 11"/>
    <w:basedOn w:val="790"/>
    <w:next w:val="790"/>
    <w:uiPriority w:val="0"/>
    <w:qFormat/>
  </w:style>
  <w:style w:type="paragraph" w:styleId="1082" w:customStyle="1">
    <w:name w:val="索引 21"/>
    <w:basedOn w:val="790"/>
    <w:next w:val="790"/>
    <w:uiPriority w:val="0"/>
    <w:qFormat/>
    <w:pPr>
      <w:ind w:left="200"/>
    </w:pPr>
  </w:style>
  <w:style w:type="paragraph" w:styleId="1083" w:customStyle="1">
    <w:name w:val="标题1"/>
    <w:basedOn w:val="790"/>
    <w:link w:val="1084"/>
    <w:uiPriority w:val="10"/>
    <w:qFormat/>
    <w:pPr>
      <w:ind w:firstLine="420"/>
      <w:jc w:val="center"/>
      <w:spacing w:before="240" w:after="60" w:line="288" w:lineRule="auto"/>
      <w:outlineLvl w:val="0"/>
    </w:pPr>
    <w:rPr>
      <w:rFonts w:ascii="Arial" w:hAnsi="Arial"/>
      <w:b/>
      <w:bCs/>
      <w:sz w:val="32"/>
      <w:szCs w:val="32"/>
    </w:rPr>
  </w:style>
  <w:style w:type="character" w:styleId="1084" w:customStyle="1">
    <w:name w:val="标题 Char"/>
    <w:link w:val="1083"/>
    <w:uiPriority w:val="10"/>
    <w:qFormat/>
    <w:rPr>
      <w:rFonts w:ascii="Arial" w:hAnsi="Arial"/>
      <w:b/>
      <w:bCs/>
      <w:sz w:val="32"/>
      <w:szCs w:val="32"/>
    </w:rPr>
  </w:style>
  <w:style w:type="paragraph" w:styleId="1085" w:customStyle="1">
    <w:name w:val="批注主题1"/>
    <w:basedOn w:val="1016"/>
    <w:next w:val="1016"/>
    <w:link w:val="1086"/>
    <w:uiPriority w:val="0"/>
    <w:qFormat/>
    <w:rPr>
      <w:b/>
      <w:bCs/>
    </w:rPr>
  </w:style>
  <w:style w:type="character" w:styleId="1086" w:customStyle="1">
    <w:name w:val="批注主题 Char"/>
    <w:link w:val="1085"/>
    <w:uiPriority w:val="0"/>
    <w:qFormat/>
    <w:rPr>
      <w:rFonts w:ascii="Times New Roman" w:hAnsi="Times New Roman" w:eastAsia="宋体" w:cs="Times New Roman"/>
      <w:b/>
      <w:bCs/>
      <w:szCs w:val="24"/>
    </w:rPr>
  </w:style>
  <w:style w:type="paragraph" w:styleId="1087" w:customStyle="1">
    <w:name w:val="正文首行缩进1"/>
    <w:basedOn w:val="1025"/>
    <w:next w:val="1062"/>
    <w:link w:val="1088"/>
    <w:uiPriority w:val="0"/>
    <w:unhideWhenUsed/>
    <w:qFormat/>
    <w:pPr>
      <w:ind w:firstLine="420"/>
      <w:spacing w:after="120"/>
    </w:pPr>
    <w:rPr>
      <w:rFonts w:ascii="Times New Roman"/>
      <w:sz w:val="21"/>
    </w:rPr>
  </w:style>
  <w:style w:type="character" w:styleId="1088" w:customStyle="1">
    <w:name w:val="正文首行缩进 Char"/>
    <w:link w:val="1087"/>
    <w:uiPriority w:val="0"/>
    <w:qFormat/>
    <w:rPr>
      <w:rFonts w:ascii="Times New Roman" w:hAnsi="Times New Roman" w:eastAsia="华文中宋" w:cs="Times New Roman"/>
      <w:sz w:val="21"/>
      <w:szCs w:val="20"/>
    </w:rPr>
  </w:style>
  <w:style w:type="table" w:styleId="1089" w:customStyle="1">
    <w:name w:val="网格型1"/>
    <w:basedOn w:val="991"/>
    <w:uiPriority w:val="0"/>
    <w:qFormat/>
    <w:tblPr/>
  </w:style>
  <w:style w:type="character" w:styleId="1090" w:customStyle="1">
    <w:name w:val="要点1"/>
    <w:link w:val="790"/>
    <w:uiPriority w:val="0"/>
    <w:qFormat/>
    <w:rPr>
      <w:rFonts w:cs="Times New Roman"/>
      <w:b/>
      <w:bCs/>
    </w:rPr>
  </w:style>
  <w:style w:type="character" w:styleId="1091" w:customStyle="1">
    <w:name w:val="页码1"/>
    <w:link w:val="790"/>
    <w:uiPriority w:val="0"/>
    <w:qFormat/>
    <w:rPr>
      <w:rFonts w:cs="Times New Roman"/>
    </w:rPr>
  </w:style>
  <w:style w:type="character" w:styleId="1092" w:customStyle="1">
    <w:name w:val="已访问的超链接1"/>
    <w:link w:val="790"/>
    <w:uiPriority w:val="0"/>
    <w:qFormat/>
    <w:rPr>
      <w:rFonts w:cs="Times New Roman"/>
      <w:color w:val="000000"/>
      <w:u w:val="none"/>
    </w:rPr>
  </w:style>
  <w:style w:type="character" w:styleId="1093" w:customStyle="1">
    <w:name w:val="强调1"/>
    <w:link w:val="790"/>
    <w:uiPriority w:val="0"/>
    <w:qFormat/>
    <w:rPr>
      <w:i/>
    </w:rPr>
  </w:style>
  <w:style w:type="character" w:styleId="1094" w:customStyle="1">
    <w:name w:val="HTML 打字机1"/>
    <w:link w:val="790"/>
    <w:uiPriority w:val="0"/>
    <w:qFormat/>
    <w:rPr>
      <w:rFonts w:ascii="宋体" w:hAnsi="宋体" w:eastAsia="宋体" w:cs="宋体"/>
      <w:sz w:val="24"/>
      <w:szCs w:val="24"/>
    </w:rPr>
  </w:style>
  <w:style w:type="character" w:styleId="1095" w:customStyle="1">
    <w:name w:val="超链接1"/>
    <w:link w:val="790"/>
    <w:uiPriority w:val="99"/>
    <w:qFormat/>
    <w:rPr>
      <w:color w:val="000000"/>
      <w:u w:val="none"/>
    </w:rPr>
  </w:style>
  <w:style w:type="character" w:styleId="1096" w:customStyle="1">
    <w:name w:val="批注引用1"/>
    <w:link w:val="790"/>
    <w:uiPriority w:val="0"/>
    <w:unhideWhenUsed/>
    <w:qFormat/>
    <w:rPr>
      <w:sz w:val="21"/>
      <w:szCs w:val="21"/>
    </w:rPr>
  </w:style>
  <w:style w:type="character" w:styleId="1097" w:customStyle="1">
    <w:name w:val="脚注引用1"/>
    <w:link w:val="790"/>
    <w:uiPriority w:val="0"/>
    <w:qFormat/>
    <w:rPr>
      <w:rFonts w:ascii="宋体" w:hAnsi="宋体" w:eastAsia="宋体"/>
      <w:vertAlign w:val="superscript"/>
    </w:rPr>
  </w:style>
  <w:style w:type="character" w:styleId="1098" w:customStyle="1">
    <w:name w:val="日期 Char1"/>
    <w:link w:val="790"/>
    <w:uiPriority w:val="99"/>
    <w:semiHidden/>
    <w:qFormat/>
    <w:rPr>
      <w:rFonts w:ascii="Times New Roman" w:hAnsi="Times New Roman" w:eastAsia="宋体" w:cs="Times New Roman"/>
      <w:szCs w:val="20"/>
    </w:rPr>
  </w:style>
  <w:style w:type="character" w:styleId="1099" w:customStyle="1">
    <w:name w:val="正文文本缩进 Char1"/>
    <w:link w:val="790"/>
    <w:uiPriority w:val="99"/>
    <w:semiHidden/>
    <w:qFormat/>
    <w:rPr>
      <w:rFonts w:ascii="Times New Roman" w:hAnsi="Times New Roman" w:eastAsia="宋体" w:cs="Times New Roman"/>
      <w:szCs w:val="20"/>
    </w:rPr>
  </w:style>
  <w:style w:type="character" w:styleId="1100" w:customStyle="1">
    <w:name w:val="正文文本缩进 2 Char1"/>
    <w:link w:val="790"/>
    <w:uiPriority w:val="99"/>
    <w:semiHidden/>
    <w:qFormat/>
    <w:rPr>
      <w:rFonts w:ascii="Times New Roman" w:hAnsi="Times New Roman" w:eastAsia="宋体" w:cs="Times New Roman"/>
      <w:szCs w:val="20"/>
    </w:rPr>
  </w:style>
  <w:style w:type="character" w:styleId="1101" w:customStyle="1">
    <w:name w:val="正文文本缩进 3 Char1"/>
    <w:link w:val="790"/>
    <w:uiPriority w:val="99"/>
    <w:semiHidden/>
    <w:qFormat/>
    <w:rPr>
      <w:rFonts w:ascii="Times New Roman" w:hAnsi="Times New Roman" w:eastAsia="宋体" w:cs="Times New Roman"/>
      <w:sz w:val="16"/>
      <w:szCs w:val="16"/>
    </w:rPr>
  </w:style>
  <w:style w:type="paragraph" w:styleId="1102" w:customStyle="1">
    <w:name w:val="普通文字"/>
    <w:basedOn w:val="790"/>
    <w:next w:val="790"/>
    <w:uiPriority w:val="0"/>
    <w:qFormat/>
    <w:rPr>
      <w:rFonts w:ascii="宋体"/>
      <w:sz w:val="24"/>
    </w:rPr>
  </w:style>
  <w:style w:type="character" w:styleId="1103" w:customStyle="1">
    <w:name w:val="文档结构图 Char1"/>
    <w:link w:val="790"/>
    <w:uiPriority w:val="99"/>
    <w:semiHidden/>
    <w:qFormat/>
    <w:rPr>
      <w:rFonts w:ascii="宋体" w:hAnsi="Times New Roman" w:eastAsia="宋体" w:cs="Times New Roman"/>
      <w:sz w:val="18"/>
      <w:szCs w:val="18"/>
    </w:rPr>
  </w:style>
  <w:style w:type="character" w:styleId="1104" w:customStyle="1">
    <w:name w:val="正文文本 2 Char1"/>
    <w:link w:val="790"/>
    <w:uiPriority w:val="99"/>
    <w:semiHidden/>
    <w:qFormat/>
    <w:rPr>
      <w:rFonts w:ascii="Times New Roman" w:hAnsi="Times New Roman" w:eastAsia="宋体" w:cs="Times New Roman"/>
      <w:szCs w:val="20"/>
    </w:rPr>
  </w:style>
  <w:style w:type="paragraph" w:styleId="1105" w:customStyle="1">
    <w:name w:val="列出段落"/>
    <w:basedOn w:val="790"/>
    <w:link w:val="1106"/>
    <w:uiPriority w:val="34"/>
    <w:qFormat/>
    <w:pPr>
      <w:ind w:firstLine="420"/>
    </w:pPr>
  </w:style>
  <w:style w:type="character" w:styleId="1106" w:customStyle="1">
    <w:name w:val="列出段落 Char1"/>
    <w:link w:val="1105"/>
    <w:uiPriority w:val="34"/>
    <w:qFormat/>
    <w:rPr>
      <w:rFonts w:ascii="Times New Roman" w:hAnsi="Times New Roman"/>
      <w:sz w:val="21"/>
    </w:rPr>
  </w:style>
  <w:style w:type="character" w:styleId="1107" w:customStyle="1">
    <w:name w:val="批注框文本 Char1"/>
    <w:link w:val="790"/>
    <w:uiPriority w:val="99"/>
    <w:semiHidden/>
    <w:qFormat/>
    <w:rPr>
      <w:rFonts w:ascii="Times New Roman" w:hAnsi="Times New Roman" w:eastAsia="宋体" w:cs="Times New Roman"/>
      <w:sz w:val="18"/>
      <w:szCs w:val="18"/>
    </w:rPr>
  </w:style>
  <w:style w:type="paragraph" w:styleId="1108" w:customStyle="1">
    <w:name w:val="样式 小四 段前: 5 磅 段后: 5 磅 首行缩进:  2 字符"/>
    <w:basedOn w:val="790"/>
    <w:uiPriority w:val="0"/>
    <w:qFormat/>
    <w:pPr>
      <w:jc w:val="center"/>
      <w:spacing w:line="360" w:lineRule="auto"/>
    </w:pPr>
    <w:rPr>
      <w:rFonts w:ascii="宋体" w:hAnsi="宋体"/>
      <w:bCs/>
      <w:color w:val="ff0000"/>
      <w:sz w:val="24"/>
      <w:szCs w:val="24"/>
    </w:rPr>
  </w:style>
  <w:style w:type="paragraph" w:styleId="110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10" w:customStyle="1">
    <w:name w:val="列出段落1"/>
    <w:basedOn w:val="790"/>
    <w:uiPriority w:val="0"/>
    <w:qFormat/>
    <w:pPr>
      <w:ind w:firstLine="420"/>
    </w:pPr>
    <w:rPr>
      <w:rFonts w:ascii="Calibri" w:hAnsi="Calibri"/>
      <w:color w:val="000000"/>
      <w:spacing w:val="-8"/>
      <w:szCs w:val="22"/>
    </w:rPr>
  </w:style>
  <w:style w:type="paragraph" w:styleId="1111">
    <w:name w:val="List Paragraph"/>
    <w:basedOn w:val="790"/>
    <w:uiPriority w:val="34"/>
    <w:qFormat/>
    <w:pPr>
      <w:ind w:firstLine="420"/>
    </w:pPr>
    <w:rPr>
      <w:szCs w:val="21"/>
    </w:rPr>
  </w:style>
  <w:style w:type="paragraph" w:styleId="1112" w:customStyle="1">
    <w:name w:val="样式 表格正文 + 两端对齐"/>
    <w:basedOn w:val="790"/>
    <w:next w:val="1028"/>
    <w:uiPriority w:val="99"/>
    <w:qFormat/>
    <w:pPr>
      <w:spacing w:line="300" w:lineRule="auto"/>
    </w:pPr>
    <w:rPr>
      <w:rFonts w:ascii="Calibri" w:hAnsi="Calibri"/>
      <w:szCs w:val="24"/>
    </w:rPr>
  </w:style>
  <w:style w:type="paragraph" w:styleId="1113" w:customStyle="1">
    <w:name w:val="样式 首行缩进:  0 字符"/>
    <w:basedOn w:val="790"/>
    <w:uiPriority w:val="0"/>
    <w:qFormat/>
    <w:pPr>
      <w:spacing w:line="360" w:lineRule="auto"/>
    </w:pPr>
    <w:rPr>
      <w:rFonts w:ascii="Arial" w:hAnsi="Arial" w:cs="宋体"/>
      <w:sz w:val="24"/>
      <w:szCs w:val="24"/>
    </w:rPr>
  </w:style>
  <w:style w:type="character" w:styleId="1114" w:customStyle="1">
    <w:name w:val="bookmark-item"/>
    <w:link w:val="790"/>
    <w:uiPriority w:val="0"/>
    <w:qFormat/>
  </w:style>
  <w:style w:type="character" w:styleId="1115" w:customStyle="1">
    <w:name w:val="font61"/>
    <w:link w:val="790"/>
    <w:uiPriority w:val="0"/>
    <w:qFormat/>
    <w:rPr>
      <w:rFonts w:ascii="微软雅黑" w:hAnsi="微软雅黑" w:eastAsia="微软雅黑" w:cs="微软雅黑"/>
      <w:color w:val="000000"/>
      <w:sz w:val="22"/>
      <w:szCs w:val="22"/>
      <w:u w:val="none"/>
    </w:rPr>
  </w:style>
  <w:style w:type="paragraph" w:styleId="1116" w:customStyle="1">
    <w:name w:val="02-标书-标题2"/>
    <w:uiPriority w:val="0"/>
    <w:qFormat/>
    <w:pPr>
      <w:numPr>
        <w:ilvl w:val="1"/>
        <w:numId w:val="3"/>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117" w:customStyle="1">
    <w:name w:val="font41"/>
    <w:basedOn w:val="800"/>
    <w:link w:val="790"/>
    <w:uiPriority w:val="0"/>
    <w:qFormat/>
    <w:rPr>
      <w:rFonts w:ascii="微软雅黑" w:hAnsi="微软雅黑" w:eastAsia="微软雅黑" w:cs="微软雅黑"/>
      <w:b/>
      <w:color w:val="ff0000"/>
      <w:sz w:val="22"/>
      <w:szCs w:val="22"/>
      <w:u w:val="none"/>
    </w:rPr>
  </w:style>
  <w:style w:type="character" w:styleId="1118" w:customStyle="1">
    <w:name w:val="font71"/>
    <w:link w:val="790"/>
    <w:uiPriority w:val="0"/>
    <w:qFormat/>
    <w:rPr>
      <w:rFonts w:ascii="Calibri" w:hAnsi="Calibri" w:cs="Calibri"/>
      <w:color w:val="000000"/>
      <w:sz w:val="20"/>
      <w:szCs w:val="20"/>
      <w:u w:val="none"/>
    </w:rPr>
  </w:style>
  <w:style w:type="character" w:styleId="1119" w:customStyle="1">
    <w:name w:val="font01"/>
    <w:link w:val="790"/>
    <w:uiPriority w:val="0"/>
    <w:qFormat/>
    <w:rPr>
      <w:rFonts w:ascii="Tahoma" w:hAnsi="Tahoma" w:eastAsia="Tahoma" w:cs="Tahoma"/>
      <w:color w:val="333333"/>
      <w:sz w:val="20"/>
      <w:szCs w:val="20"/>
      <w:u w:val="none"/>
    </w:rPr>
  </w:style>
  <w:style w:type="character" w:styleId="1120" w:customStyle="1">
    <w:name w:val="font11"/>
    <w:link w:val="790"/>
    <w:uiPriority w:val="0"/>
    <w:qFormat/>
    <w:rPr>
      <w:rFonts w:hint="eastAsia" w:ascii="宋体" w:hAnsi="宋体" w:eastAsia="宋体" w:cs="宋体"/>
      <w:color w:val="333333"/>
      <w:sz w:val="20"/>
      <w:szCs w:val="20"/>
      <w:u w:val="none"/>
    </w:rPr>
  </w:style>
  <w:style w:type="character" w:styleId="1121" w:customStyle="1">
    <w:name w:val="font21"/>
    <w:link w:val="790"/>
    <w:uiPriority w:val="0"/>
    <w:qFormat/>
    <w:rPr>
      <w:rFonts w:hint="eastAsia" w:ascii="宋体" w:hAnsi="宋体" w:eastAsia="宋体" w:cs="宋体"/>
      <w:color w:val="333333"/>
      <w:sz w:val="20"/>
      <w:szCs w:val="20"/>
      <w:u w:val="none"/>
    </w:rPr>
  </w:style>
  <w:style w:type="paragraph" w:styleId="1122"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123" w:customStyle="1">
    <w:name w:val="无"/>
    <w:link w:val="790"/>
    <w:uiPriority w:val="0"/>
    <w:qFormat/>
  </w:style>
  <w:style w:type="paragraph" w:styleId="1124" w:customStyle="1">
    <w:name w:val="paragraph"/>
    <w:basedOn w:val="790"/>
    <w:uiPriority w:val="0"/>
    <w:qFormat/>
    <w:pPr>
      <w:jc w:val="left"/>
      <w:spacing w:before="100" w:beforeAutospacing="1" w:after="100" w:afterAutospacing="1"/>
      <w:widowControl/>
    </w:pPr>
    <w:rPr>
      <w:rFonts w:ascii="宋体" w:hAnsi="宋体" w:cs="宋体"/>
      <w:sz w:val="24"/>
      <w:szCs w:val="24"/>
    </w:rPr>
  </w:style>
  <w:style w:type="paragraph" w:styleId="112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26" w:customStyle="1">
    <w:name w:val="纯文本111"/>
    <w:basedOn w:val="790"/>
    <w:uiPriority w:val="0"/>
    <w:qFormat/>
    <w:pPr>
      <w:spacing w:line="360" w:lineRule="auto"/>
    </w:pPr>
    <w:rPr>
      <w:rFonts w:ascii="宋体" w:hAnsi="Courier New"/>
      <w:sz w:val="26"/>
      <w:szCs w:val="24"/>
    </w:rPr>
  </w:style>
  <w:style w:type="character" w:styleId="1127" w:customStyle="1">
    <w:name w:val="列出段落 Char"/>
    <w:link w:val="790"/>
    <w:uiPriority w:val="34"/>
    <w:qFormat/>
    <w:rPr>
      <w:rFonts w:ascii="Calibri" w:hAnsi="Calibri"/>
      <w:sz w:val="21"/>
      <w:szCs w:val="22"/>
    </w:rPr>
  </w:style>
  <w:style w:type="paragraph" w:styleId="1128" w:customStyle="1">
    <w:name w:val="纯文本1"/>
    <w:basedOn w:val="790"/>
    <w:uiPriority w:val="0"/>
    <w:qFormat/>
    <w:rPr>
      <w:rFonts w:ascii="宋体" w:hAnsi="Courier New" w:eastAsia="楷体_GB2312"/>
      <w:sz w:val="26"/>
    </w:rPr>
  </w:style>
  <w:style w:type="paragraph" w:styleId="1129" w:customStyle="1">
    <w:name w:val="正文文本首行缩进 2"/>
    <w:basedOn w:val="993"/>
    <w:uiPriority w:val="99"/>
    <w:qFormat/>
    <w:pPr>
      <w:ind w:left="156" w:firstLine="420"/>
      <w:spacing w:line="200" w:lineRule="atLeast"/>
      <w:widowControl/>
    </w:pPr>
    <w:rPr>
      <w:rFonts w:ascii="宋体" w:hAnsi="Courier New" w:eastAsia="仿宋_GB2312"/>
      <w:b w:val="0"/>
      <w:spacing w:val="-4"/>
      <w:sz w:val="18"/>
    </w:rPr>
  </w:style>
  <w:style w:type="character" w:styleId="1130" w:customStyle="1">
    <w:name w:val="Char Char15"/>
    <w:link w:val="790"/>
    <w:uiPriority w:val="0"/>
    <w:qFormat/>
    <w:rPr>
      <w:rFonts w:ascii="仿宋_GB2312" w:hAnsi="Times New Roman" w:eastAsia="宋体" w:cs="Times New Roman"/>
      <w:sz w:val="24"/>
      <w:szCs w:val="24"/>
      <w:shd w:val="clear" w:color="auto" w:fill="000080"/>
    </w:rPr>
  </w:style>
  <w:style w:type="character" w:styleId="1131" w:customStyle="1">
    <w:name w:val="apple-converted-space"/>
    <w:link w:val="790"/>
    <w:uiPriority w:val="0"/>
    <w:qFormat/>
  </w:style>
  <w:style w:type="character" w:styleId="1132" w:customStyle="1">
    <w:name w:val="font"/>
    <w:link w:val="790"/>
    <w:uiPriority w:val="0"/>
    <w:qFormat/>
  </w:style>
  <w:style w:type="character" w:styleId="1133" w:customStyle="1">
    <w:name w:val="Char Char9"/>
    <w:link w:val="790"/>
    <w:uiPriority w:val="0"/>
    <w:qFormat/>
    <w:rPr>
      <w:rFonts w:ascii="Cambria" w:hAnsi="Cambria" w:eastAsia="宋体" w:cs="Times New Roman"/>
      <w:b/>
      <w:bCs/>
      <w:sz w:val="32"/>
      <w:szCs w:val="32"/>
    </w:rPr>
  </w:style>
  <w:style w:type="character" w:styleId="1134" w:customStyle="1">
    <w:name w:val="Char Char7"/>
    <w:link w:val="790"/>
    <w:uiPriority w:val="0"/>
    <w:qFormat/>
    <w:rPr>
      <w:rFonts w:ascii="Times New Roman" w:hAnsi="Times New Roman" w:eastAsia="宋体" w:cs="Times New Roman"/>
      <w:b/>
      <w:bCs/>
      <w:szCs w:val="21"/>
    </w:rPr>
  </w:style>
  <w:style w:type="character" w:styleId="1135" w:customStyle="1">
    <w:name w:val="itm1"/>
    <w:link w:val="790"/>
    <w:uiPriority w:val="0"/>
    <w:qFormat/>
    <w:rPr>
      <w:rFonts w:hint="eastAsia" w:ascii="宋体" w:hAnsi="宋体" w:eastAsia="宋体"/>
      <w:sz w:val="21"/>
      <w:szCs w:val="21"/>
    </w:rPr>
  </w:style>
  <w:style w:type="character" w:styleId="1136" w:customStyle="1">
    <w:name w:val="Char Char4"/>
    <w:link w:val="790"/>
    <w:uiPriority w:val="0"/>
    <w:qFormat/>
    <w:rPr>
      <w:sz w:val="18"/>
      <w:szCs w:val="18"/>
    </w:rPr>
  </w:style>
  <w:style w:type="character" w:styleId="1137" w:customStyle="1">
    <w:name w:val="b"/>
    <w:link w:val="790"/>
    <w:uiPriority w:val="0"/>
    <w:qFormat/>
  </w:style>
  <w:style w:type="character" w:styleId="1138" w:customStyle="1">
    <w:name w:val="apple-style-span"/>
    <w:link w:val="790"/>
    <w:uiPriority w:val="0"/>
    <w:qFormat/>
  </w:style>
  <w:style w:type="character" w:styleId="1139" w:customStyle="1">
    <w:name w:val="Char Char13"/>
    <w:link w:val="790"/>
    <w:uiPriority w:val="0"/>
    <w:qFormat/>
    <w:rPr>
      <w:rFonts w:ascii="仿宋_GB2312" w:hAnsi="Times New Roman" w:eastAsia="宋体" w:cs="Times New Roman"/>
      <w:sz w:val="18"/>
      <w:szCs w:val="18"/>
    </w:rPr>
  </w:style>
  <w:style w:type="character" w:styleId="1140" w:customStyle="1">
    <w:name w:val="表格 Char"/>
    <w:link w:val="1141"/>
    <w:uiPriority w:val="0"/>
    <w:qFormat/>
    <w:rPr>
      <w:sz w:val="21"/>
      <w:szCs w:val="21"/>
    </w:rPr>
  </w:style>
  <w:style w:type="paragraph" w:styleId="1141" w:customStyle="1">
    <w:name w:val="表格"/>
    <w:basedOn w:val="790"/>
    <w:link w:val="1140"/>
    <w:uiPriority w:val="0"/>
    <w:qFormat/>
    <w:pPr>
      <w:jc w:val="center"/>
    </w:pPr>
    <w:rPr>
      <w:szCs w:val="21"/>
    </w:rPr>
  </w:style>
  <w:style w:type="character" w:styleId="1142" w:customStyle="1">
    <w:name w:val="标题 311"/>
    <w:link w:val="790"/>
    <w:uiPriority w:val="0"/>
    <w:qFormat/>
    <w:rPr>
      <w:rFonts w:hint="eastAsia" w:ascii="黑体" w:hAnsi="ˎ̥" w:eastAsia="黑体"/>
      <w:sz w:val="28"/>
    </w:rPr>
  </w:style>
  <w:style w:type="character" w:styleId="1143" w:customStyle="1">
    <w:name w:val="Char Char Char Char Char Char Char Char Char Char Char Char Char"/>
    <w:link w:val="790"/>
    <w:uiPriority w:val="0"/>
    <w:qFormat/>
    <w:rPr>
      <w:rFonts w:eastAsia="宋体"/>
      <w:b/>
      <w:bCs/>
      <w:sz w:val="32"/>
      <w:szCs w:val="44"/>
      <w:lang w:val="en-US" w:eastAsia="zh-CN" w:bidi="ar-SA"/>
    </w:rPr>
  </w:style>
  <w:style w:type="character" w:styleId="1144" w:customStyle="1">
    <w:name w:val="表格正文 Char Char"/>
    <w:link w:val="1145"/>
    <w:uiPriority w:val="0"/>
    <w:qFormat/>
    <w:rPr>
      <w:sz w:val="21"/>
      <w:szCs w:val="24"/>
    </w:rPr>
  </w:style>
  <w:style w:type="paragraph" w:styleId="1145" w:customStyle="1">
    <w:name w:val="表格正文"/>
    <w:basedOn w:val="790"/>
    <w:link w:val="1144"/>
    <w:uiPriority w:val="0"/>
    <w:qFormat/>
    <w:rPr>
      <w:szCs w:val="24"/>
    </w:rPr>
  </w:style>
  <w:style w:type="character" w:styleId="1146" w:customStyle="1">
    <w:name w:val="Char Char8"/>
    <w:link w:val="790"/>
    <w:uiPriority w:val="0"/>
    <w:qFormat/>
    <w:rPr>
      <w:rFonts w:ascii="Times New Roman" w:hAnsi="Times New Roman"/>
      <w:b/>
      <w:bCs/>
      <w:sz w:val="44"/>
      <w:szCs w:val="44"/>
    </w:rPr>
  </w:style>
  <w:style w:type="character" w:styleId="1147" w:customStyle="1">
    <w:name w:val="unnamed21"/>
    <w:link w:val="790"/>
    <w:uiPriority w:val="0"/>
    <w:qFormat/>
    <w:rPr>
      <w:b/>
      <w:bCs/>
      <w:color w:val="ff6600"/>
      <w:sz w:val="21"/>
      <w:szCs w:val="21"/>
      <w:u w:val="none"/>
    </w:rPr>
  </w:style>
  <w:style w:type="character" w:styleId="1148" w:customStyle="1">
    <w:name w:val="tw4winTerm"/>
    <w:link w:val="790"/>
    <w:uiPriority w:val="0"/>
    <w:qFormat/>
    <w:rPr>
      <w:color w:val="0000ff"/>
    </w:rPr>
  </w:style>
  <w:style w:type="character" w:styleId="1149" w:customStyle="1">
    <w:name w:val="正文 + 宋体 Char"/>
    <w:link w:val="1150"/>
    <w:uiPriority w:val="0"/>
    <w:qFormat/>
    <w:rPr>
      <w:rFonts w:ascii="新宋体" w:hAnsi="宋体" w:eastAsia="黑体"/>
      <w:b/>
      <w:bCs/>
      <w:sz w:val="28"/>
      <w:szCs w:val="28"/>
    </w:rPr>
  </w:style>
  <w:style w:type="paragraph" w:styleId="1150" w:customStyle="1">
    <w:name w:val="正文 + 宋体"/>
    <w:basedOn w:val="981"/>
    <w:link w:val="1149"/>
    <w:uiPriority w:val="0"/>
    <w:qFormat/>
    <w:pPr>
      <w:ind w:left="-51"/>
      <w:keepLines/>
      <w:spacing w:before="120" w:after="120"/>
      <w:widowControl/>
      <w:tabs>
        <w:tab w:val="left" w:pos="1800" w:leader="none"/>
      </w:tabs>
    </w:pPr>
    <w:rPr>
      <w:rFonts w:ascii="新宋体" w:hAnsi="宋体" w:eastAsia="黑体"/>
      <w:bCs/>
      <w:szCs w:val="28"/>
    </w:rPr>
  </w:style>
  <w:style w:type="character" w:styleId="1151" w:customStyle="1">
    <w:name w:val="text_list1"/>
    <w:link w:val="790"/>
    <w:uiPriority w:val="0"/>
    <w:qFormat/>
    <w:rPr>
      <w:rFonts w:ascii="Arial" w:hAnsi="Arial" w:cs="Arial"/>
      <w:color w:val="000000"/>
      <w:spacing w:val="272"/>
      <w:sz w:val="16"/>
      <w:szCs w:val="16"/>
    </w:rPr>
  </w:style>
  <w:style w:type="character" w:styleId="1152" w:customStyle="1">
    <w:name w:val="样式 三号 下划线"/>
    <w:link w:val="790"/>
    <w:uiPriority w:val="0"/>
    <w:qFormat/>
    <w:rPr>
      <w:sz w:val="28"/>
      <w:u w:val="single"/>
    </w:rPr>
  </w:style>
  <w:style w:type="character" w:styleId="1153" w:customStyle="1">
    <w:name w:val="普通(网站) 字符"/>
    <w:link w:val="790"/>
    <w:uiPriority w:val="0"/>
    <w:qFormat/>
    <w:rPr>
      <w:rFonts w:ascii="宋体" w:hAnsi="宋体" w:cs="宋体"/>
      <w:sz w:val="24"/>
      <w:szCs w:val="24"/>
    </w:rPr>
  </w:style>
  <w:style w:type="character" w:styleId="1154" w:customStyle="1">
    <w:name w:val="Char Char14"/>
    <w:link w:val="790"/>
    <w:uiPriority w:val="0"/>
    <w:qFormat/>
    <w:rPr>
      <w:rFonts w:ascii="楷体_GB2312" w:hAnsi="Arial" w:eastAsia="楷体_GB2312" w:cs="Times New Roman"/>
      <w:sz w:val="28"/>
      <w:szCs w:val="24"/>
    </w:rPr>
  </w:style>
  <w:style w:type="character" w:styleId="1155" w:customStyle="1">
    <w:name w:val="普通正文 Char Char"/>
    <w:link w:val="1156"/>
    <w:uiPriority w:val="0"/>
    <w:qFormat/>
    <w:rPr>
      <w:rFonts w:ascii="Arial" w:hAnsi="Arial"/>
      <w:sz w:val="24"/>
      <w:szCs w:val="24"/>
    </w:rPr>
  </w:style>
  <w:style w:type="paragraph" w:styleId="1156" w:customStyle="1">
    <w:name w:val="普通正文"/>
    <w:basedOn w:val="790"/>
    <w:link w:val="1155"/>
    <w:uiPriority w:val="0"/>
    <w:qFormat/>
    <w:pPr>
      <w:ind w:firstLine="480"/>
      <w:spacing w:before="120" w:after="120" w:line="500" w:lineRule="exact"/>
    </w:pPr>
    <w:rPr>
      <w:rFonts w:ascii="Arial" w:hAnsi="Arial"/>
      <w:sz w:val="24"/>
      <w:szCs w:val="24"/>
    </w:rPr>
  </w:style>
  <w:style w:type="character" w:styleId="1157" w:customStyle="1">
    <w:name w:val="正文文本 Char Char"/>
    <w:link w:val="790"/>
    <w:uiPriority w:val="0"/>
    <w:qFormat/>
    <w:rPr>
      <w:rFonts w:ascii="楷体_GB2312" w:hAnsi="Arial" w:eastAsia="楷体_GB2312" w:cs="Times New Roman"/>
      <w:sz w:val="28"/>
      <w:szCs w:val="28"/>
    </w:rPr>
  </w:style>
  <w:style w:type="character" w:styleId="1158" w:customStyle="1">
    <w:name w:val="+正文 Char3"/>
    <w:link w:val="1159"/>
    <w:uiPriority w:val="0"/>
    <w:qFormat/>
    <w:rPr>
      <w:sz w:val="24"/>
      <w:szCs w:val="28"/>
    </w:rPr>
  </w:style>
  <w:style w:type="paragraph" w:styleId="1159" w:customStyle="1">
    <w:name w:val="+正文"/>
    <w:basedOn w:val="790"/>
    <w:link w:val="1158"/>
    <w:uiPriority w:val="0"/>
    <w:qFormat/>
    <w:pPr>
      <w:ind w:firstLine="200"/>
      <w:spacing w:line="360" w:lineRule="auto"/>
    </w:pPr>
    <w:rPr>
      <w:sz w:val="24"/>
      <w:szCs w:val="28"/>
    </w:rPr>
  </w:style>
  <w:style w:type="character" w:styleId="1160" w:customStyle="1">
    <w:name w:val="style331"/>
    <w:link w:val="790"/>
    <w:uiPriority w:val="0"/>
    <w:qFormat/>
    <w:rPr>
      <w:color w:val="9900ff"/>
      <w:sz w:val="18"/>
      <w:szCs w:val="18"/>
    </w:rPr>
  </w:style>
  <w:style w:type="character" w:styleId="1161" w:customStyle="1">
    <w:name w:val="一般文字 字元 Char"/>
    <w:link w:val="790"/>
    <w:uiPriority w:val="0"/>
    <w:qFormat/>
    <w:rPr>
      <w:rFonts w:ascii="宋体" w:hAnsi="Courier New" w:eastAsia="宋体"/>
      <w:sz w:val="21"/>
      <w:lang w:val="en-US" w:eastAsia="zh-CN" w:bidi="ar-SA"/>
    </w:rPr>
  </w:style>
  <w:style w:type="character" w:styleId="1162" w:customStyle="1">
    <w:name w:val="正文缩进 Char1"/>
    <w:link w:val="790"/>
    <w:uiPriority w:val="0"/>
    <w:qFormat/>
    <w:rPr>
      <w:rFonts w:eastAsia="楷体_GB2312"/>
      <w:sz w:val="24"/>
      <w:lang w:val="en-US" w:eastAsia="zh-CN" w:bidi="ar-SA"/>
    </w:rPr>
  </w:style>
  <w:style w:type="character" w:styleId="1163" w:customStyle="1">
    <w:name w:val="纯文本 Char1"/>
    <w:link w:val="790"/>
    <w:uiPriority w:val="0"/>
    <w:semiHidden/>
    <w:qFormat/>
    <w:rPr>
      <w:rFonts w:ascii="宋体" w:hAnsi="Courier New" w:eastAsia="宋体"/>
    </w:rPr>
  </w:style>
  <w:style w:type="paragraph" w:styleId="1164" w:customStyle="1">
    <w:name w:val="图形"/>
    <w:basedOn w:val="790"/>
    <w:uiPriority w:val="0"/>
    <w:qFormat/>
    <w:pPr>
      <w:ind w:firstLine="420"/>
      <w:jc w:val="center"/>
      <w:spacing w:after="20" w:line="288" w:lineRule="auto"/>
    </w:pPr>
    <w:rPr>
      <w:szCs w:val="24"/>
    </w:rPr>
  </w:style>
  <w:style w:type="paragraph" w:styleId="1165" w:customStyle="1">
    <w:name w:val="xl45"/>
    <w:basedOn w:val="7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66" w:customStyle="1">
    <w:name w:val="回信地址"/>
    <w:basedOn w:val="790"/>
    <w:uiPriority w:val="0"/>
    <w:qFormat/>
    <w:pPr>
      <w:ind w:right="-120" w:firstLine="420"/>
      <w:jc w:val="left"/>
      <w:keepLines/>
      <w:spacing w:after="20" w:line="200" w:lineRule="atLeast"/>
      <w:widowControl/>
    </w:pPr>
    <w:rPr>
      <w:sz w:val="16"/>
    </w:rPr>
  </w:style>
  <w:style w:type="paragraph" w:styleId="1167" w:customStyle="1">
    <w:name w:val="xl46"/>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168" w:customStyle="1">
    <w:name w:val="xl36"/>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69" w:customStyle="1">
    <w:name w:val="表中"/>
    <w:basedOn w:val="790"/>
    <w:uiPriority w:val="0"/>
    <w:qFormat/>
    <w:pPr>
      <w:jc w:val="center"/>
      <w:spacing w:line="360" w:lineRule="atLeast"/>
    </w:pPr>
  </w:style>
  <w:style w:type="paragraph" w:styleId="1170" w:customStyle="1">
    <w:name w:val="Char"/>
    <w:basedOn w:val="790"/>
    <w:uiPriority w:val="0"/>
    <w:qFormat/>
    <w:rPr>
      <w:rFonts w:ascii="仿宋_GB2312" w:eastAsia="仿宋_GB2312"/>
      <w:b/>
      <w:sz w:val="32"/>
      <w:szCs w:val="32"/>
    </w:rPr>
  </w:style>
  <w:style w:type="paragraph" w:styleId="1171" w:customStyle="1">
    <w:name w:val="font6"/>
    <w:basedOn w:val="790"/>
    <w:uiPriority w:val="0"/>
    <w:qFormat/>
    <w:pPr>
      <w:ind w:firstLine="420"/>
      <w:jc w:val="left"/>
      <w:spacing w:before="100" w:beforeAutospacing="1" w:after="100" w:afterAutospacing="1" w:line="288" w:lineRule="auto"/>
      <w:widowControl/>
    </w:pPr>
    <w:rPr>
      <w:sz w:val="24"/>
      <w:szCs w:val="24"/>
    </w:rPr>
  </w:style>
  <w:style w:type="paragraph" w:styleId="1172" w:customStyle="1">
    <w:name w:val="xl40"/>
    <w:basedOn w:val="7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173" w:customStyle="1">
    <w:name w:val="xl37"/>
    <w:basedOn w:val="7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174"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175" w:customStyle="1">
    <w:name w:val="样式 纯文本 + 楷体_GB2312 小四 行距: 固定值 20 磅1"/>
    <w:basedOn w:val="1041"/>
    <w:uiPriority w:val="0"/>
    <w:qFormat/>
    <w:pPr>
      <w:ind w:firstLine="200"/>
      <w:spacing w:line="400" w:lineRule="exact"/>
    </w:pPr>
    <w:rPr>
      <w:rFonts w:ascii="楷体_GB2312" w:eastAsia="楷体_GB2312"/>
      <w:sz w:val="24"/>
      <w:szCs w:val="20"/>
    </w:rPr>
  </w:style>
  <w:style w:type="paragraph" w:styleId="1176" w:customStyle="1">
    <w:name w:val="页眉1"/>
    <w:basedOn w:val="79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177" w:customStyle="1">
    <w:name w:val="yyn"/>
    <w:basedOn w:val="790"/>
    <w:uiPriority w:val="0"/>
    <w:qFormat/>
    <w:pPr>
      <w:ind w:right="562" w:firstLine="576"/>
      <w:keepNext/>
      <w:spacing w:line="360" w:lineRule="auto"/>
      <w:widowControl/>
    </w:pPr>
    <w:rPr>
      <w:rFonts w:ascii="宋体"/>
      <w:sz w:val="28"/>
    </w:rPr>
  </w:style>
  <w:style w:type="paragraph" w:styleId="1178" w:customStyle="1">
    <w:name w:val="标题2"/>
    <w:basedOn w:val="982"/>
    <w:next w:val="790"/>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79" w:customStyle="1">
    <w:name w:val="样式3"/>
    <w:basedOn w:val="1041"/>
    <w:uiPriority w:val="0"/>
    <w:qFormat/>
    <w:pPr>
      <w:ind w:firstLine="448"/>
    </w:pPr>
    <w:rPr>
      <w:rFonts w:cs="Courier New"/>
      <w:color w:val="000000"/>
      <w:spacing w:val="-8"/>
    </w:rPr>
  </w:style>
  <w:style w:type="paragraph" w:styleId="1180" w:customStyle="1">
    <w:name w:val="xl44"/>
    <w:basedOn w:val="79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81" w:customStyle="1">
    <w:name w:val="附录1层"/>
    <w:basedOn w:val="790"/>
    <w:next w:val="790"/>
    <w:uiPriority w:val="0"/>
    <w:qFormat/>
    <w:pPr>
      <w:ind w:firstLine="448"/>
      <w:jc w:val="center"/>
      <w:spacing w:line="440" w:lineRule="exact"/>
    </w:pPr>
    <w:rPr>
      <w:rFonts w:ascii="黑体" w:hAnsi="宋体" w:eastAsia="黑体"/>
      <w:color w:val="000000"/>
      <w:spacing w:val="-8"/>
      <w:sz w:val="24"/>
    </w:rPr>
  </w:style>
  <w:style w:type="paragraph" w:styleId="1182" w:customStyle="1">
    <w:name w:val="正文1)"/>
    <w:basedOn w:val="79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83" w:customStyle="1">
    <w:name w:val="标题0"/>
    <w:basedOn w:val="1083"/>
    <w:next w:val="1083"/>
    <w:uiPriority w:val="0"/>
    <w:qFormat/>
    <w:rPr>
      <w:sz w:val="52"/>
    </w:rPr>
  </w:style>
  <w:style w:type="paragraph" w:styleId="1184" w:customStyle="1">
    <w:name w:val="Table Paragraph"/>
    <w:basedOn w:val="790"/>
    <w:uiPriority w:val="1"/>
    <w:qFormat/>
    <w:rPr>
      <w:rFonts w:ascii="宋体" w:hAnsi="宋体" w:cs="宋体"/>
      <w:szCs w:val="24"/>
      <w:lang w:val="zh-CN" w:bidi="zh-CN"/>
    </w:rPr>
  </w:style>
  <w:style w:type="paragraph" w:styleId="1185" w:customStyle="1">
    <w:name w:val="xl49"/>
    <w:basedOn w:val="790"/>
    <w:uiPriority w:val="0"/>
    <w:qFormat/>
    <w:pPr>
      <w:jc w:val="center"/>
      <w:spacing w:before="100" w:beforeAutospacing="1" w:after="100" w:afterAutospacing="1"/>
      <w:widowControl/>
    </w:pPr>
    <w:rPr>
      <w:rFonts w:ascii="宋体" w:hAnsi="宋体"/>
      <w:b/>
      <w:bCs/>
      <w:color w:val="000000"/>
      <w:sz w:val="40"/>
      <w:szCs w:val="40"/>
    </w:rPr>
  </w:style>
  <w:style w:type="paragraph" w:styleId="1186" w:customStyle="1">
    <w:name w:val="table_lines"/>
    <w:basedOn w:val="790"/>
    <w:uiPriority w:val="0"/>
    <w:qFormat/>
    <w:pPr>
      <w:jc w:val="left"/>
      <w:widowControl/>
    </w:pPr>
    <w:rPr>
      <w:sz w:val="20"/>
      <w:lang w:val="de-DE" w:eastAsia="de-DE"/>
    </w:rPr>
  </w:style>
  <w:style w:type="paragraph" w:styleId="1187" w:customStyle="1">
    <w:name w:val="font7"/>
    <w:basedOn w:val="790"/>
    <w:uiPriority w:val="0"/>
    <w:qFormat/>
    <w:pPr>
      <w:ind w:firstLine="420"/>
      <w:jc w:val="left"/>
      <w:spacing w:before="100" w:beforeAutospacing="1" w:after="100" w:afterAutospacing="1" w:line="288" w:lineRule="auto"/>
      <w:widowControl/>
    </w:pPr>
    <w:rPr>
      <w:b/>
      <w:bCs/>
      <w:sz w:val="24"/>
      <w:szCs w:val="24"/>
    </w:rPr>
  </w:style>
  <w:style w:type="paragraph" w:styleId="1188" w:customStyle="1">
    <w:name w:val="xl33"/>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89" w:customStyle="1">
    <w:name w:val="正文(缩进)"/>
    <w:basedOn w:val="790"/>
    <w:uiPriority w:val="0"/>
    <w:qFormat/>
    <w:pPr>
      <w:ind w:firstLine="200"/>
      <w:spacing w:line="360" w:lineRule="auto"/>
      <w:widowControl/>
    </w:pPr>
    <w:rPr>
      <w:rFonts w:eastAsia="仿宋_GB2312"/>
      <w:sz w:val="24"/>
    </w:rPr>
  </w:style>
  <w:style w:type="paragraph" w:styleId="1190" w:customStyle="1">
    <w:name w:val="样式1"/>
    <w:basedOn w:val="984"/>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91" w:customStyle="1">
    <w:name w:val="并列项-点"/>
    <w:basedOn w:val="790"/>
    <w:uiPriority w:val="0"/>
    <w:qFormat/>
    <w:pPr>
      <w:ind w:left="851" w:hanging="284"/>
      <w:spacing w:before="120" w:line="360" w:lineRule="auto"/>
      <w:widowControl/>
      <w:tabs>
        <w:tab w:val="left" w:pos="851" w:leader="none"/>
        <w:tab w:val="left" w:pos="927" w:leader="none"/>
      </w:tabs>
    </w:pPr>
    <w:rPr>
      <w:sz w:val="24"/>
    </w:rPr>
  </w:style>
  <w:style w:type="paragraph" w:styleId="1192" w:customStyle="1">
    <w:name w:val="表蕊"/>
    <w:basedOn w:val="790"/>
    <w:uiPriority w:val="0"/>
    <w:qFormat/>
    <w:pPr>
      <w:jc w:val="left"/>
      <w:spacing w:line="320" w:lineRule="atLeast"/>
    </w:pPr>
    <w:rPr>
      <w:rFonts w:eastAsia="楷体_GB2312"/>
      <w:spacing w:val="-10"/>
    </w:rPr>
  </w:style>
  <w:style w:type="paragraph" w:styleId="1193" w:customStyle="1">
    <w:name w:val="正文缩进1"/>
    <w:basedOn w:val="790"/>
    <w:next w:val="790"/>
    <w:uiPriority w:val="99"/>
    <w:qFormat/>
    <w:pPr>
      <w:ind w:firstLine="200"/>
      <w:jc w:val="left"/>
      <w:spacing w:line="360" w:lineRule="auto"/>
      <w:widowControl/>
    </w:pPr>
    <w:rPr>
      <w:rFonts w:eastAsia="华文细黑"/>
      <w:sz w:val="24"/>
      <w:szCs w:val="21"/>
    </w:rPr>
  </w:style>
  <w:style w:type="paragraph" w:styleId="1194" w:customStyle="1">
    <w:name w:val="font5"/>
    <w:basedOn w:val="790"/>
    <w:uiPriority w:val="0"/>
    <w:qFormat/>
    <w:pPr>
      <w:jc w:val="left"/>
      <w:spacing w:before="100" w:beforeAutospacing="1" w:after="100" w:afterAutospacing="1"/>
      <w:widowControl/>
    </w:pPr>
    <w:rPr>
      <w:rFonts w:hint="eastAsia" w:ascii="宋体" w:hAnsi="宋体"/>
      <w:sz w:val="18"/>
      <w:szCs w:val="18"/>
    </w:rPr>
  </w:style>
  <w:style w:type="paragraph" w:styleId="1195" w:customStyle="1">
    <w:name w:val="产品型号"/>
    <w:basedOn w:val="79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96" w:customStyle="1">
    <w:name w:val="xl41"/>
    <w:basedOn w:val="79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97" w:customStyle="1">
    <w:name w:val="xl39"/>
    <w:basedOn w:val="7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98" w:customStyle="1">
    <w:name w:val="名词解释11"/>
    <w:basedOn w:val="1199"/>
    <w:uiPriority w:val="0"/>
    <w:qFormat/>
    <w:pPr>
      <w:ind w:firstLine="0"/>
      <w:spacing w:after="0"/>
    </w:pPr>
  </w:style>
  <w:style w:type="paragraph" w:styleId="1199" w:customStyle="1">
    <w:name w:val="名词解释"/>
    <w:basedOn w:val="790"/>
    <w:uiPriority w:val="0"/>
    <w:qFormat/>
    <w:pPr>
      <w:ind w:left="2325" w:hanging="2325"/>
      <w:spacing w:after="20" w:line="288" w:lineRule="auto"/>
    </w:pPr>
  </w:style>
  <w:style w:type="paragraph" w:styleId="1200" w:customStyle="1">
    <w:name w:val="xl51"/>
    <w:basedOn w:val="79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201" w:customStyle="1">
    <w:name w:val="xl26"/>
    <w:basedOn w:val="79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02" w:customStyle="1">
    <w:name w:val="xl38"/>
    <w:basedOn w:val="79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03" w:customStyle="1">
    <w:name w:val="办公自动化专用正文"/>
    <w:basedOn w:val="790"/>
    <w:uiPriority w:val="0"/>
    <w:qFormat/>
    <w:pPr>
      <w:ind w:firstLine="624"/>
      <w:spacing w:line="500" w:lineRule="atLeast"/>
    </w:pPr>
    <w:rPr>
      <w:rFonts w:hAnsi="宋体" w:eastAsia="楷体_GB2312"/>
      <w:color w:val="000000"/>
      <w:spacing w:val="-8"/>
      <w:sz w:val="32"/>
    </w:rPr>
  </w:style>
  <w:style w:type="paragraph" w:styleId="1204" w:customStyle="1">
    <w:name w:val="样式 标题 2标题 2 Char Char + (西文) 仿宋_GB2312"/>
    <w:basedOn w:val="982"/>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205" w:customStyle="1">
    <w:name w:val="Char Char Char Char Char Char Char Char Char Char Char"/>
    <w:basedOn w:val="1014"/>
    <w:uiPriority w:val="0"/>
    <w:qFormat/>
    <w:pPr>
      <w:ind w:firstLine="420"/>
    </w:pPr>
    <w:rPr>
      <w:rFonts w:hAnsi="宋体"/>
      <w:color w:val="000000"/>
      <w:spacing w:val="-8"/>
      <w:sz w:val="21"/>
      <w:shd w:val="clear" w:color="auto" w:fill="000080"/>
    </w:rPr>
  </w:style>
  <w:style w:type="paragraph" w:styleId="1206" w:customStyle="1">
    <w:name w:val="text"/>
    <w:basedOn w:val="790"/>
    <w:uiPriority w:val="0"/>
    <w:qFormat/>
    <w:pPr>
      <w:ind w:left="1098" w:hanging="2"/>
      <w:spacing w:after="60" w:line="264" w:lineRule="auto"/>
      <w:widowControl/>
      <w:tabs>
        <w:tab w:val="left" w:pos="1020" w:leader="none"/>
        <w:tab w:val="left" w:pos="1090" w:leader="none"/>
      </w:tabs>
    </w:pPr>
    <w:rPr>
      <w:sz w:val="24"/>
      <w:szCs w:val="24"/>
    </w:rPr>
  </w:style>
  <w:style w:type="paragraph" w:styleId="1207" w:customStyle="1">
    <w:name w:val="函数注释1"/>
    <w:basedOn w:val="790"/>
    <w:uiPriority w:val="0"/>
    <w:qFormat/>
    <w:pPr>
      <w:ind w:left="1678" w:right="210" w:hanging="1049"/>
      <w:jc w:val="left"/>
      <w:spacing w:after="20" w:line="320" w:lineRule="exact"/>
    </w:pPr>
  </w:style>
  <w:style w:type="paragraph" w:styleId="1208" w:customStyle="1">
    <w:name w:val="列表_名词"/>
    <w:basedOn w:val="1198"/>
    <w:uiPriority w:val="0"/>
    <w:qFormat/>
    <w:pPr>
      <w:ind w:left="2745" w:hanging="420"/>
      <w:tabs>
        <w:tab w:val="left" w:pos="2745" w:leader="none"/>
      </w:tabs>
    </w:pPr>
  </w:style>
  <w:style w:type="paragraph" w:styleId="1209" w:customStyle="1">
    <w:name w:val="样式 标题 3 + (西文) 宋体 黑色"/>
    <w:basedOn w:val="983"/>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210" w:customStyle="1">
    <w:name w:val="Javis"/>
    <w:basedOn w:val="790"/>
    <w:uiPriority w:val="0"/>
    <w:qFormat/>
    <w:pPr>
      <w:ind w:right="210"/>
    </w:pPr>
    <w:rPr>
      <w:rFonts w:cs="宋体"/>
      <w:sz w:val="24"/>
    </w:rPr>
  </w:style>
  <w:style w:type="paragraph" w:styleId="1211" w:customStyle="1">
    <w:name w:val="样式 标题 1 + 加粗"/>
    <w:basedOn w:val="981"/>
    <w:uiPriority w:val="0"/>
    <w:qFormat/>
    <w:pPr>
      <w:keepLines/>
      <w:spacing w:before="120" w:after="120"/>
      <w:widowControl/>
      <w:tabs>
        <w:tab w:val="left" w:pos="1800" w:leader="none"/>
      </w:tabs>
    </w:pPr>
    <w:rPr>
      <w:rFonts w:ascii="新宋体" w:hAnsi="宋体" w:eastAsia="黑体"/>
      <w:bCs/>
      <w:szCs w:val="28"/>
    </w:rPr>
  </w:style>
  <w:style w:type="paragraph" w:styleId="1212" w:customStyle="1">
    <w:name w:val="重点"/>
    <w:basedOn w:val="790"/>
    <w:uiPriority w:val="0"/>
    <w:qFormat/>
    <w:pPr>
      <w:ind w:firstLine="420"/>
      <w:spacing w:after="20" w:line="288" w:lineRule="auto"/>
      <w:shd w:val="pct10" w:color="auto" w:fill="auto"/>
    </w:pPr>
    <w:rPr>
      <w:rFonts w:eastAsia="黑体"/>
      <w:b/>
      <w:szCs w:val="24"/>
    </w:rPr>
  </w:style>
  <w:style w:type="paragraph" w:styleId="1213" w:customStyle="1">
    <w:name w:val="目录"/>
    <w:basedOn w:val="790"/>
    <w:next w:val="790"/>
    <w:uiPriority w:val="0"/>
    <w:qFormat/>
    <w:pPr>
      <w:ind w:firstLine="420"/>
      <w:jc w:val="center"/>
      <w:spacing w:before="360" w:after="360" w:line="360" w:lineRule="auto"/>
    </w:pPr>
    <w:rPr>
      <w:b/>
      <w:spacing w:val="200"/>
      <w:sz w:val="36"/>
    </w:rPr>
  </w:style>
  <w:style w:type="paragraph" w:styleId="1214" w:customStyle="1">
    <w:name w:val="样式2"/>
    <w:basedOn w:val="983"/>
    <w:uiPriority w:val="0"/>
    <w:qFormat/>
    <w:pPr>
      <w:ind w:firstLine="448"/>
      <w:jc w:val="both"/>
      <w:keepLines/>
      <w:spacing w:line="416" w:lineRule="auto"/>
    </w:pPr>
    <w:rPr>
      <w:rFonts w:hAnsi="宋体" w:eastAsia="宋体"/>
      <w:color w:val="000000"/>
      <w:spacing w:val="-8"/>
      <w:sz w:val="24"/>
      <w:szCs w:val="32"/>
    </w:rPr>
  </w:style>
  <w:style w:type="paragraph" w:styleId="1215" w:customStyle="1">
    <w:name w:val="Char Char Char Char Char Char Char Char Char Char Char Char Char Char Char Char"/>
    <w:basedOn w:val="790"/>
    <w:uiPriority w:val="0"/>
    <w:qFormat/>
    <w:pPr>
      <w:tabs>
        <w:tab w:val="left" w:pos="360" w:leader="none"/>
      </w:tabs>
    </w:pPr>
    <w:rPr>
      <w:sz w:val="24"/>
      <w:szCs w:val="24"/>
    </w:rPr>
  </w:style>
  <w:style w:type="paragraph" w:styleId="1216" w:customStyle="1">
    <w:name w:val="xl52"/>
    <w:basedOn w:val="79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217" w:customStyle="1">
    <w:name w:val="函数注释2"/>
    <w:basedOn w:val="790"/>
    <w:uiPriority w:val="0"/>
    <w:qFormat/>
    <w:pPr>
      <w:ind w:left="1680" w:firstLine="420"/>
      <w:spacing w:after="20" w:line="288" w:lineRule="auto"/>
    </w:pPr>
    <w:rPr>
      <w:szCs w:val="24"/>
    </w:rPr>
  </w:style>
  <w:style w:type="paragraph" w:styleId="1218" w:customStyle="1">
    <w:name w:val="xl22"/>
    <w:basedOn w:val="79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19" w:customStyle="1">
    <w:name w:val="xl24"/>
    <w:basedOn w:val="79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20" w:customStyle="1">
    <w:name w:val="xl42"/>
    <w:basedOn w:val="79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221" w:customStyle="1">
    <w:name w:val="复选框1"/>
    <w:basedOn w:val="790"/>
    <w:uiPriority w:val="0"/>
    <w:qFormat/>
    <w:pPr>
      <w:ind w:firstLine="448"/>
      <w:spacing w:before="360" w:after="360"/>
      <w:widowControl/>
    </w:pPr>
    <w:rPr>
      <w:rFonts w:hAnsi="宋体"/>
      <w:color w:val="000000"/>
      <w:spacing w:val="-8"/>
      <w:sz w:val="20"/>
    </w:rPr>
  </w:style>
  <w:style w:type="paragraph" w:styleId="1222" w:customStyle="1">
    <w:name w:val="Char Char Char Char Char Char Char"/>
    <w:basedOn w:val="790"/>
    <w:uiPriority w:val="0"/>
    <w:qFormat/>
    <w:pPr>
      <w:jc w:val="left"/>
      <w:spacing w:after="160" w:line="240" w:lineRule="exact"/>
      <w:widowControl/>
    </w:pPr>
    <w:rPr>
      <w:rFonts w:ascii="Arial" w:hAnsi="Arial" w:eastAsia="Times New Roman" w:cs="Verdana"/>
      <w:b/>
      <w:sz w:val="24"/>
      <w:szCs w:val="24"/>
      <w:lang w:eastAsia="en-US"/>
    </w:rPr>
  </w:style>
  <w:style w:type="paragraph" w:styleId="1223" w:customStyle="1">
    <w:name w:val="标准文字"/>
    <w:basedOn w:val="790"/>
    <w:uiPriority w:val="0"/>
    <w:qFormat/>
    <w:pPr>
      <w:ind w:firstLine="420"/>
      <w:spacing w:after="20" w:line="360" w:lineRule="auto"/>
    </w:pPr>
    <w:rPr>
      <w:szCs w:val="24"/>
    </w:rPr>
  </w:style>
  <w:style w:type="paragraph" w:styleId="1224" w:customStyle="1">
    <w:name w:val="Char Char Char Char"/>
    <w:basedOn w:val="790"/>
    <w:uiPriority w:val="0"/>
    <w:qFormat/>
    <w:pPr>
      <w:jc w:val="left"/>
      <w:spacing w:after="160" w:line="240" w:lineRule="exact"/>
      <w:widowControl/>
    </w:pPr>
    <w:rPr>
      <w:rFonts w:ascii="Verdana" w:hAnsi="Verdana" w:eastAsia="仿宋_GB2312"/>
      <w:sz w:val="24"/>
      <w:lang w:eastAsia="en-US"/>
    </w:rPr>
  </w:style>
  <w:style w:type="paragraph" w:styleId="1225" w:customStyle="1">
    <w:name w:val="样式一"/>
    <w:basedOn w:val="79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226" w:customStyle="1">
    <w:name w:val="程序代码"/>
    <w:basedOn w:val="790"/>
    <w:uiPriority w:val="0"/>
    <w:qFormat/>
    <w:pPr>
      <w:ind w:left="839" w:firstLine="420"/>
      <w:spacing w:after="20" w:line="288" w:lineRule="auto"/>
    </w:pPr>
    <w:rPr>
      <w:rFonts w:eastAsia="仿宋_GB2312"/>
      <w:szCs w:val="24"/>
    </w:rPr>
  </w:style>
  <w:style w:type="paragraph" w:styleId="1227" w:customStyle="1">
    <w:name w:val="表格文字"/>
    <w:basedOn w:val="790"/>
    <w:uiPriority w:val="0"/>
    <w:qFormat/>
    <w:pPr>
      <w:jc w:val="left"/>
      <w:spacing w:line="288" w:lineRule="auto"/>
    </w:pPr>
  </w:style>
  <w:style w:type="paragraph" w:styleId="1228" w:customStyle="1">
    <w:name w:val="xl25"/>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229" w:customStyle="1">
    <w:name w:val="xl29"/>
    <w:basedOn w:val="79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30" w:customStyle="1">
    <w:name w:val="xl47"/>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231" w:customStyle="1">
    <w:name w:val="xl34"/>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2" w:customStyle="1">
    <w:name w:val="xl23"/>
    <w:basedOn w:val="79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33" w:customStyle="1">
    <w:name w:val="List Paragraph[858D7CFB-ED40-4347-BF05-701D383B685F][858D7CFB-ED40-4347-BF05-701D383B685F]"/>
    <w:basedOn w:val="790"/>
    <w:uiPriority w:val="0"/>
    <w:qFormat/>
    <w:pPr>
      <w:ind w:firstLine="420"/>
    </w:pPr>
    <w:rPr>
      <w:rFonts w:ascii="Calibri" w:hAnsi="Calibri"/>
      <w:color w:val="000000"/>
      <w:spacing w:val="-8"/>
      <w:szCs w:val="22"/>
    </w:rPr>
  </w:style>
  <w:style w:type="paragraph" w:styleId="1234" w:customStyle="1">
    <w:name w:val="xl30"/>
    <w:basedOn w:val="79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235" w:customStyle="1">
    <w:name w:val="文档标签"/>
    <w:next w:val="790"/>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236" w:customStyle="1">
    <w:name w:val="whs5"/>
    <w:basedOn w:val="790"/>
    <w:uiPriority w:val="0"/>
    <w:qFormat/>
    <w:pPr>
      <w:ind w:left="115" w:right="130" w:firstLine="448"/>
      <w:widowControl/>
    </w:pPr>
    <w:rPr>
      <w:rFonts w:hAnsi="宋体"/>
      <w:color w:val="000000"/>
      <w:spacing w:val="-8"/>
      <w:sz w:val="18"/>
      <w:szCs w:val="18"/>
      <w:lang w:eastAsia="en-US"/>
    </w:rPr>
  </w:style>
  <w:style w:type="paragraph" w:styleId="1237" w:customStyle="1">
    <w:name w:val="Char Char Char Char Char Char"/>
    <w:basedOn w:val="790"/>
    <w:uiPriority w:val="0"/>
    <w:qFormat/>
    <w:pPr>
      <w:jc w:val="left"/>
      <w:spacing w:after="160" w:line="240" w:lineRule="exact"/>
      <w:widowControl/>
    </w:pPr>
    <w:rPr>
      <w:rFonts w:ascii="黑体" w:hAnsi="Verdana" w:eastAsia="黑体"/>
      <w:sz w:val="32"/>
      <w:szCs w:val="32"/>
    </w:rPr>
  </w:style>
  <w:style w:type="paragraph" w:styleId="1238" w:customStyle="1">
    <w:name w:val="表格标题"/>
    <w:basedOn w:val="790"/>
    <w:uiPriority w:val="0"/>
    <w:qFormat/>
    <w:pPr>
      <w:jc w:val="center"/>
      <w:spacing w:before="120" w:line="400" w:lineRule="exact"/>
    </w:pPr>
    <w:rPr>
      <w:rFonts w:eastAsia="文鼎CS中宋"/>
      <w:spacing w:val="8"/>
      <w:sz w:val="24"/>
    </w:rPr>
  </w:style>
  <w:style w:type="paragraph" w:styleId="1239" w:customStyle="1">
    <w:name w:val="列表2"/>
    <w:basedOn w:val="790"/>
    <w:uiPriority w:val="0"/>
    <w:qFormat/>
    <w:pPr>
      <w:ind w:left="1469" w:hanging="420"/>
      <w:spacing w:after="20" w:line="288" w:lineRule="auto"/>
      <w:tabs>
        <w:tab w:val="left" w:pos="1470" w:leader="none"/>
      </w:tabs>
    </w:pPr>
    <w:rPr>
      <w:szCs w:val="24"/>
    </w:rPr>
  </w:style>
  <w:style w:type="paragraph" w:styleId="1240" w:customStyle="1">
    <w:name w:val="列表段落1"/>
    <w:basedOn w:val="790"/>
    <w:uiPriority w:val="0"/>
    <w:qFormat/>
    <w:pPr>
      <w:ind w:firstLine="420"/>
    </w:pPr>
    <w:rPr>
      <w:rFonts w:ascii="Calibri" w:hAnsi="Calibri"/>
      <w:szCs w:val="22"/>
    </w:rPr>
  </w:style>
  <w:style w:type="paragraph" w:styleId="1241" w:customStyle="1">
    <w:name w:val="xl28"/>
    <w:basedOn w:val="79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42" w:customStyle="1">
    <w:name w:val="Char Char Char1 Char Char Char"/>
    <w:basedOn w:val="790"/>
    <w:uiPriority w:val="0"/>
    <w:qFormat/>
    <w:pPr>
      <w:ind w:firstLine="200"/>
    </w:pPr>
    <w:rPr>
      <w:rFonts w:ascii="Tahoma" w:hAnsi="Tahoma"/>
      <w:sz w:val="24"/>
    </w:rPr>
  </w:style>
  <w:style w:type="paragraph" w:styleId="1243" w:customStyle="1">
    <w:name w:val="xl35"/>
    <w:basedOn w:val="7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44"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5" w:customStyle="1">
    <w:name w:val="xl43"/>
    <w:basedOn w:val="79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246" w:customStyle="1">
    <w:name w:val="表头"/>
    <w:basedOn w:val="790"/>
    <w:uiPriority w:val="0"/>
    <w:qFormat/>
    <w:pPr>
      <w:jc w:val="center"/>
      <w:spacing w:line="320" w:lineRule="atLeast"/>
    </w:pPr>
    <w:rPr>
      <w:rFonts w:eastAsia="黑体"/>
      <w:spacing w:val="-10"/>
    </w:rPr>
  </w:style>
  <w:style w:type="paragraph" w:styleId="1247" w:customStyle="1">
    <w:name w:val="标准式样"/>
    <w:basedOn w:val="1068"/>
    <w:uiPriority w:val="0"/>
    <w:qFormat/>
  </w:style>
  <w:style w:type="paragraph" w:styleId="1248" w:customStyle="1">
    <w:name w:val="xl50"/>
    <w:basedOn w:val="790"/>
    <w:uiPriority w:val="0"/>
    <w:qFormat/>
    <w:pPr>
      <w:jc w:val="center"/>
      <w:spacing w:before="100" w:beforeAutospacing="1" w:after="100" w:afterAutospacing="1"/>
      <w:widowControl/>
    </w:pPr>
    <w:rPr>
      <w:rFonts w:ascii="宋体" w:hAnsi="宋体"/>
      <w:b/>
      <w:bCs/>
      <w:sz w:val="40"/>
      <w:szCs w:val="40"/>
    </w:rPr>
  </w:style>
  <w:style w:type="paragraph" w:styleId="1249" w:customStyle="1">
    <w:name w:val="Char1"/>
    <w:basedOn w:val="790"/>
    <w:uiPriority w:val="0"/>
    <w:qFormat/>
    <w:pPr>
      <w:ind w:firstLine="448"/>
    </w:pPr>
    <w:rPr>
      <w:rFonts w:ascii="宋体" w:hAnsi="宋体" w:eastAsia="仿宋_GB2312"/>
      <w:b/>
      <w:color w:val="000000"/>
      <w:spacing w:val="-8"/>
      <w:sz w:val="32"/>
      <w:szCs w:val="32"/>
    </w:rPr>
  </w:style>
  <w:style w:type="paragraph" w:styleId="1250" w:customStyle="1">
    <w:name w:val="font0"/>
    <w:basedOn w:val="790"/>
    <w:uiPriority w:val="0"/>
    <w:qFormat/>
    <w:pPr>
      <w:jc w:val="left"/>
      <w:spacing w:before="100" w:beforeAutospacing="1" w:after="100" w:afterAutospacing="1"/>
      <w:widowControl/>
    </w:pPr>
    <w:rPr>
      <w:rFonts w:hint="eastAsia" w:ascii="宋体" w:hAnsi="宋体"/>
      <w:sz w:val="18"/>
      <w:szCs w:val="18"/>
    </w:rPr>
  </w:style>
  <w:style w:type="paragraph" w:styleId="1251" w:customStyle="1">
    <w:name w:val="xl27"/>
    <w:basedOn w:val="79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252" w:customStyle="1">
    <w:name w:val="简介正文"/>
    <w:basedOn w:val="790"/>
    <w:uiPriority w:val="0"/>
    <w:qFormat/>
    <w:pPr>
      <w:ind w:left="1701" w:hanging="1701"/>
      <w:spacing w:after="20" w:line="520" w:lineRule="exact"/>
      <w:tabs>
        <w:tab w:val="left" w:pos="425" w:leader="none"/>
      </w:tabs>
    </w:pPr>
    <w:rPr>
      <w:sz w:val="24"/>
    </w:rPr>
  </w:style>
  <w:style w:type="paragraph" w:styleId="1253" w:customStyle="1">
    <w:name w:val="xl31"/>
    <w:basedOn w:val="7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54" w:customStyle="1">
    <w:name w:val="xl32"/>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55" w:customStyle="1">
    <w:name w:val="xl48"/>
    <w:basedOn w:val="7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256" w:customStyle="1">
    <w:name w:val="Other|1"/>
    <w:basedOn w:val="790"/>
    <w:uiPriority w:val="0"/>
    <w:qFormat/>
    <w:pPr>
      <w:ind w:firstLine="220"/>
    </w:pPr>
    <w:rPr>
      <w:rFonts w:ascii="宋体" w:hAnsi="宋体" w:cs="宋体"/>
      <w:sz w:val="20"/>
      <w:lang w:val="zh-TW" w:eastAsia="zh-TW" w:bidi="zh-TW"/>
    </w:rPr>
  </w:style>
  <w:style w:type="paragraph" w:styleId="1257" w:customStyle="1">
    <w:name w:val="正文首行缩进11"/>
    <w:basedOn w:val="1258"/>
    <w:uiPriority w:val="0"/>
    <w:qFormat/>
    <w:pPr>
      <w:ind w:firstLine="420"/>
      <w:spacing w:after="120"/>
    </w:pPr>
    <w:rPr>
      <w:rFonts w:ascii="Times New Roman"/>
      <w:sz w:val="21"/>
    </w:rPr>
  </w:style>
  <w:style w:type="paragraph" w:styleId="1258" w:customStyle="1">
    <w:name w:val="正文文本11"/>
    <w:basedOn w:val="790"/>
    <w:next w:val="1259"/>
    <w:uiPriority w:val="0"/>
    <w:semiHidden/>
    <w:qFormat/>
    <w:rPr>
      <w:rFonts w:ascii="宋体" w:hAnsi="宋体" w:eastAsia="宋体" w:cs="宋体"/>
      <w:sz w:val="24"/>
      <w:szCs w:val="24"/>
      <w:lang w:eastAsia="en-US"/>
    </w:rPr>
  </w:style>
  <w:style w:type="paragraph" w:styleId="1259" w:customStyle="1">
    <w:name w:val="列表11"/>
    <w:basedOn w:val="790"/>
    <w:uiPriority w:val="0"/>
    <w:qFormat/>
    <w:pPr>
      <w:ind w:left="420" w:hanging="420"/>
      <w:spacing w:after="20" w:line="288" w:lineRule="auto"/>
      <w:tabs>
        <w:tab w:val="left" w:pos="420" w:leader="none"/>
      </w:tabs>
    </w:pPr>
    <w:rPr>
      <w:szCs w:val="20"/>
      <w:lang w:val="en-GB"/>
    </w:rPr>
  </w:style>
  <w:style w:type="character" w:styleId="1260" w:customStyle="1">
    <w:name w:val="font81"/>
    <w:uiPriority w:val="0"/>
    <w:qFormat/>
    <w:rPr>
      <w:rFonts w:hint="eastAsia" w:ascii="宋体" w:hAnsi="宋体" w:eastAsia="宋体" w:cs="宋体"/>
      <w:b/>
      <w:color w:val="000000"/>
      <w:sz w:val="24"/>
      <w:szCs w:val="24"/>
      <w:u w:val="none"/>
    </w:rPr>
  </w:style>
  <w:style w:type="paragraph" w:styleId="126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62" w:customStyle="1">
    <w:name w:val="普通(网站)2"/>
    <w:basedOn w:val="790"/>
    <w:uiPriority w:val="0"/>
    <w:qFormat/>
    <w:pPr>
      <w:spacing w:before="100" w:beforeAutospacing="1" w:after="100" w:afterAutospacing="1"/>
    </w:pPr>
    <w:rPr>
      <w:rFonts w:ascii="宋体" w:hAnsi="宋体" w:cs="宋体"/>
      <w:szCs w:val="24"/>
    </w:rPr>
  </w:style>
  <w:style w:type="numbering" w:styleId="12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蔡静</cp:lastModifiedBy>
  <cp:revision>4</cp:revision>
  <dcterms:created xsi:type="dcterms:W3CDTF">2022-07-11T04:13:00Z</dcterms:created>
  <dcterms:modified xsi:type="dcterms:W3CDTF">2026-05-20T04:00:44Z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32696DA373254A878699CBF4D724759A_13</vt:lpwstr>
  </property>
  <property fmtid="{D5CDD505-2E9C-101B-9397-08002B2CF9AE}" pid="4" name="KSOTemplateDocerSaveRecord">
    <vt:lpwstr>eyJoZGlkIjoiMWQ0ZWZlZDNlMDU5ZmI3YzM0Y2JhNzAyYmZhODA5NTAiLCJ1c2VySWQiOiI0MTU5NTQ1MTEifQ==</vt:lpwstr>
  </property>
</Properties>
</file>